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62AA6" w14:textId="77777777" w:rsidR="00773E85" w:rsidRPr="00773E85" w:rsidRDefault="00773E85" w:rsidP="00773E85">
      <w:pPr>
        <w:pStyle w:val="Title"/>
        <w:jc w:val="both"/>
        <w:rPr>
          <w:rFonts w:ascii="Arial" w:hAnsi="Arial" w:cs="Arial"/>
          <w:bCs/>
          <w:i/>
          <w:iCs/>
          <w:u w:val="single"/>
        </w:rPr>
      </w:pPr>
      <w:r w:rsidRPr="00773E85">
        <w:rPr>
          <w:rFonts w:ascii="Arial" w:hAnsi="Arial" w:cs="Arial"/>
          <w:bCs/>
          <w:i/>
          <w:iCs/>
          <w:u w:val="single"/>
        </w:rPr>
        <w:t>Review Article</w:t>
      </w:r>
    </w:p>
    <w:p w14:paraId="2EA6D3BA" w14:textId="77777777" w:rsidR="00754C9A" w:rsidRDefault="00754C9A" w:rsidP="00441B6F">
      <w:pPr>
        <w:pStyle w:val="Title"/>
        <w:spacing w:after="0"/>
        <w:jc w:val="both"/>
        <w:rPr>
          <w:rFonts w:ascii="Arial" w:hAnsi="Arial" w:cs="Arial"/>
        </w:rPr>
      </w:pPr>
    </w:p>
    <w:p w14:paraId="51155758" w14:textId="77777777" w:rsidR="00A258C3" w:rsidRDefault="00E8547C" w:rsidP="00441B6F">
      <w:pPr>
        <w:pStyle w:val="Author"/>
        <w:spacing w:line="240" w:lineRule="auto"/>
        <w:jc w:val="both"/>
        <w:rPr>
          <w:rFonts w:ascii="Arial" w:hAnsi="Arial" w:cs="Arial"/>
          <w:bCs/>
          <w:iCs/>
          <w:kern w:val="28"/>
          <w:sz w:val="36"/>
        </w:rPr>
      </w:pPr>
      <w:r w:rsidRPr="00E8547C">
        <w:rPr>
          <w:rFonts w:ascii="Arial" w:hAnsi="Arial" w:cs="Arial"/>
          <w:bCs/>
          <w:iCs/>
          <w:kern w:val="28"/>
          <w:sz w:val="36"/>
        </w:rPr>
        <w:t>Anticancer Drugs in Aquatic Ecosystems: Ecological Risks and Advanced Remediation Approaches</w:t>
      </w:r>
    </w:p>
    <w:p w14:paraId="0115951C" w14:textId="5BFB02B9" w:rsidR="00FA0167" w:rsidRDefault="00FA0167" w:rsidP="0070643E">
      <w:pPr>
        <w:pStyle w:val="Affiliation"/>
        <w:spacing w:after="0" w:line="240" w:lineRule="auto"/>
        <w:jc w:val="left"/>
        <w:rPr>
          <w:rFonts w:ascii="Arial" w:hAnsi="Arial" w:cs="Arial"/>
          <w:i/>
        </w:rPr>
      </w:pPr>
    </w:p>
    <w:p w14:paraId="34060154" w14:textId="77777777" w:rsidR="0070643E" w:rsidRDefault="0070643E" w:rsidP="00FA0167">
      <w:pPr>
        <w:pStyle w:val="Affiliation"/>
        <w:spacing w:after="0" w:line="240" w:lineRule="auto"/>
        <w:jc w:val="left"/>
        <w:rPr>
          <w:rFonts w:ascii="Arial" w:hAnsi="Arial" w:cs="Arial"/>
          <w:i/>
        </w:rPr>
      </w:pPr>
    </w:p>
    <w:p w14:paraId="3FCB0079" w14:textId="77777777" w:rsidR="00790ADA" w:rsidRPr="00FB3A86" w:rsidRDefault="00B01FCD" w:rsidP="00E8547C">
      <w:pPr>
        <w:pStyle w:val="AbstHead"/>
        <w:spacing w:after="0"/>
        <w:jc w:val="both"/>
        <w:rPr>
          <w:rFonts w:ascii="Arial" w:hAnsi="Arial" w:cs="Arial"/>
        </w:rPr>
      </w:pPr>
      <w:r w:rsidRPr="00FB3A86">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0C215D70" w14:textId="77777777" w:rsidTr="001E44FE">
        <w:tc>
          <w:tcPr>
            <w:tcW w:w="9576" w:type="dxa"/>
            <w:shd w:val="clear" w:color="auto" w:fill="F2F2F2"/>
          </w:tcPr>
          <w:p w14:paraId="69DE0A8E"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E8547C" w:rsidRPr="00E8547C">
              <w:rPr>
                <w:rFonts w:ascii="Arial" w:eastAsia="Calibri" w:hAnsi="Arial" w:cs="Arial"/>
                <w:szCs w:val="22"/>
              </w:rPr>
              <w:t>This study seeks to evaluate the ecological risks associated with anticancer drugs in aquatic environments, emphasizing their environmental behavior, toxicity, and persistence. It examines the presence of specific anticancer compounds and assesses their effects on aquatic organisms utilizing data derived from the EU "</w:t>
            </w:r>
            <w:proofErr w:type="spellStart"/>
            <w:r w:rsidR="00E8547C" w:rsidRPr="00E8547C">
              <w:rPr>
                <w:rFonts w:ascii="Arial" w:eastAsia="Calibri" w:hAnsi="Arial" w:cs="Arial"/>
                <w:szCs w:val="22"/>
              </w:rPr>
              <w:t>Cytothreat</w:t>
            </w:r>
            <w:proofErr w:type="spellEnd"/>
            <w:r w:rsidR="00E8547C" w:rsidRPr="00E8547C">
              <w:rPr>
                <w:rFonts w:ascii="Arial" w:eastAsia="Calibri" w:hAnsi="Arial" w:cs="Arial"/>
                <w:szCs w:val="22"/>
              </w:rPr>
              <w:t>" project.</w:t>
            </w:r>
          </w:p>
          <w:p w14:paraId="0647D94F"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E8547C" w:rsidRPr="00E8547C">
              <w:rPr>
                <w:rFonts w:ascii="Arial" w:eastAsia="Calibri" w:hAnsi="Arial" w:cs="Arial"/>
                <w:szCs w:val="22"/>
              </w:rPr>
              <w:t>Experimental and observational research integrating laboratory toxicity assessments and environmental sampling to evaluate the ecological risks of anticancer pharmaceuticals.</w:t>
            </w:r>
          </w:p>
          <w:p w14:paraId="0D685882" w14:textId="77777777" w:rsidR="00E8547C"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E8547C" w:rsidRPr="00E8547C">
              <w:rPr>
                <w:rFonts w:ascii="Arial" w:eastAsia="Calibri" w:hAnsi="Arial" w:cs="Arial"/>
                <w:szCs w:val="22"/>
              </w:rPr>
              <w:t>Five-fluorouracil (5FU), cisplatin (CDDP), imatinib mesylate (IM), and etoposide (ET) are four commonly used anticancer drugs that work in different ways. They were tested on different indicator species, such as cyanobacteria, algae, higher plants, rotifers, crustaceans, fish, and human and fish-derived</w:t>
            </w:r>
            <w:bookmarkStart w:id="0" w:name="_GoBack"/>
            <w:bookmarkEnd w:id="0"/>
            <w:r w:rsidR="00E8547C" w:rsidRPr="00E8547C">
              <w:rPr>
                <w:rFonts w:ascii="Arial" w:eastAsia="Calibri" w:hAnsi="Arial" w:cs="Arial"/>
                <w:szCs w:val="22"/>
              </w:rPr>
              <w:t xml:space="preserve"> cell lines. Toxicity tests looked at short-term, medium-term, and long-term exposure situations. The Polar Organic Chemical Integrative Sampler (POCIS) was used to keep an eye on anticancer drugs in wastewater. It found capecitabine, </w:t>
            </w:r>
            <w:proofErr w:type="spellStart"/>
            <w:r w:rsidR="00E8547C" w:rsidRPr="00E8547C">
              <w:rPr>
                <w:rFonts w:ascii="Arial" w:eastAsia="Calibri" w:hAnsi="Arial" w:cs="Arial"/>
                <w:szCs w:val="22"/>
              </w:rPr>
              <w:t>ifosfamide</w:t>
            </w:r>
            <w:proofErr w:type="spellEnd"/>
            <w:r w:rsidR="00E8547C" w:rsidRPr="00E8547C">
              <w:rPr>
                <w:rFonts w:ascii="Arial" w:eastAsia="Calibri" w:hAnsi="Arial" w:cs="Arial"/>
                <w:szCs w:val="22"/>
              </w:rPr>
              <w:t>, and cyclophosphamide, which were steadily absorbed over a 15-day period. We used site-specific sampling rates to figure out the average environmental concentrations.</w:t>
            </w:r>
          </w:p>
          <w:p w14:paraId="77183E87" w14:textId="77777777" w:rsidR="00E8547C" w:rsidRPr="00E8547C" w:rsidRDefault="00BA1B01" w:rsidP="00E8547C">
            <w:pPr>
              <w:rPr>
                <w:rFonts w:ascii="Times New Roman" w:hAnsi="Times New Roman"/>
                <w:sz w:val="24"/>
                <w:szCs w:val="24"/>
              </w:rPr>
            </w:pPr>
            <w:r w:rsidRPr="00BA1B01">
              <w:rPr>
                <w:rFonts w:ascii="Arial" w:eastAsia="Calibri" w:hAnsi="Arial" w:cs="Arial"/>
                <w:b/>
                <w:bCs/>
                <w:szCs w:val="22"/>
              </w:rPr>
              <w:t>Results:</w:t>
            </w:r>
            <w:r w:rsidRPr="00BA1B01">
              <w:rPr>
                <w:rFonts w:ascii="Arial" w:eastAsia="Calibri" w:hAnsi="Arial" w:cs="Arial"/>
                <w:szCs w:val="22"/>
              </w:rPr>
              <w:t xml:space="preserve"> </w:t>
            </w:r>
            <w:r w:rsidR="00E8547C" w:rsidRPr="00E8547C">
              <w:rPr>
                <w:rFonts w:ascii="Times New Roman" w:hAnsi="Times New Roman"/>
                <w:sz w:val="24"/>
                <w:szCs w:val="24"/>
              </w:rPr>
              <w:t>Cisplatin was determined to be the most dangerous substance, with its hazard concentration ranking in the 5th percentile among the drugs tested. Acute toxicity rankings against Daphnia magna showed the following order of strength: alkylating agents &gt; antibiotics &gt; endocrine therapy agents &gt; platinum complexes &gt; antimetabolites. POCIS consistently detected capecitabine at 32 ± 1 ng·L</w:t>
            </w:r>
            <w:r w:rsidR="00E8547C" w:rsidRPr="00E8547C">
              <w:rPr>
                <w:rFonts w:ascii="Cambria Math" w:hAnsi="Cambria Math" w:cs="Cambria Math"/>
                <w:sz w:val="24"/>
                <w:szCs w:val="24"/>
              </w:rPr>
              <w:t>⁻</w:t>
            </w:r>
            <w:r w:rsidR="00E8547C" w:rsidRPr="00E8547C">
              <w:rPr>
                <w:rFonts w:cs="Helvetica"/>
                <w:sz w:val="24"/>
                <w:szCs w:val="24"/>
              </w:rPr>
              <w:t>¹</w:t>
            </w:r>
            <w:r w:rsidR="00E8547C" w:rsidRPr="00E8547C">
              <w:rPr>
                <w:rFonts w:ascii="Times New Roman" w:hAnsi="Times New Roman"/>
                <w:sz w:val="24"/>
                <w:szCs w:val="24"/>
              </w:rPr>
              <w:t xml:space="preserve"> over five days, demonstrating a robust correlation with concentrations measured in grab samples.</w:t>
            </w:r>
          </w:p>
          <w:p w14:paraId="7823AFEF" w14:textId="77777777" w:rsidR="00505F06" w:rsidRPr="00BA1B01" w:rsidRDefault="00BA1B01" w:rsidP="00E8547C">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E8547C" w:rsidRPr="00E8547C">
              <w:rPr>
                <w:rFonts w:ascii="Arial" w:eastAsia="Calibri" w:hAnsi="Arial" w:cs="Arial"/>
                <w:szCs w:val="22"/>
              </w:rPr>
              <w:t>Anticancer drugs have measurable ecological risks because they are toxic and stay in water systems for a long time. POCIS and standardized ecotoxicological assays are two examples of monitoring tools that can accurately describe environmental exposures. This information can help us understand the need for better wastewater treatment and pharmaceutical stewardship to reduce the impact of these new contaminants.</w:t>
            </w:r>
          </w:p>
        </w:tc>
      </w:tr>
    </w:tbl>
    <w:p w14:paraId="770A3DAB" w14:textId="77777777" w:rsidR="00636EB2" w:rsidRDefault="00636EB2" w:rsidP="00441B6F">
      <w:pPr>
        <w:pStyle w:val="Body"/>
        <w:spacing w:after="0"/>
        <w:rPr>
          <w:rFonts w:ascii="Arial" w:hAnsi="Arial" w:cs="Arial"/>
          <w:i/>
        </w:rPr>
      </w:pPr>
    </w:p>
    <w:p w14:paraId="3AC97FEF" w14:textId="77777777" w:rsidR="00790ADA" w:rsidRDefault="00790ADA" w:rsidP="00441B6F">
      <w:pPr>
        <w:pStyle w:val="Body"/>
        <w:spacing w:after="0"/>
        <w:rPr>
          <w:rFonts w:ascii="Arial" w:hAnsi="Arial" w:cs="Arial"/>
          <w:i/>
        </w:rPr>
      </w:pPr>
    </w:p>
    <w:p w14:paraId="5F3DD0E2" w14:textId="77777777" w:rsidR="0024282C" w:rsidRDefault="00E8547C" w:rsidP="00441B6F">
      <w:pPr>
        <w:pStyle w:val="Body"/>
        <w:spacing w:after="0"/>
        <w:rPr>
          <w:rFonts w:ascii="Arial" w:hAnsi="Arial" w:cs="Arial"/>
          <w:i/>
          <w:sz w:val="18"/>
        </w:rPr>
      </w:pPr>
      <w:r>
        <w:rPr>
          <w:noProof/>
          <w:color w:val="000000"/>
          <w:bdr w:val="none" w:sz="0" w:space="0" w:color="auto" w:frame="1"/>
        </w:rPr>
        <w:lastRenderedPageBreak/>
        <w:drawing>
          <wp:inline distT="0" distB="0" distL="0" distR="0" wp14:anchorId="1DBEA1BF" wp14:editId="41FB47C7">
            <wp:extent cx="4922520" cy="2392680"/>
            <wp:effectExtent l="0" t="0" r="0" b="7620"/>
            <wp:docPr id="3" name="Picture 3" descr="https://lh7-rt.googleusercontent.com/docsz/AD_4nXe4VQk81B9j5K5rRkcy37z9rjPlmAreyAnjMgh8AUhlxT8hoIxwEyklbSNhh4374zz1OlZ6kjT4RtqradvKzBijfsEQ0iuAVt3lkTV4tHyXl-jECkFKy1ys-WbBM6Mhl4u_p0Vyl-tRm0p4a6sM2Pg?key=TzjKB6IkRgpFOKa2wDG8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e4VQk81B9j5K5rRkcy37z9rjPlmAreyAnjMgh8AUhlxT8hoIxwEyklbSNhh4374zz1OlZ6kjT4RtqradvKzBijfsEQ0iuAVt3lkTV4tHyXl-jECkFKy1ys-WbBM6Mhl4u_p0Vyl-tRm0p4a6sM2Pg?key=TzjKB6IkRgpFOKa2wDG8b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2520" cy="2392680"/>
                    </a:xfrm>
                    <a:prstGeom prst="rect">
                      <a:avLst/>
                    </a:prstGeom>
                    <a:noFill/>
                    <a:ln>
                      <a:noFill/>
                    </a:ln>
                  </pic:spPr>
                </pic:pic>
              </a:graphicData>
            </a:graphic>
          </wp:inline>
        </w:drawing>
      </w:r>
    </w:p>
    <w:p w14:paraId="61835EDE" w14:textId="77777777" w:rsidR="00505F06" w:rsidRDefault="002327F0" w:rsidP="002327F0">
      <w:pPr>
        <w:pStyle w:val="Body"/>
        <w:spacing w:after="0"/>
        <w:jc w:val="center"/>
        <w:rPr>
          <w:rFonts w:ascii="Times New Roman" w:hAnsi="Times New Roman"/>
          <w:sz w:val="24"/>
          <w:szCs w:val="24"/>
        </w:rPr>
      </w:pPr>
      <w:r w:rsidRPr="002327F0">
        <w:rPr>
          <w:rFonts w:ascii="Times New Roman" w:hAnsi="Times New Roman"/>
          <w:sz w:val="24"/>
          <w:szCs w:val="24"/>
        </w:rPr>
        <w:t>Graphical Abstract</w:t>
      </w:r>
    </w:p>
    <w:p w14:paraId="5C78DAF6" w14:textId="77777777" w:rsidR="000346B4" w:rsidRPr="002327F0" w:rsidRDefault="000346B4" w:rsidP="002327F0">
      <w:pPr>
        <w:pStyle w:val="Body"/>
        <w:spacing w:after="0"/>
        <w:jc w:val="center"/>
        <w:rPr>
          <w:rFonts w:ascii="Times New Roman" w:hAnsi="Times New Roman"/>
          <w:sz w:val="24"/>
          <w:szCs w:val="24"/>
        </w:rPr>
      </w:pPr>
    </w:p>
    <w:p w14:paraId="4640C590" w14:textId="77777777" w:rsidR="000346B4" w:rsidRDefault="000346B4" w:rsidP="000346B4">
      <w:pPr>
        <w:pStyle w:val="Body"/>
        <w:spacing w:after="0"/>
        <w:rPr>
          <w:rFonts w:ascii="Arial" w:hAnsi="Arial" w:cs="Arial"/>
          <w:i/>
        </w:rPr>
      </w:pPr>
      <w:r>
        <w:rPr>
          <w:rFonts w:ascii="Arial" w:hAnsi="Arial" w:cs="Arial"/>
          <w:i/>
        </w:rPr>
        <w:t xml:space="preserve">Keywords: </w:t>
      </w:r>
      <w:r w:rsidRPr="00E8547C">
        <w:rPr>
          <w:rFonts w:ascii="Arial" w:hAnsi="Arial" w:cs="Arial"/>
          <w:i/>
        </w:rPr>
        <w:t>Anticancer Drugs, Aquatic Toxicity, Ecological Risks, Wastewater remediation.</w:t>
      </w:r>
    </w:p>
    <w:p w14:paraId="07DB52A7" w14:textId="77777777" w:rsidR="002327F0" w:rsidRDefault="002327F0" w:rsidP="00E8547C">
      <w:pPr>
        <w:pStyle w:val="AbstHead"/>
        <w:spacing w:after="0"/>
        <w:jc w:val="both"/>
        <w:rPr>
          <w:rFonts w:ascii="Arial" w:hAnsi="Arial" w:cs="Arial"/>
        </w:rPr>
      </w:pPr>
    </w:p>
    <w:p w14:paraId="03FE88A5" w14:textId="77777777" w:rsidR="007F7B32" w:rsidRDefault="00902823" w:rsidP="00E8547C">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6CCC95A" w14:textId="77777777" w:rsidR="00790ADA" w:rsidRPr="00FB3A86" w:rsidRDefault="00790ADA" w:rsidP="00441B6F">
      <w:pPr>
        <w:pStyle w:val="AbstHead"/>
        <w:spacing w:after="0"/>
        <w:jc w:val="both"/>
        <w:rPr>
          <w:rFonts w:ascii="Arial" w:hAnsi="Arial" w:cs="Arial"/>
        </w:rPr>
      </w:pPr>
    </w:p>
    <w:p w14:paraId="0955705E" w14:textId="77777777" w:rsidR="00E8547C" w:rsidRPr="00E8547C" w:rsidRDefault="00E8547C" w:rsidP="00CB7F5D">
      <w:pPr>
        <w:pStyle w:val="Body"/>
        <w:rPr>
          <w:rFonts w:ascii="Arial" w:hAnsi="Arial" w:cs="Arial"/>
        </w:rPr>
      </w:pPr>
      <w:r w:rsidRPr="00E8547C">
        <w:rPr>
          <w:rFonts w:ascii="Arial" w:hAnsi="Arial" w:cs="Arial"/>
        </w:rPr>
        <w:t>The purpose of these chemicals is to inhibit and destroy cancer cells. These chemicals are among the most toxic that have been produced commercially and have been classified as “dangerous” under the European Commission's Waste Framework Directive (</w:t>
      </w:r>
      <w:proofErr w:type="spellStart"/>
      <w:r w:rsidRPr="00E8547C">
        <w:rPr>
          <w:rFonts w:ascii="Arial" w:hAnsi="Arial" w:cs="Arial"/>
        </w:rPr>
        <w:t>Dannarm</w:t>
      </w:r>
      <w:proofErr w:type="spellEnd"/>
      <w:r w:rsidRPr="00E8547C">
        <w:rPr>
          <w:rFonts w:ascii="Arial" w:hAnsi="Arial" w:cs="Arial"/>
        </w:rPr>
        <w:t xml:space="preserve"> et al., 2025; </w:t>
      </w:r>
      <w:proofErr w:type="spellStart"/>
      <w:r w:rsidRPr="00E8547C">
        <w:rPr>
          <w:rFonts w:ascii="Arial" w:hAnsi="Arial" w:cs="Arial"/>
        </w:rPr>
        <w:t>Jureczko</w:t>
      </w:r>
      <w:proofErr w:type="spellEnd"/>
      <w:r w:rsidRPr="00E8547C">
        <w:rPr>
          <w:rFonts w:ascii="Arial" w:hAnsi="Arial" w:cs="Arial"/>
        </w:rPr>
        <w:t xml:space="preserve"> &amp; </w:t>
      </w:r>
      <w:proofErr w:type="spellStart"/>
      <w:r w:rsidRPr="00E8547C">
        <w:rPr>
          <w:rFonts w:ascii="Arial" w:hAnsi="Arial" w:cs="Arial"/>
        </w:rPr>
        <w:t>Przystaś</w:t>
      </w:r>
      <w:proofErr w:type="spellEnd"/>
      <w:r w:rsidRPr="00E8547C">
        <w:rPr>
          <w:rFonts w:ascii="Arial" w:hAnsi="Arial" w:cs="Arial"/>
        </w:rPr>
        <w:t>, 2024). Their discharge into wastewater has raised concerns about their potential negative impact on aquatic ecosystems (Parker &amp; Miller, 2024). Therefore, efforts have been made to develop effective handling strategies to understand their fate in the environment and evaluate their toxic effects on various organisms (de Souza et al., 2024; Parker &amp; Miller, 2024). These pollutants include new chemicals such as medicines, hormone disruptors, and toxins, as well as tiny biological contaminants like bacteria and viruses that are found in soil, sediments, groundwater, industrial wastewater, city wastewater, aquaculture wastewater, and both freshwater and ocean environments. Anticancer agents, often poorly metabolized, are excreted unchanged through feces and urine into hospitals and domestic wastewater (Sangwan et al., 2025). Therefore, their detection has frequently been reported in contaminated aquatic ecosystems. A high concentration of the agents, however, has been found in the wastewater of the pharmaceutical plants where anticancer drugs are manufactured (Nassour et al., 2024</w:t>
      </w:r>
      <w:r w:rsidR="00CB7F5D">
        <w:rPr>
          <w:rFonts w:ascii="Arial" w:hAnsi="Arial" w:cs="Arial"/>
        </w:rPr>
        <w:t xml:space="preserve">; </w:t>
      </w:r>
      <w:r w:rsidR="00CB7F5D" w:rsidRPr="00FB3263">
        <w:rPr>
          <w:rFonts w:asciiTheme="minorBidi" w:eastAsia="Calibri" w:hAnsiTheme="minorBidi" w:cstheme="minorBidi"/>
          <w:color w:val="222222"/>
          <w:shd w:val="clear" w:color="auto" w:fill="FFFFFF"/>
        </w:rPr>
        <w:t>Ahmed</w:t>
      </w:r>
      <w:r w:rsidR="00CB7F5D">
        <w:rPr>
          <w:rFonts w:asciiTheme="minorBidi" w:eastAsia="Calibri" w:hAnsiTheme="minorBidi" w:cstheme="minorBidi"/>
          <w:color w:val="222222"/>
          <w:shd w:val="clear" w:color="auto" w:fill="FFFFFF"/>
        </w:rPr>
        <w:t xml:space="preserve"> </w:t>
      </w:r>
      <w:r w:rsidR="00CB7F5D" w:rsidRPr="00E8547C">
        <w:rPr>
          <w:rFonts w:ascii="Arial" w:hAnsi="Arial" w:cs="Arial"/>
        </w:rPr>
        <w:t>et al., 202</w:t>
      </w:r>
      <w:r w:rsidR="00CB7F5D">
        <w:rPr>
          <w:rFonts w:ascii="Arial" w:hAnsi="Arial" w:cs="Arial"/>
        </w:rPr>
        <w:t>5</w:t>
      </w:r>
      <w:r w:rsidRPr="00E8547C">
        <w:rPr>
          <w:rFonts w:ascii="Arial" w:hAnsi="Arial" w:cs="Arial"/>
        </w:rPr>
        <w:t>). Many anticancer agents are persistent or “pseudo-persistent” organic pollutants in wastewater and are often difficult to remove by secondary treatment methods (Hamidon et al., 2024). Tertiary treatment in wastewater treatment plant effluent (STEP) poses a threat to aquatic ecosystems (Xie et al., 2024). The presence of anticancer agents in aquatic environments raises concerns about the ecosystem, as many of these agents bioaccumulate and interact directly or indirectly with the DNA of marine organisms (Sugumaran et al., 2022</w:t>
      </w:r>
      <w:r w:rsidR="00CB7F5D">
        <w:rPr>
          <w:rFonts w:ascii="Arial" w:hAnsi="Arial" w:cs="Arial"/>
        </w:rPr>
        <w:t xml:space="preserve">; </w:t>
      </w:r>
      <w:r w:rsidR="00CB7F5D" w:rsidRPr="00FB3263">
        <w:rPr>
          <w:rFonts w:asciiTheme="minorBidi" w:eastAsia="Calibri" w:hAnsiTheme="minorBidi" w:cstheme="minorBidi"/>
          <w:color w:val="222222"/>
          <w:shd w:val="clear" w:color="auto" w:fill="FFFFFF"/>
        </w:rPr>
        <w:t>Abdul</w:t>
      </w:r>
      <w:r w:rsidR="00CB7F5D">
        <w:rPr>
          <w:rFonts w:asciiTheme="minorBidi" w:eastAsia="Calibri" w:hAnsiTheme="minorBidi" w:cstheme="minorBidi"/>
          <w:color w:val="222222"/>
          <w:shd w:val="clear" w:color="auto" w:fill="FFFFFF"/>
        </w:rPr>
        <w:t xml:space="preserve"> </w:t>
      </w:r>
      <w:r w:rsidR="00CB7F5D" w:rsidRPr="00E8547C">
        <w:rPr>
          <w:rFonts w:ascii="Arial" w:hAnsi="Arial" w:cs="Arial"/>
        </w:rPr>
        <w:t>et al., 202</w:t>
      </w:r>
      <w:r w:rsidR="00CB7F5D">
        <w:rPr>
          <w:rFonts w:ascii="Arial" w:hAnsi="Arial" w:cs="Arial"/>
        </w:rPr>
        <w:t>5</w:t>
      </w:r>
      <w:r w:rsidR="00CB7F5D">
        <w:rPr>
          <w:rFonts w:asciiTheme="minorBidi" w:eastAsia="Calibri" w:hAnsiTheme="minorBidi" w:cstheme="minorBidi"/>
          <w:color w:val="222222"/>
          <w:shd w:val="clear" w:color="auto" w:fill="FFFFFF"/>
        </w:rPr>
        <w:t xml:space="preserve">; </w:t>
      </w:r>
      <w:r w:rsidR="00CB7F5D" w:rsidRPr="00FB3263">
        <w:rPr>
          <w:rFonts w:asciiTheme="minorBidi" w:eastAsia="Calibri" w:hAnsiTheme="minorBidi" w:cstheme="minorBidi"/>
          <w:color w:val="222222"/>
          <w:shd w:val="clear" w:color="auto" w:fill="FFFFFF"/>
        </w:rPr>
        <w:t>Abdulrahman</w:t>
      </w:r>
      <w:r w:rsidR="00CB7F5D">
        <w:rPr>
          <w:rFonts w:asciiTheme="minorBidi" w:eastAsia="Calibri" w:hAnsiTheme="minorBidi" w:cstheme="minorBidi"/>
          <w:color w:val="222222"/>
          <w:shd w:val="clear" w:color="auto" w:fill="FFFFFF"/>
        </w:rPr>
        <w:t xml:space="preserve"> </w:t>
      </w:r>
      <w:r w:rsidR="00CB7F5D" w:rsidRPr="00E8547C">
        <w:rPr>
          <w:rFonts w:ascii="Arial" w:hAnsi="Arial" w:cs="Arial"/>
        </w:rPr>
        <w:t>et al., 202</w:t>
      </w:r>
      <w:r w:rsidR="00CB7F5D">
        <w:rPr>
          <w:rFonts w:ascii="Arial" w:hAnsi="Arial" w:cs="Arial"/>
        </w:rPr>
        <w:t>5</w:t>
      </w:r>
      <w:r w:rsidRPr="00E8547C">
        <w:rPr>
          <w:rFonts w:ascii="Arial" w:hAnsi="Arial" w:cs="Arial"/>
        </w:rPr>
        <w:t>).</w:t>
      </w:r>
    </w:p>
    <w:p w14:paraId="2DC4847D" w14:textId="77777777" w:rsidR="00E8547C" w:rsidRPr="00E8547C" w:rsidRDefault="00E8547C" w:rsidP="00E8547C">
      <w:pPr>
        <w:pStyle w:val="Body"/>
        <w:rPr>
          <w:rFonts w:ascii="Arial" w:hAnsi="Arial" w:cs="Arial"/>
        </w:rPr>
      </w:pPr>
      <w:r w:rsidRPr="00E8547C">
        <w:rPr>
          <w:rFonts w:ascii="Arial" w:hAnsi="Arial" w:cs="Arial"/>
        </w:rPr>
        <w:t>Additionally, many anticancer drugs exhibit a lack of selectivity, attacking both tumors and healthy cells, which can lead to mutagenic, teratogenic, cytotoxic, and endocrine-disrupting effects (</w:t>
      </w:r>
      <w:proofErr w:type="spellStart"/>
      <w:r w:rsidRPr="00E8547C">
        <w:rPr>
          <w:rFonts w:ascii="Arial" w:hAnsi="Arial" w:cs="Arial"/>
        </w:rPr>
        <w:t>Fasiku</w:t>
      </w:r>
      <w:proofErr w:type="spellEnd"/>
      <w:r w:rsidRPr="00E8547C">
        <w:rPr>
          <w:rFonts w:ascii="Arial" w:hAnsi="Arial" w:cs="Arial"/>
        </w:rPr>
        <w:t xml:space="preserve"> et al., 2025).  The bioaccumulation of these agents in aquatic environments could lead to long-term ecological concerns, including disruptions to food chains and biodiversity loss (Tison et al., 2024). Despite the introduction of anticancer agents into aquatic ecosystems, the potential risks associated with these agents have not yet been well </w:t>
      </w:r>
      <w:r w:rsidRPr="00E8547C">
        <w:rPr>
          <w:rFonts w:ascii="Arial" w:hAnsi="Arial" w:cs="Arial"/>
        </w:rPr>
        <w:lastRenderedPageBreak/>
        <w:t>characterized. Among 100 approved cancer drugs by the US Food and Drug Administration (FDA), 33 of them have been detected in aquatic ecosystems, 26 of them are classified as cytotoxic agents with various mechanisms of action (alkylating agents, antimetabolites, anticancer antibiotics, etc.), and seven substances have internal targets (Olivier et al., 2021). Concentration and occurrence are discussed and compared with acute and chronic toxicity parameters to create a risk index (Macko et al., 2021). Predictions of bioavailability and environmental sustainability are also provided using quantitative structure-activity relationship (QSAR) models. We provide discussions of uncertainties and make recommendations for future research to better characterize the risks of anticancer agents in aquatic ecosystems (Macko et al., 2021). Moreover, there is a growing need for advanced wastewater treatment technologies, such as advanced oxidation processes (AOPs), membrane filtration, and bioaugmentation, to efficiently remove these persistent pollutants from wastewater before it is released into the environment (“Innovative Approaches to Sustainable Wastewater Treatment,” 2024). Regulatory frameworks and monitoring programs must be implemented to address the environmental risks posed by anticancer agents, ensuring that their production, use, and disposal are managed in an environmentally sustainable manner (A. A.-W. Ali et al., 2018; Thakkar, 2025; R. Ali et al., 2025)</w:t>
      </w:r>
      <w:r>
        <w:rPr>
          <w:rFonts w:ascii="Arial" w:hAnsi="Arial" w:cs="Arial"/>
        </w:rPr>
        <w:t>.</w:t>
      </w:r>
    </w:p>
    <w:p w14:paraId="671B8E0B" w14:textId="77777777" w:rsidR="00790ADA" w:rsidRPr="00FB3A86" w:rsidRDefault="00E8547C" w:rsidP="00E8547C">
      <w:pPr>
        <w:pStyle w:val="Body"/>
        <w:spacing w:after="0"/>
        <w:rPr>
          <w:rFonts w:ascii="Arial" w:hAnsi="Arial" w:cs="Arial"/>
        </w:rPr>
      </w:pPr>
      <w:r w:rsidRPr="00E8547C">
        <w:rPr>
          <w:rFonts w:ascii="Arial" w:hAnsi="Arial" w:cs="Arial"/>
        </w:rPr>
        <w:t xml:space="preserve">Reports have documented the teratogenic effects of some anticancer agents (AD), including 5-FU, capecitabine, cisplatin, doxorubicin, etoposide, and imatinib (Table 1). These anticancer agents seem to interfere with the development of embryos and change cell division rates in onion root cells, indicating that different living things and groups of vertebrates may respond very differently to these drugs. However, exposure to environmentally relevant concentrations of the agents needs to be further investigated to assess the ecological risks that might be posed by those agents in aquatic and terrestrial ecosystems (Khaki &amp; Kumar, 2025; </w:t>
      </w:r>
      <w:proofErr w:type="spellStart"/>
      <w:r w:rsidRPr="00E8547C">
        <w:rPr>
          <w:rFonts w:ascii="Arial" w:hAnsi="Arial" w:cs="Arial"/>
        </w:rPr>
        <w:t>Sdiq</w:t>
      </w:r>
      <w:proofErr w:type="spellEnd"/>
      <w:r w:rsidRPr="00E8547C">
        <w:rPr>
          <w:rFonts w:ascii="Arial" w:hAnsi="Arial" w:cs="Arial"/>
        </w:rPr>
        <w:t xml:space="preserve"> et al., 2025).</w:t>
      </w:r>
    </w:p>
    <w:p w14:paraId="272525A6" w14:textId="77777777" w:rsidR="00E8547C" w:rsidRDefault="00E8547C" w:rsidP="00441B6F">
      <w:pPr>
        <w:pStyle w:val="AbstHead"/>
        <w:spacing w:after="0"/>
        <w:jc w:val="both"/>
        <w:rPr>
          <w:rFonts w:ascii="Arial" w:hAnsi="Arial" w:cs="Arial"/>
        </w:rPr>
      </w:pPr>
    </w:p>
    <w:p w14:paraId="57220920" w14:textId="77777777" w:rsidR="00E8547C" w:rsidRDefault="00E8547C" w:rsidP="00441B6F">
      <w:pPr>
        <w:pStyle w:val="AbstHead"/>
        <w:spacing w:after="0"/>
        <w:jc w:val="both"/>
        <w:rPr>
          <w:rFonts w:ascii="Arial" w:hAnsi="Arial" w:cs="Arial"/>
        </w:rPr>
      </w:pPr>
    </w:p>
    <w:p w14:paraId="4FC4F6D4" w14:textId="77777777" w:rsidR="00E8547C" w:rsidRPr="00E8547C" w:rsidRDefault="00E8547C" w:rsidP="00E8547C">
      <w:pPr>
        <w:tabs>
          <w:tab w:val="left" w:pos="1080"/>
        </w:tabs>
        <w:jc w:val="both"/>
        <w:rPr>
          <w:rFonts w:ascii="Arial" w:hAnsi="Arial"/>
          <w:b/>
        </w:rPr>
      </w:pPr>
      <w:r w:rsidRPr="00E8547C">
        <w:rPr>
          <w:rFonts w:ascii="Arial" w:hAnsi="Arial"/>
          <w:b/>
        </w:rPr>
        <w:t>Table 1: Summary of Anticancer Drugs, Mechanisms of Action, and Teratogenic Effects</w:t>
      </w:r>
    </w:p>
    <w:tbl>
      <w:tblPr>
        <w:tblW w:w="0" w:type="auto"/>
        <w:tblCellMar>
          <w:top w:w="15" w:type="dxa"/>
          <w:left w:w="15" w:type="dxa"/>
          <w:bottom w:w="15" w:type="dxa"/>
          <w:right w:w="15" w:type="dxa"/>
        </w:tblCellMar>
        <w:tblLook w:val="04A0" w:firstRow="1" w:lastRow="0" w:firstColumn="1" w:lastColumn="0" w:noHBand="0" w:noVBand="1"/>
      </w:tblPr>
      <w:tblGrid>
        <w:gridCol w:w="1384"/>
        <w:gridCol w:w="2294"/>
        <w:gridCol w:w="2606"/>
        <w:gridCol w:w="1924"/>
      </w:tblGrid>
      <w:tr w:rsidR="00E8547C" w:rsidRPr="00E8547C" w14:paraId="10A388BD" w14:textId="77777777" w:rsidTr="00E8547C">
        <w:tc>
          <w:tcPr>
            <w:tcW w:w="0" w:type="auto"/>
            <w:tcBorders>
              <w:top w:val="single" w:sz="4" w:space="0" w:color="auto"/>
              <w:bottom w:val="single" w:sz="4" w:space="0" w:color="auto"/>
            </w:tcBorders>
            <w:tcMar>
              <w:top w:w="0" w:type="dxa"/>
              <w:left w:w="108" w:type="dxa"/>
              <w:bottom w:w="0" w:type="dxa"/>
              <w:right w:w="108" w:type="dxa"/>
            </w:tcMar>
            <w:hideMark/>
          </w:tcPr>
          <w:p w14:paraId="523DF390" w14:textId="77777777" w:rsidR="00E8547C" w:rsidRPr="00E8547C" w:rsidRDefault="00E8547C" w:rsidP="00E8547C">
            <w:pPr>
              <w:jc w:val="both"/>
              <w:rPr>
                <w:rFonts w:ascii="Arial" w:hAnsi="Arial"/>
                <w:b/>
              </w:rPr>
            </w:pPr>
            <w:r w:rsidRPr="00E8547C">
              <w:rPr>
                <w:rFonts w:ascii="Arial" w:hAnsi="Arial"/>
                <w:b/>
              </w:rPr>
              <w:t>Drug</w:t>
            </w:r>
          </w:p>
        </w:tc>
        <w:tc>
          <w:tcPr>
            <w:tcW w:w="0" w:type="auto"/>
            <w:tcBorders>
              <w:top w:val="single" w:sz="4" w:space="0" w:color="auto"/>
              <w:bottom w:val="single" w:sz="4" w:space="0" w:color="auto"/>
            </w:tcBorders>
            <w:tcMar>
              <w:top w:w="0" w:type="dxa"/>
              <w:left w:w="108" w:type="dxa"/>
              <w:bottom w:w="0" w:type="dxa"/>
              <w:right w:w="108" w:type="dxa"/>
            </w:tcMar>
            <w:hideMark/>
          </w:tcPr>
          <w:p w14:paraId="2DB5BF45" w14:textId="77777777" w:rsidR="00E8547C" w:rsidRPr="00E8547C" w:rsidRDefault="00E8547C" w:rsidP="00E8547C">
            <w:pPr>
              <w:jc w:val="both"/>
              <w:rPr>
                <w:rFonts w:ascii="Arial" w:hAnsi="Arial"/>
                <w:b/>
              </w:rPr>
            </w:pPr>
            <w:r w:rsidRPr="00E8547C">
              <w:rPr>
                <w:rFonts w:ascii="Arial" w:hAnsi="Arial"/>
                <w:b/>
              </w:rPr>
              <w:t>Mechanism of Action</w:t>
            </w:r>
          </w:p>
        </w:tc>
        <w:tc>
          <w:tcPr>
            <w:tcW w:w="0" w:type="auto"/>
            <w:tcBorders>
              <w:top w:val="single" w:sz="4" w:space="0" w:color="auto"/>
              <w:bottom w:val="single" w:sz="4" w:space="0" w:color="auto"/>
            </w:tcBorders>
            <w:tcMar>
              <w:top w:w="0" w:type="dxa"/>
              <w:left w:w="108" w:type="dxa"/>
              <w:bottom w:w="0" w:type="dxa"/>
              <w:right w:w="108" w:type="dxa"/>
            </w:tcMar>
            <w:hideMark/>
          </w:tcPr>
          <w:p w14:paraId="30777962" w14:textId="77777777" w:rsidR="00E8547C" w:rsidRPr="00E8547C" w:rsidRDefault="00E8547C" w:rsidP="00E8547C">
            <w:pPr>
              <w:jc w:val="both"/>
              <w:rPr>
                <w:rFonts w:ascii="Arial" w:hAnsi="Arial"/>
                <w:b/>
              </w:rPr>
            </w:pPr>
            <w:r w:rsidRPr="00E8547C">
              <w:rPr>
                <w:rFonts w:ascii="Arial" w:hAnsi="Arial"/>
                <w:b/>
              </w:rPr>
              <w:t>Teratogenic Effects</w:t>
            </w:r>
          </w:p>
        </w:tc>
        <w:tc>
          <w:tcPr>
            <w:tcW w:w="0" w:type="auto"/>
            <w:tcBorders>
              <w:top w:val="single" w:sz="4" w:space="0" w:color="auto"/>
              <w:bottom w:val="single" w:sz="4" w:space="0" w:color="auto"/>
            </w:tcBorders>
            <w:tcMar>
              <w:top w:w="0" w:type="dxa"/>
              <w:left w:w="108" w:type="dxa"/>
              <w:bottom w:w="0" w:type="dxa"/>
              <w:right w:w="108" w:type="dxa"/>
            </w:tcMar>
            <w:hideMark/>
          </w:tcPr>
          <w:p w14:paraId="72786ABB" w14:textId="77777777" w:rsidR="00E8547C" w:rsidRPr="00E8547C" w:rsidRDefault="00E8547C" w:rsidP="00E8547C">
            <w:pPr>
              <w:jc w:val="both"/>
              <w:rPr>
                <w:rFonts w:ascii="Arial" w:hAnsi="Arial"/>
                <w:b/>
              </w:rPr>
            </w:pPr>
            <w:r w:rsidRPr="00E8547C">
              <w:rPr>
                <w:rFonts w:ascii="Arial" w:hAnsi="Arial"/>
                <w:b/>
              </w:rPr>
              <w:t>Environmental Persistence</w:t>
            </w:r>
          </w:p>
        </w:tc>
      </w:tr>
      <w:tr w:rsidR="00E8547C" w:rsidRPr="00E8547C" w14:paraId="6DE473CE" w14:textId="77777777" w:rsidTr="00E8547C">
        <w:tc>
          <w:tcPr>
            <w:tcW w:w="0" w:type="auto"/>
            <w:tcBorders>
              <w:top w:val="single" w:sz="4" w:space="0" w:color="auto"/>
            </w:tcBorders>
            <w:tcMar>
              <w:top w:w="0" w:type="dxa"/>
              <w:left w:w="108" w:type="dxa"/>
              <w:bottom w:w="0" w:type="dxa"/>
              <w:right w:w="108" w:type="dxa"/>
            </w:tcMar>
            <w:hideMark/>
          </w:tcPr>
          <w:p w14:paraId="6CC1776D" w14:textId="77777777" w:rsidR="00E8547C" w:rsidRPr="00E8547C" w:rsidRDefault="00E8547C" w:rsidP="00E8547C">
            <w:pPr>
              <w:jc w:val="both"/>
              <w:rPr>
                <w:rFonts w:ascii="Arial" w:hAnsi="Arial"/>
              </w:rPr>
            </w:pPr>
            <w:r w:rsidRPr="00E8547C">
              <w:rPr>
                <w:rFonts w:ascii="Arial" w:hAnsi="Arial"/>
              </w:rPr>
              <w:t>5-FU</w:t>
            </w:r>
          </w:p>
        </w:tc>
        <w:tc>
          <w:tcPr>
            <w:tcW w:w="0" w:type="auto"/>
            <w:tcBorders>
              <w:top w:val="single" w:sz="4" w:space="0" w:color="auto"/>
            </w:tcBorders>
            <w:tcMar>
              <w:top w:w="0" w:type="dxa"/>
              <w:left w:w="108" w:type="dxa"/>
              <w:bottom w:w="0" w:type="dxa"/>
              <w:right w:w="108" w:type="dxa"/>
            </w:tcMar>
            <w:hideMark/>
          </w:tcPr>
          <w:p w14:paraId="550F7659" w14:textId="77777777" w:rsidR="00E8547C" w:rsidRPr="00E8547C" w:rsidRDefault="00E8547C" w:rsidP="00E8547C">
            <w:pPr>
              <w:jc w:val="both"/>
              <w:rPr>
                <w:rFonts w:ascii="Arial" w:hAnsi="Arial"/>
              </w:rPr>
            </w:pPr>
            <w:r w:rsidRPr="00E8547C">
              <w:rPr>
                <w:rFonts w:ascii="Arial" w:hAnsi="Arial"/>
              </w:rPr>
              <w:t>Inhibits thymidylate synthase, disrupts RNA</w:t>
            </w:r>
          </w:p>
        </w:tc>
        <w:tc>
          <w:tcPr>
            <w:tcW w:w="0" w:type="auto"/>
            <w:tcBorders>
              <w:top w:val="single" w:sz="4" w:space="0" w:color="auto"/>
            </w:tcBorders>
            <w:tcMar>
              <w:top w:w="0" w:type="dxa"/>
              <w:left w:w="108" w:type="dxa"/>
              <w:bottom w:w="0" w:type="dxa"/>
              <w:right w:w="108" w:type="dxa"/>
            </w:tcMar>
            <w:hideMark/>
          </w:tcPr>
          <w:p w14:paraId="4D3C27F2" w14:textId="77777777" w:rsidR="00E8547C" w:rsidRPr="00E8547C" w:rsidRDefault="00E8547C" w:rsidP="00E8547C">
            <w:pPr>
              <w:jc w:val="both"/>
              <w:rPr>
                <w:rFonts w:ascii="Arial" w:hAnsi="Arial"/>
              </w:rPr>
            </w:pPr>
            <w:r w:rsidRPr="00E8547C">
              <w:rPr>
                <w:rFonts w:ascii="Arial" w:hAnsi="Arial"/>
              </w:rPr>
              <w:t>Embryonic development inhibition, mitotic index modification</w:t>
            </w:r>
          </w:p>
        </w:tc>
        <w:tc>
          <w:tcPr>
            <w:tcW w:w="0" w:type="auto"/>
            <w:tcBorders>
              <w:top w:val="single" w:sz="4" w:space="0" w:color="auto"/>
            </w:tcBorders>
            <w:tcMar>
              <w:top w:w="0" w:type="dxa"/>
              <w:left w:w="108" w:type="dxa"/>
              <w:bottom w:w="0" w:type="dxa"/>
              <w:right w:w="108" w:type="dxa"/>
            </w:tcMar>
            <w:hideMark/>
          </w:tcPr>
          <w:p w14:paraId="17D5532C" w14:textId="77777777" w:rsidR="00E8547C" w:rsidRPr="00E8547C" w:rsidRDefault="00E8547C" w:rsidP="00E8547C">
            <w:pPr>
              <w:jc w:val="both"/>
              <w:rPr>
                <w:rFonts w:ascii="Arial" w:hAnsi="Arial"/>
              </w:rPr>
            </w:pPr>
            <w:r w:rsidRPr="00E8547C">
              <w:rPr>
                <w:rFonts w:ascii="Arial" w:hAnsi="Arial"/>
              </w:rPr>
              <w:t>High</w:t>
            </w:r>
          </w:p>
        </w:tc>
      </w:tr>
      <w:tr w:rsidR="00E8547C" w:rsidRPr="00E8547C" w14:paraId="2593B275" w14:textId="77777777" w:rsidTr="00E8547C">
        <w:tc>
          <w:tcPr>
            <w:tcW w:w="0" w:type="auto"/>
            <w:tcMar>
              <w:top w:w="0" w:type="dxa"/>
              <w:left w:w="108" w:type="dxa"/>
              <w:bottom w:w="0" w:type="dxa"/>
              <w:right w:w="108" w:type="dxa"/>
            </w:tcMar>
            <w:hideMark/>
          </w:tcPr>
          <w:p w14:paraId="703BA835" w14:textId="77777777" w:rsidR="00E8547C" w:rsidRPr="00E8547C" w:rsidRDefault="00E8547C" w:rsidP="00E8547C">
            <w:pPr>
              <w:jc w:val="both"/>
              <w:rPr>
                <w:rFonts w:ascii="Arial" w:hAnsi="Arial"/>
              </w:rPr>
            </w:pPr>
            <w:r w:rsidRPr="00E8547C">
              <w:rPr>
                <w:rFonts w:ascii="Arial" w:hAnsi="Arial"/>
              </w:rPr>
              <w:t>Capecitabine</w:t>
            </w:r>
          </w:p>
        </w:tc>
        <w:tc>
          <w:tcPr>
            <w:tcW w:w="0" w:type="auto"/>
            <w:tcMar>
              <w:top w:w="0" w:type="dxa"/>
              <w:left w:w="108" w:type="dxa"/>
              <w:bottom w:w="0" w:type="dxa"/>
              <w:right w:w="108" w:type="dxa"/>
            </w:tcMar>
            <w:hideMark/>
          </w:tcPr>
          <w:p w14:paraId="3BB0FB8E" w14:textId="77777777" w:rsidR="00E8547C" w:rsidRPr="00E8547C" w:rsidRDefault="00E8547C" w:rsidP="00E8547C">
            <w:pPr>
              <w:jc w:val="both"/>
              <w:rPr>
                <w:rFonts w:ascii="Arial" w:hAnsi="Arial"/>
              </w:rPr>
            </w:pPr>
            <w:r w:rsidRPr="00E8547C">
              <w:rPr>
                <w:rFonts w:ascii="Arial" w:hAnsi="Arial"/>
              </w:rPr>
              <w:t>Prodrug of 5-FU, inhibits DNA synthesis</w:t>
            </w:r>
          </w:p>
        </w:tc>
        <w:tc>
          <w:tcPr>
            <w:tcW w:w="0" w:type="auto"/>
            <w:tcMar>
              <w:top w:w="0" w:type="dxa"/>
              <w:left w:w="108" w:type="dxa"/>
              <w:bottom w:w="0" w:type="dxa"/>
              <w:right w:w="108" w:type="dxa"/>
            </w:tcMar>
            <w:hideMark/>
          </w:tcPr>
          <w:p w14:paraId="0FAF4BA2" w14:textId="77777777" w:rsidR="00E8547C" w:rsidRPr="00E8547C" w:rsidRDefault="00E8547C" w:rsidP="00E8547C">
            <w:pPr>
              <w:jc w:val="both"/>
              <w:rPr>
                <w:rFonts w:ascii="Arial" w:hAnsi="Arial"/>
              </w:rPr>
            </w:pPr>
            <w:r w:rsidRPr="00E8547C">
              <w:rPr>
                <w:rFonts w:ascii="Arial" w:hAnsi="Arial"/>
              </w:rPr>
              <w:t>Similar to 5-FU</w:t>
            </w:r>
          </w:p>
        </w:tc>
        <w:tc>
          <w:tcPr>
            <w:tcW w:w="0" w:type="auto"/>
            <w:tcMar>
              <w:top w:w="0" w:type="dxa"/>
              <w:left w:w="108" w:type="dxa"/>
              <w:bottom w:w="0" w:type="dxa"/>
              <w:right w:w="108" w:type="dxa"/>
            </w:tcMar>
            <w:hideMark/>
          </w:tcPr>
          <w:p w14:paraId="52F53F8C" w14:textId="77777777" w:rsidR="00E8547C" w:rsidRPr="00E8547C" w:rsidRDefault="00E8547C" w:rsidP="00E8547C">
            <w:pPr>
              <w:jc w:val="both"/>
              <w:rPr>
                <w:rFonts w:ascii="Arial" w:hAnsi="Arial"/>
              </w:rPr>
            </w:pPr>
            <w:r w:rsidRPr="00E8547C">
              <w:rPr>
                <w:rFonts w:ascii="Arial" w:hAnsi="Arial"/>
              </w:rPr>
              <w:t>Moderate</w:t>
            </w:r>
          </w:p>
        </w:tc>
      </w:tr>
      <w:tr w:rsidR="00E8547C" w:rsidRPr="00E8547C" w14:paraId="24B82E45" w14:textId="77777777" w:rsidTr="00E8547C">
        <w:tc>
          <w:tcPr>
            <w:tcW w:w="0" w:type="auto"/>
            <w:tcMar>
              <w:top w:w="0" w:type="dxa"/>
              <w:left w:w="108" w:type="dxa"/>
              <w:bottom w:w="0" w:type="dxa"/>
              <w:right w:w="108" w:type="dxa"/>
            </w:tcMar>
            <w:hideMark/>
          </w:tcPr>
          <w:p w14:paraId="2E31E8C1" w14:textId="77777777" w:rsidR="00E8547C" w:rsidRPr="00E8547C" w:rsidRDefault="00E8547C" w:rsidP="00E8547C">
            <w:pPr>
              <w:jc w:val="both"/>
              <w:rPr>
                <w:rFonts w:ascii="Arial" w:hAnsi="Arial"/>
              </w:rPr>
            </w:pPr>
            <w:r w:rsidRPr="00E8547C">
              <w:rPr>
                <w:rFonts w:ascii="Arial" w:hAnsi="Arial"/>
              </w:rPr>
              <w:t>Cisplatin</w:t>
            </w:r>
          </w:p>
        </w:tc>
        <w:tc>
          <w:tcPr>
            <w:tcW w:w="0" w:type="auto"/>
            <w:tcMar>
              <w:top w:w="0" w:type="dxa"/>
              <w:left w:w="108" w:type="dxa"/>
              <w:bottom w:w="0" w:type="dxa"/>
              <w:right w:w="108" w:type="dxa"/>
            </w:tcMar>
            <w:hideMark/>
          </w:tcPr>
          <w:p w14:paraId="4BBAFB12" w14:textId="77777777" w:rsidR="00E8547C" w:rsidRPr="00E8547C" w:rsidRDefault="00E8547C" w:rsidP="00E8547C">
            <w:pPr>
              <w:jc w:val="both"/>
              <w:rPr>
                <w:rFonts w:ascii="Arial" w:hAnsi="Arial"/>
              </w:rPr>
            </w:pPr>
            <w:r w:rsidRPr="00E8547C">
              <w:rPr>
                <w:rFonts w:ascii="Arial" w:hAnsi="Arial"/>
              </w:rPr>
              <w:t>DNA crosslinking, induces apoptosis</w:t>
            </w:r>
          </w:p>
        </w:tc>
        <w:tc>
          <w:tcPr>
            <w:tcW w:w="0" w:type="auto"/>
            <w:tcMar>
              <w:top w:w="0" w:type="dxa"/>
              <w:left w:w="108" w:type="dxa"/>
              <w:bottom w:w="0" w:type="dxa"/>
              <w:right w:w="108" w:type="dxa"/>
            </w:tcMar>
            <w:hideMark/>
          </w:tcPr>
          <w:p w14:paraId="5F3EBBE7" w14:textId="77777777" w:rsidR="00E8547C" w:rsidRPr="00E8547C" w:rsidRDefault="00E8547C" w:rsidP="00E8547C">
            <w:pPr>
              <w:jc w:val="both"/>
              <w:rPr>
                <w:rFonts w:ascii="Arial" w:hAnsi="Arial"/>
              </w:rPr>
            </w:pPr>
            <w:r w:rsidRPr="00E8547C">
              <w:rPr>
                <w:rFonts w:ascii="Arial" w:hAnsi="Arial"/>
              </w:rPr>
              <w:t>Embryonic toxicity, mitotic disruption</w:t>
            </w:r>
          </w:p>
        </w:tc>
        <w:tc>
          <w:tcPr>
            <w:tcW w:w="0" w:type="auto"/>
            <w:tcMar>
              <w:top w:w="0" w:type="dxa"/>
              <w:left w:w="108" w:type="dxa"/>
              <w:bottom w:w="0" w:type="dxa"/>
              <w:right w:w="108" w:type="dxa"/>
            </w:tcMar>
            <w:hideMark/>
          </w:tcPr>
          <w:p w14:paraId="04BB6902" w14:textId="77777777" w:rsidR="00E8547C" w:rsidRPr="00E8547C" w:rsidRDefault="00E8547C" w:rsidP="00E8547C">
            <w:pPr>
              <w:jc w:val="both"/>
              <w:rPr>
                <w:rFonts w:ascii="Arial" w:hAnsi="Arial"/>
              </w:rPr>
            </w:pPr>
            <w:r w:rsidRPr="00E8547C">
              <w:rPr>
                <w:rFonts w:ascii="Arial" w:hAnsi="Arial"/>
              </w:rPr>
              <w:t>High</w:t>
            </w:r>
          </w:p>
        </w:tc>
      </w:tr>
      <w:tr w:rsidR="00E8547C" w:rsidRPr="00E8547C" w14:paraId="4CD64CD4" w14:textId="77777777" w:rsidTr="00E8547C">
        <w:tc>
          <w:tcPr>
            <w:tcW w:w="0" w:type="auto"/>
            <w:tcMar>
              <w:top w:w="0" w:type="dxa"/>
              <w:left w:w="108" w:type="dxa"/>
              <w:bottom w:w="0" w:type="dxa"/>
              <w:right w:w="108" w:type="dxa"/>
            </w:tcMar>
            <w:hideMark/>
          </w:tcPr>
          <w:p w14:paraId="48D3DDEA" w14:textId="77777777" w:rsidR="00E8547C" w:rsidRPr="00E8547C" w:rsidRDefault="00E8547C" w:rsidP="00E8547C">
            <w:pPr>
              <w:jc w:val="both"/>
              <w:rPr>
                <w:rFonts w:ascii="Arial" w:hAnsi="Arial"/>
              </w:rPr>
            </w:pPr>
            <w:r w:rsidRPr="00E8547C">
              <w:rPr>
                <w:rFonts w:ascii="Arial" w:hAnsi="Arial"/>
              </w:rPr>
              <w:t>Doxorubicin</w:t>
            </w:r>
          </w:p>
        </w:tc>
        <w:tc>
          <w:tcPr>
            <w:tcW w:w="0" w:type="auto"/>
            <w:tcMar>
              <w:top w:w="0" w:type="dxa"/>
              <w:left w:w="108" w:type="dxa"/>
              <w:bottom w:w="0" w:type="dxa"/>
              <w:right w:w="108" w:type="dxa"/>
            </w:tcMar>
            <w:hideMark/>
          </w:tcPr>
          <w:p w14:paraId="02F5337A" w14:textId="77777777" w:rsidR="00E8547C" w:rsidRPr="00E8547C" w:rsidRDefault="00E8547C" w:rsidP="00E8547C">
            <w:pPr>
              <w:jc w:val="both"/>
              <w:rPr>
                <w:rFonts w:ascii="Arial" w:hAnsi="Arial"/>
              </w:rPr>
            </w:pPr>
            <w:r w:rsidRPr="00E8547C">
              <w:rPr>
                <w:rFonts w:ascii="Arial" w:hAnsi="Arial"/>
              </w:rPr>
              <w:t>Topoisomerase II inhibitor, DNA intercalation</w:t>
            </w:r>
          </w:p>
        </w:tc>
        <w:tc>
          <w:tcPr>
            <w:tcW w:w="0" w:type="auto"/>
            <w:tcMar>
              <w:top w:w="0" w:type="dxa"/>
              <w:left w:w="108" w:type="dxa"/>
              <w:bottom w:w="0" w:type="dxa"/>
              <w:right w:w="108" w:type="dxa"/>
            </w:tcMar>
            <w:hideMark/>
          </w:tcPr>
          <w:p w14:paraId="13C47E27" w14:textId="77777777" w:rsidR="00E8547C" w:rsidRPr="00E8547C" w:rsidRDefault="00E8547C" w:rsidP="00E8547C">
            <w:pPr>
              <w:jc w:val="both"/>
              <w:rPr>
                <w:rFonts w:ascii="Arial" w:hAnsi="Arial"/>
              </w:rPr>
            </w:pPr>
            <w:r w:rsidRPr="00E8547C">
              <w:rPr>
                <w:rFonts w:ascii="Arial" w:hAnsi="Arial"/>
              </w:rPr>
              <w:t>Cardiotoxicity, developmental defects</w:t>
            </w:r>
          </w:p>
        </w:tc>
        <w:tc>
          <w:tcPr>
            <w:tcW w:w="0" w:type="auto"/>
            <w:tcMar>
              <w:top w:w="0" w:type="dxa"/>
              <w:left w:w="108" w:type="dxa"/>
              <w:bottom w:w="0" w:type="dxa"/>
              <w:right w:w="108" w:type="dxa"/>
            </w:tcMar>
            <w:hideMark/>
          </w:tcPr>
          <w:p w14:paraId="742865CD" w14:textId="77777777" w:rsidR="00E8547C" w:rsidRPr="00E8547C" w:rsidRDefault="00E8547C" w:rsidP="00E8547C">
            <w:pPr>
              <w:jc w:val="both"/>
              <w:rPr>
                <w:rFonts w:ascii="Arial" w:hAnsi="Arial"/>
              </w:rPr>
            </w:pPr>
            <w:r w:rsidRPr="00E8547C">
              <w:rPr>
                <w:rFonts w:ascii="Arial" w:hAnsi="Arial"/>
              </w:rPr>
              <w:t>Moderate</w:t>
            </w:r>
          </w:p>
        </w:tc>
      </w:tr>
      <w:tr w:rsidR="00E8547C" w:rsidRPr="00E8547C" w14:paraId="6183E5EC" w14:textId="77777777" w:rsidTr="00E8547C">
        <w:tc>
          <w:tcPr>
            <w:tcW w:w="0" w:type="auto"/>
            <w:tcMar>
              <w:top w:w="0" w:type="dxa"/>
              <w:left w:w="108" w:type="dxa"/>
              <w:bottom w:w="0" w:type="dxa"/>
              <w:right w:w="108" w:type="dxa"/>
            </w:tcMar>
            <w:hideMark/>
          </w:tcPr>
          <w:p w14:paraId="544E3575" w14:textId="77777777" w:rsidR="00E8547C" w:rsidRPr="00E8547C" w:rsidRDefault="00E8547C" w:rsidP="00E8547C">
            <w:pPr>
              <w:jc w:val="both"/>
              <w:rPr>
                <w:rFonts w:ascii="Arial" w:hAnsi="Arial"/>
              </w:rPr>
            </w:pPr>
            <w:r w:rsidRPr="00E8547C">
              <w:rPr>
                <w:rFonts w:ascii="Arial" w:hAnsi="Arial"/>
              </w:rPr>
              <w:t>Etoposide</w:t>
            </w:r>
          </w:p>
        </w:tc>
        <w:tc>
          <w:tcPr>
            <w:tcW w:w="0" w:type="auto"/>
            <w:tcMar>
              <w:top w:w="0" w:type="dxa"/>
              <w:left w:w="108" w:type="dxa"/>
              <w:bottom w:w="0" w:type="dxa"/>
              <w:right w:w="108" w:type="dxa"/>
            </w:tcMar>
            <w:hideMark/>
          </w:tcPr>
          <w:p w14:paraId="5765BE8A" w14:textId="77777777" w:rsidR="00E8547C" w:rsidRPr="00E8547C" w:rsidRDefault="00E8547C" w:rsidP="00E8547C">
            <w:pPr>
              <w:jc w:val="both"/>
              <w:rPr>
                <w:rFonts w:ascii="Arial" w:hAnsi="Arial"/>
              </w:rPr>
            </w:pPr>
            <w:r w:rsidRPr="00E8547C">
              <w:rPr>
                <w:rFonts w:ascii="Arial" w:hAnsi="Arial"/>
              </w:rPr>
              <w:t>Topoisomerase II inhibitor</w:t>
            </w:r>
          </w:p>
        </w:tc>
        <w:tc>
          <w:tcPr>
            <w:tcW w:w="0" w:type="auto"/>
            <w:tcMar>
              <w:top w:w="0" w:type="dxa"/>
              <w:left w:w="108" w:type="dxa"/>
              <w:bottom w:w="0" w:type="dxa"/>
              <w:right w:w="108" w:type="dxa"/>
            </w:tcMar>
            <w:hideMark/>
          </w:tcPr>
          <w:p w14:paraId="754BA9B1" w14:textId="77777777" w:rsidR="00E8547C" w:rsidRPr="00E8547C" w:rsidRDefault="00E8547C" w:rsidP="00E8547C">
            <w:pPr>
              <w:jc w:val="both"/>
              <w:rPr>
                <w:rFonts w:ascii="Arial" w:hAnsi="Arial"/>
              </w:rPr>
            </w:pPr>
            <w:r w:rsidRPr="00E8547C">
              <w:rPr>
                <w:rFonts w:ascii="Arial" w:hAnsi="Arial"/>
              </w:rPr>
              <w:t>Embryonic lethality, chromosomal aberrations</w:t>
            </w:r>
          </w:p>
        </w:tc>
        <w:tc>
          <w:tcPr>
            <w:tcW w:w="0" w:type="auto"/>
            <w:tcMar>
              <w:top w:w="0" w:type="dxa"/>
              <w:left w:w="108" w:type="dxa"/>
              <w:bottom w:w="0" w:type="dxa"/>
              <w:right w:w="108" w:type="dxa"/>
            </w:tcMar>
            <w:hideMark/>
          </w:tcPr>
          <w:p w14:paraId="72B9EB47" w14:textId="77777777" w:rsidR="00E8547C" w:rsidRPr="00E8547C" w:rsidRDefault="00E8547C" w:rsidP="00E8547C">
            <w:pPr>
              <w:jc w:val="both"/>
              <w:rPr>
                <w:rFonts w:ascii="Arial" w:hAnsi="Arial"/>
              </w:rPr>
            </w:pPr>
            <w:r w:rsidRPr="00E8547C">
              <w:rPr>
                <w:rFonts w:ascii="Arial" w:hAnsi="Arial"/>
              </w:rPr>
              <w:t>High</w:t>
            </w:r>
          </w:p>
        </w:tc>
      </w:tr>
      <w:tr w:rsidR="00E8547C" w:rsidRPr="00E8547C" w14:paraId="2ABE4E9F" w14:textId="77777777" w:rsidTr="00E8547C">
        <w:tc>
          <w:tcPr>
            <w:tcW w:w="0" w:type="auto"/>
            <w:tcBorders>
              <w:bottom w:val="single" w:sz="4" w:space="0" w:color="auto"/>
            </w:tcBorders>
            <w:tcMar>
              <w:top w:w="0" w:type="dxa"/>
              <w:left w:w="108" w:type="dxa"/>
              <w:bottom w:w="0" w:type="dxa"/>
              <w:right w:w="108" w:type="dxa"/>
            </w:tcMar>
            <w:hideMark/>
          </w:tcPr>
          <w:p w14:paraId="1C187490" w14:textId="77777777" w:rsidR="00E8547C" w:rsidRPr="00E8547C" w:rsidRDefault="00E8547C" w:rsidP="00E8547C">
            <w:pPr>
              <w:jc w:val="both"/>
              <w:rPr>
                <w:rFonts w:ascii="Arial" w:hAnsi="Arial"/>
              </w:rPr>
            </w:pPr>
            <w:r w:rsidRPr="00E8547C">
              <w:rPr>
                <w:rFonts w:ascii="Arial" w:hAnsi="Arial"/>
              </w:rPr>
              <w:t>Imatinib</w:t>
            </w:r>
          </w:p>
        </w:tc>
        <w:tc>
          <w:tcPr>
            <w:tcW w:w="0" w:type="auto"/>
            <w:tcBorders>
              <w:bottom w:val="single" w:sz="4" w:space="0" w:color="auto"/>
            </w:tcBorders>
            <w:tcMar>
              <w:top w:w="0" w:type="dxa"/>
              <w:left w:w="108" w:type="dxa"/>
              <w:bottom w:w="0" w:type="dxa"/>
              <w:right w:w="108" w:type="dxa"/>
            </w:tcMar>
            <w:hideMark/>
          </w:tcPr>
          <w:p w14:paraId="713C8C61" w14:textId="77777777" w:rsidR="00E8547C" w:rsidRPr="00E8547C" w:rsidRDefault="00E8547C" w:rsidP="00E8547C">
            <w:pPr>
              <w:jc w:val="both"/>
              <w:rPr>
                <w:rFonts w:ascii="Arial" w:hAnsi="Arial"/>
              </w:rPr>
            </w:pPr>
            <w:r w:rsidRPr="00E8547C">
              <w:rPr>
                <w:rFonts w:ascii="Arial" w:hAnsi="Arial"/>
              </w:rPr>
              <w:t>Tyrosine kinase inhibitor (BCR-ABL, c-KIT)</w:t>
            </w:r>
          </w:p>
        </w:tc>
        <w:tc>
          <w:tcPr>
            <w:tcW w:w="0" w:type="auto"/>
            <w:tcBorders>
              <w:bottom w:val="single" w:sz="4" w:space="0" w:color="auto"/>
            </w:tcBorders>
            <w:tcMar>
              <w:top w:w="0" w:type="dxa"/>
              <w:left w:w="108" w:type="dxa"/>
              <w:bottom w:w="0" w:type="dxa"/>
              <w:right w:w="108" w:type="dxa"/>
            </w:tcMar>
            <w:hideMark/>
          </w:tcPr>
          <w:p w14:paraId="3AE25DCC" w14:textId="77777777" w:rsidR="00E8547C" w:rsidRPr="00E8547C" w:rsidRDefault="00E8547C" w:rsidP="00E8547C">
            <w:pPr>
              <w:jc w:val="both"/>
              <w:rPr>
                <w:rFonts w:ascii="Arial" w:hAnsi="Arial"/>
              </w:rPr>
            </w:pPr>
            <w:r w:rsidRPr="00E8547C">
              <w:rPr>
                <w:rFonts w:ascii="Arial" w:hAnsi="Arial"/>
              </w:rPr>
              <w:t>Skeletal abnormalities, developmental delays</w:t>
            </w:r>
          </w:p>
        </w:tc>
        <w:tc>
          <w:tcPr>
            <w:tcW w:w="0" w:type="auto"/>
            <w:tcBorders>
              <w:bottom w:val="single" w:sz="4" w:space="0" w:color="auto"/>
            </w:tcBorders>
            <w:tcMar>
              <w:top w:w="0" w:type="dxa"/>
              <w:left w:w="108" w:type="dxa"/>
              <w:bottom w:w="0" w:type="dxa"/>
              <w:right w:w="108" w:type="dxa"/>
            </w:tcMar>
            <w:hideMark/>
          </w:tcPr>
          <w:p w14:paraId="19353EFE" w14:textId="77777777" w:rsidR="00E8547C" w:rsidRPr="00E8547C" w:rsidRDefault="00E8547C" w:rsidP="00E8547C">
            <w:pPr>
              <w:jc w:val="both"/>
              <w:rPr>
                <w:rFonts w:ascii="Arial" w:hAnsi="Arial"/>
              </w:rPr>
            </w:pPr>
            <w:r w:rsidRPr="00E8547C">
              <w:rPr>
                <w:rFonts w:ascii="Arial" w:hAnsi="Arial"/>
              </w:rPr>
              <w:t>Low</w:t>
            </w:r>
          </w:p>
        </w:tc>
      </w:tr>
    </w:tbl>
    <w:p w14:paraId="61DAF404" w14:textId="77777777" w:rsidR="00790ADA" w:rsidRDefault="00790ADA" w:rsidP="00441B6F">
      <w:pPr>
        <w:pStyle w:val="Body"/>
        <w:spacing w:after="0"/>
        <w:rPr>
          <w:rFonts w:ascii="Arial" w:hAnsi="Arial" w:cs="Arial"/>
        </w:rPr>
      </w:pPr>
    </w:p>
    <w:p w14:paraId="27D01785" w14:textId="77777777" w:rsidR="00E8547C" w:rsidRDefault="00E8547C" w:rsidP="00E8547C">
      <w:pPr>
        <w:pStyle w:val="NormalWeb"/>
        <w:spacing w:before="280" w:beforeAutospacing="0" w:after="280" w:afterAutospacing="0"/>
        <w:jc w:val="both"/>
      </w:pPr>
      <w:r>
        <w:rPr>
          <w:color w:val="000000"/>
          <w:sz w:val="20"/>
          <w:szCs w:val="20"/>
        </w:rPr>
        <w:t xml:space="preserve">To measure the average concentration of a specific chemical agent in the air, we need to adopt an efficient and applicable method that ensures real-time estimation of this agent while considering environmental factors such as temperature, pH, water flow, and the presence of other chemicals or particulate matter that might negatively affect our estimations and their variability based on the placement of sampling devices. Moreover, calibrating a lab's equipment requires a significant amount </w:t>
      </w:r>
      <w:r>
        <w:rPr>
          <w:color w:val="000000"/>
          <w:sz w:val="20"/>
          <w:szCs w:val="20"/>
        </w:rPr>
        <w:lastRenderedPageBreak/>
        <w:t>of spiked water, resulting in substantial waste. Meanwhile, an alternative approach, such as in situ calibration, ensures waste reduction and provides more accurate and direct sampling rate values, which reflect real-world conditions (González</w:t>
      </w:r>
      <w:r>
        <w:rPr>
          <w:rFonts w:ascii="Arial" w:hAnsi="Arial" w:cs="Arial"/>
          <w:color w:val="000000"/>
          <w:sz w:val="20"/>
          <w:szCs w:val="20"/>
        </w:rPr>
        <w:t>-Burciaga et al., 2025; A. Mahmood et al., 2021; Omer et al., 2025; Wei et al., 2017a)</w:t>
      </w:r>
      <w:r>
        <w:rPr>
          <w:color w:val="000000"/>
          <w:sz w:val="20"/>
          <w:szCs w:val="20"/>
        </w:rPr>
        <w:t>.</w:t>
      </w:r>
    </w:p>
    <w:p w14:paraId="75230987" w14:textId="77777777" w:rsidR="00E8547C" w:rsidRDefault="00E8547C" w:rsidP="00E8547C">
      <w:pPr>
        <w:pStyle w:val="NormalWeb"/>
        <w:spacing w:before="280" w:beforeAutospacing="0" w:after="280" w:afterAutospacing="0"/>
        <w:jc w:val="both"/>
      </w:pPr>
      <w:r>
        <w:rPr>
          <w:color w:val="000000"/>
          <w:sz w:val="20"/>
          <w:szCs w:val="20"/>
        </w:rPr>
        <w:t>Grab sampling and passive sampling are two ways to test for drugs in water. “Grab sampling is used a lot. However, detecting small amounts of anticancer drugs in water is challenging and necessitates a large volume of water for testing, which complicates the overall testing process (Law</w:t>
      </w:r>
      <w:r>
        <w:rPr>
          <w:rFonts w:ascii="Arial" w:hAnsi="Arial" w:cs="Arial"/>
          <w:color w:val="000000"/>
          <w:sz w:val="20"/>
          <w:szCs w:val="20"/>
        </w:rPr>
        <w:t xml:space="preserve"> et al., 2025)</w:t>
      </w:r>
      <w:r>
        <w:rPr>
          <w:color w:val="000000"/>
          <w:sz w:val="20"/>
          <w:szCs w:val="20"/>
        </w:rPr>
        <w:t xml:space="preserve">. Solid-phase extraction (SPE), a commonly used technique in grab sampling, is time-consuming and labor-intensive, and it has a significant drawback in that it provides only a snapshot of contaminant levels at the time of sampling </w:t>
      </w:r>
      <w:r>
        <w:rPr>
          <w:rFonts w:ascii="Arial" w:hAnsi="Arial" w:cs="Arial"/>
          <w:color w:val="000000"/>
          <w:sz w:val="20"/>
          <w:szCs w:val="20"/>
        </w:rPr>
        <w:t>(Kumar et al., 2022; A. A. Mahmood et al., 2025)</w:t>
      </w:r>
      <w:r>
        <w:rPr>
          <w:color w:val="000000"/>
          <w:sz w:val="20"/>
          <w:szCs w:val="20"/>
        </w:rPr>
        <w:t>. Meanwhile, passive sampling has several advantages over traditional sampling methods, including lower costs and greater rapidity. Passive samplers can collect and concentrate pollutants, storing substances for an extended period. We can then calculate the average amount of the substance over a specific time interval (Abdulatif</w:t>
      </w:r>
      <w:r>
        <w:rPr>
          <w:rFonts w:ascii="Arial" w:hAnsi="Arial" w:cs="Arial"/>
          <w:color w:val="000000"/>
          <w:sz w:val="20"/>
          <w:szCs w:val="20"/>
        </w:rPr>
        <w:t xml:space="preserve"> &amp; Ali, 2024; </w:t>
      </w:r>
      <w:proofErr w:type="spellStart"/>
      <w:r>
        <w:rPr>
          <w:rFonts w:ascii="Arial" w:hAnsi="Arial" w:cs="Arial"/>
          <w:color w:val="000000"/>
          <w:sz w:val="20"/>
          <w:szCs w:val="20"/>
        </w:rPr>
        <w:t>Attiah</w:t>
      </w:r>
      <w:proofErr w:type="spellEnd"/>
      <w:r>
        <w:rPr>
          <w:rFonts w:ascii="Arial" w:hAnsi="Arial" w:cs="Arial"/>
          <w:color w:val="000000"/>
          <w:sz w:val="20"/>
          <w:szCs w:val="20"/>
        </w:rPr>
        <w:t xml:space="preserve"> et al., 2023; Ehalt Macedo et al., 2025)</w:t>
      </w:r>
      <w:r>
        <w:rPr>
          <w:color w:val="000000"/>
          <w:sz w:val="20"/>
          <w:szCs w:val="20"/>
        </w:rPr>
        <w:t>.</w:t>
      </w:r>
    </w:p>
    <w:p w14:paraId="5C31736E" w14:textId="77777777" w:rsidR="00E8547C" w:rsidRDefault="00E8547C" w:rsidP="002327F0">
      <w:pPr>
        <w:pStyle w:val="NormalWeb"/>
        <w:spacing w:before="280" w:beforeAutospacing="0" w:after="280" w:afterAutospacing="0"/>
        <w:jc w:val="both"/>
      </w:pPr>
      <w:r>
        <w:rPr>
          <w:color w:val="000000"/>
          <w:sz w:val="20"/>
          <w:szCs w:val="20"/>
        </w:rPr>
        <w:t>Our current understanding of the occurrence, toxicity, concentration range, and environmental persistence of anticancer drugs detected in hospital wastewater is limited and requires an efficient wastewater treatment plant (WWTP) for tributaries and effluents, as well as surface water, river sediments, groundwater, and drinking water. In this review</w:t>
      </w:r>
      <w:r w:rsidR="00FA63B0">
        <w:rPr>
          <w:color w:val="000000"/>
          <w:sz w:val="20"/>
          <w:szCs w:val="20"/>
        </w:rPr>
        <w:t xml:space="preserve"> (</w:t>
      </w:r>
      <w:r w:rsidR="002327F0">
        <w:rPr>
          <w:color w:val="000000"/>
          <w:sz w:val="20"/>
          <w:szCs w:val="20"/>
        </w:rPr>
        <w:t>F</w:t>
      </w:r>
      <w:r w:rsidR="00FA63B0">
        <w:rPr>
          <w:color w:val="000000"/>
          <w:sz w:val="20"/>
          <w:szCs w:val="20"/>
        </w:rPr>
        <w:t>ig</w:t>
      </w:r>
      <w:r w:rsidR="002327F0">
        <w:rPr>
          <w:color w:val="000000"/>
          <w:sz w:val="20"/>
          <w:szCs w:val="20"/>
        </w:rPr>
        <w:t>.</w:t>
      </w:r>
      <w:r w:rsidR="00FA63B0">
        <w:rPr>
          <w:color w:val="000000"/>
          <w:sz w:val="20"/>
          <w:szCs w:val="20"/>
        </w:rPr>
        <w:t xml:space="preserve"> 1 )</w:t>
      </w:r>
      <w:r>
        <w:rPr>
          <w:color w:val="000000"/>
          <w:sz w:val="20"/>
          <w:szCs w:val="20"/>
        </w:rPr>
        <w:t xml:space="preserve">, we tried to present the impact of anticancer drugs on aquatic organisms and ecosystems and demonstrate currently used biotechnology and </w:t>
      </w:r>
      <w:proofErr w:type="spellStart"/>
      <w:r>
        <w:rPr>
          <w:color w:val="000000"/>
          <w:sz w:val="20"/>
          <w:szCs w:val="20"/>
        </w:rPr>
        <w:t>physicochemistry</w:t>
      </w:r>
      <w:proofErr w:type="spellEnd"/>
      <w:r>
        <w:rPr>
          <w:color w:val="000000"/>
          <w:sz w:val="20"/>
          <w:szCs w:val="20"/>
        </w:rPr>
        <w:t xml:space="preserve"> for anticancer drug removal from the environment, which is very challenging and requires further investigation (Ahmed</w:t>
      </w:r>
      <w:r>
        <w:rPr>
          <w:rFonts w:ascii="Arial" w:hAnsi="Arial" w:cs="Arial"/>
          <w:color w:val="000000"/>
          <w:sz w:val="20"/>
          <w:szCs w:val="20"/>
        </w:rPr>
        <w:t xml:space="preserve"> et al., 2018; </w:t>
      </w:r>
      <w:proofErr w:type="spellStart"/>
      <w:r>
        <w:rPr>
          <w:rFonts w:ascii="Arial" w:hAnsi="Arial" w:cs="Arial"/>
          <w:color w:val="000000"/>
          <w:sz w:val="20"/>
          <w:szCs w:val="20"/>
        </w:rPr>
        <w:t>Inaudi</w:t>
      </w:r>
      <w:proofErr w:type="spellEnd"/>
      <w:r>
        <w:rPr>
          <w:rFonts w:ascii="Arial" w:hAnsi="Arial" w:cs="Arial"/>
          <w:color w:val="000000"/>
          <w:sz w:val="20"/>
          <w:szCs w:val="20"/>
        </w:rPr>
        <w:t xml:space="preserve"> et al., n.d.; </w:t>
      </w:r>
      <w:proofErr w:type="spellStart"/>
      <w:r>
        <w:rPr>
          <w:rFonts w:ascii="Arial" w:hAnsi="Arial" w:cs="Arial"/>
          <w:color w:val="000000"/>
          <w:sz w:val="20"/>
          <w:szCs w:val="20"/>
        </w:rPr>
        <w:t>Maolood</w:t>
      </w:r>
      <w:proofErr w:type="spellEnd"/>
      <w:r>
        <w:rPr>
          <w:rFonts w:ascii="Arial" w:hAnsi="Arial" w:cs="Arial"/>
          <w:color w:val="000000"/>
          <w:sz w:val="20"/>
          <w:szCs w:val="20"/>
        </w:rPr>
        <w:t xml:space="preserve"> &amp; </w:t>
      </w:r>
      <w:proofErr w:type="spellStart"/>
      <w:r>
        <w:rPr>
          <w:rFonts w:ascii="Arial" w:hAnsi="Arial" w:cs="Arial"/>
          <w:color w:val="000000"/>
          <w:sz w:val="20"/>
          <w:szCs w:val="20"/>
        </w:rPr>
        <w:t>Mhmood</w:t>
      </w:r>
      <w:proofErr w:type="spellEnd"/>
      <w:r>
        <w:rPr>
          <w:rFonts w:ascii="Arial" w:hAnsi="Arial" w:cs="Arial"/>
          <w:color w:val="000000"/>
          <w:sz w:val="20"/>
          <w:szCs w:val="20"/>
        </w:rPr>
        <w:t>, 2021)</w:t>
      </w:r>
      <w:r>
        <w:rPr>
          <w:color w:val="000000"/>
          <w:sz w:val="20"/>
          <w:szCs w:val="20"/>
        </w:rPr>
        <w:t>.</w:t>
      </w:r>
    </w:p>
    <w:p w14:paraId="702638AC" w14:textId="77777777" w:rsidR="00E8547C" w:rsidRDefault="00E8547C" w:rsidP="00441B6F">
      <w:pPr>
        <w:pStyle w:val="Body"/>
        <w:spacing w:after="0"/>
        <w:rPr>
          <w:rFonts w:ascii="Arial" w:hAnsi="Arial" w:cs="Arial"/>
        </w:rPr>
      </w:pPr>
    </w:p>
    <w:p w14:paraId="0559060A" w14:textId="77777777" w:rsidR="00E8547C" w:rsidRDefault="00FA63B0" w:rsidP="00441B6F">
      <w:pPr>
        <w:pStyle w:val="AcknHead"/>
        <w:spacing w:after="0"/>
        <w:jc w:val="both"/>
        <w:rPr>
          <w:rFonts w:ascii="Arial" w:hAnsi="Arial" w:cs="Arial"/>
        </w:rPr>
      </w:pPr>
      <w:r>
        <w:rPr>
          <w:noProof/>
          <w:color w:val="000000"/>
          <w:sz w:val="20"/>
          <w:bdr w:val="none" w:sz="0" w:space="0" w:color="auto" w:frame="1"/>
        </w:rPr>
        <w:drawing>
          <wp:inline distT="0" distB="0" distL="0" distR="0" wp14:anchorId="516D6863" wp14:editId="13691946">
            <wp:extent cx="5212080" cy="2946830"/>
            <wp:effectExtent l="0" t="0" r="7620" b="6350"/>
            <wp:docPr id="4" name="Picture 4" descr="https://ars.els-cdn.com/content/image/1-s2.0-S0160412021001689-ga1_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s.els-cdn.com/content/image/1-s2.0-S0160412021001689-ga1_lr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2080" cy="2946830"/>
                    </a:xfrm>
                    <a:prstGeom prst="rect">
                      <a:avLst/>
                    </a:prstGeom>
                    <a:noFill/>
                    <a:ln>
                      <a:noFill/>
                    </a:ln>
                  </pic:spPr>
                </pic:pic>
              </a:graphicData>
            </a:graphic>
          </wp:inline>
        </w:drawing>
      </w:r>
    </w:p>
    <w:p w14:paraId="4349624F" w14:textId="77777777" w:rsidR="00E8547C" w:rsidRDefault="00E8547C" w:rsidP="00441B6F">
      <w:pPr>
        <w:pStyle w:val="AcknHead"/>
        <w:spacing w:after="0"/>
        <w:jc w:val="both"/>
        <w:rPr>
          <w:rFonts w:ascii="Arial" w:hAnsi="Arial" w:cs="Arial"/>
        </w:rPr>
      </w:pPr>
    </w:p>
    <w:p w14:paraId="714D3EC6" w14:textId="77777777" w:rsidR="00FA63B0" w:rsidRPr="00FA63B0" w:rsidRDefault="00FA63B0" w:rsidP="002327F0">
      <w:pPr>
        <w:rPr>
          <w:rFonts w:ascii="Times New Roman" w:hAnsi="Times New Roman"/>
          <w:sz w:val="24"/>
          <w:szCs w:val="24"/>
        </w:rPr>
      </w:pPr>
      <w:r w:rsidRPr="00FA63B0">
        <w:rPr>
          <w:rFonts w:ascii="Times New Roman" w:hAnsi="Times New Roman"/>
          <w:sz w:val="24"/>
          <w:szCs w:val="24"/>
        </w:rPr>
        <w:t>Fig</w:t>
      </w:r>
      <w:r w:rsidR="002327F0">
        <w:rPr>
          <w:rFonts w:ascii="Times New Roman" w:hAnsi="Times New Roman"/>
          <w:sz w:val="24"/>
          <w:szCs w:val="24"/>
        </w:rPr>
        <w:t>.</w:t>
      </w:r>
      <w:r w:rsidRPr="00FA63B0">
        <w:rPr>
          <w:rFonts w:ascii="Times New Roman" w:hAnsi="Times New Roman"/>
          <w:sz w:val="24"/>
          <w:szCs w:val="24"/>
        </w:rPr>
        <w:t>1. Worldwide Presence and Environmental Hazard of Anticancer Pharmaceuticals in Aquatic Ecosystems</w:t>
      </w:r>
    </w:p>
    <w:p w14:paraId="3B6E161C" w14:textId="77777777" w:rsidR="00FA63B0" w:rsidRPr="00FA63B0" w:rsidRDefault="00FA63B0" w:rsidP="00FA63B0">
      <w:pPr>
        <w:pStyle w:val="NormalWeb"/>
        <w:spacing w:before="280" w:beforeAutospacing="0" w:after="280" w:afterAutospacing="0"/>
        <w:jc w:val="both"/>
        <w:rPr>
          <w:rFonts w:ascii="Arial" w:hAnsi="Arial" w:cs="Arial"/>
          <w:b/>
          <w:caps/>
          <w:sz w:val="22"/>
          <w:szCs w:val="20"/>
        </w:rPr>
      </w:pPr>
      <w:r w:rsidRPr="00FA63B0">
        <w:rPr>
          <w:rFonts w:ascii="Arial" w:hAnsi="Arial" w:cs="Arial"/>
          <w:b/>
          <w:caps/>
          <w:sz w:val="22"/>
          <w:szCs w:val="20"/>
        </w:rPr>
        <w:t>2. Cytotoxic Substance</w:t>
      </w:r>
    </w:p>
    <w:p w14:paraId="09530478" w14:textId="77777777" w:rsidR="00FA63B0" w:rsidRDefault="00FA63B0" w:rsidP="00FA63B0">
      <w:pPr>
        <w:pStyle w:val="NormalWeb"/>
        <w:spacing w:before="280" w:beforeAutospacing="0" w:after="280" w:afterAutospacing="0"/>
        <w:jc w:val="both"/>
        <w:rPr>
          <w:rFonts w:ascii="Arial" w:hAnsi="Arial" w:cs="Arial"/>
          <w:b/>
          <w:caps/>
          <w:sz w:val="22"/>
          <w:szCs w:val="20"/>
        </w:rPr>
      </w:pPr>
      <w:r w:rsidRPr="00FA63B0">
        <w:rPr>
          <w:rFonts w:ascii="Arial" w:hAnsi="Arial" w:cs="Arial"/>
          <w:b/>
          <w:caps/>
          <w:sz w:val="22"/>
          <w:szCs w:val="20"/>
        </w:rPr>
        <w:lastRenderedPageBreak/>
        <w:t>2.1. Alkylating Drugs</w:t>
      </w:r>
    </w:p>
    <w:p w14:paraId="50DF3055" w14:textId="77777777" w:rsidR="00FA63B0" w:rsidRPr="00FA63B0" w:rsidRDefault="00FA63B0" w:rsidP="00FA63B0">
      <w:pPr>
        <w:pStyle w:val="NormalWeb"/>
        <w:spacing w:before="280" w:after="280"/>
        <w:jc w:val="both"/>
        <w:rPr>
          <w:rFonts w:ascii="Arial" w:hAnsi="Arial" w:cs="Arial"/>
          <w:sz w:val="20"/>
          <w:szCs w:val="20"/>
        </w:rPr>
      </w:pPr>
      <w:r w:rsidRPr="00FA63B0">
        <w:rPr>
          <w:rFonts w:ascii="Arial" w:hAnsi="Arial" w:cs="Arial"/>
          <w:sz w:val="20"/>
          <w:szCs w:val="20"/>
        </w:rPr>
        <w:t>Alkylating agents are one of the oldest anticancer chemotherapies used (Gallenzi et al., 2025; A. Mahmood et al., 2025). Alkyl carbon groups in the structure of these agents can often bind to various biological molecules, particularly the aromatic nitrogen and exocyclic oxygen of DNA bases, altering their structure in a way that potentially disrupts cellular functions, especially in rapidly dividing cancer cells. Additionally, they pose risks of secondary malignancies due to their mutagenic potential and the formation of DNA adducts, which can lead to several downstream cytotoxic phenomena. These include reduced DNA synthesis by hindering the progression of replication forks, the formation of cross-links that prevent DNA cleavage for synthesis or transcription, as well as chromosomal aberrations and genetic mutations in cells (Al-Jumaili et al., 2025</w:t>
      </w:r>
      <w:proofErr w:type="gramStart"/>
      <w:r w:rsidR="00CB7F5D">
        <w:rPr>
          <w:rFonts w:ascii="Arial" w:hAnsi="Arial" w:cs="Arial"/>
          <w:sz w:val="20"/>
          <w:szCs w:val="20"/>
        </w:rPr>
        <w:t xml:space="preserve">; </w:t>
      </w:r>
      <w:r w:rsidRPr="00FA63B0">
        <w:rPr>
          <w:rFonts w:ascii="Arial" w:hAnsi="Arial" w:cs="Arial"/>
          <w:sz w:val="20"/>
          <w:szCs w:val="20"/>
        </w:rPr>
        <w:t>)</w:t>
      </w:r>
      <w:proofErr w:type="gramEnd"/>
      <w:r w:rsidRPr="00FA63B0">
        <w:rPr>
          <w:rFonts w:ascii="Arial" w:hAnsi="Arial" w:cs="Arial"/>
          <w:sz w:val="20"/>
          <w:szCs w:val="20"/>
        </w:rPr>
        <w:t>.</w:t>
      </w:r>
    </w:p>
    <w:p w14:paraId="1D4E0453" w14:textId="77777777" w:rsidR="00FA63B0" w:rsidRPr="00FA63B0" w:rsidRDefault="00FA63B0" w:rsidP="00FA63B0">
      <w:pPr>
        <w:pStyle w:val="NormalWeb"/>
        <w:spacing w:before="280" w:beforeAutospacing="0" w:after="280" w:afterAutospacing="0"/>
        <w:jc w:val="both"/>
        <w:rPr>
          <w:rFonts w:ascii="Arial" w:hAnsi="Arial" w:cs="Arial"/>
          <w:sz w:val="20"/>
          <w:szCs w:val="20"/>
        </w:rPr>
      </w:pPr>
      <w:r w:rsidRPr="00FA63B0">
        <w:rPr>
          <w:rFonts w:ascii="Arial" w:hAnsi="Arial" w:cs="Arial"/>
          <w:sz w:val="20"/>
          <w:szCs w:val="20"/>
        </w:rPr>
        <w:t>Among the alkylating drugs, cyclophosphamide (CP) and ifosfamide (IF) are the most extensively investigated among all identified anticancer agents (Rajput &amp; Singh, 2025). Researchers estimated the concentrations of CP in clinic wastewater effluents to range from 0.2 ng/L to 22.1 g/L, with a discovery rate ranging from 8% to 100% (D. Li et al., 2021a; A. A. Mahmood et al., 2021). The reported concentrations of IF varied from 0.2 ng/L to 86.2 ng/L, exhibiting a detection rate ranging from 30% to 69.3% (Wang et al., 2022). The effluents of WWTPs contained 300 ng/L of CP, with detection recurrence rates ranging from 20% to 100%. The concentration of IF within the examined effluents of WWTPs was 2.9 µg/L to 12.5%. The persistence of these drugs in wastewater necessitates the use of advanced treatment technologies to mitigate their environmental impact (Rajput &amp; Singh, 2025; Sundararaman et al., 2022).</w:t>
      </w:r>
    </w:p>
    <w:p w14:paraId="550896A7" w14:textId="77777777" w:rsidR="00E8547C" w:rsidRDefault="00E8547C" w:rsidP="00441B6F">
      <w:pPr>
        <w:pStyle w:val="AcknHead"/>
        <w:spacing w:after="0"/>
        <w:jc w:val="both"/>
        <w:rPr>
          <w:rFonts w:ascii="Arial" w:hAnsi="Arial" w:cs="Arial"/>
        </w:rPr>
      </w:pPr>
    </w:p>
    <w:p w14:paraId="45886ED7" w14:textId="77777777" w:rsidR="00FA63B0" w:rsidRPr="00FA63B0" w:rsidRDefault="00FA63B0" w:rsidP="00FA63B0">
      <w:pPr>
        <w:pStyle w:val="NormalWeb"/>
        <w:spacing w:before="280" w:beforeAutospacing="0" w:after="280" w:afterAutospacing="0"/>
        <w:jc w:val="both"/>
        <w:rPr>
          <w:rFonts w:ascii="Arial" w:hAnsi="Arial" w:cs="Arial"/>
          <w:b/>
          <w:caps/>
          <w:sz w:val="22"/>
          <w:szCs w:val="20"/>
        </w:rPr>
      </w:pPr>
      <w:r w:rsidRPr="00FA63B0">
        <w:rPr>
          <w:rFonts w:ascii="Arial" w:hAnsi="Arial" w:cs="Arial"/>
          <w:b/>
          <w:caps/>
          <w:sz w:val="22"/>
          <w:szCs w:val="20"/>
        </w:rPr>
        <w:t> 2.2. Antimetabolites</w:t>
      </w:r>
    </w:p>
    <w:p w14:paraId="1E1116B5" w14:textId="77777777" w:rsidR="00FA63B0" w:rsidRPr="00FA63B0" w:rsidRDefault="00FA63B0" w:rsidP="00FA63B0">
      <w:pPr>
        <w:pStyle w:val="NormalWeb"/>
        <w:spacing w:before="280" w:after="280"/>
        <w:jc w:val="both"/>
        <w:rPr>
          <w:rFonts w:ascii="Arial" w:hAnsi="Arial" w:cs="Arial"/>
          <w:sz w:val="20"/>
          <w:szCs w:val="20"/>
        </w:rPr>
      </w:pPr>
      <w:r w:rsidRPr="00FA63B0">
        <w:rPr>
          <w:rFonts w:ascii="Arial" w:hAnsi="Arial" w:cs="Arial"/>
          <w:sz w:val="20"/>
          <w:szCs w:val="20"/>
        </w:rPr>
        <w:t>They disrupt the growth and division of cells by slowing down the process of DNA replication, which is crucial for rapidly growing cancer cells, especially during a specific stage of the cell cycle. Some examples include methotrexate, fludarabine, cytarabine, 5-fluorouracil, tegafur, gemcitabine, and capecitabine (Lee et al., 2024).</w:t>
      </w:r>
    </w:p>
    <w:p w14:paraId="10A0E71D" w14:textId="77777777" w:rsidR="00FA63B0" w:rsidRPr="00FA63B0" w:rsidRDefault="00FA63B0" w:rsidP="00FA63B0">
      <w:pPr>
        <w:pStyle w:val="NormalWeb"/>
        <w:spacing w:before="280" w:after="280"/>
        <w:jc w:val="both"/>
        <w:rPr>
          <w:rFonts w:ascii="Arial" w:hAnsi="Arial" w:cs="Arial"/>
          <w:sz w:val="20"/>
          <w:szCs w:val="20"/>
        </w:rPr>
      </w:pPr>
      <w:r w:rsidRPr="00FA63B0">
        <w:rPr>
          <w:rFonts w:ascii="Arial" w:hAnsi="Arial" w:cs="Arial"/>
          <w:sz w:val="20"/>
          <w:szCs w:val="20"/>
        </w:rPr>
        <w:t>The most commonly detected antimetabolites in hospital wastewater in low concentrations are MTX, 5-FU, and CAP (</w:t>
      </w:r>
      <w:proofErr w:type="spellStart"/>
      <w:r w:rsidRPr="00FA63B0">
        <w:rPr>
          <w:rFonts w:ascii="Arial" w:hAnsi="Arial" w:cs="Arial"/>
          <w:sz w:val="20"/>
          <w:szCs w:val="20"/>
        </w:rPr>
        <w:t>Sengar</w:t>
      </w:r>
      <w:proofErr w:type="spellEnd"/>
      <w:r w:rsidRPr="00FA63B0">
        <w:rPr>
          <w:rFonts w:ascii="Arial" w:hAnsi="Arial" w:cs="Arial"/>
          <w:sz w:val="20"/>
          <w:szCs w:val="20"/>
        </w:rPr>
        <w:t xml:space="preserve"> et al., 2025a). Their detection rates were between 23.1% and 100% for MTX, between 50% and 100% for 5-FU, and 6.7% to 60% for CAP. The highest concentration (124 µg/L) of 5-FU was found in the wastewater of a hospital in Austria. MTX and CAP detected concentrations in Spain were 4.8 µg/L and 1.75 µg/L, respectively. In 2018, MTX appeared to be the most frequently detected molecule, with a concentration ranging from less than 1.8 to 53 nanograms per liter of wastewater. Spanish wastewater revealed CAP as the most commonly detected antimetabolite (75%) with a high concentration (158 ng/L). However, the study found that GEM, with a concentration of 88.4 nanograms per liter of wastewater, was the least frequently detected antimetabolite (8.3%). 5-FU concentration in the </w:t>
      </w:r>
      <w:proofErr w:type="spellStart"/>
      <w:r w:rsidRPr="00FA63B0">
        <w:rPr>
          <w:rFonts w:ascii="Arial" w:hAnsi="Arial" w:cs="Arial"/>
          <w:sz w:val="20"/>
          <w:szCs w:val="20"/>
        </w:rPr>
        <w:t>Gaoping</w:t>
      </w:r>
      <w:proofErr w:type="spellEnd"/>
      <w:r w:rsidRPr="00FA63B0">
        <w:rPr>
          <w:rFonts w:ascii="Arial" w:hAnsi="Arial" w:cs="Arial"/>
          <w:sz w:val="20"/>
          <w:szCs w:val="20"/>
        </w:rPr>
        <w:t xml:space="preserve"> River in Taiwan was about 160 ng/L. The detected concentration of TEG was 56 ng/L, and the detection rate was 25% in the Yodo River area in Japan. A substance, called CYT, was also detected at a concentration of 13 nanograms per liter and a 100% frequency rate in the Guadalquivir River in Spain (Lee et al., 2024; D. Li et al., 2021b; A. Mahmood et al., 2025). The general detection of antimetabolites in aquatic environments underscores their environmental persistence and the need for improved wastewater treatment strategies (</w:t>
      </w:r>
      <w:proofErr w:type="spellStart"/>
      <w:r w:rsidRPr="00FA63B0">
        <w:rPr>
          <w:rFonts w:ascii="Arial" w:hAnsi="Arial" w:cs="Arial"/>
          <w:sz w:val="20"/>
          <w:szCs w:val="20"/>
        </w:rPr>
        <w:t>Verlicchi</w:t>
      </w:r>
      <w:proofErr w:type="spellEnd"/>
      <w:r w:rsidRPr="00FA63B0">
        <w:rPr>
          <w:rFonts w:ascii="Arial" w:hAnsi="Arial" w:cs="Arial"/>
          <w:sz w:val="20"/>
          <w:szCs w:val="20"/>
        </w:rPr>
        <w:t xml:space="preserve"> et al., 2012).</w:t>
      </w:r>
    </w:p>
    <w:p w14:paraId="07CEF059" w14:textId="77777777" w:rsidR="00FA63B0" w:rsidRDefault="00FA63B0" w:rsidP="00FA63B0">
      <w:pPr>
        <w:pStyle w:val="NormalWeb"/>
        <w:spacing w:before="280" w:beforeAutospacing="0" w:after="280" w:afterAutospacing="0"/>
        <w:jc w:val="both"/>
      </w:pPr>
      <w:r>
        <w:rPr>
          <w:color w:val="000000"/>
          <w:sz w:val="20"/>
          <w:szCs w:val="20"/>
        </w:rPr>
        <w:lastRenderedPageBreak/>
        <w:t> </w:t>
      </w:r>
    </w:p>
    <w:p w14:paraId="28E72B46" w14:textId="77777777" w:rsidR="00FA63B0" w:rsidRPr="00FA63B0" w:rsidRDefault="00FA63B0" w:rsidP="00FA63B0">
      <w:pPr>
        <w:pStyle w:val="NormalWeb"/>
        <w:spacing w:before="280" w:beforeAutospacing="0" w:after="280" w:afterAutospacing="0"/>
        <w:jc w:val="both"/>
        <w:rPr>
          <w:rFonts w:ascii="Arial" w:hAnsi="Arial" w:cs="Arial"/>
          <w:b/>
          <w:caps/>
          <w:sz w:val="22"/>
          <w:szCs w:val="20"/>
        </w:rPr>
      </w:pPr>
      <w:r w:rsidRPr="00FA63B0">
        <w:rPr>
          <w:rFonts w:ascii="Arial" w:hAnsi="Arial" w:cs="Arial"/>
          <w:b/>
          <w:caps/>
          <w:sz w:val="22"/>
          <w:szCs w:val="20"/>
        </w:rPr>
        <w:t>2.3. Alkaloids from Plants</w:t>
      </w:r>
    </w:p>
    <w:p w14:paraId="4773E4F6" w14:textId="77777777" w:rsidR="00FA63B0" w:rsidRPr="00FA63B0" w:rsidRDefault="00FA63B0" w:rsidP="00FA63B0">
      <w:pPr>
        <w:pStyle w:val="NormalWeb"/>
        <w:spacing w:before="280" w:after="280"/>
        <w:jc w:val="both"/>
        <w:rPr>
          <w:rFonts w:ascii="Arial" w:hAnsi="Arial" w:cs="Arial"/>
          <w:sz w:val="20"/>
          <w:szCs w:val="20"/>
        </w:rPr>
      </w:pPr>
      <w:r w:rsidRPr="00FA63B0">
        <w:rPr>
          <w:rFonts w:ascii="Arial" w:hAnsi="Arial" w:cs="Arial"/>
          <w:sz w:val="20"/>
          <w:szCs w:val="20"/>
        </w:rPr>
        <w:t xml:space="preserve">They are plant-derived chemical agents known for their potential anticancer properties (Hoang et al., 2024). They fall into four groups: vinca alkaloids, epipodophyllotoxin lignans, </w:t>
      </w:r>
      <w:proofErr w:type="spellStart"/>
      <w:r w:rsidRPr="00FA63B0">
        <w:rPr>
          <w:rFonts w:ascii="Arial" w:hAnsi="Arial" w:cs="Arial"/>
          <w:sz w:val="20"/>
          <w:szCs w:val="20"/>
        </w:rPr>
        <w:t>taxane</w:t>
      </w:r>
      <w:proofErr w:type="spellEnd"/>
      <w:r w:rsidRPr="00FA63B0">
        <w:rPr>
          <w:rFonts w:ascii="Arial" w:hAnsi="Arial" w:cs="Arial"/>
          <w:sz w:val="20"/>
          <w:szCs w:val="20"/>
        </w:rPr>
        <w:t xml:space="preserve"> diterpenoids, and </w:t>
      </w:r>
      <w:proofErr w:type="spellStart"/>
      <w:r w:rsidRPr="00FA63B0">
        <w:rPr>
          <w:rFonts w:ascii="Arial" w:hAnsi="Arial" w:cs="Arial"/>
          <w:sz w:val="20"/>
          <w:szCs w:val="20"/>
        </w:rPr>
        <w:t>camptothecin</w:t>
      </w:r>
      <w:proofErr w:type="spellEnd"/>
      <w:r w:rsidRPr="00FA63B0">
        <w:rPr>
          <w:rFonts w:ascii="Arial" w:hAnsi="Arial" w:cs="Arial"/>
          <w:sz w:val="20"/>
          <w:szCs w:val="20"/>
        </w:rPr>
        <w:t xml:space="preserve"> quinoline derivatives. Primarily, they can inhibit DNA replication and protein synthesis in cancer cells, inducing apoptosis (Hoang et al., 2024; </w:t>
      </w:r>
      <w:proofErr w:type="spellStart"/>
      <w:r w:rsidRPr="00FA63B0">
        <w:rPr>
          <w:rFonts w:ascii="Arial" w:hAnsi="Arial" w:cs="Arial"/>
          <w:sz w:val="20"/>
          <w:szCs w:val="20"/>
        </w:rPr>
        <w:t>Verlicchi</w:t>
      </w:r>
      <w:proofErr w:type="spellEnd"/>
      <w:r w:rsidRPr="00FA63B0">
        <w:rPr>
          <w:rFonts w:ascii="Arial" w:hAnsi="Arial" w:cs="Arial"/>
          <w:sz w:val="20"/>
          <w:szCs w:val="20"/>
        </w:rPr>
        <w:t xml:space="preserve"> et al., 2012). Their natural origin often makes them less toxic to normal cells compared to synthetic drugs, but they can still cause significant side effects due to their potent mechanisms of action (Hussain et al., 2025).</w:t>
      </w:r>
    </w:p>
    <w:p w14:paraId="4423849D" w14:textId="77777777" w:rsidR="00FA63B0" w:rsidRPr="00FA63B0" w:rsidRDefault="00FA63B0" w:rsidP="00FA63B0">
      <w:pPr>
        <w:pStyle w:val="NormalWeb"/>
        <w:spacing w:before="280" w:after="280"/>
        <w:jc w:val="both"/>
        <w:rPr>
          <w:rFonts w:ascii="Arial" w:hAnsi="Arial" w:cs="Arial"/>
          <w:sz w:val="20"/>
          <w:szCs w:val="20"/>
        </w:rPr>
      </w:pPr>
      <w:r w:rsidRPr="00FA63B0">
        <w:rPr>
          <w:rFonts w:ascii="Arial" w:hAnsi="Arial" w:cs="Arial"/>
          <w:sz w:val="20"/>
          <w:szCs w:val="20"/>
        </w:rPr>
        <w:t>The most frequently reported alkaloids in wastewater are vincristine, vinorelbine, etoposide, paclitaxel, and docetaxel (</w:t>
      </w:r>
      <w:proofErr w:type="spellStart"/>
      <w:r w:rsidRPr="00FA63B0">
        <w:rPr>
          <w:rFonts w:ascii="Arial" w:hAnsi="Arial" w:cs="Arial"/>
          <w:sz w:val="20"/>
          <w:szCs w:val="20"/>
        </w:rPr>
        <w:t>Sengar</w:t>
      </w:r>
      <w:proofErr w:type="spellEnd"/>
      <w:r w:rsidRPr="00FA63B0">
        <w:rPr>
          <w:rFonts w:ascii="Arial" w:hAnsi="Arial" w:cs="Arial"/>
          <w:sz w:val="20"/>
          <w:szCs w:val="20"/>
        </w:rPr>
        <w:t xml:space="preserve"> et al., 2025b). Some hospitals found the highest concentration of ETO, 714 nanograms per liter, with a detection rate of 66.7% in their wastewater. </w:t>
      </w:r>
      <w:proofErr w:type="gramStart"/>
      <w:r w:rsidRPr="00FA63B0">
        <w:rPr>
          <w:rFonts w:ascii="Arial" w:hAnsi="Arial" w:cs="Arial"/>
          <w:sz w:val="20"/>
          <w:szCs w:val="20"/>
        </w:rPr>
        <w:t>Meanwhile,  VINC</w:t>
      </w:r>
      <w:proofErr w:type="gramEnd"/>
      <w:r w:rsidRPr="00FA63B0">
        <w:rPr>
          <w:rFonts w:ascii="Arial" w:hAnsi="Arial" w:cs="Arial"/>
          <w:sz w:val="20"/>
          <w:szCs w:val="20"/>
        </w:rPr>
        <w:t xml:space="preserve">, PAC, and DOC concentrations in some hospital wastewaters were 49 ng/L, 100 ng/L, and 97.7 ng/L, respectively, according to a study (Asselin-Labat et al., 2025; </w:t>
      </w:r>
      <w:proofErr w:type="spellStart"/>
      <w:r w:rsidRPr="00FA63B0">
        <w:rPr>
          <w:rFonts w:ascii="Arial" w:hAnsi="Arial" w:cs="Arial"/>
          <w:sz w:val="20"/>
          <w:szCs w:val="20"/>
        </w:rPr>
        <w:t>Sernita</w:t>
      </w:r>
      <w:proofErr w:type="spellEnd"/>
      <w:r w:rsidRPr="00FA63B0">
        <w:rPr>
          <w:rFonts w:ascii="Arial" w:hAnsi="Arial" w:cs="Arial"/>
          <w:sz w:val="20"/>
          <w:szCs w:val="20"/>
        </w:rPr>
        <w:t xml:space="preserve"> et al., 2025). DOC, ETO, and VINC have been detected in the sewage at concentrations of 175.1 ng/L, 83 ng/L, and 22.9 ng/L. VINO levels were 170 ng/L and 4 ng/L in both wastewater and surface water, respectively. The presence of these plant-derived alkaloids in water systems illustrates the value of monitoring natural compounds alongside synthetic drugs in environmental risk assessments (Asselin-Labat et al., 2025).</w:t>
      </w:r>
    </w:p>
    <w:p w14:paraId="21A34D4F" w14:textId="77777777" w:rsidR="00FA63B0" w:rsidRDefault="00FA63B0" w:rsidP="00FA63B0">
      <w:pPr>
        <w:pStyle w:val="NormalWeb"/>
        <w:spacing w:before="280" w:beforeAutospacing="0" w:after="280" w:afterAutospacing="0"/>
        <w:jc w:val="both"/>
      </w:pPr>
      <w:r>
        <w:rPr>
          <w:color w:val="000000"/>
          <w:sz w:val="20"/>
          <w:szCs w:val="20"/>
        </w:rPr>
        <w:t> </w:t>
      </w:r>
    </w:p>
    <w:p w14:paraId="10D9941D" w14:textId="77777777" w:rsidR="00FA63B0" w:rsidRPr="00FA63B0" w:rsidRDefault="00FA63B0" w:rsidP="00FA63B0">
      <w:pPr>
        <w:pStyle w:val="NormalWeb"/>
        <w:spacing w:before="280" w:beforeAutospacing="0" w:after="280" w:afterAutospacing="0"/>
        <w:jc w:val="both"/>
        <w:rPr>
          <w:rFonts w:ascii="Arial" w:hAnsi="Arial" w:cs="Arial"/>
          <w:b/>
          <w:caps/>
          <w:sz w:val="22"/>
          <w:szCs w:val="20"/>
        </w:rPr>
      </w:pPr>
      <w:r w:rsidRPr="00FA63B0">
        <w:rPr>
          <w:rFonts w:ascii="Arial" w:hAnsi="Arial" w:cs="Arial"/>
          <w:b/>
          <w:caps/>
          <w:sz w:val="22"/>
          <w:szCs w:val="20"/>
        </w:rPr>
        <w:t>2.4. Platinum Complexes</w:t>
      </w:r>
    </w:p>
    <w:p w14:paraId="0613C9CC" w14:textId="77777777" w:rsidR="00FA63B0" w:rsidRPr="00FA63B0" w:rsidRDefault="00FA63B0" w:rsidP="00FA63B0">
      <w:pPr>
        <w:pStyle w:val="NormalWeb"/>
        <w:spacing w:before="280" w:after="280"/>
        <w:jc w:val="both"/>
        <w:rPr>
          <w:rFonts w:ascii="Arial" w:hAnsi="Arial" w:cs="Arial"/>
          <w:sz w:val="20"/>
          <w:szCs w:val="20"/>
        </w:rPr>
      </w:pPr>
      <w:r w:rsidRPr="00FA63B0">
        <w:rPr>
          <w:rFonts w:ascii="Arial" w:hAnsi="Arial" w:cs="Arial"/>
          <w:sz w:val="20"/>
          <w:szCs w:val="20"/>
        </w:rPr>
        <w:t xml:space="preserve">Platinum-based agents (cisplatin, carboplatin, and oxaliplatin) disrupt the interactions between DNA strands and between DNA and proteins in cancer cells. A study conducted in Iran found that the detection rate of platinum complexes in hospital wastewater is 100% at a concentration of 762 µg/L. However, the potential for platinum accumulation in aquatic organisms raises concerns about long-term ecological effects (Y. Li et al., 2025; </w:t>
      </w:r>
      <w:proofErr w:type="spellStart"/>
      <w:r w:rsidRPr="00FA63B0">
        <w:rPr>
          <w:rFonts w:ascii="Arial" w:hAnsi="Arial" w:cs="Arial"/>
          <w:sz w:val="20"/>
          <w:szCs w:val="20"/>
        </w:rPr>
        <w:t>Zitvogel</w:t>
      </w:r>
      <w:proofErr w:type="spellEnd"/>
      <w:r w:rsidRPr="00FA63B0">
        <w:rPr>
          <w:rFonts w:ascii="Arial" w:hAnsi="Arial" w:cs="Arial"/>
          <w:sz w:val="20"/>
          <w:szCs w:val="20"/>
        </w:rPr>
        <w:t xml:space="preserve"> et al., 2008a).</w:t>
      </w:r>
    </w:p>
    <w:p w14:paraId="40313F7F" w14:textId="77777777" w:rsidR="00FA63B0" w:rsidRPr="00FA63B0" w:rsidRDefault="00FA63B0" w:rsidP="00FA63B0">
      <w:pPr>
        <w:pStyle w:val="NormalWeb"/>
        <w:spacing w:before="280" w:beforeAutospacing="0" w:after="280" w:afterAutospacing="0"/>
        <w:jc w:val="both"/>
        <w:rPr>
          <w:rFonts w:ascii="Arial" w:hAnsi="Arial" w:cs="Arial"/>
          <w:b/>
          <w:caps/>
          <w:sz w:val="22"/>
          <w:szCs w:val="20"/>
        </w:rPr>
      </w:pPr>
      <w:r w:rsidRPr="00FA63B0">
        <w:rPr>
          <w:rFonts w:ascii="Arial" w:hAnsi="Arial" w:cs="Arial"/>
          <w:b/>
          <w:caps/>
          <w:sz w:val="22"/>
          <w:szCs w:val="20"/>
        </w:rPr>
        <w:t>2.5. Protein Kinase Inhibitors</w:t>
      </w:r>
    </w:p>
    <w:p w14:paraId="3C5DC14E" w14:textId="77777777" w:rsidR="00FA63B0" w:rsidRPr="00FA63B0" w:rsidRDefault="00FA63B0" w:rsidP="00FA63B0">
      <w:pPr>
        <w:pStyle w:val="NormalWeb"/>
        <w:spacing w:before="280" w:after="280"/>
        <w:jc w:val="both"/>
        <w:rPr>
          <w:rFonts w:ascii="Arial" w:hAnsi="Arial" w:cs="Arial"/>
          <w:sz w:val="20"/>
          <w:szCs w:val="20"/>
        </w:rPr>
      </w:pPr>
      <w:r w:rsidRPr="00FA63B0">
        <w:rPr>
          <w:rFonts w:ascii="Arial" w:hAnsi="Arial" w:cs="Arial"/>
          <w:sz w:val="20"/>
          <w:szCs w:val="20"/>
        </w:rPr>
        <w:t>Protein kinase inhibitors block the signaling pathways of proteins within cells (D. Li et al., 2021c). The most commonly used protein kinase inhibitors are Erlotinib (ERL) and Irinotecan (IRI) (</w:t>
      </w:r>
      <w:proofErr w:type="spellStart"/>
      <w:r w:rsidRPr="00FA63B0">
        <w:rPr>
          <w:rFonts w:ascii="Arial" w:hAnsi="Arial" w:cs="Arial"/>
          <w:sz w:val="20"/>
          <w:szCs w:val="20"/>
        </w:rPr>
        <w:t>Franquet-Griell</w:t>
      </w:r>
      <w:proofErr w:type="spellEnd"/>
      <w:r w:rsidRPr="00FA63B0">
        <w:rPr>
          <w:rFonts w:ascii="Arial" w:hAnsi="Arial" w:cs="Arial"/>
          <w:sz w:val="20"/>
          <w:szCs w:val="20"/>
        </w:rPr>
        <w:t xml:space="preserve"> et al., 2017; </w:t>
      </w:r>
      <w:proofErr w:type="spellStart"/>
      <w:r w:rsidRPr="00FA63B0">
        <w:rPr>
          <w:rFonts w:ascii="Arial" w:hAnsi="Arial" w:cs="Arial"/>
          <w:sz w:val="20"/>
          <w:szCs w:val="20"/>
        </w:rPr>
        <w:t>Zitvogel</w:t>
      </w:r>
      <w:proofErr w:type="spellEnd"/>
      <w:r w:rsidRPr="00FA63B0">
        <w:rPr>
          <w:rFonts w:ascii="Arial" w:hAnsi="Arial" w:cs="Arial"/>
          <w:sz w:val="20"/>
          <w:szCs w:val="20"/>
        </w:rPr>
        <w:t xml:space="preserve"> et al., 2008b). </w:t>
      </w:r>
    </w:p>
    <w:p w14:paraId="73CDA2D4" w14:textId="77777777" w:rsidR="00FA63B0" w:rsidRPr="00FA63B0" w:rsidRDefault="00FA63B0" w:rsidP="00FA63B0">
      <w:pPr>
        <w:pStyle w:val="NormalWeb"/>
        <w:spacing w:before="280" w:after="280"/>
        <w:jc w:val="both"/>
        <w:rPr>
          <w:rFonts w:ascii="Arial" w:hAnsi="Arial" w:cs="Arial"/>
          <w:sz w:val="20"/>
          <w:szCs w:val="20"/>
        </w:rPr>
      </w:pPr>
      <w:r w:rsidRPr="00FA63B0">
        <w:rPr>
          <w:rFonts w:ascii="Arial" w:hAnsi="Arial" w:cs="Arial"/>
          <w:sz w:val="20"/>
          <w:szCs w:val="20"/>
        </w:rPr>
        <w:t xml:space="preserve">The IRI detection rate in Spanish hospital wastewater </w:t>
      </w:r>
      <w:proofErr w:type="gramStart"/>
      <w:r w:rsidRPr="00FA63B0">
        <w:rPr>
          <w:rFonts w:ascii="Arial" w:hAnsi="Arial" w:cs="Arial"/>
          <w:sz w:val="20"/>
          <w:szCs w:val="20"/>
        </w:rPr>
        <w:t>was  71.4</w:t>
      </w:r>
      <w:proofErr w:type="gramEnd"/>
      <w:r w:rsidRPr="00FA63B0">
        <w:rPr>
          <w:rFonts w:ascii="Arial" w:hAnsi="Arial" w:cs="Arial"/>
          <w:sz w:val="20"/>
          <w:szCs w:val="20"/>
        </w:rPr>
        <w:t xml:space="preserve">% at a concentration of 3.4 µg/L (D. Li et al., 2021c; </w:t>
      </w:r>
      <w:proofErr w:type="spellStart"/>
      <w:r w:rsidRPr="00FA63B0">
        <w:rPr>
          <w:rFonts w:ascii="Arial" w:hAnsi="Arial" w:cs="Arial"/>
          <w:sz w:val="20"/>
          <w:szCs w:val="20"/>
        </w:rPr>
        <w:t>Zitvogel</w:t>
      </w:r>
      <w:proofErr w:type="spellEnd"/>
      <w:r w:rsidRPr="00FA63B0">
        <w:rPr>
          <w:rFonts w:ascii="Arial" w:hAnsi="Arial" w:cs="Arial"/>
          <w:sz w:val="20"/>
          <w:szCs w:val="20"/>
        </w:rPr>
        <w:t xml:space="preserve"> et al., 2008b). It was reported that when the concentration of ERL and IRI is less than 10 nanograms per liter of wastewater, it can be removed by wastewater treatment plants (D. Li et al., 2021c). The low concentrations of these inhibitors in treated wastewater suggest that current treatment approaches are somewhat practical, but further optimization of the methods used is required to ensure their complete removal (Eggen et al., 2014).</w:t>
      </w:r>
    </w:p>
    <w:p w14:paraId="32EC8286" w14:textId="77777777" w:rsidR="00FA63B0" w:rsidRPr="00FA63B0" w:rsidRDefault="00FA63B0" w:rsidP="00FA63B0">
      <w:pPr>
        <w:pStyle w:val="NormalWeb"/>
        <w:spacing w:before="280" w:beforeAutospacing="0" w:after="280" w:afterAutospacing="0"/>
        <w:jc w:val="both"/>
        <w:rPr>
          <w:rFonts w:ascii="Arial" w:hAnsi="Arial" w:cs="Arial"/>
          <w:b/>
          <w:caps/>
          <w:sz w:val="22"/>
          <w:szCs w:val="20"/>
        </w:rPr>
      </w:pPr>
      <w:r w:rsidRPr="00FA63B0">
        <w:rPr>
          <w:rFonts w:ascii="Arial" w:hAnsi="Arial" w:cs="Arial"/>
          <w:b/>
          <w:caps/>
          <w:sz w:val="22"/>
          <w:szCs w:val="20"/>
        </w:rPr>
        <w:t>2.6. Immunosuppressants</w:t>
      </w:r>
    </w:p>
    <w:p w14:paraId="36580A8C" w14:textId="77777777" w:rsidR="00FA63B0" w:rsidRPr="00FA63B0" w:rsidRDefault="00FA63B0" w:rsidP="00FA63B0">
      <w:pPr>
        <w:pStyle w:val="NormalWeb"/>
        <w:spacing w:before="280" w:after="280"/>
        <w:jc w:val="both"/>
        <w:rPr>
          <w:rFonts w:ascii="Arial" w:hAnsi="Arial" w:cs="Arial"/>
          <w:sz w:val="20"/>
          <w:szCs w:val="20"/>
        </w:rPr>
      </w:pPr>
      <w:r w:rsidRPr="00FA63B0">
        <w:rPr>
          <w:rFonts w:ascii="Arial" w:hAnsi="Arial" w:cs="Arial"/>
          <w:sz w:val="20"/>
          <w:szCs w:val="20"/>
        </w:rPr>
        <w:lastRenderedPageBreak/>
        <w:t>Chemical agents known as immunosuppressant drugs suppress the immune system. They have several clinical applications, such as the treatment of some allergic reactions, the prevention of organ and tissue transplant rejection, and the treatment of some specific types of cancer to inhibit the autoimmune complications of cancer therapies and their direct anticancer activities, such as cell proliferation and blood vessel regeneration (</w:t>
      </w:r>
      <w:proofErr w:type="spellStart"/>
      <w:r w:rsidRPr="00FA63B0">
        <w:rPr>
          <w:rFonts w:ascii="Arial" w:hAnsi="Arial" w:cs="Arial"/>
          <w:sz w:val="20"/>
          <w:szCs w:val="20"/>
        </w:rPr>
        <w:t>Franquet-Griell</w:t>
      </w:r>
      <w:proofErr w:type="spellEnd"/>
      <w:r w:rsidRPr="00FA63B0">
        <w:rPr>
          <w:rFonts w:ascii="Arial" w:hAnsi="Arial" w:cs="Arial"/>
          <w:sz w:val="20"/>
          <w:szCs w:val="20"/>
        </w:rPr>
        <w:t xml:space="preserve"> et al., 2017; D. Li et al., 2021c). Azathioprine (AZA) and mycophenolic acid (MPA) are immunosuppressants and anticancer agents. The azathioprine (AZA) detection rate was 4.8%. In the </w:t>
      </w:r>
      <w:proofErr w:type="spellStart"/>
      <w:r w:rsidRPr="00FA63B0">
        <w:rPr>
          <w:rFonts w:ascii="Arial" w:hAnsi="Arial" w:cs="Arial"/>
          <w:sz w:val="20"/>
          <w:szCs w:val="20"/>
        </w:rPr>
        <w:t>Besos</w:t>
      </w:r>
      <w:proofErr w:type="spellEnd"/>
      <w:r w:rsidRPr="00FA63B0">
        <w:rPr>
          <w:rFonts w:ascii="Arial" w:hAnsi="Arial" w:cs="Arial"/>
          <w:sz w:val="20"/>
          <w:szCs w:val="20"/>
        </w:rPr>
        <w:t xml:space="preserve"> River, the detection rate of mycophenolic acid (MPA) reached 100% at a concentration of 656 ng/L (D. Li et al., 2021c; </w:t>
      </w:r>
      <w:proofErr w:type="spellStart"/>
      <w:r w:rsidRPr="00FA63B0">
        <w:rPr>
          <w:rFonts w:ascii="Arial" w:hAnsi="Arial" w:cs="Arial"/>
          <w:sz w:val="20"/>
          <w:szCs w:val="20"/>
        </w:rPr>
        <w:t>Zitvogel</w:t>
      </w:r>
      <w:proofErr w:type="spellEnd"/>
      <w:r w:rsidRPr="00FA63B0">
        <w:rPr>
          <w:rFonts w:ascii="Arial" w:hAnsi="Arial" w:cs="Arial"/>
          <w:sz w:val="20"/>
          <w:szCs w:val="20"/>
        </w:rPr>
        <w:t xml:space="preserve"> et al., 2008b). The presence of immunosuppressants in water systems poses a risk to aquatic life, as these compounds might disturb the immune systems of marine organisms (Zimmermann et al., 2017).</w:t>
      </w:r>
    </w:p>
    <w:p w14:paraId="6A997BB7" w14:textId="77777777" w:rsidR="00FA63B0" w:rsidRPr="00FA63B0" w:rsidRDefault="00FA63B0" w:rsidP="00FA63B0">
      <w:pPr>
        <w:pStyle w:val="NormalWeb"/>
        <w:spacing w:before="280" w:beforeAutospacing="0" w:after="280" w:afterAutospacing="0"/>
        <w:jc w:val="both"/>
        <w:rPr>
          <w:rFonts w:ascii="Arial" w:hAnsi="Arial" w:cs="Arial"/>
          <w:b/>
          <w:caps/>
          <w:sz w:val="22"/>
          <w:szCs w:val="20"/>
        </w:rPr>
      </w:pPr>
      <w:r w:rsidRPr="00FA63B0">
        <w:rPr>
          <w:rFonts w:ascii="Arial" w:hAnsi="Arial" w:cs="Arial"/>
          <w:b/>
          <w:caps/>
          <w:sz w:val="22"/>
          <w:szCs w:val="20"/>
        </w:rPr>
        <w:t>2.7. Endocrine Therapy Agents</w:t>
      </w:r>
    </w:p>
    <w:p w14:paraId="1D2C1A09" w14:textId="77777777" w:rsidR="00FA63B0" w:rsidRPr="00FA63B0" w:rsidRDefault="00FA63B0" w:rsidP="00FA63B0">
      <w:pPr>
        <w:pStyle w:val="NormalWeb"/>
        <w:spacing w:before="280" w:after="280"/>
        <w:jc w:val="both"/>
        <w:rPr>
          <w:rFonts w:ascii="Arial" w:hAnsi="Arial" w:cs="Arial"/>
          <w:sz w:val="20"/>
          <w:szCs w:val="20"/>
        </w:rPr>
      </w:pPr>
      <w:r w:rsidRPr="00FA63B0">
        <w:rPr>
          <w:rFonts w:ascii="Arial" w:hAnsi="Arial" w:cs="Arial"/>
          <w:sz w:val="20"/>
          <w:szCs w:val="20"/>
        </w:rPr>
        <w:t>Megestrol is considered one of the most common pollutants (1.3 micrograms/liter) in Spanish hospital wastewater (</w:t>
      </w:r>
      <w:proofErr w:type="spellStart"/>
      <w:r w:rsidRPr="00FA63B0">
        <w:rPr>
          <w:rFonts w:ascii="Arial" w:hAnsi="Arial" w:cs="Arial"/>
          <w:sz w:val="20"/>
          <w:szCs w:val="20"/>
        </w:rPr>
        <w:t>Zitvogel</w:t>
      </w:r>
      <w:proofErr w:type="spellEnd"/>
      <w:r w:rsidRPr="00FA63B0">
        <w:rPr>
          <w:rFonts w:ascii="Arial" w:hAnsi="Arial" w:cs="Arial"/>
          <w:sz w:val="20"/>
          <w:szCs w:val="20"/>
        </w:rPr>
        <w:t xml:space="preserve"> et al., 2008b). Researchers also detected tamoxifen (TMX) in 36.5% to 100% of the waste samples, with concentrations ranging from 4 to 170 nanograms per liter (D. Li et al., 2021c; </w:t>
      </w:r>
      <w:proofErr w:type="spellStart"/>
      <w:r w:rsidRPr="00FA63B0">
        <w:rPr>
          <w:rFonts w:ascii="Arial" w:hAnsi="Arial" w:cs="Arial"/>
          <w:sz w:val="20"/>
          <w:szCs w:val="20"/>
        </w:rPr>
        <w:t>Zitvogel</w:t>
      </w:r>
      <w:proofErr w:type="spellEnd"/>
      <w:r w:rsidRPr="00FA63B0">
        <w:rPr>
          <w:rFonts w:ascii="Arial" w:hAnsi="Arial" w:cs="Arial"/>
          <w:sz w:val="20"/>
          <w:szCs w:val="20"/>
        </w:rPr>
        <w:t xml:space="preserve"> et al., 2008b). In 2013, </w:t>
      </w:r>
      <w:proofErr w:type="spellStart"/>
      <w:r w:rsidRPr="00FA63B0">
        <w:rPr>
          <w:rFonts w:ascii="Arial" w:hAnsi="Arial" w:cs="Arial"/>
          <w:sz w:val="20"/>
          <w:szCs w:val="20"/>
        </w:rPr>
        <w:t>Isidori</w:t>
      </w:r>
      <w:proofErr w:type="spellEnd"/>
      <w:r w:rsidRPr="00FA63B0">
        <w:rPr>
          <w:rFonts w:ascii="Arial" w:hAnsi="Arial" w:cs="Arial"/>
          <w:sz w:val="20"/>
          <w:szCs w:val="20"/>
        </w:rPr>
        <w:t xml:space="preserve"> and his colleagues did a study. </w:t>
      </w:r>
      <w:proofErr w:type="spellStart"/>
      <w:r w:rsidRPr="00FA63B0">
        <w:rPr>
          <w:rFonts w:ascii="Arial" w:hAnsi="Arial" w:cs="Arial"/>
          <w:sz w:val="20"/>
          <w:szCs w:val="20"/>
        </w:rPr>
        <w:t>Tauxe-Wuersch</w:t>
      </w:r>
      <w:proofErr w:type="spellEnd"/>
      <w:r w:rsidRPr="00FA63B0">
        <w:rPr>
          <w:rFonts w:ascii="Arial" w:hAnsi="Arial" w:cs="Arial"/>
          <w:sz w:val="20"/>
          <w:szCs w:val="20"/>
        </w:rPr>
        <w:t xml:space="preserve"> and </w:t>
      </w:r>
      <w:proofErr w:type="spellStart"/>
      <w:r w:rsidRPr="00FA63B0">
        <w:rPr>
          <w:rFonts w:ascii="Arial" w:hAnsi="Arial" w:cs="Arial"/>
          <w:sz w:val="20"/>
          <w:szCs w:val="20"/>
        </w:rPr>
        <w:t>Alencastro</w:t>
      </w:r>
      <w:proofErr w:type="spellEnd"/>
      <w:r w:rsidRPr="00FA63B0">
        <w:rPr>
          <w:rFonts w:ascii="Arial" w:hAnsi="Arial" w:cs="Arial"/>
          <w:sz w:val="20"/>
          <w:szCs w:val="20"/>
        </w:rPr>
        <w:t xml:space="preserve"> conducted another study in 2016. In 2010, Yin and his team conducted a similar survey. TMX and bicalutamide (BLT) appear not to be removed entirely in effluents from wastewater treatment plants. Their concentrations ranged from 740 nanograms per liter to 1.03 micrograms per liter (D. Li et al., 2021c; </w:t>
      </w:r>
      <w:proofErr w:type="spellStart"/>
      <w:r w:rsidRPr="00FA63B0">
        <w:rPr>
          <w:rFonts w:ascii="Arial" w:hAnsi="Arial" w:cs="Arial"/>
          <w:sz w:val="20"/>
          <w:szCs w:val="20"/>
        </w:rPr>
        <w:t>Zitvogel</w:t>
      </w:r>
      <w:proofErr w:type="spellEnd"/>
      <w:r w:rsidRPr="00FA63B0">
        <w:rPr>
          <w:rFonts w:ascii="Arial" w:hAnsi="Arial" w:cs="Arial"/>
          <w:sz w:val="20"/>
          <w:szCs w:val="20"/>
        </w:rPr>
        <w:t xml:space="preserve"> et al., 2008b). The water's surface contained 212 ng/L and 254 ng/L of TMX and BLT (D. Li et al., 2021c; </w:t>
      </w:r>
      <w:proofErr w:type="spellStart"/>
      <w:r w:rsidRPr="00FA63B0">
        <w:rPr>
          <w:rFonts w:ascii="Arial" w:hAnsi="Arial" w:cs="Arial"/>
          <w:sz w:val="20"/>
          <w:szCs w:val="20"/>
        </w:rPr>
        <w:t>Zitvogel</w:t>
      </w:r>
      <w:proofErr w:type="spellEnd"/>
      <w:r w:rsidRPr="00FA63B0">
        <w:rPr>
          <w:rFonts w:ascii="Arial" w:hAnsi="Arial" w:cs="Arial"/>
          <w:sz w:val="20"/>
          <w:szCs w:val="20"/>
        </w:rPr>
        <w:t xml:space="preserve"> et al., 2008b). When cancer drugs that don't dissolve in water are administered, they may adhere to particles in the water or sink to the bottom (D. Li et al., 2021c; </w:t>
      </w:r>
      <w:proofErr w:type="spellStart"/>
      <w:r w:rsidRPr="00FA63B0">
        <w:rPr>
          <w:rFonts w:ascii="Arial" w:hAnsi="Arial" w:cs="Arial"/>
          <w:sz w:val="20"/>
          <w:szCs w:val="20"/>
        </w:rPr>
        <w:t>Zitvogel</w:t>
      </w:r>
      <w:proofErr w:type="spellEnd"/>
      <w:r w:rsidRPr="00FA63B0">
        <w:rPr>
          <w:rFonts w:ascii="Arial" w:hAnsi="Arial" w:cs="Arial"/>
          <w:sz w:val="20"/>
          <w:szCs w:val="20"/>
        </w:rPr>
        <w:t xml:space="preserve"> et al., 2008b). They could also be taken out of the water and put in the sludge. TMX was detected in solid particles in high amounts, at 658 micrograms per kilogram, and was also found in the muddy parts of the Yodo River Basin at levels of 250 nanograms per kilogram (D. Li et al., 2021c). TMX was found in wastewater 4 to 100% of the time and in surface waters 19 to 100% of the time. Spain's underground water contained TMX at levels as high as 223 nanograms per liter (D. Li et al., 2021c; </w:t>
      </w:r>
      <w:proofErr w:type="spellStart"/>
      <w:r w:rsidRPr="00FA63B0">
        <w:rPr>
          <w:rFonts w:ascii="Arial" w:hAnsi="Arial" w:cs="Arial"/>
          <w:sz w:val="20"/>
          <w:szCs w:val="20"/>
        </w:rPr>
        <w:t>Zitvogel</w:t>
      </w:r>
      <w:proofErr w:type="spellEnd"/>
      <w:r w:rsidRPr="00FA63B0">
        <w:rPr>
          <w:rFonts w:ascii="Arial" w:hAnsi="Arial" w:cs="Arial"/>
          <w:sz w:val="20"/>
          <w:szCs w:val="20"/>
        </w:rPr>
        <w:t xml:space="preserve"> et al., 2008b). These agents are particularly concerning because they have the potential to act as endocrine disruptors in aquatic ecosystems (Jobling et al., 1998). Various environmental compartments monitor and remediate the persistence of endocrine therapy agents (Richardson &amp; Kimura, 2016).</w:t>
      </w:r>
    </w:p>
    <w:p w14:paraId="3FEF9D17" w14:textId="77777777" w:rsidR="00FA63B0" w:rsidRPr="00FA63B0" w:rsidRDefault="00FA63B0" w:rsidP="00FA63B0">
      <w:pPr>
        <w:pStyle w:val="NormalWeb"/>
        <w:spacing w:before="280" w:beforeAutospacing="0" w:after="280" w:afterAutospacing="0"/>
        <w:jc w:val="both"/>
        <w:rPr>
          <w:rFonts w:ascii="Arial" w:hAnsi="Arial" w:cs="Arial"/>
          <w:b/>
          <w:caps/>
          <w:sz w:val="22"/>
          <w:szCs w:val="20"/>
        </w:rPr>
      </w:pPr>
      <w:r>
        <w:rPr>
          <w:color w:val="000000"/>
          <w:sz w:val="20"/>
          <w:szCs w:val="20"/>
        </w:rPr>
        <w:t> </w:t>
      </w:r>
      <w:r w:rsidRPr="00FA63B0">
        <w:rPr>
          <w:rFonts w:ascii="Arial" w:hAnsi="Arial" w:cs="Arial"/>
          <w:b/>
          <w:caps/>
          <w:sz w:val="22"/>
          <w:szCs w:val="20"/>
        </w:rPr>
        <w:t>3. Bioavailability and environmental persistence of anticancer drugs</w:t>
      </w:r>
    </w:p>
    <w:p w14:paraId="666A62AE" w14:textId="77777777" w:rsidR="00FA63B0" w:rsidRPr="00FA63B0" w:rsidRDefault="00FA63B0" w:rsidP="00FA63B0">
      <w:pPr>
        <w:pStyle w:val="NormalWeb"/>
        <w:spacing w:before="280" w:after="280"/>
        <w:jc w:val="both"/>
        <w:rPr>
          <w:rFonts w:ascii="Arial" w:hAnsi="Arial" w:cs="Arial"/>
          <w:sz w:val="20"/>
          <w:szCs w:val="20"/>
        </w:rPr>
      </w:pPr>
      <w:r w:rsidRPr="00FA63B0">
        <w:rPr>
          <w:rFonts w:ascii="Arial" w:hAnsi="Arial" w:cs="Arial"/>
          <w:sz w:val="20"/>
          <w:szCs w:val="20"/>
        </w:rPr>
        <w:t xml:space="preserve">In this research, a model was used to estimate the log </w:t>
      </w:r>
      <w:proofErr w:type="spellStart"/>
      <w:r w:rsidRPr="00FA63B0">
        <w:rPr>
          <w:rFonts w:ascii="Arial" w:hAnsi="Arial" w:cs="Arial"/>
          <w:sz w:val="20"/>
          <w:szCs w:val="20"/>
        </w:rPr>
        <w:t>Kow</w:t>
      </w:r>
      <w:proofErr w:type="spellEnd"/>
      <w:r w:rsidRPr="00FA63B0">
        <w:rPr>
          <w:rFonts w:ascii="Arial" w:hAnsi="Arial" w:cs="Arial"/>
          <w:sz w:val="20"/>
          <w:szCs w:val="20"/>
        </w:rPr>
        <w:t xml:space="preserve"> (octanol-water partition coefficient), bioconcentration factor (BCF), and half-lives (t1/2) in air, water, soil, and sediments for certain anticancer drugs to evaluate their effect on the environment. This was done using the United States Environmental Protection Agency's (EPA) EPI Suite version 4.11, a program designed for estimating environmental impact (Araújo et al., 2019; Booker et al., 2014; Castellano-Hinojosa et al., 2023; Cristóvão et al., 2021; D. Li et al., 2021c; </w:t>
      </w:r>
      <w:proofErr w:type="spellStart"/>
      <w:r w:rsidRPr="00FA63B0">
        <w:rPr>
          <w:rFonts w:ascii="Arial" w:hAnsi="Arial" w:cs="Arial"/>
          <w:sz w:val="20"/>
          <w:szCs w:val="20"/>
        </w:rPr>
        <w:t>Mišík</w:t>
      </w:r>
      <w:proofErr w:type="spellEnd"/>
      <w:r w:rsidRPr="00FA63B0">
        <w:rPr>
          <w:rFonts w:ascii="Arial" w:hAnsi="Arial" w:cs="Arial"/>
          <w:sz w:val="20"/>
          <w:szCs w:val="20"/>
        </w:rPr>
        <w:t xml:space="preserve"> et al., 2019; </w:t>
      </w:r>
      <w:proofErr w:type="spellStart"/>
      <w:r w:rsidRPr="00FA63B0">
        <w:rPr>
          <w:rFonts w:ascii="Arial" w:hAnsi="Arial" w:cs="Arial"/>
          <w:sz w:val="20"/>
          <w:szCs w:val="20"/>
        </w:rPr>
        <w:t>Zitvogel</w:t>
      </w:r>
      <w:proofErr w:type="spellEnd"/>
      <w:r w:rsidRPr="00FA63B0">
        <w:rPr>
          <w:rFonts w:ascii="Arial" w:hAnsi="Arial" w:cs="Arial"/>
          <w:sz w:val="20"/>
          <w:szCs w:val="20"/>
        </w:rPr>
        <w:t xml:space="preserve"> et al., 2008b). The use of predictive models, such as EPI Suite, is critical for understanding the environmental fate of pharmaceuticals, especially when experimental data are limited (Williams et al., 2021).</w:t>
      </w:r>
    </w:p>
    <w:p w14:paraId="1A58998F" w14:textId="77777777" w:rsidR="00FA63B0" w:rsidRPr="00FA63B0" w:rsidRDefault="00FA63B0" w:rsidP="00FA63B0">
      <w:pPr>
        <w:pStyle w:val="NormalWeb"/>
        <w:spacing w:before="280" w:after="280"/>
        <w:jc w:val="both"/>
        <w:rPr>
          <w:rFonts w:ascii="Arial" w:hAnsi="Arial" w:cs="Arial"/>
          <w:sz w:val="20"/>
          <w:szCs w:val="20"/>
        </w:rPr>
      </w:pPr>
      <w:r w:rsidRPr="00FA63B0">
        <w:rPr>
          <w:rFonts w:ascii="Arial" w:hAnsi="Arial" w:cs="Arial"/>
          <w:sz w:val="20"/>
          <w:szCs w:val="20"/>
        </w:rPr>
        <w:t xml:space="preserve">The estimated log </w:t>
      </w:r>
      <w:proofErr w:type="spellStart"/>
      <w:r w:rsidRPr="00FA63B0">
        <w:rPr>
          <w:rFonts w:ascii="Arial" w:hAnsi="Arial" w:cs="Arial"/>
          <w:sz w:val="20"/>
          <w:szCs w:val="20"/>
        </w:rPr>
        <w:t>Kow</w:t>
      </w:r>
      <w:proofErr w:type="spellEnd"/>
      <w:r w:rsidRPr="00FA63B0">
        <w:rPr>
          <w:rFonts w:ascii="Arial" w:hAnsi="Arial" w:cs="Arial"/>
          <w:sz w:val="20"/>
          <w:szCs w:val="20"/>
        </w:rPr>
        <w:t xml:space="preserve"> for the anticancer drugs varied significantly and could be grouped into three categories. Group I included highly water-soluble substances, with log </w:t>
      </w:r>
      <w:proofErr w:type="spellStart"/>
      <w:r w:rsidRPr="00FA63B0">
        <w:rPr>
          <w:rFonts w:ascii="Arial" w:hAnsi="Arial" w:cs="Arial"/>
          <w:sz w:val="20"/>
          <w:szCs w:val="20"/>
        </w:rPr>
        <w:t>Kow</w:t>
      </w:r>
      <w:proofErr w:type="spellEnd"/>
      <w:r w:rsidRPr="00FA63B0">
        <w:rPr>
          <w:rFonts w:ascii="Arial" w:hAnsi="Arial" w:cs="Arial"/>
          <w:sz w:val="20"/>
          <w:szCs w:val="20"/>
        </w:rPr>
        <w:t xml:space="preserve"> values ranging from −1.0 to 0.97. This group consisted of 5-FU, EPIR, AZA, TEG, ETO, CAP, CP, and IF. These drugs are less likely to accumulate in biological systems due to their high </w:t>
      </w:r>
      <w:r w:rsidRPr="00FA63B0">
        <w:rPr>
          <w:rFonts w:ascii="Arial" w:hAnsi="Arial" w:cs="Arial"/>
          <w:sz w:val="20"/>
          <w:szCs w:val="20"/>
        </w:rPr>
        <w:lastRenderedPageBreak/>
        <w:t>hydrophilicity, but their persistence in aquatic environments can still pose risks to marine organisms (</w:t>
      </w:r>
      <w:proofErr w:type="spellStart"/>
      <w:r w:rsidRPr="00FA63B0">
        <w:rPr>
          <w:rFonts w:ascii="Arial" w:hAnsi="Arial" w:cs="Arial"/>
          <w:sz w:val="20"/>
          <w:szCs w:val="20"/>
        </w:rPr>
        <w:t>Kümmerer</w:t>
      </w:r>
      <w:proofErr w:type="spellEnd"/>
      <w:r w:rsidRPr="00FA63B0">
        <w:rPr>
          <w:rFonts w:ascii="Arial" w:hAnsi="Arial" w:cs="Arial"/>
          <w:sz w:val="20"/>
          <w:szCs w:val="20"/>
        </w:rPr>
        <w:t>, 2009).</w:t>
      </w:r>
      <w:r>
        <w:rPr>
          <w:rFonts w:ascii="Arial" w:hAnsi="Arial" w:cs="Arial"/>
          <w:sz w:val="20"/>
          <w:szCs w:val="20"/>
        </w:rPr>
        <w:t xml:space="preserve"> </w:t>
      </w:r>
      <w:r w:rsidRPr="00FA63B0">
        <w:rPr>
          <w:rFonts w:ascii="Arial" w:hAnsi="Arial" w:cs="Arial"/>
          <w:sz w:val="20"/>
          <w:szCs w:val="20"/>
        </w:rPr>
        <w:t xml:space="preserve">The second group, including DAU, DOX, DOC, ERL, IRI, ANA, and BLT, has moderate water solubility. These compounds do not strongly adhere to organic matter in sediments, sludge, or tissues, with log </w:t>
      </w:r>
      <w:proofErr w:type="spellStart"/>
      <w:r w:rsidRPr="00FA63B0">
        <w:rPr>
          <w:rFonts w:ascii="Arial" w:hAnsi="Arial" w:cs="Arial"/>
          <w:sz w:val="20"/>
          <w:szCs w:val="20"/>
        </w:rPr>
        <w:t>Kow</w:t>
      </w:r>
      <w:proofErr w:type="spellEnd"/>
      <w:r w:rsidRPr="00FA63B0">
        <w:rPr>
          <w:rFonts w:ascii="Arial" w:hAnsi="Arial" w:cs="Arial"/>
          <w:sz w:val="20"/>
          <w:szCs w:val="20"/>
        </w:rPr>
        <w:t xml:space="preserve"> values ranging from 1.89 to 2.83. Their moderate hydrophobicity makes them less likely to bioaccumulate. However, they may be in water systems and contribute to long-term environmental exposure (Fent et al., 2006).</w:t>
      </w:r>
    </w:p>
    <w:p w14:paraId="5407CF73" w14:textId="77777777" w:rsidR="00FA63B0" w:rsidRDefault="00FA63B0" w:rsidP="00FA63B0">
      <w:pPr>
        <w:pStyle w:val="NormalWeb"/>
        <w:spacing w:before="280" w:after="280"/>
        <w:jc w:val="both"/>
        <w:rPr>
          <w:rFonts w:ascii="Arial" w:hAnsi="Arial" w:cs="Arial"/>
          <w:sz w:val="20"/>
          <w:szCs w:val="20"/>
        </w:rPr>
      </w:pPr>
      <w:r w:rsidRPr="00FA63B0">
        <w:rPr>
          <w:rFonts w:ascii="Arial" w:hAnsi="Arial" w:cs="Arial"/>
          <w:sz w:val="20"/>
          <w:szCs w:val="20"/>
        </w:rPr>
        <w:t xml:space="preserve">The third group includes the agents that have high log </w:t>
      </w:r>
      <w:proofErr w:type="spellStart"/>
      <w:r w:rsidRPr="00FA63B0">
        <w:rPr>
          <w:rFonts w:ascii="Arial" w:hAnsi="Arial" w:cs="Arial"/>
          <w:sz w:val="20"/>
          <w:szCs w:val="20"/>
        </w:rPr>
        <w:t>Kow</w:t>
      </w:r>
      <w:proofErr w:type="spellEnd"/>
      <w:r w:rsidRPr="00FA63B0">
        <w:rPr>
          <w:rFonts w:ascii="Arial" w:hAnsi="Arial" w:cs="Arial"/>
          <w:sz w:val="20"/>
          <w:szCs w:val="20"/>
        </w:rPr>
        <w:t xml:space="preserve"> values, such as VINC, VINO, IM, LET, and TMX, which are characterized by having high lipophilic and strong tendencies for bioaccumulation and accumulation in organic matter, especially in aquatic and terrestrial ecosystems, raising anxieties about their long-term ecological and human health consequences (Arnot &amp; </w:t>
      </w:r>
      <w:proofErr w:type="spellStart"/>
      <w:r w:rsidRPr="00FA63B0">
        <w:rPr>
          <w:rFonts w:ascii="Arial" w:hAnsi="Arial" w:cs="Arial"/>
          <w:sz w:val="20"/>
          <w:szCs w:val="20"/>
        </w:rPr>
        <w:t>Gobas</w:t>
      </w:r>
      <w:proofErr w:type="spellEnd"/>
      <w:r w:rsidRPr="00FA63B0">
        <w:rPr>
          <w:rFonts w:ascii="Arial" w:hAnsi="Arial" w:cs="Arial"/>
          <w:sz w:val="20"/>
          <w:szCs w:val="20"/>
        </w:rPr>
        <w:t>, 2006).</w:t>
      </w:r>
      <w:r>
        <w:rPr>
          <w:rFonts w:ascii="Arial" w:hAnsi="Arial" w:cs="Arial"/>
          <w:sz w:val="20"/>
          <w:szCs w:val="20"/>
        </w:rPr>
        <w:t xml:space="preserve"> </w:t>
      </w:r>
      <w:r w:rsidRPr="00FA63B0">
        <w:rPr>
          <w:rFonts w:ascii="Arial" w:hAnsi="Arial" w:cs="Arial"/>
          <w:sz w:val="20"/>
          <w:szCs w:val="20"/>
        </w:rPr>
        <w:t>The half-life of each agent, however, should be considered in different media. A longer half-life of any agent in water, soil, and ecosystems appears to have more severe impacts than those with a shorter half-life (Zimmermann et al., 2017). Therefore, understanding these properties is essential for developing an effective strategy to mitigate the environmental risks associated with anticancer agents. Advanced treatment technologies, such as advanced oxidation processes and membrane filtration, appear to be necessary to reduce the risk of wastewater contamination and their release into natural water bodies (Jobling et al., 1998).</w:t>
      </w:r>
    </w:p>
    <w:p w14:paraId="3B489C79" w14:textId="77777777" w:rsidR="0059411E" w:rsidRDefault="0059411E" w:rsidP="00FA63B0">
      <w:pPr>
        <w:pStyle w:val="NormalWeb"/>
        <w:spacing w:before="280" w:after="280"/>
        <w:jc w:val="both"/>
        <w:rPr>
          <w:rFonts w:ascii="Arial" w:hAnsi="Arial" w:cs="Arial"/>
          <w:sz w:val="20"/>
          <w:szCs w:val="20"/>
        </w:rPr>
      </w:pPr>
    </w:p>
    <w:p w14:paraId="15BF8282" w14:textId="77777777" w:rsidR="0059411E" w:rsidRPr="00FA63B0" w:rsidRDefault="0059411E" w:rsidP="00FA63B0">
      <w:pPr>
        <w:pStyle w:val="NormalWeb"/>
        <w:spacing w:before="280" w:after="280"/>
        <w:jc w:val="both"/>
        <w:rPr>
          <w:rFonts w:ascii="Arial" w:hAnsi="Arial" w:cs="Arial"/>
          <w:sz w:val="20"/>
          <w:szCs w:val="20"/>
        </w:rPr>
      </w:pPr>
    </w:p>
    <w:p w14:paraId="4AAE5A13" w14:textId="77777777" w:rsidR="00FA63B0" w:rsidRPr="002C30ED" w:rsidRDefault="00FA63B0" w:rsidP="002C30ED">
      <w:pPr>
        <w:tabs>
          <w:tab w:val="left" w:pos="1080"/>
        </w:tabs>
        <w:jc w:val="both"/>
        <w:rPr>
          <w:rFonts w:ascii="Arial" w:hAnsi="Arial"/>
          <w:b/>
        </w:rPr>
      </w:pPr>
      <w:r w:rsidRPr="002C30ED">
        <w:rPr>
          <w:rFonts w:ascii="Arial" w:hAnsi="Arial"/>
          <w:b/>
        </w:rPr>
        <w:t xml:space="preserve">Table 2. Calculated physicochemical properties of anticancer drugs based on EPIWEB 4.1 ordered by log </w:t>
      </w:r>
      <w:proofErr w:type="spellStart"/>
      <w:r w:rsidRPr="002C30ED">
        <w:rPr>
          <w:rFonts w:ascii="Arial" w:hAnsi="Arial"/>
          <w:b/>
        </w:rPr>
        <w:t>Kow</w:t>
      </w:r>
      <w:proofErr w:type="spellEnd"/>
      <w:r w:rsidRPr="002C30ED">
        <w:rPr>
          <w:rFonts w:ascii="Arial" w:hAnsi="Arial"/>
          <w:b/>
        </w:rPr>
        <w:t xml:space="preserve"> (highest to lowest). Log </w:t>
      </w:r>
      <w:proofErr w:type="spellStart"/>
      <w:r w:rsidRPr="002C30ED">
        <w:rPr>
          <w:rFonts w:ascii="Arial" w:hAnsi="Arial"/>
          <w:b/>
        </w:rPr>
        <w:t>Kow</w:t>
      </w:r>
      <w:proofErr w:type="spellEnd"/>
      <w:r w:rsidRPr="002C30ED">
        <w:rPr>
          <w:rFonts w:ascii="Arial" w:hAnsi="Arial"/>
          <w:b/>
        </w:rPr>
        <w:t xml:space="preserve">: octanol–water partition coefficient; BCF: bioconcentration factor (D. Li et al., 2021c; </w:t>
      </w:r>
      <w:proofErr w:type="spellStart"/>
      <w:r w:rsidRPr="002C30ED">
        <w:rPr>
          <w:rFonts w:ascii="Arial" w:hAnsi="Arial"/>
          <w:b/>
        </w:rPr>
        <w:t>Zitvogel</w:t>
      </w:r>
      <w:proofErr w:type="spellEnd"/>
      <w:r w:rsidRPr="002C30ED">
        <w:rPr>
          <w:rFonts w:ascii="Arial" w:hAnsi="Arial"/>
          <w:b/>
        </w:rPr>
        <w:t xml:space="preserve"> et al., 2008b).</w:t>
      </w:r>
    </w:p>
    <w:tbl>
      <w:tblPr>
        <w:tblW w:w="0" w:type="auto"/>
        <w:tblCellMar>
          <w:top w:w="15" w:type="dxa"/>
          <w:left w:w="15" w:type="dxa"/>
          <w:bottom w:w="15" w:type="dxa"/>
          <w:right w:w="15" w:type="dxa"/>
        </w:tblCellMar>
        <w:tblLook w:val="04A0" w:firstRow="1" w:lastRow="0" w:firstColumn="1" w:lastColumn="0" w:noHBand="0" w:noVBand="1"/>
      </w:tblPr>
      <w:tblGrid>
        <w:gridCol w:w="1593"/>
        <w:gridCol w:w="626"/>
        <w:gridCol w:w="621"/>
        <w:gridCol w:w="981"/>
        <w:gridCol w:w="989"/>
        <w:gridCol w:w="665"/>
        <w:gridCol w:w="665"/>
        <w:gridCol w:w="665"/>
        <w:gridCol w:w="1403"/>
      </w:tblGrid>
      <w:tr w:rsidR="00FA63B0" w:rsidRPr="00FA63B0" w14:paraId="39D163BD" w14:textId="77777777" w:rsidTr="002C30ED">
        <w:trPr>
          <w:trHeight w:val="526"/>
        </w:trPr>
        <w:tc>
          <w:tcPr>
            <w:tcW w:w="0" w:type="auto"/>
            <w:vMerge w:val="restart"/>
            <w:tcBorders>
              <w:top w:val="single" w:sz="4" w:space="0" w:color="auto"/>
            </w:tcBorders>
            <w:tcMar>
              <w:top w:w="0" w:type="dxa"/>
              <w:left w:w="108" w:type="dxa"/>
              <w:bottom w:w="0" w:type="dxa"/>
              <w:right w:w="108" w:type="dxa"/>
            </w:tcMar>
            <w:hideMark/>
          </w:tcPr>
          <w:p w14:paraId="1DC268F1" w14:textId="77777777" w:rsidR="00FA63B0" w:rsidRPr="002C30ED" w:rsidRDefault="00FA63B0" w:rsidP="002C30ED">
            <w:pPr>
              <w:jc w:val="both"/>
              <w:rPr>
                <w:rFonts w:ascii="Arial" w:hAnsi="Arial"/>
                <w:b/>
              </w:rPr>
            </w:pPr>
            <w:r w:rsidRPr="002C30ED">
              <w:rPr>
                <w:rFonts w:ascii="Arial" w:hAnsi="Arial"/>
                <w:b/>
              </w:rPr>
              <w:t>Drugs</w:t>
            </w:r>
          </w:p>
        </w:tc>
        <w:tc>
          <w:tcPr>
            <w:tcW w:w="0" w:type="auto"/>
            <w:vMerge w:val="restart"/>
            <w:tcBorders>
              <w:top w:val="single" w:sz="4" w:space="0" w:color="auto"/>
            </w:tcBorders>
            <w:tcMar>
              <w:top w:w="0" w:type="dxa"/>
              <w:left w:w="108" w:type="dxa"/>
              <w:bottom w:w="0" w:type="dxa"/>
              <w:right w:w="108" w:type="dxa"/>
            </w:tcMar>
            <w:hideMark/>
          </w:tcPr>
          <w:p w14:paraId="46409774" w14:textId="77777777" w:rsidR="00FA63B0" w:rsidRPr="002C30ED" w:rsidRDefault="00FA63B0" w:rsidP="002C30ED">
            <w:pPr>
              <w:jc w:val="both"/>
              <w:rPr>
                <w:rFonts w:ascii="Arial" w:hAnsi="Arial"/>
                <w:b/>
              </w:rPr>
            </w:pPr>
            <w:r w:rsidRPr="002C30ED">
              <w:rPr>
                <w:rFonts w:ascii="Arial" w:hAnsi="Arial"/>
                <w:b/>
              </w:rPr>
              <w:t xml:space="preserve">log </w:t>
            </w:r>
            <w:proofErr w:type="spellStart"/>
            <w:r w:rsidRPr="002C30ED">
              <w:rPr>
                <w:rFonts w:ascii="Arial" w:hAnsi="Arial"/>
                <w:b/>
              </w:rPr>
              <w:t>Kow</w:t>
            </w:r>
            <w:proofErr w:type="spellEnd"/>
          </w:p>
        </w:tc>
        <w:tc>
          <w:tcPr>
            <w:tcW w:w="0" w:type="auto"/>
            <w:vMerge w:val="restart"/>
            <w:tcBorders>
              <w:top w:val="single" w:sz="4" w:space="0" w:color="auto"/>
            </w:tcBorders>
            <w:tcMar>
              <w:top w:w="0" w:type="dxa"/>
              <w:left w:w="108" w:type="dxa"/>
              <w:bottom w:w="0" w:type="dxa"/>
              <w:right w:w="108" w:type="dxa"/>
            </w:tcMar>
            <w:hideMark/>
          </w:tcPr>
          <w:p w14:paraId="36FF15EE" w14:textId="77777777" w:rsidR="00FA63B0" w:rsidRPr="002C30ED" w:rsidRDefault="00FA63B0" w:rsidP="002C30ED">
            <w:pPr>
              <w:jc w:val="both"/>
              <w:rPr>
                <w:rFonts w:ascii="Arial" w:hAnsi="Arial"/>
                <w:b/>
              </w:rPr>
            </w:pPr>
            <w:r w:rsidRPr="002C30ED">
              <w:rPr>
                <w:rFonts w:ascii="Arial" w:hAnsi="Arial"/>
                <w:b/>
              </w:rPr>
              <w:t>BCF</w:t>
            </w:r>
          </w:p>
        </w:tc>
        <w:tc>
          <w:tcPr>
            <w:tcW w:w="0" w:type="auto"/>
            <w:vMerge w:val="restart"/>
            <w:tcBorders>
              <w:top w:val="single" w:sz="4" w:space="0" w:color="auto"/>
            </w:tcBorders>
            <w:tcMar>
              <w:top w:w="0" w:type="dxa"/>
              <w:left w:w="108" w:type="dxa"/>
              <w:bottom w:w="0" w:type="dxa"/>
              <w:right w:w="108" w:type="dxa"/>
            </w:tcMar>
            <w:hideMark/>
          </w:tcPr>
          <w:p w14:paraId="72F92EAA" w14:textId="77777777" w:rsidR="00FA63B0" w:rsidRPr="002C30ED" w:rsidRDefault="00FA63B0" w:rsidP="002C30ED">
            <w:pPr>
              <w:jc w:val="both"/>
              <w:rPr>
                <w:rFonts w:ascii="Arial" w:hAnsi="Arial"/>
                <w:b/>
              </w:rPr>
            </w:pPr>
            <w:r w:rsidRPr="002C30ED">
              <w:rPr>
                <w:rFonts w:ascii="Arial" w:hAnsi="Arial"/>
                <w:b/>
              </w:rPr>
              <w:t>Water Solubility at 25 °C (mg/L)      </w:t>
            </w:r>
          </w:p>
        </w:tc>
        <w:tc>
          <w:tcPr>
            <w:tcW w:w="0" w:type="auto"/>
            <w:gridSpan w:val="5"/>
            <w:tcBorders>
              <w:top w:val="single" w:sz="4" w:space="0" w:color="auto"/>
            </w:tcBorders>
            <w:tcMar>
              <w:top w:w="0" w:type="dxa"/>
              <w:left w:w="108" w:type="dxa"/>
              <w:bottom w:w="0" w:type="dxa"/>
              <w:right w:w="108" w:type="dxa"/>
            </w:tcMar>
            <w:hideMark/>
          </w:tcPr>
          <w:p w14:paraId="5C801C7A" w14:textId="77777777" w:rsidR="00FA63B0" w:rsidRPr="002C30ED" w:rsidRDefault="00FA63B0" w:rsidP="002C30ED">
            <w:pPr>
              <w:jc w:val="both"/>
              <w:rPr>
                <w:rFonts w:ascii="Arial" w:hAnsi="Arial"/>
                <w:b/>
              </w:rPr>
            </w:pPr>
            <w:proofErr w:type="spellStart"/>
            <w:r w:rsidRPr="002C30ED">
              <w:rPr>
                <w:rFonts w:ascii="Arial" w:hAnsi="Arial"/>
                <w:b/>
              </w:rPr>
              <w:t>Half life</w:t>
            </w:r>
            <w:proofErr w:type="spellEnd"/>
            <w:r w:rsidRPr="002C30ED">
              <w:rPr>
                <w:rFonts w:ascii="Arial" w:hAnsi="Arial"/>
                <w:b/>
              </w:rPr>
              <w:t>(Hours)</w:t>
            </w:r>
          </w:p>
        </w:tc>
      </w:tr>
      <w:tr w:rsidR="00FA63B0" w:rsidRPr="00FA63B0" w14:paraId="2282DF9E" w14:textId="77777777" w:rsidTr="002C30ED">
        <w:trPr>
          <w:trHeight w:val="539"/>
        </w:trPr>
        <w:tc>
          <w:tcPr>
            <w:tcW w:w="0" w:type="auto"/>
            <w:vMerge/>
            <w:tcBorders>
              <w:bottom w:val="single" w:sz="4" w:space="0" w:color="auto"/>
            </w:tcBorders>
            <w:vAlign w:val="center"/>
            <w:hideMark/>
          </w:tcPr>
          <w:p w14:paraId="30EC2752" w14:textId="77777777" w:rsidR="00FA63B0" w:rsidRPr="002C30ED" w:rsidRDefault="00FA63B0" w:rsidP="002C30ED">
            <w:pPr>
              <w:jc w:val="both"/>
              <w:rPr>
                <w:rFonts w:ascii="Arial" w:hAnsi="Arial"/>
                <w:b/>
              </w:rPr>
            </w:pPr>
          </w:p>
        </w:tc>
        <w:tc>
          <w:tcPr>
            <w:tcW w:w="0" w:type="auto"/>
            <w:vMerge/>
            <w:tcBorders>
              <w:bottom w:val="single" w:sz="4" w:space="0" w:color="auto"/>
            </w:tcBorders>
            <w:vAlign w:val="center"/>
            <w:hideMark/>
          </w:tcPr>
          <w:p w14:paraId="6EAD5093" w14:textId="77777777" w:rsidR="00FA63B0" w:rsidRPr="002C30ED" w:rsidRDefault="00FA63B0" w:rsidP="002C30ED">
            <w:pPr>
              <w:jc w:val="both"/>
              <w:rPr>
                <w:rFonts w:ascii="Arial" w:hAnsi="Arial"/>
                <w:b/>
              </w:rPr>
            </w:pPr>
          </w:p>
        </w:tc>
        <w:tc>
          <w:tcPr>
            <w:tcW w:w="0" w:type="auto"/>
            <w:vMerge/>
            <w:tcBorders>
              <w:bottom w:val="single" w:sz="4" w:space="0" w:color="auto"/>
            </w:tcBorders>
            <w:vAlign w:val="center"/>
            <w:hideMark/>
          </w:tcPr>
          <w:p w14:paraId="09F904CD" w14:textId="77777777" w:rsidR="00FA63B0" w:rsidRPr="002C30ED" w:rsidRDefault="00FA63B0" w:rsidP="002C30ED">
            <w:pPr>
              <w:jc w:val="both"/>
              <w:rPr>
                <w:rFonts w:ascii="Arial" w:hAnsi="Arial"/>
                <w:b/>
              </w:rPr>
            </w:pPr>
          </w:p>
        </w:tc>
        <w:tc>
          <w:tcPr>
            <w:tcW w:w="0" w:type="auto"/>
            <w:vMerge/>
            <w:tcBorders>
              <w:bottom w:val="single" w:sz="4" w:space="0" w:color="auto"/>
            </w:tcBorders>
            <w:vAlign w:val="center"/>
            <w:hideMark/>
          </w:tcPr>
          <w:p w14:paraId="3139E771" w14:textId="77777777" w:rsidR="00FA63B0" w:rsidRPr="002C30ED" w:rsidRDefault="00FA63B0" w:rsidP="002C30ED">
            <w:pPr>
              <w:jc w:val="both"/>
              <w:rPr>
                <w:rFonts w:ascii="Arial" w:hAnsi="Arial"/>
                <w:b/>
              </w:rPr>
            </w:pPr>
          </w:p>
        </w:tc>
        <w:tc>
          <w:tcPr>
            <w:tcW w:w="0" w:type="auto"/>
            <w:gridSpan w:val="4"/>
            <w:tcBorders>
              <w:bottom w:val="single" w:sz="4" w:space="0" w:color="auto"/>
            </w:tcBorders>
            <w:tcMar>
              <w:top w:w="0" w:type="dxa"/>
              <w:left w:w="108" w:type="dxa"/>
              <w:bottom w:w="0" w:type="dxa"/>
              <w:right w:w="108" w:type="dxa"/>
            </w:tcMar>
            <w:hideMark/>
          </w:tcPr>
          <w:p w14:paraId="1570B205" w14:textId="77777777" w:rsidR="00FA63B0" w:rsidRPr="002C30ED" w:rsidRDefault="00FA63B0" w:rsidP="002C30ED">
            <w:pPr>
              <w:jc w:val="both"/>
              <w:rPr>
                <w:rFonts w:ascii="Arial" w:hAnsi="Arial"/>
                <w:b/>
              </w:rPr>
            </w:pPr>
            <w:r w:rsidRPr="002C30ED">
              <w:rPr>
                <w:rFonts w:ascii="Arial" w:hAnsi="Arial"/>
                <w:b/>
              </w:rPr>
              <w:t>Air         Water        Soil    Sediment</w:t>
            </w:r>
          </w:p>
          <w:p w14:paraId="1F6A26BC" w14:textId="77777777" w:rsidR="00FA63B0" w:rsidRPr="002C30ED" w:rsidRDefault="00FA63B0" w:rsidP="002C30ED">
            <w:pPr>
              <w:jc w:val="both"/>
              <w:rPr>
                <w:rFonts w:ascii="Arial" w:hAnsi="Arial"/>
                <w:b/>
              </w:rPr>
            </w:pPr>
            <w:r w:rsidRPr="002C30ED">
              <w:rPr>
                <w:rFonts w:ascii="Arial" w:hAnsi="Arial"/>
                <w:b/>
              </w:rPr>
              <w:t>(x 103)    (x103)       (x103)</w:t>
            </w:r>
          </w:p>
        </w:tc>
        <w:tc>
          <w:tcPr>
            <w:tcW w:w="0" w:type="auto"/>
            <w:tcBorders>
              <w:bottom w:val="single" w:sz="4" w:space="0" w:color="auto"/>
            </w:tcBorders>
            <w:tcMar>
              <w:top w:w="0" w:type="dxa"/>
              <w:left w:w="108" w:type="dxa"/>
              <w:bottom w:w="0" w:type="dxa"/>
              <w:right w:w="108" w:type="dxa"/>
            </w:tcMar>
            <w:hideMark/>
          </w:tcPr>
          <w:p w14:paraId="465CC79F" w14:textId="77777777" w:rsidR="00FA63B0" w:rsidRPr="002C30ED" w:rsidRDefault="00FA63B0" w:rsidP="002C30ED">
            <w:pPr>
              <w:jc w:val="both"/>
              <w:rPr>
                <w:rFonts w:ascii="Arial" w:hAnsi="Arial"/>
                <w:b/>
              </w:rPr>
            </w:pPr>
          </w:p>
          <w:p w14:paraId="706309FB" w14:textId="77777777" w:rsidR="00FA63B0" w:rsidRPr="002C30ED" w:rsidRDefault="00FA63B0" w:rsidP="002C30ED">
            <w:pPr>
              <w:jc w:val="both"/>
              <w:rPr>
                <w:rFonts w:ascii="Arial" w:hAnsi="Arial"/>
                <w:b/>
              </w:rPr>
            </w:pPr>
            <w:r w:rsidRPr="002C30ED">
              <w:rPr>
                <w:rFonts w:ascii="Arial" w:hAnsi="Arial"/>
                <w:b/>
              </w:rPr>
              <w:t>Biodegradation</w:t>
            </w:r>
          </w:p>
        </w:tc>
      </w:tr>
      <w:tr w:rsidR="00FA63B0" w:rsidRPr="00FA63B0" w14:paraId="095E9A53" w14:textId="77777777" w:rsidTr="002C30ED">
        <w:trPr>
          <w:trHeight w:val="270"/>
        </w:trPr>
        <w:tc>
          <w:tcPr>
            <w:tcW w:w="0" w:type="auto"/>
            <w:tcBorders>
              <w:top w:val="single" w:sz="4" w:space="0" w:color="auto"/>
            </w:tcBorders>
            <w:tcMar>
              <w:top w:w="0" w:type="dxa"/>
              <w:left w:w="108" w:type="dxa"/>
              <w:bottom w:w="0" w:type="dxa"/>
              <w:right w:w="108" w:type="dxa"/>
            </w:tcMar>
            <w:hideMark/>
          </w:tcPr>
          <w:p w14:paraId="11C96693" w14:textId="77777777" w:rsidR="00FA63B0" w:rsidRPr="002C30ED" w:rsidRDefault="00FA63B0" w:rsidP="002C30ED">
            <w:pPr>
              <w:jc w:val="both"/>
              <w:rPr>
                <w:rFonts w:ascii="Arial" w:hAnsi="Arial"/>
              </w:rPr>
            </w:pPr>
            <w:r w:rsidRPr="002C30ED">
              <w:rPr>
                <w:rFonts w:ascii="Arial" w:hAnsi="Arial"/>
              </w:rPr>
              <w:t>Tamoxifen</w:t>
            </w:r>
          </w:p>
        </w:tc>
        <w:tc>
          <w:tcPr>
            <w:tcW w:w="0" w:type="auto"/>
            <w:tcBorders>
              <w:top w:val="single" w:sz="4" w:space="0" w:color="auto"/>
            </w:tcBorders>
            <w:tcMar>
              <w:top w:w="0" w:type="dxa"/>
              <w:left w:w="108" w:type="dxa"/>
              <w:bottom w:w="0" w:type="dxa"/>
              <w:right w:w="108" w:type="dxa"/>
            </w:tcMar>
            <w:hideMark/>
          </w:tcPr>
          <w:p w14:paraId="7670D563" w14:textId="77777777" w:rsidR="00FA63B0" w:rsidRPr="002C30ED" w:rsidRDefault="00FA63B0" w:rsidP="002C30ED">
            <w:pPr>
              <w:jc w:val="both"/>
              <w:rPr>
                <w:rFonts w:ascii="Arial" w:hAnsi="Arial"/>
              </w:rPr>
            </w:pPr>
            <w:r w:rsidRPr="002C30ED">
              <w:rPr>
                <w:rFonts w:ascii="Arial" w:hAnsi="Arial"/>
              </w:rPr>
              <w:t>6.31</w:t>
            </w:r>
          </w:p>
        </w:tc>
        <w:tc>
          <w:tcPr>
            <w:tcW w:w="0" w:type="auto"/>
            <w:tcBorders>
              <w:top w:val="single" w:sz="4" w:space="0" w:color="auto"/>
            </w:tcBorders>
            <w:tcMar>
              <w:top w:w="0" w:type="dxa"/>
              <w:left w:w="108" w:type="dxa"/>
              <w:bottom w:w="0" w:type="dxa"/>
              <w:right w:w="108" w:type="dxa"/>
            </w:tcMar>
            <w:hideMark/>
          </w:tcPr>
          <w:p w14:paraId="61B73BD0" w14:textId="77777777" w:rsidR="00FA63B0" w:rsidRPr="002C30ED" w:rsidRDefault="00FA63B0" w:rsidP="002C30ED">
            <w:pPr>
              <w:jc w:val="both"/>
              <w:rPr>
                <w:rFonts w:ascii="Arial" w:hAnsi="Arial"/>
              </w:rPr>
            </w:pPr>
            <w:r w:rsidRPr="002C30ED">
              <w:rPr>
                <w:rFonts w:ascii="Arial" w:hAnsi="Arial"/>
              </w:rPr>
              <w:t>1230</w:t>
            </w:r>
          </w:p>
        </w:tc>
        <w:tc>
          <w:tcPr>
            <w:tcW w:w="0" w:type="auto"/>
            <w:tcBorders>
              <w:top w:val="single" w:sz="4" w:space="0" w:color="auto"/>
            </w:tcBorders>
            <w:tcMar>
              <w:top w:w="0" w:type="dxa"/>
              <w:left w:w="108" w:type="dxa"/>
              <w:bottom w:w="0" w:type="dxa"/>
              <w:right w:w="108" w:type="dxa"/>
            </w:tcMar>
            <w:hideMark/>
          </w:tcPr>
          <w:p w14:paraId="4D7E7659" w14:textId="77777777" w:rsidR="00FA63B0" w:rsidRPr="002C30ED" w:rsidRDefault="00FA63B0" w:rsidP="002C30ED">
            <w:pPr>
              <w:jc w:val="both"/>
              <w:rPr>
                <w:rFonts w:ascii="Arial" w:hAnsi="Arial"/>
              </w:rPr>
            </w:pPr>
            <w:r w:rsidRPr="002C30ED">
              <w:rPr>
                <w:rFonts w:ascii="Arial" w:hAnsi="Arial"/>
              </w:rPr>
              <w:t>1.90×10-1</w:t>
            </w:r>
          </w:p>
        </w:tc>
        <w:tc>
          <w:tcPr>
            <w:tcW w:w="0" w:type="auto"/>
            <w:tcBorders>
              <w:top w:val="single" w:sz="4" w:space="0" w:color="auto"/>
            </w:tcBorders>
            <w:tcMar>
              <w:top w:w="0" w:type="dxa"/>
              <w:left w:w="108" w:type="dxa"/>
              <w:bottom w:w="0" w:type="dxa"/>
              <w:right w:w="108" w:type="dxa"/>
            </w:tcMar>
            <w:hideMark/>
          </w:tcPr>
          <w:p w14:paraId="078F21BB" w14:textId="77777777" w:rsidR="00FA63B0" w:rsidRPr="002C30ED" w:rsidRDefault="00FA63B0" w:rsidP="002C30ED">
            <w:pPr>
              <w:jc w:val="both"/>
              <w:rPr>
                <w:rFonts w:ascii="Arial" w:hAnsi="Arial"/>
              </w:rPr>
            </w:pPr>
            <w:r w:rsidRPr="002C30ED">
              <w:rPr>
                <w:rFonts w:ascii="Arial" w:hAnsi="Arial"/>
              </w:rPr>
              <w:t>1.35</w:t>
            </w:r>
          </w:p>
        </w:tc>
        <w:tc>
          <w:tcPr>
            <w:tcW w:w="0" w:type="auto"/>
            <w:tcBorders>
              <w:top w:val="single" w:sz="4" w:space="0" w:color="auto"/>
            </w:tcBorders>
            <w:tcMar>
              <w:top w:w="0" w:type="dxa"/>
              <w:left w:w="108" w:type="dxa"/>
              <w:bottom w:w="0" w:type="dxa"/>
              <w:right w:w="108" w:type="dxa"/>
            </w:tcMar>
            <w:hideMark/>
          </w:tcPr>
          <w:p w14:paraId="190DBDE8" w14:textId="77777777" w:rsidR="00FA63B0" w:rsidRPr="002C30ED" w:rsidRDefault="00FA63B0" w:rsidP="002C30ED">
            <w:pPr>
              <w:jc w:val="both"/>
              <w:rPr>
                <w:rFonts w:ascii="Arial" w:hAnsi="Arial"/>
              </w:rPr>
            </w:pPr>
            <w:r w:rsidRPr="002C30ED">
              <w:rPr>
                <w:rFonts w:ascii="Arial" w:hAnsi="Arial"/>
              </w:rPr>
              <w:t>1.44</w:t>
            </w:r>
          </w:p>
        </w:tc>
        <w:tc>
          <w:tcPr>
            <w:tcW w:w="0" w:type="auto"/>
            <w:tcBorders>
              <w:top w:val="single" w:sz="4" w:space="0" w:color="auto"/>
            </w:tcBorders>
            <w:tcMar>
              <w:top w:w="0" w:type="dxa"/>
              <w:left w:w="108" w:type="dxa"/>
              <w:bottom w:w="0" w:type="dxa"/>
              <w:right w:w="108" w:type="dxa"/>
            </w:tcMar>
            <w:hideMark/>
          </w:tcPr>
          <w:p w14:paraId="3F3B1EE2" w14:textId="77777777" w:rsidR="00FA63B0" w:rsidRPr="002C30ED" w:rsidRDefault="00FA63B0" w:rsidP="002C30ED">
            <w:pPr>
              <w:jc w:val="both"/>
              <w:rPr>
                <w:rFonts w:ascii="Arial" w:hAnsi="Arial"/>
              </w:rPr>
            </w:pPr>
            <w:r w:rsidRPr="002C30ED">
              <w:rPr>
                <w:rFonts w:ascii="Arial" w:hAnsi="Arial"/>
              </w:rPr>
              <w:t>2.88</w:t>
            </w:r>
          </w:p>
        </w:tc>
        <w:tc>
          <w:tcPr>
            <w:tcW w:w="0" w:type="auto"/>
            <w:tcBorders>
              <w:top w:val="single" w:sz="4" w:space="0" w:color="auto"/>
            </w:tcBorders>
            <w:tcMar>
              <w:top w:w="0" w:type="dxa"/>
              <w:left w:w="108" w:type="dxa"/>
              <w:bottom w:w="0" w:type="dxa"/>
              <w:right w:w="108" w:type="dxa"/>
            </w:tcMar>
            <w:hideMark/>
          </w:tcPr>
          <w:p w14:paraId="5A1CA761" w14:textId="77777777" w:rsidR="00FA63B0" w:rsidRPr="002C30ED" w:rsidRDefault="00FA63B0" w:rsidP="002C30ED">
            <w:pPr>
              <w:jc w:val="both"/>
              <w:rPr>
                <w:rFonts w:ascii="Arial" w:hAnsi="Arial"/>
              </w:rPr>
            </w:pPr>
            <w:r w:rsidRPr="002C30ED">
              <w:rPr>
                <w:rFonts w:ascii="Arial" w:hAnsi="Arial"/>
              </w:rPr>
              <w:t>13.0</w:t>
            </w:r>
          </w:p>
        </w:tc>
        <w:tc>
          <w:tcPr>
            <w:tcW w:w="0" w:type="auto"/>
            <w:tcBorders>
              <w:top w:val="single" w:sz="4" w:space="0" w:color="auto"/>
            </w:tcBorders>
            <w:tcMar>
              <w:top w:w="0" w:type="dxa"/>
              <w:left w:w="108" w:type="dxa"/>
              <w:bottom w:w="0" w:type="dxa"/>
              <w:right w:w="108" w:type="dxa"/>
            </w:tcMar>
            <w:hideMark/>
          </w:tcPr>
          <w:p w14:paraId="184E27EE" w14:textId="77777777" w:rsidR="00FA63B0" w:rsidRPr="002C30ED" w:rsidRDefault="00FA63B0" w:rsidP="002C30ED">
            <w:pPr>
              <w:jc w:val="both"/>
              <w:rPr>
                <w:rFonts w:ascii="Arial" w:hAnsi="Arial"/>
              </w:rPr>
            </w:pPr>
            <w:r w:rsidRPr="002C30ED">
              <w:rPr>
                <w:rFonts w:ascii="Arial" w:hAnsi="Arial"/>
              </w:rPr>
              <w:t>3.37</w:t>
            </w:r>
          </w:p>
        </w:tc>
      </w:tr>
      <w:tr w:rsidR="00FA63B0" w:rsidRPr="00FA63B0" w14:paraId="1DD4319C" w14:textId="77777777" w:rsidTr="002C30ED">
        <w:trPr>
          <w:trHeight w:val="256"/>
        </w:trPr>
        <w:tc>
          <w:tcPr>
            <w:tcW w:w="0" w:type="auto"/>
            <w:tcMar>
              <w:top w:w="0" w:type="dxa"/>
              <w:left w:w="108" w:type="dxa"/>
              <w:bottom w:w="0" w:type="dxa"/>
              <w:right w:w="108" w:type="dxa"/>
            </w:tcMar>
            <w:hideMark/>
          </w:tcPr>
          <w:p w14:paraId="0D5312DC" w14:textId="77777777" w:rsidR="00FA63B0" w:rsidRPr="002C30ED" w:rsidRDefault="00FA63B0" w:rsidP="002C30ED">
            <w:pPr>
              <w:jc w:val="both"/>
              <w:rPr>
                <w:rFonts w:ascii="Arial" w:hAnsi="Arial"/>
              </w:rPr>
            </w:pPr>
            <w:r w:rsidRPr="002C30ED">
              <w:rPr>
                <w:rFonts w:ascii="Arial" w:hAnsi="Arial"/>
              </w:rPr>
              <w:t>Vinorelbine</w:t>
            </w:r>
          </w:p>
        </w:tc>
        <w:tc>
          <w:tcPr>
            <w:tcW w:w="0" w:type="auto"/>
            <w:tcMar>
              <w:top w:w="0" w:type="dxa"/>
              <w:left w:w="108" w:type="dxa"/>
              <w:bottom w:w="0" w:type="dxa"/>
              <w:right w:w="108" w:type="dxa"/>
            </w:tcMar>
            <w:hideMark/>
          </w:tcPr>
          <w:p w14:paraId="470737F2" w14:textId="77777777" w:rsidR="00FA63B0" w:rsidRPr="002C30ED" w:rsidRDefault="00FA63B0" w:rsidP="002C30ED">
            <w:pPr>
              <w:jc w:val="both"/>
              <w:rPr>
                <w:rFonts w:ascii="Arial" w:hAnsi="Arial"/>
              </w:rPr>
            </w:pPr>
            <w:r w:rsidRPr="002C30ED">
              <w:rPr>
                <w:rFonts w:ascii="Arial" w:hAnsi="Arial"/>
              </w:rPr>
              <w:t>4.84</w:t>
            </w:r>
          </w:p>
        </w:tc>
        <w:tc>
          <w:tcPr>
            <w:tcW w:w="0" w:type="auto"/>
            <w:tcMar>
              <w:top w:w="0" w:type="dxa"/>
              <w:left w:w="108" w:type="dxa"/>
              <w:bottom w:w="0" w:type="dxa"/>
              <w:right w:w="108" w:type="dxa"/>
            </w:tcMar>
            <w:hideMark/>
          </w:tcPr>
          <w:p w14:paraId="7AFA1754" w14:textId="77777777" w:rsidR="00FA63B0" w:rsidRPr="002C30ED" w:rsidRDefault="00FA63B0" w:rsidP="002C30ED">
            <w:pPr>
              <w:jc w:val="both"/>
              <w:rPr>
                <w:rFonts w:ascii="Arial" w:hAnsi="Arial"/>
              </w:rPr>
            </w:pPr>
            <w:r w:rsidRPr="002C30ED">
              <w:rPr>
                <w:rFonts w:ascii="Arial" w:hAnsi="Arial"/>
              </w:rPr>
              <w:t>772.5</w:t>
            </w:r>
          </w:p>
        </w:tc>
        <w:tc>
          <w:tcPr>
            <w:tcW w:w="0" w:type="auto"/>
            <w:tcMar>
              <w:top w:w="0" w:type="dxa"/>
              <w:left w:w="108" w:type="dxa"/>
              <w:bottom w:w="0" w:type="dxa"/>
              <w:right w:w="108" w:type="dxa"/>
            </w:tcMar>
            <w:hideMark/>
          </w:tcPr>
          <w:p w14:paraId="675DD83E" w14:textId="77777777" w:rsidR="00FA63B0" w:rsidRPr="002C30ED" w:rsidRDefault="00FA63B0" w:rsidP="002C30ED">
            <w:pPr>
              <w:jc w:val="both"/>
              <w:rPr>
                <w:rFonts w:ascii="Arial" w:hAnsi="Arial"/>
              </w:rPr>
            </w:pPr>
            <w:r w:rsidRPr="002C30ED">
              <w:rPr>
                <w:rFonts w:ascii="Arial" w:hAnsi="Arial"/>
              </w:rPr>
              <w:t>7.82×10-3</w:t>
            </w:r>
          </w:p>
        </w:tc>
        <w:tc>
          <w:tcPr>
            <w:tcW w:w="0" w:type="auto"/>
            <w:tcMar>
              <w:top w:w="0" w:type="dxa"/>
              <w:left w:w="108" w:type="dxa"/>
              <w:bottom w:w="0" w:type="dxa"/>
              <w:right w:w="108" w:type="dxa"/>
            </w:tcMar>
            <w:hideMark/>
          </w:tcPr>
          <w:p w14:paraId="163D9D90" w14:textId="77777777" w:rsidR="00FA63B0" w:rsidRPr="002C30ED" w:rsidRDefault="00FA63B0" w:rsidP="002C30ED">
            <w:pPr>
              <w:jc w:val="both"/>
              <w:rPr>
                <w:rFonts w:ascii="Arial" w:hAnsi="Arial"/>
              </w:rPr>
            </w:pPr>
            <w:r w:rsidRPr="002C30ED">
              <w:rPr>
                <w:rFonts w:ascii="Arial" w:hAnsi="Arial"/>
              </w:rPr>
              <w:t>3.40</w:t>
            </w:r>
          </w:p>
        </w:tc>
        <w:tc>
          <w:tcPr>
            <w:tcW w:w="0" w:type="auto"/>
            <w:tcMar>
              <w:top w:w="0" w:type="dxa"/>
              <w:left w:w="108" w:type="dxa"/>
              <w:bottom w:w="0" w:type="dxa"/>
              <w:right w:w="108" w:type="dxa"/>
            </w:tcMar>
            <w:hideMark/>
          </w:tcPr>
          <w:p w14:paraId="54D26B63" w14:textId="77777777" w:rsidR="00FA63B0" w:rsidRPr="002C30ED" w:rsidRDefault="00FA63B0" w:rsidP="002C30ED">
            <w:pPr>
              <w:jc w:val="both"/>
              <w:rPr>
                <w:rFonts w:ascii="Arial" w:hAnsi="Arial"/>
              </w:rPr>
            </w:pPr>
            <w:r w:rsidRPr="002C30ED">
              <w:rPr>
                <w:rFonts w:ascii="Arial" w:hAnsi="Arial"/>
              </w:rPr>
              <w:t>0.90</w:t>
            </w:r>
          </w:p>
        </w:tc>
        <w:tc>
          <w:tcPr>
            <w:tcW w:w="0" w:type="auto"/>
            <w:tcMar>
              <w:top w:w="0" w:type="dxa"/>
              <w:left w:w="108" w:type="dxa"/>
              <w:bottom w:w="0" w:type="dxa"/>
              <w:right w:w="108" w:type="dxa"/>
            </w:tcMar>
            <w:hideMark/>
          </w:tcPr>
          <w:p w14:paraId="276E9925" w14:textId="77777777" w:rsidR="00FA63B0" w:rsidRPr="002C30ED" w:rsidRDefault="00FA63B0" w:rsidP="002C30ED">
            <w:pPr>
              <w:jc w:val="both"/>
              <w:rPr>
                <w:rFonts w:ascii="Arial" w:hAnsi="Arial"/>
              </w:rPr>
            </w:pPr>
            <w:r w:rsidRPr="002C30ED">
              <w:rPr>
                <w:rFonts w:ascii="Arial" w:hAnsi="Arial"/>
              </w:rPr>
              <w:t>1.80</w:t>
            </w:r>
          </w:p>
        </w:tc>
        <w:tc>
          <w:tcPr>
            <w:tcW w:w="0" w:type="auto"/>
            <w:tcMar>
              <w:top w:w="0" w:type="dxa"/>
              <w:left w:w="108" w:type="dxa"/>
              <w:bottom w:w="0" w:type="dxa"/>
              <w:right w:w="108" w:type="dxa"/>
            </w:tcMar>
            <w:hideMark/>
          </w:tcPr>
          <w:p w14:paraId="58F5F4A9" w14:textId="77777777" w:rsidR="00FA63B0" w:rsidRPr="002C30ED" w:rsidRDefault="00FA63B0" w:rsidP="002C30ED">
            <w:pPr>
              <w:jc w:val="both"/>
              <w:rPr>
                <w:rFonts w:ascii="Arial" w:hAnsi="Arial"/>
              </w:rPr>
            </w:pPr>
            <w:r w:rsidRPr="002C30ED">
              <w:rPr>
                <w:rFonts w:ascii="Arial" w:hAnsi="Arial"/>
              </w:rPr>
              <w:t>8.10</w:t>
            </w:r>
          </w:p>
        </w:tc>
        <w:tc>
          <w:tcPr>
            <w:tcW w:w="0" w:type="auto"/>
            <w:tcMar>
              <w:top w:w="0" w:type="dxa"/>
              <w:left w:w="108" w:type="dxa"/>
              <w:bottom w:w="0" w:type="dxa"/>
              <w:right w:w="108" w:type="dxa"/>
            </w:tcMar>
            <w:hideMark/>
          </w:tcPr>
          <w:p w14:paraId="6EB7D786" w14:textId="77777777" w:rsidR="00FA63B0" w:rsidRPr="002C30ED" w:rsidRDefault="00FA63B0" w:rsidP="002C30ED">
            <w:pPr>
              <w:jc w:val="both"/>
              <w:rPr>
                <w:rFonts w:ascii="Arial" w:hAnsi="Arial"/>
              </w:rPr>
            </w:pPr>
            <w:r w:rsidRPr="002C30ED">
              <w:rPr>
                <w:rFonts w:ascii="Arial" w:hAnsi="Arial"/>
              </w:rPr>
              <w:t>3.50</w:t>
            </w:r>
          </w:p>
        </w:tc>
      </w:tr>
      <w:tr w:rsidR="00FA63B0" w:rsidRPr="00FA63B0" w14:paraId="5CD726A0" w14:textId="77777777" w:rsidTr="002C30ED">
        <w:trPr>
          <w:trHeight w:val="270"/>
        </w:trPr>
        <w:tc>
          <w:tcPr>
            <w:tcW w:w="0" w:type="auto"/>
            <w:tcMar>
              <w:top w:w="0" w:type="dxa"/>
              <w:left w:w="108" w:type="dxa"/>
              <w:bottom w:w="0" w:type="dxa"/>
              <w:right w:w="108" w:type="dxa"/>
            </w:tcMar>
            <w:hideMark/>
          </w:tcPr>
          <w:p w14:paraId="707FDFF2" w14:textId="77777777" w:rsidR="00FA63B0" w:rsidRPr="002C30ED" w:rsidRDefault="00FA63B0" w:rsidP="002C30ED">
            <w:pPr>
              <w:jc w:val="both"/>
              <w:rPr>
                <w:rFonts w:ascii="Arial" w:hAnsi="Arial"/>
              </w:rPr>
            </w:pPr>
            <w:r w:rsidRPr="002C30ED">
              <w:rPr>
                <w:rFonts w:ascii="Arial" w:hAnsi="Arial"/>
              </w:rPr>
              <w:t>Mycophenolic acid</w:t>
            </w:r>
          </w:p>
        </w:tc>
        <w:tc>
          <w:tcPr>
            <w:tcW w:w="0" w:type="auto"/>
            <w:tcMar>
              <w:top w:w="0" w:type="dxa"/>
              <w:left w:w="108" w:type="dxa"/>
              <w:bottom w:w="0" w:type="dxa"/>
              <w:right w:w="108" w:type="dxa"/>
            </w:tcMar>
            <w:hideMark/>
          </w:tcPr>
          <w:p w14:paraId="74BF428B" w14:textId="77777777" w:rsidR="00FA63B0" w:rsidRPr="002C30ED" w:rsidRDefault="00FA63B0" w:rsidP="002C30ED">
            <w:pPr>
              <w:jc w:val="both"/>
              <w:rPr>
                <w:rFonts w:ascii="Arial" w:hAnsi="Arial"/>
              </w:rPr>
            </w:pPr>
            <w:r w:rsidRPr="002C30ED">
              <w:rPr>
                <w:rFonts w:ascii="Arial" w:hAnsi="Arial"/>
              </w:rPr>
              <w:t>4.22</w:t>
            </w:r>
          </w:p>
        </w:tc>
        <w:tc>
          <w:tcPr>
            <w:tcW w:w="0" w:type="auto"/>
            <w:tcMar>
              <w:top w:w="0" w:type="dxa"/>
              <w:left w:w="108" w:type="dxa"/>
              <w:bottom w:w="0" w:type="dxa"/>
              <w:right w:w="108" w:type="dxa"/>
            </w:tcMar>
            <w:hideMark/>
          </w:tcPr>
          <w:p w14:paraId="6868C39B" w14:textId="77777777" w:rsidR="00FA63B0" w:rsidRPr="002C30ED" w:rsidRDefault="00FA63B0" w:rsidP="002C30ED">
            <w:pPr>
              <w:jc w:val="both"/>
              <w:rPr>
                <w:rFonts w:ascii="Arial" w:hAnsi="Arial"/>
              </w:rPr>
            </w:pPr>
            <w:r w:rsidRPr="002C30ED">
              <w:rPr>
                <w:rFonts w:ascii="Arial" w:hAnsi="Arial"/>
              </w:rPr>
              <w:t>22.07</w:t>
            </w:r>
          </w:p>
        </w:tc>
        <w:tc>
          <w:tcPr>
            <w:tcW w:w="0" w:type="auto"/>
            <w:tcMar>
              <w:top w:w="0" w:type="dxa"/>
              <w:left w:w="108" w:type="dxa"/>
              <w:bottom w:w="0" w:type="dxa"/>
              <w:right w:w="108" w:type="dxa"/>
            </w:tcMar>
            <w:hideMark/>
          </w:tcPr>
          <w:p w14:paraId="16250DEB" w14:textId="77777777" w:rsidR="00FA63B0" w:rsidRPr="002C30ED" w:rsidRDefault="00FA63B0" w:rsidP="002C30ED">
            <w:pPr>
              <w:jc w:val="both"/>
              <w:rPr>
                <w:rFonts w:ascii="Arial" w:hAnsi="Arial"/>
              </w:rPr>
            </w:pPr>
            <w:r w:rsidRPr="002C30ED">
              <w:rPr>
                <w:rFonts w:ascii="Arial" w:hAnsi="Arial"/>
              </w:rPr>
              <w:t>0.50</w:t>
            </w:r>
          </w:p>
        </w:tc>
        <w:tc>
          <w:tcPr>
            <w:tcW w:w="0" w:type="auto"/>
            <w:tcMar>
              <w:top w:w="0" w:type="dxa"/>
              <w:left w:w="108" w:type="dxa"/>
              <w:bottom w:w="0" w:type="dxa"/>
              <w:right w:w="108" w:type="dxa"/>
            </w:tcMar>
            <w:hideMark/>
          </w:tcPr>
          <w:p w14:paraId="2693A679" w14:textId="77777777" w:rsidR="00FA63B0" w:rsidRPr="002C30ED" w:rsidRDefault="00FA63B0" w:rsidP="002C30ED">
            <w:pPr>
              <w:jc w:val="both"/>
              <w:rPr>
                <w:rFonts w:ascii="Arial" w:hAnsi="Arial"/>
              </w:rPr>
            </w:pPr>
            <w:r w:rsidRPr="002C30ED">
              <w:rPr>
                <w:rFonts w:ascii="Arial" w:hAnsi="Arial"/>
              </w:rPr>
              <w:t>0.81</w:t>
            </w:r>
          </w:p>
        </w:tc>
        <w:tc>
          <w:tcPr>
            <w:tcW w:w="0" w:type="auto"/>
            <w:tcMar>
              <w:top w:w="0" w:type="dxa"/>
              <w:left w:w="108" w:type="dxa"/>
              <w:bottom w:w="0" w:type="dxa"/>
              <w:right w:w="108" w:type="dxa"/>
            </w:tcMar>
            <w:hideMark/>
          </w:tcPr>
          <w:p w14:paraId="096628FB" w14:textId="77777777" w:rsidR="00FA63B0" w:rsidRPr="002C30ED" w:rsidRDefault="00FA63B0" w:rsidP="002C30ED">
            <w:pPr>
              <w:jc w:val="both"/>
              <w:rPr>
                <w:rFonts w:ascii="Arial" w:hAnsi="Arial"/>
              </w:rPr>
            </w:pPr>
            <w:r w:rsidRPr="002C30ED">
              <w:rPr>
                <w:rFonts w:ascii="Arial" w:hAnsi="Arial"/>
              </w:rPr>
              <w:t>0.90</w:t>
            </w:r>
          </w:p>
        </w:tc>
        <w:tc>
          <w:tcPr>
            <w:tcW w:w="0" w:type="auto"/>
            <w:tcMar>
              <w:top w:w="0" w:type="dxa"/>
              <w:left w:w="108" w:type="dxa"/>
              <w:bottom w:w="0" w:type="dxa"/>
              <w:right w:w="108" w:type="dxa"/>
            </w:tcMar>
            <w:hideMark/>
          </w:tcPr>
          <w:p w14:paraId="2F3EE16D" w14:textId="77777777" w:rsidR="00FA63B0" w:rsidRPr="002C30ED" w:rsidRDefault="00FA63B0" w:rsidP="002C30ED">
            <w:pPr>
              <w:jc w:val="both"/>
              <w:rPr>
                <w:rFonts w:ascii="Arial" w:hAnsi="Arial"/>
              </w:rPr>
            </w:pPr>
            <w:r w:rsidRPr="002C30ED">
              <w:rPr>
                <w:rFonts w:ascii="Arial" w:hAnsi="Arial"/>
              </w:rPr>
              <w:t>1.80</w:t>
            </w:r>
          </w:p>
        </w:tc>
        <w:tc>
          <w:tcPr>
            <w:tcW w:w="0" w:type="auto"/>
            <w:tcMar>
              <w:top w:w="0" w:type="dxa"/>
              <w:left w:w="108" w:type="dxa"/>
              <w:bottom w:w="0" w:type="dxa"/>
              <w:right w:w="108" w:type="dxa"/>
            </w:tcMar>
            <w:hideMark/>
          </w:tcPr>
          <w:p w14:paraId="1A5AEDF0" w14:textId="77777777" w:rsidR="00FA63B0" w:rsidRPr="002C30ED" w:rsidRDefault="00FA63B0" w:rsidP="002C30ED">
            <w:pPr>
              <w:jc w:val="both"/>
              <w:rPr>
                <w:rFonts w:ascii="Arial" w:hAnsi="Arial"/>
              </w:rPr>
            </w:pPr>
            <w:r w:rsidRPr="002C30ED">
              <w:rPr>
                <w:rFonts w:ascii="Arial" w:hAnsi="Arial"/>
              </w:rPr>
              <w:t>8.10</w:t>
            </w:r>
          </w:p>
        </w:tc>
        <w:tc>
          <w:tcPr>
            <w:tcW w:w="0" w:type="auto"/>
            <w:tcMar>
              <w:top w:w="0" w:type="dxa"/>
              <w:left w:w="108" w:type="dxa"/>
              <w:bottom w:w="0" w:type="dxa"/>
              <w:right w:w="108" w:type="dxa"/>
            </w:tcMar>
            <w:hideMark/>
          </w:tcPr>
          <w:p w14:paraId="2D66D3C6" w14:textId="77777777" w:rsidR="00FA63B0" w:rsidRPr="002C30ED" w:rsidRDefault="00FA63B0" w:rsidP="002C30ED">
            <w:pPr>
              <w:jc w:val="both"/>
              <w:rPr>
                <w:rFonts w:ascii="Arial" w:hAnsi="Arial"/>
              </w:rPr>
            </w:pPr>
            <w:r w:rsidRPr="002C30ED">
              <w:rPr>
                <w:rFonts w:ascii="Arial" w:hAnsi="Arial"/>
              </w:rPr>
              <w:t>2.69 × 10-4</w:t>
            </w:r>
          </w:p>
        </w:tc>
      </w:tr>
      <w:tr w:rsidR="00FA63B0" w:rsidRPr="00FA63B0" w14:paraId="09E92423" w14:textId="77777777" w:rsidTr="002C30ED">
        <w:trPr>
          <w:trHeight w:val="256"/>
        </w:trPr>
        <w:tc>
          <w:tcPr>
            <w:tcW w:w="0" w:type="auto"/>
            <w:tcMar>
              <w:top w:w="0" w:type="dxa"/>
              <w:left w:w="108" w:type="dxa"/>
              <w:bottom w:w="0" w:type="dxa"/>
              <w:right w:w="108" w:type="dxa"/>
            </w:tcMar>
            <w:hideMark/>
          </w:tcPr>
          <w:p w14:paraId="44F19DD8" w14:textId="77777777" w:rsidR="00FA63B0" w:rsidRPr="002C30ED" w:rsidRDefault="00FA63B0" w:rsidP="002C30ED">
            <w:pPr>
              <w:jc w:val="both"/>
              <w:rPr>
                <w:rFonts w:ascii="Arial" w:hAnsi="Arial"/>
              </w:rPr>
            </w:pPr>
            <w:r w:rsidRPr="002C30ED">
              <w:rPr>
                <w:rFonts w:ascii="Arial" w:hAnsi="Arial"/>
              </w:rPr>
              <w:t>Cyproterone</w:t>
            </w:r>
          </w:p>
        </w:tc>
        <w:tc>
          <w:tcPr>
            <w:tcW w:w="0" w:type="auto"/>
            <w:tcMar>
              <w:top w:w="0" w:type="dxa"/>
              <w:left w:w="108" w:type="dxa"/>
              <w:bottom w:w="0" w:type="dxa"/>
              <w:right w:w="108" w:type="dxa"/>
            </w:tcMar>
            <w:hideMark/>
          </w:tcPr>
          <w:p w14:paraId="04413985" w14:textId="77777777" w:rsidR="00FA63B0" w:rsidRPr="002C30ED" w:rsidRDefault="00FA63B0" w:rsidP="002C30ED">
            <w:pPr>
              <w:jc w:val="both"/>
              <w:rPr>
                <w:rFonts w:ascii="Arial" w:hAnsi="Arial"/>
              </w:rPr>
            </w:pPr>
            <w:r w:rsidRPr="002C30ED">
              <w:rPr>
                <w:rFonts w:ascii="Arial" w:hAnsi="Arial"/>
              </w:rPr>
              <w:t>4.18</w:t>
            </w:r>
          </w:p>
        </w:tc>
        <w:tc>
          <w:tcPr>
            <w:tcW w:w="0" w:type="auto"/>
            <w:tcMar>
              <w:top w:w="0" w:type="dxa"/>
              <w:left w:w="108" w:type="dxa"/>
              <w:bottom w:w="0" w:type="dxa"/>
              <w:right w:w="108" w:type="dxa"/>
            </w:tcMar>
            <w:hideMark/>
          </w:tcPr>
          <w:p w14:paraId="554852D2" w14:textId="77777777" w:rsidR="00FA63B0" w:rsidRPr="002C30ED" w:rsidRDefault="00FA63B0" w:rsidP="002C30ED">
            <w:pPr>
              <w:jc w:val="both"/>
              <w:rPr>
                <w:rFonts w:ascii="Arial" w:hAnsi="Arial"/>
              </w:rPr>
            </w:pPr>
            <w:r w:rsidRPr="002C30ED">
              <w:rPr>
                <w:rFonts w:ascii="Arial" w:hAnsi="Arial"/>
              </w:rPr>
              <w:t>2.42</w:t>
            </w:r>
          </w:p>
        </w:tc>
        <w:tc>
          <w:tcPr>
            <w:tcW w:w="0" w:type="auto"/>
            <w:tcMar>
              <w:top w:w="0" w:type="dxa"/>
              <w:left w:w="108" w:type="dxa"/>
              <w:bottom w:w="0" w:type="dxa"/>
              <w:right w:w="108" w:type="dxa"/>
            </w:tcMar>
            <w:hideMark/>
          </w:tcPr>
          <w:p w14:paraId="529E2245" w14:textId="77777777" w:rsidR="00FA63B0" w:rsidRPr="002C30ED" w:rsidRDefault="00FA63B0" w:rsidP="002C30ED">
            <w:pPr>
              <w:jc w:val="both"/>
              <w:rPr>
                <w:rFonts w:ascii="Arial" w:hAnsi="Arial"/>
              </w:rPr>
            </w:pPr>
            <w:r w:rsidRPr="002C30ED">
              <w:rPr>
                <w:rFonts w:ascii="Arial" w:hAnsi="Arial"/>
              </w:rPr>
              <w:t>0.65</w:t>
            </w:r>
          </w:p>
        </w:tc>
        <w:tc>
          <w:tcPr>
            <w:tcW w:w="0" w:type="auto"/>
            <w:tcMar>
              <w:top w:w="0" w:type="dxa"/>
              <w:left w:w="108" w:type="dxa"/>
              <w:bottom w:w="0" w:type="dxa"/>
              <w:right w:w="108" w:type="dxa"/>
            </w:tcMar>
            <w:hideMark/>
          </w:tcPr>
          <w:p w14:paraId="1795A50F" w14:textId="77777777" w:rsidR="00FA63B0" w:rsidRPr="002C30ED" w:rsidRDefault="00FA63B0" w:rsidP="002C30ED">
            <w:pPr>
              <w:jc w:val="both"/>
              <w:rPr>
                <w:rFonts w:ascii="Arial" w:hAnsi="Arial"/>
              </w:rPr>
            </w:pPr>
            <w:r w:rsidRPr="002C30ED">
              <w:rPr>
                <w:rFonts w:ascii="Arial" w:hAnsi="Arial"/>
              </w:rPr>
              <w:t>2.06</w:t>
            </w:r>
          </w:p>
        </w:tc>
        <w:tc>
          <w:tcPr>
            <w:tcW w:w="0" w:type="auto"/>
            <w:tcMar>
              <w:top w:w="0" w:type="dxa"/>
              <w:left w:w="108" w:type="dxa"/>
              <w:bottom w:w="0" w:type="dxa"/>
              <w:right w:w="108" w:type="dxa"/>
            </w:tcMar>
            <w:hideMark/>
          </w:tcPr>
          <w:p w14:paraId="62E9EAD1" w14:textId="77777777" w:rsidR="00FA63B0" w:rsidRPr="002C30ED" w:rsidRDefault="00FA63B0" w:rsidP="002C30ED">
            <w:pPr>
              <w:jc w:val="both"/>
              <w:rPr>
                <w:rFonts w:ascii="Arial" w:hAnsi="Arial"/>
              </w:rPr>
            </w:pPr>
            <w:r w:rsidRPr="002C30ED">
              <w:rPr>
                <w:rFonts w:ascii="Arial" w:hAnsi="Arial"/>
              </w:rPr>
              <w:t>0.36</w:t>
            </w:r>
          </w:p>
        </w:tc>
        <w:tc>
          <w:tcPr>
            <w:tcW w:w="0" w:type="auto"/>
            <w:tcMar>
              <w:top w:w="0" w:type="dxa"/>
              <w:left w:w="108" w:type="dxa"/>
              <w:bottom w:w="0" w:type="dxa"/>
              <w:right w:w="108" w:type="dxa"/>
            </w:tcMar>
            <w:hideMark/>
          </w:tcPr>
          <w:p w14:paraId="42E240DF" w14:textId="77777777" w:rsidR="00FA63B0" w:rsidRPr="002C30ED" w:rsidRDefault="00FA63B0" w:rsidP="002C30ED">
            <w:pPr>
              <w:jc w:val="both"/>
              <w:rPr>
                <w:rFonts w:ascii="Arial" w:hAnsi="Arial"/>
              </w:rPr>
            </w:pPr>
            <w:r w:rsidRPr="002C30ED">
              <w:rPr>
                <w:rFonts w:ascii="Arial" w:hAnsi="Arial"/>
              </w:rPr>
              <w:t>0.72</w:t>
            </w:r>
          </w:p>
        </w:tc>
        <w:tc>
          <w:tcPr>
            <w:tcW w:w="0" w:type="auto"/>
            <w:tcMar>
              <w:top w:w="0" w:type="dxa"/>
              <w:left w:w="108" w:type="dxa"/>
              <w:bottom w:w="0" w:type="dxa"/>
              <w:right w:w="108" w:type="dxa"/>
            </w:tcMar>
            <w:hideMark/>
          </w:tcPr>
          <w:p w14:paraId="7CDF88E5" w14:textId="77777777" w:rsidR="00FA63B0" w:rsidRPr="002C30ED" w:rsidRDefault="00FA63B0" w:rsidP="002C30ED">
            <w:pPr>
              <w:jc w:val="both"/>
              <w:rPr>
                <w:rFonts w:ascii="Arial" w:hAnsi="Arial"/>
              </w:rPr>
            </w:pPr>
            <w:r w:rsidRPr="002C30ED">
              <w:rPr>
                <w:rFonts w:ascii="Arial" w:hAnsi="Arial"/>
              </w:rPr>
              <w:t>3.24</w:t>
            </w:r>
          </w:p>
        </w:tc>
        <w:tc>
          <w:tcPr>
            <w:tcW w:w="0" w:type="auto"/>
            <w:tcMar>
              <w:top w:w="0" w:type="dxa"/>
              <w:left w:w="108" w:type="dxa"/>
              <w:bottom w:w="0" w:type="dxa"/>
              <w:right w:w="108" w:type="dxa"/>
            </w:tcMar>
            <w:hideMark/>
          </w:tcPr>
          <w:p w14:paraId="2693A9E3" w14:textId="77777777" w:rsidR="00FA63B0" w:rsidRPr="002C30ED" w:rsidRDefault="00FA63B0" w:rsidP="002C30ED">
            <w:pPr>
              <w:jc w:val="both"/>
              <w:rPr>
                <w:rFonts w:ascii="Arial" w:hAnsi="Arial"/>
              </w:rPr>
            </w:pPr>
            <w:r w:rsidRPr="002C30ED">
              <w:rPr>
                <w:rFonts w:ascii="Arial" w:hAnsi="Arial"/>
              </w:rPr>
              <w:t>1.81 × 10-3</w:t>
            </w:r>
          </w:p>
        </w:tc>
      </w:tr>
      <w:tr w:rsidR="00FA63B0" w:rsidRPr="00FA63B0" w14:paraId="5D124D46" w14:textId="77777777" w:rsidTr="002C30ED">
        <w:trPr>
          <w:trHeight w:val="270"/>
        </w:trPr>
        <w:tc>
          <w:tcPr>
            <w:tcW w:w="0" w:type="auto"/>
            <w:tcMar>
              <w:top w:w="0" w:type="dxa"/>
              <w:left w:w="108" w:type="dxa"/>
              <w:bottom w:w="0" w:type="dxa"/>
              <w:right w:w="108" w:type="dxa"/>
            </w:tcMar>
            <w:hideMark/>
          </w:tcPr>
          <w:p w14:paraId="501C0ECF" w14:textId="77777777" w:rsidR="00FA63B0" w:rsidRPr="002C30ED" w:rsidRDefault="00FA63B0" w:rsidP="002C30ED">
            <w:pPr>
              <w:jc w:val="both"/>
              <w:rPr>
                <w:rFonts w:ascii="Arial" w:hAnsi="Arial"/>
              </w:rPr>
            </w:pPr>
            <w:r w:rsidRPr="002C30ED">
              <w:rPr>
                <w:rFonts w:ascii="Arial" w:hAnsi="Arial"/>
              </w:rPr>
              <w:t>Megestrol</w:t>
            </w:r>
          </w:p>
        </w:tc>
        <w:tc>
          <w:tcPr>
            <w:tcW w:w="0" w:type="auto"/>
            <w:tcMar>
              <w:top w:w="0" w:type="dxa"/>
              <w:left w:w="108" w:type="dxa"/>
              <w:bottom w:w="0" w:type="dxa"/>
              <w:right w:w="108" w:type="dxa"/>
            </w:tcMar>
            <w:hideMark/>
          </w:tcPr>
          <w:p w14:paraId="5F70E899" w14:textId="77777777" w:rsidR="00FA63B0" w:rsidRPr="002C30ED" w:rsidRDefault="00FA63B0" w:rsidP="002C30ED">
            <w:pPr>
              <w:jc w:val="both"/>
              <w:rPr>
                <w:rFonts w:ascii="Arial" w:hAnsi="Arial"/>
              </w:rPr>
            </w:pPr>
            <w:r w:rsidRPr="002C30ED">
              <w:rPr>
                <w:rFonts w:ascii="Arial" w:hAnsi="Arial"/>
              </w:rPr>
              <w:t>4.00</w:t>
            </w:r>
          </w:p>
        </w:tc>
        <w:tc>
          <w:tcPr>
            <w:tcW w:w="0" w:type="auto"/>
            <w:tcMar>
              <w:top w:w="0" w:type="dxa"/>
              <w:left w:w="108" w:type="dxa"/>
              <w:bottom w:w="0" w:type="dxa"/>
              <w:right w:w="108" w:type="dxa"/>
            </w:tcMar>
            <w:hideMark/>
          </w:tcPr>
          <w:p w14:paraId="099827C7" w14:textId="77777777" w:rsidR="00FA63B0" w:rsidRPr="002C30ED" w:rsidRDefault="00FA63B0" w:rsidP="002C30ED">
            <w:pPr>
              <w:jc w:val="both"/>
              <w:rPr>
                <w:rFonts w:ascii="Arial" w:hAnsi="Arial"/>
              </w:rPr>
            </w:pPr>
            <w:r w:rsidRPr="002C30ED">
              <w:rPr>
                <w:rFonts w:ascii="Arial" w:hAnsi="Arial"/>
              </w:rPr>
              <w:t>2.31</w:t>
            </w:r>
          </w:p>
        </w:tc>
        <w:tc>
          <w:tcPr>
            <w:tcW w:w="0" w:type="auto"/>
            <w:tcMar>
              <w:top w:w="0" w:type="dxa"/>
              <w:left w:w="108" w:type="dxa"/>
              <w:bottom w:w="0" w:type="dxa"/>
              <w:right w:w="108" w:type="dxa"/>
            </w:tcMar>
            <w:hideMark/>
          </w:tcPr>
          <w:p w14:paraId="2D3AA9E0" w14:textId="77777777" w:rsidR="00FA63B0" w:rsidRPr="002C30ED" w:rsidRDefault="00FA63B0" w:rsidP="002C30ED">
            <w:pPr>
              <w:jc w:val="both"/>
              <w:rPr>
                <w:rFonts w:ascii="Arial" w:hAnsi="Arial"/>
              </w:rPr>
            </w:pPr>
            <w:r w:rsidRPr="002C30ED">
              <w:rPr>
                <w:rFonts w:ascii="Arial" w:hAnsi="Arial"/>
              </w:rPr>
              <w:t>1.46</w:t>
            </w:r>
          </w:p>
        </w:tc>
        <w:tc>
          <w:tcPr>
            <w:tcW w:w="0" w:type="auto"/>
            <w:tcMar>
              <w:top w:w="0" w:type="dxa"/>
              <w:left w:w="108" w:type="dxa"/>
              <w:bottom w:w="0" w:type="dxa"/>
              <w:right w:w="108" w:type="dxa"/>
            </w:tcMar>
            <w:hideMark/>
          </w:tcPr>
          <w:p w14:paraId="3E93D323" w14:textId="77777777" w:rsidR="00FA63B0" w:rsidRPr="002C30ED" w:rsidRDefault="00FA63B0" w:rsidP="002C30ED">
            <w:pPr>
              <w:jc w:val="both"/>
              <w:rPr>
                <w:rFonts w:ascii="Arial" w:hAnsi="Arial"/>
              </w:rPr>
            </w:pPr>
            <w:r w:rsidRPr="002C30ED">
              <w:rPr>
                <w:rFonts w:ascii="Arial" w:hAnsi="Arial"/>
              </w:rPr>
              <w:t>3.96 × 10</w:t>
            </w:r>
          </w:p>
        </w:tc>
        <w:tc>
          <w:tcPr>
            <w:tcW w:w="0" w:type="auto"/>
            <w:tcMar>
              <w:top w:w="0" w:type="dxa"/>
              <w:left w:w="108" w:type="dxa"/>
              <w:bottom w:w="0" w:type="dxa"/>
              <w:right w:w="108" w:type="dxa"/>
            </w:tcMar>
            <w:hideMark/>
          </w:tcPr>
          <w:p w14:paraId="4817BA9C" w14:textId="77777777" w:rsidR="00FA63B0" w:rsidRPr="002C30ED" w:rsidRDefault="00FA63B0" w:rsidP="002C30ED">
            <w:pPr>
              <w:jc w:val="both"/>
              <w:rPr>
                <w:rFonts w:ascii="Arial" w:hAnsi="Arial"/>
              </w:rPr>
            </w:pPr>
            <w:r w:rsidRPr="002C30ED">
              <w:rPr>
                <w:rFonts w:ascii="Arial" w:hAnsi="Arial"/>
              </w:rPr>
              <w:t>0.36</w:t>
            </w:r>
          </w:p>
        </w:tc>
        <w:tc>
          <w:tcPr>
            <w:tcW w:w="0" w:type="auto"/>
            <w:tcMar>
              <w:top w:w="0" w:type="dxa"/>
              <w:left w:w="108" w:type="dxa"/>
              <w:bottom w:w="0" w:type="dxa"/>
              <w:right w:w="108" w:type="dxa"/>
            </w:tcMar>
            <w:hideMark/>
          </w:tcPr>
          <w:p w14:paraId="515EC4CB" w14:textId="77777777" w:rsidR="00FA63B0" w:rsidRPr="002C30ED" w:rsidRDefault="00FA63B0" w:rsidP="002C30ED">
            <w:pPr>
              <w:jc w:val="both"/>
              <w:rPr>
                <w:rFonts w:ascii="Arial" w:hAnsi="Arial"/>
              </w:rPr>
            </w:pPr>
            <w:r w:rsidRPr="002C30ED">
              <w:rPr>
                <w:rFonts w:ascii="Arial" w:hAnsi="Arial"/>
              </w:rPr>
              <w:t>0.72</w:t>
            </w:r>
          </w:p>
        </w:tc>
        <w:tc>
          <w:tcPr>
            <w:tcW w:w="0" w:type="auto"/>
            <w:tcMar>
              <w:top w:w="0" w:type="dxa"/>
              <w:left w:w="108" w:type="dxa"/>
              <w:bottom w:w="0" w:type="dxa"/>
              <w:right w:w="108" w:type="dxa"/>
            </w:tcMar>
            <w:hideMark/>
          </w:tcPr>
          <w:p w14:paraId="3BB07C95" w14:textId="77777777" w:rsidR="00FA63B0" w:rsidRPr="002C30ED" w:rsidRDefault="00FA63B0" w:rsidP="002C30ED">
            <w:pPr>
              <w:jc w:val="both"/>
              <w:rPr>
                <w:rFonts w:ascii="Arial" w:hAnsi="Arial"/>
              </w:rPr>
            </w:pPr>
            <w:r w:rsidRPr="002C30ED">
              <w:rPr>
                <w:rFonts w:ascii="Arial" w:hAnsi="Arial"/>
              </w:rPr>
              <w:t>3.24</w:t>
            </w:r>
          </w:p>
        </w:tc>
        <w:tc>
          <w:tcPr>
            <w:tcW w:w="0" w:type="auto"/>
            <w:tcMar>
              <w:top w:w="0" w:type="dxa"/>
              <w:left w:w="108" w:type="dxa"/>
              <w:bottom w:w="0" w:type="dxa"/>
              <w:right w:w="108" w:type="dxa"/>
            </w:tcMar>
            <w:hideMark/>
          </w:tcPr>
          <w:p w14:paraId="7CA83BFD" w14:textId="77777777" w:rsidR="00FA63B0" w:rsidRPr="002C30ED" w:rsidRDefault="00FA63B0" w:rsidP="002C30ED">
            <w:pPr>
              <w:jc w:val="both"/>
              <w:rPr>
                <w:rFonts w:ascii="Arial" w:hAnsi="Arial"/>
              </w:rPr>
            </w:pPr>
            <w:r w:rsidRPr="002C30ED">
              <w:rPr>
                <w:rFonts w:ascii="Arial" w:hAnsi="Arial"/>
              </w:rPr>
              <w:t>1.20 × 10-3</w:t>
            </w:r>
          </w:p>
        </w:tc>
      </w:tr>
      <w:tr w:rsidR="00FA63B0" w:rsidRPr="00FA63B0" w14:paraId="0537FC65" w14:textId="77777777" w:rsidTr="002C30ED">
        <w:trPr>
          <w:trHeight w:val="256"/>
        </w:trPr>
        <w:tc>
          <w:tcPr>
            <w:tcW w:w="0" w:type="auto"/>
            <w:tcMar>
              <w:top w:w="0" w:type="dxa"/>
              <w:left w:w="108" w:type="dxa"/>
              <w:bottom w:w="0" w:type="dxa"/>
              <w:right w:w="108" w:type="dxa"/>
            </w:tcMar>
            <w:hideMark/>
          </w:tcPr>
          <w:p w14:paraId="222B53B8" w14:textId="77777777" w:rsidR="00FA63B0" w:rsidRPr="002C30ED" w:rsidRDefault="00FA63B0" w:rsidP="002C30ED">
            <w:pPr>
              <w:jc w:val="both"/>
              <w:rPr>
                <w:rFonts w:ascii="Arial" w:hAnsi="Arial"/>
              </w:rPr>
            </w:pPr>
            <w:r w:rsidRPr="002C30ED">
              <w:rPr>
                <w:rFonts w:ascii="Arial" w:hAnsi="Arial"/>
              </w:rPr>
              <w:t>Chlorambucil</w:t>
            </w:r>
          </w:p>
        </w:tc>
        <w:tc>
          <w:tcPr>
            <w:tcW w:w="0" w:type="auto"/>
            <w:tcMar>
              <w:top w:w="0" w:type="dxa"/>
              <w:left w:w="108" w:type="dxa"/>
              <w:bottom w:w="0" w:type="dxa"/>
              <w:right w:w="108" w:type="dxa"/>
            </w:tcMar>
            <w:hideMark/>
          </w:tcPr>
          <w:p w14:paraId="733772C9" w14:textId="77777777" w:rsidR="00FA63B0" w:rsidRPr="002C30ED" w:rsidRDefault="00FA63B0" w:rsidP="002C30ED">
            <w:pPr>
              <w:jc w:val="both"/>
              <w:rPr>
                <w:rFonts w:ascii="Arial" w:hAnsi="Arial"/>
              </w:rPr>
            </w:pPr>
            <w:r w:rsidRPr="002C30ED">
              <w:rPr>
                <w:rFonts w:ascii="Arial" w:hAnsi="Arial"/>
              </w:rPr>
              <w:t>3.82</w:t>
            </w:r>
          </w:p>
        </w:tc>
        <w:tc>
          <w:tcPr>
            <w:tcW w:w="0" w:type="auto"/>
            <w:tcMar>
              <w:top w:w="0" w:type="dxa"/>
              <w:left w:w="108" w:type="dxa"/>
              <w:bottom w:w="0" w:type="dxa"/>
              <w:right w:w="108" w:type="dxa"/>
            </w:tcMar>
            <w:hideMark/>
          </w:tcPr>
          <w:p w14:paraId="313B8B05" w14:textId="77777777" w:rsidR="00FA63B0" w:rsidRPr="002C30ED" w:rsidRDefault="00FA63B0" w:rsidP="002C30ED">
            <w:pPr>
              <w:jc w:val="both"/>
              <w:rPr>
                <w:rFonts w:ascii="Arial" w:hAnsi="Arial"/>
              </w:rPr>
            </w:pPr>
            <w:r w:rsidRPr="002C30ED">
              <w:rPr>
                <w:rFonts w:ascii="Arial" w:hAnsi="Arial"/>
              </w:rPr>
              <w:t>0.5</w:t>
            </w:r>
          </w:p>
        </w:tc>
        <w:tc>
          <w:tcPr>
            <w:tcW w:w="0" w:type="auto"/>
            <w:tcMar>
              <w:top w:w="0" w:type="dxa"/>
              <w:left w:w="108" w:type="dxa"/>
              <w:bottom w:w="0" w:type="dxa"/>
              <w:right w:w="108" w:type="dxa"/>
            </w:tcMar>
            <w:hideMark/>
          </w:tcPr>
          <w:p w14:paraId="54511E59" w14:textId="77777777" w:rsidR="00FA63B0" w:rsidRPr="002C30ED" w:rsidRDefault="00FA63B0" w:rsidP="002C30ED">
            <w:pPr>
              <w:jc w:val="both"/>
              <w:rPr>
                <w:rFonts w:ascii="Arial" w:hAnsi="Arial"/>
              </w:rPr>
            </w:pPr>
            <w:r w:rsidRPr="002C30ED">
              <w:rPr>
                <w:rFonts w:ascii="Arial" w:hAnsi="Arial"/>
              </w:rPr>
              <w:t>1.02 × 103</w:t>
            </w:r>
          </w:p>
        </w:tc>
        <w:tc>
          <w:tcPr>
            <w:tcW w:w="0" w:type="auto"/>
            <w:tcMar>
              <w:top w:w="0" w:type="dxa"/>
              <w:left w:w="108" w:type="dxa"/>
              <w:bottom w:w="0" w:type="dxa"/>
              <w:right w:w="108" w:type="dxa"/>
            </w:tcMar>
            <w:hideMark/>
          </w:tcPr>
          <w:p w14:paraId="47062CE0" w14:textId="77777777" w:rsidR="00FA63B0" w:rsidRPr="002C30ED" w:rsidRDefault="00FA63B0" w:rsidP="002C30ED">
            <w:pPr>
              <w:jc w:val="both"/>
              <w:rPr>
                <w:rFonts w:ascii="Arial" w:hAnsi="Arial"/>
              </w:rPr>
            </w:pPr>
            <w:r w:rsidRPr="002C30ED">
              <w:rPr>
                <w:rFonts w:ascii="Arial" w:hAnsi="Arial"/>
              </w:rPr>
              <w:t>4.88</w:t>
            </w:r>
          </w:p>
        </w:tc>
        <w:tc>
          <w:tcPr>
            <w:tcW w:w="0" w:type="auto"/>
            <w:tcMar>
              <w:top w:w="0" w:type="dxa"/>
              <w:left w:w="108" w:type="dxa"/>
              <w:bottom w:w="0" w:type="dxa"/>
              <w:right w:w="108" w:type="dxa"/>
            </w:tcMar>
            <w:hideMark/>
          </w:tcPr>
          <w:p w14:paraId="52F46078" w14:textId="77777777" w:rsidR="00FA63B0" w:rsidRPr="002C30ED" w:rsidRDefault="00FA63B0" w:rsidP="002C30ED">
            <w:pPr>
              <w:jc w:val="both"/>
              <w:rPr>
                <w:rFonts w:ascii="Arial" w:hAnsi="Arial"/>
              </w:rPr>
            </w:pPr>
            <w:r w:rsidRPr="002C30ED">
              <w:rPr>
                <w:rFonts w:ascii="Arial" w:hAnsi="Arial"/>
              </w:rPr>
              <w:t>0.90</w:t>
            </w:r>
          </w:p>
        </w:tc>
        <w:tc>
          <w:tcPr>
            <w:tcW w:w="0" w:type="auto"/>
            <w:tcMar>
              <w:top w:w="0" w:type="dxa"/>
              <w:left w:w="108" w:type="dxa"/>
              <w:bottom w:w="0" w:type="dxa"/>
              <w:right w:w="108" w:type="dxa"/>
            </w:tcMar>
            <w:hideMark/>
          </w:tcPr>
          <w:p w14:paraId="0425C64C" w14:textId="77777777" w:rsidR="00FA63B0" w:rsidRPr="002C30ED" w:rsidRDefault="00FA63B0" w:rsidP="002C30ED">
            <w:pPr>
              <w:jc w:val="both"/>
              <w:rPr>
                <w:rFonts w:ascii="Arial" w:hAnsi="Arial"/>
              </w:rPr>
            </w:pPr>
            <w:r w:rsidRPr="002C30ED">
              <w:rPr>
                <w:rFonts w:ascii="Arial" w:hAnsi="Arial"/>
              </w:rPr>
              <w:t>1.80</w:t>
            </w:r>
          </w:p>
        </w:tc>
        <w:tc>
          <w:tcPr>
            <w:tcW w:w="0" w:type="auto"/>
            <w:tcMar>
              <w:top w:w="0" w:type="dxa"/>
              <w:left w:w="108" w:type="dxa"/>
              <w:bottom w:w="0" w:type="dxa"/>
              <w:right w:w="108" w:type="dxa"/>
            </w:tcMar>
            <w:hideMark/>
          </w:tcPr>
          <w:p w14:paraId="3834F7E6" w14:textId="77777777" w:rsidR="00FA63B0" w:rsidRPr="002C30ED" w:rsidRDefault="00FA63B0" w:rsidP="002C30ED">
            <w:pPr>
              <w:jc w:val="both"/>
              <w:rPr>
                <w:rFonts w:ascii="Arial" w:hAnsi="Arial"/>
              </w:rPr>
            </w:pPr>
            <w:r w:rsidRPr="002C30ED">
              <w:rPr>
                <w:rFonts w:ascii="Arial" w:hAnsi="Arial"/>
              </w:rPr>
              <w:t>8.10</w:t>
            </w:r>
          </w:p>
        </w:tc>
        <w:tc>
          <w:tcPr>
            <w:tcW w:w="0" w:type="auto"/>
            <w:tcMar>
              <w:top w:w="0" w:type="dxa"/>
              <w:left w:w="108" w:type="dxa"/>
              <w:bottom w:w="0" w:type="dxa"/>
              <w:right w:w="108" w:type="dxa"/>
            </w:tcMar>
            <w:hideMark/>
          </w:tcPr>
          <w:p w14:paraId="6317056C" w14:textId="77777777" w:rsidR="00FA63B0" w:rsidRPr="002C30ED" w:rsidRDefault="00FA63B0" w:rsidP="002C30ED">
            <w:pPr>
              <w:jc w:val="both"/>
              <w:rPr>
                <w:rFonts w:ascii="Arial" w:hAnsi="Arial"/>
              </w:rPr>
            </w:pPr>
            <w:r w:rsidRPr="002C30ED">
              <w:rPr>
                <w:rFonts w:ascii="Arial" w:hAnsi="Arial"/>
              </w:rPr>
              <w:t>4.41 × 10-2</w:t>
            </w:r>
          </w:p>
        </w:tc>
      </w:tr>
      <w:tr w:rsidR="00FA63B0" w:rsidRPr="00FA63B0" w14:paraId="36B10271" w14:textId="77777777" w:rsidTr="002C30ED">
        <w:trPr>
          <w:trHeight w:val="270"/>
        </w:trPr>
        <w:tc>
          <w:tcPr>
            <w:tcW w:w="0" w:type="auto"/>
            <w:tcMar>
              <w:top w:w="0" w:type="dxa"/>
              <w:left w:w="108" w:type="dxa"/>
              <w:bottom w:w="0" w:type="dxa"/>
              <w:right w:w="108" w:type="dxa"/>
            </w:tcMar>
            <w:hideMark/>
          </w:tcPr>
          <w:p w14:paraId="4FDA6158" w14:textId="77777777" w:rsidR="00FA63B0" w:rsidRPr="002C30ED" w:rsidRDefault="00FA63B0" w:rsidP="002C30ED">
            <w:pPr>
              <w:jc w:val="both"/>
              <w:rPr>
                <w:rFonts w:ascii="Arial" w:hAnsi="Arial"/>
              </w:rPr>
            </w:pPr>
            <w:r w:rsidRPr="002C30ED">
              <w:rPr>
                <w:rFonts w:ascii="Arial" w:hAnsi="Arial"/>
              </w:rPr>
              <w:t>Letrozole</w:t>
            </w:r>
          </w:p>
        </w:tc>
        <w:tc>
          <w:tcPr>
            <w:tcW w:w="0" w:type="auto"/>
            <w:tcMar>
              <w:top w:w="0" w:type="dxa"/>
              <w:left w:w="108" w:type="dxa"/>
              <w:bottom w:w="0" w:type="dxa"/>
              <w:right w:w="108" w:type="dxa"/>
            </w:tcMar>
            <w:hideMark/>
          </w:tcPr>
          <w:p w14:paraId="07D53EB8" w14:textId="77777777" w:rsidR="00FA63B0" w:rsidRPr="002C30ED" w:rsidRDefault="00FA63B0" w:rsidP="002C30ED">
            <w:pPr>
              <w:jc w:val="both"/>
              <w:rPr>
                <w:rFonts w:ascii="Arial" w:hAnsi="Arial"/>
              </w:rPr>
            </w:pPr>
            <w:r w:rsidRPr="002C30ED">
              <w:rPr>
                <w:rFonts w:ascii="Arial" w:hAnsi="Arial"/>
              </w:rPr>
              <w:t>3.39</w:t>
            </w:r>
          </w:p>
        </w:tc>
        <w:tc>
          <w:tcPr>
            <w:tcW w:w="0" w:type="auto"/>
            <w:tcMar>
              <w:top w:w="0" w:type="dxa"/>
              <w:left w:w="108" w:type="dxa"/>
              <w:bottom w:w="0" w:type="dxa"/>
              <w:right w:w="108" w:type="dxa"/>
            </w:tcMar>
            <w:hideMark/>
          </w:tcPr>
          <w:p w14:paraId="1AD3D2D7" w14:textId="77777777" w:rsidR="00FA63B0" w:rsidRPr="002C30ED" w:rsidRDefault="00FA63B0" w:rsidP="002C30ED">
            <w:pPr>
              <w:jc w:val="both"/>
              <w:rPr>
                <w:rFonts w:ascii="Arial" w:hAnsi="Arial"/>
              </w:rPr>
            </w:pPr>
            <w:r w:rsidRPr="002C30ED">
              <w:rPr>
                <w:rFonts w:ascii="Arial" w:hAnsi="Arial"/>
              </w:rPr>
              <w:t>18.2</w:t>
            </w:r>
          </w:p>
        </w:tc>
        <w:tc>
          <w:tcPr>
            <w:tcW w:w="0" w:type="auto"/>
            <w:tcMar>
              <w:top w:w="0" w:type="dxa"/>
              <w:left w:w="108" w:type="dxa"/>
              <w:bottom w:w="0" w:type="dxa"/>
              <w:right w:w="108" w:type="dxa"/>
            </w:tcMar>
            <w:hideMark/>
          </w:tcPr>
          <w:p w14:paraId="4B4C4C36" w14:textId="77777777" w:rsidR="00FA63B0" w:rsidRPr="002C30ED" w:rsidRDefault="00FA63B0" w:rsidP="002C30ED">
            <w:pPr>
              <w:jc w:val="both"/>
              <w:rPr>
                <w:rFonts w:ascii="Arial" w:hAnsi="Arial"/>
              </w:rPr>
            </w:pPr>
            <w:r w:rsidRPr="002C30ED">
              <w:rPr>
                <w:rFonts w:ascii="Arial" w:hAnsi="Arial"/>
              </w:rPr>
              <w:t>1.03 × 102</w:t>
            </w:r>
          </w:p>
        </w:tc>
        <w:tc>
          <w:tcPr>
            <w:tcW w:w="0" w:type="auto"/>
            <w:tcMar>
              <w:top w:w="0" w:type="dxa"/>
              <w:left w:w="108" w:type="dxa"/>
              <w:bottom w:w="0" w:type="dxa"/>
              <w:right w:w="108" w:type="dxa"/>
            </w:tcMar>
            <w:hideMark/>
          </w:tcPr>
          <w:p w14:paraId="49147FBE" w14:textId="77777777" w:rsidR="00FA63B0" w:rsidRPr="002C30ED" w:rsidRDefault="00FA63B0" w:rsidP="002C30ED">
            <w:pPr>
              <w:jc w:val="both"/>
              <w:rPr>
                <w:rFonts w:ascii="Arial" w:hAnsi="Arial"/>
              </w:rPr>
            </w:pPr>
            <w:r w:rsidRPr="002C30ED">
              <w:rPr>
                <w:rFonts w:ascii="Arial" w:hAnsi="Arial"/>
              </w:rPr>
              <w:t>6.13</w:t>
            </w:r>
          </w:p>
        </w:tc>
        <w:tc>
          <w:tcPr>
            <w:tcW w:w="0" w:type="auto"/>
            <w:tcMar>
              <w:top w:w="0" w:type="dxa"/>
              <w:left w:w="108" w:type="dxa"/>
              <w:bottom w:w="0" w:type="dxa"/>
              <w:right w:w="108" w:type="dxa"/>
            </w:tcMar>
            <w:hideMark/>
          </w:tcPr>
          <w:p w14:paraId="32758AD8" w14:textId="77777777" w:rsidR="00FA63B0" w:rsidRPr="002C30ED" w:rsidRDefault="00FA63B0" w:rsidP="002C30ED">
            <w:pPr>
              <w:jc w:val="both"/>
              <w:rPr>
                <w:rFonts w:ascii="Arial" w:hAnsi="Arial"/>
              </w:rPr>
            </w:pPr>
            <w:r w:rsidRPr="002C30ED">
              <w:rPr>
                <w:rFonts w:ascii="Arial" w:hAnsi="Arial"/>
              </w:rPr>
              <w:t>0.90</w:t>
            </w:r>
          </w:p>
        </w:tc>
        <w:tc>
          <w:tcPr>
            <w:tcW w:w="0" w:type="auto"/>
            <w:tcMar>
              <w:top w:w="0" w:type="dxa"/>
              <w:left w:w="108" w:type="dxa"/>
              <w:bottom w:w="0" w:type="dxa"/>
              <w:right w:w="108" w:type="dxa"/>
            </w:tcMar>
            <w:hideMark/>
          </w:tcPr>
          <w:p w14:paraId="625C4CBE" w14:textId="77777777" w:rsidR="00FA63B0" w:rsidRPr="002C30ED" w:rsidRDefault="00FA63B0" w:rsidP="002C30ED">
            <w:pPr>
              <w:jc w:val="both"/>
              <w:rPr>
                <w:rFonts w:ascii="Arial" w:hAnsi="Arial"/>
              </w:rPr>
            </w:pPr>
            <w:r w:rsidRPr="002C30ED">
              <w:rPr>
                <w:rFonts w:ascii="Arial" w:hAnsi="Arial"/>
              </w:rPr>
              <w:t>1.80</w:t>
            </w:r>
          </w:p>
        </w:tc>
        <w:tc>
          <w:tcPr>
            <w:tcW w:w="0" w:type="auto"/>
            <w:tcMar>
              <w:top w:w="0" w:type="dxa"/>
              <w:left w:w="108" w:type="dxa"/>
              <w:bottom w:w="0" w:type="dxa"/>
              <w:right w:w="108" w:type="dxa"/>
            </w:tcMar>
            <w:hideMark/>
          </w:tcPr>
          <w:p w14:paraId="09F911C8" w14:textId="77777777" w:rsidR="00FA63B0" w:rsidRPr="002C30ED" w:rsidRDefault="00FA63B0" w:rsidP="002C30ED">
            <w:pPr>
              <w:jc w:val="both"/>
              <w:rPr>
                <w:rFonts w:ascii="Arial" w:hAnsi="Arial"/>
              </w:rPr>
            </w:pPr>
            <w:r w:rsidRPr="002C30ED">
              <w:rPr>
                <w:rFonts w:ascii="Arial" w:hAnsi="Arial"/>
              </w:rPr>
              <w:t>8.10</w:t>
            </w:r>
          </w:p>
        </w:tc>
        <w:tc>
          <w:tcPr>
            <w:tcW w:w="0" w:type="auto"/>
            <w:tcMar>
              <w:top w:w="0" w:type="dxa"/>
              <w:left w:w="108" w:type="dxa"/>
              <w:bottom w:w="0" w:type="dxa"/>
              <w:right w:w="108" w:type="dxa"/>
            </w:tcMar>
            <w:hideMark/>
          </w:tcPr>
          <w:p w14:paraId="332BE9B1" w14:textId="77777777" w:rsidR="00FA63B0" w:rsidRPr="002C30ED" w:rsidRDefault="00FA63B0" w:rsidP="002C30ED">
            <w:pPr>
              <w:jc w:val="both"/>
              <w:rPr>
                <w:rFonts w:ascii="Arial" w:hAnsi="Arial"/>
              </w:rPr>
            </w:pPr>
            <w:r w:rsidRPr="002C30ED">
              <w:rPr>
                <w:rFonts w:ascii="Arial" w:hAnsi="Arial"/>
              </w:rPr>
              <w:t>4.58 × 10-3</w:t>
            </w:r>
          </w:p>
        </w:tc>
      </w:tr>
      <w:tr w:rsidR="00FA63B0" w:rsidRPr="00FA63B0" w14:paraId="1C935E96" w14:textId="77777777" w:rsidTr="002C30ED">
        <w:trPr>
          <w:trHeight w:val="256"/>
        </w:trPr>
        <w:tc>
          <w:tcPr>
            <w:tcW w:w="0" w:type="auto"/>
            <w:tcMar>
              <w:top w:w="0" w:type="dxa"/>
              <w:left w:w="108" w:type="dxa"/>
              <w:bottom w:w="0" w:type="dxa"/>
              <w:right w:w="108" w:type="dxa"/>
            </w:tcMar>
            <w:hideMark/>
          </w:tcPr>
          <w:p w14:paraId="3FB78C68" w14:textId="77777777" w:rsidR="00FA63B0" w:rsidRPr="002C30ED" w:rsidRDefault="00FA63B0" w:rsidP="002C30ED">
            <w:pPr>
              <w:jc w:val="both"/>
              <w:rPr>
                <w:rFonts w:ascii="Arial" w:hAnsi="Arial"/>
              </w:rPr>
            </w:pPr>
            <w:r w:rsidRPr="002C30ED">
              <w:rPr>
                <w:rFonts w:ascii="Arial" w:hAnsi="Arial"/>
              </w:rPr>
              <w:t>Paclitaxel</w:t>
            </w:r>
          </w:p>
        </w:tc>
        <w:tc>
          <w:tcPr>
            <w:tcW w:w="0" w:type="auto"/>
            <w:tcMar>
              <w:top w:w="0" w:type="dxa"/>
              <w:left w:w="108" w:type="dxa"/>
              <w:bottom w:w="0" w:type="dxa"/>
              <w:right w:w="108" w:type="dxa"/>
            </w:tcMar>
            <w:hideMark/>
          </w:tcPr>
          <w:p w14:paraId="7F924612" w14:textId="77777777" w:rsidR="00FA63B0" w:rsidRPr="002C30ED" w:rsidRDefault="00FA63B0" w:rsidP="002C30ED">
            <w:pPr>
              <w:jc w:val="both"/>
              <w:rPr>
                <w:rFonts w:ascii="Arial" w:hAnsi="Arial"/>
              </w:rPr>
            </w:pPr>
            <w:r w:rsidRPr="002C30ED">
              <w:rPr>
                <w:rFonts w:ascii="Arial" w:hAnsi="Arial"/>
              </w:rPr>
              <w:t>3.31</w:t>
            </w:r>
          </w:p>
        </w:tc>
        <w:tc>
          <w:tcPr>
            <w:tcW w:w="0" w:type="auto"/>
            <w:tcMar>
              <w:top w:w="0" w:type="dxa"/>
              <w:left w:w="108" w:type="dxa"/>
              <w:bottom w:w="0" w:type="dxa"/>
              <w:right w:w="108" w:type="dxa"/>
            </w:tcMar>
            <w:hideMark/>
          </w:tcPr>
          <w:p w14:paraId="29972E01" w14:textId="77777777" w:rsidR="00FA63B0" w:rsidRPr="002C30ED" w:rsidRDefault="00FA63B0" w:rsidP="002C30ED">
            <w:pPr>
              <w:jc w:val="both"/>
              <w:rPr>
                <w:rFonts w:ascii="Arial" w:hAnsi="Arial"/>
              </w:rPr>
            </w:pPr>
            <w:r w:rsidRPr="002C30ED">
              <w:rPr>
                <w:rFonts w:ascii="Arial" w:hAnsi="Arial"/>
              </w:rPr>
              <w:t>1.59</w:t>
            </w:r>
          </w:p>
        </w:tc>
        <w:tc>
          <w:tcPr>
            <w:tcW w:w="0" w:type="auto"/>
            <w:tcMar>
              <w:top w:w="0" w:type="dxa"/>
              <w:left w:w="108" w:type="dxa"/>
              <w:bottom w:w="0" w:type="dxa"/>
              <w:right w:w="108" w:type="dxa"/>
            </w:tcMar>
            <w:hideMark/>
          </w:tcPr>
          <w:p w14:paraId="27CCB3CE" w14:textId="77777777" w:rsidR="00FA63B0" w:rsidRPr="002C30ED" w:rsidRDefault="00FA63B0" w:rsidP="002C30ED">
            <w:pPr>
              <w:jc w:val="both"/>
              <w:rPr>
                <w:rFonts w:ascii="Arial" w:hAnsi="Arial"/>
              </w:rPr>
            </w:pPr>
            <w:r w:rsidRPr="002C30ED">
              <w:rPr>
                <w:rFonts w:ascii="Arial" w:hAnsi="Arial"/>
              </w:rPr>
              <w:t>4.85×10-3</w:t>
            </w:r>
          </w:p>
        </w:tc>
        <w:tc>
          <w:tcPr>
            <w:tcW w:w="0" w:type="auto"/>
            <w:tcMar>
              <w:top w:w="0" w:type="dxa"/>
              <w:left w:w="108" w:type="dxa"/>
              <w:bottom w:w="0" w:type="dxa"/>
              <w:right w:w="108" w:type="dxa"/>
            </w:tcMar>
            <w:hideMark/>
          </w:tcPr>
          <w:p w14:paraId="731ABEB3" w14:textId="77777777" w:rsidR="00FA63B0" w:rsidRPr="002C30ED" w:rsidRDefault="00FA63B0" w:rsidP="002C30ED">
            <w:pPr>
              <w:jc w:val="both"/>
              <w:rPr>
                <w:rFonts w:ascii="Arial" w:hAnsi="Arial"/>
              </w:rPr>
            </w:pPr>
            <w:r w:rsidRPr="002C30ED">
              <w:rPr>
                <w:rFonts w:ascii="Arial" w:hAnsi="Arial"/>
              </w:rPr>
              <w:t>3.08</w:t>
            </w:r>
          </w:p>
        </w:tc>
        <w:tc>
          <w:tcPr>
            <w:tcW w:w="0" w:type="auto"/>
            <w:tcMar>
              <w:top w:w="0" w:type="dxa"/>
              <w:left w:w="108" w:type="dxa"/>
              <w:bottom w:w="0" w:type="dxa"/>
              <w:right w:w="108" w:type="dxa"/>
            </w:tcMar>
            <w:hideMark/>
          </w:tcPr>
          <w:p w14:paraId="6412C333" w14:textId="77777777" w:rsidR="00FA63B0" w:rsidRPr="002C30ED" w:rsidRDefault="00FA63B0" w:rsidP="002C30ED">
            <w:pPr>
              <w:jc w:val="both"/>
              <w:rPr>
                <w:rFonts w:ascii="Arial" w:hAnsi="Arial"/>
              </w:rPr>
            </w:pPr>
            <w:r w:rsidRPr="002C30ED">
              <w:rPr>
                <w:rFonts w:ascii="Arial" w:hAnsi="Arial"/>
              </w:rPr>
              <w:t>0.36</w:t>
            </w:r>
          </w:p>
        </w:tc>
        <w:tc>
          <w:tcPr>
            <w:tcW w:w="0" w:type="auto"/>
            <w:tcMar>
              <w:top w:w="0" w:type="dxa"/>
              <w:left w:w="108" w:type="dxa"/>
              <w:bottom w:w="0" w:type="dxa"/>
              <w:right w:w="108" w:type="dxa"/>
            </w:tcMar>
            <w:hideMark/>
          </w:tcPr>
          <w:p w14:paraId="3ED76434" w14:textId="77777777" w:rsidR="00FA63B0" w:rsidRPr="002C30ED" w:rsidRDefault="00FA63B0" w:rsidP="002C30ED">
            <w:pPr>
              <w:jc w:val="both"/>
              <w:rPr>
                <w:rFonts w:ascii="Arial" w:hAnsi="Arial"/>
              </w:rPr>
            </w:pPr>
            <w:r w:rsidRPr="002C30ED">
              <w:rPr>
                <w:rFonts w:ascii="Arial" w:hAnsi="Arial"/>
              </w:rPr>
              <w:t>0.72</w:t>
            </w:r>
          </w:p>
        </w:tc>
        <w:tc>
          <w:tcPr>
            <w:tcW w:w="0" w:type="auto"/>
            <w:tcMar>
              <w:top w:w="0" w:type="dxa"/>
              <w:left w:w="108" w:type="dxa"/>
              <w:bottom w:w="0" w:type="dxa"/>
              <w:right w:w="108" w:type="dxa"/>
            </w:tcMar>
            <w:hideMark/>
          </w:tcPr>
          <w:p w14:paraId="682BEF36" w14:textId="77777777" w:rsidR="00FA63B0" w:rsidRPr="002C30ED" w:rsidRDefault="00FA63B0" w:rsidP="002C30ED">
            <w:pPr>
              <w:jc w:val="both"/>
              <w:rPr>
                <w:rFonts w:ascii="Arial" w:hAnsi="Arial"/>
              </w:rPr>
            </w:pPr>
            <w:r w:rsidRPr="002C30ED">
              <w:rPr>
                <w:rFonts w:ascii="Arial" w:hAnsi="Arial"/>
              </w:rPr>
              <w:t>3.24</w:t>
            </w:r>
          </w:p>
        </w:tc>
        <w:tc>
          <w:tcPr>
            <w:tcW w:w="0" w:type="auto"/>
            <w:tcMar>
              <w:top w:w="0" w:type="dxa"/>
              <w:left w:w="108" w:type="dxa"/>
              <w:bottom w:w="0" w:type="dxa"/>
              <w:right w:w="108" w:type="dxa"/>
            </w:tcMar>
            <w:hideMark/>
          </w:tcPr>
          <w:p w14:paraId="7884E007" w14:textId="77777777" w:rsidR="00FA63B0" w:rsidRPr="002C30ED" w:rsidRDefault="00FA63B0" w:rsidP="002C30ED">
            <w:pPr>
              <w:jc w:val="both"/>
              <w:rPr>
                <w:rFonts w:ascii="Arial" w:hAnsi="Arial"/>
              </w:rPr>
            </w:pPr>
            <w:r w:rsidRPr="002C30ED">
              <w:rPr>
                <w:rFonts w:ascii="Arial" w:hAnsi="Arial"/>
              </w:rPr>
              <w:t>9.14 × 10-4</w:t>
            </w:r>
          </w:p>
        </w:tc>
      </w:tr>
      <w:tr w:rsidR="00FA63B0" w:rsidRPr="00FA63B0" w14:paraId="768B14F7" w14:textId="77777777" w:rsidTr="002C30ED">
        <w:trPr>
          <w:trHeight w:val="270"/>
        </w:trPr>
        <w:tc>
          <w:tcPr>
            <w:tcW w:w="0" w:type="auto"/>
            <w:tcMar>
              <w:top w:w="0" w:type="dxa"/>
              <w:left w:w="108" w:type="dxa"/>
              <w:bottom w:w="0" w:type="dxa"/>
              <w:right w:w="108" w:type="dxa"/>
            </w:tcMar>
            <w:hideMark/>
          </w:tcPr>
          <w:p w14:paraId="5CA065A6" w14:textId="77777777" w:rsidR="00FA63B0" w:rsidRPr="002C30ED" w:rsidRDefault="00FA63B0" w:rsidP="002C30ED">
            <w:pPr>
              <w:jc w:val="both"/>
              <w:rPr>
                <w:rFonts w:ascii="Arial" w:hAnsi="Arial"/>
              </w:rPr>
            </w:pPr>
            <w:r w:rsidRPr="002C30ED">
              <w:rPr>
                <w:rFonts w:ascii="Arial" w:hAnsi="Arial"/>
              </w:rPr>
              <w:t>Vincristine</w:t>
            </w:r>
          </w:p>
        </w:tc>
        <w:tc>
          <w:tcPr>
            <w:tcW w:w="0" w:type="auto"/>
            <w:tcMar>
              <w:top w:w="0" w:type="dxa"/>
              <w:left w:w="108" w:type="dxa"/>
              <w:bottom w:w="0" w:type="dxa"/>
              <w:right w:w="108" w:type="dxa"/>
            </w:tcMar>
            <w:hideMark/>
          </w:tcPr>
          <w:p w14:paraId="1068843F" w14:textId="77777777" w:rsidR="00FA63B0" w:rsidRPr="002C30ED" w:rsidRDefault="00FA63B0" w:rsidP="002C30ED">
            <w:pPr>
              <w:jc w:val="both"/>
              <w:rPr>
                <w:rFonts w:ascii="Arial" w:hAnsi="Arial"/>
              </w:rPr>
            </w:pPr>
            <w:r w:rsidRPr="002C30ED">
              <w:rPr>
                <w:rFonts w:ascii="Arial" w:hAnsi="Arial"/>
              </w:rPr>
              <w:t>3.11</w:t>
            </w:r>
          </w:p>
        </w:tc>
        <w:tc>
          <w:tcPr>
            <w:tcW w:w="0" w:type="auto"/>
            <w:tcMar>
              <w:top w:w="0" w:type="dxa"/>
              <w:left w:w="108" w:type="dxa"/>
              <w:bottom w:w="0" w:type="dxa"/>
              <w:right w:w="108" w:type="dxa"/>
            </w:tcMar>
            <w:hideMark/>
          </w:tcPr>
          <w:p w14:paraId="14A630CB" w14:textId="77777777" w:rsidR="00FA63B0" w:rsidRPr="002C30ED" w:rsidRDefault="00FA63B0" w:rsidP="002C30ED">
            <w:pPr>
              <w:jc w:val="both"/>
              <w:rPr>
                <w:rFonts w:ascii="Arial" w:hAnsi="Arial"/>
              </w:rPr>
            </w:pPr>
            <w:r w:rsidRPr="002C30ED">
              <w:rPr>
                <w:rFonts w:ascii="Arial" w:hAnsi="Arial"/>
              </w:rPr>
              <w:t>52.1</w:t>
            </w:r>
          </w:p>
        </w:tc>
        <w:tc>
          <w:tcPr>
            <w:tcW w:w="0" w:type="auto"/>
            <w:tcMar>
              <w:top w:w="0" w:type="dxa"/>
              <w:left w:w="108" w:type="dxa"/>
              <w:bottom w:w="0" w:type="dxa"/>
              <w:right w:w="108" w:type="dxa"/>
            </w:tcMar>
            <w:hideMark/>
          </w:tcPr>
          <w:p w14:paraId="46AA8F4C" w14:textId="77777777" w:rsidR="00FA63B0" w:rsidRPr="002C30ED" w:rsidRDefault="00FA63B0" w:rsidP="002C30ED">
            <w:pPr>
              <w:jc w:val="both"/>
              <w:rPr>
                <w:rFonts w:ascii="Arial" w:hAnsi="Arial"/>
              </w:rPr>
            </w:pPr>
            <w:r w:rsidRPr="002C30ED">
              <w:rPr>
                <w:rFonts w:ascii="Arial" w:hAnsi="Arial"/>
              </w:rPr>
              <w:t>0.12</w:t>
            </w:r>
          </w:p>
        </w:tc>
        <w:tc>
          <w:tcPr>
            <w:tcW w:w="0" w:type="auto"/>
            <w:tcMar>
              <w:top w:w="0" w:type="dxa"/>
              <w:left w:w="108" w:type="dxa"/>
              <w:bottom w:w="0" w:type="dxa"/>
              <w:right w:w="108" w:type="dxa"/>
            </w:tcMar>
            <w:hideMark/>
          </w:tcPr>
          <w:p w14:paraId="18482F41" w14:textId="77777777" w:rsidR="00FA63B0" w:rsidRPr="002C30ED" w:rsidRDefault="00FA63B0" w:rsidP="002C30ED">
            <w:pPr>
              <w:jc w:val="both"/>
              <w:rPr>
                <w:rFonts w:ascii="Arial" w:hAnsi="Arial"/>
              </w:rPr>
            </w:pPr>
            <w:r w:rsidRPr="002C30ED">
              <w:rPr>
                <w:rFonts w:ascii="Arial" w:hAnsi="Arial"/>
              </w:rPr>
              <w:t>1.14</w:t>
            </w:r>
          </w:p>
        </w:tc>
        <w:tc>
          <w:tcPr>
            <w:tcW w:w="0" w:type="auto"/>
            <w:tcMar>
              <w:top w:w="0" w:type="dxa"/>
              <w:left w:w="108" w:type="dxa"/>
              <w:bottom w:w="0" w:type="dxa"/>
              <w:right w:w="108" w:type="dxa"/>
            </w:tcMar>
            <w:hideMark/>
          </w:tcPr>
          <w:p w14:paraId="24497F85" w14:textId="77777777" w:rsidR="00FA63B0" w:rsidRPr="002C30ED" w:rsidRDefault="00FA63B0" w:rsidP="002C30ED">
            <w:pPr>
              <w:jc w:val="both"/>
              <w:rPr>
                <w:rFonts w:ascii="Arial" w:hAnsi="Arial"/>
              </w:rPr>
            </w:pPr>
            <w:r w:rsidRPr="002C30ED">
              <w:rPr>
                <w:rFonts w:ascii="Arial" w:hAnsi="Arial"/>
              </w:rPr>
              <w:t>1.44</w:t>
            </w:r>
          </w:p>
        </w:tc>
        <w:tc>
          <w:tcPr>
            <w:tcW w:w="0" w:type="auto"/>
            <w:tcMar>
              <w:top w:w="0" w:type="dxa"/>
              <w:left w:w="108" w:type="dxa"/>
              <w:bottom w:w="0" w:type="dxa"/>
              <w:right w:w="108" w:type="dxa"/>
            </w:tcMar>
            <w:hideMark/>
          </w:tcPr>
          <w:p w14:paraId="32ADDFEB" w14:textId="77777777" w:rsidR="00FA63B0" w:rsidRPr="002C30ED" w:rsidRDefault="00FA63B0" w:rsidP="002C30ED">
            <w:pPr>
              <w:jc w:val="both"/>
              <w:rPr>
                <w:rFonts w:ascii="Arial" w:hAnsi="Arial"/>
              </w:rPr>
            </w:pPr>
            <w:r w:rsidRPr="002C30ED">
              <w:rPr>
                <w:rFonts w:ascii="Arial" w:hAnsi="Arial"/>
              </w:rPr>
              <w:t>2.88</w:t>
            </w:r>
          </w:p>
        </w:tc>
        <w:tc>
          <w:tcPr>
            <w:tcW w:w="0" w:type="auto"/>
            <w:tcMar>
              <w:top w:w="0" w:type="dxa"/>
              <w:left w:w="108" w:type="dxa"/>
              <w:bottom w:w="0" w:type="dxa"/>
              <w:right w:w="108" w:type="dxa"/>
            </w:tcMar>
            <w:hideMark/>
          </w:tcPr>
          <w:p w14:paraId="5374029A" w14:textId="77777777" w:rsidR="00FA63B0" w:rsidRPr="002C30ED" w:rsidRDefault="00FA63B0" w:rsidP="002C30ED">
            <w:pPr>
              <w:jc w:val="both"/>
              <w:rPr>
                <w:rFonts w:ascii="Arial" w:hAnsi="Arial"/>
              </w:rPr>
            </w:pPr>
            <w:r w:rsidRPr="002C30ED">
              <w:rPr>
                <w:rFonts w:ascii="Arial" w:hAnsi="Arial"/>
              </w:rPr>
              <w:t>13.0</w:t>
            </w:r>
          </w:p>
        </w:tc>
        <w:tc>
          <w:tcPr>
            <w:tcW w:w="0" w:type="auto"/>
            <w:tcMar>
              <w:top w:w="0" w:type="dxa"/>
              <w:left w:w="108" w:type="dxa"/>
              <w:bottom w:w="0" w:type="dxa"/>
              <w:right w:w="108" w:type="dxa"/>
            </w:tcMar>
            <w:hideMark/>
          </w:tcPr>
          <w:p w14:paraId="2494ABAF" w14:textId="77777777" w:rsidR="00FA63B0" w:rsidRPr="002C30ED" w:rsidRDefault="00FA63B0" w:rsidP="002C30ED">
            <w:pPr>
              <w:jc w:val="both"/>
              <w:rPr>
                <w:rFonts w:ascii="Arial" w:hAnsi="Arial"/>
              </w:rPr>
            </w:pPr>
            <w:r w:rsidRPr="002C30ED">
              <w:rPr>
                <w:rFonts w:ascii="Arial" w:hAnsi="Arial"/>
              </w:rPr>
              <w:t>1.03</w:t>
            </w:r>
          </w:p>
        </w:tc>
      </w:tr>
      <w:tr w:rsidR="00FA63B0" w:rsidRPr="00FA63B0" w14:paraId="3C0ED8B3" w14:textId="77777777" w:rsidTr="002C30ED">
        <w:trPr>
          <w:trHeight w:val="270"/>
        </w:trPr>
        <w:tc>
          <w:tcPr>
            <w:tcW w:w="0" w:type="auto"/>
            <w:tcMar>
              <w:top w:w="0" w:type="dxa"/>
              <w:left w:w="108" w:type="dxa"/>
              <w:bottom w:w="0" w:type="dxa"/>
              <w:right w:w="108" w:type="dxa"/>
            </w:tcMar>
            <w:hideMark/>
          </w:tcPr>
          <w:p w14:paraId="50B03101" w14:textId="77777777" w:rsidR="00FA63B0" w:rsidRPr="002C30ED" w:rsidRDefault="00FA63B0" w:rsidP="002C30ED">
            <w:pPr>
              <w:jc w:val="both"/>
              <w:rPr>
                <w:rFonts w:ascii="Arial" w:hAnsi="Arial"/>
              </w:rPr>
            </w:pPr>
            <w:r w:rsidRPr="002C30ED">
              <w:rPr>
                <w:rFonts w:ascii="Arial" w:hAnsi="Arial"/>
              </w:rPr>
              <w:t>Imatinib mesylate</w:t>
            </w:r>
          </w:p>
        </w:tc>
        <w:tc>
          <w:tcPr>
            <w:tcW w:w="0" w:type="auto"/>
            <w:tcMar>
              <w:top w:w="0" w:type="dxa"/>
              <w:left w:w="108" w:type="dxa"/>
              <w:bottom w:w="0" w:type="dxa"/>
              <w:right w:w="108" w:type="dxa"/>
            </w:tcMar>
            <w:hideMark/>
          </w:tcPr>
          <w:p w14:paraId="1254D526" w14:textId="77777777" w:rsidR="00FA63B0" w:rsidRPr="002C30ED" w:rsidRDefault="00FA63B0" w:rsidP="002C30ED">
            <w:pPr>
              <w:jc w:val="both"/>
              <w:rPr>
                <w:rFonts w:ascii="Arial" w:hAnsi="Arial"/>
              </w:rPr>
            </w:pPr>
            <w:r w:rsidRPr="002C30ED">
              <w:rPr>
                <w:rFonts w:ascii="Arial" w:hAnsi="Arial"/>
              </w:rPr>
              <w:t>3.01</w:t>
            </w:r>
          </w:p>
        </w:tc>
        <w:tc>
          <w:tcPr>
            <w:tcW w:w="0" w:type="auto"/>
            <w:tcMar>
              <w:top w:w="0" w:type="dxa"/>
              <w:left w:w="108" w:type="dxa"/>
              <w:bottom w:w="0" w:type="dxa"/>
              <w:right w:w="108" w:type="dxa"/>
            </w:tcMar>
            <w:hideMark/>
          </w:tcPr>
          <w:p w14:paraId="5B81C7DA" w14:textId="77777777" w:rsidR="00FA63B0" w:rsidRPr="002C30ED" w:rsidRDefault="00FA63B0" w:rsidP="002C30ED">
            <w:pPr>
              <w:jc w:val="both"/>
              <w:rPr>
                <w:rFonts w:ascii="Arial" w:hAnsi="Arial"/>
              </w:rPr>
            </w:pPr>
            <w:r w:rsidRPr="002C30ED">
              <w:rPr>
                <w:rFonts w:ascii="Arial" w:hAnsi="Arial"/>
              </w:rPr>
              <w:t>45.2</w:t>
            </w:r>
          </w:p>
        </w:tc>
        <w:tc>
          <w:tcPr>
            <w:tcW w:w="0" w:type="auto"/>
            <w:tcMar>
              <w:top w:w="0" w:type="dxa"/>
              <w:left w:w="108" w:type="dxa"/>
              <w:bottom w:w="0" w:type="dxa"/>
              <w:right w:w="108" w:type="dxa"/>
            </w:tcMar>
            <w:hideMark/>
          </w:tcPr>
          <w:p w14:paraId="1CDCE71D" w14:textId="77777777" w:rsidR="00FA63B0" w:rsidRPr="002C30ED" w:rsidRDefault="00FA63B0" w:rsidP="002C30ED">
            <w:pPr>
              <w:jc w:val="both"/>
              <w:rPr>
                <w:rFonts w:ascii="Arial" w:hAnsi="Arial"/>
              </w:rPr>
            </w:pPr>
            <w:r w:rsidRPr="002C30ED">
              <w:rPr>
                <w:rFonts w:ascii="Arial" w:hAnsi="Arial"/>
              </w:rPr>
              <w:t>2.10</w:t>
            </w:r>
          </w:p>
        </w:tc>
        <w:tc>
          <w:tcPr>
            <w:tcW w:w="0" w:type="auto"/>
            <w:tcMar>
              <w:top w:w="0" w:type="dxa"/>
              <w:left w:w="108" w:type="dxa"/>
              <w:bottom w:w="0" w:type="dxa"/>
              <w:right w:w="108" w:type="dxa"/>
            </w:tcMar>
            <w:hideMark/>
          </w:tcPr>
          <w:p w14:paraId="619B131B" w14:textId="77777777" w:rsidR="00FA63B0" w:rsidRPr="002C30ED" w:rsidRDefault="00FA63B0" w:rsidP="002C30ED">
            <w:pPr>
              <w:jc w:val="both"/>
              <w:rPr>
                <w:rFonts w:ascii="Arial" w:hAnsi="Arial"/>
              </w:rPr>
            </w:pPr>
            <w:r w:rsidRPr="002C30ED">
              <w:rPr>
                <w:rFonts w:ascii="Arial" w:hAnsi="Arial"/>
              </w:rPr>
              <w:t>0.42</w:t>
            </w:r>
          </w:p>
        </w:tc>
        <w:tc>
          <w:tcPr>
            <w:tcW w:w="0" w:type="auto"/>
            <w:tcMar>
              <w:top w:w="0" w:type="dxa"/>
              <w:left w:w="108" w:type="dxa"/>
              <w:bottom w:w="0" w:type="dxa"/>
              <w:right w:w="108" w:type="dxa"/>
            </w:tcMar>
            <w:hideMark/>
          </w:tcPr>
          <w:p w14:paraId="1538EF44" w14:textId="77777777" w:rsidR="00FA63B0" w:rsidRPr="002C30ED" w:rsidRDefault="00FA63B0" w:rsidP="002C30ED">
            <w:pPr>
              <w:jc w:val="both"/>
              <w:rPr>
                <w:rFonts w:ascii="Arial" w:hAnsi="Arial"/>
              </w:rPr>
            </w:pPr>
            <w:r w:rsidRPr="002C30ED">
              <w:rPr>
                <w:rFonts w:ascii="Arial" w:hAnsi="Arial"/>
              </w:rPr>
              <w:t>4.32</w:t>
            </w:r>
          </w:p>
        </w:tc>
        <w:tc>
          <w:tcPr>
            <w:tcW w:w="0" w:type="auto"/>
            <w:tcMar>
              <w:top w:w="0" w:type="dxa"/>
              <w:left w:w="108" w:type="dxa"/>
              <w:bottom w:w="0" w:type="dxa"/>
              <w:right w:w="108" w:type="dxa"/>
            </w:tcMar>
            <w:hideMark/>
          </w:tcPr>
          <w:p w14:paraId="443FD23A" w14:textId="77777777" w:rsidR="00FA63B0" w:rsidRPr="002C30ED" w:rsidRDefault="00FA63B0" w:rsidP="002C30ED">
            <w:pPr>
              <w:jc w:val="both"/>
              <w:rPr>
                <w:rFonts w:ascii="Arial" w:hAnsi="Arial"/>
              </w:rPr>
            </w:pPr>
            <w:r w:rsidRPr="002C30ED">
              <w:rPr>
                <w:rFonts w:ascii="Arial" w:hAnsi="Arial"/>
              </w:rPr>
              <w:t>8.64</w:t>
            </w:r>
          </w:p>
        </w:tc>
        <w:tc>
          <w:tcPr>
            <w:tcW w:w="0" w:type="auto"/>
            <w:tcMar>
              <w:top w:w="0" w:type="dxa"/>
              <w:left w:w="108" w:type="dxa"/>
              <w:bottom w:w="0" w:type="dxa"/>
              <w:right w:w="108" w:type="dxa"/>
            </w:tcMar>
            <w:hideMark/>
          </w:tcPr>
          <w:p w14:paraId="5F70E2B2" w14:textId="77777777" w:rsidR="00FA63B0" w:rsidRPr="002C30ED" w:rsidRDefault="00FA63B0" w:rsidP="002C30ED">
            <w:pPr>
              <w:jc w:val="both"/>
              <w:rPr>
                <w:rFonts w:ascii="Arial" w:hAnsi="Arial"/>
              </w:rPr>
            </w:pPr>
            <w:r w:rsidRPr="002C30ED">
              <w:rPr>
                <w:rFonts w:ascii="Arial" w:hAnsi="Arial"/>
              </w:rPr>
              <w:t>38.9</w:t>
            </w:r>
          </w:p>
        </w:tc>
        <w:tc>
          <w:tcPr>
            <w:tcW w:w="0" w:type="auto"/>
            <w:tcMar>
              <w:top w:w="0" w:type="dxa"/>
              <w:left w:w="108" w:type="dxa"/>
              <w:bottom w:w="0" w:type="dxa"/>
              <w:right w:w="108" w:type="dxa"/>
            </w:tcMar>
            <w:hideMark/>
          </w:tcPr>
          <w:p w14:paraId="08B5A886" w14:textId="77777777" w:rsidR="00FA63B0" w:rsidRPr="002C30ED" w:rsidRDefault="00FA63B0" w:rsidP="002C30ED">
            <w:pPr>
              <w:jc w:val="both"/>
              <w:rPr>
                <w:rFonts w:ascii="Arial" w:hAnsi="Arial"/>
              </w:rPr>
            </w:pPr>
            <w:r w:rsidRPr="002C30ED">
              <w:rPr>
                <w:rFonts w:ascii="Arial" w:hAnsi="Arial"/>
              </w:rPr>
              <w:t>4.13 × 10-13</w:t>
            </w:r>
          </w:p>
        </w:tc>
      </w:tr>
      <w:tr w:rsidR="00FA63B0" w:rsidRPr="00FA63B0" w14:paraId="01F16039" w14:textId="77777777" w:rsidTr="002C30ED">
        <w:trPr>
          <w:trHeight w:val="256"/>
        </w:trPr>
        <w:tc>
          <w:tcPr>
            <w:tcW w:w="0" w:type="auto"/>
            <w:tcMar>
              <w:top w:w="0" w:type="dxa"/>
              <w:left w:w="108" w:type="dxa"/>
              <w:bottom w:w="0" w:type="dxa"/>
              <w:right w:w="108" w:type="dxa"/>
            </w:tcMar>
            <w:hideMark/>
          </w:tcPr>
          <w:p w14:paraId="209C1176" w14:textId="77777777" w:rsidR="00FA63B0" w:rsidRPr="002C30ED" w:rsidRDefault="00FA63B0" w:rsidP="002C30ED">
            <w:pPr>
              <w:jc w:val="both"/>
              <w:rPr>
                <w:rFonts w:ascii="Arial" w:hAnsi="Arial"/>
              </w:rPr>
            </w:pPr>
            <w:r w:rsidRPr="002C30ED">
              <w:rPr>
                <w:rFonts w:ascii="Arial" w:hAnsi="Arial"/>
              </w:rPr>
              <w:t>Docetaxel</w:t>
            </w:r>
          </w:p>
        </w:tc>
        <w:tc>
          <w:tcPr>
            <w:tcW w:w="0" w:type="auto"/>
            <w:tcMar>
              <w:top w:w="0" w:type="dxa"/>
              <w:left w:w="108" w:type="dxa"/>
              <w:bottom w:w="0" w:type="dxa"/>
              <w:right w:w="108" w:type="dxa"/>
            </w:tcMar>
            <w:hideMark/>
          </w:tcPr>
          <w:p w14:paraId="1E56ABD1" w14:textId="77777777" w:rsidR="00FA63B0" w:rsidRPr="002C30ED" w:rsidRDefault="00FA63B0" w:rsidP="002C30ED">
            <w:pPr>
              <w:jc w:val="both"/>
              <w:rPr>
                <w:rFonts w:ascii="Arial" w:hAnsi="Arial"/>
              </w:rPr>
            </w:pPr>
            <w:r w:rsidRPr="002C30ED">
              <w:rPr>
                <w:rFonts w:ascii="Arial" w:hAnsi="Arial"/>
              </w:rPr>
              <w:t>2.83</w:t>
            </w:r>
          </w:p>
        </w:tc>
        <w:tc>
          <w:tcPr>
            <w:tcW w:w="0" w:type="auto"/>
            <w:tcMar>
              <w:top w:w="0" w:type="dxa"/>
              <w:left w:w="108" w:type="dxa"/>
              <w:bottom w:w="0" w:type="dxa"/>
              <w:right w:w="108" w:type="dxa"/>
            </w:tcMar>
            <w:hideMark/>
          </w:tcPr>
          <w:p w14:paraId="7E0A437E" w14:textId="77777777" w:rsidR="00FA63B0" w:rsidRPr="002C30ED" w:rsidRDefault="00FA63B0" w:rsidP="002C30ED">
            <w:pPr>
              <w:jc w:val="both"/>
              <w:rPr>
                <w:rFonts w:ascii="Arial" w:hAnsi="Arial"/>
              </w:rPr>
            </w:pPr>
            <w:r w:rsidRPr="002C30ED">
              <w:rPr>
                <w:rFonts w:ascii="Arial" w:hAnsi="Arial"/>
              </w:rPr>
              <w:t>19.1</w:t>
            </w:r>
          </w:p>
        </w:tc>
        <w:tc>
          <w:tcPr>
            <w:tcW w:w="0" w:type="auto"/>
            <w:tcMar>
              <w:top w:w="0" w:type="dxa"/>
              <w:left w:w="108" w:type="dxa"/>
              <w:bottom w:w="0" w:type="dxa"/>
              <w:right w:w="108" w:type="dxa"/>
            </w:tcMar>
            <w:hideMark/>
          </w:tcPr>
          <w:p w14:paraId="6ACC3F6B" w14:textId="77777777" w:rsidR="00FA63B0" w:rsidRPr="002C30ED" w:rsidRDefault="00FA63B0" w:rsidP="002C30ED">
            <w:pPr>
              <w:jc w:val="both"/>
              <w:rPr>
                <w:rFonts w:ascii="Arial" w:hAnsi="Arial"/>
              </w:rPr>
            </w:pPr>
            <w:r w:rsidRPr="002C30ED">
              <w:rPr>
                <w:rFonts w:ascii="Arial" w:hAnsi="Arial"/>
              </w:rPr>
              <w:t>0.03</w:t>
            </w:r>
          </w:p>
        </w:tc>
        <w:tc>
          <w:tcPr>
            <w:tcW w:w="0" w:type="auto"/>
            <w:tcMar>
              <w:top w:w="0" w:type="dxa"/>
              <w:left w:w="108" w:type="dxa"/>
              <w:bottom w:w="0" w:type="dxa"/>
              <w:right w:w="108" w:type="dxa"/>
            </w:tcMar>
            <w:hideMark/>
          </w:tcPr>
          <w:p w14:paraId="38A9D572" w14:textId="77777777" w:rsidR="00FA63B0" w:rsidRPr="002C30ED" w:rsidRDefault="00FA63B0" w:rsidP="002C30ED">
            <w:pPr>
              <w:jc w:val="both"/>
              <w:rPr>
                <w:rFonts w:ascii="Arial" w:hAnsi="Arial"/>
              </w:rPr>
            </w:pPr>
            <w:r w:rsidRPr="002C30ED">
              <w:rPr>
                <w:rFonts w:ascii="Arial" w:hAnsi="Arial"/>
              </w:rPr>
              <w:t>1.80</w:t>
            </w:r>
          </w:p>
        </w:tc>
        <w:tc>
          <w:tcPr>
            <w:tcW w:w="0" w:type="auto"/>
            <w:tcMar>
              <w:top w:w="0" w:type="dxa"/>
              <w:left w:w="108" w:type="dxa"/>
              <w:bottom w:w="0" w:type="dxa"/>
              <w:right w:w="108" w:type="dxa"/>
            </w:tcMar>
            <w:hideMark/>
          </w:tcPr>
          <w:p w14:paraId="666E4DB4" w14:textId="77777777" w:rsidR="00FA63B0" w:rsidRPr="002C30ED" w:rsidRDefault="00FA63B0" w:rsidP="002C30ED">
            <w:pPr>
              <w:jc w:val="both"/>
              <w:rPr>
                <w:rFonts w:ascii="Arial" w:hAnsi="Arial"/>
              </w:rPr>
            </w:pPr>
            <w:r w:rsidRPr="002C30ED">
              <w:rPr>
                <w:rFonts w:ascii="Arial" w:hAnsi="Arial"/>
              </w:rPr>
              <w:t>1.44</w:t>
            </w:r>
          </w:p>
        </w:tc>
        <w:tc>
          <w:tcPr>
            <w:tcW w:w="0" w:type="auto"/>
            <w:tcMar>
              <w:top w:w="0" w:type="dxa"/>
              <w:left w:w="108" w:type="dxa"/>
              <w:bottom w:w="0" w:type="dxa"/>
              <w:right w:w="108" w:type="dxa"/>
            </w:tcMar>
            <w:hideMark/>
          </w:tcPr>
          <w:p w14:paraId="30A7E3AF" w14:textId="77777777" w:rsidR="00FA63B0" w:rsidRPr="002C30ED" w:rsidRDefault="00FA63B0" w:rsidP="002C30ED">
            <w:pPr>
              <w:jc w:val="both"/>
              <w:rPr>
                <w:rFonts w:ascii="Arial" w:hAnsi="Arial"/>
              </w:rPr>
            </w:pPr>
            <w:r w:rsidRPr="002C30ED">
              <w:rPr>
                <w:rFonts w:ascii="Arial" w:hAnsi="Arial"/>
              </w:rPr>
              <w:t>2.88</w:t>
            </w:r>
          </w:p>
        </w:tc>
        <w:tc>
          <w:tcPr>
            <w:tcW w:w="0" w:type="auto"/>
            <w:tcMar>
              <w:top w:w="0" w:type="dxa"/>
              <w:left w:w="108" w:type="dxa"/>
              <w:bottom w:w="0" w:type="dxa"/>
              <w:right w:w="108" w:type="dxa"/>
            </w:tcMar>
            <w:hideMark/>
          </w:tcPr>
          <w:p w14:paraId="33D67CA1" w14:textId="77777777" w:rsidR="00FA63B0" w:rsidRPr="002C30ED" w:rsidRDefault="00FA63B0" w:rsidP="002C30ED">
            <w:pPr>
              <w:jc w:val="both"/>
              <w:rPr>
                <w:rFonts w:ascii="Arial" w:hAnsi="Arial"/>
              </w:rPr>
            </w:pPr>
            <w:r w:rsidRPr="002C30ED">
              <w:rPr>
                <w:rFonts w:ascii="Arial" w:hAnsi="Arial"/>
              </w:rPr>
              <w:t>13.0</w:t>
            </w:r>
          </w:p>
        </w:tc>
        <w:tc>
          <w:tcPr>
            <w:tcW w:w="0" w:type="auto"/>
            <w:tcMar>
              <w:top w:w="0" w:type="dxa"/>
              <w:left w:w="108" w:type="dxa"/>
              <w:bottom w:w="0" w:type="dxa"/>
              <w:right w:w="108" w:type="dxa"/>
            </w:tcMar>
            <w:hideMark/>
          </w:tcPr>
          <w:p w14:paraId="4677EDFA" w14:textId="77777777" w:rsidR="00FA63B0" w:rsidRPr="002C30ED" w:rsidRDefault="00FA63B0" w:rsidP="002C30ED">
            <w:pPr>
              <w:jc w:val="both"/>
              <w:rPr>
                <w:rFonts w:ascii="Arial" w:hAnsi="Arial"/>
              </w:rPr>
            </w:pPr>
            <w:r w:rsidRPr="002C30ED">
              <w:rPr>
                <w:rFonts w:ascii="Arial" w:hAnsi="Arial"/>
              </w:rPr>
              <w:t>4.30 × 10-3</w:t>
            </w:r>
          </w:p>
        </w:tc>
      </w:tr>
      <w:tr w:rsidR="00FA63B0" w:rsidRPr="00FA63B0" w14:paraId="0EE93CCD" w14:textId="77777777" w:rsidTr="002C30ED">
        <w:trPr>
          <w:trHeight w:val="270"/>
        </w:trPr>
        <w:tc>
          <w:tcPr>
            <w:tcW w:w="0" w:type="auto"/>
            <w:tcMar>
              <w:top w:w="0" w:type="dxa"/>
              <w:left w:w="108" w:type="dxa"/>
              <w:bottom w:w="0" w:type="dxa"/>
              <w:right w:w="108" w:type="dxa"/>
            </w:tcMar>
            <w:hideMark/>
          </w:tcPr>
          <w:p w14:paraId="24051A5D" w14:textId="77777777" w:rsidR="00FA63B0" w:rsidRPr="002C30ED" w:rsidRDefault="00FA63B0" w:rsidP="002C30ED">
            <w:pPr>
              <w:jc w:val="both"/>
              <w:rPr>
                <w:rFonts w:ascii="Arial" w:hAnsi="Arial"/>
              </w:rPr>
            </w:pPr>
            <w:r w:rsidRPr="002C30ED">
              <w:rPr>
                <w:rFonts w:ascii="Arial" w:hAnsi="Arial"/>
              </w:rPr>
              <w:lastRenderedPageBreak/>
              <w:t>Erlotinib</w:t>
            </w:r>
          </w:p>
        </w:tc>
        <w:tc>
          <w:tcPr>
            <w:tcW w:w="0" w:type="auto"/>
            <w:tcMar>
              <w:top w:w="0" w:type="dxa"/>
              <w:left w:w="108" w:type="dxa"/>
              <w:bottom w:w="0" w:type="dxa"/>
              <w:right w:w="108" w:type="dxa"/>
            </w:tcMar>
            <w:hideMark/>
          </w:tcPr>
          <w:p w14:paraId="72D12957" w14:textId="77777777" w:rsidR="00FA63B0" w:rsidRPr="002C30ED" w:rsidRDefault="00FA63B0" w:rsidP="002C30ED">
            <w:pPr>
              <w:jc w:val="both"/>
              <w:rPr>
                <w:rFonts w:ascii="Arial" w:hAnsi="Arial"/>
              </w:rPr>
            </w:pPr>
            <w:r w:rsidRPr="002C30ED">
              <w:rPr>
                <w:rFonts w:ascii="Arial" w:hAnsi="Arial"/>
              </w:rPr>
              <w:t>2.79</w:t>
            </w:r>
          </w:p>
        </w:tc>
        <w:tc>
          <w:tcPr>
            <w:tcW w:w="0" w:type="auto"/>
            <w:tcMar>
              <w:top w:w="0" w:type="dxa"/>
              <w:left w:w="108" w:type="dxa"/>
              <w:bottom w:w="0" w:type="dxa"/>
              <w:right w:w="108" w:type="dxa"/>
            </w:tcMar>
            <w:hideMark/>
          </w:tcPr>
          <w:p w14:paraId="5D2BF15B" w14:textId="77777777" w:rsidR="00FA63B0" w:rsidRPr="002C30ED" w:rsidRDefault="00FA63B0" w:rsidP="002C30ED">
            <w:pPr>
              <w:jc w:val="both"/>
              <w:rPr>
                <w:rFonts w:ascii="Arial" w:hAnsi="Arial"/>
              </w:rPr>
            </w:pPr>
            <w:r w:rsidRPr="002C30ED">
              <w:rPr>
                <w:rFonts w:ascii="Arial" w:hAnsi="Arial"/>
              </w:rPr>
              <w:t>15.4</w:t>
            </w:r>
          </w:p>
        </w:tc>
        <w:tc>
          <w:tcPr>
            <w:tcW w:w="0" w:type="auto"/>
            <w:tcMar>
              <w:top w:w="0" w:type="dxa"/>
              <w:left w:w="108" w:type="dxa"/>
              <w:bottom w:w="0" w:type="dxa"/>
              <w:right w:w="108" w:type="dxa"/>
            </w:tcMar>
            <w:hideMark/>
          </w:tcPr>
          <w:p w14:paraId="79D7088C" w14:textId="77777777" w:rsidR="00FA63B0" w:rsidRPr="002C30ED" w:rsidRDefault="00FA63B0" w:rsidP="002C30ED">
            <w:pPr>
              <w:jc w:val="both"/>
              <w:rPr>
                <w:rFonts w:ascii="Arial" w:hAnsi="Arial"/>
              </w:rPr>
            </w:pPr>
            <w:r w:rsidRPr="002C30ED">
              <w:rPr>
                <w:rFonts w:ascii="Arial" w:hAnsi="Arial"/>
              </w:rPr>
              <w:t>1.40 × 10</w:t>
            </w:r>
          </w:p>
        </w:tc>
        <w:tc>
          <w:tcPr>
            <w:tcW w:w="0" w:type="auto"/>
            <w:tcMar>
              <w:top w:w="0" w:type="dxa"/>
              <w:left w:w="108" w:type="dxa"/>
              <w:bottom w:w="0" w:type="dxa"/>
              <w:right w:w="108" w:type="dxa"/>
            </w:tcMar>
            <w:hideMark/>
          </w:tcPr>
          <w:p w14:paraId="496FD08E" w14:textId="77777777" w:rsidR="00FA63B0" w:rsidRPr="002C30ED" w:rsidRDefault="00FA63B0" w:rsidP="002C30ED">
            <w:pPr>
              <w:jc w:val="both"/>
              <w:rPr>
                <w:rFonts w:ascii="Arial" w:hAnsi="Arial"/>
              </w:rPr>
            </w:pPr>
            <w:r w:rsidRPr="002C30ED">
              <w:rPr>
                <w:rFonts w:ascii="Arial" w:hAnsi="Arial"/>
              </w:rPr>
              <w:t>1.77</w:t>
            </w:r>
          </w:p>
        </w:tc>
        <w:tc>
          <w:tcPr>
            <w:tcW w:w="0" w:type="auto"/>
            <w:tcMar>
              <w:top w:w="0" w:type="dxa"/>
              <w:left w:w="108" w:type="dxa"/>
              <w:bottom w:w="0" w:type="dxa"/>
              <w:right w:w="108" w:type="dxa"/>
            </w:tcMar>
            <w:hideMark/>
          </w:tcPr>
          <w:p w14:paraId="61A0AE6D" w14:textId="77777777" w:rsidR="00FA63B0" w:rsidRPr="002C30ED" w:rsidRDefault="00FA63B0" w:rsidP="002C30ED">
            <w:pPr>
              <w:jc w:val="both"/>
              <w:rPr>
                <w:rFonts w:ascii="Arial" w:hAnsi="Arial"/>
              </w:rPr>
            </w:pPr>
            <w:r w:rsidRPr="002C30ED">
              <w:rPr>
                <w:rFonts w:ascii="Arial" w:hAnsi="Arial"/>
              </w:rPr>
              <w:t>1.44</w:t>
            </w:r>
          </w:p>
        </w:tc>
        <w:tc>
          <w:tcPr>
            <w:tcW w:w="0" w:type="auto"/>
            <w:tcMar>
              <w:top w:w="0" w:type="dxa"/>
              <w:left w:w="108" w:type="dxa"/>
              <w:bottom w:w="0" w:type="dxa"/>
              <w:right w:w="108" w:type="dxa"/>
            </w:tcMar>
            <w:hideMark/>
          </w:tcPr>
          <w:p w14:paraId="6C507971" w14:textId="77777777" w:rsidR="00FA63B0" w:rsidRPr="002C30ED" w:rsidRDefault="00FA63B0" w:rsidP="002C30ED">
            <w:pPr>
              <w:jc w:val="both"/>
              <w:rPr>
                <w:rFonts w:ascii="Arial" w:hAnsi="Arial"/>
              </w:rPr>
            </w:pPr>
            <w:r w:rsidRPr="002C30ED">
              <w:rPr>
                <w:rFonts w:ascii="Arial" w:hAnsi="Arial"/>
              </w:rPr>
              <w:t>2.88</w:t>
            </w:r>
          </w:p>
        </w:tc>
        <w:tc>
          <w:tcPr>
            <w:tcW w:w="0" w:type="auto"/>
            <w:tcMar>
              <w:top w:w="0" w:type="dxa"/>
              <w:left w:w="108" w:type="dxa"/>
              <w:bottom w:w="0" w:type="dxa"/>
              <w:right w:w="108" w:type="dxa"/>
            </w:tcMar>
            <w:hideMark/>
          </w:tcPr>
          <w:p w14:paraId="664FC8D4" w14:textId="77777777" w:rsidR="00FA63B0" w:rsidRPr="002C30ED" w:rsidRDefault="00FA63B0" w:rsidP="002C30ED">
            <w:pPr>
              <w:jc w:val="both"/>
              <w:rPr>
                <w:rFonts w:ascii="Arial" w:hAnsi="Arial"/>
              </w:rPr>
            </w:pPr>
            <w:r w:rsidRPr="002C30ED">
              <w:rPr>
                <w:rFonts w:ascii="Arial" w:hAnsi="Arial"/>
              </w:rPr>
              <w:t>13.0</w:t>
            </w:r>
          </w:p>
        </w:tc>
        <w:tc>
          <w:tcPr>
            <w:tcW w:w="0" w:type="auto"/>
            <w:tcMar>
              <w:top w:w="0" w:type="dxa"/>
              <w:left w:w="108" w:type="dxa"/>
              <w:bottom w:w="0" w:type="dxa"/>
              <w:right w:w="108" w:type="dxa"/>
            </w:tcMar>
            <w:hideMark/>
          </w:tcPr>
          <w:p w14:paraId="1DD852B2" w14:textId="77777777" w:rsidR="00FA63B0" w:rsidRPr="002C30ED" w:rsidRDefault="00FA63B0" w:rsidP="002C30ED">
            <w:pPr>
              <w:jc w:val="both"/>
              <w:rPr>
                <w:rFonts w:ascii="Arial" w:hAnsi="Arial"/>
              </w:rPr>
            </w:pPr>
            <w:r w:rsidRPr="002C30ED">
              <w:rPr>
                <w:rFonts w:ascii="Arial" w:hAnsi="Arial"/>
              </w:rPr>
              <w:t>1.37 × 10-3</w:t>
            </w:r>
          </w:p>
        </w:tc>
      </w:tr>
      <w:tr w:rsidR="00FA63B0" w:rsidRPr="00FA63B0" w14:paraId="2F975222" w14:textId="77777777" w:rsidTr="002C30ED">
        <w:trPr>
          <w:trHeight w:val="256"/>
        </w:trPr>
        <w:tc>
          <w:tcPr>
            <w:tcW w:w="0" w:type="auto"/>
            <w:tcMar>
              <w:top w:w="0" w:type="dxa"/>
              <w:left w:w="108" w:type="dxa"/>
              <w:bottom w:w="0" w:type="dxa"/>
              <w:right w:w="108" w:type="dxa"/>
            </w:tcMar>
            <w:hideMark/>
          </w:tcPr>
          <w:p w14:paraId="24CE388D" w14:textId="77777777" w:rsidR="00FA63B0" w:rsidRPr="002C30ED" w:rsidRDefault="00FA63B0" w:rsidP="002C30ED">
            <w:pPr>
              <w:jc w:val="both"/>
              <w:rPr>
                <w:rFonts w:ascii="Arial" w:hAnsi="Arial"/>
              </w:rPr>
            </w:pPr>
            <w:r w:rsidRPr="002C30ED">
              <w:rPr>
                <w:rFonts w:ascii="Arial" w:hAnsi="Arial"/>
              </w:rPr>
              <w:t>Anastrozole</w:t>
            </w:r>
          </w:p>
        </w:tc>
        <w:tc>
          <w:tcPr>
            <w:tcW w:w="0" w:type="auto"/>
            <w:tcMar>
              <w:top w:w="0" w:type="dxa"/>
              <w:left w:w="108" w:type="dxa"/>
              <w:bottom w:w="0" w:type="dxa"/>
              <w:right w:w="108" w:type="dxa"/>
            </w:tcMar>
            <w:hideMark/>
          </w:tcPr>
          <w:p w14:paraId="165C35EB" w14:textId="77777777" w:rsidR="00FA63B0" w:rsidRPr="002C30ED" w:rsidRDefault="00FA63B0" w:rsidP="002C30ED">
            <w:pPr>
              <w:jc w:val="both"/>
              <w:rPr>
                <w:rFonts w:ascii="Arial" w:hAnsi="Arial"/>
              </w:rPr>
            </w:pPr>
            <w:r w:rsidRPr="002C30ED">
              <w:rPr>
                <w:rFonts w:ascii="Arial" w:hAnsi="Arial"/>
              </w:rPr>
              <w:t>2.37</w:t>
            </w:r>
          </w:p>
        </w:tc>
        <w:tc>
          <w:tcPr>
            <w:tcW w:w="0" w:type="auto"/>
            <w:tcMar>
              <w:top w:w="0" w:type="dxa"/>
              <w:left w:w="108" w:type="dxa"/>
              <w:bottom w:w="0" w:type="dxa"/>
              <w:right w:w="108" w:type="dxa"/>
            </w:tcMar>
            <w:hideMark/>
          </w:tcPr>
          <w:p w14:paraId="6A8D30CA" w14:textId="77777777" w:rsidR="00FA63B0" w:rsidRPr="002C30ED" w:rsidRDefault="00FA63B0" w:rsidP="002C30ED">
            <w:pPr>
              <w:jc w:val="both"/>
              <w:rPr>
                <w:rFonts w:ascii="Arial" w:hAnsi="Arial"/>
              </w:rPr>
            </w:pPr>
            <w:r w:rsidRPr="002C30ED">
              <w:rPr>
                <w:rFonts w:ascii="Arial" w:hAnsi="Arial"/>
              </w:rPr>
              <w:t>24.3</w:t>
            </w:r>
          </w:p>
        </w:tc>
        <w:tc>
          <w:tcPr>
            <w:tcW w:w="0" w:type="auto"/>
            <w:tcMar>
              <w:top w:w="0" w:type="dxa"/>
              <w:left w:w="108" w:type="dxa"/>
              <w:bottom w:w="0" w:type="dxa"/>
              <w:right w:w="108" w:type="dxa"/>
            </w:tcMar>
            <w:hideMark/>
          </w:tcPr>
          <w:p w14:paraId="4595ACF8" w14:textId="77777777" w:rsidR="00FA63B0" w:rsidRPr="002C30ED" w:rsidRDefault="00FA63B0" w:rsidP="002C30ED">
            <w:pPr>
              <w:jc w:val="both"/>
              <w:rPr>
                <w:rFonts w:ascii="Arial" w:hAnsi="Arial"/>
              </w:rPr>
            </w:pPr>
            <w:r w:rsidRPr="002C30ED">
              <w:rPr>
                <w:rFonts w:ascii="Arial" w:hAnsi="Arial"/>
              </w:rPr>
              <w:t>6.89 × 10</w:t>
            </w:r>
          </w:p>
        </w:tc>
        <w:tc>
          <w:tcPr>
            <w:tcW w:w="0" w:type="auto"/>
            <w:tcMar>
              <w:top w:w="0" w:type="dxa"/>
              <w:left w:w="108" w:type="dxa"/>
              <w:bottom w:w="0" w:type="dxa"/>
              <w:right w:w="108" w:type="dxa"/>
            </w:tcMar>
            <w:hideMark/>
          </w:tcPr>
          <w:p w14:paraId="1A197C0A" w14:textId="77777777" w:rsidR="00FA63B0" w:rsidRPr="002C30ED" w:rsidRDefault="00FA63B0" w:rsidP="002C30ED">
            <w:pPr>
              <w:jc w:val="both"/>
              <w:rPr>
                <w:rFonts w:ascii="Arial" w:hAnsi="Arial"/>
              </w:rPr>
            </w:pPr>
            <w:r w:rsidRPr="002C30ED">
              <w:rPr>
                <w:rFonts w:ascii="Arial" w:hAnsi="Arial"/>
              </w:rPr>
              <w:t>0.40</w:t>
            </w:r>
          </w:p>
        </w:tc>
        <w:tc>
          <w:tcPr>
            <w:tcW w:w="0" w:type="auto"/>
            <w:tcMar>
              <w:top w:w="0" w:type="dxa"/>
              <w:left w:w="108" w:type="dxa"/>
              <w:bottom w:w="0" w:type="dxa"/>
              <w:right w:w="108" w:type="dxa"/>
            </w:tcMar>
            <w:hideMark/>
          </w:tcPr>
          <w:p w14:paraId="5EB84C38" w14:textId="77777777" w:rsidR="00FA63B0" w:rsidRPr="002C30ED" w:rsidRDefault="00FA63B0" w:rsidP="002C30ED">
            <w:pPr>
              <w:jc w:val="both"/>
              <w:rPr>
                <w:rFonts w:ascii="Arial" w:hAnsi="Arial"/>
              </w:rPr>
            </w:pPr>
            <w:r w:rsidRPr="002C30ED">
              <w:rPr>
                <w:rFonts w:ascii="Arial" w:hAnsi="Arial"/>
              </w:rPr>
              <w:t>4.32</w:t>
            </w:r>
          </w:p>
        </w:tc>
        <w:tc>
          <w:tcPr>
            <w:tcW w:w="0" w:type="auto"/>
            <w:tcMar>
              <w:top w:w="0" w:type="dxa"/>
              <w:left w:w="108" w:type="dxa"/>
              <w:bottom w:w="0" w:type="dxa"/>
              <w:right w:w="108" w:type="dxa"/>
            </w:tcMar>
            <w:hideMark/>
          </w:tcPr>
          <w:p w14:paraId="5F50F036" w14:textId="77777777" w:rsidR="00FA63B0" w:rsidRPr="002C30ED" w:rsidRDefault="00FA63B0" w:rsidP="002C30ED">
            <w:pPr>
              <w:jc w:val="both"/>
              <w:rPr>
                <w:rFonts w:ascii="Arial" w:hAnsi="Arial"/>
              </w:rPr>
            </w:pPr>
            <w:r w:rsidRPr="002C30ED">
              <w:rPr>
                <w:rFonts w:ascii="Arial" w:hAnsi="Arial"/>
              </w:rPr>
              <w:t>8.64</w:t>
            </w:r>
          </w:p>
        </w:tc>
        <w:tc>
          <w:tcPr>
            <w:tcW w:w="0" w:type="auto"/>
            <w:tcMar>
              <w:top w:w="0" w:type="dxa"/>
              <w:left w:w="108" w:type="dxa"/>
              <w:bottom w:w="0" w:type="dxa"/>
              <w:right w:w="108" w:type="dxa"/>
            </w:tcMar>
            <w:hideMark/>
          </w:tcPr>
          <w:p w14:paraId="3F1C28BA" w14:textId="77777777" w:rsidR="00FA63B0" w:rsidRPr="002C30ED" w:rsidRDefault="00FA63B0" w:rsidP="002C30ED">
            <w:pPr>
              <w:jc w:val="both"/>
              <w:rPr>
                <w:rFonts w:ascii="Arial" w:hAnsi="Arial"/>
              </w:rPr>
            </w:pPr>
            <w:r w:rsidRPr="002C30ED">
              <w:rPr>
                <w:rFonts w:ascii="Arial" w:hAnsi="Arial"/>
              </w:rPr>
              <w:t>3.89</w:t>
            </w:r>
          </w:p>
        </w:tc>
        <w:tc>
          <w:tcPr>
            <w:tcW w:w="0" w:type="auto"/>
            <w:tcMar>
              <w:top w:w="0" w:type="dxa"/>
              <w:left w:w="108" w:type="dxa"/>
              <w:bottom w:w="0" w:type="dxa"/>
              <w:right w:w="108" w:type="dxa"/>
            </w:tcMar>
            <w:hideMark/>
          </w:tcPr>
          <w:p w14:paraId="36532AA2" w14:textId="77777777" w:rsidR="00FA63B0" w:rsidRPr="002C30ED" w:rsidRDefault="00FA63B0" w:rsidP="002C30ED">
            <w:pPr>
              <w:jc w:val="both"/>
              <w:rPr>
                <w:rFonts w:ascii="Arial" w:hAnsi="Arial"/>
              </w:rPr>
            </w:pPr>
            <w:r w:rsidRPr="002C30ED">
              <w:rPr>
                <w:rFonts w:ascii="Arial" w:hAnsi="Arial"/>
              </w:rPr>
              <w:t>1.40 × 10-3</w:t>
            </w:r>
          </w:p>
        </w:tc>
      </w:tr>
      <w:tr w:rsidR="00FA63B0" w:rsidRPr="00FA63B0" w14:paraId="63CDC972" w14:textId="77777777" w:rsidTr="002C30ED">
        <w:trPr>
          <w:trHeight w:val="270"/>
        </w:trPr>
        <w:tc>
          <w:tcPr>
            <w:tcW w:w="0" w:type="auto"/>
            <w:tcMar>
              <w:top w:w="0" w:type="dxa"/>
              <w:left w:w="108" w:type="dxa"/>
              <w:bottom w:w="0" w:type="dxa"/>
              <w:right w:w="108" w:type="dxa"/>
            </w:tcMar>
            <w:hideMark/>
          </w:tcPr>
          <w:p w14:paraId="5B36AE8D" w14:textId="77777777" w:rsidR="00FA63B0" w:rsidRPr="002C30ED" w:rsidRDefault="00FA63B0" w:rsidP="002C30ED">
            <w:pPr>
              <w:jc w:val="both"/>
              <w:rPr>
                <w:rFonts w:ascii="Arial" w:hAnsi="Arial"/>
              </w:rPr>
            </w:pPr>
            <w:r w:rsidRPr="002C30ED">
              <w:rPr>
                <w:rFonts w:ascii="Arial" w:hAnsi="Arial"/>
              </w:rPr>
              <w:t>Irinotecan</w:t>
            </w:r>
          </w:p>
        </w:tc>
        <w:tc>
          <w:tcPr>
            <w:tcW w:w="0" w:type="auto"/>
            <w:tcMar>
              <w:top w:w="0" w:type="dxa"/>
              <w:left w:w="108" w:type="dxa"/>
              <w:bottom w:w="0" w:type="dxa"/>
              <w:right w:w="108" w:type="dxa"/>
            </w:tcMar>
            <w:hideMark/>
          </w:tcPr>
          <w:p w14:paraId="5BD34D02" w14:textId="77777777" w:rsidR="00FA63B0" w:rsidRPr="002C30ED" w:rsidRDefault="00FA63B0" w:rsidP="002C30ED">
            <w:pPr>
              <w:jc w:val="both"/>
              <w:rPr>
                <w:rFonts w:ascii="Arial" w:hAnsi="Arial"/>
              </w:rPr>
            </w:pPr>
            <w:r w:rsidRPr="002C30ED">
              <w:rPr>
                <w:rFonts w:ascii="Arial" w:hAnsi="Arial"/>
              </w:rPr>
              <w:t>2.33</w:t>
            </w:r>
          </w:p>
        </w:tc>
        <w:tc>
          <w:tcPr>
            <w:tcW w:w="0" w:type="auto"/>
            <w:tcMar>
              <w:top w:w="0" w:type="dxa"/>
              <w:left w:w="108" w:type="dxa"/>
              <w:bottom w:w="0" w:type="dxa"/>
              <w:right w:w="108" w:type="dxa"/>
            </w:tcMar>
            <w:hideMark/>
          </w:tcPr>
          <w:p w14:paraId="543E343F" w14:textId="77777777" w:rsidR="00FA63B0" w:rsidRPr="002C30ED" w:rsidRDefault="00FA63B0" w:rsidP="002C30ED">
            <w:pPr>
              <w:jc w:val="both"/>
              <w:rPr>
                <w:rFonts w:ascii="Arial" w:hAnsi="Arial"/>
              </w:rPr>
            </w:pPr>
            <w:r w:rsidRPr="002C30ED">
              <w:rPr>
                <w:rFonts w:ascii="Arial" w:hAnsi="Arial"/>
              </w:rPr>
              <w:t>1.21</w:t>
            </w:r>
          </w:p>
        </w:tc>
        <w:tc>
          <w:tcPr>
            <w:tcW w:w="0" w:type="auto"/>
            <w:tcMar>
              <w:top w:w="0" w:type="dxa"/>
              <w:left w:w="108" w:type="dxa"/>
              <w:bottom w:w="0" w:type="dxa"/>
              <w:right w:w="108" w:type="dxa"/>
            </w:tcMar>
            <w:hideMark/>
          </w:tcPr>
          <w:p w14:paraId="71672BA7" w14:textId="77777777" w:rsidR="00FA63B0" w:rsidRPr="002C30ED" w:rsidRDefault="00FA63B0" w:rsidP="002C30ED">
            <w:pPr>
              <w:jc w:val="both"/>
              <w:rPr>
                <w:rFonts w:ascii="Arial" w:hAnsi="Arial"/>
              </w:rPr>
            </w:pPr>
            <w:r w:rsidRPr="002C30ED">
              <w:rPr>
                <w:rFonts w:ascii="Arial" w:hAnsi="Arial"/>
              </w:rPr>
              <w:t>8.01 × 102</w:t>
            </w:r>
          </w:p>
        </w:tc>
        <w:tc>
          <w:tcPr>
            <w:tcW w:w="0" w:type="auto"/>
            <w:tcMar>
              <w:top w:w="0" w:type="dxa"/>
              <w:left w:w="108" w:type="dxa"/>
              <w:bottom w:w="0" w:type="dxa"/>
              <w:right w:w="108" w:type="dxa"/>
            </w:tcMar>
            <w:hideMark/>
          </w:tcPr>
          <w:p w14:paraId="1E028C8C" w14:textId="77777777" w:rsidR="00FA63B0" w:rsidRPr="002C30ED" w:rsidRDefault="00FA63B0" w:rsidP="002C30ED">
            <w:pPr>
              <w:jc w:val="both"/>
              <w:rPr>
                <w:rFonts w:ascii="Arial" w:hAnsi="Arial"/>
              </w:rPr>
            </w:pPr>
            <w:r w:rsidRPr="002C30ED">
              <w:rPr>
                <w:rFonts w:ascii="Arial" w:hAnsi="Arial"/>
              </w:rPr>
              <w:t>0.23</w:t>
            </w:r>
          </w:p>
        </w:tc>
        <w:tc>
          <w:tcPr>
            <w:tcW w:w="0" w:type="auto"/>
            <w:tcMar>
              <w:top w:w="0" w:type="dxa"/>
              <w:left w:w="108" w:type="dxa"/>
              <w:bottom w:w="0" w:type="dxa"/>
              <w:right w:w="108" w:type="dxa"/>
            </w:tcMar>
            <w:hideMark/>
          </w:tcPr>
          <w:p w14:paraId="62D69978" w14:textId="77777777" w:rsidR="00FA63B0" w:rsidRPr="002C30ED" w:rsidRDefault="00FA63B0" w:rsidP="002C30ED">
            <w:pPr>
              <w:jc w:val="both"/>
              <w:rPr>
                <w:rFonts w:ascii="Arial" w:hAnsi="Arial"/>
              </w:rPr>
            </w:pPr>
            <w:r w:rsidRPr="002C30ED">
              <w:rPr>
                <w:rFonts w:ascii="Arial" w:hAnsi="Arial"/>
              </w:rPr>
              <w:t>4.32</w:t>
            </w:r>
          </w:p>
        </w:tc>
        <w:tc>
          <w:tcPr>
            <w:tcW w:w="0" w:type="auto"/>
            <w:tcMar>
              <w:top w:w="0" w:type="dxa"/>
              <w:left w:w="108" w:type="dxa"/>
              <w:bottom w:w="0" w:type="dxa"/>
              <w:right w:w="108" w:type="dxa"/>
            </w:tcMar>
            <w:hideMark/>
          </w:tcPr>
          <w:p w14:paraId="5DCA7CCA" w14:textId="77777777" w:rsidR="00FA63B0" w:rsidRPr="002C30ED" w:rsidRDefault="00FA63B0" w:rsidP="002C30ED">
            <w:pPr>
              <w:jc w:val="both"/>
              <w:rPr>
                <w:rFonts w:ascii="Arial" w:hAnsi="Arial"/>
              </w:rPr>
            </w:pPr>
            <w:r w:rsidRPr="002C30ED">
              <w:rPr>
                <w:rFonts w:ascii="Arial" w:hAnsi="Arial"/>
              </w:rPr>
              <w:t>8.64</w:t>
            </w:r>
          </w:p>
        </w:tc>
        <w:tc>
          <w:tcPr>
            <w:tcW w:w="0" w:type="auto"/>
            <w:tcMar>
              <w:top w:w="0" w:type="dxa"/>
              <w:left w:w="108" w:type="dxa"/>
              <w:bottom w:w="0" w:type="dxa"/>
              <w:right w:w="108" w:type="dxa"/>
            </w:tcMar>
            <w:hideMark/>
          </w:tcPr>
          <w:p w14:paraId="3C223650" w14:textId="77777777" w:rsidR="00FA63B0" w:rsidRPr="002C30ED" w:rsidRDefault="00FA63B0" w:rsidP="002C30ED">
            <w:pPr>
              <w:jc w:val="both"/>
              <w:rPr>
                <w:rFonts w:ascii="Arial" w:hAnsi="Arial"/>
              </w:rPr>
            </w:pPr>
            <w:r w:rsidRPr="002C30ED">
              <w:rPr>
                <w:rFonts w:ascii="Arial" w:hAnsi="Arial"/>
              </w:rPr>
              <w:t>3.89</w:t>
            </w:r>
          </w:p>
        </w:tc>
        <w:tc>
          <w:tcPr>
            <w:tcW w:w="0" w:type="auto"/>
            <w:tcMar>
              <w:top w:w="0" w:type="dxa"/>
              <w:left w:w="108" w:type="dxa"/>
              <w:bottom w:w="0" w:type="dxa"/>
              <w:right w:w="108" w:type="dxa"/>
            </w:tcMar>
            <w:hideMark/>
          </w:tcPr>
          <w:p w14:paraId="078A683E" w14:textId="77777777" w:rsidR="00FA63B0" w:rsidRPr="002C30ED" w:rsidRDefault="00FA63B0" w:rsidP="002C30ED">
            <w:pPr>
              <w:jc w:val="both"/>
              <w:rPr>
                <w:rFonts w:ascii="Arial" w:hAnsi="Arial"/>
              </w:rPr>
            </w:pPr>
            <w:r w:rsidRPr="002C30ED">
              <w:rPr>
                <w:rFonts w:ascii="Arial" w:hAnsi="Arial"/>
              </w:rPr>
              <w:t>7.57 × 10-3</w:t>
            </w:r>
          </w:p>
        </w:tc>
      </w:tr>
      <w:tr w:rsidR="00FA63B0" w:rsidRPr="00FA63B0" w14:paraId="3D81CF53" w14:textId="77777777" w:rsidTr="002C30ED">
        <w:trPr>
          <w:trHeight w:val="256"/>
        </w:trPr>
        <w:tc>
          <w:tcPr>
            <w:tcW w:w="0" w:type="auto"/>
            <w:tcMar>
              <w:top w:w="0" w:type="dxa"/>
              <w:left w:w="108" w:type="dxa"/>
              <w:bottom w:w="0" w:type="dxa"/>
              <w:right w:w="108" w:type="dxa"/>
            </w:tcMar>
            <w:hideMark/>
          </w:tcPr>
          <w:p w14:paraId="68B5F9B8" w14:textId="77777777" w:rsidR="00FA63B0" w:rsidRPr="002C30ED" w:rsidRDefault="00FA63B0" w:rsidP="002C30ED">
            <w:pPr>
              <w:jc w:val="both"/>
              <w:rPr>
                <w:rFonts w:ascii="Arial" w:hAnsi="Arial"/>
              </w:rPr>
            </w:pPr>
            <w:r w:rsidRPr="002C30ED">
              <w:rPr>
                <w:rFonts w:ascii="Arial" w:hAnsi="Arial"/>
              </w:rPr>
              <w:t>Bicalutamide</w:t>
            </w:r>
          </w:p>
        </w:tc>
        <w:tc>
          <w:tcPr>
            <w:tcW w:w="0" w:type="auto"/>
            <w:tcMar>
              <w:top w:w="0" w:type="dxa"/>
              <w:left w:w="108" w:type="dxa"/>
              <w:bottom w:w="0" w:type="dxa"/>
              <w:right w:w="108" w:type="dxa"/>
            </w:tcMar>
            <w:hideMark/>
          </w:tcPr>
          <w:p w14:paraId="283A09D9" w14:textId="77777777" w:rsidR="00FA63B0" w:rsidRPr="002C30ED" w:rsidRDefault="00FA63B0" w:rsidP="002C30ED">
            <w:pPr>
              <w:jc w:val="both"/>
              <w:rPr>
                <w:rFonts w:ascii="Arial" w:hAnsi="Arial"/>
              </w:rPr>
            </w:pPr>
            <w:r w:rsidRPr="002C30ED">
              <w:rPr>
                <w:rFonts w:ascii="Arial" w:hAnsi="Arial"/>
              </w:rPr>
              <w:t>2.30</w:t>
            </w:r>
          </w:p>
        </w:tc>
        <w:tc>
          <w:tcPr>
            <w:tcW w:w="0" w:type="auto"/>
            <w:tcMar>
              <w:top w:w="0" w:type="dxa"/>
              <w:left w:w="108" w:type="dxa"/>
              <w:bottom w:w="0" w:type="dxa"/>
              <w:right w:w="108" w:type="dxa"/>
            </w:tcMar>
            <w:hideMark/>
          </w:tcPr>
          <w:p w14:paraId="559882ED" w14:textId="77777777" w:rsidR="00FA63B0" w:rsidRPr="002C30ED" w:rsidRDefault="00FA63B0" w:rsidP="002C30ED">
            <w:pPr>
              <w:jc w:val="both"/>
              <w:rPr>
                <w:rFonts w:ascii="Arial" w:hAnsi="Arial"/>
              </w:rPr>
            </w:pPr>
            <w:r w:rsidRPr="002C30ED">
              <w:rPr>
                <w:rFonts w:ascii="Arial" w:hAnsi="Arial"/>
              </w:rPr>
              <w:t>18.2</w:t>
            </w:r>
          </w:p>
        </w:tc>
        <w:tc>
          <w:tcPr>
            <w:tcW w:w="0" w:type="auto"/>
            <w:tcMar>
              <w:top w:w="0" w:type="dxa"/>
              <w:left w:w="108" w:type="dxa"/>
              <w:bottom w:w="0" w:type="dxa"/>
              <w:right w:w="108" w:type="dxa"/>
            </w:tcMar>
            <w:hideMark/>
          </w:tcPr>
          <w:p w14:paraId="56E3A7AC" w14:textId="77777777" w:rsidR="00FA63B0" w:rsidRPr="002C30ED" w:rsidRDefault="00FA63B0" w:rsidP="002C30ED">
            <w:pPr>
              <w:jc w:val="both"/>
              <w:rPr>
                <w:rFonts w:ascii="Arial" w:hAnsi="Arial"/>
              </w:rPr>
            </w:pPr>
            <w:r w:rsidRPr="002C30ED">
              <w:rPr>
                <w:rFonts w:ascii="Arial" w:hAnsi="Arial"/>
              </w:rPr>
              <w:t>1.36 × 102</w:t>
            </w:r>
          </w:p>
        </w:tc>
        <w:tc>
          <w:tcPr>
            <w:tcW w:w="0" w:type="auto"/>
            <w:tcMar>
              <w:top w:w="0" w:type="dxa"/>
              <w:left w:w="108" w:type="dxa"/>
              <w:bottom w:w="0" w:type="dxa"/>
              <w:right w:w="108" w:type="dxa"/>
            </w:tcMar>
            <w:hideMark/>
          </w:tcPr>
          <w:p w14:paraId="76A448B3" w14:textId="77777777" w:rsidR="00FA63B0" w:rsidRPr="002C30ED" w:rsidRDefault="00FA63B0" w:rsidP="002C30ED">
            <w:pPr>
              <w:jc w:val="both"/>
              <w:rPr>
                <w:rFonts w:ascii="Arial" w:hAnsi="Arial"/>
              </w:rPr>
            </w:pPr>
            <w:r w:rsidRPr="002C30ED">
              <w:rPr>
                <w:rFonts w:ascii="Arial" w:hAnsi="Arial"/>
              </w:rPr>
              <w:t>0.84</w:t>
            </w:r>
          </w:p>
        </w:tc>
        <w:tc>
          <w:tcPr>
            <w:tcW w:w="0" w:type="auto"/>
            <w:tcMar>
              <w:top w:w="0" w:type="dxa"/>
              <w:left w:w="108" w:type="dxa"/>
              <w:bottom w:w="0" w:type="dxa"/>
              <w:right w:w="108" w:type="dxa"/>
            </w:tcMar>
            <w:hideMark/>
          </w:tcPr>
          <w:p w14:paraId="1785E55A" w14:textId="77777777" w:rsidR="00FA63B0" w:rsidRPr="002C30ED" w:rsidRDefault="00FA63B0" w:rsidP="002C30ED">
            <w:pPr>
              <w:jc w:val="both"/>
              <w:rPr>
                <w:rFonts w:ascii="Arial" w:hAnsi="Arial"/>
              </w:rPr>
            </w:pPr>
            <w:r w:rsidRPr="002C30ED">
              <w:rPr>
                <w:rFonts w:ascii="Arial" w:hAnsi="Arial"/>
              </w:rPr>
              <w:t>1.44</w:t>
            </w:r>
          </w:p>
        </w:tc>
        <w:tc>
          <w:tcPr>
            <w:tcW w:w="0" w:type="auto"/>
            <w:tcMar>
              <w:top w:w="0" w:type="dxa"/>
              <w:left w:w="108" w:type="dxa"/>
              <w:bottom w:w="0" w:type="dxa"/>
              <w:right w:w="108" w:type="dxa"/>
            </w:tcMar>
            <w:hideMark/>
          </w:tcPr>
          <w:p w14:paraId="06BC7DF3" w14:textId="77777777" w:rsidR="00FA63B0" w:rsidRPr="002C30ED" w:rsidRDefault="00FA63B0" w:rsidP="002C30ED">
            <w:pPr>
              <w:jc w:val="both"/>
              <w:rPr>
                <w:rFonts w:ascii="Arial" w:hAnsi="Arial"/>
              </w:rPr>
            </w:pPr>
            <w:r w:rsidRPr="002C30ED">
              <w:rPr>
                <w:rFonts w:ascii="Arial" w:hAnsi="Arial"/>
              </w:rPr>
              <w:t>2.88</w:t>
            </w:r>
          </w:p>
        </w:tc>
        <w:tc>
          <w:tcPr>
            <w:tcW w:w="0" w:type="auto"/>
            <w:tcMar>
              <w:top w:w="0" w:type="dxa"/>
              <w:left w:w="108" w:type="dxa"/>
              <w:bottom w:w="0" w:type="dxa"/>
              <w:right w:w="108" w:type="dxa"/>
            </w:tcMar>
            <w:hideMark/>
          </w:tcPr>
          <w:p w14:paraId="08387500" w14:textId="77777777" w:rsidR="00FA63B0" w:rsidRPr="002C30ED" w:rsidRDefault="00FA63B0" w:rsidP="002C30ED">
            <w:pPr>
              <w:jc w:val="both"/>
              <w:rPr>
                <w:rFonts w:ascii="Arial" w:hAnsi="Arial"/>
              </w:rPr>
            </w:pPr>
            <w:r w:rsidRPr="002C30ED">
              <w:rPr>
                <w:rFonts w:ascii="Arial" w:hAnsi="Arial"/>
              </w:rPr>
              <w:t>13.0</w:t>
            </w:r>
          </w:p>
        </w:tc>
        <w:tc>
          <w:tcPr>
            <w:tcW w:w="0" w:type="auto"/>
            <w:tcMar>
              <w:top w:w="0" w:type="dxa"/>
              <w:left w:w="108" w:type="dxa"/>
              <w:bottom w:w="0" w:type="dxa"/>
              <w:right w:w="108" w:type="dxa"/>
            </w:tcMar>
            <w:hideMark/>
          </w:tcPr>
          <w:p w14:paraId="78ED2A6F" w14:textId="77777777" w:rsidR="00FA63B0" w:rsidRPr="002C30ED" w:rsidRDefault="00FA63B0" w:rsidP="002C30ED">
            <w:pPr>
              <w:jc w:val="both"/>
              <w:rPr>
                <w:rFonts w:ascii="Arial" w:hAnsi="Arial"/>
              </w:rPr>
            </w:pPr>
            <w:r w:rsidRPr="002C30ED">
              <w:rPr>
                <w:rFonts w:ascii="Arial" w:hAnsi="Arial"/>
              </w:rPr>
              <w:t>1.37 × 10-3</w:t>
            </w:r>
          </w:p>
        </w:tc>
      </w:tr>
      <w:tr w:rsidR="00FA63B0" w:rsidRPr="00FA63B0" w14:paraId="2C81305D" w14:textId="77777777" w:rsidTr="002C30ED">
        <w:trPr>
          <w:trHeight w:val="270"/>
        </w:trPr>
        <w:tc>
          <w:tcPr>
            <w:tcW w:w="0" w:type="auto"/>
            <w:tcMar>
              <w:top w:w="0" w:type="dxa"/>
              <w:left w:w="108" w:type="dxa"/>
              <w:bottom w:w="0" w:type="dxa"/>
              <w:right w:w="108" w:type="dxa"/>
            </w:tcMar>
            <w:hideMark/>
          </w:tcPr>
          <w:p w14:paraId="37FB6551" w14:textId="77777777" w:rsidR="00FA63B0" w:rsidRPr="002C30ED" w:rsidRDefault="00FA63B0" w:rsidP="002C30ED">
            <w:pPr>
              <w:jc w:val="both"/>
              <w:rPr>
                <w:rFonts w:ascii="Arial" w:hAnsi="Arial"/>
              </w:rPr>
            </w:pPr>
            <w:r w:rsidRPr="002C30ED">
              <w:rPr>
                <w:rFonts w:ascii="Arial" w:hAnsi="Arial"/>
              </w:rPr>
              <w:t>Daunorubicin</w:t>
            </w:r>
          </w:p>
        </w:tc>
        <w:tc>
          <w:tcPr>
            <w:tcW w:w="0" w:type="auto"/>
            <w:tcMar>
              <w:top w:w="0" w:type="dxa"/>
              <w:left w:w="108" w:type="dxa"/>
              <w:bottom w:w="0" w:type="dxa"/>
              <w:right w:w="108" w:type="dxa"/>
            </w:tcMar>
            <w:hideMark/>
          </w:tcPr>
          <w:p w14:paraId="426A96D0" w14:textId="77777777" w:rsidR="00FA63B0" w:rsidRPr="002C30ED" w:rsidRDefault="00FA63B0" w:rsidP="002C30ED">
            <w:pPr>
              <w:jc w:val="both"/>
              <w:rPr>
                <w:rFonts w:ascii="Arial" w:hAnsi="Arial"/>
              </w:rPr>
            </w:pPr>
            <w:r w:rsidRPr="002C30ED">
              <w:rPr>
                <w:rFonts w:ascii="Arial" w:hAnsi="Arial"/>
              </w:rPr>
              <w:t>2.19</w:t>
            </w:r>
          </w:p>
        </w:tc>
        <w:tc>
          <w:tcPr>
            <w:tcW w:w="0" w:type="auto"/>
            <w:tcMar>
              <w:top w:w="0" w:type="dxa"/>
              <w:left w:w="108" w:type="dxa"/>
              <w:bottom w:w="0" w:type="dxa"/>
              <w:right w:w="108" w:type="dxa"/>
            </w:tcMar>
            <w:hideMark/>
          </w:tcPr>
          <w:p w14:paraId="0E2880DB" w14:textId="77777777" w:rsidR="00FA63B0" w:rsidRPr="002C30ED" w:rsidRDefault="00FA63B0" w:rsidP="002C30ED">
            <w:pPr>
              <w:jc w:val="both"/>
              <w:rPr>
                <w:rFonts w:ascii="Arial" w:hAnsi="Arial"/>
              </w:rPr>
            </w:pPr>
            <w:r w:rsidRPr="002C30ED">
              <w:rPr>
                <w:rFonts w:ascii="Arial" w:hAnsi="Arial"/>
              </w:rPr>
              <w:t>1.92</w:t>
            </w:r>
          </w:p>
        </w:tc>
        <w:tc>
          <w:tcPr>
            <w:tcW w:w="0" w:type="auto"/>
            <w:tcMar>
              <w:top w:w="0" w:type="dxa"/>
              <w:left w:w="108" w:type="dxa"/>
              <w:bottom w:w="0" w:type="dxa"/>
              <w:right w:w="108" w:type="dxa"/>
            </w:tcMar>
            <w:hideMark/>
          </w:tcPr>
          <w:p w14:paraId="42E41C7D" w14:textId="77777777" w:rsidR="00FA63B0" w:rsidRPr="002C30ED" w:rsidRDefault="00FA63B0" w:rsidP="002C30ED">
            <w:pPr>
              <w:jc w:val="both"/>
              <w:rPr>
                <w:rFonts w:ascii="Arial" w:hAnsi="Arial"/>
              </w:rPr>
            </w:pPr>
            <w:r w:rsidRPr="002C30ED">
              <w:rPr>
                <w:rFonts w:ascii="Arial" w:hAnsi="Arial"/>
              </w:rPr>
              <w:t>3.92 × 102</w:t>
            </w:r>
          </w:p>
        </w:tc>
        <w:tc>
          <w:tcPr>
            <w:tcW w:w="0" w:type="auto"/>
            <w:tcMar>
              <w:top w:w="0" w:type="dxa"/>
              <w:left w:w="108" w:type="dxa"/>
              <w:bottom w:w="0" w:type="dxa"/>
              <w:right w:w="108" w:type="dxa"/>
            </w:tcMar>
            <w:hideMark/>
          </w:tcPr>
          <w:p w14:paraId="4425B376" w14:textId="77777777" w:rsidR="00FA63B0" w:rsidRPr="002C30ED" w:rsidRDefault="00FA63B0" w:rsidP="002C30ED">
            <w:pPr>
              <w:jc w:val="both"/>
              <w:rPr>
                <w:rFonts w:ascii="Arial" w:hAnsi="Arial"/>
              </w:rPr>
            </w:pPr>
            <w:r w:rsidRPr="002C30ED">
              <w:rPr>
                <w:rFonts w:ascii="Arial" w:hAnsi="Arial"/>
              </w:rPr>
              <w:t>0.39</w:t>
            </w:r>
          </w:p>
        </w:tc>
        <w:tc>
          <w:tcPr>
            <w:tcW w:w="0" w:type="auto"/>
            <w:tcMar>
              <w:top w:w="0" w:type="dxa"/>
              <w:left w:w="108" w:type="dxa"/>
              <w:bottom w:w="0" w:type="dxa"/>
              <w:right w:w="108" w:type="dxa"/>
            </w:tcMar>
            <w:hideMark/>
          </w:tcPr>
          <w:p w14:paraId="75629DB7" w14:textId="77777777" w:rsidR="00FA63B0" w:rsidRPr="002C30ED" w:rsidRDefault="00FA63B0" w:rsidP="002C30ED">
            <w:pPr>
              <w:jc w:val="both"/>
              <w:rPr>
                <w:rFonts w:ascii="Arial" w:hAnsi="Arial"/>
              </w:rPr>
            </w:pPr>
            <w:r w:rsidRPr="002C30ED">
              <w:rPr>
                <w:rFonts w:ascii="Arial" w:hAnsi="Arial"/>
              </w:rPr>
              <w:t>4.32</w:t>
            </w:r>
          </w:p>
        </w:tc>
        <w:tc>
          <w:tcPr>
            <w:tcW w:w="0" w:type="auto"/>
            <w:tcMar>
              <w:top w:w="0" w:type="dxa"/>
              <w:left w:w="108" w:type="dxa"/>
              <w:bottom w:w="0" w:type="dxa"/>
              <w:right w:w="108" w:type="dxa"/>
            </w:tcMar>
            <w:hideMark/>
          </w:tcPr>
          <w:p w14:paraId="63496C3D" w14:textId="77777777" w:rsidR="00FA63B0" w:rsidRPr="002C30ED" w:rsidRDefault="00FA63B0" w:rsidP="002C30ED">
            <w:pPr>
              <w:jc w:val="both"/>
              <w:rPr>
                <w:rFonts w:ascii="Arial" w:hAnsi="Arial"/>
              </w:rPr>
            </w:pPr>
            <w:r w:rsidRPr="002C30ED">
              <w:rPr>
                <w:rFonts w:ascii="Arial" w:hAnsi="Arial"/>
              </w:rPr>
              <w:t>8.64</w:t>
            </w:r>
          </w:p>
        </w:tc>
        <w:tc>
          <w:tcPr>
            <w:tcW w:w="0" w:type="auto"/>
            <w:tcMar>
              <w:top w:w="0" w:type="dxa"/>
              <w:left w:w="108" w:type="dxa"/>
              <w:bottom w:w="0" w:type="dxa"/>
              <w:right w:w="108" w:type="dxa"/>
            </w:tcMar>
            <w:hideMark/>
          </w:tcPr>
          <w:p w14:paraId="12CA5C9E" w14:textId="77777777" w:rsidR="00FA63B0" w:rsidRPr="002C30ED" w:rsidRDefault="00FA63B0" w:rsidP="002C30ED">
            <w:pPr>
              <w:jc w:val="both"/>
              <w:rPr>
                <w:rFonts w:ascii="Arial" w:hAnsi="Arial"/>
              </w:rPr>
            </w:pPr>
            <w:r w:rsidRPr="002C30ED">
              <w:rPr>
                <w:rFonts w:ascii="Arial" w:hAnsi="Arial"/>
              </w:rPr>
              <w:t>38.9</w:t>
            </w:r>
          </w:p>
        </w:tc>
        <w:tc>
          <w:tcPr>
            <w:tcW w:w="0" w:type="auto"/>
            <w:tcMar>
              <w:top w:w="0" w:type="dxa"/>
              <w:left w:w="108" w:type="dxa"/>
              <w:bottom w:w="0" w:type="dxa"/>
              <w:right w:w="108" w:type="dxa"/>
            </w:tcMar>
            <w:hideMark/>
          </w:tcPr>
          <w:p w14:paraId="784FE7EC" w14:textId="77777777" w:rsidR="00FA63B0" w:rsidRPr="002C30ED" w:rsidRDefault="00FA63B0" w:rsidP="002C30ED">
            <w:pPr>
              <w:jc w:val="both"/>
              <w:rPr>
                <w:rFonts w:ascii="Arial" w:hAnsi="Arial"/>
              </w:rPr>
            </w:pPr>
            <w:r w:rsidRPr="002C30ED">
              <w:rPr>
                <w:rFonts w:ascii="Arial" w:hAnsi="Arial"/>
              </w:rPr>
              <w:t>2.88 × 10-4</w:t>
            </w:r>
          </w:p>
        </w:tc>
      </w:tr>
      <w:tr w:rsidR="00FA63B0" w:rsidRPr="00FA63B0" w14:paraId="34972195" w14:textId="77777777" w:rsidTr="002C30ED">
        <w:trPr>
          <w:trHeight w:val="256"/>
        </w:trPr>
        <w:tc>
          <w:tcPr>
            <w:tcW w:w="0" w:type="auto"/>
            <w:tcMar>
              <w:top w:w="0" w:type="dxa"/>
              <w:left w:w="108" w:type="dxa"/>
              <w:bottom w:w="0" w:type="dxa"/>
              <w:right w:w="108" w:type="dxa"/>
            </w:tcMar>
            <w:hideMark/>
          </w:tcPr>
          <w:p w14:paraId="73291B5A" w14:textId="77777777" w:rsidR="00FA63B0" w:rsidRPr="002C30ED" w:rsidRDefault="00FA63B0" w:rsidP="002C30ED">
            <w:pPr>
              <w:jc w:val="both"/>
              <w:rPr>
                <w:rFonts w:ascii="Arial" w:hAnsi="Arial"/>
              </w:rPr>
            </w:pPr>
            <w:r w:rsidRPr="002C30ED">
              <w:rPr>
                <w:rFonts w:ascii="Arial" w:hAnsi="Arial"/>
              </w:rPr>
              <w:t>Doxorubicin</w:t>
            </w:r>
          </w:p>
        </w:tc>
        <w:tc>
          <w:tcPr>
            <w:tcW w:w="0" w:type="auto"/>
            <w:tcMar>
              <w:top w:w="0" w:type="dxa"/>
              <w:left w:w="108" w:type="dxa"/>
              <w:bottom w:w="0" w:type="dxa"/>
              <w:right w:w="108" w:type="dxa"/>
            </w:tcMar>
            <w:hideMark/>
          </w:tcPr>
          <w:p w14:paraId="0B0B350C" w14:textId="77777777" w:rsidR="00FA63B0" w:rsidRPr="002C30ED" w:rsidRDefault="00FA63B0" w:rsidP="002C30ED">
            <w:pPr>
              <w:jc w:val="both"/>
              <w:rPr>
                <w:rFonts w:ascii="Arial" w:hAnsi="Arial"/>
              </w:rPr>
            </w:pPr>
            <w:r w:rsidRPr="002C30ED">
              <w:rPr>
                <w:rFonts w:ascii="Arial" w:hAnsi="Arial"/>
              </w:rPr>
              <w:t>1.85</w:t>
            </w:r>
          </w:p>
        </w:tc>
        <w:tc>
          <w:tcPr>
            <w:tcW w:w="0" w:type="auto"/>
            <w:tcMar>
              <w:top w:w="0" w:type="dxa"/>
              <w:left w:w="108" w:type="dxa"/>
              <w:bottom w:w="0" w:type="dxa"/>
              <w:right w:w="108" w:type="dxa"/>
            </w:tcMar>
            <w:hideMark/>
          </w:tcPr>
          <w:p w14:paraId="47FECFD2" w14:textId="77777777" w:rsidR="00FA63B0" w:rsidRPr="002C30ED" w:rsidRDefault="00FA63B0" w:rsidP="002C30ED">
            <w:pPr>
              <w:jc w:val="both"/>
              <w:rPr>
                <w:rFonts w:ascii="Arial" w:hAnsi="Arial"/>
              </w:rPr>
            </w:pPr>
            <w:r w:rsidRPr="002C30ED">
              <w:rPr>
                <w:rFonts w:ascii="Arial" w:hAnsi="Arial"/>
              </w:rPr>
              <w:t>1.27</w:t>
            </w:r>
          </w:p>
        </w:tc>
        <w:tc>
          <w:tcPr>
            <w:tcW w:w="0" w:type="auto"/>
            <w:tcMar>
              <w:top w:w="0" w:type="dxa"/>
              <w:left w:w="108" w:type="dxa"/>
              <w:bottom w:w="0" w:type="dxa"/>
              <w:right w:w="108" w:type="dxa"/>
            </w:tcMar>
            <w:hideMark/>
          </w:tcPr>
          <w:p w14:paraId="1577898D" w14:textId="77777777" w:rsidR="00FA63B0" w:rsidRPr="002C30ED" w:rsidRDefault="00FA63B0" w:rsidP="002C30ED">
            <w:pPr>
              <w:jc w:val="both"/>
              <w:rPr>
                <w:rFonts w:ascii="Arial" w:hAnsi="Arial"/>
              </w:rPr>
            </w:pPr>
            <w:r w:rsidRPr="002C30ED">
              <w:rPr>
                <w:rFonts w:ascii="Arial" w:hAnsi="Arial"/>
              </w:rPr>
              <w:t>9.28 × 10</w:t>
            </w:r>
          </w:p>
        </w:tc>
        <w:tc>
          <w:tcPr>
            <w:tcW w:w="0" w:type="auto"/>
            <w:tcMar>
              <w:top w:w="0" w:type="dxa"/>
              <w:left w:w="108" w:type="dxa"/>
              <w:bottom w:w="0" w:type="dxa"/>
              <w:right w:w="108" w:type="dxa"/>
            </w:tcMar>
            <w:hideMark/>
          </w:tcPr>
          <w:p w14:paraId="25E4AD08" w14:textId="77777777" w:rsidR="00FA63B0" w:rsidRPr="002C30ED" w:rsidRDefault="00FA63B0" w:rsidP="002C30ED">
            <w:pPr>
              <w:jc w:val="both"/>
              <w:rPr>
                <w:rFonts w:ascii="Arial" w:hAnsi="Arial"/>
              </w:rPr>
            </w:pPr>
            <w:r w:rsidRPr="002C30ED">
              <w:rPr>
                <w:rFonts w:ascii="Arial" w:hAnsi="Arial"/>
              </w:rPr>
              <w:t>0.38</w:t>
            </w:r>
          </w:p>
        </w:tc>
        <w:tc>
          <w:tcPr>
            <w:tcW w:w="0" w:type="auto"/>
            <w:tcMar>
              <w:top w:w="0" w:type="dxa"/>
              <w:left w:w="108" w:type="dxa"/>
              <w:bottom w:w="0" w:type="dxa"/>
              <w:right w:w="108" w:type="dxa"/>
            </w:tcMar>
            <w:hideMark/>
          </w:tcPr>
          <w:p w14:paraId="50CED855" w14:textId="77777777" w:rsidR="00FA63B0" w:rsidRPr="002C30ED" w:rsidRDefault="00FA63B0" w:rsidP="002C30ED">
            <w:pPr>
              <w:jc w:val="both"/>
              <w:rPr>
                <w:rFonts w:ascii="Arial" w:hAnsi="Arial"/>
              </w:rPr>
            </w:pPr>
            <w:r w:rsidRPr="002C30ED">
              <w:rPr>
                <w:rFonts w:ascii="Arial" w:hAnsi="Arial"/>
              </w:rPr>
              <w:t>4.32</w:t>
            </w:r>
          </w:p>
        </w:tc>
        <w:tc>
          <w:tcPr>
            <w:tcW w:w="0" w:type="auto"/>
            <w:tcMar>
              <w:top w:w="0" w:type="dxa"/>
              <w:left w:w="108" w:type="dxa"/>
              <w:bottom w:w="0" w:type="dxa"/>
              <w:right w:w="108" w:type="dxa"/>
            </w:tcMar>
            <w:hideMark/>
          </w:tcPr>
          <w:p w14:paraId="2A4E1936" w14:textId="77777777" w:rsidR="00FA63B0" w:rsidRPr="002C30ED" w:rsidRDefault="00FA63B0" w:rsidP="002C30ED">
            <w:pPr>
              <w:jc w:val="both"/>
              <w:rPr>
                <w:rFonts w:ascii="Arial" w:hAnsi="Arial"/>
              </w:rPr>
            </w:pPr>
            <w:r w:rsidRPr="002C30ED">
              <w:rPr>
                <w:rFonts w:ascii="Arial" w:hAnsi="Arial"/>
              </w:rPr>
              <w:t>8.64</w:t>
            </w:r>
          </w:p>
        </w:tc>
        <w:tc>
          <w:tcPr>
            <w:tcW w:w="0" w:type="auto"/>
            <w:tcMar>
              <w:top w:w="0" w:type="dxa"/>
              <w:left w:w="108" w:type="dxa"/>
              <w:bottom w:w="0" w:type="dxa"/>
              <w:right w:w="108" w:type="dxa"/>
            </w:tcMar>
            <w:hideMark/>
          </w:tcPr>
          <w:p w14:paraId="1129E86A" w14:textId="77777777" w:rsidR="00FA63B0" w:rsidRPr="002C30ED" w:rsidRDefault="00FA63B0" w:rsidP="002C30ED">
            <w:pPr>
              <w:jc w:val="both"/>
              <w:rPr>
                <w:rFonts w:ascii="Arial" w:hAnsi="Arial"/>
              </w:rPr>
            </w:pPr>
            <w:r w:rsidRPr="002C30ED">
              <w:rPr>
                <w:rFonts w:ascii="Arial" w:hAnsi="Arial"/>
              </w:rPr>
              <w:t>38.9</w:t>
            </w:r>
          </w:p>
        </w:tc>
        <w:tc>
          <w:tcPr>
            <w:tcW w:w="0" w:type="auto"/>
            <w:tcMar>
              <w:top w:w="0" w:type="dxa"/>
              <w:left w:w="108" w:type="dxa"/>
              <w:bottom w:w="0" w:type="dxa"/>
              <w:right w:w="108" w:type="dxa"/>
            </w:tcMar>
            <w:hideMark/>
          </w:tcPr>
          <w:p w14:paraId="0FC5DC0A" w14:textId="77777777" w:rsidR="00FA63B0" w:rsidRPr="002C30ED" w:rsidRDefault="00FA63B0" w:rsidP="002C30ED">
            <w:pPr>
              <w:jc w:val="both"/>
              <w:rPr>
                <w:rFonts w:ascii="Arial" w:hAnsi="Arial"/>
              </w:rPr>
            </w:pPr>
            <w:r w:rsidRPr="002C30ED">
              <w:rPr>
                <w:rFonts w:ascii="Arial" w:hAnsi="Arial"/>
              </w:rPr>
              <w:t>6.91 × 10-4</w:t>
            </w:r>
          </w:p>
        </w:tc>
      </w:tr>
      <w:tr w:rsidR="00FA63B0" w:rsidRPr="00FA63B0" w14:paraId="59AB846A" w14:textId="77777777" w:rsidTr="002C30ED">
        <w:trPr>
          <w:trHeight w:val="270"/>
        </w:trPr>
        <w:tc>
          <w:tcPr>
            <w:tcW w:w="0" w:type="auto"/>
            <w:tcMar>
              <w:top w:w="0" w:type="dxa"/>
              <w:left w:w="108" w:type="dxa"/>
              <w:bottom w:w="0" w:type="dxa"/>
              <w:right w:w="108" w:type="dxa"/>
            </w:tcMar>
            <w:hideMark/>
          </w:tcPr>
          <w:p w14:paraId="24F02294" w14:textId="77777777" w:rsidR="00FA63B0" w:rsidRPr="002C30ED" w:rsidRDefault="00FA63B0" w:rsidP="002C30ED">
            <w:pPr>
              <w:jc w:val="both"/>
              <w:rPr>
                <w:rFonts w:ascii="Arial" w:hAnsi="Arial"/>
              </w:rPr>
            </w:pPr>
            <w:r w:rsidRPr="002C30ED">
              <w:rPr>
                <w:rFonts w:ascii="Arial" w:hAnsi="Arial"/>
              </w:rPr>
              <w:t>Cyclophosphamide</w:t>
            </w:r>
          </w:p>
        </w:tc>
        <w:tc>
          <w:tcPr>
            <w:tcW w:w="0" w:type="auto"/>
            <w:tcMar>
              <w:top w:w="0" w:type="dxa"/>
              <w:left w:w="108" w:type="dxa"/>
              <w:bottom w:w="0" w:type="dxa"/>
              <w:right w:w="108" w:type="dxa"/>
            </w:tcMar>
            <w:hideMark/>
          </w:tcPr>
          <w:p w14:paraId="2B6B4C40" w14:textId="77777777" w:rsidR="00FA63B0" w:rsidRPr="002C30ED" w:rsidRDefault="00FA63B0" w:rsidP="002C30ED">
            <w:pPr>
              <w:jc w:val="both"/>
              <w:rPr>
                <w:rFonts w:ascii="Arial" w:hAnsi="Arial"/>
              </w:rPr>
            </w:pPr>
            <w:r w:rsidRPr="002C30ED">
              <w:rPr>
                <w:rFonts w:ascii="Arial" w:hAnsi="Arial"/>
              </w:rPr>
              <w:t>0.97</w:t>
            </w:r>
          </w:p>
        </w:tc>
        <w:tc>
          <w:tcPr>
            <w:tcW w:w="0" w:type="auto"/>
            <w:tcMar>
              <w:top w:w="0" w:type="dxa"/>
              <w:left w:w="108" w:type="dxa"/>
              <w:bottom w:w="0" w:type="dxa"/>
              <w:right w:w="108" w:type="dxa"/>
            </w:tcMar>
            <w:hideMark/>
          </w:tcPr>
          <w:p w14:paraId="4E590DD6" w14:textId="77777777" w:rsidR="00FA63B0" w:rsidRPr="002C30ED" w:rsidRDefault="00FA63B0" w:rsidP="002C30ED">
            <w:pPr>
              <w:jc w:val="both"/>
              <w:rPr>
                <w:rFonts w:ascii="Arial" w:hAnsi="Arial"/>
              </w:rPr>
            </w:pPr>
            <w:r w:rsidRPr="002C30ED">
              <w:rPr>
                <w:rFonts w:ascii="Arial" w:hAnsi="Arial"/>
              </w:rPr>
              <w:t>0.50</w:t>
            </w:r>
          </w:p>
        </w:tc>
        <w:tc>
          <w:tcPr>
            <w:tcW w:w="0" w:type="auto"/>
            <w:tcMar>
              <w:top w:w="0" w:type="dxa"/>
              <w:left w:w="108" w:type="dxa"/>
              <w:bottom w:w="0" w:type="dxa"/>
              <w:right w:w="108" w:type="dxa"/>
            </w:tcMar>
            <w:hideMark/>
          </w:tcPr>
          <w:p w14:paraId="4974BBBC" w14:textId="77777777" w:rsidR="00FA63B0" w:rsidRPr="002C30ED" w:rsidRDefault="00FA63B0" w:rsidP="002C30ED">
            <w:pPr>
              <w:jc w:val="both"/>
              <w:rPr>
                <w:rFonts w:ascii="Arial" w:hAnsi="Arial"/>
              </w:rPr>
            </w:pPr>
            <w:r w:rsidRPr="002C30ED">
              <w:rPr>
                <w:rFonts w:ascii="Arial" w:hAnsi="Arial"/>
              </w:rPr>
              <w:t>5.94 × 103</w:t>
            </w:r>
          </w:p>
        </w:tc>
        <w:tc>
          <w:tcPr>
            <w:tcW w:w="0" w:type="auto"/>
            <w:tcMar>
              <w:top w:w="0" w:type="dxa"/>
              <w:left w:w="108" w:type="dxa"/>
              <w:bottom w:w="0" w:type="dxa"/>
              <w:right w:w="108" w:type="dxa"/>
            </w:tcMar>
            <w:hideMark/>
          </w:tcPr>
          <w:p w14:paraId="1E52F1D7" w14:textId="77777777" w:rsidR="00FA63B0" w:rsidRPr="002C30ED" w:rsidRDefault="00FA63B0" w:rsidP="002C30ED">
            <w:pPr>
              <w:jc w:val="both"/>
              <w:rPr>
                <w:rFonts w:ascii="Arial" w:hAnsi="Arial"/>
              </w:rPr>
            </w:pPr>
            <w:r w:rsidRPr="002C30ED">
              <w:rPr>
                <w:rFonts w:ascii="Arial" w:hAnsi="Arial"/>
              </w:rPr>
              <w:t>3.65</w:t>
            </w:r>
          </w:p>
        </w:tc>
        <w:tc>
          <w:tcPr>
            <w:tcW w:w="0" w:type="auto"/>
            <w:tcMar>
              <w:top w:w="0" w:type="dxa"/>
              <w:left w:w="108" w:type="dxa"/>
              <w:bottom w:w="0" w:type="dxa"/>
              <w:right w:w="108" w:type="dxa"/>
            </w:tcMar>
            <w:hideMark/>
          </w:tcPr>
          <w:p w14:paraId="6F149713" w14:textId="77777777" w:rsidR="00FA63B0" w:rsidRPr="002C30ED" w:rsidRDefault="00FA63B0" w:rsidP="002C30ED">
            <w:pPr>
              <w:jc w:val="both"/>
              <w:rPr>
                <w:rFonts w:ascii="Arial" w:hAnsi="Arial"/>
              </w:rPr>
            </w:pPr>
            <w:r w:rsidRPr="002C30ED">
              <w:rPr>
                <w:rFonts w:ascii="Arial" w:hAnsi="Arial"/>
              </w:rPr>
              <w:t>0.90</w:t>
            </w:r>
          </w:p>
        </w:tc>
        <w:tc>
          <w:tcPr>
            <w:tcW w:w="0" w:type="auto"/>
            <w:tcMar>
              <w:top w:w="0" w:type="dxa"/>
              <w:left w:w="108" w:type="dxa"/>
              <w:bottom w:w="0" w:type="dxa"/>
              <w:right w:w="108" w:type="dxa"/>
            </w:tcMar>
            <w:hideMark/>
          </w:tcPr>
          <w:p w14:paraId="03F4A92B" w14:textId="77777777" w:rsidR="00FA63B0" w:rsidRPr="002C30ED" w:rsidRDefault="00FA63B0" w:rsidP="002C30ED">
            <w:pPr>
              <w:jc w:val="both"/>
              <w:rPr>
                <w:rFonts w:ascii="Arial" w:hAnsi="Arial"/>
              </w:rPr>
            </w:pPr>
            <w:r w:rsidRPr="002C30ED">
              <w:rPr>
                <w:rFonts w:ascii="Arial" w:hAnsi="Arial"/>
              </w:rPr>
              <w:t>1.80</w:t>
            </w:r>
          </w:p>
        </w:tc>
        <w:tc>
          <w:tcPr>
            <w:tcW w:w="0" w:type="auto"/>
            <w:tcMar>
              <w:top w:w="0" w:type="dxa"/>
              <w:left w:w="108" w:type="dxa"/>
              <w:bottom w:w="0" w:type="dxa"/>
              <w:right w:w="108" w:type="dxa"/>
            </w:tcMar>
            <w:hideMark/>
          </w:tcPr>
          <w:p w14:paraId="5C0A9470" w14:textId="77777777" w:rsidR="00FA63B0" w:rsidRPr="002C30ED" w:rsidRDefault="00FA63B0" w:rsidP="002C30ED">
            <w:pPr>
              <w:jc w:val="both"/>
              <w:rPr>
                <w:rFonts w:ascii="Arial" w:hAnsi="Arial"/>
              </w:rPr>
            </w:pPr>
            <w:r w:rsidRPr="002C30ED">
              <w:rPr>
                <w:rFonts w:ascii="Arial" w:hAnsi="Arial"/>
              </w:rPr>
              <w:t>8.10</w:t>
            </w:r>
          </w:p>
        </w:tc>
        <w:tc>
          <w:tcPr>
            <w:tcW w:w="0" w:type="auto"/>
            <w:tcMar>
              <w:top w:w="0" w:type="dxa"/>
              <w:left w:w="108" w:type="dxa"/>
              <w:bottom w:w="0" w:type="dxa"/>
              <w:right w:w="108" w:type="dxa"/>
            </w:tcMar>
            <w:hideMark/>
          </w:tcPr>
          <w:p w14:paraId="1CED60E9" w14:textId="77777777" w:rsidR="00FA63B0" w:rsidRPr="002C30ED" w:rsidRDefault="00FA63B0" w:rsidP="002C30ED">
            <w:pPr>
              <w:jc w:val="both"/>
              <w:rPr>
                <w:rFonts w:ascii="Arial" w:hAnsi="Arial"/>
              </w:rPr>
            </w:pPr>
            <w:r w:rsidRPr="002C30ED">
              <w:rPr>
                <w:rFonts w:ascii="Arial" w:hAnsi="Arial"/>
              </w:rPr>
              <w:t>2.98</w:t>
            </w:r>
          </w:p>
        </w:tc>
      </w:tr>
      <w:tr w:rsidR="00FA63B0" w:rsidRPr="00FA63B0" w14:paraId="54F2A711" w14:textId="77777777" w:rsidTr="002C30ED">
        <w:trPr>
          <w:trHeight w:val="256"/>
        </w:trPr>
        <w:tc>
          <w:tcPr>
            <w:tcW w:w="0" w:type="auto"/>
            <w:tcMar>
              <w:top w:w="0" w:type="dxa"/>
              <w:left w:w="108" w:type="dxa"/>
              <w:bottom w:w="0" w:type="dxa"/>
              <w:right w:w="108" w:type="dxa"/>
            </w:tcMar>
            <w:hideMark/>
          </w:tcPr>
          <w:p w14:paraId="2403B212" w14:textId="77777777" w:rsidR="00FA63B0" w:rsidRPr="002C30ED" w:rsidRDefault="00FA63B0" w:rsidP="002C30ED">
            <w:pPr>
              <w:jc w:val="both"/>
              <w:rPr>
                <w:rFonts w:ascii="Arial" w:hAnsi="Arial"/>
              </w:rPr>
            </w:pPr>
            <w:r w:rsidRPr="002C30ED">
              <w:rPr>
                <w:rFonts w:ascii="Arial" w:hAnsi="Arial"/>
              </w:rPr>
              <w:t>Tamoxifen</w:t>
            </w:r>
          </w:p>
        </w:tc>
        <w:tc>
          <w:tcPr>
            <w:tcW w:w="0" w:type="auto"/>
            <w:tcMar>
              <w:top w:w="0" w:type="dxa"/>
              <w:left w:w="108" w:type="dxa"/>
              <w:bottom w:w="0" w:type="dxa"/>
              <w:right w:w="108" w:type="dxa"/>
            </w:tcMar>
            <w:hideMark/>
          </w:tcPr>
          <w:p w14:paraId="3CD33508" w14:textId="77777777" w:rsidR="00FA63B0" w:rsidRPr="002C30ED" w:rsidRDefault="00FA63B0" w:rsidP="002C30ED">
            <w:pPr>
              <w:jc w:val="both"/>
              <w:rPr>
                <w:rFonts w:ascii="Arial" w:hAnsi="Arial"/>
              </w:rPr>
            </w:pPr>
            <w:r w:rsidRPr="002C30ED">
              <w:rPr>
                <w:rFonts w:ascii="Arial" w:hAnsi="Arial"/>
              </w:rPr>
              <w:t>0.97</w:t>
            </w:r>
          </w:p>
        </w:tc>
        <w:tc>
          <w:tcPr>
            <w:tcW w:w="0" w:type="auto"/>
            <w:tcMar>
              <w:top w:w="0" w:type="dxa"/>
              <w:left w:w="108" w:type="dxa"/>
              <w:bottom w:w="0" w:type="dxa"/>
              <w:right w:w="108" w:type="dxa"/>
            </w:tcMar>
            <w:hideMark/>
          </w:tcPr>
          <w:p w14:paraId="0DA63B3E" w14:textId="77777777" w:rsidR="00FA63B0" w:rsidRPr="002C30ED" w:rsidRDefault="00FA63B0" w:rsidP="002C30ED">
            <w:pPr>
              <w:jc w:val="both"/>
              <w:rPr>
                <w:rFonts w:ascii="Arial" w:hAnsi="Arial"/>
              </w:rPr>
            </w:pPr>
            <w:r w:rsidRPr="002C30ED">
              <w:rPr>
                <w:rFonts w:ascii="Arial" w:hAnsi="Arial"/>
              </w:rPr>
              <w:t>1.55</w:t>
            </w:r>
          </w:p>
        </w:tc>
        <w:tc>
          <w:tcPr>
            <w:tcW w:w="0" w:type="auto"/>
            <w:tcMar>
              <w:top w:w="0" w:type="dxa"/>
              <w:left w:w="108" w:type="dxa"/>
              <w:bottom w:w="0" w:type="dxa"/>
              <w:right w:w="108" w:type="dxa"/>
            </w:tcMar>
            <w:hideMark/>
          </w:tcPr>
          <w:p w14:paraId="3D3B6A01" w14:textId="77777777" w:rsidR="00FA63B0" w:rsidRPr="002C30ED" w:rsidRDefault="00FA63B0" w:rsidP="002C30ED">
            <w:pPr>
              <w:jc w:val="both"/>
              <w:rPr>
                <w:rFonts w:ascii="Arial" w:hAnsi="Arial"/>
              </w:rPr>
            </w:pPr>
            <w:r w:rsidRPr="002C30ED">
              <w:rPr>
                <w:rFonts w:ascii="Arial" w:hAnsi="Arial"/>
              </w:rPr>
              <w:t>3.78 × 103</w:t>
            </w:r>
          </w:p>
        </w:tc>
        <w:tc>
          <w:tcPr>
            <w:tcW w:w="0" w:type="auto"/>
            <w:tcMar>
              <w:top w:w="0" w:type="dxa"/>
              <w:left w:w="108" w:type="dxa"/>
              <w:bottom w:w="0" w:type="dxa"/>
              <w:right w:w="108" w:type="dxa"/>
            </w:tcMar>
            <w:hideMark/>
          </w:tcPr>
          <w:p w14:paraId="2B5E6FD9" w14:textId="77777777" w:rsidR="00FA63B0" w:rsidRPr="002C30ED" w:rsidRDefault="00FA63B0" w:rsidP="002C30ED">
            <w:pPr>
              <w:jc w:val="both"/>
              <w:rPr>
                <w:rFonts w:ascii="Arial" w:hAnsi="Arial"/>
              </w:rPr>
            </w:pPr>
            <w:r w:rsidRPr="002C30ED">
              <w:rPr>
                <w:rFonts w:ascii="Arial" w:hAnsi="Arial"/>
              </w:rPr>
              <w:t>0.67</w:t>
            </w:r>
          </w:p>
        </w:tc>
        <w:tc>
          <w:tcPr>
            <w:tcW w:w="0" w:type="auto"/>
            <w:tcMar>
              <w:top w:w="0" w:type="dxa"/>
              <w:left w:w="108" w:type="dxa"/>
              <w:bottom w:w="0" w:type="dxa"/>
              <w:right w:w="108" w:type="dxa"/>
            </w:tcMar>
            <w:hideMark/>
          </w:tcPr>
          <w:p w14:paraId="60F5963F" w14:textId="77777777" w:rsidR="00FA63B0" w:rsidRPr="002C30ED" w:rsidRDefault="00FA63B0" w:rsidP="002C30ED">
            <w:pPr>
              <w:jc w:val="both"/>
              <w:rPr>
                <w:rFonts w:ascii="Arial" w:hAnsi="Arial"/>
              </w:rPr>
            </w:pPr>
            <w:r w:rsidRPr="002C30ED">
              <w:rPr>
                <w:rFonts w:ascii="Arial" w:hAnsi="Arial"/>
              </w:rPr>
              <w:t>4.32</w:t>
            </w:r>
          </w:p>
        </w:tc>
        <w:tc>
          <w:tcPr>
            <w:tcW w:w="0" w:type="auto"/>
            <w:tcMar>
              <w:top w:w="0" w:type="dxa"/>
              <w:left w:w="108" w:type="dxa"/>
              <w:bottom w:w="0" w:type="dxa"/>
              <w:right w:w="108" w:type="dxa"/>
            </w:tcMar>
            <w:hideMark/>
          </w:tcPr>
          <w:p w14:paraId="4891D47D" w14:textId="77777777" w:rsidR="00FA63B0" w:rsidRPr="002C30ED" w:rsidRDefault="00FA63B0" w:rsidP="002C30ED">
            <w:pPr>
              <w:jc w:val="both"/>
              <w:rPr>
                <w:rFonts w:ascii="Arial" w:hAnsi="Arial"/>
              </w:rPr>
            </w:pPr>
            <w:r w:rsidRPr="002C30ED">
              <w:rPr>
                <w:rFonts w:ascii="Arial" w:hAnsi="Arial"/>
              </w:rPr>
              <w:t>8.64</w:t>
            </w:r>
          </w:p>
        </w:tc>
        <w:tc>
          <w:tcPr>
            <w:tcW w:w="0" w:type="auto"/>
            <w:tcMar>
              <w:top w:w="0" w:type="dxa"/>
              <w:left w:w="108" w:type="dxa"/>
              <w:bottom w:w="0" w:type="dxa"/>
              <w:right w:w="108" w:type="dxa"/>
            </w:tcMar>
            <w:hideMark/>
          </w:tcPr>
          <w:p w14:paraId="1D91A4F1" w14:textId="77777777" w:rsidR="00FA63B0" w:rsidRPr="002C30ED" w:rsidRDefault="00FA63B0" w:rsidP="002C30ED">
            <w:pPr>
              <w:jc w:val="both"/>
              <w:rPr>
                <w:rFonts w:ascii="Arial" w:hAnsi="Arial"/>
              </w:rPr>
            </w:pPr>
            <w:r w:rsidRPr="002C30ED">
              <w:rPr>
                <w:rFonts w:ascii="Arial" w:hAnsi="Arial"/>
              </w:rPr>
              <w:t>38.9</w:t>
            </w:r>
          </w:p>
        </w:tc>
        <w:tc>
          <w:tcPr>
            <w:tcW w:w="0" w:type="auto"/>
            <w:tcMar>
              <w:top w:w="0" w:type="dxa"/>
              <w:left w:w="108" w:type="dxa"/>
              <w:bottom w:w="0" w:type="dxa"/>
              <w:right w:w="108" w:type="dxa"/>
            </w:tcMar>
            <w:hideMark/>
          </w:tcPr>
          <w:p w14:paraId="777169BE" w14:textId="77777777" w:rsidR="00FA63B0" w:rsidRPr="002C30ED" w:rsidRDefault="00FA63B0" w:rsidP="002C30ED">
            <w:pPr>
              <w:jc w:val="both"/>
              <w:rPr>
                <w:rFonts w:ascii="Arial" w:hAnsi="Arial"/>
              </w:rPr>
            </w:pPr>
            <w:r w:rsidRPr="002C30ED">
              <w:rPr>
                <w:rFonts w:ascii="Arial" w:hAnsi="Arial"/>
              </w:rPr>
              <w:t>0.14</w:t>
            </w:r>
          </w:p>
        </w:tc>
      </w:tr>
      <w:tr w:rsidR="00FA63B0" w:rsidRPr="00FA63B0" w14:paraId="24EEE932" w14:textId="77777777" w:rsidTr="002C30ED">
        <w:trPr>
          <w:trHeight w:val="256"/>
        </w:trPr>
        <w:tc>
          <w:tcPr>
            <w:tcW w:w="0" w:type="auto"/>
            <w:tcMar>
              <w:top w:w="0" w:type="dxa"/>
              <w:left w:w="108" w:type="dxa"/>
              <w:bottom w:w="0" w:type="dxa"/>
              <w:right w:w="108" w:type="dxa"/>
            </w:tcMar>
            <w:hideMark/>
          </w:tcPr>
          <w:p w14:paraId="7C00198E" w14:textId="77777777" w:rsidR="00FA63B0" w:rsidRPr="002C30ED" w:rsidRDefault="00FA63B0" w:rsidP="002C30ED">
            <w:pPr>
              <w:jc w:val="both"/>
              <w:rPr>
                <w:rFonts w:ascii="Arial" w:hAnsi="Arial"/>
              </w:rPr>
            </w:pPr>
            <w:r w:rsidRPr="002C30ED">
              <w:rPr>
                <w:rFonts w:ascii="Arial" w:hAnsi="Arial"/>
              </w:rPr>
              <w:t>Capecitabine</w:t>
            </w:r>
          </w:p>
        </w:tc>
        <w:tc>
          <w:tcPr>
            <w:tcW w:w="0" w:type="auto"/>
            <w:tcMar>
              <w:top w:w="0" w:type="dxa"/>
              <w:left w:w="108" w:type="dxa"/>
              <w:bottom w:w="0" w:type="dxa"/>
              <w:right w:w="108" w:type="dxa"/>
            </w:tcMar>
            <w:hideMark/>
          </w:tcPr>
          <w:p w14:paraId="2AE14962" w14:textId="77777777" w:rsidR="00FA63B0" w:rsidRPr="002C30ED" w:rsidRDefault="00FA63B0" w:rsidP="002C30ED">
            <w:pPr>
              <w:jc w:val="both"/>
              <w:rPr>
                <w:rFonts w:ascii="Arial" w:hAnsi="Arial"/>
              </w:rPr>
            </w:pPr>
            <w:r w:rsidRPr="002C30ED">
              <w:rPr>
                <w:rFonts w:ascii="Arial" w:hAnsi="Arial"/>
              </w:rPr>
              <w:t>0.56</w:t>
            </w:r>
          </w:p>
        </w:tc>
        <w:tc>
          <w:tcPr>
            <w:tcW w:w="0" w:type="auto"/>
            <w:tcMar>
              <w:top w:w="0" w:type="dxa"/>
              <w:left w:w="108" w:type="dxa"/>
              <w:bottom w:w="0" w:type="dxa"/>
              <w:right w:w="108" w:type="dxa"/>
            </w:tcMar>
            <w:hideMark/>
          </w:tcPr>
          <w:p w14:paraId="1FC9048D" w14:textId="77777777" w:rsidR="00FA63B0" w:rsidRPr="002C30ED" w:rsidRDefault="00FA63B0" w:rsidP="002C30ED">
            <w:pPr>
              <w:jc w:val="both"/>
              <w:rPr>
                <w:rFonts w:ascii="Arial" w:hAnsi="Arial"/>
              </w:rPr>
            </w:pPr>
            <w:r w:rsidRPr="002C30ED">
              <w:rPr>
                <w:rFonts w:ascii="Arial" w:hAnsi="Arial"/>
              </w:rPr>
              <w:t>0.96</w:t>
            </w:r>
          </w:p>
        </w:tc>
        <w:tc>
          <w:tcPr>
            <w:tcW w:w="0" w:type="auto"/>
            <w:tcMar>
              <w:top w:w="0" w:type="dxa"/>
              <w:left w:w="108" w:type="dxa"/>
              <w:bottom w:w="0" w:type="dxa"/>
              <w:right w:w="108" w:type="dxa"/>
            </w:tcMar>
            <w:hideMark/>
          </w:tcPr>
          <w:p w14:paraId="7DC067CA" w14:textId="77777777" w:rsidR="00FA63B0" w:rsidRPr="002C30ED" w:rsidRDefault="00FA63B0" w:rsidP="002C30ED">
            <w:pPr>
              <w:jc w:val="both"/>
              <w:rPr>
                <w:rFonts w:ascii="Arial" w:hAnsi="Arial"/>
              </w:rPr>
            </w:pPr>
            <w:r w:rsidRPr="002C30ED">
              <w:rPr>
                <w:rFonts w:ascii="Arial" w:hAnsi="Arial"/>
              </w:rPr>
              <w:t>1.82 × 103</w:t>
            </w:r>
          </w:p>
        </w:tc>
        <w:tc>
          <w:tcPr>
            <w:tcW w:w="0" w:type="auto"/>
            <w:tcMar>
              <w:top w:w="0" w:type="dxa"/>
              <w:left w:w="108" w:type="dxa"/>
              <w:bottom w:w="0" w:type="dxa"/>
              <w:right w:w="108" w:type="dxa"/>
            </w:tcMar>
            <w:hideMark/>
          </w:tcPr>
          <w:p w14:paraId="595AB707" w14:textId="77777777" w:rsidR="00FA63B0" w:rsidRPr="002C30ED" w:rsidRDefault="00FA63B0" w:rsidP="002C30ED">
            <w:pPr>
              <w:jc w:val="both"/>
              <w:rPr>
                <w:rFonts w:ascii="Arial" w:hAnsi="Arial"/>
              </w:rPr>
            </w:pPr>
            <w:r w:rsidRPr="002C30ED">
              <w:rPr>
                <w:rFonts w:ascii="Arial" w:hAnsi="Arial"/>
              </w:rPr>
              <w:t>0.83</w:t>
            </w:r>
          </w:p>
        </w:tc>
        <w:tc>
          <w:tcPr>
            <w:tcW w:w="0" w:type="auto"/>
            <w:tcMar>
              <w:top w:w="0" w:type="dxa"/>
              <w:left w:w="108" w:type="dxa"/>
              <w:bottom w:w="0" w:type="dxa"/>
              <w:right w:w="108" w:type="dxa"/>
            </w:tcMar>
            <w:hideMark/>
          </w:tcPr>
          <w:p w14:paraId="082C711F" w14:textId="77777777" w:rsidR="00FA63B0" w:rsidRPr="002C30ED" w:rsidRDefault="00FA63B0" w:rsidP="002C30ED">
            <w:pPr>
              <w:jc w:val="both"/>
              <w:rPr>
                <w:rFonts w:ascii="Arial" w:hAnsi="Arial"/>
              </w:rPr>
            </w:pPr>
            <w:r w:rsidRPr="002C30ED">
              <w:rPr>
                <w:rFonts w:ascii="Arial" w:hAnsi="Arial"/>
              </w:rPr>
              <w:t>1.44</w:t>
            </w:r>
          </w:p>
        </w:tc>
        <w:tc>
          <w:tcPr>
            <w:tcW w:w="0" w:type="auto"/>
            <w:tcMar>
              <w:top w:w="0" w:type="dxa"/>
              <w:left w:w="108" w:type="dxa"/>
              <w:bottom w:w="0" w:type="dxa"/>
              <w:right w:w="108" w:type="dxa"/>
            </w:tcMar>
            <w:hideMark/>
          </w:tcPr>
          <w:p w14:paraId="2BFC631E" w14:textId="77777777" w:rsidR="00FA63B0" w:rsidRPr="002C30ED" w:rsidRDefault="00FA63B0" w:rsidP="002C30ED">
            <w:pPr>
              <w:jc w:val="both"/>
              <w:rPr>
                <w:rFonts w:ascii="Arial" w:hAnsi="Arial"/>
              </w:rPr>
            </w:pPr>
            <w:r w:rsidRPr="002C30ED">
              <w:rPr>
                <w:rFonts w:ascii="Arial" w:hAnsi="Arial"/>
              </w:rPr>
              <w:t>2.88</w:t>
            </w:r>
          </w:p>
        </w:tc>
        <w:tc>
          <w:tcPr>
            <w:tcW w:w="0" w:type="auto"/>
            <w:tcMar>
              <w:top w:w="0" w:type="dxa"/>
              <w:left w:w="108" w:type="dxa"/>
              <w:bottom w:w="0" w:type="dxa"/>
              <w:right w:w="108" w:type="dxa"/>
            </w:tcMar>
            <w:hideMark/>
          </w:tcPr>
          <w:p w14:paraId="0C7339DD" w14:textId="77777777" w:rsidR="00FA63B0" w:rsidRPr="002C30ED" w:rsidRDefault="00FA63B0" w:rsidP="002C30ED">
            <w:pPr>
              <w:jc w:val="both"/>
              <w:rPr>
                <w:rFonts w:ascii="Arial" w:hAnsi="Arial"/>
              </w:rPr>
            </w:pPr>
            <w:r w:rsidRPr="002C30ED">
              <w:rPr>
                <w:rFonts w:ascii="Arial" w:hAnsi="Arial"/>
              </w:rPr>
              <w:t>13.0</w:t>
            </w:r>
          </w:p>
        </w:tc>
        <w:tc>
          <w:tcPr>
            <w:tcW w:w="0" w:type="auto"/>
            <w:tcMar>
              <w:top w:w="0" w:type="dxa"/>
              <w:left w:w="108" w:type="dxa"/>
              <w:bottom w:w="0" w:type="dxa"/>
              <w:right w:w="108" w:type="dxa"/>
            </w:tcMar>
            <w:hideMark/>
          </w:tcPr>
          <w:p w14:paraId="3B7F7D19" w14:textId="77777777" w:rsidR="00FA63B0" w:rsidRPr="002C30ED" w:rsidRDefault="00FA63B0" w:rsidP="002C30ED">
            <w:pPr>
              <w:jc w:val="both"/>
              <w:rPr>
                <w:rFonts w:ascii="Arial" w:hAnsi="Arial"/>
              </w:rPr>
            </w:pPr>
            <w:r w:rsidRPr="002C30ED">
              <w:rPr>
                <w:rFonts w:ascii="Arial" w:hAnsi="Arial"/>
              </w:rPr>
              <w:t>1.21</w:t>
            </w:r>
          </w:p>
        </w:tc>
      </w:tr>
      <w:tr w:rsidR="00FA63B0" w:rsidRPr="00FA63B0" w14:paraId="7C7D099A" w14:textId="77777777" w:rsidTr="002C30ED">
        <w:trPr>
          <w:trHeight w:val="256"/>
        </w:trPr>
        <w:tc>
          <w:tcPr>
            <w:tcW w:w="0" w:type="auto"/>
            <w:tcMar>
              <w:top w:w="0" w:type="dxa"/>
              <w:left w:w="108" w:type="dxa"/>
              <w:bottom w:w="0" w:type="dxa"/>
              <w:right w:w="108" w:type="dxa"/>
            </w:tcMar>
            <w:hideMark/>
          </w:tcPr>
          <w:p w14:paraId="7C74F715" w14:textId="77777777" w:rsidR="00FA63B0" w:rsidRPr="002C30ED" w:rsidRDefault="00FA63B0" w:rsidP="002C30ED">
            <w:pPr>
              <w:jc w:val="both"/>
              <w:rPr>
                <w:rFonts w:ascii="Arial" w:hAnsi="Arial"/>
              </w:rPr>
            </w:pPr>
            <w:r w:rsidRPr="002C30ED">
              <w:rPr>
                <w:rFonts w:ascii="Arial" w:hAnsi="Arial"/>
              </w:rPr>
              <w:t>Etoposide</w:t>
            </w:r>
          </w:p>
        </w:tc>
        <w:tc>
          <w:tcPr>
            <w:tcW w:w="0" w:type="auto"/>
            <w:tcMar>
              <w:top w:w="0" w:type="dxa"/>
              <w:left w:w="108" w:type="dxa"/>
              <w:bottom w:w="0" w:type="dxa"/>
              <w:right w:w="108" w:type="dxa"/>
            </w:tcMar>
            <w:hideMark/>
          </w:tcPr>
          <w:p w14:paraId="2E37CB41" w14:textId="77777777" w:rsidR="00FA63B0" w:rsidRPr="002C30ED" w:rsidRDefault="00FA63B0" w:rsidP="002C30ED">
            <w:pPr>
              <w:jc w:val="both"/>
              <w:rPr>
                <w:rFonts w:ascii="Arial" w:hAnsi="Arial"/>
              </w:rPr>
            </w:pPr>
            <w:r w:rsidRPr="002C30ED">
              <w:rPr>
                <w:rFonts w:ascii="Arial" w:hAnsi="Arial"/>
              </w:rPr>
              <w:t>0.04</w:t>
            </w:r>
          </w:p>
        </w:tc>
        <w:tc>
          <w:tcPr>
            <w:tcW w:w="0" w:type="auto"/>
            <w:tcMar>
              <w:top w:w="0" w:type="dxa"/>
              <w:left w:w="108" w:type="dxa"/>
              <w:bottom w:w="0" w:type="dxa"/>
              <w:right w:w="108" w:type="dxa"/>
            </w:tcMar>
            <w:hideMark/>
          </w:tcPr>
          <w:p w14:paraId="2D7D425F" w14:textId="77777777" w:rsidR="00FA63B0" w:rsidRPr="002C30ED" w:rsidRDefault="00FA63B0" w:rsidP="002C30ED">
            <w:pPr>
              <w:jc w:val="both"/>
              <w:rPr>
                <w:rFonts w:ascii="Arial" w:hAnsi="Arial"/>
              </w:rPr>
            </w:pPr>
            <w:r w:rsidRPr="002C30ED">
              <w:rPr>
                <w:rFonts w:ascii="Arial" w:hAnsi="Arial"/>
              </w:rPr>
              <w:t>0.97</w:t>
            </w:r>
          </w:p>
        </w:tc>
        <w:tc>
          <w:tcPr>
            <w:tcW w:w="0" w:type="auto"/>
            <w:tcMar>
              <w:top w:w="0" w:type="dxa"/>
              <w:left w:w="108" w:type="dxa"/>
              <w:bottom w:w="0" w:type="dxa"/>
              <w:right w:w="108" w:type="dxa"/>
            </w:tcMar>
            <w:hideMark/>
          </w:tcPr>
          <w:p w14:paraId="39681479" w14:textId="77777777" w:rsidR="00FA63B0" w:rsidRPr="002C30ED" w:rsidRDefault="00FA63B0" w:rsidP="002C30ED">
            <w:pPr>
              <w:jc w:val="both"/>
              <w:rPr>
                <w:rFonts w:ascii="Arial" w:hAnsi="Arial"/>
              </w:rPr>
            </w:pPr>
            <w:r w:rsidRPr="002C30ED">
              <w:rPr>
                <w:rFonts w:ascii="Arial" w:hAnsi="Arial"/>
              </w:rPr>
              <w:t>5.87 × 10</w:t>
            </w:r>
          </w:p>
        </w:tc>
        <w:tc>
          <w:tcPr>
            <w:tcW w:w="0" w:type="auto"/>
            <w:tcMar>
              <w:top w:w="0" w:type="dxa"/>
              <w:left w:w="108" w:type="dxa"/>
              <w:bottom w:w="0" w:type="dxa"/>
              <w:right w:w="108" w:type="dxa"/>
            </w:tcMar>
            <w:hideMark/>
          </w:tcPr>
          <w:p w14:paraId="68E63741" w14:textId="77777777" w:rsidR="00FA63B0" w:rsidRPr="002C30ED" w:rsidRDefault="00FA63B0" w:rsidP="002C30ED">
            <w:pPr>
              <w:jc w:val="both"/>
              <w:rPr>
                <w:rFonts w:ascii="Arial" w:hAnsi="Arial"/>
              </w:rPr>
            </w:pPr>
            <w:r w:rsidRPr="002C30ED">
              <w:rPr>
                <w:rFonts w:ascii="Arial" w:hAnsi="Arial"/>
              </w:rPr>
              <w:t>0.31</w:t>
            </w:r>
          </w:p>
        </w:tc>
        <w:tc>
          <w:tcPr>
            <w:tcW w:w="0" w:type="auto"/>
            <w:tcMar>
              <w:top w:w="0" w:type="dxa"/>
              <w:left w:w="108" w:type="dxa"/>
              <w:bottom w:w="0" w:type="dxa"/>
              <w:right w:w="108" w:type="dxa"/>
            </w:tcMar>
            <w:hideMark/>
          </w:tcPr>
          <w:p w14:paraId="62E29586" w14:textId="77777777" w:rsidR="00FA63B0" w:rsidRPr="002C30ED" w:rsidRDefault="00FA63B0" w:rsidP="002C30ED">
            <w:pPr>
              <w:jc w:val="both"/>
              <w:rPr>
                <w:rFonts w:ascii="Arial" w:hAnsi="Arial"/>
              </w:rPr>
            </w:pPr>
            <w:r w:rsidRPr="002C30ED">
              <w:rPr>
                <w:rFonts w:ascii="Arial" w:hAnsi="Arial"/>
              </w:rPr>
              <w:t>4.32</w:t>
            </w:r>
          </w:p>
        </w:tc>
        <w:tc>
          <w:tcPr>
            <w:tcW w:w="0" w:type="auto"/>
            <w:tcMar>
              <w:top w:w="0" w:type="dxa"/>
              <w:left w:w="108" w:type="dxa"/>
              <w:bottom w:w="0" w:type="dxa"/>
              <w:right w:w="108" w:type="dxa"/>
            </w:tcMar>
            <w:hideMark/>
          </w:tcPr>
          <w:p w14:paraId="298F1883" w14:textId="77777777" w:rsidR="00FA63B0" w:rsidRPr="002C30ED" w:rsidRDefault="00FA63B0" w:rsidP="002C30ED">
            <w:pPr>
              <w:jc w:val="both"/>
              <w:rPr>
                <w:rFonts w:ascii="Arial" w:hAnsi="Arial"/>
              </w:rPr>
            </w:pPr>
            <w:r w:rsidRPr="002C30ED">
              <w:rPr>
                <w:rFonts w:ascii="Arial" w:hAnsi="Arial"/>
              </w:rPr>
              <w:t>8.64</w:t>
            </w:r>
          </w:p>
        </w:tc>
        <w:tc>
          <w:tcPr>
            <w:tcW w:w="0" w:type="auto"/>
            <w:tcMar>
              <w:top w:w="0" w:type="dxa"/>
              <w:left w:w="108" w:type="dxa"/>
              <w:bottom w:w="0" w:type="dxa"/>
              <w:right w:w="108" w:type="dxa"/>
            </w:tcMar>
            <w:hideMark/>
          </w:tcPr>
          <w:p w14:paraId="71AC2377" w14:textId="77777777" w:rsidR="00FA63B0" w:rsidRPr="002C30ED" w:rsidRDefault="00FA63B0" w:rsidP="002C30ED">
            <w:pPr>
              <w:jc w:val="both"/>
              <w:rPr>
                <w:rFonts w:ascii="Arial" w:hAnsi="Arial"/>
              </w:rPr>
            </w:pPr>
            <w:r w:rsidRPr="002C30ED">
              <w:rPr>
                <w:rFonts w:ascii="Arial" w:hAnsi="Arial"/>
              </w:rPr>
              <w:t>38.9</w:t>
            </w:r>
          </w:p>
        </w:tc>
        <w:tc>
          <w:tcPr>
            <w:tcW w:w="0" w:type="auto"/>
            <w:tcMar>
              <w:top w:w="0" w:type="dxa"/>
              <w:left w:w="108" w:type="dxa"/>
              <w:bottom w:w="0" w:type="dxa"/>
              <w:right w:w="108" w:type="dxa"/>
            </w:tcMar>
            <w:hideMark/>
          </w:tcPr>
          <w:p w14:paraId="73D9902D" w14:textId="77777777" w:rsidR="00FA63B0" w:rsidRPr="002C30ED" w:rsidRDefault="00FA63B0" w:rsidP="002C30ED">
            <w:pPr>
              <w:jc w:val="both"/>
              <w:rPr>
                <w:rFonts w:ascii="Arial" w:hAnsi="Arial"/>
              </w:rPr>
            </w:pPr>
            <w:r w:rsidRPr="002C30ED">
              <w:rPr>
                <w:rFonts w:ascii="Arial" w:hAnsi="Arial"/>
              </w:rPr>
              <w:t>6.22 × 10-4</w:t>
            </w:r>
          </w:p>
        </w:tc>
      </w:tr>
      <w:tr w:rsidR="00FA63B0" w:rsidRPr="00FA63B0" w14:paraId="3074B969" w14:textId="77777777" w:rsidTr="002C30ED">
        <w:trPr>
          <w:trHeight w:val="256"/>
        </w:trPr>
        <w:tc>
          <w:tcPr>
            <w:tcW w:w="0" w:type="auto"/>
            <w:tcMar>
              <w:top w:w="0" w:type="dxa"/>
              <w:left w:w="108" w:type="dxa"/>
              <w:bottom w:w="0" w:type="dxa"/>
              <w:right w:w="108" w:type="dxa"/>
            </w:tcMar>
            <w:hideMark/>
          </w:tcPr>
          <w:p w14:paraId="63E65181" w14:textId="77777777" w:rsidR="00FA63B0" w:rsidRPr="002C30ED" w:rsidRDefault="00FA63B0" w:rsidP="002C30ED">
            <w:pPr>
              <w:jc w:val="both"/>
              <w:rPr>
                <w:rFonts w:ascii="Arial" w:hAnsi="Arial"/>
              </w:rPr>
            </w:pPr>
            <w:r w:rsidRPr="002C30ED">
              <w:rPr>
                <w:rFonts w:ascii="Arial" w:hAnsi="Arial"/>
              </w:rPr>
              <w:t>Tegafur</w:t>
            </w:r>
          </w:p>
        </w:tc>
        <w:tc>
          <w:tcPr>
            <w:tcW w:w="0" w:type="auto"/>
            <w:tcMar>
              <w:top w:w="0" w:type="dxa"/>
              <w:left w:w="108" w:type="dxa"/>
              <w:bottom w:w="0" w:type="dxa"/>
              <w:right w:w="108" w:type="dxa"/>
            </w:tcMar>
            <w:hideMark/>
          </w:tcPr>
          <w:p w14:paraId="15D1A5BF" w14:textId="77777777" w:rsidR="00FA63B0" w:rsidRPr="002C30ED" w:rsidRDefault="00FA63B0" w:rsidP="002C30ED">
            <w:pPr>
              <w:jc w:val="both"/>
              <w:rPr>
                <w:rFonts w:ascii="Arial" w:hAnsi="Arial"/>
              </w:rPr>
            </w:pPr>
            <w:r w:rsidRPr="002C30ED">
              <w:rPr>
                <w:rFonts w:ascii="Arial" w:hAnsi="Arial"/>
              </w:rPr>
              <w:t>−0.02</w:t>
            </w:r>
          </w:p>
        </w:tc>
        <w:tc>
          <w:tcPr>
            <w:tcW w:w="0" w:type="auto"/>
            <w:tcMar>
              <w:top w:w="0" w:type="dxa"/>
              <w:left w:w="108" w:type="dxa"/>
              <w:bottom w:w="0" w:type="dxa"/>
              <w:right w:w="108" w:type="dxa"/>
            </w:tcMar>
            <w:hideMark/>
          </w:tcPr>
          <w:p w14:paraId="26D048BC" w14:textId="77777777" w:rsidR="00FA63B0" w:rsidRPr="002C30ED" w:rsidRDefault="00FA63B0" w:rsidP="002C30ED">
            <w:pPr>
              <w:jc w:val="both"/>
              <w:rPr>
                <w:rFonts w:ascii="Arial" w:hAnsi="Arial"/>
              </w:rPr>
            </w:pPr>
            <w:r w:rsidRPr="002C30ED">
              <w:rPr>
                <w:rFonts w:ascii="Arial" w:hAnsi="Arial"/>
              </w:rPr>
              <w:t>0.50</w:t>
            </w:r>
          </w:p>
        </w:tc>
        <w:tc>
          <w:tcPr>
            <w:tcW w:w="0" w:type="auto"/>
            <w:tcMar>
              <w:top w:w="0" w:type="dxa"/>
              <w:left w:w="108" w:type="dxa"/>
              <w:bottom w:w="0" w:type="dxa"/>
              <w:right w:w="108" w:type="dxa"/>
            </w:tcMar>
            <w:hideMark/>
          </w:tcPr>
          <w:p w14:paraId="1F831E8E" w14:textId="77777777" w:rsidR="00FA63B0" w:rsidRPr="002C30ED" w:rsidRDefault="00FA63B0" w:rsidP="002C30ED">
            <w:pPr>
              <w:jc w:val="both"/>
              <w:rPr>
                <w:rFonts w:ascii="Arial" w:hAnsi="Arial"/>
              </w:rPr>
            </w:pPr>
            <w:r w:rsidRPr="002C30ED">
              <w:rPr>
                <w:rFonts w:ascii="Arial" w:hAnsi="Arial"/>
              </w:rPr>
              <w:t>3.64 × 102</w:t>
            </w:r>
          </w:p>
        </w:tc>
        <w:tc>
          <w:tcPr>
            <w:tcW w:w="0" w:type="auto"/>
            <w:tcMar>
              <w:top w:w="0" w:type="dxa"/>
              <w:left w:w="108" w:type="dxa"/>
              <w:bottom w:w="0" w:type="dxa"/>
              <w:right w:w="108" w:type="dxa"/>
            </w:tcMar>
            <w:hideMark/>
          </w:tcPr>
          <w:p w14:paraId="0437E14A" w14:textId="77777777" w:rsidR="00FA63B0" w:rsidRPr="002C30ED" w:rsidRDefault="00FA63B0" w:rsidP="002C30ED">
            <w:pPr>
              <w:jc w:val="both"/>
              <w:rPr>
                <w:rFonts w:ascii="Arial" w:hAnsi="Arial"/>
              </w:rPr>
            </w:pPr>
            <w:r w:rsidRPr="002C30ED">
              <w:rPr>
                <w:rFonts w:ascii="Arial" w:hAnsi="Arial"/>
              </w:rPr>
              <w:t>0.37</w:t>
            </w:r>
          </w:p>
        </w:tc>
        <w:tc>
          <w:tcPr>
            <w:tcW w:w="0" w:type="auto"/>
            <w:tcMar>
              <w:top w:w="0" w:type="dxa"/>
              <w:left w:w="108" w:type="dxa"/>
              <w:bottom w:w="0" w:type="dxa"/>
              <w:right w:w="108" w:type="dxa"/>
            </w:tcMar>
            <w:hideMark/>
          </w:tcPr>
          <w:p w14:paraId="6ECA9418" w14:textId="77777777" w:rsidR="00FA63B0" w:rsidRPr="002C30ED" w:rsidRDefault="00FA63B0" w:rsidP="002C30ED">
            <w:pPr>
              <w:jc w:val="both"/>
              <w:rPr>
                <w:rFonts w:ascii="Arial" w:hAnsi="Arial"/>
              </w:rPr>
            </w:pPr>
            <w:r w:rsidRPr="002C30ED">
              <w:rPr>
                <w:rFonts w:ascii="Arial" w:hAnsi="Arial"/>
              </w:rPr>
              <w:t>0.36</w:t>
            </w:r>
          </w:p>
        </w:tc>
        <w:tc>
          <w:tcPr>
            <w:tcW w:w="0" w:type="auto"/>
            <w:tcMar>
              <w:top w:w="0" w:type="dxa"/>
              <w:left w:w="108" w:type="dxa"/>
              <w:bottom w:w="0" w:type="dxa"/>
              <w:right w:w="108" w:type="dxa"/>
            </w:tcMar>
            <w:hideMark/>
          </w:tcPr>
          <w:p w14:paraId="6CA0501B" w14:textId="77777777" w:rsidR="00FA63B0" w:rsidRPr="002C30ED" w:rsidRDefault="00FA63B0" w:rsidP="002C30ED">
            <w:pPr>
              <w:jc w:val="both"/>
              <w:rPr>
                <w:rFonts w:ascii="Arial" w:hAnsi="Arial"/>
              </w:rPr>
            </w:pPr>
            <w:r w:rsidRPr="002C30ED">
              <w:rPr>
                <w:rFonts w:ascii="Arial" w:hAnsi="Arial"/>
              </w:rPr>
              <w:t>0.72</w:t>
            </w:r>
          </w:p>
        </w:tc>
        <w:tc>
          <w:tcPr>
            <w:tcW w:w="0" w:type="auto"/>
            <w:tcMar>
              <w:top w:w="0" w:type="dxa"/>
              <w:left w:w="108" w:type="dxa"/>
              <w:bottom w:w="0" w:type="dxa"/>
              <w:right w:w="108" w:type="dxa"/>
            </w:tcMar>
            <w:hideMark/>
          </w:tcPr>
          <w:p w14:paraId="5D2E1185" w14:textId="77777777" w:rsidR="00FA63B0" w:rsidRPr="002C30ED" w:rsidRDefault="00FA63B0" w:rsidP="002C30ED">
            <w:pPr>
              <w:jc w:val="both"/>
              <w:rPr>
                <w:rFonts w:ascii="Arial" w:hAnsi="Arial"/>
              </w:rPr>
            </w:pPr>
            <w:r w:rsidRPr="002C30ED">
              <w:rPr>
                <w:rFonts w:ascii="Arial" w:hAnsi="Arial"/>
              </w:rPr>
              <w:t>3.24</w:t>
            </w:r>
          </w:p>
        </w:tc>
        <w:tc>
          <w:tcPr>
            <w:tcW w:w="0" w:type="auto"/>
            <w:tcMar>
              <w:top w:w="0" w:type="dxa"/>
              <w:left w:w="108" w:type="dxa"/>
              <w:bottom w:w="0" w:type="dxa"/>
              <w:right w:w="108" w:type="dxa"/>
            </w:tcMar>
            <w:hideMark/>
          </w:tcPr>
          <w:p w14:paraId="4B6302F1" w14:textId="77777777" w:rsidR="00FA63B0" w:rsidRPr="002C30ED" w:rsidRDefault="00FA63B0" w:rsidP="002C30ED">
            <w:pPr>
              <w:jc w:val="both"/>
              <w:rPr>
                <w:rFonts w:ascii="Arial" w:hAnsi="Arial"/>
              </w:rPr>
            </w:pPr>
            <w:r w:rsidRPr="002C30ED">
              <w:rPr>
                <w:rFonts w:ascii="Arial" w:hAnsi="Arial"/>
              </w:rPr>
              <w:t>0.5</w:t>
            </w:r>
          </w:p>
        </w:tc>
      </w:tr>
      <w:tr w:rsidR="00FA63B0" w:rsidRPr="00FA63B0" w14:paraId="2DCFCC89" w14:textId="77777777" w:rsidTr="002C30ED">
        <w:trPr>
          <w:trHeight w:val="256"/>
        </w:trPr>
        <w:tc>
          <w:tcPr>
            <w:tcW w:w="0" w:type="auto"/>
            <w:tcMar>
              <w:top w:w="0" w:type="dxa"/>
              <w:left w:w="108" w:type="dxa"/>
              <w:bottom w:w="0" w:type="dxa"/>
              <w:right w:w="108" w:type="dxa"/>
            </w:tcMar>
            <w:hideMark/>
          </w:tcPr>
          <w:p w14:paraId="08F9AD2A" w14:textId="77777777" w:rsidR="00FA63B0" w:rsidRPr="002C30ED" w:rsidRDefault="00FA63B0" w:rsidP="002C30ED">
            <w:pPr>
              <w:jc w:val="both"/>
              <w:rPr>
                <w:rFonts w:ascii="Arial" w:hAnsi="Arial"/>
              </w:rPr>
            </w:pPr>
            <w:r w:rsidRPr="002C30ED">
              <w:rPr>
                <w:rFonts w:ascii="Arial" w:hAnsi="Arial"/>
              </w:rPr>
              <w:t>Azathioprine</w:t>
            </w:r>
          </w:p>
        </w:tc>
        <w:tc>
          <w:tcPr>
            <w:tcW w:w="0" w:type="auto"/>
            <w:tcMar>
              <w:top w:w="0" w:type="dxa"/>
              <w:left w:w="108" w:type="dxa"/>
              <w:bottom w:w="0" w:type="dxa"/>
              <w:right w:w="108" w:type="dxa"/>
            </w:tcMar>
            <w:hideMark/>
          </w:tcPr>
          <w:p w14:paraId="6D74EAB0" w14:textId="77777777" w:rsidR="00FA63B0" w:rsidRPr="002C30ED" w:rsidRDefault="00FA63B0" w:rsidP="002C30ED">
            <w:pPr>
              <w:jc w:val="both"/>
              <w:rPr>
                <w:rFonts w:ascii="Arial" w:hAnsi="Arial"/>
              </w:rPr>
            </w:pPr>
            <w:r w:rsidRPr="002C30ED">
              <w:rPr>
                <w:rFonts w:ascii="Arial" w:hAnsi="Arial"/>
              </w:rPr>
              <w:t>−0.09</w:t>
            </w:r>
          </w:p>
        </w:tc>
        <w:tc>
          <w:tcPr>
            <w:tcW w:w="0" w:type="auto"/>
            <w:tcMar>
              <w:top w:w="0" w:type="dxa"/>
              <w:left w:w="108" w:type="dxa"/>
              <w:bottom w:w="0" w:type="dxa"/>
              <w:right w:w="108" w:type="dxa"/>
            </w:tcMar>
            <w:hideMark/>
          </w:tcPr>
          <w:p w14:paraId="395C5840" w14:textId="77777777" w:rsidR="00FA63B0" w:rsidRPr="002C30ED" w:rsidRDefault="00FA63B0" w:rsidP="002C30ED">
            <w:pPr>
              <w:jc w:val="both"/>
              <w:rPr>
                <w:rFonts w:ascii="Arial" w:hAnsi="Arial"/>
              </w:rPr>
            </w:pPr>
            <w:r w:rsidRPr="002C30ED">
              <w:rPr>
                <w:rFonts w:ascii="Arial" w:hAnsi="Arial"/>
              </w:rPr>
              <w:t>0.95</w:t>
            </w:r>
          </w:p>
        </w:tc>
        <w:tc>
          <w:tcPr>
            <w:tcW w:w="0" w:type="auto"/>
            <w:tcMar>
              <w:top w:w="0" w:type="dxa"/>
              <w:left w:w="108" w:type="dxa"/>
              <w:bottom w:w="0" w:type="dxa"/>
              <w:right w:w="108" w:type="dxa"/>
            </w:tcMar>
            <w:hideMark/>
          </w:tcPr>
          <w:p w14:paraId="26B261E6" w14:textId="77777777" w:rsidR="00FA63B0" w:rsidRPr="002C30ED" w:rsidRDefault="00FA63B0" w:rsidP="002C30ED">
            <w:pPr>
              <w:jc w:val="both"/>
              <w:rPr>
                <w:rFonts w:ascii="Arial" w:hAnsi="Arial"/>
              </w:rPr>
            </w:pPr>
            <w:r w:rsidRPr="002C30ED">
              <w:rPr>
                <w:rFonts w:ascii="Arial" w:hAnsi="Arial"/>
              </w:rPr>
              <w:t>2.72 × 102</w:t>
            </w:r>
          </w:p>
        </w:tc>
        <w:tc>
          <w:tcPr>
            <w:tcW w:w="0" w:type="auto"/>
            <w:tcMar>
              <w:top w:w="0" w:type="dxa"/>
              <w:left w:w="108" w:type="dxa"/>
              <w:bottom w:w="0" w:type="dxa"/>
              <w:right w:w="108" w:type="dxa"/>
            </w:tcMar>
            <w:hideMark/>
          </w:tcPr>
          <w:p w14:paraId="24627572" w14:textId="77777777" w:rsidR="00FA63B0" w:rsidRPr="002C30ED" w:rsidRDefault="00FA63B0" w:rsidP="002C30ED">
            <w:pPr>
              <w:jc w:val="both"/>
              <w:rPr>
                <w:rFonts w:ascii="Arial" w:hAnsi="Arial"/>
              </w:rPr>
            </w:pPr>
            <w:r w:rsidRPr="002C30ED">
              <w:rPr>
                <w:rFonts w:ascii="Arial" w:hAnsi="Arial"/>
              </w:rPr>
              <w:t>1.27</w:t>
            </w:r>
          </w:p>
        </w:tc>
        <w:tc>
          <w:tcPr>
            <w:tcW w:w="0" w:type="auto"/>
            <w:tcMar>
              <w:top w:w="0" w:type="dxa"/>
              <w:left w:w="108" w:type="dxa"/>
              <w:bottom w:w="0" w:type="dxa"/>
              <w:right w:w="108" w:type="dxa"/>
            </w:tcMar>
            <w:hideMark/>
          </w:tcPr>
          <w:p w14:paraId="7040556D" w14:textId="77777777" w:rsidR="00FA63B0" w:rsidRPr="002C30ED" w:rsidRDefault="00FA63B0" w:rsidP="002C30ED">
            <w:pPr>
              <w:jc w:val="both"/>
              <w:rPr>
                <w:rFonts w:ascii="Arial" w:hAnsi="Arial"/>
              </w:rPr>
            </w:pPr>
            <w:r w:rsidRPr="002C30ED">
              <w:rPr>
                <w:rFonts w:ascii="Arial" w:hAnsi="Arial"/>
              </w:rPr>
              <w:t>0.90</w:t>
            </w:r>
          </w:p>
        </w:tc>
        <w:tc>
          <w:tcPr>
            <w:tcW w:w="0" w:type="auto"/>
            <w:tcMar>
              <w:top w:w="0" w:type="dxa"/>
              <w:left w:w="108" w:type="dxa"/>
              <w:bottom w:w="0" w:type="dxa"/>
              <w:right w:w="108" w:type="dxa"/>
            </w:tcMar>
            <w:hideMark/>
          </w:tcPr>
          <w:p w14:paraId="6F1A2D95" w14:textId="77777777" w:rsidR="00FA63B0" w:rsidRPr="002C30ED" w:rsidRDefault="00FA63B0" w:rsidP="002C30ED">
            <w:pPr>
              <w:jc w:val="both"/>
              <w:rPr>
                <w:rFonts w:ascii="Arial" w:hAnsi="Arial"/>
              </w:rPr>
            </w:pPr>
            <w:r w:rsidRPr="002C30ED">
              <w:rPr>
                <w:rFonts w:ascii="Arial" w:hAnsi="Arial"/>
              </w:rPr>
              <w:t>1.80</w:t>
            </w:r>
          </w:p>
        </w:tc>
        <w:tc>
          <w:tcPr>
            <w:tcW w:w="0" w:type="auto"/>
            <w:tcMar>
              <w:top w:w="0" w:type="dxa"/>
              <w:left w:w="108" w:type="dxa"/>
              <w:bottom w:w="0" w:type="dxa"/>
              <w:right w:w="108" w:type="dxa"/>
            </w:tcMar>
            <w:hideMark/>
          </w:tcPr>
          <w:p w14:paraId="5A53980D" w14:textId="77777777" w:rsidR="00FA63B0" w:rsidRPr="002C30ED" w:rsidRDefault="00FA63B0" w:rsidP="002C30ED">
            <w:pPr>
              <w:jc w:val="both"/>
              <w:rPr>
                <w:rFonts w:ascii="Arial" w:hAnsi="Arial"/>
              </w:rPr>
            </w:pPr>
            <w:r w:rsidRPr="002C30ED">
              <w:rPr>
                <w:rFonts w:ascii="Arial" w:hAnsi="Arial"/>
              </w:rPr>
              <w:t>8.10</w:t>
            </w:r>
          </w:p>
        </w:tc>
        <w:tc>
          <w:tcPr>
            <w:tcW w:w="0" w:type="auto"/>
            <w:tcMar>
              <w:top w:w="0" w:type="dxa"/>
              <w:left w:w="108" w:type="dxa"/>
              <w:bottom w:w="0" w:type="dxa"/>
              <w:right w:w="108" w:type="dxa"/>
            </w:tcMar>
            <w:hideMark/>
          </w:tcPr>
          <w:p w14:paraId="53FD0C5A" w14:textId="77777777" w:rsidR="00FA63B0" w:rsidRPr="002C30ED" w:rsidRDefault="00FA63B0" w:rsidP="002C30ED">
            <w:pPr>
              <w:jc w:val="both"/>
              <w:rPr>
                <w:rFonts w:ascii="Arial" w:hAnsi="Arial"/>
              </w:rPr>
            </w:pPr>
            <w:r w:rsidRPr="002C30ED">
              <w:rPr>
                <w:rFonts w:ascii="Arial" w:hAnsi="Arial"/>
              </w:rPr>
              <w:t>0.41</w:t>
            </w:r>
          </w:p>
        </w:tc>
      </w:tr>
      <w:tr w:rsidR="00FA63B0" w:rsidRPr="00FA63B0" w14:paraId="15940C71" w14:textId="77777777" w:rsidTr="002C30ED">
        <w:trPr>
          <w:trHeight w:val="256"/>
        </w:trPr>
        <w:tc>
          <w:tcPr>
            <w:tcW w:w="0" w:type="auto"/>
            <w:tcMar>
              <w:top w:w="0" w:type="dxa"/>
              <w:left w:w="108" w:type="dxa"/>
              <w:bottom w:w="0" w:type="dxa"/>
              <w:right w:w="108" w:type="dxa"/>
            </w:tcMar>
            <w:hideMark/>
          </w:tcPr>
          <w:p w14:paraId="17E67691" w14:textId="77777777" w:rsidR="00FA63B0" w:rsidRPr="002C30ED" w:rsidRDefault="00FA63B0" w:rsidP="002C30ED">
            <w:pPr>
              <w:jc w:val="both"/>
              <w:rPr>
                <w:rFonts w:ascii="Arial" w:hAnsi="Arial"/>
              </w:rPr>
            </w:pPr>
            <w:r w:rsidRPr="002C30ED">
              <w:rPr>
                <w:rFonts w:ascii="Arial" w:hAnsi="Arial"/>
              </w:rPr>
              <w:t>Epirubicin</w:t>
            </w:r>
          </w:p>
        </w:tc>
        <w:tc>
          <w:tcPr>
            <w:tcW w:w="0" w:type="auto"/>
            <w:tcMar>
              <w:top w:w="0" w:type="dxa"/>
              <w:left w:w="108" w:type="dxa"/>
              <w:bottom w:w="0" w:type="dxa"/>
              <w:right w:w="108" w:type="dxa"/>
            </w:tcMar>
            <w:hideMark/>
          </w:tcPr>
          <w:p w14:paraId="7F5F677F" w14:textId="77777777" w:rsidR="00FA63B0" w:rsidRPr="002C30ED" w:rsidRDefault="00FA63B0" w:rsidP="002C30ED">
            <w:pPr>
              <w:jc w:val="both"/>
              <w:rPr>
                <w:rFonts w:ascii="Arial" w:hAnsi="Arial"/>
              </w:rPr>
            </w:pPr>
            <w:r w:rsidRPr="002C30ED">
              <w:rPr>
                <w:rFonts w:ascii="Arial" w:hAnsi="Arial"/>
              </w:rPr>
              <w:t>−0.23</w:t>
            </w:r>
          </w:p>
        </w:tc>
        <w:tc>
          <w:tcPr>
            <w:tcW w:w="0" w:type="auto"/>
            <w:tcMar>
              <w:top w:w="0" w:type="dxa"/>
              <w:left w:w="108" w:type="dxa"/>
              <w:bottom w:w="0" w:type="dxa"/>
              <w:right w:w="108" w:type="dxa"/>
            </w:tcMar>
            <w:hideMark/>
          </w:tcPr>
          <w:p w14:paraId="0A1276A4" w14:textId="77777777" w:rsidR="00FA63B0" w:rsidRPr="002C30ED" w:rsidRDefault="00FA63B0" w:rsidP="002C30ED">
            <w:pPr>
              <w:jc w:val="both"/>
              <w:rPr>
                <w:rFonts w:ascii="Arial" w:hAnsi="Arial"/>
              </w:rPr>
            </w:pPr>
            <w:r w:rsidRPr="002C30ED">
              <w:rPr>
                <w:rFonts w:ascii="Arial" w:hAnsi="Arial"/>
              </w:rPr>
              <w:t>0.50</w:t>
            </w:r>
          </w:p>
        </w:tc>
        <w:tc>
          <w:tcPr>
            <w:tcW w:w="0" w:type="auto"/>
            <w:tcMar>
              <w:top w:w="0" w:type="dxa"/>
              <w:left w:w="108" w:type="dxa"/>
              <w:bottom w:w="0" w:type="dxa"/>
              <w:right w:w="108" w:type="dxa"/>
            </w:tcMar>
            <w:hideMark/>
          </w:tcPr>
          <w:p w14:paraId="015E1CAB" w14:textId="77777777" w:rsidR="00FA63B0" w:rsidRPr="002C30ED" w:rsidRDefault="00FA63B0" w:rsidP="002C30ED">
            <w:pPr>
              <w:jc w:val="both"/>
              <w:rPr>
                <w:rFonts w:ascii="Arial" w:hAnsi="Arial"/>
              </w:rPr>
            </w:pPr>
            <w:r w:rsidRPr="002C30ED">
              <w:rPr>
                <w:rFonts w:ascii="Arial" w:hAnsi="Arial"/>
              </w:rPr>
              <w:t>2.71</w:t>
            </w:r>
          </w:p>
        </w:tc>
        <w:tc>
          <w:tcPr>
            <w:tcW w:w="0" w:type="auto"/>
            <w:tcMar>
              <w:top w:w="0" w:type="dxa"/>
              <w:left w:w="108" w:type="dxa"/>
              <w:bottom w:w="0" w:type="dxa"/>
              <w:right w:w="108" w:type="dxa"/>
            </w:tcMar>
            <w:hideMark/>
          </w:tcPr>
          <w:p w14:paraId="127E6A3F" w14:textId="77777777" w:rsidR="00FA63B0" w:rsidRPr="002C30ED" w:rsidRDefault="00FA63B0" w:rsidP="002C30ED">
            <w:pPr>
              <w:jc w:val="both"/>
              <w:rPr>
                <w:rFonts w:ascii="Arial" w:hAnsi="Arial"/>
              </w:rPr>
            </w:pPr>
            <w:r w:rsidRPr="002C30ED">
              <w:rPr>
                <w:rFonts w:ascii="Arial" w:hAnsi="Arial"/>
              </w:rPr>
              <w:t>0.43</w:t>
            </w:r>
          </w:p>
        </w:tc>
        <w:tc>
          <w:tcPr>
            <w:tcW w:w="0" w:type="auto"/>
            <w:tcMar>
              <w:top w:w="0" w:type="dxa"/>
              <w:left w:w="108" w:type="dxa"/>
              <w:bottom w:w="0" w:type="dxa"/>
              <w:right w:w="108" w:type="dxa"/>
            </w:tcMar>
            <w:hideMark/>
          </w:tcPr>
          <w:p w14:paraId="16BEA71E" w14:textId="77777777" w:rsidR="00FA63B0" w:rsidRPr="002C30ED" w:rsidRDefault="00FA63B0" w:rsidP="002C30ED">
            <w:pPr>
              <w:jc w:val="both"/>
              <w:rPr>
                <w:rFonts w:ascii="Arial" w:hAnsi="Arial"/>
              </w:rPr>
            </w:pPr>
            <w:r w:rsidRPr="002C30ED">
              <w:rPr>
                <w:rFonts w:ascii="Arial" w:hAnsi="Arial"/>
              </w:rPr>
              <w:t>4.32</w:t>
            </w:r>
          </w:p>
        </w:tc>
        <w:tc>
          <w:tcPr>
            <w:tcW w:w="0" w:type="auto"/>
            <w:tcMar>
              <w:top w:w="0" w:type="dxa"/>
              <w:left w:w="108" w:type="dxa"/>
              <w:bottom w:w="0" w:type="dxa"/>
              <w:right w:w="108" w:type="dxa"/>
            </w:tcMar>
            <w:hideMark/>
          </w:tcPr>
          <w:p w14:paraId="2B1DD9AB" w14:textId="77777777" w:rsidR="00FA63B0" w:rsidRPr="002C30ED" w:rsidRDefault="00FA63B0" w:rsidP="002C30ED">
            <w:pPr>
              <w:jc w:val="both"/>
              <w:rPr>
                <w:rFonts w:ascii="Arial" w:hAnsi="Arial"/>
              </w:rPr>
            </w:pPr>
            <w:r w:rsidRPr="002C30ED">
              <w:rPr>
                <w:rFonts w:ascii="Arial" w:hAnsi="Arial"/>
              </w:rPr>
              <w:t>8.64</w:t>
            </w:r>
          </w:p>
        </w:tc>
        <w:tc>
          <w:tcPr>
            <w:tcW w:w="0" w:type="auto"/>
            <w:tcMar>
              <w:top w:w="0" w:type="dxa"/>
              <w:left w:w="108" w:type="dxa"/>
              <w:bottom w:w="0" w:type="dxa"/>
              <w:right w:w="108" w:type="dxa"/>
            </w:tcMar>
            <w:hideMark/>
          </w:tcPr>
          <w:p w14:paraId="333433F3" w14:textId="77777777" w:rsidR="00FA63B0" w:rsidRPr="002C30ED" w:rsidRDefault="00FA63B0" w:rsidP="002C30ED">
            <w:pPr>
              <w:jc w:val="both"/>
              <w:rPr>
                <w:rFonts w:ascii="Arial" w:hAnsi="Arial"/>
              </w:rPr>
            </w:pPr>
            <w:r w:rsidRPr="002C30ED">
              <w:rPr>
                <w:rFonts w:ascii="Arial" w:hAnsi="Arial"/>
              </w:rPr>
              <w:t>38.9</w:t>
            </w:r>
          </w:p>
        </w:tc>
        <w:tc>
          <w:tcPr>
            <w:tcW w:w="0" w:type="auto"/>
            <w:tcMar>
              <w:top w:w="0" w:type="dxa"/>
              <w:left w:w="108" w:type="dxa"/>
              <w:bottom w:w="0" w:type="dxa"/>
              <w:right w:w="108" w:type="dxa"/>
            </w:tcMar>
            <w:hideMark/>
          </w:tcPr>
          <w:p w14:paraId="74B9C3A8" w14:textId="77777777" w:rsidR="00FA63B0" w:rsidRPr="002C30ED" w:rsidRDefault="00FA63B0" w:rsidP="002C30ED">
            <w:pPr>
              <w:jc w:val="both"/>
              <w:rPr>
                <w:rFonts w:ascii="Arial" w:hAnsi="Arial"/>
              </w:rPr>
            </w:pPr>
            <w:r w:rsidRPr="002C30ED">
              <w:rPr>
                <w:rFonts w:ascii="Arial" w:hAnsi="Arial"/>
              </w:rPr>
              <w:t>3.22 × 10-10</w:t>
            </w:r>
          </w:p>
        </w:tc>
      </w:tr>
      <w:tr w:rsidR="00FA63B0" w:rsidRPr="00FA63B0" w14:paraId="67CEBD6E" w14:textId="77777777" w:rsidTr="002C30ED">
        <w:trPr>
          <w:trHeight w:val="256"/>
        </w:trPr>
        <w:tc>
          <w:tcPr>
            <w:tcW w:w="0" w:type="auto"/>
            <w:tcMar>
              <w:top w:w="0" w:type="dxa"/>
              <w:left w:w="108" w:type="dxa"/>
              <w:bottom w:w="0" w:type="dxa"/>
              <w:right w:w="108" w:type="dxa"/>
            </w:tcMar>
            <w:hideMark/>
          </w:tcPr>
          <w:p w14:paraId="6BAE056B" w14:textId="77777777" w:rsidR="00FA63B0" w:rsidRPr="002C30ED" w:rsidRDefault="00FA63B0" w:rsidP="002C30ED">
            <w:pPr>
              <w:jc w:val="both"/>
              <w:rPr>
                <w:rFonts w:ascii="Arial" w:hAnsi="Arial"/>
              </w:rPr>
            </w:pPr>
            <w:r w:rsidRPr="002C30ED">
              <w:rPr>
                <w:rFonts w:ascii="Arial" w:hAnsi="Arial"/>
              </w:rPr>
              <w:t>5-fluorouracil</w:t>
            </w:r>
          </w:p>
        </w:tc>
        <w:tc>
          <w:tcPr>
            <w:tcW w:w="0" w:type="auto"/>
            <w:tcMar>
              <w:top w:w="0" w:type="dxa"/>
              <w:left w:w="108" w:type="dxa"/>
              <w:bottom w:w="0" w:type="dxa"/>
              <w:right w:w="108" w:type="dxa"/>
            </w:tcMar>
            <w:hideMark/>
          </w:tcPr>
          <w:p w14:paraId="0E12C6D2" w14:textId="77777777" w:rsidR="00FA63B0" w:rsidRPr="002C30ED" w:rsidRDefault="00FA63B0" w:rsidP="002C30ED">
            <w:pPr>
              <w:jc w:val="both"/>
              <w:rPr>
                <w:rFonts w:ascii="Arial" w:hAnsi="Arial"/>
              </w:rPr>
            </w:pPr>
            <w:r w:rsidRPr="002C30ED">
              <w:rPr>
                <w:rFonts w:ascii="Arial" w:hAnsi="Arial"/>
              </w:rPr>
              <w:t>−0.81</w:t>
            </w:r>
          </w:p>
        </w:tc>
        <w:tc>
          <w:tcPr>
            <w:tcW w:w="0" w:type="auto"/>
            <w:tcMar>
              <w:top w:w="0" w:type="dxa"/>
              <w:left w:w="108" w:type="dxa"/>
              <w:bottom w:w="0" w:type="dxa"/>
              <w:right w:w="108" w:type="dxa"/>
            </w:tcMar>
            <w:hideMark/>
          </w:tcPr>
          <w:p w14:paraId="01621DF7" w14:textId="77777777" w:rsidR="00FA63B0" w:rsidRPr="002C30ED" w:rsidRDefault="00FA63B0" w:rsidP="002C30ED">
            <w:pPr>
              <w:jc w:val="both"/>
              <w:rPr>
                <w:rFonts w:ascii="Arial" w:hAnsi="Arial"/>
              </w:rPr>
            </w:pPr>
            <w:r w:rsidRPr="002C30ED">
              <w:rPr>
                <w:rFonts w:ascii="Arial" w:hAnsi="Arial"/>
              </w:rPr>
              <w:t>0.50</w:t>
            </w:r>
          </w:p>
        </w:tc>
        <w:tc>
          <w:tcPr>
            <w:tcW w:w="0" w:type="auto"/>
            <w:tcMar>
              <w:top w:w="0" w:type="dxa"/>
              <w:left w:w="108" w:type="dxa"/>
              <w:bottom w:w="0" w:type="dxa"/>
              <w:right w:w="108" w:type="dxa"/>
            </w:tcMar>
            <w:hideMark/>
          </w:tcPr>
          <w:p w14:paraId="2C243EA2" w14:textId="77777777" w:rsidR="00FA63B0" w:rsidRPr="002C30ED" w:rsidRDefault="00FA63B0" w:rsidP="002C30ED">
            <w:pPr>
              <w:jc w:val="both"/>
              <w:rPr>
                <w:rFonts w:ascii="Arial" w:hAnsi="Arial"/>
              </w:rPr>
            </w:pPr>
            <w:r w:rsidRPr="002C30ED">
              <w:rPr>
                <w:rFonts w:ascii="Arial" w:hAnsi="Arial"/>
              </w:rPr>
              <w:t>2.59 × 104</w:t>
            </w:r>
          </w:p>
        </w:tc>
        <w:tc>
          <w:tcPr>
            <w:tcW w:w="0" w:type="auto"/>
            <w:tcMar>
              <w:top w:w="0" w:type="dxa"/>
              <w:left w:w="108" w:type="dxa"/>
              <w:bottom w:w="0" w:type="dxa"/>
              <w:right w:w="108" w:type="dxa"/>
            </w:tcMar>
            <w:hideMark/>
          </w:tcPr>
          <w:p w14:paraId="0583A5A6" w14:textId="77777777" w:rsidR="00FA63B0" w:rsidRPr="002C30ED" w:rsidRDefault="00FA63B0" w:rsidP="002C30ED">
            <w:pPr>
              <w:jc w:val="both"/>
              <w:rPr>
                <w:rFonts w:ascii="Arial" w:hAnsi="Arial"/>
              </w:rPr>
            </w:pPr>
            <w:r w:rsidRPr="002C30ED">
              <w:rPr>
                <w:rFonts w:ascii="Arial" w:hAnsi="Arial"/>
              </w:rPr>
              <w:t>1.38 × 10-2</w:t>
            </w:r>
          </w:p>
        </w:tc>
        <w:tc>
          <w:tcPr>
            <w:tcW w:w="0" w:type="auto"/>
            <w:tcMar>
              <w:top w:w="0" w:type="dxa"/>
              <w:left w:w="108" w:type="dxa"/>
              <w:bottom w:w="0" w:type="dxa"/>
              <w:right w:w="108" w:type="dxa"/>
            </w:tcMar>
            <w:hideMark/>
          </w:tcPr>
          <w:p w14:paraId="26767349" w14:textId="77777777" w:rsidR="00FA63B0" w:rsidRPr="002C30ED" w:rsidRDefault="00FA63B0" w:rsidP="002C30ED">
            <w:pPr>
              <w:jc w:val="both"/>
              <w:rPr>
                <w:rFonts w:ascii="Arial" w:hAnsi="Arial"/>
              </w:rPr>
            </w:pPr>
            <w:r w:rsidRPr="002C30ED">
              <w:rPr>
                <w:rFonts w:ascii="Arial" w:hAnsi="Arial"/>
              </w:rPr>
              <w:t>1.44</w:t>
            </w:r>
          </w:p>
        </w:tc>
        <w:tc>
          <w:tcPr>
            <w:tcW w:w="0" w:type="auto"/>
            <w:tcMar>
              <w:top w:w="0" w:type="dxa"/>
              <w:left w:w="108" w:type="dxa"/>
              <w:bottom w:w="0" w:type="dxa"/>
              <w:right w:w="108" w:type="dxa"/>
            </w:tcMar>
            <w:hideMark/>
          </w:tcPr>
          <w:p w14:paraId="29318C87" w14:textId="77777777" w:rsidR="00FA63B0" w:rsidRPr="002C30ED" w:rsidRDefault="00FA63B0" w:rsidP="002C30ED">
            <w:pPr>
              <w:jc w:val="both"/>
              <w:rPr>
                <w:rFonts w:ascii="Arial" w:hAnsi="Arial"/>
              </w:rPr>
            </w:pPr>
            <w:r w:rsidRPr="002C30ED">
              <w:rPr>
                <w:rFonts w:ascii="Arial" w:hAnsi="Arial"/>
              </w:rPr>
              <w:t>2.88</w:t>
            </w:r>
          </w:p>
        </w:tc>
        <w:tc>
          <w:tcPr>
            <w:tcW w:w="0" w:type="auto"/>
            <w:tcMar>
              <w:top w:w="0" w:type="dxa"/>
              <w:left w:w="108" w:type="dxa"/>
              <w:bottom w:w="0" w:type="dxa"/>
              <w:right w:w="108" w:type="dxa"/>
            </w:tcMar>
            <w:hideMark/>
          </w:tcPr>
          <w:p w14:paraId="6CE8E06F" w14:textId="77777777" w:rsidR="00FA63B0" w:rsidRPr="002C30ED" w:rsidRDefault="00FA63B0" w:rsidP="002C30ED">
            <w:pPr>
              <w:jc w:val="both"/>
              <w:rPr>
                <w:rFonts w:ascii="Arial" w:hAnsi="Arial"/>
              </w:rPr>
            </w:pPr>
            <w:r w:rsidRPr="002C30ED">
              <w:rPr>
                <w:rFonts w:ascii="Arial" w:hAnsi="Arial"/>
              </w:rPr>
              <w:t>13.0</w:t>
            </w:r>
          </w:p>
        </w:tc>
        <w:tc>
          <w:tcPr>
            <w:tcW w:w="0" w:type="auto"/>
            <w:tcMar>
              <w:top w:w="0" w:type="dxa"/>
              <w:left w:w="108" w:type="dxa"/>
              <w:bottom w:w="0" w:type="dxa"/>
              <w:right w:w="108" w:type="dxa"/>
            </w:tcMar>
            <w:hideMark/>
          </w:tcPr>
          <w:p w14:paraId="3CF6EC29" w14:textId="77777777" w:rsidR="00FA63B0" w:rsidRPr="002C30ED" w:rsidRDefault="00FA63B0" w:rsidP="002C30ED">
            <w:pPr>
              <w:jc w:val="both"/>
              <w:rPr>
                <w:rFonts w:ascii="Arial" w:hAnsi="Arial"/>
              </w:rPr>
            </w:pPr>
            <w:r w:rsidRPr="002C30ED">
              <w:rPr>
                <w:rFonts w:ascii="Arial" w:hAnsi="Arial"/>
              </w:rPr>
              <w:t>1.05 × 102</w:t>
            </w:r>
          </w:p>
        </w:tc>
      </w:tr>
      <w:tr w:rsidR="00FA63B0" w:rsidRPr="00FA63B0" w14:paraId="7D0271F3" w14:textId="77777777" w:rsidTr="002C30ED">
        <w:trPr>
          <w:trHeight w:val="256"/>
        </w:trPr>
        <w:tc>
          <w:tcPr>
            <w:tcW w:w="0" w:type="auto"/>
            <w:tcMar>
              <w:top w:w="0" w:type="dxa"/>
              <w:left w:w="108" w:type="dxa"/>
              <w:bottom w:w="0" w:type="dxa"/>
              <w:right w:w="108" w:type="dxa"/>
            </w:tcMar>
            <w:hideMark/>
          </w:tcPr>
          <w:p w14:paraId="01460B51" w14:textId="77777777" w:rsidR="00FA63B0" w:rsidRPr="002C30ED" w:rsidRDefault="00FA63B0" w:rsidP="002C30ED">
            <w:pPr>
              <w:jc w:val="both"/>
              <w:rPr>
                <w:rFonts w:ascii="Arial" w:hAnsi="Arial"/>
              </w:rPr>
            </w:pPr>
            <w:r w:rsidRPr="002C30ED">
              <w:rPr>
                <w:rFonts w:ascii="Arial" w:hAnsi="Arial"/>
              </w:rPr>
              <w:t>Methotrexate</w:t>
            </w:r>
          </w:p>
        </w:tc>
        <w:tc>
          <w:tcPr>
            <w:tcW w:w="0" w:type="auto"/>
            <w:tcMar>
              <w:top w:w="0" w:type="dxa"/>
              <w:left w:w="108" w:type="dxa"/>
              <w:bottom w:w="0" w:type="dxa"/>
              <w:right w:w="108" w:type="dxa"/>
            </w:tcMar>
            <w:hideMark/>
          </w:tcPr>
          <w:p w14:paraId="772CDA8B" w14:textId="77777777" w:rsidR="00FA63B0" w:rsidRPr="002C30ED" w:rsidRDefault="00FA63B0" w:rsidP="002C30ED">
            <w:pPr>
              <w:jc w:val="both"/>
              <w:rPr>
                <w:rFonts w:ascii="Arial" w:hAnsi="Arial"/>
              </w:rPr>
            </w:pPr>
            <w:r w:rsidRPr="002C30ED">
              <w:rPr>
                <w:rFonts w:ascii="Arial" w:hAnsi="Arial"/>
              </w:rPr>
              <w:t>−1.28</w:t>
            </w:r>
          </w:p>
        </w:tc>
        <w:tc>
          <w:tcPr>
            <w:tcW w:w="0" w:type="auto"/>
            <w:tcMar>
              <w:top w:w="0" w:type="dxa"/>
              <w:left w:w="108" w:type="dxa"/>
              <w:bottom w:w="0" w:type="dxa"/>
              <w:right w:w="108" w:type="dxa"/>
            </w:tcMar>
            <w:hideMark/>
          </w:tcPr>
          <w:p w14:paraId="0EC90893" w14:textId="77777777" w:rsidR="00FA63B0" w:rsidRPr="002C30ED" w:rsidRDefault="00FA63B0" w:rsidP="002C30ED">
            <w:pPr>
              <w:jc w:val="both"/>
              <w:rPr>
                <w:rFonts w:ascii="Arial" w:hAnsi="Arial"/>
              </w:rPr>
            </w:pPr>
            <w:r w:rsidRPr="002C30ED">
              <w:rPr>
                <w:rFonts w:ascii="Arial" w:hAnsi="Arial"/>
              </w:rPr>
              <w:t>0.98</w:t>
            </w:r>
          </w:p>
        </w:tc>
        <w:tc>
          <w:tcPr>
            <w:tcW w:w="0" w:type="auto"/>
            <w:tcMar>
              <w:top w:w="0" w:type="dxa"/>
              <w:left w:w="108" w:type="dxa"/>
              <w:bottom w:w="0" w:type="dxa"/>
              <w:right w:w="108" w:type="dxa"/>
            </w:tcMar>
            <w:hideMark/>
          </w:tcPr>
          <w:p w14:paraId="515ABB01" w14:textId="77777777" w:rsidR="00FA63B0" w:rsidRPr="002C30ED" w:rsidRDefault="00FA63B0" w:rsidP="002C30ED">
            <w:pPr>
              <w:jc w:val="both"/>
              <w:rPr>
                <w:rFonts w:ascii="Arial" w:hAnsi="Arial"/>
              </w:rPr>
            </w:pPr>
            <w:r w:rsidRPr="002C30ED">
              <w:rPr>
                <w:rFonts w:ascii="Arial" w:hAnsi="Arial"/>
              </w:rPr>
              <w:t>2.60 × 103</w:t>
            </w:r>
          </w:p>
        </w:tc>
        <w:tc>
          <w:tcPr>
            <w:tcW w:w="0" w:type="auto"/>
            <w:tcMar>
              <w:top w:w="0" w:type="dxa"/>
              <w:left w:w="108" w:type="dxa"/>
              <w:bottom w:w="0" w:type="dxa"/>
              <w:right w:w="108" w:type="dxa"/>
            </w:tcMar>
            <w:hideMark/>
          </w:tcPr>
          <w:p w14:paraId="20C4F9C5" w14:textId="77777777" w:rsidR="00FA63B0" w:rsidRPr="002C30ED" w:rsidRDefault="00FA63B0" w:rsidP="002C30ED">
            <w:pPr>
              <w:jc w:val="both"/>
              <w:rPr>
                <w:rFonts w:ascii="Arial" w:hAnsi="Arial"/>
              </w:rPr>
            </w:pPr>
            <w:r w:rsidRPr="002C30ED">
              <w:rPr>
                <w:rFonts w:ascii="Arial" w:hAnsi="Arial"/>
              </w:rPr>
              <w:t>8.58</w:t>
            </w:r>
          </w:p>
        </w:tc>
        <w:tc>
          <w:tcPr>
            <w:tcW w:w="0" w:type="auto"/>
            <w:tcMar>
              <w:top w:w="0" w:type="dxa"/>
              <w:left w:w="108" w:type="dxa"/>
              <w:bottom w:w="0" w:type="dxa"/>
              <w:right w:w="108" w:type="dxa"/>
            </w:tcMar>
            <w:hideMark/>
          </w:tcPr>
          <w:p w14:paraId="3FAEBD54" w14:textId="77777777" w:rsidR="00FA63B0" w:rsidRPr="002C30ED" w:rsidRDefault="00FA63B0" w:rsidP="002C30ED">
            <w:pPr>
              <w:jc w:val="both"/>
              <w:rPr>
                <w:rFonts w:ascii="Arial" w:hAnsi="Arial"/>
              </w:rPr>
            </w:pPr>
            <w:r w:rsidRPr="002C30ED">
              <w:rPr>
                <w:rFonts w:ascii="Arial" w:hAnsi="Arial"/>
              </w:rPr>
              <w:t>4.32</w:t>
            </w:r>
          </w:p>
        </w:tc>
        <w:tc>
          <w:tcPr>
            <w:tcW w:w="0" w:type="auto"/>
            <w:tcMar>
              <w:top w:w="0" w:type="dxa"/>
              <w:left w:w="108" w:type="dxa"/>
              <w:bottom w:w="0" w:type="dxa"/>
              <w:right w:w="108" w:type="dxa"/>
            </w:tcMar>
            <w:hideMark/>
          </w:tcPr>
          <w:p w14:paraId="2DA21349" w14:textId="77777777" w:rsidR="00FA63B0" w:rsidRPr="002C30ED" w:rsidRDefault="00FA63B0" w:rsidP="002C30ED">
            <w:pPr>
              <w:jc w:val="both"/>
              <w:rPr>
                <w:rFonts w:ascii="Arial" w:hAnsi="Arial"/>
              </w:rPr>
            </w:pPr>
            <w:r w:rsidRPr="002C30ED">
              <w:rPr>
                <w:rFonts w:ascii="Arial" w:hAnsi="Arial"/>
              </w:rPr>
              <w:t>8.64</w:t>
            </w:r>
          </w:p>
        </w:tc>
        <w:tc>
          <w:tcPr>
            <w:tcW w:w="0" w:type="auto"/>
            <w:tcMar>
              <w:top w:w="0" w:type="dxa"/>
              <w:left w:w="108" w:type="dxa"/>
              <w:bottom w:w="0" w:type="dxa"/>
              <w:right w:w="108" w:type="dxa"/>
            </w:tcMar>
            <w:hideMark/>
          </w:tcPr>
          <w:p w14:paraId="3DCAB435" w14:textId="77777777" w:rsidR="00FA63B0" w:rsidRPr="002C30ED" w:rsidRDefault="00FA63B0" w:rsidP="002C30ED">
            <w:pPr>
              <w:jc w:val="both"/>
              <w:rPr>
                <w:rFonts w:ascii="Arial" w:hAnsi="Arial"/>
              </w:rPr>
            </w:pPr>
            <w:r w:rsidRPr="002C30ED">
              <w:rPr>
                <w:rFonts w:ascii="Arial" w:hAnsi="Arial"/>
              </w:rPr>
              <w:t>3.8</w:t>
            </w:r>
          </w:p>
        </w:tc>
        <w:tc>
          <w:tcPr>
            <w:tcW w:w="0" w:type="auto"/>
            <w:tcMar>
              <w:top w:w="0" w:type="dxa"/>
              <w:left w:w="108" w:type="dxa"/>
              <w:bottom w:w="0" w:type="dxa"/>
              <w:right w:w="108" w:type="dxa"/>
            </w:tcMar>
            <w:hideMark/>
          </w:tcPr>
          <w:p w14:paraId="2470232E" w14:textId="77777777" w:rsidR="00FA63B0" w:rsidRPr="002C30ED" w:rsidRDefault="00FA63B0" w:rsidP="002C30ED">
            <w:pPr>
              <w:jc w:val="both"/>
              <w:rPr>
                <w:rFonts w:ascii="Arial" w:hAnsi="Arial"/>
              </w:rPr>
            </w:pPr>
            <w:r w:rsidRPr="002C30ED">
              <w:rPr>
                <w:rFonts w:ascii="Arial" w:hAnsi="Arial"/>
              </w:rPr>
              <w:t>7.94</w:t>
            </w:r>
          </w:p>
        </w:tc>
      </w:tr>
      <w:tr w:rsidR="00FA63B0" w:rsidRPr="00FA63B0" w14:paraId="660B73F8" w14:textId="77777777" w:rsidTr="002C30ED">
        <w:trPr>
          <w:trHeight w:val="256"/>
        </w:trPr>
        <w:tc>
          <w:tcPr>
            <w:tcW w:w="0" w:type="auto"/>
            <w:tcMar>
              <w:top w:w="0" w:type="dxa"/>
              <w:left w:w="108" w:type="dxa"/>
              <w:bottom w:w="0" w:type="dxa"/>
              <w:right w:w="108" w:type="dxa"/>
            </w:tcMar>
            <w:hideMark/>
          </w:tcPr>
          <w:p w14:paraId="61DA7A1A" w14:textId="77777777" w:rsidR="00FA63B0" w:rsidRPr="002C30ED" w:rsidRDefault="00FA63B0" w:rsidP="002C30ED">
            <w:pPr>
              <w:jc w:val="both"/>
              <w:rPr>
                <w:rFonts w:ascii="Arial" w:hAnsi="Arial"/>
              </w:rPr>
            </w:pPr>
            <w:r w:rsidRPr="002C30ED">
              <w:rPr>
                <w:rFonts w:ascii="Arial" w:hAnsi="Arial"/>
              </w:rPr>
              <w:t>Goserelin</w:t>
            </w:r>
          </w:p>
        </w:tc>
        <w:tc>
          <w:tcPr>
            <w:tcW w:w="0" w:type="auto"/>
            <w:tcMar>
              <w:top w:w="0" w:type="dxa"/>
              <w:left w:w="108" w:type="dxa"/>
              <w:bottom w:w="0" w:type="dxa"/>
              <w:right w:w="108" w:type="dxa"/>
            </w:tcMar>
            <w:hideMark/>
          </w:tcPr>
          <w:p w14:paraId="158B16FB" w14:textId="77777777" w:rsidR="00FA63B0" w:rsidRPr="002C30ED" w:rsidRDefault="00FA63B0" w:rsidP="002C30ED">
            <w:pPr>
              <w:jc w:val="both"/>
              <w:rPr>
                <w:rFonts w:ascii="Arial" w:hAnsi="Arial"/>
              </w:rPr>
            </w:pPr>
            <w:r w:rsidRPr="002C30ED">
              <w:rPr>
                <w:rFonts w:ascii="Arial" w:hAnsi="Arial"/>
              </w:rPr>
              <w:t>−1.33</w:t>
            </w:r>
          </w:p>
        </w:tc>
        <w:tc>
          <w:tcPr>
            <w:tcW w:w="0" w:type="auto"/>
            <w:tcMar>
              <w:top w:w="0" w:type="dxa"/>
              <w:left w:w="108" w:type="dxa"/>
              <w:bottom w:w="0" w:type="dxa"/>
              <w:right w:w="108" w:type="dxa"/>
            </w:tcMar>
            <w:hideMark/>
          </w:tcPr>
          <w:p w14:paraId="13FD655E" w14:textId="77777777" w:rsidR="00FA63B0" w:rsidRPr="002C30ED" w:rsidRDefault="00FA63B0" w:rsidP="002C30ED">
            <w:pPr>
              <w:jc w:val="both"/>
              <w:rPr>
                <w:rFonts w:ascii="Arial" w:hAnsi="Arial"/>
              </w:rPr>
            </w:pPr>
            <w:r w:rsidRPr="002C30ED">
              <w:rPr>
                <w:rFonts w:ascii="Arial" w:hAnsi="Arial"/>
              </w:rPr>
              <w:t>0.50</w:t>
            </w:r>
          </w:p>
        </w:tc>
        <w:tc>
          <w:tcPr>
            <w:tcW w:w="0" w:type="auto"/>
            <w:tcMar>
              <w:top w:w="0" w:type="dxa"/>
              <w:left w:w="108" w:type="dxa"/>
              <w:bottom w:w="0" w:type="dxa"/>
              <w:right w:w="108" w:type="dxa"/>
            </w:tcMar>
            <w:hideMark/>
          </w:tcPr>
          <w:p w14:paraId="7B2673E1" w14:textId="77777777" w:rsidR="00FA63B0" w:rsidRPr="002C30ED" w:rsidRDefault="00FA63B0" w:rsidP="002C30ED">
            <w:pPr>
              <w:jc w:val="both"/>
              <w:rPr>
                <w:rFonts w:ascii="Arial" w:hAnsi="Arial"/>
              </w:rPr>
            </w:pPr>
            <w:r w:rsidRPr="002C30ED">
              <w:rPr>
                <w:rFonts w:ascii="Arial" w:hAnsi="Arial"/>
              </w:rPr>
              <w:t>1.12× 10-2</w:t>
            </w:r>
          </w:p>
        </w:tc>
        <w:tc>
          <w:tcPr>
            <w:tcW w:w="0" w:type="auto"/>
            <w:tcMar>
              <w:top w:w="0" w:type="dxa"/>
              <w:left w:w="108" w:type="dxa"/>
              <w:bottom w:w="0" w:type="dxa"/>
              <w:right w:w="108" w:type="dxa"/>
            </w:tcMar>
            <w:hideMark/>
          </w:tcPr>
          <w:p w14:paraId="0D386971" w14:textId="77777777" w:rsidR="00FA63B0" w:rsidRPr="002C30ED" w:rsidRDefault="00FA63B0" w:rsidP="002C30ED">
            <w:pPr>
              <w:jc w:val="both"/>
              <w:rPr>
                <w:rFonts w:ascii="Arial" w:hAnsi="Arial"/>
              </w:rPr>
            </w:pPr>
            <w:r w:rsidRPr="002C30ED">
              <w:rPr>
                <w:rFonts w:ascii="Arial" w:hAnsi="Arial"/>
              </w:rPr>
              <w:t>1.02 × 10</w:t>
            </w:r>
          </w:p>
        </w:tc>
        <w:tc>
          <w:tcPr>
            <w:tcW w:w="0" w:type="auto"/>
            <w:tcMar>
              <w:top w:w="0" w:type="dxa"/>
              <w:left w:w="108" w:type="dxa"/>
              <w:bottom w:w="0" w:type="dxa"/>
              <w:right w:w="108" w:type="dxa"/>
            </w:tcMar>
            <w:hideMark/>
          </w:tcPr>
          <w:p w14:paraId="4831BA57" w14:textId="77777777" w:rsidR="00FA63B0" w:rsidRPr="002C30ED" w:rsidRDefault="00FA63B0" w:rsidP="002C30ED">
            <w:pPr>
              <w:jc w:val="both"/>
              <w:rPr>
                <w:rFonts w:ascii="Arial" w:hAnsi="Arial"/>
              </w:rPr>
            </w:pPr>
            <w:r w:rsidRPr="002C30ED">
              <w:rPr>
                <w:rFonts w:ascii="Arial" w:hAnsi="Arial"/>
              </w:rPr>
              <w:t>1.44</w:t>
            </w:r>
          </w:p>
        </w:tc>
        <w:tc>
          <w:tcPr>
            <w:tcW w:w="0" w:type="auto"/>
            <w:tcMar>
              <w:top w:w="0" w:type="dxa"/>
              <w:left w:w="108" w:type="dxa"/>
              <w:bottom w:w="0" w:type="dxa"/>
              <w:right w:w="108" w:type="dxa"/>
            </w:tcMar>
            <w:hideMark/>
          </w:tcPr>
          <w:p w14:paraId="36C66E7A" w14:textId="77777777" w:rsidR="00FA63B0" w:rsidRPr="002C30ED" w:rsidRDefault="00FA63B0" w:rsidP="002C30ED">
            <w:pPr>
              <w:jc w:val="both"/>
              <w:rPr>
                <w:rFonts w:ascii="Arial" w:hAnsi="Arial"/>
              </w:rPr>
            </w:pPr>
            <w:r w:rsidRPr="002C30ED">
              <w:rPr>
                <w:rFonts w:ascii="Arial" w:hAnsi="Arial"/>
              </w:rPr>
              <w:t>2.88</w:t>
            </w:r>
          </w:p>
        </w:tc>
        <w:tc>
          <w:tcPr>
            <w:tcW w:w="0" w:type="auto"/>
            <w:tcMar>
              <w:top w:w="0" w:type="dxa"/>
              <w:left w:w="108" w:type="dxa"/>
              <w:bottom w:w="0" w:type="dxa"/>
              <w:right w:w="108" w:type="dxa"/>
            </w:tcMar>
            <w:hideMark/>
          </w:tcPr>
          <w:p w14:paraId="7589141C" w14:textId="77777777" w:rsidR="00FA63B0" w:rsidRPr="002C30ED" w:rsidRDefault="00FA63B0" w:rsidP="002C30ED">
            <w:pPr>
              <w:jc w:val="both"/>
              <w:rPr>
                <w:rFonts w:ascii="Arial" w:hAnsi="Arial"/>
              </w:rPr>
            </w:pPr>
            <w:r w:rsidRPr="002C30ED">
              <w:rPr>
                <w:rFonts w:ascii="Arial" w:hAnsi="Arial"/>
              </w:rPr>
              <w:t>13.0</w:t>
            </w:r>
          </w:p>
        </w:tc>
        <w:tc>
          <w:tcPr>
            <w:tcW w:w="0" w:type="auto"/>
            <w:tcMar>
              <w:top w:w="0" w:type="dxa"/>
              <w:left w:w="108" w:type="dxa"/>
              <w:bottom w:w="0" w:type="dxa"/>
              <w:right w:w="108" w:type="dxa"/>
            </w:tcMar>
            <w:hideMark/>
          </w:tcPr>
          <w:p w14:paraId="26D5758D" w14:textId="77777777" w:rsidR="00FA63B0" w:rsidRPr="002C30ED" w:rsidRDefault="00FA63B0" w:rsidP="002C30ED">
            <w:pPr>
              <w:jc w:val="both"/>
              <w:rPr>
                <w:rFonts w:ascii="Arial" w:hAnsi="Arial"/>
              </w:rPr>
            </w:pPr>
            <w:r w:rsidRPr="002C30ED">
              <w:rPr>
                <w:rFonts w:ascii="Arial" w:hAnsi="Arial"/>
              </w:rPr>
              <w:t>2.50 × 10</w:t>
            </w:r>
          </w:p>
        </w:tc>
      </w:tr>
      <w:tr w:rsidR="00FA63B0" w:rsidRPr="00FA63B0" w14:paraId="2DF2D0BD" w14:textId="77777777" w:rsidTr="002C30ED">
        <w:trPr>
          <w:trHeight w:val="256"/>
        </w:trPr>
        <w:tc>
          <w:tcPr>
            <w:tcW w:w="0" w:type="auto"/>
            <w:tcMar>
              <w:top w:w="0" w:type="dxa"/>
              <w:left w:w="108" w:type="dxa"/>
              <w:bottom w:w="0" w:type="dxa"/>
              <w:right w:w="108" w:type="dxa"/>
            </w:tcMar>
            <w:hideMark/>
          </w:tcPr>
          <w:p w14:paraId="606CD173" w14:textId="77777777" w:rsidR="00FA63B0" w:rsidRPr="002C30ED" w:rsidRDefault="00FA63B0" w:rsidP="002C30ED">
            <w:pPr>
              <w:jc w:val="both"/>
              <w:rPr>
                <w:rFonts w:ascii="Arial" w:hAnsi="Arial"/>
              </w:rPr>
            </w:pPr>
            <w:r w:rsidRPr="002C30ED">
              <w:rPr>
                <w:rFonts w:ascii="Arial" w:hAnsi="Arial"/>
              </w:rPr>
              <w:t>Gemcitabine</w:t>
            </w:r>
          </w:p>
        </w:tc>
        <w:tc>
          <w:tcPr>
            <w:tcW w:w="0" w:type="auto"/>
            <w:tcMar>
              <w:top w:w="0" w:type="dxa"/>
              <w:left w:w="108" w:type="dxa"/>
              <w:bottom w:w="0" w:type="dxa"/>
              <w:right w:w="108" w:type="dxa"/>
            </w:tcMar>
            <w:hideMark/>
          </w:tcPr>
          <w:p w14:paraId="49AC193F" w14:textId="77777777" w:rsidR="00FA63B0" w:rsidRPr="002C30ED" w:rsidRDefault="00FA63B0" w:rsidP="002C30ED">
            <w:pPr>
              <w:jc w:val="both"/>
              <w:rPr>
                <w:rFonts w:ascii="Arial" w:hAnsi="Arial"/>
              </w:rPr>
            </w:pPr>
            <w:r w:rsidRPr="002C30ED">
              <w:rPr>
                <w:rFonts w:ascii="Arial" w:hAnsi="Arial"/>
              </w:rPr>
              <w:t>−2.01</w:t>
            </w:r>
          </w:p>
        </w:tc>
        <w:tc>
          <w:tcPr>
            <w:tcW w:w="0" w:type="auto"/>
            <w:tcMar>
              <w:top w:w="0" w:type="dxa"/>
              <w:left w:w="108" w:type="dxa"/>
              <w:bottom w:w="0" w:type="dxa"/>
              <w:right w:w="108" w:type="dxa"/>
            </w:tcMar>
            <w:hideMark/>
          </w:tcPr>
          <w:p w14:paraId="6A515203" w14:textId="77777777" w:rsidR="00FA63B0" w:rsidRPr="002C30ED" w:rsidRDefault="00FA63B0" w:rsidP="002C30ED">
            <w:pPr>
              <w:jc w:val="both"/>
              <w:rPr>
                <w:rFonts w:ascii="Arial" w:hAnsi="Arial"/>
              </w:rPr>
            </w:pPr>
            <w:r w:rsidRPr="002C30ED">
              <w:rPr>
                <w:rFonts w:ascii="Arial" w:hAnsi="Arial"/>
              </w:rPr>
              <w:t>0.89</w:t>
            </w:r>
          </w:p>
        </w:tc>
        <w:tc>
          <w:tcPr>
            <w:tcW w:w="0" w:type="auto"/>
            <w:tcMar>
              <w:top w:w="0" w:type="dxa"/>
              <w:left w:w="108" w:type="dxa"/>
              <w:bottom w:w="0" w:type="dxa"/>
              <w:right w:w="108" w:type="dxa"/>
            </w:tcMar>
            <w:hideMark/>
          </w:tcPr>
          <w:p w14:paraId="4CC42BE9" w14:textId="77777777" w:rsidR="00FA63B0" w:rsidRPr="002C30ED" w:rsidRDefault="00FA63B0" w:rsidP="002C30ED">
            <w:pPr>
              <w:jc w:val="both"/>
              <w:rPr>
                <w:rFonts w:ascii="Arial" w:hAnsi="Arial"/>
              </w:rPr>
            </w:pPr>
            <w:r w:rsidRPr="002C30ED">
              <w:rPr>
                <w:rFonts w:ascii="Arial" w:hAnsi="Arial"/>
              </w:rPr>
              <w:t>5.14 × 104</w:t>
            </w:r>
          </w:p>
        </w:tc>
        <w:tc>
          <w:tcPr>
            <w:tcW w:w="0" w:type="auto"/>
            <w:tcMar>
              <w:top w:w="0" w:type="dxa"/>
              <w:left w:w="108" w:type="dxa"/>
              <w:bottom w:w="0" w:type="dxa"/>
              <w:right w:w="108" w:type="dxa"/>
            </w:tcMar>
            <w:hideMark/>
          </w:tcPr>
          <w:p w14:paraId="1CD555ED" w14:textId="77777777" w:rsidR="00FA63B0" w:rsidRPr="002C30ED" w:rsidRDefault="00FA63B0" w:rsidP="002C30ED">
            <w:pPr>
              <w:jc w:val="both"/>
              <w:rPr>
                <w:rFonts w:ascii="Arial" w:hAnsi="Arial"/>
              </w:rPr>
            </w:pPr>
            <w:r w:rsidRPr="002C30ED">
              <w:rPr>
                <w:rFonts w:ascii="Arial" w:hAnsi="Arial"/>
              </w:rPr>
              <w:t>6.99 × 10</w:t>
            </w:r>
          </w:p>
        </w:tc>
        <w:tc>
          <w:tcPr>
            <w:tcW w:w="0" w:type="auto"/>
            <w:tcMar>
              <w:top w:w="0" w:type="dxa"/>
              <w:left w:w="108" w:type="dxa"/>
              <w:bottom w:w="0" w:type="dxa"/>
              <w:right w:w="108" w:type="dxa"/>
            </w:tcMar>
            <w:hideMark/>
          </w:tcPr>
          <w:p w14:paraId="3F4E1521" w14:textId="77777777" w:rsidR="00FA63B0" w:rsidRPr="002C30ED" w:rsidRDefault="00FA63B0" w:rsidP="002C30ED">
            <w:pPr>
              <w:jc w:val="both"/>
              <w:rPr>
                <w:rFonts w:ascii="Arial" w:hAnsi="Arial"/>
              </w:rPr>
            </w:pPr>
            <w:r w:rsidRPr="002C30ED">
              <w:rPr>
                <w:rFonts w:ascii="Arial" w:hAnsi="Arial"/>
              </w:rPr>
              <w:t>0.90</w:t>
            </w:r>
          </w:p>
        </w:tc>
        <w:tc>
          <w:tcPr>
            <w:tcW w:w="0" w:type="auto"/>
            <w:tcMar>
              <w:top w:w="0" w:type="dxa"/>
              <w:left w:w="108" w:type="dxa"/>
              <w:bottom w:w="0" w:type="dxa"/>
              <w:right w:w="108" w:type="dxa"/>
            </w:tcMar>
            <w:hideMark/>
          </w:tcPr>
          <w:p w14:paraId="318D5706" w14:textId="77777777" w:rsidR="00FA63B0" w:rsidRPr="002C30ED" w:rsidRDefault="00FA63B0" w:rsidP="002C30ED">
            <w:pPr>
              <w:jc w:val="both"/>
              <w:rPr>
                <w:rFonts w:ascii="Arial" w:hAnsi="Arial"/>
              </w:rPr>
            </w:pPr>
            <w:r w:rsidRPr="002C30ED">
              <w:rPr>
                <w:rFonts w:ascii="Arial" w:hAnsi="Arial"/>
              </w:rPr>
              <w:t>1.80</w:t>
            </w:r>
          </w:p>
        </w:tc>
        <w:tc>
          <w:tcPr>
            <w:tcW w:w="0" w:type="auto"/>
            <w:tcMar>
              <w:top w:w="0" w:type="dxa"/>
              <w:left w:w="108" w:type="dxa"/>
              <w:bottom w:w="0" w:type="dxa"/>
              <w:right w:w="108" w:type="dxa"/>
            </w:tcMar>
            <w:hideMark/>
          </w:tcPr>
          <w:p w14:paraId="16505853" w14:textId="77777777" w:rsidR="00FA63B0" w:rsidRPr="002C30ED" w:rsidRDefault="00FA63B0" w:rsidP="002C30ED">
            <w:pPr>
              <w:jc w:val="both"/>
              <w:rPr>
                <w:rFonts w:ascii="Arial" w:hAnsi="Arial"/>
              </w:rPr>
            </w:pPr>
            <w:r w:rsidRPr="002C30ED">
              <w:rPr>
                <w:rFonts w:ascii="Arial" w:hAnsi="Arial"/>
              </w:rPr>
              <w:t>8.10</w:t>
            </w:r>
          </w:p>
        </w:tc>
        <w:tc>
          <w:tcPr>
            <w:tcW w:w="0" w:type="auto"/>
            <w:tcMar>
              <w:top w:w="0" w:type="dxa"/>
              <w:left w:w="108" w:type="dxa"/>
              <w:bottom w:w="0" w:type="dxa"/>
              <w:right w:w="108" w:type="dxa"/>
            </w:tcMar>
            <w:hideMark/>
          </w:tcPr>
          <w:p w14:paraId="23592525" w14:textId="77777777" w:rsidR="00FA63B0" w:rsidRPr="002C30ED" w:rsidRDefault="00FA63B0" w:rsidP="002C30ED">
            <w:pPr>
              <w:jc w:val="both"/>
              <w:rPr>
                <w:rFonts w:ascii="Arial" w:hAnsi="Arial"/>
              </w:rPr>
            </w:pPr>
            <w:r w:rsidRPr="002C30ED">
              <w:rPr>
                <w:rFonts w:ascii="Arial" w:hAnsi="Arial"/>
              </w:rPr>
              <w:t>5.90 × 10</w:t>
            </w:r>
          </w:p>
        </w:tc>
      </w:tr>
      <w:tr w:rsidR="00FA63B0" w:rsidRPr="00FA63B0" w14:paraId="5CF7CE8F" w14:textId="77777777" w:rsidTr="002C30ED">
        <w:trPr>
          <w:trHeight w:val="256"/>
        </w:trPr>
        <w:tc>
          <w:tcPr>
            <w:tcW w:w="0" w:type="auto"/>
            <w:tcMar>
              <w:top w:w="0" w:type="dxa"/>
              <w:left w:w="108" w:type="dxa"/>
              <w:bottom w:w="0" w:type="dxa"/>
              <w:right w:w="108" w:type="dxa"/>
            </w:tcMar>
            <w:hideMark/>
          </w:tcPr>
          <w:p w14:paraId="573EA366" w14:textId="77777777" w:rsidR="00FA63B0" w:rsidRPr="002C30ED" w:rsidRDefault="00FA63B0" w:rsidP="002C30ED">
            <w:pPr>
              <w:jc w:val="both"/>
              <w:rPr>
                <w:rFonts w:ascii="Arial" w:hAnsi="Arial"/>
              </w:rPr>
            </w:pPr>
            <w:r w:rsidRPr="002C30ED">
              <w:rPr>
                <w:rFonts w:ascii="Arial" w:hAnsi="Arial"/>
              </w:rPr>
              <w:t>Cytarabine</w:t>
            </w:r>
          </w:p>
        </w:tc>
        <w:tc>
          <w:tcPr>
            <w:tcW w:w="0" w:type="auto"/>
            <w:tcMar>
              <w:top w:w="0" w:type="dxa"/>
              <w:left w:w="108" w:type="dxa"/>
              <w:bottom w:w="0" w:type="dxa"/>
              <w:right w:w="108" w:type="dxa"/>
            </w:tcMar>
            <w:hideMark/>
          </w:tcPr>
          <w:p w14:paraId="190F5780" w14:textId="77777777" w:rsidR="00FA63B0" w:rsidRPr="002C30ED" w:rsidRDefault="00FA63B0" w:rsidP="002C30ED">
            <w:pPr>
              <w:jc w:val="both"/>
              <w:rPr>
                <w:rFonts w:ascii="Arial" w:hAnsi="Arial"/>
              </w:rPr>
            </w:pPr>
            <w:r w:rsidRPr="002C30ED">
              <w:rPr>
                <w:rFonts w:ascii="Arial" w:hAnsi="Arial"/>
              </w:rPr>
              <w:t>−2.46</w:t>
            </w:r>
          </w:p>
        </w:tc>
        <w:tc>
          <w:tcPr>
            <w:tcW w:w="0" w:type="auto"/>
            <w:tcMar>
              <w:top w:w="0" w:type="dxa"/>
              <w:left w:w="108" w:type="dxa"/>
              <w:bottom w:w="0" w:type="dxa"/>
              <w:right w:w="108" w:type="dxa"/>
            </w:tcMar>
            <w:hideMark/>
          </w:tcPr>
          <w:p w14:paraId="7C9C7C00" w14:textId="77777777" w:rsidR="00FA63B0" w:rsidRPr="002C30ED" w:rsidRDefault="00FA63B0" w:rsidP="002C30ED">
            <w:pPr>
              <w:jc w:val="both"/>
              <w:rPr>
                <w:rFonts w:ascii="Arial" w:hAnsi="Arial"/>
              </w:rPr>
            </w:pPr>
            <w:r w:rsidRPr="002C30ED">
              <w:rPr>
                <w:rFonts w:ascii="Arial" w:hAnsi="Arial"/>
              </w:rPr>
              <w:t>0.50</w:t>
            </w:r>
          </w:p>
        </w:tc>
        <w:tc>
          <w:tcPr>
            <w:tcW w:w="0" w:type="auto"/>
            <w:tcMar>
              <w:top w:w="0" w:type="dxa"/>
              <w:left w:w="108" w:type="dxa"/>
              <w:bottom w:w="0" w:type="dxa"/>
              <w:right w:w="108" w:type="dxa"/>
            </w:tcMar>
            <w:hideMark/>
          </w:tcPr>
          <w:p w14:paraId="1A4DF62D" w14:textId="77777777" w:rsidR="00FA63B0" w:rsidRPr="002C30ED" w:rsidRDefault="00FA63B0" w:rsidP="002C30ED">
            <w:pPr>
              <w:jc w:val="both"/>
              <w:rPr>
                <w:rFonts w:ascii="Arial" w:hAnsi="Arial"/>
              </w:rPr>
            </w:pPr>
            <w:r w:rsidRPr="002C30ED">
              <w:rPr>
                <w:rFonts w:ascii="Arial" w:hAnsi="Arial"/>
              </w:rPr>
              <w:t>1.76 × 105</w:t>
            </w:r>
          </w:p>
        </w:tc>
        <w:tc>
          <w:tcPr>
            <w:tcW w:w="0" w:type="auto"/>
            <w:tcMar>
              <w:top w:w="0" w:type="dxa"/>
              <w:left w:w="108" w:type="dxa"/>
              <w:bottom w:w="0" w:type="dxa"/>
              <w:right w:w="108" w:type="dxa"/>
            </w:tcMar>
            <w:hideMark/>
          </w:tcPr>
          <w:p w14:paraId="3BE9DEA9" w14:textId="77777777" w:rsidR="00FA63B0" w:rsidRPr="002C30ED" w:rsidRDefault="00FA63B0" w:rsidP="002C30ED">
            <w:pPr>
              <w:jc w:val="both"/>
              <w:rPr>
                <w:rFonts w:ascii="Arial" w:hAnsi="Arial"/>
              </w:rPr>
            </w:pPr>
            <w:r w:rsidRPr="002C30ED">
              <w:rPr>
                <w:rFonts w:ascii="Arial" w:hAnsi="Arial"/>
              </w:rPr>
              <w:t>0.45</w:t>
            </w:r>
          </w:p>
        </w:tc>
        <w:tc>
          <w:tcPr>
            <w:tcW w:w="0" w:type="auto"/>
            <w:tcMar>
              <w:top w:w="0" w:type="dxa"/>
              <w:left w:w="108" w:type="dxa"/>
              <w:bottom w:w="0" w:type="dxa"/>
              <w:right w:w="108" w:type="dxa"/>
            </w:tcMar>
            <w:hideMark/>
          </w:tcPr>
          <w:p w14:paraId="160FC9B8" w14:textId="77777777" w:rsidR="00FA63B0" w:rsidRPr="002C30ED" w:rsidRDefault="00FA63B0" w:rsidP="002C30ED">
            <w:pPr>
              <w:jc w:val="both"/>
              <w:rPr>
                <w:rFonts w:ascii="Arial" w:hAnsi="Arial"/>
              </w:rPr>
            </w:pPr>
            <w:r w:rsidRPr="002C30ED">
              <w:rPr>
                <w:rFonts w:ascii="Arial" w:hAnsi="Arial"/>
              </w:rPr>
              <w:t>1.44</w:t>
            </w:r>
          </w:p>
        </w:tc>
        <w:tc>
          <w:tcPr>
            <w:tcW w:w="0" w:type="auto"/>
            <w:tcMar>
              <w:top w:w="0" w:type="dxa"/>
              <w:left w:w="108" w:type="dxa"/>
              <w:bottom w:w="0" w:type="dxa"/>
              <w:right w:w="108" w:type="dxa"/>
            </w:tcMar>
            <w:hideMark/>
          </w:tcPr>
          <w:p w14:paraId="76BA66E4" w14:textId="77777777" w:rsidR="00FA63B0" w:rsidRPr="002C30ED" w:rsidRDefault="00FA63B0" w:rsidP="002C30ED">
            <w:pPr>
              <w:jc w:val="both"/>
              <w:rPr>
                <w:rFonts w:ascii="Arial" w:hAnsi="Arial"/>
              </w:rPr>
            </w:pPr>
            <w:r w:rsidRPr="002C30ED">
              <w:rPr>
                <w:rFonts w:ascii="Arial" w:hAnsi="Arial"/>
              </w:rPr>
              <w:t>3.88</w:t>
            </w:r>
          </w:p>
        </w:tc>
        <w:tc>
          <w:tcPr>
            <w:tcW w:w="0" w:type="auto"/>
            <w:tcMar>
              <w:top w:w="0" w:type="dxa"/>
              <w:left w:w="108" w:type="dxa"/>
              <w:bottom w:w="0" w:type="dxa"/>
              <w:right w:w="108" w:type="dxa"/>
            </w:tcMar>
            <w:hideMark/>
          </w:tcPr>
          <w:p w14:paraId="680A2ADE" w14:textId="77777777" w:rsidR="00FA63B0" w:rsidRPr="002C30ED" w:rsidRDefault="00FA63B0" w:rsidP="002C30ED">
            <w:pPr>
              <w:jc w:val="both"/>
              <w:rPr>
                <w:rFonts w:ascii="Arial" w:hAnsi="Arial"/>
              </w:rPr>
            </w:pPr>
            <w:r w:rsidRPr="002C30ED">
              <w:rPr>
                <w:rFonts w:ascii="Arial" w:hAnsi="Arial"/>
              </w:rPr>
              <w:t>13.0</w:t>
            </w:r>
          </w:p>
        </w:tc>
        <w:tc>
          <w:tcPr>
            <w:tcW w:w="0" w:type="auto"/>
            <w:tcMar>
              <w:top w:w="0" w:type="dxa"/>
              <w:left w:w="108" w:type="dxa"/>
              <w:bottom w:w="0" w:type="dxa"/>
              <w:right w:w="108" w:type="dxa"/>
            </w:tcMar>
            <w:hideMark/>
          </w:tcPr>
          <w:p w14:paraId="691B722B" w14:textId="77777777" w:rsidR="00FA63B0" w:rsidRPr="002C30ED" w:rsidRDefault="00FA63B0" w:rsidP="002C30ED">
            <w:pPr>
              <w:jc w:val="both"/>
              <w:rPr>
                <w:rFonts w:ascii="Arial" w:hAnsi="Arial"/>
              </w:rPr>
            </w:pPr>
            <w:r w:rsidRPr="002C30ED">
              <w:rPr>
                <w:rFonts w:ascii="Arial" w:hAnsi="Arial"/>
              </w:rPr>
              <w:t>9.38</w:t>
            </w:r>
          </w:p>
        </w:tc>
      </w:tr>
      <w:tr w:rsidR="00FA63B0" w:rsidRPr="00FA63B0" w14:paraId="03BD334C" w14:textId="77777777" w:rsidTr="002C30ED">
        <w:trPr>
          <w:trHeight w:val="256"/>
        </w:trPr>
        <w:tc>
          <w:tcPr>
            <w:tcW w:w="0" w:type="auto"/>
            <w:tcMar>
              <w:top w:w="0" w:type="dxa"/>
              <w:left w:w="108" w:type="dxa"/>
              <w:bottom w:w="0" w:type="dxa"/>
              <w:right w:w="108" w:type="dxa"/>
            </w:tcMar>
            <w:hideMark/>
          </w:tcPr>
          <w:p w14:paraId="29BC3637" w14:textId="77777777" w:rsidR="00FA63B0" w:rsidRPr="002C30ED" w:rsidRDefault="00FA63B0" w:rsidP="002C30ED">
            <w:pPr>
              <w:jc w:val="both"/>
              <w:rPr>
                <w:rFonts w:ascii="Arial" w:hAnsi="Arial"/>
              </w:rPr>
            </w:pPr>
            <w:r w:rsidRPr="002C30ED">
              <w:rPr>
                <w:rFonts w:ascii="Arial" w:hAnsi="Arial"/>
              </w:rPr>
              <w:t>Bleomycin</w:t>
            </w:r>
          </w:p>
        </w:tc>
        <w:tc>
          <w:tcPr>
            <w:tcW w:w="0" w:type="auto"/>
            <w:tcMar>
              <w:top w:w="0" w:type="dxa"/>
              <w:left w:w="108" w:type="dxa"/>
              <w:bottom w:w="0" w:type="dxa"/>
              <w:right w:w="108" w:type="dxa"/>
            </w:tcMar>
            <w:hideMark/>
          </w:tcPr>
          <w:p w14:paraId="3478B5E5" w14:textId="77777777" w:rsidR="00FA63B0" w:rsidRPr="002C30ED" w:rsidRDefault="00FA63B0" w:rsidP="002C30ED">
            <w:pPr>
              <w:jc w:val="both"/>
              <w:rPr>
                <w:rFonts w:ascii="Arial" w:hAnsi="Arial"/>
              </w:rPr>
            </w:pPr>
            <w:r w:rsidRPr="002C30ED">
              <w:rPr>
                <w:rFonts w:ascii="Arial" w:hAnsi="Arial"/>
              </w:rPr>
              <w:t>−10.0</w:t>
            </w:r>
          </w:p>
        </w:tc>
        <w:tc>
          <w:tcPr>
            <w:tcW w:w="0" w:type="auto"/>
            <w:tcMar>
              <w:top w:w="0" w:type="dxa"/>
              <w:left w:w="108" w:type="dxa"/>
              <w:bottom w:w="0" w:type="dxa"/>
              <w:right w:w="108" w:type="dxa"/>
            </w:tcMar>
            <w:hideMark/>
          </w:tcPr>
          <w:p w14:paraId="15E6EAD6" w14:textId="77777777" w:rsidR="00FA63B0" w:rsidRPr="002C30ED" w:rsidRDefault="00FA63B0" w:rsidP="002C30ED">
            <w:pPr>
              <w:jc w:val="both"/>
              <w:rPr>
                <w:rFonts w:ascii="Arial" w:hAnsi="Arial"/>
              </w:rPr>
            </w:pPr>
            <w:r w:rsidRPr="002C30ED">
              <w:rPr>
                <w:rFonts w:ascii="Arial" w:hAnsi="Arial"/>
              </w:rPr>
              <w:t>0.89</w:t>
            </w:r>
          </w:p>
        </w:tc>
        <w:tc>
          <w:tcPr>
            <w:tcW w:w="0" w:type="auto"/>
            <w:tcMar>
              <w:top w:w="0" w:type="dxa"/>
              <w:left w:w="108" w:type="dxa"/>
              <w:bottom w:w="0" w:type="dxa"/>
              <w:right w:w="108" w:type="dxa"/>
            </w:tcMar>
            <w:hideMark/>
          </w:tcPr>
          <w:p w14:paraId="56CBC2A5" w14:textId="77777777" w:rsidR="00FA63B0" w:rsidRPr="002C30ED" w:rsidRDefault="00FA63B0" w:rsidP="002C30ED">
            <w:pPr>
              <w:jc w:val="both"/>
              <w:rPr>
                <w:rFonts w:ascii="Arial" w:hAnsi="Arial"/>
              </w:rPr>
            </w:pPr>
            <w:r w:rsidRPr="002C30ED">
              <w:rPr>
                <w:rFonts w:ascii="Arial" w:hAnsi="Arial"/>
              </w:rPr>
              <w:t>7.71 × 103</w:t>
            </w:r>
          </w:p>
        </w:tc>
        <w:tc>
          <w:tcPr>
            <w:tcW w:w="0" w:type="auto"/>
            <w:tcMar>
              <w:top w:w="0" w:type="dxa"/>
              <w:left w:w="108" w:type="dxa"/>
              <w:bottom w:w="0" w:type="dxa"/>
              <w:right w:w="108" w:type="dxa"/>
            </w:tcMar>
            <w:hideMark/>
          </w:tcPr>
          <w:p w14:paraId="61F728E7" w14:textId="77777777" w:rsidR="00FA63B0" w:rsidRPr="002C30ED" w:rsidRDefault="00FA63B0" w:rsidP="002C30ED">
            <w:pPr>
              <w:jc w:val="both"/>
              <w:rPr>
                <w:rFonts w:ascii="Arial" w:hAnsi="Arial"/>
              </w:rPr>
            </w:pPr>
            <w:r w:rsidRPr="002C30ED">
              <w:rPr>
                <w:rFonts w:ascii="Arial" w:hAnsi="Arial"/>
              </w:rPr>
              <w:t>3.54</w:t>
            </w:r>
          </w:p>
        </w:tc>
        <w:tc>
          <w:tcPr>
            <w:tcW w:w="0" w:type="auto"/>
            <w:tcMar>
              <w:top w:w="0" w:type="dxa"/>
              <w:left w:w="108" w:type="dxa"/>
              <w:bottom w:w="0" w:type="dxa"/>
              <w:right w:w="108" w:type="dxa"/>
            </w:tcMar>
            <w:hideMark/>
          </w:tcPr>
          <w:p w14:paraId="61E91483" w14:textId="77777777" w:rsidR="00FA63B0" w:rsidRPr="002C30ED" w:rsidRDefault="00FA63B0" w:rsidP="002C30ED">
            <w:pPr>
              <w:jc w:val="both"/>
              <w:rPr>
                <w:rFonts w:ascii="Arial" w:hAnsi="Arial"/>
              </w:rPr>
            </w:pPr>
            <w:r w:rsidRPr="002C30ED">
              <w:rPr>
                <w:rFonts w:ascii="Arial" w:hAnsi="Arial"/>
              </w:rPr>
              <w:t>4.32</w:t>
            </w:r>
          </w:p>
        </w:tc>
        <w:tc>
          <w:tcPr>
            <w:tcW w:w="0" w:type="auto"/>
            <w:tcMar>
              <w:top w:w="0" w:type="dxa"/>
              <w:left w:w="108" w:type="dxa"/>
              <w:bottom w:w="0" w:type="dxa"/>
              <w:right w:w="108" w:type="dxa"/>
            </w:tcMar>
            <w:hideMark/>
          </w:tcPr>
          <w:p w14:paraId="45C4C353" w14:textId="77777777" w:rsidR="00FA63B0" w:rsidRPr="002C30ED" w:rsidRDefault="00FA63B0" w:rsidP="002C30ED">
            <w:pPr>
              <w:jc w:val="both"/>
              <w:rPr>
                <w:rFonts w:ascii="Arial" w:hAnsi="Arial"/>
              </w:rPr>
            </w:pPr>
            <w:r w:rsidRPr="002C30ED">
              <w:rPr>
                <w:rFonts w:ascii="Arial" w:hAnsi="Arial"/>
              </w:rPr>
              <w:t>8.64</w:t>
            </w:r>
          </w:p>
        </w:tc>
        <w:tc>
          <w:tcPr>
            <w:tcW w:w="0" w:type="auto"/>
            <w:tcMar>
              <w:top w:w="0" w:type="dxa"/>
              <w:left w:w="108" w:type="dxa"/>
              <w:bottom w:w="0" w:type="dxa"/>
              <w:right w:w="108" w:type="dxa"/>
            </w:tcMar>
            <w:hideMark/>
          </w:tcPr>
          <w:p w14:paraId="288629E9" w14:textId="77777777" w:rsidR="00FA63B0" w:rsidRPr="002C30ED" w:rsidRDefault="00FA63B0" w:rsidP="002C30ED">
            <w:pPr>
              <w:jc w:val="both"/>
              <w:rPr>
                <w:rFonts w:ascii="Arial" w:hAnsi="Arial"/>
              </w:rPr>
            </w:pPr>
            <w:r w:rsidRPr="002C30ED">
              <w:rPr>
                <w:rFonts w:ascii="Arial" w:hAnsi="Arial"/>
              </w:rPr>
              <w:t>38.0</w:t>
            </w:r>
          </w:p>
        </w:tc>
        <w:tc>
          <w:tcPr>
            <w:tcW w:w="0" w:type="auto"/>
            <w:tcMar>
              <w:top w:w="0" w:type="dxa"/>
              <w:left w:w="108" w:type="dxa"/>
              <w:bottom w:w="0" w:type="dxa"/>
              <w:right w:w="108" w:type="dxa"/>
            </w:tcMar>
            <w:hideMark/>
          </w:tcPr>
          <w:p w14:paraId="3E02928E" w14:textId="77777777" w:rsidR="00FA63B0" w:rsidRPr="002C30ED" w:rsidRDefault="00FA63B0" w:rsidP="002C30ED">
            <w:pPr>
              <w:jc w:val="both"/>
              <w:rPr>
                <w:rFonts w:ascii="Arial" w:hAnsi="Arial"/>
              </w:rPr>
            </w:pPr>
            <w:r w:rsidRPr="002C30ED">
              <w:rPr>
                <w:rFonts w:ascii="Arial" w:hAnsi="Arial"/>
              </w:rPr>
              <w:t>4.32 × 10</w:t>
            </w:r>
          </w:p>
        </w:tc>
      </w:tr>
      <w:tr w:rsidR="00FA63B0" w:rsidRPr="00FA63B0" w14:paraId="3D3A1330" w14:textId="77777777" w:rsidTr="002C30ED">
        <w:trPr>
          <w:trHeight w:val="256"/>
        </w:trPr>
        <w:tc>
          <w:tcPr>
            <w:tcW w:w="0" w:type="auto"/>
            <w:tcBorders>
              <w:bottom w:val="single" w:sz="4" w:space="0" w:color="auto"/>
            </w:tcBorders>
            <w:tcMar>
              <w:top w:w="0" w:type="dxa"/>
              <w:left w:w="108" w:type="dxa"/>
              <w:bottom w:w="0" w:type="dxa"/>
              <w:right w:w="108" w:type="dxa"/>
            </w:tcMar>
            <w:hideMark/>
          </w:tcPr>
          <w:p w14:paraId="0C6598B2" w14:textId="77777777" w:rsidR="00FA63B0" w:rsidRPr="002C30ED" w:rsidRDefault="00FA63B0" w:rsidP="002C30ED">
            <w:pPr>
              <w:jc w:val="both"/>
              <w:rPr>
                <w:rFonts w:ascii="Arial" w:hAnsi="Arial"/>
              </w:rPr>
            </w:pPr>
            <w:r w:rsidRPr="002C30ED">
              <w:rPr>
                <w:rFonts w:ascii="Arial" w:hAnsi="Arial"/>
              </w:rPr>
              <w:t>Capecitabine</w:t>
            </w:r>
          </w:p>
        </w:tc>
        <w:tc>
          <w:tcPr>
            <w:tcW w:w="0" w:type="auto"/>
            <w:tcBorders>
              <w:bottom w:val="single" w:sz="4" w:space="0" w:color="auto"/>
            </w:tcBorders>
            <w:tcMar>
              <w:top w:w="0" w:type="dxa"/>
              <w:left w:w="108" w:type="dxa"/>
              <w:bottom w:w="0" w:type="dxa"/>
              <w:right w:w="108" w:type="dxa"/>
            </w:tcMar>
            <w:hideMark/>
          </w:tcPr>
          <w:p w14:paraId="309F8CFA" w14:textId="77777777" w:rsidR="00FA63B0" w:rsidRPr="002C30ED" w:rsidRDefault="00FA63B0" w:rsidP="002C30ED">
            <w:pPr>
              <w:jc w:val="both"/>
              <w:rPr>
                <w:rFonts w:ascii="Arial" w:hAnsi="Arial"/>
              </w:rPr>
            </w:pPr>
            <w:r w:rsidRPr="002C30ED">
              <w:rPr>
                <w:rFonts w:ascii="Arial" w:hAnsi="Arial"/>
              </w:rPr>
              <w:t>0.56</w:t>
            </w:r>
          </w:p>
        </w:tc>
        <w:tc>
          <w:tcPr>
            <w:tcW w:w="0" w:type="auto"/>
            <w:tcBorders>
              <w:bottom w:val="single" w:sz="4" w:space="0" w:color="auto"/>
            </w:tcBorders>
            <w:tcMar>
              <w:top w:w="0" w:type="dxa"/>
              <w:left w:w="108" w:type="dxa"/>
              <w:bottom w:w="0" w:type="dxa"/>
              <w:right w:w="108" w:type="dxa"/>
            </w:tcMar>
            <w:hideMark/>
          </w:tcPr>
          <w:p w14:paraId="73F02204" w14:textId="77777777" w:rsidR="00FA63B0" w:rsidRPr="002C30ED" w:rsidRDefault="00FA63B0" w:rsidP="002C30ED">
            <w:pPr>
              <w:jc w:val="both"/>
              <w:rPr>
                <w:rFonts w:ascii="Arial" w:hAnsi="Arial"/>
              </w:rPr>
            </w:pPr>
            <w:r w:rsidRPr="002C30ED">
              <w:rPr>
                <w:rFonts w:ascii="Arial" w:hAnsi="Arial"/>
              </w:rPr>
              <w:t>0.96</w:t>
            </w:r>
          </w:p>
        </w:tc>
        <w:tc>
          <w:tcPr>
            <w:tcW w:w="0" w:type="auto"/>
            <w:tcBorders>
              <w:bottom w:val="single" w:sz="4" w:space="0" w:color="auto"/>
            </w:tcBorders>
            <w:tcMar>
              <w:top w:w="0" w:type="dxa"/>
              <w:left w:w="108" w:type="dxa"/>
              <w:bottom w:w="0" w:type="dxa"/>
              <w:right w:w="108" w:type="dxa"/>
            </w:tcMar>
            <w:hideMark/>
          </w:tcPr>
          <w:p w14:paraId="5E55F36E" w14:textId="77777777" w:rsidR="00FA63B0" w:rsidRPr="002C30ED" w:rsidRDefault="00FA63B0" w:rsidP="002C30ED">
            <w:pPr>
              <w:jc w:val="both"/>
              <w:rPr>
                <w:rFonts w:ascii="Arial" w:hAnsi="Arial"/>
              </w:rPr>
            </w:pPr>
            <w:r w:rsidRPr="002C30ED">
              <w:rPr>
                <w:rFonts w:ascii="Arial" w:hAnsi="Arial"/>
              </w:rPr>
              <w:t>1.82 × 103</w:t>
            </w:r>
          </w:p>
        </w:tc>
        <w:tc>
          <w:tcPr>
            <w:tcW w:w="0" w:type="auto"/>
            <w:tcBorders>
              <w:bottom w:val="single" w:sz="4" w:space="0" w:color="auto"/>
            </w:tcBorders>
            <w:tcMar>
              <w:top w:w="0" w:type="dxa"/>
              <w:left w:w="108" w:type="dxa"/>
              <w:bottom w:w="0" w:type="dxa"/>
              <w:right w:w="108" w:type="dxa"/>
            </w:tcMar>
            <w:hideMark/>
          </w:tcPr>
          <w:p w14:paraId="2268A618" w14:textId="77777777" w:rsidR="00FA63B0" w:rsidRPr="002C30ED" w:rsidRDefault="00FA63B0" w:rsidP="002C30ED">
            <w:pPr>
              <w:jc w:val="both"/>
              <w:rPr>
                <w:rFonts w:ascii="Arial" w:hAnsi="Arial"/>
              </w:rPr>
            </w:pPr>
            <w:r w:rsidRPr="002C30ED">
              <w:rPr>
                <w:rFonts w:ascii="Arial" w:hAnsi="Arial"/>
              </w:rPr>
              <w:t>0.83</w:t>
            </w:r>
          </w:p>
        </w:tc>
        <w:tc>
          <w:tcPr>
            <w:tcW w:w="0" w:type="auto"/>
            <w:tcBorders>
              <w:bottom w:val="single" w:sz="4" w:space="0" w:color="auto"/>
            </w:tcBorders>
            <w:tcMar>
              <w:top w:w="0" w:type="dxa"/>
              <w:left w:w="108" w:type="dxa"/>
              <w:bottom w:w="0" w:type="dxa"/>
              <w:right w:w="108" w:type="dxa"/>
            </w:tcMar>
            <w:hideMark/>
          </w:tcPr>
          <w:p w14:paraId="23B8A61C" w14:textId="77777777" w:rsidR="00FA63B0" w:rsidRPr="002C30ED" w:rsidRDefault="00FA63B0" w:rsidP="002C30ED">
            <w:pPr>
              <w:jc w:val="both"/>
              <w:rPr>
                <w:rFonts w:ascii="Arial" w:hAnsi="Arial"/>
              </w:rPr>
            </w:pPr>
            <w:r w:rsidRPr="002C30ED">
              <w:rPr>
                <w:rFonts w:ascii="Arial" w:hAnsi="Arial"/>
              </w:rPr>
              <w:t>1.44</w:t>
            </w:r>
          </w:p>
        </w:tc>
        <w:tc>
          <w:tcPr>
            <w:tcW w:w="0" w:type="auto"/>
            <w:tcBorders>
              <w:bottom w:val="single" w:sz="4" w:space="0" w:color="auto"/>
            </w:tcBorders>
            <w:tcMar>
              <w:top w:w="0" w:type="dxa"/>
              <w:left w:w="108" w:type="dxa"/>
              <w:bottom w:w="0" w:type="dxa"/>
              <w:right w:w="108" w:type="dxa"/>
            </w:tcMar>
            <w:hideMark/>
          </w:tcPr>
          <w:p w14:paraId="7DC94D45" w14:textId="77777777" w:rsidR="00FA63B0" w:rsidRPr="002C30ED" w:rsidRDefault="00FA63B0" w:rsidP="002C30ED">
            <w:pPr>
              <w:jc w:val="both"/>
              <w:rPr>
                <w:rFonts w:ascii="Arial" w:hAnsi="Arial"/>
              </w:rPr>
            </w:pPr>
            <w:r w:rsidRPr="002C30ED">
              <w:rPr>
                <w:rFonts w:ascii="Arial" w:hAnsi="Arial"/>
              </w:rPr>
              <w:t>2.88</w:t>
            </w:r>
          </w:p>
        </w:tc>
        <w:tc>
          <w:tcPr>
            <w:tcW w:w="0" w:type="auto"/>
            <w:tcBorders>
              <w:bottom w:val="single" w:sz="4" w:space="0" w:color="auto"/>
            </w:tcBorders>
            <w:tcMar>
              <w:top w:w="0" w:type="dxa"/>
              <w:left w:w="108" w:type="dxa"/>
              <w:bottom w:w="0" w:type="dxa"/>
              <w:right w:w="108" w:type="dxa"/>
            </w:tcMar>
            <w:hideMark/>
          </w:tcPr>
          <w:p w14:paraId="2EA64CC0" w14:textId="77777777" w:rsidR="00FA63B0" w:rsidRPr="002C30ED" w:rsidRDefault="00FA63B0" w:rsidP="002C30ED">
            <w:pPr>
              <w:jc w:val="both"/>
              <w:rPr>
                <w:rFonts w:ascii="Arial" w:hAnsi="Arial"/>
              </w:rPr>
            </w:pPr>
            <w:r w:rsidRPr="002C30ED">
              <w:rPr>
                <w:rFonts w:ascii="Arial" w:hAnsi="Arial"/>
              </w:rPr>
              <w:t>13.0</w:t>
            </w:r>
          </w:p>
        </w:tc>
        <w:tc>
          <w:tcPr>
            <w:tcW w:w="0" w:type="auto"/>
            <w:tcBorders>
              <w:bottom w:val="single" w:sz="4" w:space="0" w:color="auto"/>
            </w:tcBorders>
            <w:tcMar>
              <w:top w:w="0" w:type="dxa"/>
              <w:left w:w="108" w:type="dxa"/>
              <w:bottom w:w="0" w:type="dxa"/>
              <w:right w:w="108" w:type="dxa"/>
            </w:tcMar>
            <w:hideMark/>
          </w:tcPr>
          <w:p w14:paraId="3CDB1ED1" w14:textId="77777777" w:rsidR="00FA63B0" w:rsidRPr="002C30ED" w:rsidRDefault="00FA63B0" w:rsidP="002C30ED">
            <w:pPr>
              <w:jc w:val="both"/>
              <w:rPr>
                <w:rFonts w:ascii="Arial" w:hAnsi="Arial"/>
              </w:rPr>
            </w:pPr>
            <w:r w:rsidRPr="002C30ED">
              <w:rPr>
                <w:rFonts w:ascii="Arial" w:hAnsi="Arial"/>
              </w:rPr>
              <w:t>1.21</w:t>
            </w:r>
          </w:p>
        </w:tc>
      </w:tr>
    </w:tbl>
    <w:p w14:paraId="77FEFB6A" w14:textId="77777777" w:rsidR="00FA63B0" w:rsidRPr="00FA63B0" w:rsidRDefault="00FA63B0" w:rsidP="00FA63B0">
      <w:pPr>
        <w:rPr>
          <w:rFonts w:ascii="Times New Roman" w:hAnsi="Times New Roman"/>
          <w:sz w:val="24"/>
          <w:szCs w:val="24"/>
        </w:rPr>
      </w:pPr>
    </w:p>
    <w:p w14:paraId="0C000FB1" w14:textId="77777777" w:rsidR="002C30ED" w:rsidRPr="002C30ED" w:rsidRDefault="002C30ED" w:rsidP="002C30ED">
      <w:pPr>
        <w:pStyle w:val="NormalWeb"/>
        <w:spacing w:before="280" w:after="280"/>
        <w:jc w:val="both"/>
        <w:rPr>
          <w:rFonts w:ascii="Arial" w:hAnsi="Arial" w:cs="Arial"/>
          <w:sz w:val="20"/>
          <w:szCs w:val="20"/>
        </w:rPr>
      </w:pPr>
      <w:r w:rsidRPr="002C30ED">
        <w:rPr>
          <w:rFonts w:ascii="Arial" w:hAnsi="Arial" w:cs="Arial"/>
          <w:sz w:val="20"/>
          <w:szCs w:val="20"/>
        </w:rPr>
        <w:t xml:space="preserve">The half-lives of some anticancer agents in water range from 15 to 180 days (Table 1). , BLE, DAU, DOX, VINC, VINO, ETO, PAC, DOC, ERL, IRI, TMX, and ANA appear to have long half-lives in water, which makes them more harmful pollutants (D. Li et al., 2021c; </w:t>
      </w:r>
      <w:proofErr w:type="spellStart"/>
      <w:r w:rsidRPr="002C30ED">
        <w:rPr>
          <w:rFonts w:ascii="Arial" w:hAnsi="Arial" w:cs="Arial"/>
          <w:sz w:val="20"/>
          <w:szCs w:val="20"/>
        </w:rPr>
        <w:t>Zitvogel</w:t>
      </w:r>
      <w:proofErr w:type="spellEnd"/>
      <w:r w:rsidRPr="002C30ED">
        <w:rPr>
          <w:rFonts w:ascii="Arial" w:hAnsi="Arial" w:cs="Arial"/>
          <w:sz w:val="20"/>
          <w:szCs w:val="20"/>
        </w:rPr>
        <w:t xml:space="preserve"> et al., 2008b). Meanwhile, the degradation rates of 5-FU and CAP are higher and can persist in water for only 15 days. (Table 1). We expect the half-life of IF, AZA, and LET in water to be 37.5 days. After being exposed to water, UV-C light, and simulated sunlight for 90 minutes in a dark lake at 20°C, CP was found to resist for 80 days (D. Li et al., 2021c; </w:t>
      </w:r>
      <w:proofErr w:type="spellStart"/>
      <w:r w:rsidRPr="002C30ED">
        <w:rPr>
          <w:rFonts w:ascii="Arial" w:hAnsi="Arial" w:cs="Arial"/>
          <w:sz w:val="20"/>
          <w:szCs w:val="20"/>
        </w:rPr>
        <w:t>Zitvogel</w:t>
      </w:r>
      <w:proofErr w:type="spellEnd"/>
      <w:r w:rsidRPr="002C30ED">
        <w:rPr>
          <w:rFonts w:ascii="Arial" w:hAnsi="Arial" w:cs="Arial"/>
          <w:sz w:val="20"/>
          <w:szCs w:val="20"/>
        </w:rPr>
        <w:t xml:space="preserve"> et al., 2008b). Despite a high pH (8.08), 251 mmol/L alkalinity, 1.6 mg/L dissolved organic carbon, 0.7 mg N/L nitrate, 2.0 µg N/L nitrite, and less than 0.1 mg/L, the water treatment was not found to be effective to prevent surface water contamination with CP (D. Li et al., 2021c; </w:t>
      </w:r>
      <w:proofErr w:type="spellStart"/>
      <w:r w:rsidRPr="002C30ED">
        <w:rPr>
          <w:rFonts w:ascii="Arial" w:hAnsi="Arial" w:cs="Arial"/>
          <w:sz w:val="20"/>
          <w:szCs w:val="20"/>
        </w:rPr>
        <w:t>Zitvogel</w:t>
      </w:r>
      <w:proofErr w:type="spellEnd"/>
      <w:r w:rsidRPr="002C30ED">
        <w:rPr>
          <w:rFonts w:ascii="Arial" w:hAnsi="Arial" w:cs="Arial"/>
          <w:sz w:val="20"/>
          <w:szCs w:val="20"/>
        </w:rPr>
        <w:t xml:space="preserve"> et al., 2008b).  </w:t>
      </w:r>
    </w:p>
    <w:p w14:paraId="7966A847" w14:textId="77777777" w:rsidR="002C30ED" w:rsidRPr="002C30ED" w:rsidRDefault="002C30ED" w:rsidP="002C30ED">
      <w:pPr>
        <w:pStyle w:val="NormalWeb"/>
        <w:spacing w:before="280" w:after="280"/>
        <w:jc w:val="both"/>
        <w:rPr>
          <w:rFonts w:ascii="Arial" w:hAnsi="Arial" w:cs="Arial"/>
          <w:sz w:val="20"/>
          <w:szCs w:val="20"/>
        </w:rPr>
      </w:pPr>
      <w:r w:rsidRPr="002C30ED">
        <w:rPr>
          <w:rFonts w:ascii="Arial" w:hAnsi="Arial" w:cs="Arial"/>
          <w:sz w:val="20"/>
          <w:szCs w:val="20"/>
        </w:rPr>
        <w:lastRenderedPageBreak/>
        <w:t xml:space="preserve">Due to insufficient information regarding the persistence, bioaccumulation rates, and impacts of most anticancer agents on the food chain, estimating the consequences of their presence in the environment, particularly in aquatic ecosystems, would be challenging. However, the estimated log </w:t>
      </w:r>
      <w:proofErr w:type="spellStart"/>
      <w:r w:rsidRPr="002C30ED">
        <w:rPr>
          <w:rFonts w:ascii="Arial" w:hAnsi="Arial" w:cs="Arial"/>
          <w:sz w:val="20"/>
          <w:szCs w:val="20"/>
        </w:rPr>
        <w:t>Kow</w:t>
      </w:r>
      <w:proofErr w:type="spellEnd"/>
      <w:r w:rsidRPr="002C30ED">
        <w:rPr>
          <w:rFonts w:ascii="Arial" w:hAnsi="Arial" w:cs="Arial"/>
          <w:sz w:val="20"/>
          <w:szCs w:val="20"/>
        </w:rPr>
        <w:t xml:space="preserve"> levels for TMX, BLT, ANA, LET, and MEG indicate their expected bioaccumulation, especially in aquatic animals. Researchers have only explored the half-lives of a few anticancer agents, such as ANA, LET, and TMX, in lab settings. Adult Cunner fish received oral administration of 750 mg/kg of ANA and LET for 16 days, resulting in plasma concentrations of 0.066 mg/g and 0.54 mg/g, respectively (D. Li et al., 2021c; </w:t>
      </w:r>
      <w:proofErr w:type="spellStart"/>
      <w:r w:rsidRPr="002C30ED">
        <w:rPr>
          <w:rFonts w:ascii="Arial" w:hAnsi="Arial" w:cs="Arial"/>
          <w:sz w:val="20"/>
          <w:szCs w:val="20"/>
        </w:rPr>
        <w:t>Zitvogel</w:t>
      </w:r>
      <w:proofErr w:type="spellEnd"/>
      <w:r w:rsidRPr="002C30ED">
        <w:rPr>
          <w:rFonts w:ascii="Arial" w:hAnsi="Arial" w:cs="Arial"/>
          <w:sz w:val="20"/>
          <w:szCs w:val="20"/>
        </w:rPr>
        <w:t xml:space="preserve"> et al., 2008b). Exposing Rerio fish to 10.0 µg/L of TMX for 21 days, the bioaccumulation of the agent in the D's muscle, liver, and gonad was found to be 85,600 times higher than in the water; this indicates a high potency of its bioaccumulation. Therefore, further research is required to address the bioaccumulation and fate of anticancer agents in the ecosystem, particularly in aquatic animals and food chains (D. Li et al., 2021c; </w:t>
      </w:r>
      <w:proofErr w:type="spellStart"/>
      <w:r w:rsidRPr="002C30ED">
        <w:rPr>
          <w:rFonts w:ascii="Arial" w:hAnsi="Arial" w:cs="Arial"/>
          <w:sz w:val="20"/>
          <w:szCs w:val="20"/>
        </w:rPr>
        <w:t>Zitvogel</w:t>
      </w:r>
      <w:proofErr w:type="spellEnd"/>
      <w:r w:rsidRPr="002C30ED">
        <w:rPr>
          <w:rFonts w:ascii="Arial" w:hAnsi="Arial" w:cs="Arial"/>
          <w:sz w:val="20"/>
          <w:szCs w:val="20"/>
        </w:rPr>
        <w:t xml:space="preserve"> et al., 2008b).</w:t>
      </w:r>
    </w:p>
    <w:p w14:paraId="7252A7B9" w14:textId="77777777" w:rsidR="002C30ED" w:rsidRPr="002C30ED" w:rsidRDefault="002C30ED" w:rsidP="002C30ED">
      <w:pPr>
        <w:pStyle w:val="NormalWeb"/>
        <w:spacing w:before="280" w:beforeAutospacing="0" w:after="280" w:afterAutospacing="0"/>
        <w:jc w:val="both"/>
        <w:rPr>
          <w:rFonts w:ascii="Arial" w:hAnsi="Arial" w:cs="Arial"/>
          <w:b/>
          <w:caps/>
          <w:sz w:val="22"/>
          <w:szCs w:val="20"/>
        </w:rPr>
      </w:pPr>
      <w:r w:rsidRPr="002C30ED">
        <w:rPr>
          <w:rFonts w:ascii="Arial" w:hAnsi="Arial" w:cs="Arial"/>
          <w:b/>
          <w:caps/>
          <w:sz w:val="22"/>
          <w:szCs w:val="20"/>
        </w:rPr>
        <w:t>4. Discussion</w:t>
      </w:r>
    </w:p>
    <w:p w14:paraId="67F94ED4" w14:textId="77777777" w:rsidR="002C30ED" w:rsidRPr="002C30ED" w:rsidRDefault="002C30ED" w:rsidP="002C30ED">
      <w:pPr>
        <w:pStyle w:val="NormalWeb"/>
        <w:spacing w:before="280" w:after="280"/>
        <w:jc w:val="both"/>
        <w:rPr>
          <w:rFonts w:ascii="Arial" w:hAnsi="Arial" w:cs="Arial"/>
          <w:sz w:val="20"/>
          <w:szCs w:val="20"/>
        </w:rPr>
      </w:pPr>
      <w:r w:rsidRPr="002C30ED">
        <w:rPr>
          <w:rFonts w:ascii="Arial" w:hAnsi="Arial" w:cs="Arial"/>
          <w:sz w:val="20"/>
          <w:szCs w:val="20"/>
        </w:rPr>
        <w:t>In our study, we found that 17 out of 33 anticancer drugs are polluting water systems and harming aquatic organisms. The toxicity of these drugs was assessed using Daphnia magna, a commonly used indicator species in ecotoxicological studies (Table 2). The results revealed that some anticancer drugs, such as cisplatin (CDDP), tamoxifen (TAM), and doxorubicin (DOX), caused severe toxic effects even at low concentrations. The most poisonous drugs were platinum complexes, followed by endocrine therapy agents, antibiotics, antimetabolites, and alkylating agents. This hierarchy of toxicity underscores the varying mechanisms of action and environmental persistence of these compounds.</w:t>
      </w:r>
    </w:p>
    <w:p w14:paraId="62520723" w14:textId="77777777" w:rsidR="002C30ED" w:rsidRPr="002C30ED" w:rsidRDefault="002C30ED" w:rsidP="002C30ED">
      <w:pPr>
        <w:pStyle w:val="NormalWeb"/>
        <w:spacing w:before="280" w:after="280"/>
        <w:jc w:val="both"/>
        <w:rPr>
          <w:rFonts w:ascii="Arial" w:hAnsi="Arial" w:cs="Arial"/>
          <w:sz w:val="20"/>
          <w:szCs w:val="20"/>
        </w:rPr>
      </w:pPr>
      <w:r w:rsidRPr="002C30ED">
        <w:rPr>
          <w:rFonts w:ascii="Arial" w:hAnsi="Arial" w:cs="Arial"/>
          <w:sz w:val="20"/>
          <w:szCs w:val="20"/>
        </w:rPr>
        <w:t>The presence of anticancer drugs in aquatic environments is particularly concerning due to their potential for bioaccumulation and biomagnification. Similar to the effects of heavy metals on antioxidants and physiological parameters in humans (Ajeel et al., 2021), the bioaccumulation of anticancer drugs in aquatic organisms could lead to oxidative stress, disruption of physiological functions, and long-term ecological consequences. For example, drugs like tamoxifen (TMX) and letrozole (LET) have been shown to accumulate in fish tissues, raising concerns about their potential to disrupt aquatic food chains and biodiversity. The persistence of these drugs in water, soil, and sediments further exacerbates their environmental impact, as they can remain active for extended periods, exerting toxic effects on non-target organisms.</w:t>
      </w:r>
    </w:p>
    <w:p w14:paraId="7FE8A7AC" w14:textId="77777777" w:rsidR="002C30ED" w:rsidRPr="002C30ED" w:rsidRDefault="002C30ED" w:rsidP="002C30ED">
      <w:pPr>
        <w:pStyle w:val="NormalWeb"/>
        <w:spacing w:before="280" w:after="280"/>
        <w:jc w:val="both"/>
        <w:rPr>
          <w:rFonts w:ascii="Arial" w:hAnsi="Arial" w:cs="Arial"/>
          <w:sz w:val="20"/>
          <w:szCs w:val="20"/>
        </w:rPr>
      </w:pPr>
      <w:r w:rsidRPr="002C30ED">
        <w:rPr>
          <w:rFonts w:ascii="Arial" w:hAnsi="Arial" w:cs="Arial"/>
          <w:sz w:val="20"/>
          <w:szCs w:val="20"/>
        </w:rPr>
        <w:t xml:space="preserve">The findings of this study also highlight the limitations of current wastewater treatment methods in removing anticancer drugs. While treatment partially removes some drugs, others, like cyclophosphamide (CP) and </w:t>
      </w:r>
      <w:proofErr w:type="spellStart"/>
      <w:r w:rsidRPr="002C30ED">
        <w:rPr>
          <w:rFonts w:ascii="Arial" w:hAnsi="Arial" w:cs="Arial"/>
          <w:sz w:val="20"/>
          <w:szCs w:val="20"/>
        </w:rPr>
        <w:t>ifosfamide</w:t>
      </w:r>
      <w:proofErr w:type="spellEnd"/>
      <w:r w:rsidRPr="002C30ED">
        <w:rPr>
          <w:rFonts w:ascii="Arial" w:hAnsi="Arial" w:cs="Arial"/>
          <w:sz w:val="20"/>
          <w:szCs w:val="20"/>
        </w:rPr>
        <w:t xml:space="preserve"> (IF) continue to persist in effluents and surface waters. This highlights the need for advanced treatment technologies to mitigate the environmental impact of these persistent pollutants. Emerging technologies, such as nanotechnology and biosensors, offer promising avenues for detecting and removing anticancer drugs from wastewater (Majeed &amp; </w:t>
      </w:r>
      <w:proofErr w:type="spellStart"/>
      <w:r w:rsidRPr="002C30ED">
        <w:rPr>
          <w:rFonts w:ascii="Arial" w:hAnsi="Arial" w:cs="Arial"/>
          <w:sz w:val="20"/>
          <w:szCs w:val="20"/>
        </w:rPr>
        <w:t>Qaddoori</w:t>
      </w:r>
      <w:proofErr w:type="spellEnd"/>
      <w:r w:rsidRPr="002C30ED">
        <w:rPr>
          <w:rFonts w:ascii="Arial" w:hAnsi="Arial" w:cs="Arial"/>
          <w:sz w:val="20"/>
          <w:szCs w:val="20"/>
        </w:rPr>
        <w:t>, 2022). For instance, superparamagnetic iron oxide nanoclusters are utilized for the targeted imaging of liver tumors, which illustrates the potential of nanotechnology for precise and efficient applications in medical diagnostics (Ahmed Mahmood et al., 2019; Wei et al., 2017b). Similar approaches could be adapted for environmental monitoring, where nanotechnology-based solutions could be used to detect and remove anticancer drugs from wastewater with high specificity and efficacy.</w:t>
      </w:r>
    </w:p>
    <w:p w14:paraId="1B756926" w14:textId="77777777" w:rsidR="002C30ED" w:rsidRPr="002C30ED" w:rsidRDefault="002C30ED" w:rsidP="002C30ED">
      <w:pPr>
        <w:pStyle w:val="NormalWeb"/>
        <w:spacing w:before="280" w:after="280"/>
        <w:jc w:val="both"/>
        <w:rPr>
          <w:rFonts w:ascii="Arial" w:hAnsi="Arial" w:cs="Arial"/>
          <w:sz w:val="20"/>
          <w:szCs w:val="20"/>
        </w:rPr>
      </w:pPr>
      <w:r w:rsidRPr="002C30ED">
        <w:rPr>
          <w:rFonts w:ascii="Arial" w:hAnsi="Arial" w:cs="Arial"/>
          <w:sz w:val="20"/>
          <w:szCs w:val="20"/>
        </w:rPr>
        <w:t xml:space="preserve">Moreover, the variability in biological responses to anticancer drugs among different organisms and vertebrate groups suggests that the ecological risks of these compounds may </w:t>
      </w:r>
      <w:r w:rsidRPr="002C30ED">
        <w:rPr>
          <w:rFonts w:ascii="Arial" w:hAnsi="Arial" w:cs="Arial"/>
          <w:sz w:val="20"/>
          <w:szCs w:val="20"/>
        </w:rPr>
        <w:lastRenderedPageBreak/>
        <w:t>be underestimated. For instance, crustaceans like Daphnia magna are highly sensitive to low concentrations of 5-fluorouracil (5-FU), cisplatin (CDDP), and imatinib mesylate (IM), indicating that even trace amounts of these drugs could have significant ecological consequences. This variability in sensitivity indicates that there must be further research to evaluate the effects of exposure to these drugs at environmentally relevant concentrations.</w:t>
      </w:r>
    </w:p>
    <w:p w14:paraId="024F8D6E" w14:textId="77777777" w:rsidR="002C30ED" w:rsidRPr="002C30ED" w:rsidRDefault="002C30ED" w:rsidP="002C30ED">
      <w:pPr>
        <w:pStyle w:val="NormalWeb"/>
        <w:spacing w:before="280" w:after="280"/>
        <w:jc w:val="both"/>
        <w:rPr>
          <w:rFonts w:ascii="Arial" w:hAnsi="Arial" w:cs="Arial"/>
          <w:sz w:val="20"/>
          <w:szCs w:val="20"/>
        </w:rPr>
      </w:pPr>
      <w:r w:rsidRPr="002C30ED">
        <w:rPr>
          <w:rFonts w:ascii="Arial" w:hAnsi="Arial" w:cs="Arial"/>
          <w:sz w:val="20"/>
          <w:szCs w:val="20"/>
        </w:rPr>
        <w:t>The environmental persistence and toxicity of anticancer drugs pose significant risks to aquatic ecosystems. While the immediate toxic effects of these compounds may not be evident, their long-term ecological impacts, including bioaccumulation and potential disruptions to food chains, warrant serious attention. Advanced treatment technologies, such as nanotechnology and biosensors, could play a crucial role in addressing this issue by improving the detection and removal of these persistent pollutants from wastewater. Nanotechnology can be applied for targeted medical imaging (Wei et al., 2017b), and similar principles could be extended to environmental applications, such as the selective removal of anticancer drugs from wastewater. Additionally, regulatory frameworks and monitoring programs need to be strengthened to ensure that the production, use, and disposal of anticancer drugs are managed in an environmentally sustainable manner.</w:t>
      </w:r>
    </w:p>
    <w:p w14:paraId="40F17866" w14:textId="77777777" w:rsidR="002C30ED" w:rsidRPr="002C30ED" w:rsidRDefault="002C30ED" w:rsidP="002327F0">
      <w:pPr>
        <w:pStyle w:val="NormalWeb"/>
        <w:spacing w:before="280" w:beforeAutospacing="0" w:after="280" w:afterAutospacing="0"/>
        <w:jc w:val="both"/>
        <w:rPr>
          <w:rFonts w:ascii="Arial" w:hAnsi="Arial" w:cs="Arial"/>
          <w:b/>
          <w:caps/>
          <w:sz w:val="22"/>
          <w:szCs w:val="20"/>
        </w:rPr>
      </w:pPr>
      <w:r>
        <w:rPr>
          <w:color w:val="000000"/>
          <w:sz w:val="20"/>
          <w:szCs w:val="20"/>
        </w:rPr>
        <w:t> </w:t>
      </w:r>
      <w:r w:rsidRPr="002C30ED">
        <w:rPr>
          <w:rFonts w:ascii="Arial" w:hAnsi="Arial" w:cs="Arial"/>
          <w:b/>
          <w:caps/>
          <w:sz w:val="22"/>
          <w:szCs w:val="20"/>
        </w:rPr>
        <w:t>5. Conclusion</w:t>
      </w:r>
    </w:p>
    <w:p w14:paraId="0AA4A6D2" w14:textId="77777777" w:rsidR="002C30ED" w:rsidRPr="002C30ED" w:rsidRDefault="002C30ED" w:rsidP="002C30ED">
      <w:pPr>
        <w:pStyle w:val="NormalWeb"/>
        <w:spacing w:before="280" w:after="280"/>
        <w:jc w:val="both"/>
        <w:rPr>
          <w:rFonts w:ascii="Arial" w:hAnsi="Arial" w:cs="Arial"/>
          <w:sz w:val="20"/>
          <w:szCs w:val="20"/>
        </w:rPr>
      </w:pPr>
      <w:r w:rsidRPr="002C30ED">
        <w:rPr>
          <w:rFonts w:ascii="Arial" w:hAnsi="Arial" w:cs="Arial"/>
          <w:sz w:val="20"/>
          <w:szCs w:val="20"/>
        </w:rPr>
        <w:t xml:space="preserve">This study found that cancer drugs can enter the water system in cities. They can enter rivers, sediment, groundwater, and drinking water from hospitals and wastewater treatment plants. Although anticancer drugs break down at different rates, they still stay in the environment for a long time in soil, water, and sediments. Combined, the current research suggests that the toxic effects of </w:t>
      </w:r>
      <w:proofErr w:type="spellStart"/>
      <w:r w:rsidRPr="002C30ED">
        <w:rPr>
          <w:rFonts w:ascii="Arial" w:hAnsi="Arial" w:cs="Arial"/>
          <w:sz w:val="20"/>
          <w:szCs w:val="20"/>
        </w:rPr>
        <w:t>cytostatics</w:t>
      </w:r>
      <w:proofErr w:type="spellEnd"/>
      <w:r w:rsidRPr="002C30ED">
        <w:rPr>
          <w:rFonts w:ascii="Arial" w:hAnsi="Arial" w:cs="Arial"/>
          <w:sz w:val="20"/>
          <w:szCs w:val="20"/>
        </w:rPr>
        <w:t xml:space="preserve"> in water are unlikely to occur immediately or within a short period. However, they could happen if the chemicals are not adequately removed from hospital wastewater. Moreover, they show that some types of animals (like crustaceans) are susceptible to harmful effects when exposed to low levels of 5FU, CDD,P and IM traits or characteristics from one generation to the next.</w:t>
      </w:r>
    </w:p>
    <w:p w14:paraId="1B3BB2BB" w14:textId="77777777" w:rsidR="005C784C" w:rsidRDefault="005C784C" w:rsidP="00441B6F">
      <w:pPr>
        <w:pStyle w:val="ReferHead"/>
        <w:spacing w:after="0"/>
        <w:jc w:val="both"/>
        <w:rPr>
          <w:rFonts w:ascii="Arial" w:hAnsi="Arial" w:cs="Arial"/>
          <w:b w:val="0"/>
          <w:caps w:val="0"/>
          <w:sz w:val="20"/>
        </w:rPr>
      </w:pPr>
    </w:p>
    <w:p w14:paraId="5C448161" w14:textId="77777777" w:rsidR="005C784C" w:rsidRDefault="005C784C" w:rsidP="002327F0">
      <w:pPr>
        <w:pStyle w:val="ReferHead"/>
        <w:spacing w:after="0"/>
        <w:jc w:val="both"/>
        <w:rPr>
          <w:rFonts w:ascii="Arial" w:hAnsi="Arial" w:cs="Arial"/>
          <w:bCs/>
        </w:rPr>
      </w:pPr>
      <w:r>
        <w:rPr>
          <w:rFonts w:ascii="Arial" w:hAnsi="Arial" w:cs="Arial"/>
          <w:bCs/>
        </w:rPr>
        <w:t xml:space="preserve">Ethical approval </w:t>
      </w:r>
    </w:p>
    <w:p w14:paraId="4B245116" w14:textId="77777777" w:rsidR="005C784C" w:rsidRPr="002B685A" w:rsidRDefault="005C784C" w:rsidP="00441B6F">
      <w:pPr>
        <w:pStyle w:val="ReferHead"/>
        <w:spacing w:after="0"/>
        <w:jc w:val="both"/>
        <w:rPr>
          <w:rFonts w:ascii="Arial" w:hAnsi="Arial" w:cs="Arial"/>
          <w:bCs/>
        </w:rPr>
      </w:pPr>
    </w:p>
    <w:p w14:paraId="4B479395" w14:textId="77777777" w:rsidR="00860000" w:rsidRDefault="002327F0" w:rsidP="00441B6F">
      <w:pPr>
        <w:pStyle w:val="ReferHead"/>
        <w:spacing w:after="0"/>
        <w:jc w:val="both"/>
        <w:rPr>
          <w:rFonts w:ascii="Arial" w:hAnsi="Arial" w:cs="Arial"/>
          <w:b w:val="0"/>
          <w:caps w:val="0"/>
          <w:sz w:val="20"/>
        </w:rPr>
      </w:pPr>
      <w:r w:rsidRPr="002327F0">
        <w:rPr>
          <w:rFonts w:ascii="Arial" w:hAnsi="Arial" w:cs="Arial"/>
          <w:b w:val="0"/>
          <w:caps w:val="0"/>
          <w:sz w:val="20"/>
        </w:rPr>
        <w:t>This study did not include human participants or animal subjects, thus formal ethical approval was unnecessary. All procedures were executed in compliance with institutional and international standards for environmental research.</w:t>
      </w:r>
    </w:p>
    <w:p w14:paraId="13F585C3" w14:textId="77777777" w:rsidR="002327F0" w:rsidRDefault="002327F0" w:rsidP="00441B6F">
      <w:pPr>
        <w:pStyle w:val="ReferHead"/>
        <w:spacing w:after="0"/>
        <w:jc w:val="both"/>
        <w:rPr>
          <w:rFonts w:ascii="Arial" w:hAnsi="Arial" w:cs="Arial"/>
        </w:rPr>
      </w:pPr>
    </w:p>
    <w:p w14:paraId="4D193A0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BD3A3C9" w14:textId="77777777" w:rsidR="002327F0" w:rsidRDefault="002327F0" w:rsidP="00441B6F">
      <w:pPr>
        <w:pStyle w:val="ReferHead"/>
        <w:spacing w:after="0"/>
        <w:jc w:val="both"/>
        <w:rPr>
          <w:rFonts w:ascii="Arial" w:hAnsi="Arial" w:cs="Arial"/>
        </w:rPr>
      </w:pPr>
    </w:p>
    <w:p w14:paraId="613F4B48" w14:textId="77777777" w:rsidR="00790ADA" w:rsidRPr="00FB3A86" w:rsidRDefault="00790ADA" w:rsidP="00441B6F">
      <w:pPr>
        <w:pStyle w:val="ReferHead"/>
        <w:spacing w:after="0"/>
        <w:jc w:val="both"/>
        <w:rPr>
          <w:rFonts w:ascii="Arial" w:hAnsi="Arial" w:cs="Arial"/>
        </w:rPr>
      </w:pPr>
    </w:p>
    <w:p w14:paraId="5437ED42" w14:textId="77777777" w:rsidR="00E72D3C" w:rsidRPr="00E72D3C" w:rsidRDefault="00E72D3C" w:rsidP="00E72D3C">
      <w:pPr>
        <w:pStyle w:val="ListParagraph"/>
        <w:numPr>
          <w:ilvl w:val="0"/>
          <w:numId w:val="31"/>
        </w:numPr>
        <w:spacing w:after="160" w:line="259" w:lineRule="auto"/>
        <w:jc w:val="both"/>
        <w:rPr>
          <w:rFonts w:asciiTheme="minorBidi" w:eastAsia="Calibri" w:hAnsiTheme="minorBidi" w:cstheme="minorBidi"/>
          <w:color w:val="222222"/>
          <w:shd w:val="clear" w:color="auto" w:fill="FFFFFF"/>
        </w:rPr>
      </w:pPr>
      <w:r w:rsidRPr="00E72D3C">
        <w:rPr>
          <w:rFonts w:asciiTheme="minorBidi" w:eastAsia="Calibri" w:hAnsiTheme="minorBidi" w:cstheme="minorBidi"/>
          <w:color w:val="222222"/>
          <w:shd w:val="clear" w:color="auto" w:fill="FFFFFF"/>
        </w:rPr>
        <w:t xml:space="preserve">Abdul, N. A., Saeed, M. W. M., Salih, A. M., Talb, S. S., Ali, R. A., </w:t>
      </w:r>
      <w:proofErr w:type="spellStart"/>
      <w:r w:rsidRPr="00E72D3C">
        <w:rPr>
          <w:rFonts w:asciiTheme="minorBidi" w:eastAsia="Calibri" w:hAnsiTheme="minorBidi" w:cstheme="minorBidi"/>
          <w:color w:val="222222"/>
          <w:shd w:val="clear" w:color="auto" w:fill="FFFFFF"/>
        </w:rPr>
        <w:t>Sdiq</w:t>
      </w:r>
      <w:proofErr w:type="spellEnd"/>
      <w:r w:rsidRPr="00E72D3C">
        <w:rPr>
          <w:rFonts w:asciiTheme="minorBidi" w:eastAsia="Calibri" w:hAnsiTheme="minorBidi" w:cstheme="minorBidi"/>
          <w:color w:val="222222"/>
          <w:shd w:val="clear" w:color="auto" w:fill="FFFFFF"/>
        </w:rPr>
        <w:t>, S. J. M., &amp; Abdulrahman, A. B. M. (2025). Enhancing Dough Quality: The Effects of Transglutaminase and Glucose Oxidase on Stability and Mixing Resistance. I</w:t>
      </w:r>
      <w:r w:rsidRPr="00E72D3C">
        <w:rPr>
          <w:rFonts w:asciiTheme="minorBidi" w:eastAsia="Calibri" w:hAnsiTheme="minorBidi" w:cstheme="minorBidi"/>
          <w:i/>
          <w:iCs/>
          <w:color w:val="222222"/>
          <w:shd w:val="clear" w:color="auto" w:fill="FFFFFF"/>
        </w:rPr>
        <w:t>nternational Journal of Scientific Research in Modern Science and Technology</w:t>
      </w:r>
      <w:r w:rsidRPr="00E72D3C">
        <w:rPr>
          <w:rFonts w:asciiTheme="minorBidi" w:eastAsia="Calibri" w:hAnsiTheme="minorBidi" w:cstheme="minorBidi"/>
          <w:color w:val="222222"/>
          <w:shd w:val="clear" w:color="auto" w:fill="FFFFFF"/>
        </w:rPr>
        <w:t>, 4(4), 07-20.</w:t>
      </w:r>
    </w:p>
    <w:p w14:paraId="0095F098" w14:textId="77777777" w:rsidR="00E72D3C" w:rsidRPr="00E72D3C" w:rsidRDefault="00E72D3C" w:rsidP="00E72D3C">
      <w:pPr>
        <w:pStyle w:val="ListParagraph"/>
        <w:numPr>
          <w:ilvl w:val="0"/>
          <w:numId w:val="31"/>
        </w:numPr>
        <w:spacing w:after="160" w:line="259" w:lineRule="auto"/>
        <w:jc w:val="both"/>
        <w:rPr>
          <w:rFonts w:asciiTheme="minorBidi" w:eastAsia="Calibri" w:hAnsiTheme="minorBidi" w:cstheme="minorBidi"/>
          <w:color w:val="222222"/>
          <w:shd w:val="clear" w:color="auto" w:fill="FFFFFF"/>
        </w:rPr>
      </w:pPr>
      <w:r w:rsidRPr="00E72D3C">
        <w:rPr>
          <w:rFonts w:asciiTheme="minorBidi" w:eastAsia="Calibri" w:hAnsiTheme="minorBidi" w:cstheme="minorBidi"/>
          <w:color w:val="222222"/>
          <w:shd w:val="clear" w:color="auto" w:fill="FFFFFF"/>
        </w:rPr>
        <w:t xml:space="preserve">Abdulrahman, R. R., Salih, A. M., Hussein, H. H. S., </w:t>
      </w:r>
      <w:proofErr w:type="spellStart"/>
      <w:r w:rsidRPr="00E72D3C">
        <w:rPr>
          <w:rFonts w:asciiTheme="minorBidi" w:eastAsia="Calibri" w:hAnsiTheme="minorBidi" w:cstheme="minorBidi"/>
          <w:color w:val="222222"/>
          <w:shd w:val="clear" w:color="auto" w:fill="FFFFFF"/>
        </w:rPr>
        <w:t>Aivas</w:t>
      </w:r>
      <w:proofErr w:type="spellEnd"/>
      <w:r w:rsidRPr="00E72D3C">
        <w:rPr>
          <w:rFonts w:asciiTheme="minorBidi" w:eastAsia="Calibri" w:hAnsiTheme="minorBidi" w:cstheme="minorBidi"/>
          <w:color w:val="222222"/>
          <w:shd w:val="clear" w:color="auto" w:fill="FFFFFF"/>
        </w:rPr>
        <w:t xml:space="preserve">, S. A., Ahamd, K. H., Fatah, N. A., ... &amp; </w:t>
      </w:r>
      <w:proofErr w:type="spellStart"/>
      <w:r w:rsidRPr="00E72D3C">
        <w:rPr>
          <w:rFonts w:asciiTheme="minorBidi" w:eastAsia="Calibri" w:hAnsiTheme="minorBidi" w:cstheme="minorBidi"/>
          <w:color w:val="222222"/>
          <w:shd w:val="clear" w:color="auto" w:fill="FFFFFF"/>
        </w:rPr>
        <w:t>Bayz</w:t>
      </w:r>
      <w:proofErr w:type="spellEnd"/>
      <w:r w:rsidRPr="00E72D3C">
        <w:rPr>
          <w:rFonts w:asciiTheme="minorBidi" w:eastAsia="Calibri" w:hAnsiTheme="minorBidi" w:cstheme="minorBidi"/>
          <w:color w:val="222222"/>
          <w:shd w:val="clear" w:color="auto" w:fill="FFFFFF"/>
        </w:rPr>
        <w:t>, H. A. (2025). The Role of Agriculture Sector in Eradicating Poverty: Challenges, Policies, and Pathways for Economic Growth in Less Developed Countries. </w:t>
      </w:r>
      <w:r w:rsidRPr="00E72D3C">
        <w:rPr>
          <w:rFonts w:asciiTheme="minorBidi" w:eastAsia="Calibri" w:hAnsiTheme="minorBidi" w:cstheme="minorBidi"/>
          <w:i/>
          <w:iCs/>
          <w:color w:val="222222"/>
          <w:shd w:val="clear" w:color="auto" w:fill="FFFFFF"/>
        </w:rPr>
        <w:t>Education</w:t>
      </w:r>
      <w:r w:rsidRPr="00E72D3C">
        <w:rPr>
          <w:rFonts w:asciiTheme="minorBidi" w:eastAsia="Calibri" w:hAnsiTheme="minorBidi" w:cstheme="minorBidi"/>
          <w:color w:val="222222"/>
          <w:shd w:val="clear" w:color="auto" w:fill="FFFFFF"/>
        </w:rPr>
        <w:t>, </w:t>
      </w:r>
      <w:r w:rsidRPr="00E72D3C">
        <w:rPr>
          <w:rFonts w:asciiTheme="minorBidi" w:eastAsia="Calibri" w:hAnsiTheme="minorBidi" w:cstheme="minorBidi"/>
          <w:i/>
          <w:iCs/>
          <w:color w:val="222222"/>
          <w:shd w:val="clear" w:color="auto" w:fill="FFFFFF"/>
        </w:rPr>
        <w:t>5</w:t>
      </w:r>
      <w:r w:rsidRPr="00E72D3C">
        <w:rPr>
          <w:rFonts w:asciiTheme="minorBidi" w:eastAsia="Calibri" w:hAnsiTheme="minorBidi" w:cstheme="minorBidi"/>
          <w:color w:val="222222"/>
          <w:shd w:val="clear" w:color="auto" w:fill="FFFFFF"/>
        </w:rPr>
        <w:t xml:space="preserve">(2), 208-213. </w:t>
      </w:r>
    </w:p>
    <w:p w14:paraId="133BB51D" w14:textId="77777777" w:rsidR="00E72D3C" w:rsidRPr="00E72D3C" w:rsidRDefault="00E72D3C" w:rsidP="00E72D3C">
      <w:pPr>
        <w:pStyle w:val="ListParagraph"/>
        <w:numPr>
          <w:ilvl w:val="0"/>
          <w:numId w:val="31"/>
        </w:numPr>
        <w:spacing w:after="160" w:line="259" w:lineRule="auto"/>
        <w:jc w:val="both"/>
        <w:rPr>
          <w:rFonts w:asciiTheme="minorBidi" w:eastAsia="Calibri" w:hAnsiTheme="minorBidi" w:cstheme="minorBidi"/>
          <w:i/>
          <w:iCs/>
          <w:color w:val="222222"/>
          <w:shd w:val="clear" w:color="auto" w:fill="FFFFFF"/>
        </w:rPr>
      </w:pPr>
      <w:r w:rsidRPr="00E72D3C">
        <w:rPr>
          <w:rFonts w:asciiTheme="minorBidi" w:eastAsia="Calibri" w:hAnsiTheme="minorBidi" w:cstheme="minorBidi"/>
          <w:color w:val="222222"/>
          <w:shd w:val="clear" w:color="auto" w:fill="FFFFFF"/>
        </w:rPr>
        <w:t>Ahmed, K. M., Salih, A. M., Raoof, B. K., Ahmed, T. N., Ahmed, T. N., Mohammed, B. A., ... Omer, Z. O. (2025).</w:t>
      </w:r>
      <w:r w:rsidRPr="00E72D3C">
        <w:rPr>
          <w:rFonts w:asciiTheme="minorBidi" w:eastAsia="Calibri" w:hAnsiTheme="minorBidi" w:cstheme="minorBidi"/>
          <w:i/>
          <w:iCs/>
          <w:color w:val="222222"/>
          <w:shd w:val="clear" w:color="auto" w:fill="FFFFFF"/>
        </w:rPr>
        <w:t xml:space="preserve"> </w:t>
      </w:r>
      <w:r w:rsidRPr="00E72D3C">
        <w:rPr>
          <w:rFonts w:asciiTheme="minorBidi" w:eastAsia="Calibri" w:hAnsiTheme="minorBidi" w:cstheme="minorBidi"/>
          <w:color w:val="222222"/>
          <w:shd w:val="clear" w:color="auto" w:fill="FFFFFF"/>
        </w:rPr>
        <w:t xml:space="preserve">Economic Burden of Air Pollution and Healthcare Costs </w:t>
      </w:r>
      <w:r w:rsidRPr="00E72D3C">
        <w:rPr>
          <w:rFonts w:asciiTheme="minorBidi" w:eastAsia="Calibri" w:hAnsiTheme="minorBidi" w:cstheme="minorBidi"/>
          <w:color w:val="222222"/>
          <w:shd w:val="clear" w:color="auto" w:fill="FFFFFF"/>
        </w:rPr>
        <w:lastRenderedPageBreak/>
        <w:t>for Respiratory Diseases in the United States of America</w:t>
      </w:r>
      <w:r w:rsidRPr="00E72D3C">
        <w:rPr>
          <w:rFonts w:asciiTheme="minorBidi" w:eastAsia="Calibri" w:hAnsiTheme="minorBidi" w:cstheme="minorBidi"/>
          <w:i/>
          <w:iCs/>
          <w:color w:val="222222"/>
          <w:shd w:val="clear" w:color="auto" w:fill="FFFFFF"/>
        </w:rPr>
        <w:t>.</w:t>
      </w:r>
      <w:r w:rsidRPr="00E72D3C">
        <w:rPr>
          <w:rFonts w:asciiTheme="minorBidi" w:hAnsiTheme="minorBidi" w:cstheme="minorBidi"/>
        </w:rPr>
        <w:t xml:space="preserve"> </w:t>
      </w:r>
      <w:r w:rsidRPr="00E72D3C">
        <w:rPr>
          <w:rFonts w:asciiTheme="minorBidi" w:hAnsiTheme="minorBidi" w:cstheme="minorBidi"/>
          <w:i/>
          <w:iCs/>
        </w:rPr>
        <w:t>International Journal of Scientific Research and Modern Technology</w:t>
      </w:r>
      <w:r w:rsidRPr="00E72D3C">
        <w:rPr>
          <w:rFonts w:asciiTheme="minorBidi" w:hAnsiTheme="minorBidi" w:cstheme="minorBidi"/>
        </w:rPr>
        <w:t>, 4(3), 64-75. DOI: https://doi.org/10.38124/ijsrmt.v4i3.389</w:t>
      </w:r>
    </w:p>
    <w:p w14:paraId="749FCE5C" w14:textId="77777777" w:rsidR="00E72D3C" w:rsidRDefault="00E72D3C" w:rsidP="00E72D3C">
      <w:pPr>
        <w:pStyle w:val="Body"/>
        <w:spacing w:after="0"/>
        <w:ind w:left="720"/>
      </w:pPr>
    </w:p>
    <w:p w14:paraId="31BC86F0" w14:textId="77777777" w:rsidR="002327F0" w:rsidRDefault="002327F0" w:rsidP="002327F0">
      <w:pPr>
        <w:pStyle w:val="Body"/>
        <w:numPr>
          <w:ilvl w:val="0"/>
          <w:numId w:val="31"/>
        </w:numPr>
        <w:spacing w:after="0"/>
      </w:pPr>
      <w:r w:rsidRPr="002327F0">
        <w:t>Abdulatif, F., &amp; Ali, A. (2024). Review of Classification Medical Images Using Ensemble Learning. NTU Journal of Pure Sciences, 3(4), Article 4. https://doi.org/10.56286/10q1f229</w:t>
      </w:r>
    </w:p>
    <w:p w14:paraId="28916973" w14:textId="77777777" w:rsidR="002327F0" w:rsidRDefault="002327F0" w:rsidP="002327F0">
      <w:pPr>
        <w:pStyle w:val="Body"/>
        <w:numPr>
          <w:ilvl w:val="0"/>
          <w:numId w:val="31"/>
        </w:numPr>
        <w:spacing w:after="0"/>
      </w:pPr>
      <w:r w:rsidRPr="002327F0">
        <w:t xml:space="preserve">Ahmed, B., Kumar, S., Ojha, A. K., Hirsch, F., Riese, S., &amp; Fischer, I. (2018). Facile synthesis and </w:t>
      </w:r>
      <w:proofErr w:type="spellStart"/>
      <w:r w:rsidRPr="002327F0">
        <w:t>photophysics</w:t>
      </w:r>
      <w:proofErr w:type="spellEnd"/>
      <w:r w:rsidRPr="002327F0">
        <w:t xml:space="preserve"> of graphene quantum dots. Journal of Photochemistry and Photobiology A: Chemistry, 364, 671–678. https://doi.org/10.1016/j.jphotochem.2018.07.006</w:t>
      </w:r>
    </w:p>
    <w:p w14:paraId="6D872675" w14:textId="77777777" w:rsidR="002327F0" w:rsidRDefault="002327F0" w:rsidP="002327F0">
      <w:pPr>
        <w:pStyle w:val="Body"/>
        <w:numPr>
          <w:ilvl w:val="0"/>
          <w:numId w:val="31"/>
        </w:numPr>
        <w:spacing w:after="0"/>
      </w:pPr>
      <w:r w:rsidRPr="002327F0">
        <w:t>Ahmed Mahmood, A., Zhang, J., Liao, R., Pan, X., Xu, D., Xu, H., &amp; Zhou, Q. (2019). Evaluation of non-targeting, C- or N-pH (low) insertion peptide modified superparamagnetic iron oxide nanoclusters for selective MRI of liver tumors and their potential toxicity in cirrhosis. RSC Advances, 9(25), 14051–14059. https://doi.org/10.1039/C9RA02430A</w:t>
      </w:r>
    </w:p>
    <w:p w14:paraId="74DB53DB" w14:textId="77777777" w:rsidR="002327F0" w:rsidRDefault="002327F0" w:rsidP="002327F0">
      <w:pPr>
        <w:pStyle w:val="Body"/>
        <w:numPr>
          <w:ilvl w:val="0"/>
          <w:numId w:val="31"/>
        </w:numPr>
        <w:spacing w:after="0"/>
      </w:pPr>
      <w:r w:rsidRPr="002327F0">
        <w:t xml:space="preserve">Ajeel, M. A., Ajeel, A. A., </w:t>
      </w:r>
      <w:proofErr w:type="spellStart"/>
      <w:r w:rsidRPr="002327F0">
        <w:t>Nejres</w:t>
      </w:r>
      <w:proofErr w:type="spellEnd"/>
      <w:r w:rsidRPr="002327F0">
        <w:t>, A. M., &amp; Salih, R. A. (2021). Assessment of Heavy Metals and Related Impacts on Antioxidants and Physiological Parameters in Oil Refinery Workers in Iraq. Journal of Health and Pollution, 11(31), 210907. https://doi.org/10.5696/2156-9614-11.31.210907</w:t>
      </w:r>
    </w:p>
    <w:p w14:paraId="1D2CF46B" w14:textId="77777777" w:rsidR="002327F0" w:rsidRDefault="002327F0" w:rsidP="002327F0">
      <w:pPr>
        <w:pStyle w:val="Body"/>
        <w:numPr>
          <w:ilvl w:val="0"/>
          <w:numId w:val="31"/>
        </w:numPr>
        <w:spacing w:after="0"/>
      </w:pPr>
      <w:r w:rsidRPr="002327F0">
        <w:t xml:space="preserve">Ali, A. A.-W., Jawad, A. M., &amp; </w:t>
      </w:r>
      <w:proofErr w:type="spellStart"/>
      <w:r w:rsidRPr="002327F0">
        <w:t>Ewadh</w:t>
      </w:r>
      <w:proofErr w:type="spellEnd"/>
      <w:r w:rsidRPr="002327F0">
        <w:t xml:space="preserve">, M. J. (2018). Isolation and Diagnosis of Phenolic Compounds in Pomegranate Peel and Their Use in Inhibition of Intestinal Pathogenic Bacteria Isolated from Human Intestine and Stomach. Medical Journal of Babylon, 15(1), 1. </w:t>
      </w:r>
      <w:hyperlink r:id="rId10" w:history="1">
        <w:r w:rsidR="00E72D3C" w:rsidRPr="00C0168F">
          <w:rPr>
            <w:rStyle w:val="Hyperlink"/>
          </w:rPr>
          <w:t>https://doi.org/10.4103/MJBL.MJBL_1_18</w:t>
        </w:r>
      </w:hyperlink>
    </w:p>
    <w:p w14:paraId="60A96A16" w14:textId="77777777" w:rsidR="00E72D3C" w:rsidRDefault="00E72D3C" w:rsidP="00E72D3C">
      <w:pPr>
        <w:pStyle w:val="Body"/>
        <w:spacing w:after="0"/>
        <w:ind w:left="720"/>
      </w:pPr>
    </w:p>
    <w:p w14:paraId="5E57B731" w14:textId="77777777" w:rsidR="002327F0" w:rsidRDefault="002327F0" w:rsidP="002327F0">
      <w:pPr>
        <w:pStyle w:val="Body"/>
        <w:numPr>
          <w:ilvl w:val="0"/>
          <w:numId w:val="31"/>
        </w:numPr>
        <w:spacing w:after="0"/>
      </w:pPr>
      <w:r w:rsidRPr="002327F0">
        <w:t xml:space="preserve">Ali, R., Mohammed </w:t>
      </w:r>
      <w:proofErr w:type="spellStart"/>
      <w:r w:rsidRPr="002327F0">
        <w:t>Sdiq</w:t>
      </w:r>
      <w:proofErr w:type="spellEnd"/>
      <w:r w:rsidRPr="002327F0">
        <w:t xml:space="preserve">, S., Salih, A. M., Omer, Z., Mahmood, A., Yaqub, K., Ali, N., &amp; Sirwan, K. (2025). Quality assessment of commercial tomato paste in Kurdistan region of Iraq: Implications for </w:t>
      </w:r>
      <w:proofErr w:type="spellStart"/>
      <w:r w:rsidRPr="002327F0">
        <w:t>agripreneurship</w:t>
      </w:r>
      <w:proofErr w:type="spellEnd"/>
      <w:r w:rsidRPr="002327F0">
        <w:t xml:space="preserve"> and market standards. Archives of Agriculture and Environmental Science, 10, 1–5. https://doi.org/10.26832/24566632.2025.1002</w:t>
      </w:r>
    </w:p>
    <w:p w14:paraId="661BAD89" w14:textId="77777777" w:rsidR="002327F0" w:rsidRDefault="002327F0" w:rsidP="002327F0">
      <w:pPr>
        <w:pStyle w:val="Body"/>
        <w:numPr>
          <w:ilvl w:val="0"/>
          <w:numId w:val="31"/>
        </w:numPr>
        <w:spacing w:after="0"/>
      </w:pPr>
      <w:r w:rsidRPr="002327F0">
        <w:t xml:space="preserve">Al-Jumaili, M. H. A., Bakr, E. A., </w:t>
      </w:r>
      <w:proofErr w:type="spellStart"/>
      <w:r w:rsidRPr="002327F0">
        <w:t>Huessien</w:t>
      </w:r>
      <w:proofErr w:type="spellEnd"/>
      <w:r w:rsidRPr="002327F0">
        <w:t xml:space="preserve">, M. A., Hamed, A. S., &amp; </w:t>
      </w:r>
      <w:proofErr w:type="spellStart"/>
      <w:r w:rsidRPr="002327F0">
        <w:t>Muhaidi</w:t>
      </w:r>
      <w:proofErr w:type="spellEnd"/>
      <w:r w:rsidRPr="002327F0">
        <w:t>, M. J. (2025). Development of heterocyclic-based anticancer agents: A comprehensive review. Heterocyclic Communications, 31(1). https://doi.org/10.1515/hc-2022-0179</w:t>
      </w:r>
    </w:p>
    <w:p w14:paraId="4EDD5FB3" w14:textId="77777777" w:rsidR="002327F0" w:rsidRDefault="002327F0" w:rsidP="002327F0">
      <w:pPr>
        <w:pStyle w:val="Body"/>
        <w:numPr>
          <w:ilvl w:val="0"/>
          <w:numId w:val="31"/>
        </w:numPr>
        <w:spacing w:after="0"/>
      </w:pPr>
      <w:r w:rsidRPr="002327F0">
        <w:t xml:space="preserve">Araújo, A. P. da C., </w:t>
      </w:r>
      <w:proofErr w:type="spellStart"/>
      <w:r w:rsidRPr="002327F0">
        <w:t>Mesak</w:t>
      </w:r>
      <w:proofErr w:type="spellEnd"/>
      <w:r w:rsidRPr="002327F0">
        <w:t xml:space="preserve">, C., </w:t>
      </w:r>
      <w:proofErr w:type="spellStart"/>
      <w:r w:rsidRPr="002327F0">
        <w:t>Montalvão</w:t>
      </w:r>
      <w:proofErr w:type="spellEnd"/>
      <w:r w:rsidRPr="002327F0">
        <w:t>, M. F., Freitas, Í. N., Chagas, T. Q., &amp; Malafaia, G. (2019). Anti-cancer drugs in aquatic environment can cause cancer: Insight about mutagenicity in tadpoles. Science of The Total Environment, 650, 2284–2293. https://doi.org/10.1016/j.scitotenv.2018.09.373</w:t>
      </w:r>
    </w:p>
    <w:p w14:paraId="1DAD2454" w14:textId="77777777" w:rsidR="002327F0" w:rsidRDefault="002327F0" w:rsidP="002327F0">
      <w:pPr>
        <w:pStyle w:val="Body"/>
        <w:numPr>
          <w:ilvl w:val="0"/>
          <w:numId w:val="31"/>
        </w:numPr>
        <w:spacing w:after="0"/>
      </w:pPr>
      <w:r w:rsidRPr="002327F0">
        <w:t xml:space="preserve">Arnot, J. A., &amp; </w:t>
      </w:r>
      <w:proofErr w:type="spellStart"/>
      <w:r w:rsidRPr="002327F0">
        <w:t>Gobas</w:t>
      </w:r>
      <w:proofErr w:type="spellEnd"/>
      <w:r w:rsidRPr="002327F0">
        <w:t>, F. A. (2006). A review of bioconcentration factor (BCF) and bioaccumulation factor (BAF) assessments for organic chemicals in aquatic organisms. Environmental Reviews, 14(4), 257–297. https://doi.org/10.1139/a06-005</w:t>
      </w:r>
    </w:p>
    <w:p w14:paraId="16577D3D" w14:textId="77777777" w:rsidR="002327F0" w:rsidRDefault="002327F0" w:rsidP="002327F0">
      <w:pPr>
        <w:pStyle w:val="Body"/>
        <w:numPr>
          <w:ilvl w:val="0"/>
          <w:numId w:val="31"/>
        </w:numPr>
        <w:spacing w:after="0"/>
      </w:pPr>
      <w:r w:rsidRPr="002327F0">
        <w:t>Asselin-Labat, M.-L., Ruhland, M. K., &amp; Ferris, S. T. (2025). Editorial: Antigen presentation in cancer immune responses. Frontiers in Immunology, 16. https://doi.org/10.3389/fimmu.2025.1558249</w:t>
      </w:r>
    </w:p>
    <w:p w14:paraId="356C5504" w14:textId="77777777" w:rsidR="002327F0" w:rsidRDefault="002327F0" w:rsidP="002327F0">
      <w:pPr>
        <w:pStyle w:val="Body"/>
        <w:numPr>
          <w:ilvl w:val="0"/>
          <w:numId w:val="31"/>
        </w:numPr>
        <w:spacing w:after="0"/>
      </w:pPr>
      <w:proofErr w:type="spellStart"/>
      <w:r w:rsidRPr="002327F0">
        <w:t>Attiah</w:t>
      </w:r>
      <w:proofErr w:type="spellEnd"/>
      <w:r w:rsidRPr="002327F0">
        <w:t>, B. H., Obaid, H. M., &amp; AL-</w:t>
      </w:r>
      <w:proofErr w:type="spellStart"/>
      <w:r w:rsidRPr="002327F0">
        <w:t>Salihi</w:t>
      </w:r>
      <w:proofErr w:type="spellEnd"/>
      <w:r w:rsidRPr="002327F0">
        <w:t xml:space="preserve">, S. S. (2023). Assessment the Ag and </w:t>
      </w:r>
      <w:proofErr w:type="spellStart"/>
      <w:r w:rsidRPr="002327F0">
        <w:t>ZnO</w:t>
      </w:r>
      <w:proofErr w:type="spellEnd"/>
      <w:r w:rsidRPr="002327F0">
        <w:t xml:space="preserve"> Biosynthesized Nanoparticles effects on Giardia lamblia trophozoites which grown in HSP-1 culture media. NTU Journal of Pure Sciences, 2(1), Article 1. https://doi.org/10.56286/ntujps.v2i1.316</w:t>
      </w:r>
    </w:p>
    <w:p w14:paraId="18065BB6" w14:textId="77777777" w:rsidR="002327F0" w:rsidRDefault="002327F0" w:rsidP="002327F0">
      <w:pPr>
        <w:pStyle w:val="Body"/>
        <w:numPr>
          <w:ilvl w:val="0"/>
          <w:numId w:val="31"/>
        </w:numPr>
        <w:spacing w:after="0"/>
      </w:pPr>
      <w:r w:rsidRPr="002327F0">
        <w:t xml:space="preserve">Booker, V., Halsall, C., Llewellyn, N., Johnson, A., &amp; Williams, R. (2014). </w:t>
      </w:r>
      <w:proofErr w:type="spellStart"/>
      <w:r w:rsidRPr="002327F0">
        <w:t>Prioritising</w:t>
      </w:r>
      <w:proofErr w:type="spellEnd"/>
      <w:r w:rsidRPr="002327F0">
        <w:t xml:space="preserve"> anticancer drugs for environmental monitoring and risk assessment purposes. Science of The Total Environment, 473–474, 159–170. https://doi.org/10.1016/j.scitotenv.2013.11.145</w:t>
      </w:r>
    </w:p>
    <w:p w14:paraId="46F9261D" w14:textId="77777777" w:rsidR="002327F0" w:rsidRDefault="002327F0" w:rsidP="002327F0">
      <w:pPr>
        <w:pStyle w:val="Body"/>
        <w:numPr>
          <w:ilvl w:val="0"/>
          <w:numId w:val="31"/>
        </w:numPr>
        <w:spacing w:after="0"/>
      </w:pPr>
      <w:r w:rsidRPr="002327F0">
        <w:lastRenderedPageBreak/>
        <w:t>Castellano-Hinojosa, A., Gallardo-Altamirano, M. J., González-López, J., &amp; González-Martínez, A. (2023). Anticancer drugs in wastewater and natural environments: A review on their occurrence, environmental persistence, treatment, and ecological risks. Journal of Hazardous Materials, 447, 130818. https://doi.org/10.1016/j.jhazmat.2023.130818</w:t>
      </w:r>
    </w:p>
    <w:p w14:paraId="5F380DEF" w14:textId="77777777" w:rsidR="002327F0" w:rsidRDefault="002327F0" w:rsidP="002327F0">
      <w:pPr>
        <w:pStyle w:val="Body"/>
        <w:numPr>
          <w:ilvl w:val="0"/>
          <w:numId w:val="31"/>
        </w:numPr>
        <w:spacing w:after="0"/>
      </w:pPr>
      <w:r w:rsidRPr="002327F0">
        <w:t>Cristóvão, M. B., Bento-Silva, A., Bronze, M. R., Crespo, J. G., &amp; Pereira, V. J. (2021). Detection of anticancer drugs in wastewater effluents: Grab versus passive sampling. Science of The Total Environment, 786, 147477. https://doi.org/10.1016/j.scitotenv.2021.147477</w:t>
      </w:r>
    </w:p>
    <w:p w14:paraId="047B7D25" w14:textId="77777777" w:rsidR="002327F0" w:rsidRDefault="002327F0" w:rsidP="002327F0">
      <w:pPr>
        <w:pStyle w:val="Body"/>
        <w:numPr>
          <w:ilvl w:val="0"/>
          <w:numId w:val="31"/>
        </w:numPr>
        <w:spacing w:after="0"/>
      </w:pPr>
      <w:r w:rsidRPr="002327F0">
        <w:t>Cristóvão, M. B., Janssens, R., Yadav, A., Pandey, S., Luis, P., Van der Bruggen, B., Dubey, K. K., Mandal, M. K., Crespo, J. G., &amp; Pereira, V. J. (2020). Predicted concentrations of anticancer drugs in the aquatic environment: What should we monitor and where should we treat? Journal of Hazardous Materials, 392, 122330. https://doi.org/10.1016/j.jhazmat.2020.122330</w:t>
      </w:r>
    </w:p>
    <w:p w14:paraId="107C9676" w14:textId="77777777" w:rsidR="002327F0" w:rsidRDefault="002327F0" w:rsidP="002327F0">
      <w:pPr>
        <w:pStyle w:val="Body"/>
        <w:numPr>
          <w:ilvl w:val="0"/>
          <w:numId w:val="31"/>
        </w:numPr>
        <w:spacing w:after="0"/>
      </w:pPr>
      <w:proofErr w:type="spellStart"/>
      <w:r w:rsidRPr="002327F0">
        <w:t>Dannarm</w:t>
      </w:r>
      <w:proofErr w:type="spellEnd"/>
      <w:r w:rsidRPr="002327F0">
        <w:t xml:space="preserve">, S. R., </w:t>
      </w:r>
      <w:proofErr w:type="spellStart"/>
      <w:r w:rsidRPr="002327F0">
        <w:t>Gottimukkula</w:t>
      </w:r>
      <w:proofErr w:type="spellEnd"/>
      <w:r w:rsidRPr="002327F0">
        <w:t xml:space="preserve">, B. R., </w:t>
      </w:r>
      <w:proofErr w:type="spellStart"/>
      <w:r w:rsidRPr="002327F0">
        <w:t>Dhalaram</w:t>
      </w:r>
      <w:proofErr w:type="spellEnd"/>
      <w:r w:rsidRPr="002327F0">
        <w:t xml:space="preserve">, C. S., Reddy, G. N., &amp; Sonti, R. (2025). Environmental degradation of the anticancer drug </w:t>
      </w:r>
      <w:proofErr w:type="spellStart"/>
      <w:r w:rsidRPr="002327F0">
        <w:t>encorafenib</w:t>
      </w:r>
      <w:proofErr w:type="spellEnd"/>
      <w:r w:rsidRPr="002327F0">
        <w:t>: Evidence for cyclisation through aromatic ring flip under photolytic conditions. Microchemical Journal, 214, 113885. https://doi.org/10.1016/j.microc.2025.113885</w:t>
      </w:r>
    </w:p>
    <w:p w14:paraId="16A4F22E" w14:textId="77777777" w:rsidR="002327F0" w:rsidRDefault="002327F0" w:rsidP="002327F0">
      <w:pPr>
        <w:pStyle w:val="Body"/>
        <w:numPr>
          <w:ilvl w:val="0"/>
          <w:numId w:val="31"/>
        </w:numPr>
        <w:spacing w:after="0"/>
      </w:pPr>
      <w:r w:rsidRPr="002327F0">
        <w:t xml:space="preserve">de Souza, A. B., Gadi, N., van de Goor, T., </w:t>
      </w:r>
      <w:proofErr w:type="spellStart"/>
      <w:r w:rsidRPr="002327F0">
        <w:t>Boelee</w:t>
      </w:r>
      <w:proofErr w:type="spellEnd"/>
      <w:r w:rsidRPr="002327F0">
        <w:t xml:space="preserve">, N. C., Dewil, R., &amp; </w:t>
      </w:r>
      <w:proofErr w:type="spellStart"/>
      <w:r w:rsidRPr="002327F0">
        <w:t>Cabooter</w:t>
      </w:r>
      <w:proofErr w:type="spellEnd"/>
      <w:r w:rsidRPr="002327F0">
        <w:t>, D. (2024). Occurrence and elimination of pharmaceutical residues in municipal wastewater effluent by electrochemical anodic oxidation. Journal of Water Process Engineering, 66, 105899. https://doi.org/10.1016/j.jwpe.2024.105899</w:t>
      </w:r>
    </w:p>
    <w:p w14:paraId="50EB82DC" w14:textId="77777777" w:rsidR="002327F0" w:rsidRDefault="002327F0" w:rsidP="002327F0">
      <w:pPr>
        <w:pStyle w:val="Body"/>
        <w:numPr>
          <w:ilvl w:val="0"/>
          <w:numId w:val="31"/>
        </w:numPr>
        <w:spacing w:after="0"/>
      </w:pPr>
      <w:r w:rsidRPr="002327F0">
        <w:t xml:space="preserve">Eggen, R. I. L., Hollender, J., Joss, A., </w:t>
      </w:r>
      <w:proofErr w:type="spellStart"/>
      <w:r w:rsidRPr="002327F0">
        <w:t>Schärer</w:t>
      </w:r>
      <w:proofErr w:type="spellEnd"/>
      <w:r w:rsidRPr="002327F0">
        <w:t>, M., &amp; Stamm, C. (2014). Reducing the Discharge of Micropollutants in the Aquatic Environment: The Benefits of Upgrading Wastewater Treatment Plants. Environmental Science &amp; Technology, 48(14), 7683–7689. https://doi.org/10.1021/es500907n</w:t>
      </w:r>
    </w:p>
    <w:p w14:paraId="76081BF1" w14:textId="77777777" w:rsidR="002327F0" w:rsidRDefault="002327F0" w:rsidP="002327F0">
      <w:pPr>
        <w:pStyle w:val="Body"/>
        <w:numPr>
          <w:ilvl w:val="0"/>
          <w:numId w:val="31"/>
        </w:numPr>
        <w:spacing w:after="0"/>
      </w:pPr>
      <w:r w:rsidRPr="002327F0">
        <w:t xml:space="preserve">Ehalt Macedo, H., Lehner, B., </w:t>
      </w:r>
      <w:proofErr w:type="spellStart"/>
      <w:r w:rsidRPr="002327F0">
        <w:t>Nicell</w:t>
      </w:r>
      <w:proofErr w:type="spellEnd"/>
      <w:r w:rsidRPr="002327F0">
        <w:t>, J. A., Khan, U., &amp; Klein, E. Y. (2025). Antibiotics in the global river system arising from human consumption. PNAS Nexus, 4(4), pgaf096. https://doi.org/10.1093/pnasnexus/pgaf096</w:t>
      </w:r>
    </w:p>
    <w:p w14:paraId="3024ED94" w14:textId="77777777" w:rsidR="002327F0" w:rsidRDefault="002327F0" w:rsidP="002327F0">
      <w:pPr>
        <w:pStyle w:val="Body"/>
        <w:numPr>
          <w:ilvl w:val="0"/>
          <w:numId w:val="31"/>
        </w:numPr>
        <w:spacing w:after="0"/>
      </w:pPr>
      <w:proofErr w:type="spellStart"/>
      <w:r w:rsidRPr="002327F0">
        <w:t>Fasiku</w:t>
      </w:r>
      <w:proofErr w:type="spellEnd"/>
      <w:r w:rsidRPr="002327F0">
        <w:t xml:space="preserve">, V., </w:t>
      </w:r>
      <w:proofErr w:type="spellStart"/>
      <w:r w:rsidRPr="002327F0">
        <w:t>Kyagaba</w:t>
      </w:r>
      <w:proofErr w:type="spellEnd"/>
      <w:r w:rsidRPr="002327F0">
        <w:t xml:space="preserve">, D., </w:t>
      </w:r>
      <w:proofErr w:type="spellStart"/>
      <w:r w:rsidRPr="002327F0">
        <w:t>Hlalele</w:t>
      </w:r>
      <w:proofErr w:type="spellEnd"/>
      <w:r w:rsidRPr="002327F0">
        <w:t xml:space="preserve">, A., Adegoke, A., </w:t>
      </w:r>
      <w:proofErr w:type="spellStart"/>
      <w:r w:rsidRPr="002327F0">
        <w:t>Erukainure</w:t>
      </w:r>
      <w:proofErr w:type="spellEnd"/>
      <w:r w:rsidRPr="002327F0">
        <w:t xml:space="preserve">, O. L., &amp; </w:t>
      </w:r>
      <w:proofErr w:type="spellStart"/>
      <w:r w:rsidRPr="002327F0">
        <w:t>Sekhoacha</w:t>
      </w:r>
      <w:proofErr w:type="spellEnd"/>
      <w:r w:rsidRPr="002327F0">
        <w:t>, M. (2025). A perspective review on factors that influence mutagenicity in medicinal plants and their health implications. Toxicological Sciences, 204(2), 121–142. https://doi.org/10.1093/toxsci/kfaf004</w:t>
      </w:r>
    </w:p>
    <w:p w14:paraId="13BB1884" w14:textId="77777777" w:rsidR="002327F0" w:rsidRDefault="002327F0" w:rsidP="002327F0">
      <w:pPr>
        <w:pStyle w:val="Body"/>
        <w:numPr>
          <w:ilvl w:val="0"/>
          <w:numId w:val="31"/>
        </w:numPr>
        <w:spacing w:after="0"/>
      </w:pPr>
      <w:r w:rsidRPr="002327F0">
        <w:t xml:space="preserve">Fent, K., Weston, A. A., &amp; </w:t>
      </w:r>
      <w:proofErr w:type="spellStart"/>
      <w:r w:rsidRPr="002327F0">
        <w:t>Caminada</w:t>
      </w:r>
      <w:proofErr w:type="spellEnd"/>
      <w:r w:rsidRPr="002327F0">
        <w:t>, D. (2006). Ecotoxicology of human pharmaceuticals. Aquatic Toxicology, 76(2), 122–159. https://doi.org/10.1016/j.aquatox.2005.09.009</w:t>
      </w:r>
    </w:p>
    <w:p w14:paraId="0BA839F3" w14:textId="77777777" w:rsidR="002327F0" w:rsidRDefault="002327F0" w:rsidP="002327F0">
      <w:pPr>
        <w:pStyle w:val="Body"/>
        <w:numPr>
          <w:ilvl w:val="0"/>
          <w:numId w:val="31"/>
        </w:numPr>
        <w:spacing w:after="0"/>
      </w:pPr>
      <w:proofErr w:type="spellStart"/>
      <w:r w:rsidRPr="002327F0">
        <w:t>Franquet-Griell</w:t>
      </w:r>
      <w:proofErr w:type="spellEnd"/>
      <w:r w:rsidRPr="002327F0">
        <w:t>, H., Gómez-Canela, C., Ventura, F., &amp; Lacorte, S. (2017). Anticancer drugs: Consumption trends in Spain, prediction of environmental concentrations and potential risks. Environmental Pollution, 229, 505–515. https://doi.org/10.1016/j.envpol.2017.06.011</w:t>
      </w:r>
    </w:p>
    <w:p w14:paraId="4FC3E961" w14:textId="77777777" w:rsidR="002327F0" w:rsidRDefault="002327F0" w:rsidP="002327F0">
      <w:pPr>
        <w:pStyle w:val="Body"/>
        <w:numPr>
          <w:ilvl w:val="0"/>
          <w:numId w:val="31"/>
        </w:numPr>
        <w:spacing w:after="0"/>
      </w:pPr>
      <w:proofErr w:type="spellStart"/>
      <w:r w:rsidRPr="002327F0">
        <w:t>Gallenzi</w:t>
      </w:r>
      <w:proofErr w:type="spellEnd"/>
      <w:r w:rsidRPr="002327F0">
        <w:t xml:space="preserve">, P., Malatesta, A., </w:t>
      </w:r>
      <w:proofErr w:type="spellStart"/>
      <w:r w:rsidRPr="002327F0">
        <w:t>Staderini</w:t>
      </w:r>
      <w:proofErr w:type="spellEnd"/>
      <w:r w:rsidRPr="002327F0">
        <w:t>, E., &amp; Guglielmi, F. (2025). Chemotherapy with Alkylating Agents and Dental Anomalies in Children: A Systematic Review. Journal of Clinical Medicine, 14(3), Article 3. https://doi.org/10.3390/jcm14031030</w:t>
      </w:r>
    </w:p>
    <w:p w14:paraId="29DD20BB" w14:textId="77777777" w:rsidR="002327F0" w:rsidRDefault="002327F0" w:rsidP="002327F0">
      <w:pPr>
        <w:pStyle w:val="Body"/>
        <w:numPr>
          <w:ilvl w:val="0"/>
          <w:numId w:val="31"/>
        </w:numPr>
        <w:spacing w:after="0"/>
      </w:pPr>
      <w:r w:rsidRPr="002327F0">
        <w:t xml:space="preserve">González-Burciaga, L. A., Silerio-Vázquez, F. de J., </w:t>
      </w:r>
      <w:proofErr w:type="spellStart"/>
      <w:r w:rsidRPr="002327F0">
        <w:t>Antileo</w:t>
      </w:r>
      <w:proofErr w:type="spellEnd"/>
      <w:r w:rsidRPr="002327F0">
        <w:t xml:space="preserve">, C., Rosales-Castro, M., Núñez-Núñez, C. M., &amp; </w:t>
      </w:r>
      <w:proofErr w:type="spellStart"/>
      <w:r w:rsidRPr="002327F0">
        <w:t>Proal-Nájera</w:t>
      </w:r>
      <w:proofErr w:type="spellEnd"/>
      <w:r w:rsidRPr="002327F0">
        <w:t>, J. B. (2025). A Review on Cytotoxic Antibiotics: Occurrence in Water Matrices, Degradation by Advanced Oxidation Processes, and By-Product Formation. Water, 17(5), Article 5. https://doi.org/10.3390/w17050628</w:t>
      </w:r>
    </w:p>
    <w:p w14:paraId="233D6E64" w14:textId="77777777" w:rsidR="002327F0" w:rsidRDefault="002327F0" w:rsidP="002327F0">
      <w:pPr>
        <w:pStyle w:val="Body"/>
        <w:numPr>
          <w:ilvl w:val="0"/>
          <w:numId w:val="31"/>
        </w:numPr>
        <w:spacing w:after="0"/>
      </w:pPr>
      <w:r w:rsidRPr="002327F0">
        <w:t>Hamidon, T. S., Garba, Z. N., Zango, Z. U., &amp; Hussin, M. H. (2024). Biopolymer-based beads for the adsorptive removal of organic pollutants from wastewater: Current state and future perspectives. International Journal of Biological Macromolecules, 269, 131759. https://doi.org/10.1016/j.ijbiomac.2024.131759</w:t>
      </w:r>
    </w:p>
    <w:p w14:paraId="06C0BE9C" w14:textId="77777777" w:rsidR="002327F0" w:rsidRDefault="002327F0" w:rsidP="002327F0">
      <w:pPr>
        <w:pStyle w:val="Body"/>
        <w:numPr>
          <w:ilvl w:val="0"/>
          <w:numId w:val="31"/>
        </w:numPr>
        <w:spacing w:after="0"/>
      </w:pPr>
      <w:r w:rsidRPr="002327F0">
        <w:lastRenderedPageBreak/>
        <w:t xml:space="preserve">Hoang, A. T. P., Do, M. C., &amp; Kim, K.-W. (2024). Environmental risk assessment of selected pharmaceuticals in hospital wastewater in </w:t>
      </w:r>
      <w:proofErr w:type="spellStart"/>
      <w:r w:rsidRPr="002327F0">
        <w:t>nothern</w:t>
      </w:r>
      <w:proofErr w:type="spellEnd"/>
      <w:r w:rsidRPr="002327F0">
        <w:t xml:space="preserve"> Vietnam. Chemosphere, 356, 141973. https://doi.org/10.1016/j.chemosphere.2024.141973</w:t>
      </w:r>
    </w:p>
    <w:p w14:paraId="2B5D16B4" w14:textId="77777777" w:rsidR="002327F0" w:rsidRDefault="002327F0" w:rsidP="002327F0">
      <w:pPr>
        <w:pStyle w:val="Body"/>
        <w:numPr>
          <w:ilvl w:val="0"/>
          <w:numId w:val="31"/>
        </w:numPr>
        <w:spacing w:after="0"/>
      </w:pPr>
      <w:r w:rsidRPr="002327F0">
        <w:t xml:space="preserve">Hussain, A., Sohail, A., Akash, M. S. H., Iqbal, S., Rehman, K., Imran, M., Khan, S., Ayub, M. A., Wang, D., Ahmed, D., Al-Jumaili, M. H. A., Bashir, M., &amp; Rasool, M. (2025). Marine life as a source of anti-prostate cancer agents: An updated overview (2003–2023). </w:t>
      </w:r>
      <w:proofErr w:type="spellStart"/>
      <w:r w:rsidRPr="002327F0">
        <w:t>Naunyn-Schmiedeberg’s</w:t>
      </w:r>
      <w:proofErr w:type="spellEnd"/>
      <w:r w:rsidRPr="002327F0">
        <w:t xml:space="preserve"> Archives of Pharmacology. https://doi.org/10.1007/s00210-025-03886-6</w:t>
      </w:r>
    </w:p>
    <w:p w14:paraId="2D3CBB6D" w14:textId="77777777" w:rsidR="002327F0" w:rsidRDefault="002327F0" w:rsidP="002327F0">
      <w:pPr>
        <w:pStyle w:val="Body"/>
        <w:numPr>
          <w:ilvl w:val="0"/>
          <w:numId w:val="31"/>
        </w:numPr>
        <w:spacing w:after="0"/>
      </w:pPr>
      <w:proofErr w:type="spellStart"/>
      <w:r w:rsidRPr="002327F0">
        <w:t>Inaudi</w:t>
      </w:r>
      <w:proofErr w:type="spellEnd"/>
      <w:r w:rsidRPr="002327F0">
        <w:t xml:space="preserve">, P., </w:t>
      </w:r>
      <w:proofErr w:type="spellStart"/>
      <w:proofErr w:type="gramStart"/>
      <w:r w:rsidRPr="002327F0">
        <w:t>Abollino</w:t>
      </w:r>
      <w:proofErr w:type="spellEnd"/>
      <w:r w:rsidRPr="002327F0">
        <w:t xml:space="preserve"> ,Ornella</w:t>
      </w:r>
      <w:proofErr w:type="gramEnd"/>
      <w:r w:rsidRPr="002327F0">
        <w:t xml:space="preserve">, </w:t>
      </w:r>
      <w:proofErr w:type="spellStart"/>
      <w:r w:rsidRPr="002327F0">
        <w:t>Bottoni</w:t>
      </w:r>
      <w:proofErr w:type="spellEnd"/>
      <w:r w:rsidRPr="002327F0">
        <w:t xml:space="preserve"> ,Paola, </w:t>
      </w:r>
      <w:proofErr w:type="spellStart"/>
      <w:r w:rsidRPr="002327F0">
        <w:t>Grifa</w:t>
      </w:r>
      <w:proofErr w:type="spellEnd"/>
      <w:r w:rsidRPr="002327F0">
        <w:t xml:space="preserve"> ,Rosa Anna, &amp; and Caroli, S. (n.d.). The role of spectrochemical techniques for the detection, identification, and quantification of residues and metabolites of pharmaceuticals in the environment: A review of developments in </w:t>
      </w:r>
      <w:proofErr w:type="spellStart"/>
      <w:r w:rsidRPr="002327F0">
        <w:t>ecopharmacovigilance</w:t>
      </w:r>
      <w:proofErr w:type="spellEnd"/>
      <w:r w:rsidRPr="002327F0">
        <w:t xml:space="preserve"> over the past decade. Applied Spectroscopy Reviews, 0(0), 1–70. https://doi.org/10.1080/05704928.2025.2507212</w:t>
      </w:r>
    </w:p>
    <w:p w14:paraId="0DEF1BBE" w14:textId="77777777" w:rsidR="002327F0" w:rsidRDefault="002327F0" w:rsidP="002327F0">
      <w:pPr>
        <w:pStyle w:val="Body"/>
        <w:numPr>
          <w:ilvl w:val="0"/>
          <w:numId w:val="31"/>
        </w:numPr>
        <w:spacing w:after="0"/>
      </w:pPr>
      <w:r w:rsidRPr="002327F0">
        <w:t>Innovative approaches to sustainable wastewater treatment: A comprehensive exploration of conventional and emerging technologies. (2024). Environmental Science Advances, 4(2), 189–222. https://doi.org/10.1039/d4va00136b</w:t>
      </w:r>
    </w:p>
    <w:p w14:paraId="29080504" w14:textId="77777777" w:rsidR="002327F0" w:rsidRDefault="002327F0" w:rsidP="002327F0">
      <w:pPr>
        <w:pStyle w:val="Body"/>
        <w:numPr>
          <w:ilvl w:val="0"/>
          <w:numId w:val="31"/>
        </w:numPr>
        <w:spacing w:after="0"/>
      </w:pPr>
      <w:r w:rsidRPr="002327F0">
        <w:t xml:space="preserve">Jobling, S., Nolan, M., Tyler, C. R., </w:t>
      </w:r>
      <w:proofErr w:type="spellStart"/>
      <w:r w:rsidRPr="002327F0">
        <w:t>Brighty</w:t>
      </w:r>
      <w:proofErr w:type="spellEnd"/>
      <w:r w:rsidRPr="002327F0">
        <w:t>, G., &amp; Sumpter, J. P. (1998). Widespread Sexual Disruption in Wild Fish. Environmental Science &amp; Technology, 32(17), 2498–2506. https://doi.org/10.1021/es9710870</w:t>
      </w:r>
    </w:p>
    <w:p w14:paraId="33B53EC0" w14:textId="77777777" w:rsidR="002327F0" w:rsidRDefault="002327F0" w:rsidP="002327F0">
      <w:pPr>
        <w:pStyle w:val="Body"/>
        <w:numPr>
          <w:ilvl w:val="0"/>
          <w:numId w:val="31"/>
        </w:numPr>
        <w:spacing w:after="0"/>
      </w:pPr>
      <w:proofErr w:type="spellStart"/>
      <w:r w:rsidRPr="002327F0">
        <w:t>Jureczko</w:t>
      </w:r>
      <w:proofErr w:type="spellEnd"/>
      <w:r w:rsidRPr="002327F0">
        <w:t xml:space="preserve">, M., &amp; </w:t>
      </w:r>
      <w:proofErr w:type="spellStart"/>
      <w:r w:rsidRPr="002327F0">
        <w:t>Przystaś</w:t>
      </w:r>
      <w:proofErr w:type="spellEnd"/>
      <w:r w:rsidRPr="002327F0">
        <w:t>, W. (2024). Toxicity toward freshwater and marine water organisms of the cytostatic drugs bleomycin and vincristine and their binary mixture. Science of The Total Environment, 933, 173175. https://doi.org/10.1016/j.scitotenv.2024.173175</w:t>
      </w:r>
    </w:p>
    <w:p w14:paraId="4B350C7D" w14:textId="77777777" w:rsidR="002327F0" w:rsidRDefault="002327F0" w:rsidP="002327F0">
      <w:pPr>
        <w:pStyle w:val="Body"/>
        <w:numPr>
          <w:ilvl w:val="0"/>
          <w:numId w:val="31"/>
        </w:numPr>
        <w:spacing w:after="0"/>
      </w:pPr>
      <w:r w:rsidRPr="002327F0">
        <w:t>Khaki, Q. Z., &amp; Kumar, P. (2025). Ecological Impacts of Microplastics and Their Additives. In Microplastics in the Environment (pp. 259–282). John Wiley &amp; Sons, Ltd. https://doi.org/10.1002/9781394251100.ch10</w:t>
      </w:r>
    </w:p>
    <w:p w14:paraId="4D2CEEDA" w14:textId="77777777" w:rsidR="002327F0" w:rsidRDefault="002327F0" w:rsidP="002327F0">
      <w:pPr>
        <w:pStyle w:val="Body"/>
        <w:numPr>
          <w:ilvl w:val="0"/>
          <w:numId w:val="31"/>
        </w:numPr>
        <w:spacing w:after="0"/>
      </w:pPr>
      <w:r w:rsidRPr="002327F0">
        <w:t xml:space="preserve">Kumar, R., </w:t>
      </w:r>
      <w:proofErr w:type="spellStart"/>
      <w:r w:rsidRPr="002327F0">
        <w:t>Vuppaladadiyam</w:t>
      </w:r>
      <w:proofErr w:type="spellEnd"/>
      <w:r w:rsidRPr="002327F0">
        <w:t>, A. K., Antunes, E., Whelan, A., Fearon, R., Sheehan, M., &amp; Reeves, L. (2022). Emerging contaminants in biosolids: Presence, fate and analytical techniques. Emerging Contaminants, 8, 162–194. https://doi.org/10.1016/j.emcon.2022.03.004</w:t>
      </w:r>
    </w:p>
    <w:p w14:paraId="4FD3FA0F" w14:textId="77777777" w:rsidR="002327F0" w:rsidRDefault="002327F0" w:rsidP="002327F0">
      <w:pPr>
        <w:pStyle w:val="Body"/>
        <w:numPr>
          <w:ilvl w:val="0"/>
          <w:numId w:val="31"/>
        </w:numPr>
        <w:spacing w:after="0"/>
      </w:pPr>
      <w:proofErr w:type="spellStart"/>
      <w:r w:rsidRPr="002327F0">
        <w:t>Kümmerer</w:t>
      </w:r>
      <w:proofErr w:type="spellEnd"/>
      <w:r w:rsidRPr="002327F0">
        <w:t>, K. (2009). The presence of pharmaceuticals in the environment due to human use – present knowledge and future challenges. Journal of Environmental Management, 90(8), 2354–2366. https://doi.org/10.1016/j.jenvman.2009.01.023</w:t>
      </w:r>
    </w:p>
    <w:p w14:paraId="122CFBA0" w14:textId="77777777" w:rsidR="002327F0" w:rsidRDefault="002327F0" w:rsidP="002327F0">
      <w:pPr>
        <w:pStyle w:val="Body"/>
        <w:numPr>
          <w:ilvl w:val="0"/>
          <w:numId w:val="31"/>
        </w:numPr>
        <w:spacing w:after="0"/>
      </w:pPr>
      <w:r w:rsidRPr="002327F0">
        <w:t xml:space="preserve">Law, I., Becker, E., </w:t>
      </w:r>
      <w:proofErr w:type="spellStart"/>
      <w:r w:rsidRPr="002327F0">
        <w:t>Spoja</w:t>
      </w:r>
      <w:proofErr w:type="spellEnd"/>
      <w:r w:rsidRPr="002327F0">
        <w:t xml:space="preserve">, B. S., Kobal, K., </w:t>
      </w:r>
      <w:proofErr w:type="spellStart"/>
      <w:r w:rsidRPr="002327F0">
        <w:t>Yiridoe</w:t>
      </w:r>
      <w:proofErr w:type="spellEnd"/>
      <w:r w:rsidRPr="002327F0">
        <w:t xml:space="preserve">, M., </w:t>
      </w:r>
      <w:proofErr w:type="spellStart"/>
      <w:r w:rsidRPr="002327F0">
        <w:t>Alashraf</w:t>
      </w:r>
      <w:proofErr w:type="spellEnd"/>
      <w:r w:rsidRPr="002327F0">
        <w:t>, A., Parker, B. L., McCarthy, D. T., &amp; Murphy, H. M. (2025). Assessing Passive Sampling for the Monitoring of E. coli and Cryptosporidium spp. In Environmental Waters. ACS ES&amp;T Water, 5(4), 1673–1682. https://doi.org/10.1021/acsestwater.4c01029</w:t>
      </w:r>
    </w:p>
    <w:p w14:paraId="62BDEB5C" w14:textId="77777777" w:rsidR="002327F0" w:rsidRDefault="002327F0" w:rsidP="002327F0">
      <w:pPr>
        <w:pStyle w:val="Body"/>
        <w:numPr>
          <w:ilvl w:val="0"/>
          <w:numId w:val="31"/>
        </w:numPr>
        <w:spacing w:after="0"/>
      </w:pPr>
      <w:r w:rsidRPr="002327F0">
        <w:t>Lee, R. M. H., Dhingra, S., &amp; Khaw, P. T. (2024). Antimetabolite-Augmented Trabeculectomy Combined with Cataract Extraction for the Treatment of Cataract and Glaucoma. In S. M. Johnson (Ed.), Cataract Surgery in the Glaucoma Patient (pp. 157–166). Springer Nature Switzerland. https://doi.org/10.1007/978-3-031-65956-0_15</w:t>
      </w:r>
    </w:p>
    <w:p w14:paraId="2AFB1824" w14:textId="77777777" w:rsidR="002327F0" w:rsidRDefault="002327F0" w:rsidP="002327F0">
      <w:pPr>
        <w:pStyle w:val="Body"/>
        <w:numPr>
          <w:ilvl w:val="0"/>
          <w:numId w:val="31"/>
        </w:numPr>
        <w:spacing w:after="0"/>
      </w:pPr>
      <w:r w:rsidRPr="002327F0">
        <w:t>Li, D., Chen, H., Liu, H., Schlenk, D., Mu, J., Lacorte, S., Ying, G.-G., &amp; Xie, L. (2021a). Anticancer drugs in the aquatic ecosystem: Environmental occurrence, ecotoxicological effect and risk assessment. Environment International, 153, 106543. https://doi.org/10.1016/j.envint.2021.106543</w:t>
      </w:r>
    </w:p>
    <w:p w14:paraId="7DD9F03F" w14:textId="77777777" w:rsidR="002327F0" w:rsidRDefault="002327F0" w:rsidP="002327F0">
      <w:pPr>
        <w:pStyle w:val="Body"/>
        <w:numPr>
          <w:ilvl w:val="0"/>
          <w:numId w:val="31"/>
        </w:numPr>
        <w:spacing w:after="0"/>
      </w:pPr>
      <w:r w:rsidRPr="002327F0">
        <w:t>Li, D., Chen, H., Liu, H., Schlenk, D., Mu, J., Lacorte, S., Ying, G.-G., &amp; Xie, L. (2021b). Anticancer drugs in the aquatic ecosystem: Environmental occurrence, ecotoxicological effect and risk assessment. Environment International, 153, 106543. https://doi.org/10.1016/j.envint.2021.106543</w:t>
      </w:r>
    </w:p>
    <w:p w14:paraId="2CE2928E" w14:textId="77777777" w:rsidR="002327F0" w:rsidRDefault="002327F0" w:rsidP="002327F0">
      <w:pPr>
        <w:pStyle w:val="Body"/>
        <w:numPr>
          <w:ilvl w:val="0"/>
          <w:numId w:val="31"/>
        </w:numPr>
        <w:spacing w:after="0"/>
      </w:pPr>
      <w:r w:rsidRPr="002327F0">
        <w:t xml:space="preserve">Li, D., Chen, H., Liu, H., Schlenk, D., Mu, J., Lacorte, S., Ying, G.-G., &amp; Xie, L. (2021c). Anticancer drugs in the aquatic ecosystem: Environmental occurrence, </w:t>
      </w:r>
      <w:r w:rsidRPr="002327F0">
        <w:lastRenderedPageBreak/>
        <w:t>ecotoxicological effect and risk assessment. Environment International, 153, 106543. https://doi.org/10.1016/j.envint.2021.106543</w:t>
      </w:r>
    </w:p>
    <w:p w14:paraId="0B1D1A32" w14:textId="77777777" w:rsidR="002327F0" w:rsidRDefault="002327F0" w:rsidP="002327F0">
      <w:pPr>
        <w:pStyle w:val="Body"/>
        <w:numPr>
          <w:ilvl w:val="0"/>
          <w:numId w:val="31"/>
        </w:numPr>
        <w:spacing w:after="0"/>
      </w:pPr>
      <w:r w:rsidRPr="002327F0">
        <w:t xml:space="preserve">Li, Y., Hou, Z., Xiao, Z., Lu, C., Jin, J., He, Y., Jin, J., &amp; Suntharalingam, K. (2025). Modulating the Anticancer Activity of Square-Planar Platinum (II) Complex by Its Chelated </w:t>
      </w:r>
      <w:proofErr w:type="spellStart"/>
      <w:r w:rsidRPr="002327F0">
        <w:t>Diphosphine</w:t>
      </w:r>
      <w:proofErr w:type="spellEnd"/>
      <w:r w:rsidRPr="002327F0">
        <w:t>. Applied Organometallic Chemistry, 39(2), e7803. https://doi.org/10.1002/aoc.7803</w:t>
      </w:r>
    </w:p>
    <w:p w14:paraId="7682A403" w14:textId="77777777" w:rsidR="002327F0" w:rsidRDefault="002327F0" w:rsidP="002327F0">
      <w:pPr>
        <w:pStyle w:val="Body"/>
        <w:numPr>
          <w:ilvl w:val="0"/>
          <w:numId w:val="31"/>
        </w:numPr>
        <w:spacing w:after="0"/>
      </w:pPr>
      <w:r w:rsidRPr="002327F0">
        <w:t>Macko, P., Palosaari, T., &amp; Whelan, M. (2021). Extrapolating from acute to chronic toxicity in vitro. Toxicology in Vitro, 76, 105206. https://doi.org/10.1016/j.tiv.2021.105206</w:t>
      </w:r>
    </w:p>
    <w:p w14:paraId="0CDAFB9B" w14:textId="77777777" w:rsidR="002327F0" w:rsidRDefault="002327F0" w:rsidP="002327F0">
      <w:pPr>
        <w:pStyle w:val="Body"/>
        <w:numPr>
          <w:ilvl w:val="0"/>
          <w:numId w:val="31"/>
        </w:numPr>
        <w:spacing w:after="0"/>
      </w:pPr>
      <w:r w:rsidRPr="002327F0">
        <w:t xml:space="preserve">Mahmood, A. A., Hadi, J. M., &amp; </w:t>
      </w:r>
      <w:proofErr w:type="spellStart"/>
      <w:r w:rsidRPr="002327F0">
        <w:t>Maolood</w:t>
      </w:r>
      <w:proofErr w:type="spellEnd"/>
      <w:r w:rsidRPr="002327F0">
        <w:t>, I. Q. (2021). Use of nutritional supplements among gym clubs participants in Sulaymaniyah City, Kurdistan Region of Iraq. International Journal of Occupational Safety and Health, 11(3), 121–128.</w:t>
      </w:r>
    </w:p>
    <w:p w14:paraId="47F32E2B" w14:textId="77777777" w:rsidR="002327F0" w:rsidRDefault="002327F0" w:rsidP="002327F0">
      <w:pPr>
        <w:pStyle w:val="Body"/>
        <w:numPr>
          <w:ilvl w:val="0"/>
          <w:numId w:val="31"/>
        </w:numPr>
        <w:spacing w:after="0"/>
      </w:pPr>
      <w:r w:rsidRPr="002327F0">
        <w:t>Mahmood, A. A., Omar, A. A., Ahmed, M. J., Salih, A. M., Omar, Z. O., &amp; Abdulrahman, R. R. (2025). Atopic Dermatitis: Advances in Pathogenesis, Management, and Future Directions. Asian Journal of Research in Medical and Pharmaceutical Sciences, 14(3), 67–79.</w:t>
      </w:r>
    </w:p>
    <w:p w14:paraId="573EFEB0" w14:textId="77777777" w:rsidR="002327F0" w:rsidRDefault="002327F0" w:rsidP="002327F0">
      <w:pPr>
        <w:pStyle w:val="Body"/>
        <w:numPr>
          <w:ilvl w:val="0"/>
          <w:numId w:val="31"/>
        </w:numPr>
        <w:spacing w:after="0"/>
      </w:pPr>
      <w:r w:rsidRPr="002327F0">
        <w:t xml:space="preserve">Mahmood, A., Hadi, J., &amp; </w:t>
      </w:r>
      <w:proofErr w:type="spellStart"/>
      <w:r w:rsidRPr="002327F0">
        <w:t>Maolood</w:t>
      </w:r>
      <w:proofErr w:type="spellEnd"/>
      <w:r w:rsidRPr="002327F0">
        <w:t>, I. (2021). Use of Nutritional Supplements Among Gym Clubs Participants in Sulaymaniyah City, Kurdistan Region of Iraq. International Journal of Occupational Safety and Health, 11, 121–128. https://doi.org/10.3126/ijosh.v11i3.39763</w:t>
      </w:r>
    </w:p>
    <w:p w14:paraId="26BD8253" w14:textId="77777777" w:rsidR="002327F0" w:rsidRDefault="002327F0" w:rsidP="002327F0">
      <w:pPr>
        <w:pStyle w:val="Body"/>
        <w:numPr>
          <w:ilvl w:val="0"/>
          <w:numId w:val="31"/>
        </w:numPr>
        <w:spacing w:after="0"/>
      </w:pPr>
      <w:r w:rsidRPr="002327F0">
        <w:t>Mahmood, A., Omar, A., Salih, A. M., Ahmed, M., Aziz, S., &amp; Obaid, M. (2025). Protein Corona Formation on Surface- modified SPIO Nanoparticles: Effects of pH, Coating and Incubation Time. Journal of Advances in Medical and Pharmaceutical Sciences, 27, 50–62. https://doi.org/10.9734/jamps/2025/v27i6787</w:t>
      </w:r>
    </w:p>
    <w:p w14:paraId="4F3D8291" w14:textId="77777777" w:rsidR="002327F0" w:rsidRDefault="002327F0" w:rsidP="002327F0">
      <w:pPr>
        <w:pStyle w:val="Body"/>
        <w:numPr>
          <w:ilvl w:val="0"/>
          <w:numId w:val="31"/>
        </w:numPr>
        <w:spacing w:after="0"/>
      </w:pPr>
      <w:r w:rsidRPr="002327F0">
        <w:t xml:space="preserve">Majeed, M. I., &amp; </w:t>
      </w:r>
      <w:proofErr w:type="spellStart"/>
      <w:r w:rsidRPr="002327F0">
        <w:t>Qaddoori</w:t>
      </w:r>
      <w:proofErr w:type="spellEnd"/>
      <w:r w:rsidRPr="002327F0">
        <w:t xml:space="preserve">, H. T. (2022). Nanotechnology Targeting Drug Delivery With Biosensor—A Review. </w:t>
      </w:r>
      <w:proofErr w:type="spellStart"/>
      <w:r w:rsidRPr="002327F0">
        <w:t>Academicia</w:t>
      </w:r>
      <w:proofErr w:type="spellEnd"/>
      <w:r w:rsidRPr="002327F0">
        <w:t xml:space="preserve"> Globe, 3(03), 39–56. https://doi.org/10.17605/OSF.IO/7C9KJ</w:t>
      </w:r>
    </w:p>
    <w:p w14:paraId="05C6DB68" w14:textId="77777777" w:rsidR="002327F0" w:rsidRDefault="002327F0" w:rsidP="002327F0">
      <w:pPr>
        <w:pStyle w:val="Body"/>
        <w:numPr>
          <w:ilvl w:val="0"/>
          <w:numId w:val="31"/>
        </w:numPr>
        <w:spacing w:after="0"/>
      </w:pPr>
      <w:proofErr w:type="spellStart"/>
      <w:r w:rsidRPr="002327F0">
        <w:t>Maolood</w:t>
      </w:r>
      <w:proofErr w:type="spellEnd"/>
      <w:r w:rsidRPr="002327F0">
        <w:t xml:space="preserve">, I. Y., &amp; </w:t>
      </w:r>
      <w:proofErr w:type="spellStart"/>
      <w:r w:rsidRPr="002327F0">
        <w:t>Mhmood</w:t>
      </w:r>
      <w:proofErr w:type="spellEnd"/>
      <w:r w:rsidRPr="002327F0">
        <w:t>, A. A. (2021). Survey of Public Knowledge and Implementation Regarding COVID-19 in Sulaymaniyah City. Polytechnic Journal, 11(2), 37–41. https://doi.org/10.25156/ptj.v11n2y2021.pp37-41</w:t>
      </w:r>
    </w:p>
    <w:p w14:paraId="38DBD962" w14:textId="77777777" w:rsidR="002327F0" w:rsidRDefault="002327F0" w:rsidP="002327F0">
      <w:pPr>
        <w:pStyle w:val="Body"/>
        <w:numPr>
          <w:ilvl w:val="0"/>
          <w:numId w:val="31"/>
        </w:numPr>
        <w:spacing w:after="0"/>
      </w:pPr>
      <w:proofErr w:type="spellStart"/>
      <w:r w:rsidRPr="002327F0">
        <w:t>Mišík</w:t>
      </w:r>
      <w:proofErr w:type="spellEnd"/>
      <w:r w:rsidRPr="002327F0">
        <w:t xml:space="preserve">, M., </w:t>
      </w:r>
      <w:proofErr w:type="spellStart"/>
      <w:r w:rsidRPr="002327F0">
        <w:t>Filipic</w:t>
      </w:r>
      <w:proofErr w:type="spellEnd"/>
      <w:r w:rsidRPr="002327F0">
        <w:t xml:space="preserve">, M., Nersesyan, A., Kundi, M., </w:t>
      </w:r>
      <w:proofErr w:type="spellStart"/>
      <w:r w:rsidRPr="002327F0">
        <w:t>Isidori</w:t>
      </w:r>
      <w:proofErr w:type="spellEnd"/>
      <w:r w:rsidRPr="002327F0">
        <w:t xml:space="preserve">, M., &amp; </w:t>
      </w:r>
      <w:proofErr w:type="spellStart"/>
      <w:r w:rsidRPr="002327F0">
        <w:t>Knasmueller</w:t>
      </w:r>
      <w:proofErr w:type="spellEnd"/>
      <w:r w:rsidRPr="002327F0">
        <w:t>, S. (2019). Environmental risk assessment of widely used anticancer drugs (5-fluorouracil, cisplatin, etoposide, imatinib mesylate). Water Research, 164, 114953. https://doi.org/10.1016/j.watres.2019.114953</w:t>
      </w:r>
    </w:p>
    <w:p w14:paraId="652F4BB5" w14:textId="77777777" w:rsidR="002327F0" w:rsidRDefault="002327F0" w:rsidP="002327F0">
      <w:pPr>
        <w:pStyle w:val="Body"/>
        <w:numPr>
          <w:ilvl w:val="0"/>
          <w:numId w:val="31"/>
        </w:numPr>
        <w:spacing w:after="0"/>
      </w:pPr>
      <w:r w:rsidRPr="002327F0">
        <w:t xml:space="preserve">Nassour, C., </w:t>
      </w:r>
      <w:proofErr w:type="spellStart"/>
      <w:r w:rsidRPr="002327F0">
        <w:t>Nabhani-Gebara</w:t>
      </w:r>
      <w:proofErr w:type="spellEnd"/>
      <w:r w:rsidRPr="002327F0">
        <w:t>, S., Barton, S. J., &amp; Barker, J. (2024). Anti-cancer drug waste disposal practices and wastewater management in hospitals: A Lebanese survey. Journal of Oncology Pharmacy Practice, 30(1), 78–87. https://doi.org/10.1177/10781552231167875</w:t>
      </w:r>
    </w:p>
    <w:p w14:paraId="6278470D" w14:textId="77777777" w:rsidR="002327F0" w:rsidRDefault="002327F0" w:rsidP="002327F0">
      <w:pPr>
        <w:pStyle w:val="Body"/>
        <w:numPr>
          <w:ilvl w:val="0"/>
          <w:numId w:val="31"/>
        </w:numPr>
        <w:spacing w:after="0"/>
      </w:pPr>
      <w:r w:rsidRPr="002327F0">
        <w:t>Olivier, T., Haslam, A., &amp; Prasad, V. (2021). Anticancer Drugs Approved by the US Food and Drug Administration From 2009 to 2020 According to Their Mechanism of Action. JAMA Network Open, 4(12), e2138793. https://doi.org/10.1001/jamanetworkopen.2021.38793</w:t>
      </w:r>
    </w:p>
    <w:p w14:paraId="3B4AB7EE" w14:textId="77777777" w:rsidR="002327F0" w:rsidRDefault="002327F0" w:rsidP="002327F0">
      <w:pPr>
        <w:pStyle w:val="Body"/>
        <w:numPr>
          <w:ilvl w:val="0"/>
          <w:numId w:val="31"/>
        </w:numPr>
        <w:spacing w:after="0"/>
      </w:pPr>
      <w:r w:rsidRPr="002327F0">
        <w:t xml:space="preserve">Omer, Z., </w:t>
      </w:r>
      <w:proofErr w:type="spellStart"/>
      <w:r w:rsidRPr="002327F0">
        <w:t>Hamasalih</w:t>
      </w:r>
      <w:proofErr w:type="spellEnd"/>
      <w:r w:rsidRPr="002327F0">
        <w:t xml:space="preserve">, I., Salih, A. M., Mohammed, K., Jawhar, S., Mohammed </w:t>
      </w:r>
      <w:proofErr w:type="spellStart"/>
      <w:r w:rsidRPr="002327F0">
        <w:t>Sdiq</w:t>
      </w:r>
      <w:proofErr w:type="spellEnd"/>
      <w:r w:rsidRPr="002327F0">
        <w:t xml:space="preserve">, S., Mohammed, S., Rasul, S., Ali, R., Yaqub, K., &amp; Mahmood, A. (2025). Gypsum Calcination in order to Clear Impurities and to Use </w:t>
      </w:r>
      <w:proofErr w:type="spellStart"/>
      <w:r w:rsidRPr="002327F0">
        <w:t>Phosphogypsum</w:t>
      </w:r>
      <w:proofErr w:type="spellEnd"/>
      <w:r w:rsidRPr="002327F0">
        <w:t xml:space="preserve"> at its Entire Cycle Microbial Bioremediation.</w:t>
      </w:r>
    </w:p>
    <w:p w14:paraId="3C7F091E" w14:textId="77777777" w:rsidR="002327F0" w:rsidRDefault="002327F0" w:rsidP="002327F0">
      <w:pPr>
        <w:pStyle w:val="Body"/>
        <w:numPr>
          <w:ilvl w:val="0"/>
          <w:numId w:val="31"/>
        </w:numPr>
        <w:spacing w:after="0"/>
      </w:pPr>
      <w:r w:rsidRPr="002327F0">
        <w:t>Parker, G., &amp; Miller, F. A. (2024). Tackling Pharmaceutical Pollution Along the Product Lifecycle: Roles and Responsibilities for Producers, Regulators and Prescribers. Pharmacy, 12(6), Article 6. https://doi.org/10.3390/pharmacy12060173</w:t>
      </w:r>
    </w:p>
    <w:p w14:paraId="708D8DB3" w14:textId="77777777" w:rsidR="002327F0" w:rsidRDefault="002327F0" w:rsidP="002327F0">
      <w:pPr>
        <w:pStyle w:val="Body"/>
        <w:numPr>
          <w:ilvl w:val="0"/>
          <w:numId w:val="31"/>
        </w:numPr>
        <w:spacing w:after="0"/>
      </w:pPr>
      <w:r w:rsidRPr="002327F0">
        <w:t>Rajput, S. K., &amp; Singh, S. (2025). Chapter 45 - The influence of alkylating agent on environment: Cyclophosphamide. In M. Chawla, J. Singh, &amp; R. D. Kaushik (Eds.), Hazardous Chemicals (pp. 629–643). Academic Press. https://doi.org/10.1016/B978-0-323-95235-4.00061-X</w:t>
      </w:r>
    </w:p>
    <w:p w14:paraId="01820903" w14:textId="77777777" w:rsidR="002327F0" w:rsidRDefault="002327F0" w:rsidP="002327F0">
      <w:pPr>
        <w:pStyle w:val="Body"/>
        <w:numPr>
          <w:ilvl w:val="0"/>
          <w:numId w:val="31"/>
        </w:numPr>
        <w:spacing w:after="0"/>
      </w:pPr>
      <w:r w:rsidRPr="002327F0">
        <w:lastRenderedPageBreak/>
        <w:t>Richardson, S. D., &amp; Kimura, S. Y. (2016). Water Analysis: Emerging Contaminants and Current Issues. Analytical Chemistry, 88(1), 546–582. https://doi.org/10.1021/acs.analchem.5b04493</w:t>
      </w:r>
    </w:p>
    <w:p w14:paraId="74A06AAA" w14:textId="77777777" w:rsidR="002327F0" w:rsidRDefault="002327F0" w:rsidP="002327F0">
      <w:pPr>
        <w:pStyle w:val="Body"/>
        <w:numPr>
          <w:ilvl w:val="0"/>
          <w:numId w:val="31"/>
        </w:numPr>
        <w:spacing w:after="0"/>
      </w:pPr>
      <w:proofErr w:type="spellStart"/>
      <w:r w:rsidRPr="002327F0">
        <w:t>Samanci</w:t>
      </w:r>
      <w:proofErr w:type="spellEnd"/>
      <w:r w:rsidRPr="002327F0">
        <w:t xml:space="preserve">, S. N., </w:t>
      </w:r>
      <w:proofErr w:type="spellStart"/>
      <w:r w:rsidRPr="002327F0">
        <w:t>Ozcelikay-</w:t>
      </w:r>
      <w:proofErr w:type="gramStart"/>
      <w:r w:rsidRPr="002327F0">
        <w:t>Akyildiz</w:t>
      </w:r>
      <w:proofErr w:type="spellEnd"/>
      <w:r w:rsidRPr="002327F0">
        <w:t xml:space="preserve"> ,</w:t>
      </w:r>
      <w:proofErr w:type="spellStart"/>
      <w:r w:rsidRPr="002327F0">
        <w:t>Goksu</w:t>
      </w:r>
      <w:proofErr w:type="spellEnd"/>
      <w:proofErr w:type="gramEnd"/>
      <w:r w:rsidRPr="002327F0">
        <w:t xml:space="preserve">, &amp; and Ozkan, S. A. (2025). A review: Electrochemical analysis and application of anticancer drugs with MIP-based sensors and </w:t>
      </w:r>
      <w:proofErr w:type="spellStart"/>
      <w:r w:rsidRPr="002327F0">
        <w:t>nanosensors</w:t>
      </w:r>
      <w:proofErr w:type="spellEnd"/>
      <w:r w:rsidRPr="002327F0">
        <w:t>. Essential Chem, 2(1), 1–19. https://doi.org/10.1080/28378083.2025.2459262</w:t>
      </w:r>
    </w:p>
    <w:p w14:paraId="4928ECE7" w14:textId="77777777" w:rsidR="002327F0" w:rsidRDefault="002327F0" w:rsidP="002327F0">
      <w:pPr>
        <w:pStyle w:val="Body"/>
        <w:numPr>
          <w:ilvl w:val="0"/>
          <w:numId w:val="31"/>
        </w:numPr>
        <w:spacing w:after="0"/>
      </w:pPr>
      <w:r w:rsidRPr="002327F0">
        <w:t xml:space="preserve">Sangwan, K., Goyal, P. K., &amp; Sharma, V. (2025). Pharmacological aspects of FDA-approved novel drug therapies against cancer in 2023: A comprehensive review. </w:t>
      </w:r>
      <w:proofErr w:type="spellStart"/>
      <w:r w:rsidRPr="002327F0">
        <w:t>Naunyn-Schmiedeberg’s</w:t>
      </w:r>
      <w:proofErr w:type="spellEnd"/>
      <w:r w:rsidRPr="002327F0">
        <w:t xml:space="preserve"> Archives of Pharmacology. https://doi.org/10.1007/s00210-025-03961-y</w:t>
      </w:r>
    </w:p>
    <w:p w14:paraId="42152393" w14:textId="77777777" w:rsidR="002327F0" w:rsidRDefault="002327F0" w:rsidP="002327F0">
      <w:pPr>
        <w:pStyle w:val="Body"/>
        <w:numPr>
          <w:ilvl w:val="0"/>
          <w:numId w:val="31"/>
        </w:numPr>
        <w:spacing w:after="0"/>
      </w:pPr>
      <w:proofErr w:type="spellStart"/>
      <w:r w:rsidRPr="002327F0">
        <w:t>Sdiq</w:t>
      </w:r>
      <w:proofErr w:type="spellEnd"/>
      <w:r w:rsidRPr="002327F0">
        <w:t>, S. J. M., Omer, Z. O., Salih, A. M., Ali, R. A., Mahmood, A. A., Sirwan, K., &amp; Hameed, K. (2025). Comparative Analysis of Physicochemical and Sensory Properties of Local Sesame Tahini. European Journal of Nutrition and Food Safety, 17(5), 74–83.</w:t>
      </w:r>
    </w:p>
    <w:p w14:paraId="40028715" w14:textId="77777777" w:rsidR="002327F0" w:rsidRDefault="002327F0" w:rsidP="002327F0">
      <w:pPr>
        <w:pStyle w:val="Body"/>
        <w:numPr>
          <w:ilvl w:val="0"/>
          <w:numId w:val="31"/>
        </w:numPr>
        <w:spacing w:after="0"/>
      </w:pPr>
      <w:proofErr w:type="spellStart"/>
      <w:r w:rsidRPr="002327F0">
        <w:t>Sengar</w:t>
      </w:r>
      <w:proofErr w:type="spellEnd"/>
      <w:r w:rsidRPr="002327F0">
        <w:t>, R., Dubey, S., &amp; Dubey, H. (2025a). Clinical advancements in cancer Diagnosis: The role of nanotechnology in cancer imaging and drug delivery. In Nanoplatforms for Cancer Imaging. IOP Publishing. https://doi.org/10.1088/978-0-7503-5864-4ch4</w:t>
      </w:r>
    </w:p>
    <w:p w14:paraId="3C0511D0" w14:textId="77777777" w:rsidR="002327F0" w:rsidRDefault="002327F0" w:rsidP="002327F0">
      <w:pPr>
        <w:pStyle w:val="Body"/>
        <w:numPr>
          <w:ilvl w:val="0"/>
          <w:numId w:val="31"/>
        </w:numPr>
        <w:spacing w:after="0"/>
      </w:pPr>
      <w:proofErr w:type="spellStart"/>
      <w:r w:rsidRPr="002327F0">
        <w:t>Sengar</w:t>
      </w:r>
      <w:proofErr w:type="spellEnd"/>
      <w:r w:rsidRPr="002327F0">
        <w:t>, R., Dubey, S., &amp; Dubey, H. (2025b). Clinical advancements in cancer Diagnosis: The role of nanotechnology in cancer imaging and drug delivery. In Nanoplatforms for Cancer Imaging. IOP Publishing. https://doi.org/10.1088/978-0-7503-5864-4ch4</w:t>
      </w:r>
    </w:p>
    <w:p w14:paraId="29892298" w14:textId="77777777" w:rsidR="002327F0" w:rsidRDefault="002327F0" w:rsidP="002327F0">
      <w:pPr>
        <w:pStyle w:val="Body"/>
        <w:numPr>
          <w:ilvl w:val="0"/>
          <w:numId w:val="31"/>
        </w:numPr>
        <w:spacing w:after="0"/>
      </w:pPr>
      <w:proofErr w:type="spellStart"/>
      <w:r w:rsidRPr="002327F0">
        <w:t>Sernita</w:t>
      </w:r>
      <w:proofErr w:type="spellEnd"/>
      <w:r w:rsidRPr="002327F0">
        <w:t xml:space="preserve">, S., Taba, P., Sahidin, I., &amp; </w:t>
      </w:r>
      <w:proofErr w:type="spellStart"/>
      <w:r w:rsidRPr="002327F0">
        <w:t>Soekamto</w:t>
      </w:r>
      <w:proofErr w:type="spellEnd"/>
      <w:r w:rsidRPr="002327F0">
        <w:t xml:space="preserve">, N. H. (2025). Anticancer Assay of Methanol Extract of </w:t>
      </w:r>
      <w:proofErr w:type="spellStart"/>
      <w:r w:rsidRPr="002327F0">
        <w:t>Gracilaria</w:t>
      </w:r>
      <w:proofErr w:type="spellEnd"/>
      <w:r w:rsidRPr="002327F0">
        <w:t xml:space="preserve"> </w:t>
      </w:r>
      <w:proofErr w:type="spellStart"/>
      <w:r w:rsidRPr="002327F0">
        <w:t>salicornia</w:t>
      </w:r>
      <w:proofErr w:type="spellEnd"/>
      <w:r w:rsidRPr="002327F0">
        <w:t xml:space="preserve"> Originating from the Hari Islands, Southeast Sulawesi, Against MCF-7 Cancer Cells. Journal of Community Health Provision, 5(1), Article 1. https://doi.org/10.55885/jchp.v5i1.553</w:t>
      </w:r>
    </w:p>
    <w:p w14:paraId="0D00E662" w14:textId="77777777" w:rsidR="002327F0" w:rsidRDefault="002327F0" w:rsidP="002327F0">
      <w:pPr>
        <w:pStyle w:val="Body"/>
        <w:numPr>
          <w:ilvl w:val="0"/>
          <w:numId w:val="31"/>
        </w:numPr>
        <w:spacing w:after="0"/>
      </w:pPr>
      <w:r w:rsidRPr="002327F0">
        <w:t xml:space="preserve">Sugumaran, A., Pandiyan, R., Kandasamy, P., </w:t>
      </w:r>
      <w:proofErr w:type="spellStart"/>
      <w:r w:rsidRPr="002327F0">
        <w:t>Antoniraj</w:t>
      </w:r>
      <w:proofErr w:type="spellEnd"/>
      <w:r w:rsidRPr="002327F0">
        <w:t xml:space="preserve">, M. G., </w:t>
      </w:r>
      <w:proofErr w:type="spellStart"/>
      <w:r w:rsidRPr="002327F0">
        <w:t>Navabshan</w:t>
      </w:r>
      <w:proofErr w:type="spellEnd"/>
      <w:r w:rsidRPr="002327F0">
        <w:t xml:space="preserve">, I., Sakthivel, B., Dharmaraj, S., Chinnaiyan, S. K., Ashokkumar, V., &amp; </w:t>
      </w:r>
      <w:proofErr w:type="spellStart"/>
      <w:r w:rsidRPr="002327F0">
        <w:t>Ngamcharussrivichai</w:t>
      </w:r>
      <w:proofErr w:type="spellEnd"/>
      <w:r w:rsidRPr="002327F0">
        <w:t>, C. (2022). Marine biome-derived secondary metabolites, a class of promising antineoplastic agents: A systematic review on their classification, mechanism of action and future perspectives. Science of The Total Environment, 836, 155445. https://doi.org/10.1016/j.scitotenv.2022.155445</w:t>
      </w:r>
    </w:p>
    <w:p w14:paraId="7692E3D0" w14:textId="77777777" w:rsidR="002327F0" w:rsidRDefault="002327F0" w:rsidP="002327F0">
      <w:pPr>
        <w:pStyle w:val="Body"/>
        <w:numPr>
          <w:ilvl w:val="0"/>
          <w:numId w:val="31"/>
        </w:numPr>
        <w:spacing w:after="0"/>
      </w:pPr>
      <w:r w:rsidRPr="002327F0">
        <w:t xml:space="preserve">Sundararaman, S., Aravind Kumar, J., </w:t>
      </w:r>
      <w:proofErr w:type="spellStart"/>
      <w:r w:rsidRPr="002327F0">
        <w:t>Deivasigamani</w:t>
      </w:r>
      <w:proofErr w:type="spellEnd"/>
      <w:r w:rsidRPr="002327F0">
        <w:t>, P., &amp; Devarajan, Y. (2022). Emerging pharma residue contaminants: Occurrence, monitoring, risk and fate assessment – A challenge to water resource management. Science of The Total Environment, 825, 153897. https://doi.org/10.1016/j.scitotenv.2022.153897</w:t>
      </w:r>
    </w:p>
    <w:p w14:paraId="7C3A94D3" w14:textId="77777777" w:rsidR="002327F0" w:rsidRDefault="002327F0" w:rsidP="002327F0">
      <w:pPr>
        <w:pStyle w:val="Body"/>
        <w:numPr>
          <w:ilvl w:val="0"/>
          <w:numId w:val="31"/>
        </w:numPr>
        <w:spacing w:after="0"/>
      </w:pPr>
      <w:r w:rsidRPr="002327F0">
        <w:t>Thakkar, M. (2025). Strengthening Governance and Policy Frameworks for Sustainable Development: Addressing Corruption, Transparency, and Regulatory Challenges. American Journal of Sustainable Cities and Society, 1, 141–147. https://doi.org/10.5281/zenodo.15422818</w:t>
      </w:r>
    </w:p>
    <w:p w14:paraId="6E6C6301" w14:textId="77777777" w:rsidR="002327F0" w:rsidRDefault="002327F0" w:rsidP="002327F0">
      <w:pPr>
        <w:pStyle w:val="Body"/>
        <w:numPr>
          <w:ilvl w:val="0"/>
          <w:numId w:val="31"/>
        </w:numPr>
        <w:spacing w:after="0"/>
      </w:pPr>
      <w:r w:rsidRPr="002327F0">
        <w:t xml:space="preserve">Tison, L., Beaumelle, L., </w:t>
      </w:r>
      <w:proofErr w:type="spellStart"/>
      <w:r w:rsidRPr="002327F0">
        <w:t>Monceau</w:t>
      </w:r>
      <w:proofErr w:type="spellEnd"/>
      <w:r w:rsidRPr="002327F0">
        <w:t xml:space="preserve">, K., &amp; </w:t>
      </w:r>
      <w:proofErr w:type="spellStart"/>
      <w:r w:rsidRPr="002327F0">
        <w:t>Thiéry</w:t>
      </w:r>
      <w:proofErr w:type="spellEnd"/>
      <w:r w:rsidRPr="002327F0">
        <w:t>, D. (2024). Transfer and bioaccumulation of pesticides in terrestrial arthropods and food webs: State of knowledge and perspectives for research. Chemosphere, 357, 142036. https://doi.org/10.1016/j.chemosphere.2024.142036</w:t>
      </w:r>
    </w:p>
    <w:p w14:paraId="4F1EFD0C" w14:textId="77777777" w:rsidR="002327F0" w:rsidRDefault="002327F0" w:rsidP="002327F0">
      <w:pPr>
        <w:pStyle w:val="Body"/>
        <w:numPr>
          <w:ilvl w:val="0"/>
          <w:numId w:val="31"/>
        </w:numPr>
        <w:spacing w:after="0"/>
      </w:pPr>
      <w:proofErr w:type="spellStart"/>
      <w:r w:rsidRPr="002327F0">
        <w:t>Verlicchi</w:t>
      </w:r>
      <w:proofErr w:type="spellEnd"/>
      <w:r w:rsidRPr="002327F0">
        <w:t xml:space="preserve">, P., Al </w:t>
      </w:r>
      <w:proofErr w:type="spellStart"/>
      <w:r w:rsidRPr="002327F0">
        <w:t>Aukidy</w:t>
      </w:r>
      <w:proofErr w:type="spellEnd"/>
      <w:r w:rsidRPr="002327F0">
        <w:t>, M., Galletti, A., Petrovic, M., &amp; Barceló, D. (2012). Hospital effluent: Investigation of the concentrations and distribution of pharmaceuticals and environmental risk assessment. Science of The Total Environment, 430, 109–118. https://doi.org/10.1016/j.scitotenv.2012.04.055</w:t>
      </w:r>
    </w:p>
    <w:p w14:paraId="72DE8D8C" w14:textId="77777777" w:rsidR="002327F0" w:rsidRDefault="002327F0" w:rsidP="002327F0">
      <w:pPr>
        <w:pStyle w:val="Body"/>
        <w:numPr>
          <w:ilvl w:val="0"/>
          <w:numId w:val="31"/>
        </w:numPr>
        <w:spacing w:after="0"/>
      </w:pPr>
      <w:r w:rsidRPr="002327F0">
        <w:t>Wang, D.-R., Wu, X.-L., &amp; Sun, Y.-L. (2022). Therapeutic targets and biomarkers of tumor immunotherapy: Response versus non-response. Signal Transduction and Targeted Therapy, 7(1), 331. https://doi.org/10.1038/s41392-022-01136-2</w:t>
      </w:r>
    </w:p>
    <w:p w14:paraId="5EE92C0B" w14:textId="77777777" w:rsidR="002327F0" w:rsidRDefault="002327F0" w:rsidP="002327F0">
      <w:pPr>
        <w:pStyle w:val="Body"/>
        <w:numPr>
          <w:ilvl w:val="0"/>
          <w:numId w:val="31"/>
        </w:numPr>
        <w:spacing w:after="0"/>
      </w:pPr>
      <w:r w:rsidRPr="002327F0">
        <w:lastRenderedPageBreak/>
        <w:t xml:space="preserve">Wei, Y., Liao, R., Mahmood, A. A., Xu, H., &amp; Zhou, Q. (2017a). pH-responsive </w:t>
      </w:r>
      <w:proofErr w:type="spellStart"/>
      <w:r w:rsidRPr="002327F0">
        <w:t>pHLIP</w:t>
      </w:r>
      <w:proofErr w:type="spellEnd"/>
      <w:r w:rsidRPr="002327F0">
        <w:t xml:space="preserve"> (pH low insertion peptide) nanoclusters of superparamagnetic iron oxide nanoparticles as a tumor-selective MRI contrast agent. Acta </w:t>
      </w:r>
      <w:proofErr w:type="spellStart"/>
      <w:r w:rsidRPr="002327F0">
        <w:t>Biomaterialia</w:t>
      </w:r>
      <w:proofErr w:type="spellEnd"/>
      <w:r w:rsidRPr="002327F0">
        <w:t>, 55, 194–203. https://doi.org/10.1016/j.actbio.2017.03.046</w:t>
      </w:r>
    </w:p>
    <w:p w14:paraId="324B8953" w14:textId="77777777" w:rsidR="002327F0" w:rsidRDefault="002327F0" w:rsidP="002327F0">
      <w:pPr>
        <w:pStyle w:val="Body"/>
        <w:numPr>
          <w:ilvl w:val="0"/>
          <w:numId w:val="31"/>
        </w:numPr>
        <w:spacing w:after="0"/>
      </w:pPr>
      <w:r w:rsidRPr="002327F0">
        <w:t xml:space="preserve">Wei, Y., Liao, R., Mahmood, A. A., Xu, H., &amp; Zhou, Q. (2017b). pH-responsive </w:t>
      </w:r>
      <w:proofErr w:type="spellStart"/>
      <w:r w:rsidRPr="002327F0">
        <w:t>pHLIP</w:t>
      </w:r>
      <w:proofErr w:type="spellEnd"/>
      <w:r w:rsidRPr="002327F0">
        <w:t xml:space="preserve"> (pH low insertion peptide) nanoclusters of superparamagnetic iron oxide nanoparticles as a tumor-selective MRI contrast agent. Acta </w:t>
      </w:r>
      <w:proofErr w:type="spellStart"/>
      <w:r w:rsidRPr="002327F0">
        <w:t>Biomaterialia</w:t>
      </w:r>
      <w:proofErr w:type="spellEnd"/>
      <w:r w:rsidRPr="002327F0">
        <w:t>, 55, 194–203. https://doi.org/10.1016/j.actbio.2017.03.046</w:t>
      </w:r>
    </w:p>
    <w:p w14:paraId="16DFFB23" w14:textId="77777777" w:rsidR="002327F0" w:rsidRDefault="002327F0" w:rsidP="002327F0">
      <w:pPr>
        <w:pStyle w:val="Body"/>
        <w:numPr>
          <w:ilvl w:val="0"/>
          <w:numId w:val="31"/>
        </w:numPr>
        <w:spacing w:after="0"/>
      </w:pPr>
      <w:r w:rsidRPr="002327F0">
        <w:t xml:space="preserve">Williams, A. J., Lambert, J. C., Thayer, K., &amp; Dorne, J.-L. C. M. (2021). Sourcing data on chemical properties and hazard data from the US-EPA </w:t>
      </w:r>
      <w:proofErr w:type="spellStart"/>
      <w:r w:rsidRPr="002327F0">
        <w:t>CompTox</w:t>
      </w:r>
      <w:proofErr w:type="spellEnd"/>
      <w:r w:rsidRPr="002327F0">
        <w:t xml:space="preserve"> Chemicals Dashboard: A practical guide for human risk assessment. Environment International, 154, 106566. https://doi.org/10.1016/j.envint.2021.106566</w:t>
      </w:r>
    </w:p>
    <w:p w14:paraId="29B23A38" w14:textId="77777777" w:rsidR="002327F0" w:rsidRDefault="002327F0" w:rsidP="002327F0">
      <w:pPr>
        <w:pStyle w:val="Body"/>
        <w:numPr>
          <w:ilvl w:val="0"/>
          <w:numId w:val="31"/>
        </w:numPr>
        <w:spacing w:after="0"/>
      </w:pPr>
      <w:r w:rsidRPr="002327F0">
        <w:t>Xie, Y., Chen, Y., Wei, Q., &amp; Yin, H. (2024). A hybrid deep learning approach to improve real-time effluent quality prediction in wastewater treatment plant. Water Research, 250, 121092. https://doi.org/10.1016/j.watres.2023.121092</w:t>
      </w:r>
    </w:p>
    <w:p w14:paraId="35703B47" w14:textId="77777777" w:rsidR="002327F0" w:rsidRDefault="002327F0" w:rsidP="002327F0">
      <w:pPr>
        <w:pStyle w:val="Body"/>
        <w:numPr>
          <w:ilvl w:val="0"/>
          <w:numId w:val="31"/>
        </w:numPr>
        <w:spacing w:after="0"/>
      </w:pPr>
      <w:r w:rsidRPr="002327F0">
        <w:t>Zimmermann, S., Wolff, C., &amp; Sures, B. (2017). Toxicity of platinum, palladium and rhodium to Daphnia magna in single and binary metal exposure experiments. Environmental Pollution, 224, 368–376. https://doi.org/10.1016/j.envpol.2017.02.016</w:t>
      </w:r>
    </w:p>
    <w:p w14:paraId="2D9EF0D4" w14:textId="77777777" w:rsidR="002327F0" w:rsidRDefault="002327F0" w:rsidP="002327F0">
      <w:pPr>
        <w:pStyle w:val="Body"/>
        <w:numPr>
          <w:ilvl w:val="0"/>
          <w:numId w:val="31"/>
        </w:numPr>
        <w:spacing w:after="0"/>
      </w:pPr>
      <w:proofErr w:type="spellStart"/>
      <w:r w:rsidRPr="002327F0">
        <w:t>Zitvogel</w:t>
      </w:r>
      <w:proofErr w:type="spellEnd"/>
      <w:r w:rsidRPr="002327F0">
        <w:t xml:space="preserve">, L., </w:t>
      </w:r>
      <w:proofErr w:type="spellStart"/>
      <w:r w:rsidRPr="002327F0">
        <w:t>Apetoh</w:t>
      </w:r>
      <w:proofErr w:type="spellEnd"/>
      <w:r w:rsidRPr="002327F0">
        <w:t xml:space="preserve">, L., Ghiringhelli, F., André, F., </w:t>
      </w:r>
      <w:proofErr w:type="spellStart"/>
      <w:r w:rsidRPr="002327F0">
        <w:t>Tesniere</w:t>
      </w:r>
      <w:proofErr w:type="spellEnd"/>
      <w:r w:rsidRPr="002327F0">
        <w:t>, A., &amp; Kroemer, G. (2008a). The anticancer immune response: Indispensable for therapeutic success? The Journal of Clinical Investigation, 118(6), 1991–2001. https://doi.org/10.1172/JCI35180</w:t>
      </w:r>
    </w:p>
    <w:p w14:paraId="4589CD48" w14:textId="77777777" w:rsidR="002327F0" w:rsidRDefault="002327F0" w:rsidP="002327F0">
      <w:pPr>
        <w:pStyle w:val="Body"/>
        <w:numPr>
          <w:ilvl w:val="0"/>
          <w:numId w:val="31"/>
        </w:numPr>
        <w:spacing w:after="0"/>
      </w:pPr>
      <w:proofErr w:type="spellStart"/>
      <w:r w:rsidRPr="002327F0">
        <w:t>Zitvogel</w:t>
      </w:r>
      <w:proofErr w:type="spellEnd"/>
      <w:r w:rsidRPr="002327F0">
        <w:t xml:space="preserve">, L., </w:t>
      </w:r>
      <w:proofErr w:type="spellStart"/>
      <w:r w:rsidRPr="002327F0">
        <w:t>Apetoh</w:t>
      </w:r>
      <w:proofErr w:type="spellEnd"/>
      <w:r w:rsidRPr="002327F0">
        <w:t xml:space="preserve">, L., Ghiringhelli, F., André, F., </w:t>
      </w:r>
      <w:proofErr w:type="spellStart"/>
      <w:r w:rsidRPr="002327F0">
        <w:t>Tesniere</w:t>
      </w:r>
      <w:proofErr w:type="spellEnd"/>
      <w:r w:rsidRPr="002327F0">
        <w:t>, A., &amp; Kroemer, G. (2008b). The anticancer immune response: Indispensable for therapeutic success? The Journal of Clinical Investigation, 118(6), 1991–2001. https://doi.org/10.1172/JCI35180</w:t>
      </w:r>
    </w:p>
    <w:p w14:paraId="52951BF2" w14:textId="77777777" w:rsidR="002327F0" w:rsidRDefault="002327F0" w:rsidP="00441B6F">
      <w:pPr>
        <w:pStyle w:val="Body"/>
        <w:spacing w:after="0"/>
      </w:pPr>
    </w:p>
    <w:sectPr w:rsidR="002327F0" w:rsidSect="002345F4">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9DC89" w14:textId="77777777" w:rsidR="006F1E28" w:rsidRDefault="006F1E28" w:rsidP="00C37E61">
      <w:r>
        <w:separator/>
      </w:r>
    </w:p>
  </w:endnote>
  <w:endnote w:type="continuationSeparator" w:id="0">
    <w:p w14:paraId="4D7C8EE4" w14:textId="77777777" w:rsidR="006F1E28" w:rsidRDefault="006F1E2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B9262" w14:textId="77777777" w:rsidR="00623724" w:rsidRDefault="00623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0C73A" w14:textId="77777777" w:rsidR="00623724" w:rsidRDefault="006237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C507F" w14:textId="77777777" w:rsidR="00FA0167" w:rsidRDefault="00FA0167">
    <w:pPr>
      <w:pStyle w:val="Footer"/>
      <w:rPr>
        <w:rFonts w:ascii="Arial" w:hAnsi="Arial" w:cs="Arial"/>
        <w:sz w:val="16"/>
      </w:rPr>
    </w:pPr>
  </w:p>
  <w:p w14:paraId="6168F99E" w14:textId="77777777" w:rsidR="00FA0167" w:rsidRDefault="00FA0167"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33D084E" w14:textId="77777777" w:rsidR="00FA0167" w:rsidRDefault="00FA0167">
    <w:pPr>
      <w:pStyle w:val="Footer"/>
      <w:rPr>
        <w:rFonts w:ascii="Arial" w:hAnsi="Arial" w:cs="Arial"/>
        <w:sz w:val="16"/>
      </w:rPr>
    </w:pPr>
  </w:p>
  <w:p w14:paraId="27744D03" w14:textId="77777777" w:rsidR="00FA0167" w:rsidRPr="009E048A" w:rsidRDefault="00FA0167">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FFBB0" w14:textId="77777777" w:rsidR="006F1E28" w:rsidRDefault="006F1E28" w:rsidP="00C37E61">
      <w:r>
        <w:separator/>
      </w:r>
    </w:p>
  </w:footnote>
  <w:footnote w:type="continuationSeparator" w:id="0">
    <w:p w14:paraId="5ED0AB13" w14:textId="77777777" w:rsidR="006F1E28" w:rsidRDefault="006F1E2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057F9" w14:textId="1E571623" w:rsidR="00623724" w:rsidRDefault="00623724">
    <w:pPr>
      <w:pStyle w:val="Header"/>
    </w:pPr>
    <w:r>
      <w:rPr>
        <w:noProof/>
      </w:rPr>
      <w:pict w14:anchorId="46F0C8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4577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FC742" w14:textId="084A4435" w:rsidR="00623724" w:rsidRDefault="00623724">
    <w:pPr>
      <w:pStyle w:val="Header"/>
    </w:pPr>
    <w:r>
      <w:rPr>
        <w:noProof/>
      </w:rPr>
      <w:pict w14:anchorId="0FE61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4577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42931" w14:textId="04AD1D4D" w:rsidR="00FA0167" w:rsidRPr="00296529" w:rsidRDefault="00623724" w:rsidP="00296529">
    <w:pPr>
      <w:ind w:left="2160"/>
      <w:jc w:val="center"/>
      <w:rPr>
        <w:rFonts w:ascii="Times New Roman" w:eastAsia="Calibri" w:hAnsi="Times New Roman"/>
        <w:i/>
        <w:sz w:val="18"/>
        <w:szCs w:val="22"/>
      </w:rPr>
    </w:pPr>
    <w:r>
      <w:rPr>
        <w:noProof/>
      </w:rPr>
      <w:pict w14:anchorId="416617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4577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9CEEB4" w14:textId="77777777" w:rsidR="00FA0167" w:rsidRPr="00296529" w:rsidRDefault="00FA0167"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27E482F" w14:textId="77777777" w:rsidR="00FA0167" w:rsidRPr="00296529" w:rsidRDefault="00FA0167"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1A3EFEB" w14:textId="77777777" w:rsidR="00FA0167" w:rsidRPr="00296529" w:rsidRDefault="00FA0167"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937D0BA" w14:textId="77777777" w:rsidR="00FA0167" w:rsidRDefault="00FA0167"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D4F5EE9" w14:textId="77777777" w:rsidR="00FA0167" w:rsidRDefault="00FA0167"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8F90DDA" w14:textId="77777777" w:rsidR="00FA0167" w:rsidRDefault="00FA0167">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BCF4827"/>
    <w:multiLevelType w:val="hybridMultilevel"/>
    <w:tmpl w:val="70CE1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32E3B"/>
    <w:rsid w:val="000346B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327F0"/>
    <w:rsid w:val="002345F4"/>
    <w:rsid w:val="0024282C"/>
    <w:rsid w:val="002460DC"/>
    <w:rsid w:val="00250985"/>
    <w:rsid w:val="002556F6"/>
    <w:rsid w:val="00283105"/>
    <w:rsid w:val="00284C4C"/>
    <w:rsid w:val="00287E68"/>
    <w:rsid w:val="00296529"/>
    <w:rsid w:val="002B27FB"/>
    <w:rsid w:val="002B685A"/>
    <w:rsid w:val="002C30ED"/>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9411E"/>
    <w:rsid w:val="005C784C"/>
    <w:rsid w:val="005D17F6"/>
    <w:rsid w:val="005E5539"/>
    <w:rsid w:val="00602BF5"/>
    <w:rsid w:val="00617FDD"/>
    <w:rsid w:val="00623724"/>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6F1E28"/>
    <w:rsid w:val="0070082C"/>
    <w:rsid w:val="0070643E"/>
    <w:rsid w:val="007369E6"/>
    <w:rsid w:val="00746E59"/>
    <w:rsid w:val="00754C9A"/>
    <w:rsid w:val="0075599A"/>
    <w:rsid w:val="00761D52"/>
    <w:rsid w:val="00773E85"/>
    <w:rsid w:val="0077749E"/>
    <w:rsid w:val="00790ADA"/>
    <w:rsid w:val="007D2288"/>
    <w:rsid w:val="007E088F"/>
    <w:rsid w:val="007F7B32"/>
    <w:rsid w:val="00804BC2"/>
    <w:rsid w:val="0081431A"/>
    <w:rsid w:val="0083216F"/>
    <w:rsid w:val="008538EE"/>
    <w:rsid w:val="00860000"/>
    <w:rsid w:val="00863BD3"/>
    <w:rsid w:val="008641ED"/>
    <w:rsid w:val="00866D66"/>
    <w:rsid w:val="008671C6"/>
    <w:rsid w:val="00875803"/>
    <w:rsid w:val="008B459E"/>
    <w:rsid w:val="008B681B"/>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022F"/>
    <w:rsid w:val="00A51431"/>
    <w:rsid w:val="00A539AD"/>
    <w:rsid w:val="00A94063"/>
    <w:rsid w:val="00AA6219"/>
    <w:rsid w:val="00AA74E0"/>
    <w:rsid w:val="00AB703F"/>
    <w:rsid w:val="00AC6BB8"/>
    <w:rsid w:val="00AE008F"/>
    <w:rsid w:val="00AE5C3D"/>
    <w:rsid w:val="00AF57C1"/>
    <w:rsid w:val="00B01FCD"/>
    <w:rsid w:val="00B1776C"/>
    <w:rsid w:val="00B52583"/>
    <w:rsid w:val="00B52896"/>
    <w:rsid w:val="00B95236"/>
    <w:rsid w:val="00B96BD9"/>
    <w:rsid w:val="00BA1B01"/>
    <w:rsid w:val="00BA2641"/>
    <w:rsid w:val="00BB37AA"/>
    <w:rsid w:val="00BC53A0"/>
    <w:rsid w:val="00BE62AD"/>
    <w:rsid w:val="00BF121F"/>
    <w:rsid w:val="00BF1F80"/>
    <w:rsid w:val="00BF3A2C"/>
    <w:rsid w:val="00C166EF"/>
    <w:rsid w:val="00C17EB0"/>
    <w:rsid w:val="00C27F5F"/>
    <w:rsid w:val="00C30A0F"/>
    <w:rsid w:val="00C37E61"/>
    <w:rsid w:val="00C70F1B"/>
    <w:rsid w:val="00C71A47"/>
    <w:rsid w:val="00C7464C"/>
    <w:rsid w:val="00C85588"/>
    <w:rsid w:val="00CB0ADC"/>
    <w:rsid w:val="00CB7F5D"/>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2D3C"/>
    <w:rsid w:val="00E769F6"/>
    <w:rsid w:val="00E8407C"/>
    <w:rsid w:val="00E84F3C"/>
    <w:rsid w:val="00E8547C"/>
    <w:rsid w:val="00EA012C"/>
    <w:rsid w:val="00EC6A55"/>
    <w:rsid w:val="00ED0288"/>
    <w:rsid w:val="00EE52CB"/>
    <w:rsid w:val="00EF581D"/>
    <w:rsid w:val="00EF7FD8"/>
    <w:rsid w:val="00F06F59"/>
    <w:rsid w:val="00F17988"/>
    <w:rsid w:val="00F469F0"/>
    <w:rsid w:val="00F53273"/>
    <w:rsid w:val="00F755E4"/>
    <w:rsid w:val="00F77D02"/>
    <w:rsid w:val="00FA0167"/>
    <w:rsid w:val="00FA63B0"/>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CD45969"/>
  <w15:docId w15:val="{B8B50227-D983-450F-8586-9590C731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773E8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E8547C"/>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72D3C"/>
    <w:pPr>
      <w:ind w:left="720"/>
      <w:contextualSpacing/>
    </w:pPr>
  </w:style>
  <w:style w:type="character" w:customStyle="1" w:styleId="Heading3Char">
    <w:name w:val="Heading 3 Char"/>
    <w:basedOn w:val="DefaultParagraphFont"/>
    <w:link w:val="Heading3"/>
    <w:semiHidden/>
    <w:rsid w:val="00773E85"/>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773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6178694">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09553007">
      <w:bodyDiv w:val="1"/>
      <w:marLeft w:val="0"/>
      <w:marRight w:val="0"/>
      <w:marTop w:val="0"/>
      <w:marBottom w:val="0"/>
      <w:divBdr>
        <w:top w:val="none" w:sz="0" w:space="0" w:color="auto"/>
        <w:left w:val="none" w:sz="0" w:space="0" w:color="auto"/>
        <w:bottom w:val="none" w:sz="0" w:space="0" w:color="auto"/>
        <w:right w:val="none" w:sz="0" w:space="0" w:color="auto"/>
      </w:divBdr>
    </w:div>
    <w:div w:id="394863107">
      <w:bodyDiv w:val="1"/>
      <w:marLeft w:val="0"/>
      <w:marRight w:val="0"/>
      <w:marTop w:val="0"/>
      <w:marBottom w:val="0"/>
      <w:divBdr>
        <w:top w:val="none" w:sz="0" w:space="0" w:color="auto"/>
        <w:left w:val="none" w:sz="0" w:space="0" w:color="auto"/>
        <w:bottom w:val="none" w:sz="0" w:space="0" w:color="auto"/>
        <w:right w:val="none" w:sz="0" w:space="0" w:color="auto"/>
      </w:divBdr>
    </w:div>
    <w:div w:id="46080707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26218649">
      <w:bodyDiv w:val="1"/>
      <w:marLeft w:val="0"/>
      <w:marRight w:val="0"/>
      <w:marTop w:val="0"/>
      <w:marBottom w:val="0"/>
      <w:divBdr>
        <w:top w:val="none" w:sz="0" w:space="0" w:color="auto"/>
        <w:left w:val="none" w:sz="0" w:space="0" w:color="auto"/>
        <w:bottom w:val="none" w:sz="0" w:space="0" w:color="auto"/>
        <w:right w:val="none" w:sz="0" w:space="0" w:color="auto"/>
      </w:divBdr>
    </w:div>
    <w:div w:id="879634776">
      <w:bodyDiv w:val="1"/>
      <w:marLeft w:val="0"/>
      <w:marRight w:val="0"/>
      <w:marTop w:val="0"/>
      <w:marBottom w:val="0"/>
      <w:divBdr>
        <w:top w:val="none" w:sz="0" w:space="0" w:color="auto"/>
        <w:left w:val="none" w:sz="0" w:space="0" w:color="auto"/>
        <w:bottom w:val="none" w:sz="0" w:space="0" w:color="auto"/>
        <w:right w:val="none" w:sz="0" w:space="0" w:color="auto"/>
      </w:divBdr>
    </w:div>
    <w:div w:id="90807671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36622565">
      <w:bodyDiv w:val="1"/>
      <w:marLeft w:val="0"/>
      <w:marRight w:val="0"/>
      <w:marTop w:val="0"/>
      <w:marBottom w:val="0"/>
      <w:divBdr>
        <w:top w:val="none" w:sz="0" w:space="0" w:color="auto"/>
        <w:left w:val="none" w:sz="0" w:space="0" w:color="auto"/>
        <w:bottom w:val="none" w:sz="0" w:space="0" w:color="auto"/>
        <w:right w:val="none" w:sz="0" w:space="0" w:color="auto"/>
      </w:divBdr>
      <w:divsChild>
        <w:div w:id="1595169343">
          <w:marLeft w:val="-108"/>
          <w:marRight w:val="0"/>
          <w:marTop w:val="0"/>
          <w:marBottom w:val="0"/>
          <w:divBdr>
            <w:top w:val="none" w:sz="0" w:space="0" w:color="auto"/>
            <w:left w:val="none" w:sz="0" w:space="0" w:color="auto"/>
            <w:bottom w:val="none" w:sz="0" w:space="0" w:color="auto"/>
            <w:right w:val="none" w:sz="0" w:space="0" w:color="auto"/>
          </w:divBdr>
        </w:div>
      </w:divsChild>
    </w:div>
    <w:div w:id="1294947651">
      <w:bodyDiv w:val="1"/>
      <w:marLeft w:val="0"/>
      <w:marRight w:val="0"/>
      <w:marTop w:val="0"/>
      <w:marBottom w:val="0"/>
      <w:divBdr>
        <w:top w:val="none" w:sz="0" w:space="0" w:color="auto"/>
        <w:left w:val="none" w:sz="0" w:space="0" w:color="auto"/>
        <w:bottom w:val="none" w:sz="0" w:space="0" w:color="auto"/>
        <w:right w:val="none" w:sz="0" w:space="0" w:color="auto"/>
      </w:divBdr>
    </w:div>
    <w:div w:id="1300575471">
      <w:bodyDiv w:val="1"/>
      <w:marLeft w:val="0"/>
      <w:marRight w:val="0"/>
      <w:marTop w:val="0"/>
      <w:marBottom w:val="0"/>
      <w:divBdr>
        <w:top w:val="none" w:sz="0" w:space="0" w:color="auto"/>
        <w:left w:val="none" w:sz="0" w:space="0" w:color="auto"/>
        <w:bottom w:val="none" w:sz="0" w:space="0" w:color="auto"/>
        <w:right w:val="none" w:sz="0" w:space="0" w:color="auto"/>
      </w:divBdr>
    </w:div>
    <w:div w:id="1493528640">
      <w:bodyDiv w:val="1"/>
      <w:marLeft w:val="0"/>
      <w:marRight w:val="0"/>
      <w:marTop w:val="0"/>
      <w:marBottom w:val="0"/>
      <w:divBdr>
        <w:top w:val="none" w:sz="0" w:space="0" w:color="auto"/>
        <w:left w:val="none" w:sz="0" w:space="0" w:color="auto"/>
        <w:bottom w:val="none" w:sz="0" w:space="0" w:color="auto"/>
        <w:right w:val="none" w:sz="0" w:space="0" w:color="auto"/>
      </w:divBdr>
      <w:divsChild>
        <w:div w:id="666517080">
          <w:marLeft w:val="-108"/>
          <w:marRight w:val="0"/>
          <w:marTop w:val="0"/>
          <w:marBottom w:val="0"/>
          <w:divBdr>
            <w:top w:val="none" w:sz="0" w:space="0" w:color="auto"/>
            <w:left w:val="none" w:sz="0" w:space="0" w:color="auto"/>
            <w:bottom w:val="none" w:sz="0" w:space="0" w:color="auto"/>
            <w:right w:val="none" w:sz="0" w:space="0" w:color="auto"/>
          </w:divBdr>
        </w:div>
      </w:divsChild>
    </w:div>
    <w:div w:id="169091287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1575175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4103/MJBL.MJBL_1_1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110AC-156F-4715-B181-76EDE1195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35</TotalTime>
  <Pages>17</Pages>
  <Words>7911</Words>
  <Characters>45098</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52904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14</cp:revision>
  <cp:lastPrinted>1999-07-06T11:00:00Z</cp:lastPrinted>
  <dcterms:created xsi:type="dcterms:W3CDTF">2025-06-17T10:43:00Z</dcterms:created>
  <dcterms:modified xsi:type="dcterms:W3CDTF">2025-06-23T07:15:00Z</dcterms:modified>
</cp:coreProperties>
</file>