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ADFCF" w14:textId="465F336F" w:rsidR="00B23D18" w:rsidRPr="00793325" w:rsidRDefault="00694546" w:rsidP="00051ADA">
      <w:pPr>
        <w:jc w:val="right"/>
        <w:rPr>
          <w:rFonts w:ascii="Arial" w:hAnsi="Arial" w:cs="Arial"/>
          <w:b/>
          <w:bCs/>
        </w:rPr>
      </w:pPr>
      <w:r>
        <w:rPr>
          <w:rFonts w:ascii="Times New Roman" w:hAnsi="Times New Roman" w:cs="Times New Roman"/>
          <w:b/>
          <w:bCs/>
          <w:sz w:val="24"/>
          <w:szCs w:val="24"/>
        </w:rPr>
        <w:t xml:space="preserve"> </w:t>
      </w:r>
      <w:r w:rsidR="00B23D18" w:rsidRPr="00793325">
        <w:rPr>
          <w:rFonts w:ascii="Arial" w:hAnsi="Arial" w:cs="Arial"/>
          <w:b/>
          <w:bCs/>
        </w:rPr>
        <w:t>ANALYSIS OF SUBMERGENCE TOLERANCE INDEX IN SELECTED RICE</w:t>
      </w:r>
      <w:r w:rsidR="004C4A20">
        <w:rPr>
          <w:rFonts w:ascii="Arial" w:hAnsi="Arial" w:cs="Arial"/>
          <w:b/>
          <w:bCs/>
        </w:rPr>
        <w:t xml:space="preserve"> (</w:t>
      </w:r>
      <w:r w:rsidR="004C4A20" w:rsidRPr="004C4A20">
        <w:rPr>
          <w:rFonts w:ascii="Arial" w:hAnsi="Arial" w:cs="Arial"/>
          <w:b/>
          <w:bCs/>
          <w:i/>
          <w:iCs/>
        </w:rPr>
        <w:t>Oryza sativa</w:t>
      </w:r>
      <w:r w:rsidR="004C4A20">
        <w:rPr>
          <w:rFonts w:ascii="Arial" w:hAnsi="Arial" w:cs="Arial"/>
          <w:b/>
          <w:bCs/>
        </w:rPr>
        <w:t xml:space="preserve"> L.)</w:t>
      </w:r>
      <w:r w:rsidR="00B23D18" w:rsidRPr="00793325">
        <w:rPr>
          <w:rFonts w:ascii="Arial" w:hAnsi="Arial" w:cs="Arial"/>
          <w:b/>
          <w:bCs/>
        </w:rPr>
        <w:t xml:space="preserve"> CULTIVARS GROWN IN KEBBI STATE, NIGERIA</w:t>
      </w:r>
    </w:p>
    <w:p w14:paraId="7F18F6A4" w14:textId="128D4A3C" w:rsidR="00B23D18" w:rsidRPr="00793325" w:rsidRDefault="00B23D18" w:rsidP="00B23D18">
      <w:pPr>
        <w:ind w:left="1417" w:right="1134"/>
        <w:rPr>
          <w:rFonts w:ascii="Arial" w:eastAsia="DengXian" w:hAnsi="Arial" w:cs="Arial"/>
          <w:b/>
          <w:bCs/>
          <w:lang w:val="de-DE"/>
        </w:rPr>
      </w:pPr>
    </w:p>
    <w:p w14:paraId="319D29A1" w14:textId="35E66F77" w:rsidR="00B23D18" w:rsidRPr="0098058B" w:rsidRDefault="00D06360" w:rsidP="0015221E">
      <w:pPr>
        <w:spacing w:line="360" w:lineRule="auto"/>
        <w:jc w:val="both"/>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14:anchorId="644F0849" wp14:editId="7EF1825A">
                <wp:simplePos x="0" y="0"/>
                <wp:positionH relativeFrom="column">
                  <wp:posOffset>-47625</wp:posOffset>
                </wp:positionH>
                <wp:positionV relativeFrom="paragraph">
                  <wp:posOffset>354965</wp:posOffset>
                </wp:positionV>
                <wp:extent cx="6029325" cy="2362200"/>
                <wp:effectExtent l="0" t="0" r="28575" b="19050"/>
                <wp:wrapNone/>
                <wp:docPr id="2116538688" name="Rectangle 1"/>
                <wp:cNvGraphicFramePr/>
                <a:graphic xmlns:a="http://schemas.openxmlformats.org/drawingml/2006/main">
                  <a:graphicData uri="http://schemas.microsoft.com/office/word/2010/wordprocessingShape">
                    <wps:wsp>
                      <wps:cNvSpPr/>
                      <wps:spPr>
                        <a:xfrm>
                          <a:off x="0" y="0"/>
                          <a:ext cx="6029325" cy="2362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232B67C" id="Rectangle 1" o:spid="_x0000_s1026" style="position:absolute;margin-left:-3.75pt;margin-top:27.95pt;width:474.75pt;height:1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" filled="f" strokecolor="#09101d [484]" strokeweight="1pt"/>
            </w:pict>
          </mc:Fallback>
        </mc:AlternateContent>
      </w:r>
      <w:r w:rsidR="0098058B" w:rsidRPr="0098058B">
        <w:rPr>
          <w:rFonts w:ascii="Arial" w:hAnsi="Arial" w:cs="Arial"/>
          <w:b/>
          <w:bCs/>
        </w:rPr>
        <w:t xml:space="preserve">ABSTRACT </w:t>
      </w:r>
    </w:p>
    <w:p w14:paraId="5D28CF3B" w14:textId="192A82C8" w:rsidR="00051ADA" w:rsidRPr="0098058B" w:rsidRDefault="00051ADA" w:rsidP="00D350AB">
      <w:pPr>
        <w:spacing w:after="0" w:line="240" w:lineRule="auto"/>
        <w:jc w:val="both"/>
        <w:rPr>
          <w:rFonts w:ascii="Arial" w:hAnsi="Arial" w:cs="Arial"/>
          <w:sz w:val="20"/>
          <w:szCs w:val="20"/>
        </w:rPr>
      </w:pPr>
      <w:r w:rsidRPr="0098058B">
        <w:rPr>
          <w:rFonts w:ascii="Arial" w:hAnsi="Arial" w:cs="Arial"/>
          <w:b/>
          <w:bCs/>
          <w:sz w:val="20"/>
          <w:szCs w:val="20"/>
        </w:rPr>
        <w:t xml:space="preserve">Aims: </w:t>
      </w:r>
      <w:r w:rsidR="00C45F10" w:rsidRPr="0098058B">
        <w:rPr>
          <w:rFonts w:ascii="Arial" w:hAnsi="Arial" w:cs="Arial"/>
          <w:sz w:val="20"/>
          <w:szCs w:val="20"/>
        </w:rPr>
        <w:t>Submergence is a major abiotic stress limiting rice production in flood-prone regions such as Kebbi State, Nigeria. This study evaluated the submergence tolerance of six rice cultivars (</w:t>
      </w:r>
      <w:r w:rsidR="00C45F10" w:rsidRPr="0098058B">
        <w:rPr>
          <w:rFonts w:ascii="Arial" w:hAnsi="Arial" w:cs="Arial"/>
          <w:i/>
          <w:iCs/>
          <w:sz w:val="20"/>
          <w:szCs w:val="20"/>
        </w:rPr>
        <w:t>MAI HIJABI, CP 60, FARO, FARO 40, SWARNA-SUB1,</w:t>
      </w:r>
      <w:r w:rsidR="00C45F10" w:rsidRPr="0098058B">
        <w:rPr>
          <w:rFonts w:ascii="Arial" w:hAnsi="Arial" w:cs="Arial"/>
          <w:sz w:val="20"/>
          <w:szCs w:val="20"/>
        </w:rPr>
        <w:t xml:space="preserve"> and </w:t>
      </w:r>
      <w:r w:rsidR="00C45F10" w:rsidRPr="0098058B">
        <w:rPr>
          <w:rFonts w:ascii="Arial" w:hAnsi="Arial" w:cs="Arial"/>
          <w:i/>
          <w:iCs/>
          <w:sz w:val="20"/>
          <w:szCs w:val="20"/>
        </w:rPr>
        <w:t>IR64</w:t>
      </w:r>
      <w:r w:rsidR="00C45F10" w:rsidRPr="0098058B">
        <w:rPr>
          <w:rFonts w:ascii="Arial" w:hAnsi="Arial" w:cs="Arial"/>
          <w:sz w:val="20"/>
          <w:szCs w:val="20"/>
        </w:rPr>
        <w:t xml:space="preserve">) based on survival rate, shoot elongation, elongation rate, and Submergence Tolerance Index (STI). </w:t>
      </w:r>
    </w:p>
    <w:p w14:paraId="17D19E9E" w14:textId="601F37D1" w:rsidR="00D350AB" w:rsidRPr="0098058B" w:rsidRDefault="00051ADA" w:rsidP="00D350AB">
      <w:pPr>
        <w:spacing w:after="0" w:line="240" w:lineRule="auto"/>
        <w:jc w:val="both"/>
        <w:rPr>
          <w:rFonts w:ascii="Arial" w:hAnsi="Arial" w:cs="Arial"/>
          <w:sz w:val="20"/>
          <w:szCs w:val="20"/>
        </w:rPr>
      </w:pPr>
      <w:r w:rsidRPr="0098058B">
        <w:rPr>
          <w:rFonts w:ascii="Arial" w:hAnsi="Arial" w:cs="Arial"/>
          <w:b/>
          <w:bCs/>
          <w:sz w:val="20"/>
          <w:szCs w:val="20"/>
        </w:rPr>
        <w:t>Study design:</w:t>
      </w:r>
      <w:r w:rsidR="00D350AB" w:rsidRPr="0098058B">
        <w:rPr>
          <w:rFonts w:ascii="Arial" w:hAnsi="Arial" w:cs="Arial"/>
          <w:b/>
          <w:bCs/>
          <w:sz w:val="20"/>
          <w:szCs w:val="20"/>
        </w:rPr>
        <w:t xml:space="preserve"> </w:t>
      </w:r>
      <w:r w:rsidR="00D350AB" w:rsidRPr="0098058B">
        <w:rPr>
          <w:rFonts w:ascii="Arial" w:hAnsi="Arial" w:cs="Arial"/>
          <w:sz w:val="20"/>
          <w:szCs w:val="20"/>
        </w:rPr>
        <w:t>The experiment was laid down in a completely randomized design consisting of six cultivars and each replicated three times.</w:t>
      </w:r>
      <w:r w:rsidRPr="0098058B">
        <w:rPr>
          <w:rFonts w:ascii="Arial" w:hAnsi="Arial" w:cs="Arial"/>
          <w:sz w:val="20"/>
          <w:szCs w:val="20"/>
        </w:rPr>
        <w:t xml:space="preserve"> </w:t>
      </w:r>
    </w:p>
    <w:p w14:paraId="5D2ABE49" w14:textId="1183403A" w:rsidR="00D350AB" w:rsidRPr="0098058B" w:rsidRDefault="00D350AB" w:rsidP="00D350AB">
      <w:pPr>
        <w:spacing w:after="0" w:line="240" w:lineRule="auto"/>
        <w:jc w:val="both"/>
        <w:rPr>
          <w:rFonts w:ascii="Arial" w:hAnsi="Arial" w:cs="Arial"/>
          <w:sz w:val="20"/>
          <w:szCs w:val="20"/>
        </w:rPr>
      </w:pPr>
      <w:r w:rsidRPr="0098058B">
        <w:rPr>
          <w:rFonts w:ascii="Arial" w:hAnsi="Arial" w:cs="Arial"/>
          <w:b/>
          <w:bCs/>
          <w:sz w:val="20"/>
          <w:szCs w:val="20"/>
        </w:rPr>
        <w:t>Methodology</w:t>
      </w:r>
      <w:r w:rsidRPr="0098058B">
        <w:rPr>
          <w:rFonts w:ascii="Arial" w:hAnsi="Arial" w:cs="Arial"/>
          <w:sz w:val="20"/>
          <w:szCs w:val="20"/>
        </w:rPr>
        <w:t xml:space="preserve">: </w:t>
      </w:r>
      <w:r w:rsidR="00C45F10" w:rsidRPr="0098058B">
        <w:rPr>
          <w:rFonts w:ascii="Arial" w:hAnsi="Arial" w:cs="Arial"/>
          <w:sz w:val="20"/>
          <w:szCs w:val="20"/>
        </w:rPr>
        <w:t xml:space="preserve">The experiment was conducted using a completely randomized design in pots under controlled submergence (14 days), followed by a 7-day recovery period. </w:t>
      </w:r>
    </w:p>
    <w:p w14:paraId="048B065B" w14:textId="182EC1AB" w:rsidR="00D350AB" w:rsidRPr="0098058B" w:rsidRDefault="00D350AB" w:rsidP="00D350AB">
      <w:pPr>
        <w:spacing w:after="0" w:line="240" w:lineRule="auto"/>
        <w:jc w:val="both"/>
        <w:rPr>
          <w:rFonts w:ascii="Arial" w:hAnsi="Arial" w:cs="Arial"/>
          <w:sz w:val="20"/>
          <w:szCs w:val="20"/>
        </w:rPr>
      </w:pPr>
      <w:r w:rsidRPr="0098058B">
        <w:rPr>
          <w:rFonts w:ascii="Arial" w:hAnsi="Arial" w:cs="Arial"/>
          <w:b/>
          <w:bCs/>
          <w:sz w:val="20"/>
          <w:szCs w:val="20"/>
        </w:rPr>
        <w:t>Results:</w:t>
      </w:r>
      <w:r w:rsidRPr="0098058B">
        <w:rPr>
          <w:rFonts w:ascii="Arial" w:hAnsi="Arial" w:cs="Arial"/>
          <w:sz w:val="20"/>
          <w:szCs w:val="20"/>
        </w:rPr>
        <w:t xml:space="preserve"> </w:t>
      </w:r>
      <w:r w:rsidR="00C45F10" w:rsidRPr="0098058B">
        <w:rPr>
          <w:rFonts w:ascii="Arial" w:hAnsi="Arial" w:cs="Arial"/>
          <w:sz w:val="20"/>
          <w:szCs w:val="20"/>
        </w:rPr>
        <w:t xml:space="preserve">Results showed that SWARNA-SUB1 exhibited the highest survival rate (100%), longest shoot elongation (53.76 cm), highest elongation rate (3.28 cm/day), and superior STI (66.67%), confirming its high tolerance due to the presence of the </w:t>
      </w:r>
      <w:r w:rsidR="00C45F10" w:rsidRPr="0098058B">
        <w:rPr>
          <w:rFonts w:ascii="Arial" w:hAnsi="Arial" w:cs="Arial"/>
          <w:i/>
          <w:iCs/>
          <w:sz w:val="20"/>
          <w:szCs w:val="20"/>
        </w:rPr>
        <w:t>Sub1A</w:t>
      </w:r>
      <w:r w:rsidR="00C45F10" w:rsidRPr="0098058B">
        <w:rPr>
          <w:rFonts w:ascii="Arial" w:hAnsi="Arial" w:cs="Arial"/>
          <w:sz w:val="20"/>
          <w:szCs w:val="20"/>
        </w:rPr>
        <w:t xml:space="preserve"> gene. CP 60 and </w:t>
      </w:r>
      <w:r w:rsidR="00383BE3" w:rsidRPr="0098058B">
        <w:rPr>
          <w:rFonts w:ascii="Arial" w:hAnsi="Arial" w:cs="Arial"/>
          <w:sz w:val="20"/>
          <w:szCs w:val="20"/>
        </w:rPr>
        <w:t>Faro 40</w:t>
      </w:r>
      <w:r w:rsidR="00C45F10" w:rsidRPr="0098058B">
        <w:rPr>
          <w:rFonts w:ascii="Arial" w:hAnsi="Arial" w:cs="Arial"/>
          <w:sz w:val="20"/>
          <w:szCs w:val="20"/>
        </w:rPr>
        <w:t xml:space="preserve"> recorded moderate STI values (33.34%) and showed some submergence resilience. Conversely,</w:t>
      </w:r>
      <w:r w:rsidR="00383BE3" w:rsidRPr="0098058B">
        <w:rPr>
          <w:rFonts w:ascii="Arial" w:hAnsi="Arial" w:cs="Arial"/>
          <w:sz w:val="20"/>
          <w:szCs w:val="20"/>
        </w:rPr>
        <w:t xml:space="preserve"> Mai Hijabi, Faro,</w:t>
      </w:r>
      <w:r w:rsidR="00C45F10" w:rsidRPr="0098058B">
        <w:rPr>
          <w:rFonts w:ascii="Arial" w:hAnsi="Arial" w:cs="Arial"/>
          <w:sz w:val="20"/>
          <w:szCs w:val="20"/>
        </w:rPr>
        <w:t xml:space="preserve"> and IR64 recorded 0.00% STI and low survival, indicating high susceptibility. While shoot elongation contributed to tolerance, excessive elongation, as seen in</w:t>
      </w:r>
      <w:r w:rsidR="00383BE3" w:rsidRPr="00383BE3">
        <w:rPr>
          <w:rFonts w:ascii="Arial" w:hAnsi="Arial" w:cs="Arial"/>
          <w:sz w:val="20"/>
          <w:szCs w:val="20"/>
        </w:rPr>
        <w:t xml:space="preserve"> Mai Hijabi</w:t>
      </w:r>
      <w:r w:rsidR="00C45F10" w:rsidRPr="0098058B">
        <w:rPr>
          <w:rFonts w:ascii="Arial" w:hAnsi="Arial" w:cs="Arial"/>
          <w:sz w:val="20"/>
          <w:szCs w:val="20"/>
        </w:rPr>
        <w:t xml:space="preserve">, did not correlate with survival, suggesting energy depletion. </w:t>
      </w:r>
    </w:p>
    <w:p w14:paraId="7552CD44" w14:textId="27D997A9" w:rsidR="00B23D18" w:rsidRPr="0098058B" w:rsidRDefault="00D350AB" w:rsidP="00D350AB">
      <w:pPr>
        <w:spacing w:after="0" w:line="240" w:lineRule="auto"/>
        <w:jc w:val="both"/>
        <w:rPr>
          <w:rFonts w:ascii="Arial" w:hAnsi="Arial" w:cs="Arial"/>
          <w:sz w:val="20"/>
          <w:szCs w:val="20"/>
        </w:rPr>
      </w:pPr>
      <w:r w:rsidRPr="0098058B">
        <w:rPr>
          <w:rFonts w:ascii="Arial" w:hAnsi="Arial" w:cs="Arial"/>
          <w:b/>
          <w:bCs/>
          <w:sz w:val="20"/>
          <w:szCs w:val="20"/>
        </w:rPr>
        <w:t>Conclusion:</w:t>
      </w:r>
      <w:r w:rsidRPr="0098058B">
        <w:rPr>
          <w:rFonts w:ascii="Arial" w:hAnsi="Arial" w:cs="Arial"/>
          <w:sz w:val="20"/>
          <w:szCs w:val="20"/>
        </w:rPr>
        <w:t xml:space="preserve"> </w:t>
      </w:r>
      <w:r w:rsidR="00C45F10" w:rsidRPr="0098058B">
        <w:rPr>
          <w:rFonts w:ascii="Arial" w:hAnsi="Arial" w:cs="Arial"/>
          <w:sz w:val="20"/>
          <w:szCs w:val="20"/>
        </w:rPr>
        <w:t xml:space="preserve">This study highlights the potential of </w:t>
      </w:r>
      <w:r w:rsidR="00383BE3" w:rsidRPr="0098058B">
        <w:rPr>
          <w:rFonts w:ascii="Arial" w:hAnsi="Arial" w:cs="Arial"/>
          <w:sz w:val="20"/>
          <w:szCs w:val="20"/>
        </w:rPr>
        <w:t xml:space="preserve">Swarna-Sub1 </w:t>
      </w:r>
      <w:r w:rsidR="00C45F10" w:rsidRPr="0098058B">
        <w:rPr>
          <w:rFonts w:ascii="Arial" w:hAnsi="Arial" w:cs="Arial"/>
          <w:sz w:val="20"/>
          <w:szCs w:val="20"/>
        </w:rPr>
        <w:t>for cultivation in flood-prone areas and recommends its use in breeding programs to improve rice resilience to submergence stress.</w:t>
      </w:r>
    </w:p>
    <w:p w14:paraId="39C99969" w14:textId="77777777" w:rsidR="00383BE3" w:rsidRDefault="00383BE3" w:rsidP="0015221E">
      <w:pPr>
        <w:spacing w:line="360" w:lineRule="auto"/>
        <w:jc w:val="both"/>
        <w:rPr>
          <w:rFonts w:ascii="Arial" w:hAnsi="Arial" w:cs="Arial"/>
        </w:rPr>
      </w:pPr>
    </w:p>
    <w:p w14:paraId="0499AA5C" w14:textId="619C071C" w:rsidR="00B23D18" w:rsidRPr="0098058B" w:rsidRDefault="00B23D18" w:rsidP="0015221E">
      <w:pPr>
        <w:spacing w:line="360" w:lineRule="auto"/>
        <w:jc w:val="both"/>
        <w:rPr>
          <w:rFonts w:ascii="Arial" w:hAnsi="Arial" w:cs="Arial"/>
        </w:rPr>
      </w:pPr>
      <w:r w:rsidRPr="0098058B">
        <w:rPr>
          <w:rFonts w:ascii="Arial" w:hAnsi="Arial" w:cs="Arial"/>
        </w:rPr>
        <w:t>Keywords: S</w:t>
      </w:r>
      <w:r w:rsidR="001D0B13" w:rsidRPr="0098058B">
        <w:rPr>
          <w:rFonts w:ascii="Arial" w:hAnsi="Arial" w:cs="Arial"/>
        </w:rPr>
        <w:t>ubmergence</w:t>
      </w:r>
      <w:r w:rsidRPr="0098058B">
        <w:rPr>
          <w:rFonts w:ascii="Arial" w:hAnsi="Arial" w:cs="Arial"/>
        </w:rPr>
        <w:t xml:space="preserve">, </w:t>
      </w:r>
      <w:r w:rsidR="00B72EDE" w:rsidRPr="0098058B">
        <w:rPr>
          <w:rFonts w:ascii="Arial" w:hAnsi="Arial" w:cs="Arial"/>
        </w:rPr>
        <w:t xml:space="preserve">Rice, </w:t>
      </w:r>
      <w:r w:rsidRPr="0098058B">
        <w:rPr>
          <w:rFonts w:ascii="Arial" w:hAnsi="Arial" w:cs="Arial"/>
        </w:rPr>
        <w:t>Tolerance, Index, Cultivar</w:t>
      </w:r>
      <w:bookmarkStart w:id="0" w:name="_GoBack"/>
      <w:bookmarkEnd w:id="0"/>
      <w:r w:rsidRPr="0098058B">
        <w:rPr>
          <w:rFonts w:ascii="Arial" w:hAnsi="Arial" w:cs="Arial"/>
        </w:rPr>
        <w:t xml:space="preserve">s, </w:t>
      </w:r>
    </w:p>
    <w:p w14:paraId="7FB1455E" w14:textId="64878D0E" w:rsidR="00D21ADE" w:rsidRPr="001E6D1C" w:rsidRDefault="00D21ADE" w:rsidP="0015221E">
      <w:pPr>
        <w:pStyle w:val="ListParagraph"/>
        <w:numPr>
          <w:ilvl w:val="0"/>
          <w:numId w:val="40"/>
        </w:numPr>
        <w:spacing w:line="360" w:lineRule="auto"/>
        <w:jc w:val="both"/>
        <w:rPr>
          <w:rFonts w:ascii="Arial" w:hAnsi="Arial" w:cs="Arial"/>
          <w:b/>
          <w:bCs/>
        </w:rPr>
      </w:pPr>
      <w:r w:rsidRPr="001E6D1C">
        <w:rPr>
          <w:rFonts w:ascii="Arial" w:hAnsi="Arial" w:cs="Arial"/>
          <w:b/>
          <w:bCs/>
        </w:rPr>
        <w:t>INTRODUCTION</w:t>
      </w:r>
    </w:p>
    <w:p w14:paraId="64ABA693" w14:textId="073B7AB1" w:rsidR="005E3B2B" w:rsidRPr="005E3B2B" w:rsidRDefault="005E3B2B" w:rsidP="00890B48">
      <w:pPr>
        <w:spacing w:before="100" w:beforeAutospacing="1" w:after="100" w:afterAutospacing="1" w:line="360" w:lineRule="auto"/>
        <w:jc w:val="both"/>
        <w:rPr>
          <w:rFonts w:ascii="Arial" w:eastAsia="Times New Roman" w:hAnsi="Arial" w:cs="Arial"/>
          <w:kern w:val="0"/>
          <w:sz w:val="20"/>
          <w:szCs w:val="20"/>
          <w14:ligatures w14:val="none"/>
        </w:rPr>
      </w:pPr>
      <w:r w:rsidRPr="005E3B2B">
        <w:rPr>
          <w:rFonts w:ascii="Arial" w:eastAsia="Times New Roman" w:hAnsi="Arial" w:cs="Arial"/>
          <w:kern w:val="0"/>
          <w:sz w:val="20"/>
          <w:szCs w:val="20"/>
          <w14:ligatures w14:val="none"/>
        </w:rPr>
        <w:t xml:space="preserve">Rice, a major cereal food for many peoples of the world, is vulnerable in production, especially in the wetlands and flooding areas (Fukao &amp; Bailey-Serres, 2008) The flooding, or full or partial inundation of the rice crop, is a major risk factor that affects the stability of yield, especially in lowland zones and in areas subjected to poor drainage conditions </w:t>
      </w:r>
      <w:r>
        <w:rPr>
          <w:rFonts w:ascii="Arial" w:eastAsia="Times New Roman" w:hAnsi="Arial" w:cs="Arial"/>
          <w:kern w:val="0"/>
          <w:sz w:val="20"/>
          <w:szCs w:val="20"/>
          <w14:ligatures w14:val="none"/>
        </w:rPr>
        <w:t>(</w:t>
      </w:r>
      <w:r w:rsidRPr="008B41A6">
        <w:rPr>
          <w:rFonts w:ascii="Times New Roman" w:eastAsia="Times New Roman" w:hAnsi="Times New Roman" w:cs="Times New Roman"/>
          <w:kern w:val="0"/>
          <w14:ligatures w14:val="none"/>
        </w:rPr>
        <w:t xml:space="preserve">Bailey-Serres &amp; Voesenek, 2008). </w:t>
      </w:r>
      <w:r w:rsidRPr="005E3B2B">
        <w:rPr>
          <w:rFonts w:ascii="Arial" w:eastAsia="Times New Roman" w:hAnsi="Arial" w:cs="Arial"/>
          <w:kern w:val="0"/>
          <w:sz w:val="20"/>
          <w:szCs w:val="20"/>
          <w14:ligatures w14:val="none"/>
        </w:rPr>
        <w:t xml:space="preserve">For example, in Southeast Asia, flooding-related loss in rice production is problematic, threatening food security. Due to the significance of these yield losses, breeding submergence-tolerant rice varieties is an important task to ensure stable rice yield in flood-prone areas </w:t>
      </w:r>
      <w:r w:rsidR="00137CAD">
        <w:rPr>
          <w:rFonts w:ascii="Arial" w:eastAsia="Times New Roman" w:hAnsi="Arial" w:cs="Arial"/>
          <w:kern w:val="0"/>
          <w:sz w:val="20"/>
          <w:szCs w:val="20"/>
          <w14:ligatures w14:val="none"/>
        </w:rPr>
        <w:t>(</w:t>
      </w:r>
      <w:r w:rsidR="00137CAD" w:rsidRPr="008B41A6">
        <w:rPr>
          <w:rFonts w:ascii="Times New Roman" w:eastAsia="Times New Roman" w:hAnsi="Times New Roman" w:cs="Times New Roman"/>
          <w:kern w:val="0"/>
          <w14:ligatures w14:val="none"/>
        </w:rPr>
        <w:t>Ella</w:t>
      </w:r>
      <w:r w:rsidR="00137CAD">
        <w:rPr>
          <w:rFonts w:ascii="Times New Roman" w:eastAsia="Times New Roman" w:hAnsi="Times New Roman" w:cs="Times New Roman"/>
          <w:kern w:val="0"/>
          <w14:ligatures w14:val="none"/>
        </w:rPr>
        <w:t xml:space="preserve"> </w:t>
      </w:r>
      <w:r w:rsidR="00137CAD" w:rsidRPr="00E2747F">
        <w:rPr>
          <w:rFonts w:ascii="Times New Roman" w:eastAsia="Times New Roman" w:hAnsi="Times New Roman" w:cs="Times New Roman"/>
          <w:kern w:val="0"/>
          <w14:ligatures w14:val="none"/>
        </w:rPr>
        <w:t>et al</w:t>
      </w:r>
      <w:r w:rsidR="00137CAD" w:rsidRPr="008B41A6">
        <w:rPr>
          <w:rFonts w:ascii="Times New Roman" w:eastAsia="Times New Roman" w:hAnsi="Times New Roman" w:cs="Times New Roman"/>
          <w:kern w:val="0"/>
          <w14:ligatures w14:val="none"/>
        </w:rPr>
        <w:t>., 2003)</w:t>
      </w:r>
      <w:r w:rsidRPr="005E3B2B">
        <w:rPr>
          <w:rFonts w:ascii="Arial" w:eastAsia="Times New Roman" w:hAnsi="Arial" w:cs="Arial"/>
          <w:kern w:val="0"/>
          <w:sz w:val="20"/>
          <w:szCs w:val="20"/>
          <w14:ligatures w14:val="none"/>
        </w:rPr>
        <w:t>. Kebbi State, Nigeria, like other parts of Africa and Asia, is prone to intermittent flooding, making rice cultivation particularly vulnerable.</w:t>
      </w:r>
    </w:p>
    <w:p w14:paraId="61B54D08" w14:textId="3327DFDF" w:rsidR="00BE5201" w:rsidRPr="00135144" w:rsidRDefault="00BE5201" w:rsidP="0015221E">
      <w:pPr>
        <w:spacing w:line="360" w:lineRule="auto"/>
        <w:jc w:val="both"/>
        <w:rPr>
          <w:rFonts w:ascii="Arial" w:hAnsi="Arial" w:cs="Arial"/>
          <w:sz w:val="20"/>
          <w:szCs w:val="20"/>
        </w:rPr>
      </w:pPr>
      <w:r w:rsidRPr="00135144">
        <w:rPr>
          <w:rFonts w:ascii="Arial" w:hAnsi="Arial" w:cs="Arial"/>
          <w:sz w:val="20"/>
          <w:szCs w:val="20"/>
        </w:rPr>
        <w:t>Rice (</w:t>
      </w:r>
      <w:r w:rsidRPr="004C4A20">
        <w:rPr>
          <w:rFonts w:ascii="Arial" w:hAnsi="Arial" w:cs="Arial"/>
          <w:i/>
          <w:iCs/>
          <w:sz w:val="20"/>
          <w:szCs w:val="20"/>
        </w:rPr>
        <w:t>Oryza sativa</w:t>
      </w:r>
      <w:r w:rsidR="004C4A20">
        <w:rPr>
          <w:rFonts w:ascii="Arial" w:hAnsi="Arial" w:cs="Arial"/>
          <w:sz w:val="20"/>
          <w:szCs w:val="20"/>
        </w:rPr>
        <w:t xml:space="preserve"> L</w:t>
      </w:r>
      <w:r w:rsidRPr="00135144">
        <w:rPr>
          <w:rFonts w:ascii="Arial" w:hAnsi="Arial" w:cs="Arial"/>
          <w:sz w:val="20"/>
          <w:szCs w:val="20"/>
        </w:rPr>
        <w:t>) is one of the most important food crops worldwide, with over a third of the world's population relying on it as staple food</w:t>
      </w:r>
      <w:r w:rsidR="003932C2" w:rsidRPr="00135144">
        <w:rPr>
          <w:rFonts w:ascii="Arial" w:hAnsi="Arial" w:cs="Arial"/>
          <w:sz w:val="20"/>
          <w:szCs w:val="20"/>
        </w:rPr>
        <w:t xml:space="preserve"> (</w:t>
      </w:r>
      <w:r w:rsidR="003932C2" w:rsidRPr="00135144">
        <w:rPr>
          <w:rFonts w:ascii="Arial" w:eastAsia="Times New Roman" w:hAnsi="Arial" w:cs="Arial"/>
          <w:kern w:val="0"/>
          <w:sz w:val="20"/>
          <w:szCs w:val="20"/>
          <w14:ligatures w14:val="none"/>
        </w:rPr>
        <w:t xml:space="preserve">Singh </w:t>
      </w:r>
      <w:r w:rsidR="003932C2" w:rsidRPr="00E2747F">
        <w:rPr>
          <w:rFonts w:ascii="Arial" w:eastAsia="Times New Roman" w:hAnsi="Arial" w:cs="Arial"/>
          <w:kern w:val="0"/>
          <w:sz w:val="20"/>
          <w:szCs w:val="20"/>
          <w14:ligatures w14:val="none"/>
        </w:rPr>
        <w:t>et al</w:t>
      </w:r>
      <w:r w:rsidR="003932C2" w:rsidRPr="00135144">
        <w:rPr>
          <w:rFonts w:ascii="Arial" w:eastAsia="Times New Roman" w:hAnsi="Arial" w:cs="Arial"/>
          <w:kern w:val="0"/>
          <w:sz w:val="20"/>
          <w:szCs w:val="20"/>
          <w14:ligatures w14:val="none"/>
        </w:rPr>
        <w:t>., 2010</w:t>
      </w:r>
      <w:r w:rsidR="003932C2" w:rsidRPr="00135144">
        <w:rPr>
          <w:rFonts w:ascii="Arial" w:hAnsi="Arial" w:cs="Arial"/>
          <w:sz w:val="20"/>
          <w:szCs w:val="20"/>
        </w:rPr>
        <w:t>)</w:t>
      </w:r>
      <w:r w:rsidRPr="00135144">
        <w:rPr>
          <w:rFonts w:ascii="Arial" w:hAnsi="Arial" w:cs="Arial"/>
          <w:sz w:val="20"/>
          <w:szCs w:val="20"/>
        </w:rPr>
        <w:t>. Globally, several biotic and abiotic factors affect rice production. As many as half of these yield losses can be attributed to abiotic stress alone. Soil salinity is the simplest of all abiotic stresses and</w:t>
      </w:r>
      <w:r w:rsidRPr="00135144">
        <w:rPr>
          <w:rFonts w:ascii="Arial" w:eastAsia="Times New Roman" w:hAnsi="Arial" w:cs="Arial"/>
          <w:kern w:val="0"/>
          <w:sz w:val="20"/>
          <w:szCs w:val="20"/>
          <w14:ligatures w14:val="none"/>
        </w:rPr>
        <w:t xml:space="preserve"> </w:t>
      </w:r>
      <w:r w:rsidRPr="00135144">
        <w:rPr>
          <w:rFonts w:ascii="Arial" w:hAnsi="Arial" w:cs="Arial"/>
          <w:sz w:val="20"/>
          <w:szCs w:val="20"/>
        </w:rPr>
        <w:t>is thought to be a common limiting factor in rice production</w:t>
      </w:r>
      <w:r w:rsidR="003932C2" w:rsidRPr="00135144">
        <w:rPr>
          <w:rFonts w:ascii="Arial" w:hAnsi="Arial" w:cs="Arial"/>
          <w:sz w:val="20"/>
          <w:szCs w:val="20"/>
        </w:rPr>
        <w:t xml:space="preserve"> </w:t>
      </w:r>
      <w:r w:rsidR="003932C2" w:rsidRPr="00135144">
        <w:rPr>
          <w:rFonts w:ascii="Arial" w:eastAsia="Times New Roman" w:hAnsi="Arial" w:cs="Arial"/>
          <w:kern w:val="0"/>
          <w:sz w:val="20"/>
          <w:szCs w:val="20"/>
          <w14:ligatures w14:val="none"/>
        </w:rPr>
        <w:t xml:space="preserve">(Ella </w:t>
      </w:r>
      <w:r w:rsidR="003932C2" w:rsidRPr="00E2747F">
        <w:rPr>
          <w:rFonts w:ascii="Arial" w:eastAsia="Times New Roman" w:hAnsi="Arial" w:cs="Arial"/>
          <w:kern w:val="0"/>
          <w:sz w:val="20"/>
          <w:szCs w:val="20"/>
          <w14:ligatures w14:val="none"/>
        </w:rPr>
        <w:t>et al</w:t>
      </w:r>
      <w:r w:rsidR="003932C2" w:rsidRPr="00135144">
        <w:rPr>
          <w:rFonts w:ascii="Arial" w:eastAsia="Times New Roman" w:hAnsi="Arial" w:cs="Arial"/>
          <w:kern w:val="0"/>
          <w:sz w:val="20"/>
          <w:szCs w:val="20"/>
          <w14:ligatures w14:val="none"/>
        </w:rPr>
        <w:t>., 2003)</w:t>
      </w:r>
      <w:r w:rsidR="003932C2" w:rsidRPr="00135144">
        <w:rPr>
          <w:rFonts w:ascii="Arial" w:hAnsi="Arial" w:cs="Arial"/>
          <w:sz w:val="20"/>
          <w:szCs w:val="20"/>
        </w:rPr>
        <w:t>.</w:t>
      </w:r>
    </w:p>
    <w:p w14:paraId="4D736D36" w14:textId="727DA1E2" w:rsidR="00BE5201" w:rsidRPr="00890B48" w:rsidRDefault="00890B48" w:rsidP="0015221E">
      <w:pPr>
        <w:spacing w:line="360" w:lineRule="auto"/>
        <w:jc w:val="both"/>
        <w:rPr>
          <w:rFonts w:ascii="Arial" w:hAnsi="Arial" w:cs="Arial"/>
          <w:sz w:val="20"/>
          <w:szCs w:val="20"/>
        </w:rPr>
      </w:pPr>
      <w:r w:rsidRPr="00890B48">
        <w:rPr>
          <w:rFonts w:ascii="Arial" w:hAnsi="Arial" w:cs="Arial"/>
          <w:sz w:val="20"/>
          <w:szCs w:val="20"/>
        </w:rPr>
        <w:t>Submergence</w:t>
      </w:r>
      <w:r>
        <w:rPr>
          <w:rFonts w:ascii="Arial" w:hAnsi="Arial" w:cs="Arial"/>
          <w:sz w:val="20"/>
          <w:szCs w:val="20"/>
        </w:rPr>
        <w:t xml:space="preserve"> </w:t>
      </w:r>
      <w:r w:rsidRPr="00890B48">
        <w:rPr>
          <w:rFonts w:ascii="Arial" w:hAnsi="Arial" w:cs="Arial"/>
          <w:sz w:val="20"/>
          <w:szCs w:val="20"/>
        </w:rPr>
        <w:t>where rice plants are partially or completely submerged under water for prolonged periods</w:t>
      </w:r>
      <w:r>
        <w:rPr>
          <w:rFonts w:ascii="Arial" w:hAnsi="Arial" w:cs="Arial"/>
          <w:sz w:val="20"/>
          <w:szCs w:val="20"/>
        </w:rPr>
        <w:t xml:space="preserve"> </w:t>
      </w:r>
      <w:r w:rsidRPr="00890B48">
        <w:rPr>
          <w:rFonts w:ascii="Arial" w:hAnsi="Arial" w:cs="Arial"/>
          <w:sz w:val="20"/>
          <w:szCs w:val="20"/>
        </w:rPr>
        <w:t>results in the potential for depletion of O</w:t>
      </w:r>
      <w:r w:rsidRPr="00890B48">
        <w:rPr>
          <w:rFonts w:ascii="Cambria Math" w:hAnsi="Cambria Math" w:cs="Cambria Math"/>
          <w:sz w:val="20"/>
          <w:szCs w:val="20"/>
        </w:rPr>
        <w:t>₂</w:t>
      </w:r>
      <w:r w:rsidRPr="00890B48">
        <w:rPr>
          <w:rFonts w:ascii="Arial" w:hAnsi="Arial" w:cs="Arial"/>
          <w:sz w:val="20"/>
          <w:szCs w:val="20"/>
        </w:rPr>
        <w:t xml:space="preserve">, decreased photosynthetic rates, and ultimately death of the plant </w:t>
      </w:r>
      <w:r w:rsidRPr="00890B48">
        <w:rPr>
          <w:rFonts w:ascii="Arial" w:hAnsi="Arial" w:cs="Arial"/>
          <w:sz w:val="20"/>
          <w:szCs w:val="20"/>
        </w:rPr>
        <w:lastRenderedPageBreak/>
        <w:t>if it is allowed to persist for too long according to the crop's tolerance level of being submerged, i.e., flooded. The effect on the plant is termed a chronic effect. This abiotic stress is highly damaging to rice plants, especially during the early vegetative stage, and most traditional and improved rice varieties exhibit a very high level of susceptibility</w:t>
      </w:r>
      <w:r>
        <w:rPr>
          <w:rFonts w:ascii="Arial" w:hAnsi="Arial" w:cs="Arial"/>
          <w:sz w:val="20"/>
          <w:szCs w:val="20"/>
        </w:rPr>
        <w:t xml:space="preserve"> </w:t>
      </w:r>
      <w:r>
        <w:rPr>
          <w:rFonts w:ascii="Arial" w:eastAsia="Times New Roman" w:hAnsi="Arial" w:cs="Arial"/>
          <w:kern w:val="0"/>
          <w:sz w:val="20"/>
          <w:szCs w:val="20"/>
          <w14:ligatures w14:val="none"/>
        </w:rPr>
        <w:t>(</w:t>
      </w:r>
      <w:r w:rsidRPr="008B41A6">
        <w:rPr>
          <w:rFonts w:ascii="Times New Roman" w:eastAsia="Times New Roman" w:hAnsi="Times New Roman" w:cs="Times New Roman"/>
          <w:kern w:val="0"/>
          <w14:ligatures w14:val="none"/>
        </w:rPr>
        <w:t>Bailey-Serres &amp; Voesenek, 2008)</w:t>
      </w:r>
      <w:r w:rsidRPr="00890B48">
        <w:rPr>
          <w:rFonts w:ascii="Arial" w:hAnsi="Arial" w:cs="Arial"/>
          <w:sz w:val="20"/>
          <w:szCs w:val="20"/>
        </w:rPr>
        <w:t>.</w:t>
      </w:r>
    </w:p>
    <w:p w14:paraId="6A515CAF" w14:textId="2A562A07" w:rsidR="00D21ADE" w:rsidRPr="001E6D1C" w:rsidRDefault="00BE5201" w:rsidP="0015221E">
      <w:pPr>
        <w:spacing w:line="360" w:lineRule="auto"/>
        <w:jc w:val="both"/>
        <w:rPr>
          <w:rFonts w:ascii="Arial" w:hAnsi="Arial" w:cs="Arial"/>
          <w:sz w:val="20"/>
          <w:szCs w:val="20"/>
        </w:rPr>
      </w:pPr>
      <w:r w:rsidRPr="001E6D1C">
        <w:rPr>
          <w:rFonts w:ascii="Arial" w:hAnsi="Arial" w:cs="Arial"/>
          <w:sz w:val="20"/>
          <w:szCs w:val="20"/>
        </w:rPr>
        <w:t xml:space="preserve">The occurrence and severity submergence events in Nigeria </w:t>
      </w:r>
      <w:r w:rsidR="00901121" w:rsidRPr="001E6D1C">
        <w:rPr>
          <w:rFonts w:ascii="Arial" w:hAnsi="Arial" w:cs="Arial"/>
          <w:sz w:val="20"/>
          <w:szCs w:val="20"/>
        </w:rPr>
        <w:t>have</w:t>
      </w:r>
      <w:r w:rsidRPr="001E6D1C">
        <w:rPr>
          <w:rFonts w:ascii="Arial" w:hAnsi="Arial" w:cs="Arial"/>
          <w:sz w:val="20"/>
          <w:szCs w:val="20"/>
        </w:rPr>
        <w:t xml:space="preserve"> been compounded by climate change, inadequate drainage infrastructure, and deforestation, a situation that results</w:t>
      </w:r>
      <w:r w:rsidR="00D21ADE" w:rsidRPr="001E6D1C">
        <w:rPr>
          <w:rFonts w:ascii="Arial" w:hAnsi="Arial" w:cs="Arial"/>
          <w:sz w:val="20"/>
          <w:szCs w:val="20"/>
        </w:rPr>
        <w:t xml:space="preserve"> to massive yield losses, especially in states such as Kebbi, Niger, Kogi, and Anambra where rice farming is dominant. In 2018, flooding destroyed over 200,000 hectares of rice farms, contributing to a domestic supply shortfall and increased dependence on imports (NIMET, 2018; NBS, 2019).</w:t>
      </w:r>
    </w:p>
    <w:p w14:paraId="4E5D86E8" w14:textId="77777777" w:rsidR="00D21ADE" w:rsidRPr="001E6D1C" w:rsidRDefault="00D21ADE" w:rsidP="0015221E">
      <w:pPr>
        <w:spacing w:line="360" w:lineRule="auto"/>
        <w:jc w:val="both"/>
        <w:rPr>
          <w:rFonts w:ascii="Arial" w:hAnsi="Arial" w:cs="Arial"/>
          <w:sz w:val="20"/>
          <w:szCs w:val="20"/>
        </w:rPr>
      </w:pPr>
      <w:r w:rsidRPr="001E6D1C">
        <w:rPr>
          <w:rFonts w:ascii="Arial" w:hAnsi="Arial" w:cs="Arial"/>
          <w:sz w:val="20"/>
          <w:szCs w:val="20"/>
        </w:rPr>
        <w:t xml:space="preserve">To mitigate these effects, research institutions in Nigeria have collaborated with international bodies like the International Rice Research Institute (IRRI) to introduce submergence-tolerant rice varieties, notably those carrying the </w:t>
      </w:r>
      <w:r w:rsidRPr="001E6D1C">
        <w:rPr>
          <w:rFonts w:ascii="Arial" w:hAnsi="Arial" w:cs="Arial"/>
          <w:i/>
          <w:iCs/>
          <w:sz w:val="20"/>
          <w:szCs w:val="20"/>
        </w:rPr>
        <w:t>Sub1A</w:t>
      </w:r>
      <w:r w:rsidRPr="001E6D1C">
        <w:rPr>
          <w:rFonts w:ascii="Arial" w:hAnsi="Arial" w:cs="Arial"/>
          <w:sz w:val="20"/>
          <w:szCs w:val="20"/>
        </w:rPr>
        <w:t xml:space="preserve"> gene. These varieties, such as FARO 66 (also known as Swarna-Sub1), have shown enhanced survival under 10–14 days of complete submergence, offering hope for stabilizing yields in flood-prone areas (Ismail et al., 2013; AfricaRice, 2020).</w:t>
      </w:r>
    </w:p>
    <w:p w14:paraId="7F6C8320" w14:textId="7E1C78E5" w:rsidR="00B23D18" w:rsidRPr="001E6D1C" w:rsidRDefault="00FD7A7E" w:rsidP="0015221E">
      <w:pPr>
        <w:spacing w:line="360" w:lineRule="auto"/>
        <w:jc w:val="both"/>
        <w:rPr>
          <w:rFonts w:ascii="Arial" w:hAnsi="Arial" w:cs="Arial"/>
          <w:b/>
          <w:bCs/>
        </w:rPr>
      </w:pPr>
      <w:r w:rsidRPr="001E6D1C">
        <w:rPr>
          <w:rFonts w:ascii="Arial" w:hAnsi="Arial" w:cs="Arial"/>
          <w:b/>
          <w:bCs/>
        </w:rPr>
        <w:t>2.</w:t>
      </w:r>
      <w:r w:rsidR="000278BA">
        <w:rPr>
          <w:rFonts w:ascii="Arial" w:hAnsi="Arial" w:cs="Arial"/>
          <w:b/>
          <w:bCs/>
        </w:rPr>
        <w:t xml:space="preserve"> </w:t>
      </w:r>
      <w:r w:rsidR="00B23D18" w:rsidRPr="001E6D1C">
        <w:rPr>
          <w:rFonts w:ascii="Arial" w:hAnsi="Arial" w:cs="Arial"/>
          <w:b/>
          <w:bCs/>
        </w:rPr>
        <w:t>MATERIALS AND METHODS</w:t>
      </w:r>
    </w:p>
    <w:p w14:paraId="00EF6F0B" w14:textId="2556E533" w:rsidR="00B23D18" w:rsidRPr="001E6D1C" w:rsidRDefault="00FD7A7E" w:rsidP="0015221E">
      <w:pPr>
        <w:spacing w:line="360" w:lineRule="auto"/>
        <w:jc w:val="both"/>
        <w:rPr>
          <w:rFonts w:ascii="Arial" w:hAnsi="Arial" w:cs="Arial"/>
          <w:b/>
          <w:bCs/>
          <w:sz w:val="20"/>
          <w:szCs w:val="20"/>
        </w:rPr>
      </w:pPr>
      <w:r w:rsidRPr="001E6D1C">
        <w:rPr>
          <w:rFonts w:ascii="Arial" w:hAnsi="Arial" w:cs="Arial"/>
          <w:b/>
          <w:bCs/>
          <w:sz w:val="20"/>
          <w:szCs w:val="20"/>
        </w:rPr>
        <w:t xml:space="preserve">2.1. </w:t>
      </w:r>
      <w:r w:rsidR="00B23D18" w:rsidRPr="001E6D1C">
        <w:rPr>
          <w:rFonts w:ascii="Arial" w:hAnsi="Arial" w:cs="Arial"/>
          <w:b/>
          <w:bCs/>
          <w:sz w:val="20"/>
          <w:szCs w:val="20"/>
        </w:rPr>
        <w:t>Description of Study Area</w:t>
      </w:r>
    </w:p>
    <w:p w14:paraId="7C83BBC1" w14:textId="2BAC13F5" w:rsidR="00B23D18" w:rsidRPr="001E6D1C" w:rsidRDefault="00B23D18" w:rsidP="0015221E">
      <w:pPr>
        <w:spacing w:line="360" w:lineRule="auto"/>
        <w:jc w:val="both"/>
        <w:rPr>
          <w:rFonts w:ascii="Arial" w:hAnsi="Arial" w:cs="Arial"/>
          <w:sz w:val="20"/>
          <w:szCs w:val="20"/>
        </w:rPr>
      </w:pPr>
      <w:r w:rsidRPr="001E6D1C">
        <w:rPr>
          <w:rFonts w:ascii="Arial" w:hAnsi="Arial" w:cs="Arial"/>
          <w:sz w:val="20"/>
          <w:szCs w:val="20"/>
        </w:rPr>
        <w:t>Birnin Kebbi city of Kebbi State is located on 12.4539° N latitude and 4.1975° E longitude. (</w:t>
      </w:r>
      <w:r w:rsidRPr="001E6D1C">
        <w:rPr>
          <w:rFonts w:ascii="Arial" w:hAnsi="Arial" w:cs="Arial"/>
          <w:iCs/>
          <w:sz w:val="20"/>
          <w:szCs w:val="20"/>
        </w:rPr>
        <w:t>Nigerian Meteorological Agency.</w:t>
      </w:r>
      <w:r w:rsidRPr="001E6D1C">
        <w:rPr>
          <w:rFonts w:ascii="Arial" w:hAnsi="Arial" w:cs="Arial"/>
          <w:sz w:val="20"/>
          <w:szCs w:val="20"/>
        </w:rPr>
        <w:t xml:space="preserve"> Birnin Kebbi’s vegetation is Sudan Savanna, with hot, dry season starting from October to April and a rainy season from May to September are the two different seasons that define this region's semi-arid climate. The city's average yearly temperature ranges from 24°C to 34°C, with March and April seeing the highest temperatures. The wettest months are July and August, with an average of 500 to 800 mm of rain falling per year</w:t>
      </w:r>
      <w:r w:rsidR="00A6398E">
        <w:rPr>
          <w:rFonts w:ascii="Arial" w:hAnsi="Arial" w:cs="Arial"/>
          <w:sz w:val="20"/>
          <w:szCs w:val="20"/>
        </w:rPr>
        <w:t xml:space="preserve"> (Ja’afar et al., 2024)</w:t>
      </w:r>
      <w:r w:rsidRPr="001E6D1C">
        <w:rPr>
          <w:rFonts w:ascii="Arial" w:hAnsi="Arial" w:cs="Arial"/>
          <w:sz w:val="20"/>
          <w:szCs w:val="20"/>
        </w:rPr>
        <w:t>.</w:t>
      </w:r>
    </w:p>
    <w:p w14:paraId="64C6D53F" w14:textId="77777777" w:rsidR="00B23D18" w:rsidRPr="001E6D1C" w:rsidRDefault="00B23D18" w:rsidP="0015221E">
      <w:pPr>
        <w:spacing w:line="360" w:lineRule="auto"/>
        <w:jc w:val="both"/>
        <w:rPr>
          <w:rFonts w:ascii="Arial" w:hAnsi="Arial" w:cs="Arial"/>
          <w:sz w:val="20"/>
          <w:szCs w:val="20"/>
        </w:rPr>
      </w:pPr>
      <w:r w:rsidRPr="001E6D1C">
        <w:rPr>
          <w:rFonts w:ascii="Arial" w:hAnsi="Arial" w:cs="Arial"/>
          <w:noProof/>
          <w:sz w:val="20"/>
          <w:szCs w:val="20"/>
        </w:rPr>
        <w:drawing>
          <wp:inline distT="0" distB="0" distL="0" distR="0" wp14:anchorId="2869F52E" wp14:editId="03EFA2A2">
            <wp:extent cx="5476875" cy="2562225"/>
            <wp:effectExtent l="0" t="0" r="9525" b="9525"/>
            <wp:docPr id="14061377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6875" cy="2562225"/>
                    </a:xfrm>
                    <a:prstGeom prst="rect">
                      <a:avLst/>
                    </a:prstGeom>
                    <a:noFill/>
                    <a:ln>
                      <a:noFill/>
                    </a:ln>
                  </pic:spPr>
                </pic:pic>
              </a:graphicData>
            </a:graphic>
          </wp:inline>
        </w:drawing>
      </w:r>
    </w:p>
    <w:p w14:paraId="3AEFBA1D" w14:textId="3A20681E" w:rsidR="00B23D18" w:rsidRPr="001E6D1C" w:rsidRDefault="00B23D18" w:rsidP="0015221E">
      <w:pPr>
        <w:spacing w:line="360" w:lineRule="auto"/>
        <w:jc w:val="both"/>
        <w:rPr>
          <w:rFonts w:ascii="Arial" w:hAnsi="Arial" w:cs="Arial"/>
          <w:b/>
          <w:bCs/>
          <w:sz w:val="20"/>
          <w:szCs w:val="20"/>
        </w:rPr>
      </w:pPr>
      <w:r w:rsidRPr="001E6D1C">
        <w:rPr>
          <w:rFonts w:ascii="Arial" w:hAnsi="Arial" w:cs="Arial"/>
          <w:bCs/>
          <w:sz w:val="20"/>
          <w:szCs w:val="20"/>
        </w:rPr>
        <w:lastRenderedPageBreak/>
        <w:t>Figure 1: A:</w:t>
      </w:r>
      <w:r w:rsidR="000278BA">
        <w:rPr>
          <w:rFonts w:ascii="Arial" w:hAnsi="Arial" w:cs="Arial"/>
          <w:bCs/>
          <w:sz w:val="20"/>
          <w:szCs w:val="20"/>
        </w:rPr>
        <w:t xml:space="preserve"> </w:t>
      </w:r>
      <w:r w:rsidRPr="001E6D1C">
        <w:rPr>
          <w:rFonts w:ascii="Arial" w:hAnsi="Arial" w:cs="Arial"/>
          <w:bCs/>
          <w:sz w:val="20"/>
          <w:szCs w:val="20"/>
        </w:rPr>
        <w:t>Map of study Nigeria, B: Map of Kebbi State C: Map of Birnin Kebbi</w:t>
      </w:r>
    </w:p>
    <w:p w14:paraId="5B6C86B3" w14:textId="77777777" w:rsidR="00470F3B" w:rsidRPr="001E6D1C" w:rsidRDefault="00470F3B" w:rsidP="0015221E">
      <w:pPr>
        <w:spacing w:line="360" w:lineRule="auto"/>
        <w:jc w:val="both"/>
        <w:rPr>
          <w:rFonts w:ascii="Arial" w:hAnsi="Arial" w:cs="Arial"/>
          <w:sz w:val="20"/>
          <w:szCs w:val="20"/>
        </w:rPr>
      </w:pPr>
    </w:p>
    <w:p w14:paraId="19C3B76A" w14:textId="7B6DB0B1" w:rsidR="00B23D18" w:rsidRPr="001E6D1C" w:rsidRDefault="00FD7A7E" w:rsidP="0015221E">
      <w:pPr>
        <w:spacing w:line="360" w:lineRule="auto"/>
        <w:jc w:val="both"/>
        <w:rPr>
          <w:rFonts w:ascii="Arial" w:hAnsi="Arial" w:cs="Arial"/>
          <w:b/>
          <w:bCs/>
          <w:sz w:val="20"/>
          <w:szCs w:val="20"/>
        </w:rPr>
      </w:pPr>
      <w:r w:rsidRPr="001E6D1C">
        <w:rPr>
          <w:rFonts w:ascii="Arial" w:hAnsi="Arial" w:cs="Arial"/>
          <w:sz w:val="20"/>
          <w:szCs w:val="20"/>
        </w:rPr>
        <w:t>2.</w:t>
      </w:r>
      <w:r w:rsidR="000278BA">
        <w:rPr>
          <w:rFonts w:ascii="Arial" w:hAnsi="Arial" w:cs="Arial"/>
          <w:sz w:val="20"/>
          <w:szCs w:val="20"/>
        </w:rPr>
        <w:t>2</w:t>
      </w:r>
      <w:r w:rsidR="00B23D18" w:rsidRPr="001E6D1C">
        <w:rPr>
          <w:rFonts w:ascii="Arial" w:hAnsi="Arial" w:cs="Arial"/>
          <w:sz w:val="20"/>
          <w:szCs w:val="20"/>
        </w:rPr>
        <w:t xml:space="preserve"> </w:t>
      </w:r>
      <w:r w:rsidR="00B23D18" w:rsidRPr="001E6D1C">
        <w:rPr>
          <w:rFonts w:ascii="Arial" w:hAnsi="Arial" w:cs="Arial"/>
          <w:b/>
          <w:bCs/>
          <w:sz w:val="20"/>
          <w:szCs w:val="20"/>
        </w:rPr>
        <w:t>Plant Materials and Preparation</w:t>
      </w:r>
    </w:p>
    <w:p w14:paraId="04601EED" w14:textId="52EBEF0F" w:rsidR="00B23D18" w:rsidRPr="001E6D1C" w:rsidRDefault="00B23D18" w:rsidP="0015221E">
      <w:pPr>
        <w:spacing w:line="360" w:lineRule="auto"/>
        <w:jc w:val="both"/>
        <w:rPr>
          <w:rFonts w:ascii="Arial" w:hAnsi="Arial" w:cs="Arial"/>
          <w:sz w:val="20"/>
          <w:szCs w:val="20"/>
        </w:rPr>
      </w:pPr>
      <w:r w:rsidRPr="001E6D1C">
        <w:rPr>
          <w:rFonts w:ascii="Arial" w:hAnsi="Arial" w:cs="Arial"/>
          <w:sz w:val="20"/>
          <w:szCs w:val="20"/>
        </w:rPr>
        <w:t>The research was carried out in the Biological Garden at the Department of Biological Science, Federal University Birnin Kebbi, Kebbi State. The seeds of selected rice cultivars were obtained in Yauri town (</w:t>
      </w:r>
      <w:r w:rsidR="00E2747F" w:rsidRPr="001E6D1C">
        <w:rPr>
          <w:rFonts w:ascii="Arial" w:hAnsi="Arial" w:cs="Arial"/>
          <w:sz w:val="20"/>
          <w:szCs w:val="20"/>
        </w:rPr>
        <w:t>Swarna-Sub1</w:t>
      </w:r>
      <w:r w:rsidR="00E2747F">
        <w:rPr>
          <w:rFonts w:ascii="Arial" w:hAnsi="Arial" w:cs="Arial"/>
          <w:sz w:val="20"/>
          <w:szCs w:val="20"/>
        </w:rPr>
        <w:t xml:space="preserve">, </w:t>
      </w:r>
      <w:r w:rsidRPr="001E6D1C">
        <w:rPr>
          <w:rFonts w:ascii="Arial" w:hAnsi="Arial" w:cs="Arial"/>
          <w:sz w:val="20"/>
          <w:szCs w:val="20"/>
        </w:rPr>
        <w:t xml:space="preserve">Mai hijabi, CP 60, Faro, and Faro 45). The seeds were transported to the biological garden at Federal University Birnin Kebbi. The four cultivars were surface sterilized by soaking in 5% hypochlorite and then rinsed three times with distilled water. The seeds were first sown in a nursery bed, and uniformly germinated seedlings (14 days) were selected and transferred into pots of 15-liter size containing a mixture of loamy soil and organic manure in a 3:1 ratio (Ja’afar </w:t>
      </w:r>
      <w:r w:rsidRPr="00383BE3">
        <w:rPr>
          <w:rFonts w:ascii="Arial" w:hAnsi="Arial" w:cs="Arial"/>
          <w:sz w:val="20"/>
          <w:szCs w:val="20"/>
        </w:rPr>
        <w:t>et al</w:t>
      </w:r>
      <w:r w:rsidRPr="001E6D1C">
        <w:rPr>
          <w:rFonts w:ascii="Arial" w:hAnsi="Arial" w:cs="Arial"/>
          <w:sz w:val="20"/>
          <w:szCs w:val="20"/>
        </w:rPr>
        <w:t>. 2024).</w:t>
      </w:r>
    </w:p>
    <w:p w14:paraId="768F0D29" w14:textId="2B414A06" w:rsidR="00B23D18" w:rsidRPr="001E6D1C" w:rsidRDefault="00FD7A7E" w:rsidP="0015221E">
      <w:pPr>
        <w:spacing w:line="360" w:lineRule="auto"/>
        <w:jc w:val="both"/>
        <w:rPr>
          <w:rFonts w:ascii="Arial" w:hAnsi="Arial" w:cs="Arial"/>
          <w:b/>
          <w:bCs/>
          <w:sz w:val="20"/>
          <w:szCs w:val="20"/>
        </w:rPr>
      </w:pPr>
      <w:r w:rsidRPr="001E6D1C">
        <w:rPr>
          <w:rFonts w:ascii="Arial" w:hAnsi="Arial" w:cs="Arial"/>
          <w:b/>
          <w:bCs/>
          <w:sz w:val="20"/>
          <w:szCs w:val="20"/>
        </w:rPr>
        <w:t xml:space="preserve">2.3 </w:t>
      </w:r>
      <w:r w:rsidR="00B23D18" w:rsidRPr="001E6D1C">
        <w:rPr>
          <w:rFonts w:ascii="Arial" w:hAnsi="Arial" w:cs="Arial"/>
          <w:b/>
          <w:bCs/>
          <w:sz w:val="20"/>
          <w:szCs w:val="20"/>
        </w:rPr>
        <w:t>Plant Growth Condition and Experimental Design</w:t>
      </w:r>
    </w:p>
    <w:p w14:paraId="68F8DE65" w14:textId="5F83EDE5" w:rsidR="00B23D18" w:rsidRPr="001E6D1C" w:rsidRDefault="00B23D18" w:rsidP="0015221E">
      <w:pPr>
        <w:spacing w:line="360" w:lineRule="auto"/>
        <w:jc w:val="both"/>
        <w:rPr>
          <w:rFonts w:ascii="Arial" w:hAnsi="Arial" w:cs="Arial"/>
          <w:sz w:val="20"/>
          <w:szCs w:val="20"/>
        </w:rPr>
      </w:pPr>
      <w:r w:rsidRPr="001E6D1C">
        <w:rPr>
          <w:rFonts w:ascii="Arial" w:hAnsi="Arial" w:cs="Arial"/>
          <w:sz w:val="20"/>
          <w:szCs w:val="20"/>
        </w:rPr>
        <w:t xml:space="preserve">The research was carried out in the Biological Garden at the Department of Biological Science, Federal University Birnin Kebbi, Kebbi State. The seeds of selected rice cultivars were obtained in Yauri town in March, 2024 (Mai hijabi, </w:t>
      </w:r>
      <w:r w:rsidR="00E2747F" w:rsidRPr="001E6D1C">
        <w:rPr>
          <w:rFonts w:ascii="Arial" w:hAnsi="Arial" w:cs="Arial"/>
          <w:sz w:val="20"/>
          <w:szCs w:val="20"/>
        </w:rPr>
        <w:t>IR64</w:t>
      </w:r>
      <w:r w:rsidR="00E2747F">
        <w:rPr>
          <w:rFonts w:ascii="Arial" w:hAnsi="Arial" w:cs="Arial"/>
          <w:sz w:val="20"/>
          <w:szCs w:val="20"/>
        </w:rPr>
        <w:t xml:space="preserve">, </w:t>
      </w:r>
      <w:r w:rsidRPr="001E6D1C">
        <w:rPr>
          <w:rFonts w:ascii="Arial" w:hAnsi="Arial" w:cs="Arial"/>
          <w:sz w:val="20"/>
          <w:szCs w:val="20"/>
        </w:rPr>
        <w:t xml:space="preserve">CP 60, Faro 60, and Faro 45). The seeds were transported to the </w:t>
      </w:r>
      <w:r w:rsidR="00851959" w:rsidRPr="001E6D1C">
        <w:rPr>
          <w:rFonts w:ascii="Arial" w:hAnsi="Arial" w:cs="Arial"/>
          <w:sz w:val="20"/>
          <w:szCs w:val="20"/>
        </w:rPr>
        <w:t>biological</w:t>
      </w:r>
      <w:r w:rsidRPr="001E6D1C">
        <w:rPr>
          <w:rFonts w:ascii="Arial" w:hAnsi="Arial" w:cs="Arial"/>
          <w:sz w:val="20"/>
          <w:szCs w:val="20"/>
        </w:rPr>
        <w:t xml:space="preserve"> garden Federal University Birnin Kebbi. The seeds were identified and deposited in the Herbarium of Department of Biological Sciences and voucher number was given; (FUBK_2024-87, FUBK_2024-88, FUBK_2024-89 and FUBK_2024-90). The four cultivars were surface sterilized by soaking in 5% hypochlorite and then rinsed three </w:t>
      </w:r>
      <w:r w:rsidR="00851959" w:rsidRPr="001E6D1C">
        <w:rPr>
          <w:rFonts w:ascii="Arial" w:hAnsi="Arial" w:cs="Arial"/>
          <w:sz w:val="20"/>
          <w:szCs w:val="20"/>
        </w:rPr>
        <w:t xml:space="preserve">in running </w:t>
      </w:r>
      <w:r w:rsidRPr="001E6D1C">
        <w:rPr>
          <w:rFonts w:ascii="Arial" w:hAnsi="Arial" w:cs="Arial"/>
          <w:sz w:val="20"/>
          <w:szCs w:val="20"/>
        </w:rPr>
        <w:t>water. The seeds were first sown in a nursery bed, and uniformly germinated seedlings (14 days</w:t>
      </w:r>
      <w:r w:rsidR="00851959" w:rsidRPr="001E6D1C">
        <w:rPr>
          <w:rFonts w:ascii="Arial" w:hAnsi="Arial" w:cs="Arial"/>
          <w:sz w:val="20"/>
          <w:szCs w:val="20"/>
        </w:rPr>
        <w:t xml:space="preserve"> old</w:t>
      </w:r>
      <w:r w:rsidRPr="001E6D1C">
        <w:rPr>
          <w:rFonts w:ascii="Arial" w:hAnsi="Arial" w:cs="Arial"/>
          <w:sz w:val="20"/>
          <w:szCs w:val="20"/>
        </w:rPr>
        <w:t xml:space="preserve">) were selected and transferred into </w:t>
      </w:r>
      <w:r w:rsidR="00851959" w:rsidRPr="001E6D1C">
        <w:rPr>
          <w:rFonts w:ascii="Arial" w:hAnsi="Arial" w:cs="Arial"/>
          <w:sz w:val="20"/>
          <w:szCs w:val="20"/>
        </w:rPr>
        <w:t xml:space="preserve">plastic </w:t>
      </w:r>
      <w:r w:rsidRPr="001E6D1C">
        <w:rPr>
          <w:rFonts w:ascii="Arial" w:hAnsi="Arial" w:cs="Arial"/>
          <w:sz w:val="20"/>
          <w:szCs w:val="20"/>
        </w:rPr>
        <w:t xml:space="preserve">pots of 15-liter size containing a mixture of loamy soil and organic manure in a 3:1 ratio (one seedling per pot) (Ja’afar </w:t>
      </w:r>
      <w:r w:rsidRPr="00383BE3">
        <w:rPr>
          <w:rFonts w:ascii="Arial" w:hAnsi="Arial" w:cs="Arial"/>
          <w:sz w:val="20"/>
          <w:szCs w:val="20"/>
        </w:rPr>
        <w:t>et al</w:t>
      </w:r>
      <w:r w:rsidRPr="001E6D1C">
        <w:rPr>
          <w:rFonts w:ascii="Arial" w:hAnsi="Arial" w:cs="Arial"/>
          <w:sz w:val="20"/>
          <w:szCs w:val="20"/>
        </w:rPr>
        <w:t>., 2018</w:t>
      </w:r>
      <w:r w:rsidR="00A6398E">
        <w:rPr>
          <w:rFonts w:ascii="Arial" w:hAnsi="Arial" w:cs="Arial"/>
          <w:sz w:val="20"/>
          <w:szCs w:val="20"/>
        </w:rPr>
        <w:t>)</w:t>
      </w:r>
      <w:r w:rsidRPr="001E6D1C">
        <w:rPr>
          <w:rFonts w:ascii="Arial" w:hAnsi="Arial" w:cs="Arial"/>
          <w:sz w:val="20"/>
          <w:szCs w:val="20"/>
        </w:rPr>
        <w:t xml:space="preserve"> </w:t>
      </w:r>
    </w:p>
    <w:p w14:paraId="4CC34EA7" w14:textId="6E27451F" w:rsidR="00326D88" w:rsidRPr="001E6D1C" w:rsidRDefault="00851959" w:rsidP="0015221E">
      <w:pPr>
        <w:spacing w:line="360" w:lineRule="auto"/>
        <w:jc w:val="both"/>
        <w:rPr>
          <w:rFonts w:ascii="Arial" w:hAnsi="Arial" w:cs="Arial"/>
          <w:sz w:val="20"/>
          <w:szCs w:val="20"/>
        </w:rPr>
      </w:pPr>
      <w:r w:rsidRPr="001E6D1C">
        <w:rPr>
          <w:rFonts w:ascii="Arial" w:hAnsi="Arial" w:cs="Arial"/>
          <w:sz w:val="20"/>
          <w:szCs w:val="20"/>
        </w:rPr>
        <w:t xml:space="preserve">The experiment was laid down in a </w:t>
      </w:r>
      <w:r w:rsidR="00326D88" w:rsidRPr="001E6D1C">
        <w:rPr>
          <w:rFonts w:ascii="Arial" w:hAnsi="Arial" w:cs="Arial"/>
          <w:sz w:val="20"/>
          <w:szCs w:val="20"/>
        </w:rPr>
        <w:t xml:space="preserve">completely randomized design (CRD) </w:t>
      </w:r>
      <w:r w:rsidR="00447C81" w:rsidRPr="001E6D1C">
        <w:rPr>
          <w:rFonts w:ascii="Arial" w:hAnsi="Arial" w:cs="Arial"/>
          <w:sz w:val="20"/>
          <w:szCs w:val="20"/>
        </w:rPr>
        <w:t>was</w:t>
      </w:r>
      <w:r w:rsidR="00326D88" w:rsidRPr="001E6D1C">
        <w:rPr>
          <w:rFonts w:ascii="Arial" w:hAnsi="Arial" w:cs="Arial"/>
          <w:sz w:val="20"/>
          <w:szCs w:val="20"/>
        </w:rPr>
        <w:t xml:space="preserve"> used with three replications to assess the submergence tolerance of different rice genotypes. The experiment includes both tolerant (Swarna-Sub1) rice varieties as controls</w:t>
      </w:r>
      <w:r w:rsidR="00E2747F">
        <w:rPr>
          <w:rFonts w:ascii="Arial" w:hAnsi="Arial" w:cs="Arial"/>
          <w:sz w:val="20"/>
          <w:szCs w:val="20"/>
        </w:rPr>
        <w:t xml:space="preserve"> and</w:t>
      </w:r>
      <w:r w:rsidR="00B60873" w:rsidRPr="001E6D1C">
        <w:rPr>
          <w:rFonts w:ascii="Arial" w:hAnsi="Arial" w:cs="Arial"/>
          <w:sz w:val="20"/>
          <w:szCs w:val="20"/>
        </w:rPr>
        <w:t xml:space="preserve"> susceptible (IR64) rice varieties as controls.</w:t>
      </w:r>
    </w:p>
    <w:p w14:paraId="41D2A45B" w14:textId="54DBCAFA" w:rsidR="00326D88" w:rsidRPr="001E6D1C" w:rsidRDefault="00FD7A7E" w:rsidP="0015221E">
      <w:pPr>
        <w:spacing w:line="360" w:lineRule="auto"/>
        <w:jc w:val="both"/>
        <w:rPr>
          <w:rFonts w:ascii="Arial" w:hAnsi="Arial" w:cs="Arial"/>
          <w:b/>
          <w:bCs/>
          <w:sz w:val="20"/>
          <w:szCs w:val="20"/>
        </w:rPr>
      </w:pPr>
      <w:r w:rsidRPr="001E6D1C">
        <w:rPr>
          <w:rFonts w:ascii="Arial" w:hAnsi="Arial" w:cs="Arial"/>
          <w:b/>
          <w:bCs/>
          <w:sz w:val="20"/>
          <w:szCs w:val="20"/>
        </w:rPr>
        <w:t xml:space="preserve">2.4 </w:t>
      </w:r>
      <w:r w:rsidR="00326D88" w:rsidRPr="001E6D1C">
        <w:rPr>
          <w:rFonts w:ascii="Arial" w:hAnsi="Arial" w:cs="Arial"/>
          <w:b/>
          <w:bCs/>
          <w:sz w:val="20"/>
          <w:szCs w:val="20"/>
        </w:rPr>
        <w:t xml:space="preserve">Submergence </w:t>
      </w:r>
      <w:r w:rsidR="00A6398E">
        <w:rPr>
          <w:rFonts w:ascii="Arial" w:hAnsi="Arial" w:cs="Arial"/>
          <w:b/>
          <w:bCs/>
          <w:sz w:val="20"/>
          <w:szCs w:val="20"/>
        </w:rPr>
        <w:t>of rice cultivars</w:t>
      </w:r>
    </w:p>
    <w:p w14:paraId="33035174" w14:textId="7AB80635" w:rsidR="00326D88" w:rsidRPr="001E6D1C" w:rsidRDefault="00326D88" w:rsidP="0015221E">
      <w:pPr>
        <w:spacing w:line="360" w:lineRule="auto"/>
        <w:jc w:val="both"/>
        <w:rPr>
          <w:rFonts w:ascii="Arial" w:hAnsi="Arial" w:cs="Arial"/>
          <w:sz w:val="20"/>
          <w:szCs w:val="20"/>
        </w:rPr>
      </w:pPr>
      <w:r w:rsidRPr="001E6D1C">
        <w:rPr>
          <w:rFonts w:ascii="Arial" w:hAnsi="Arial" w:cs="Arial"/>
          <w:sz w:val="20"/>
          <w:szCs w:val="20"/>
        </w:rPr>
        <w:t xml:space="preserve">Submergence is carried out in a controlled </w:t>
      </w:r>
      <w:r w:rsidR="00E2747F">
        <w:rPr>
          <w:rFonts w:ascii="Arial" w:hAnsi="Arial" w:cs="Arial"/>
          <w:sz w:val="20"/>
          <w:szCs w:val="20"/>
        </w:rPr>
        <w:t xml:space="preserve">pots </w:t>
      </w:r>
      <w:r w:rsidRPr="001E6D1C">
        <w:rPr>
          <w:rFonts w:ascii="Arial" w:hAnsi="Arial" w:cs="Arial"/>
          <w:sz w:val="20"/>
          <w:szCs w:val="20"/>
        </w:rPr>
        <w:t>filled with clean water to a depth of at least 60–80 cm to ensure full submergence.</w:t>
      </w:r>
      <w:r w:rsidR="00447C81" w:rsidRPr="001E6D1C">
        <w:rPr>
          <w:rFonts w:ascii="Arial" w:hAnsi="Arial" w:cs="Arial"/>
          <w:sz w:val="20"/>
          <w:szCs w:val="20"/>
        </w:rPr>
        <w:t xml:space="preserve"> </w:t>
      </w:r>
      <w:r w:rsidRPr="001E6D1C">
        <w:rPr>
          <w:rFonts w:ascii="Arial" w:hAnsi="Arial" w:cs="Arial"/>
          <w:sz w:val="20"/>
          <w:szCs w:val="20"/>
        </w:rPr>
        <w:t xml:space="preserve">The submergence period lasts for 14 days as this is the standard for screening </w:t>
      </w:r>
      <w:r w:rsidRPr="001E6D1C">
        <w:rPr>
          <w:rFonts w:ascii="Arial" w:hAnsi="Arial" w:cs="Arial"/>
          <w:i/>
          <w:iCs/>
          <w:sz w:val="20"/>
          <w:szCs w:val="20"/>
        </w:rPr>
        <w:t>Sub1</w:t>
      </w:r>
      <w:r w:rsidRPr="001E6D1C">
        <w:rPr>
          <w:rFonts w:ascii="Arial" w:hAnsi="Arial" w:cs="Arial"/>
          <w:sz w:val="20"/>
          <w:szCs w:val="20"/>
        </w:rPr>
        <w:t xml:space="preserve"> tolerance.</w:t>
      </w:r>
      <w:r w:rsidR="00447C81" w:rsidRPr="001E6D1C">
        <w:rPr>
          <w:rFonts w:ascii="Arial" w:hAnsi="Arial" w:cs="Arial"/>
          <w:sz w:val="20"/>
          <w:szCs w:val="20"/>
        </w:rPr>
        <w:t xml:space="preserve"> </w:t>
      </w:r>
      <w:r w:rsidRPr="001E6D1C">
        <w:rPr>
          <w:rFonts w:ascii="Arial" w:hAnsi="Arial" w:cs="Arial"/>
          <w:sz w:val="20"/>
          <w:szCs w:val="20"/>
        </w:rPr>
        <w:t>Water temperature, light intensity, and dissolved oxygen levels are monitored daily to simulate natural flood conditions</w:t>
      </w:r>
      <w:r w:rsidR="00A6398E">
        <w:rPr>
          <w:rFonts w:ascii="Arial" w:hAnsi="Arial" w:cs="Arial"/>
          <w:sz w:val="20"/>
          <w:szCs w:val="20"/>
        </w:rPr>
        <w:t xml:space="preserve"> (Ja’afar et al., 2024</w:t>
      </w:r>
      <w:r w:rsidR="00901121">
        <w:rPr>
          <w:rFonts w:ascii="Arial" w:hAnsi="Arial" w:cs="Arial"/>
          <w:sz w:val="20"/>
          <w:szCs w:val="20"/>
        </w:rPr>
        <w:t xml:space="preserve">; </w:t>
      </w:r>
      <w:r w:rsidR="00901121" w:rsidRPr="00F54F47">
        <w:rPr>
          <w:rFonts w:ascii="Arial" w:eastAsia="Times New Roman" w:hAnsi="Arial" w:cs="Arial"/>
          <w:sz w:val="20"/>
          <w:szCs w:val="20"/>
        </w:rPr>
        <w:t>Septiningsih</w:t>
      </w:r>
      <w:r w:rsidR="00901121">
        <w:rPr>
          <w:rFonts w:ascii="Arial" w:eastAsia="Times New Roman" w:hAnsi="Arial" w:cs="Arial"/>
          <w:sz w:val="20"/>
          <w:szCs w:val="20"/>
        </w:rPr>
        <w:t>, 2011</w:t>
      </w:r>
      <w:r w:rsidR="00A6398E">
        <w:rPr>
          <w:rFonts w:ascii="Arial" w:hAnsi="Arial" w:cs="Arial"/>
          <w:sz w:val="20"/>
          <w:szCs w:val="20"/>
        </w:rPr>
        <w:t>)</w:t>
      </w:r>
      <w:r w:rsidRPr="001E6D1C">
        <w:rPr>
          <w:rFonts w:ascii="Arial" w:hAnsi="Arial" w:cs="Arial"/>
          <w:sz w:val="20"/>
          <w:szCs w:val="20"/>
        </w:rPr>
        <w:t>.</w:t>
      </w:r>
    </w:p>
    <w:p w14:paraId="21589533" w14:textId="00A18C49" w:rsidR="00326D88" w:rsidRPr="001E6D1C" w:rsidRDefault="00FD7A7E" w:rsidP="0015221E">
      <w:pPr>
        <w:spacing w:line="360" w:lineRule="auto"/>
        <w:jc w:val="both"/>
        <w:rPr>
          <w:rFonts w:ascii="Arial" w:hAnsi="Arial" w:cs="Arial"/>
          <w:b/>
          <w:bCs/>
          <w:sz w:val="20"/>
          <w:szCs w:val="20"/>
        </w:rPr>
      </w:pPr>
      <w:r w:rsidRPr="001E6D1C">
        <w:rPr>
          <w:rFonts w:ascii="Arial" w:hAnsi="Arial" w:cs="Arial"/>
          <w:b/>
          <w:bCs/>
          <w:sz w:val="20"/>
          <w:szCs w:val="20"/>
        </w:rPr>
        <w:t xml:space="preserve">2.5 </w:t>
      </w:r>
      <w:r w:rsidR="000278BA" w:rsidRPr="001E6D1C">
        <w:rPr>
          <w:rFonts w:ascii="Arial" w:hAnsi="Arial" w:cs="Arial"/>
          <w:b/>
          <w:bCs/>
          <w:sz w:val="20"/>
          <w:szCs w:val="20"/>
        </w:rPr>
        <w:t xml:space="preserve">Submergence </w:t>
      </w:r>
      <w:r w:rsidR="00C04FB6">
        <w:rPr>
          <w:rFonts w:ascii="Arial" w:hAnsi="Arial" w:cs="Arial"/>
          <w:b/>
          <w:bCs/>
          <w:sz w:val="20"/>
          <w:szCs w:val="20"/>
        </w:rPr>
        <w:t>r</w:t>
      </w:r>
      <w:r w:rsidR="00326D88" w:rsidRPr="001E6D1C">
        <w:rPr>
          <w:rFonts w:ascii="Arial" w:hAnsi="Arial" w:cs="Arial"/>
          <w:b/>
          <w:bCs/>
          <w:sz w:val="20"/>
          <w:szCs w:val="20"/>
        </w:rPr>
        <w:t xml:space="preserve">ecovery </w:t>
      </w:r>
      <w:r w:rsidR="00C04FB6">
        <w:rPr>
          <w:rFonts w:ascii="Arial" w:hAnsi="Arial" w:cs="Arial"/>
          <w:b/>
          <w:bCs/>
          <w:sz w:val="20"/>
          <w:szCs w:val="20"/>
        </w:rPr>
        <w:t xml:space="preserve">and </w:t>
      </w:r>
      <w:r w:rsidR="00C04FB6" w:rsidRPr="001E6D1C">
        <w:rPr>
          <w:rFonts w:ascii="Arial" w:hAnsi="Arial" w:cs="Arial"/>
          <w:b/>
          <w:bCs/>
          <w:sz w:val="20"/>
          <w:szCs w:val="20"/>
        </w:rPr>
        <w:t>Determination of survival rate</w:t>
      </w:r>
    </w:p>
    <w:p w14:paraId="2629CBBD" w14:textId="7A09CF8D" w:rsidR="007D00B0" w:rsidRPr="001E6D1C" w:rsidRDefault="00326D88" w:rsidP="0015221E">
      <w:pPr>
        <w:spacing w:line="360" w:lineRule="auto"/>
        <w:jc w:val="both"/>
        <w:rPr>
          <w:rFonts w:ascii="Arial" w:hAnsi="Arial" w:cs="Arial"/>
          <w:sz w:val="20"/>
          <w:szCs w:val="20"/>
        </w:rPr>
      </w:pPr>
      <w:r w:rsidRPr="001E6D1C">
        <w:rPr>
          <w:rFonts w:ascii="Arial" w:hAnsi="Arial" w:cs="Arial"/>
          <w:sz w:val="20"/>
          <w:szCs w:val="20"/>
        </w:rPr>
        <w:t>After 14 days of submergence, the water is drained, and the plants are allowed to recover for 7 days under normal conditions.</w:t>
      </w:r>
      <w:r w:rsidR="00447C81" w:rsidRPr="001E6D1C">
        <w:rPr>
          <w:rFonts w:ascii="Arial" w:hAnsi="Arial" w:cs="Arial"/>
          <w:sz w:val="20"/>
          <w:szCs w:val="20"/>
        </w:rPr>
        <w:t xml:space="preserve"> </w:t>
      </w:r>
      <w:r w:rsidRPr="001E6D1C">
        <w:rPr>
          <w:rFonts w:ascii="Arial" w:hAnsi="Arial" w:cs="Arial"/>
          <w:sz w:val="20"/>
          <w:szCs w:val="20"/>
        </w:rPr>
        <w:t>During the recovery period, the surviving seedlings are monitored and allowed to produce new leaves.</w:t>
      </w:r>
      <w:r w:rsidR="00C04FB6">
        <w:rPr>
          <w:rFonts w:ascii="Arial" w:hAnsi="Arial" w:cs="Arial"/>
          <w:sz w:val="20"/>
          <w:szCs w:val="20"/>
        </w:rPr>
        <w:t xml:space="preserve"> Submergence survival rate was analysed using the formular below: </w:t>
      </w:r>
    </w:p>
    <w:p w14:paraId="57C84FFB" w14:textId="73A2D66F" w:rsidR="00326D88" w:rsidRDefault="00326D88" w:rsidP="0015221E">
      <w:pPr>
        <w:spacing w:line="360" w:lineRule="auto"/>
        <w:jc w:val="both"/>
        <w:rPr>
          <w:rFonts w:ascii="Arial" w:hAnsi="Arial" w:cs="Arial"/>
          <w:b/>
          <w:bCs/>
          <w:sz w:val="20"/>
          <w:szCs w:val="20"/>
        </w:rPr>
      </w:pPr>
      <w:r w:rsidRPr="001E6D1C">
        <w:rPr>
          <w:rFonts w:ascii="Arial" w:hAnsi="Arial" w:cs="Arial"/>
          <w:sz w:val="20"/>
          <w:szCs w:val="20"/>
        </w:rPr>
        <w:lastRenderedPageBreak/>
        <w:t>Survival percentage (%)</w:t>
      </w:r>
      <w:r w:rsidR="00447C81" w:rsidRPr="001E6D1C">
        <w:rPr>
          <w:rFonts w:ascii="Arial" w:hAnsi="Arial" w:cs="Arial"/>
          <w:b/>
          <w:bCs/>
          <w:sz w:val="20"/>
          <w:szCs w:val="20"/>
        </w:rPr>
        <w:t>=</w:t>
      </w:r>
      <m:oMath>
        <m:f>
          <m:fPr>
            <m:ctrlPr>
              <w:rPr>
                <w:rFonts w:ascii="Cambria Math" w:hAnsi="Cambria Math" w:cs="Arial"/>
                <w:bCs/>
                <w:sz w:val="20"/>
                <w:szCs w:val="20"/>
              </w:rPr>
            </m:ctrlPr>
          </m:fPr>
          <m:num>
            <m:r>
              <m:rPr>
                <m:sty m:val="b"/>
              </m:rPr>
              <w:rPr>
                <w:rFonts w:ascii="Cambria Math" w:hAnsi="Cambria Math" w:cs="Arial"/>
                <w:sz w:val="20"/>
                <w:szCs w:val="20"/>
              </w:rPr>
              <m:t>Number of surviving seedlings after recovery</m:t>
            </m:r>
          </m:num>
          <m:den>
            <m:r>
              <m:rPr>
                <m:sty m:val="b"/>
              </m:rPr>
              <w:rPr>
                <w:rFonts w:ascii="Cambria Math" w:hAnsi="Cambria Math" w:cs="Arial"/>
                <w:sz w:val="20"/>
                <w:szCs w:val="20"/>
              </w:rPr>
              <m:t>Total number of seedlings before submergence</m:t>
            </m:r>
          </m:den>
        </m:f>
        <m:r>
          <w:rPr>
            <w:rFonts w:ascii="Cambria Math" w:hAnsi="Cambria Math" w:cs="Arial"/>
            <w:sz w:val="20"/>
            <w:szCs w:val="20"/>
          </w:rPr>
          <m:t>×100</m:t>
        </m:r>
      </m:oMath>
      <w:r w:rsidRPr="001E6D1C">
        <w:rPr>
          <w:rFonts w:ascii="Arial" w:hAnsi="Arial" w:cs="Arial"/>
          <w:b/>
          <w:bCs/>
          <w:sz w:val="20"/>
          <w:szCs w:val="20"/>
        </w:rPr>
        <w:t xml:space="preserve"> </w:t>
      </w:r>
      <w:r w:rsidR="00E6653B" w:rsidRPr="001E6D1C">
        <w:rPr>
          <w:rFonts w:ascii="Arial" w:hAnsi="Arial" w:cs="Arial"/>
          <w:b/>
          <w:bCs/>
          <w:sz w:val="20"/>
          <w:szCs w:val="20"/>
        </w:rPr>
        <w:t>__________</w:t>
      </w:r>
      <w:r w:rsidR="00C04FB6">
        <w:rPr>
          <w:rFonts w:ascii="Arial" w:hAnsi="Arial" w:cs="Arial"/>
          <w:b/>
          <w:bCs/>
          <w:sz w:val="20"/>
          <w:szCs w:val="20"/>
        </w:rPr>
        <w:t>___________________</w:t>
      </w:r>
      <w:r w:rsidR="00E6653B" w:rsidRPr="001E6D1C">
        <w:rPr>
          <w:rFonts w:ascii="Arial" w:hAnsi="Arial" w:cs="Arial"/>
          <w:b/>
          <w:bCs/>
          <w:sz w:val="20"/>
          <w:szCs w:val="20"/>
        </w:rPr>
        <w:t>1</w:t>
      </w:r>
    </w:p>
    <w:p w14:paraId="4623697A" w14:textId="57923B18" w:rsidR="00C01FD5" w:rsidRPr="001E6D1C" w:rsidRDefault="00C01FD5" w:rsidP="0015221E">
      <w:pPr>
        <w:spacing w:line="360" w:lineRule="auto"/>
        <w:jc w:val="both"/>
        <w:rPr>
          <w:rFonts w:ascii="Arial" w:hAnsi="Arial" w:cs="Arial"/>
          <w:b/>
          <w:bCs/>
          <w:sz w:val="20"/>
          <w:szCs w:val="20"/>
        </w:rPr>
      </w:pPr>
      <w:r>
        <w:rPr>
          <w:rFonts w:ascii="Arial" w:hAnsi="Arial" w:cs="Arial"/>
          <w:sz w:val="20"/>
          <w:szCs w:val="20"/>
        </w:rPr>
        <w:t>(Ja’afar et al., 2024)</w:t>
      </w:r>
      <w:r w:rsidRPr="001E6D1C">
        <w:rPr>
          <w:rFonts w:ascii="Arial" w:hAnsi="Arial" w:cs="Arial"/>
          <w:sz w:val="20"/>
          <w:szCs w:val="20"/>
        </w:rPr>
        <w:t>.</w:t>
      </w:r>
    </w:p>
    <w:p w14:paraId="3AB12B4C" w14:textId="02BDD853" w:rsidR="00326D88" w:rsidRPr="001E6D1C" w:rsidRDefault="00FD7A7E" w:rsidP="0015221E">
      <w:pPr>
        <w:spacing w:line="360" w:lineRule="auto"/>
        <w:jc w:val="both"/>
        <w:rPr>
          <w:rFonts w:ascii="Arial" w:hAnsi="Arial" w:cs="Arial"/>
          <w:b/>
          <w:bCs/>
          <w:sz w:val="20"/>
          <w:szCs w:val="20"/>
        </w:rPr>
      </w:pPr>
      <w:r w:rsidRPr="001E6D1C">
        <w:rPr>
          <w:rFonts w:ascii="Arial" w:hAnsi="Arial" w:cs="Arial"/>
          <w:b/>
          <w:bCs/>
          <w:sz w:val="20"/>
          <w:szCs w:val="20"/>
        </w:rPr>
        <w:t>2.</w:t>
      </w:r>
      <w:r w:rsidR="00C04FB6">
        <w:rPr>
          <w:rFonts w:ascii="Arial" w:hAnsi="Arial" w:cs="Arial"/>
          <w:b/>
          <w:bCs/>
          <w:sz w:val="20"/>
          <w:szCs w:val="20"/>
        </w:rPr>
        <w:t xml:space="preserve">6 </w:t>
      </w:r>
      <w:r w:rsidR="00B60873" w:rsidRPr="001E6D1C">
        <w:rPr>
          <w:rFonts w:ascii="Arial" w:hAnsi="Arial" w:cs="Arial"/>
          <w:b/>
          <w:bCs/>
          <w:sz w:val="20"/>
          <w:szCs w:val="20"/>
        </w:rPr>
        <w:t xml:space="preserve">Determination of </w:t>
      </w:r>
      <w:r w:rsidR="00326D88" w:rsidRPr="001E6D1C">
        <w:rPr>
          <w:rFonts w:ascii="Arial" w:hAnsi="Arial" w:cs="Arial"/>
          <w:b/>
          <w:bCs/>
          <w:sz w:val="20"/>
          <w:szCs w:val="20"/>
        </w:rPr>
        <w:t>Shoot elongation during submergence (cm)</w:t>
      </w:r>
      <w:r w:rsidR="00B60873" w:rsidRPr="001E6D1C">
        <w:rPr>
          <w:rFonts w:ascii="Arial" w:hAnsi="Arial" w:cs="Arial"/>
          <w:b/>
          <w:bCs/>
          <w:sz w:val="20"/>
          <w:szCs w:val="20"/>
        </w:rPr>
        <w:t xml:space="preserve"> </w:t>
      </w:r>
    </w:p>
    <w:p w14:paraId="3DBDE4EC" w14:textId="4F2D7262" w:rsidR="00595676" w:rsidRPr="001E6D1C" w:rsidRDefault="00C04FB6" w:rsidP="0015221E">
      <w:pPr>
        <w:spacing w:line="360" w:lineRule="auto"/>
        <w:jc w:val="both"/>
        <w:rPr>
          <w:rFonts w:ascii="Arial" w:hAnsi="Arial" w:cs="Arial"/>
          <w:sz w:val="20"/>
          <w:szCs w:val="20"/>
        </w:rPr>
      </w:pPr>
      <w:r>
        <w:rPr>
          <w:rFonts w:ascii="Arial" w:hAnsi="Arial" w:cs="Arial"/>
          <w:sz w:val="20"/>
          <w:szCs w:val="20"/>
        </w:rPr>
        <w:t xml:space="preserve">Length of seedlings were measured with cm rule before submergence (L1). </w:t>
      </w:r>
      <w:r w:rsidR="00595676" w:rsidRPr="001E6D1C">
        <w:rPr>
          <w:rFonts w:ascii="Arial" w:hAnsi="Arial" w:cs="Arial"/>
          <w:sz w:val="20"/>
          <w:szCs w:val="20"/>
        </w:rPr>
        <w:t xml:space="preserve">After the submergence period, </w:t>
      </w:r>
      <w:r>
        <w:rPr>
          <w:rFonts w:ascii="Arial" w:hAnsi="Arial" w:cs="Arial"/>
          <w:sz w:val="20"/>
          <w:szCs w:val="20"/>
        </w:rPr>
        <w:t>the</w:t>
      </w:r>
      <w:r w:rsidR="00595676" w:rsidRPr="001E6D1C">
        <w:rPr>
          <w:rFonts w:ascii="Arial" w:hAnsi="Arial" w:cs="Arial"/>
          <w:sz w:val="20"/>
          <w:szCs w:val="20"/>
        </w:rPr>
        <w:t xml:space="preserve"> seedlings </w:t>
      </w:r>
      <w:r>
        <w:rPr>
          <w:rFonts w:ascii="Arial" w:hAnsi="Arial" w:cs="Arial"/>
          <w:sz w:val="20"/>
          <w:szCs w:val="20"/>
        </w:rPr>
        <w:t xml:space="preserve">were gently removed </w:t>
      </w:r>
      <w:r w:rsidR="00595676" w:rsidRPr="001E6D1C">
        <w:rPr>
          <w:rFonts w:ascii="Arial" w:hAnsi="Arial" w:cs="Arial"/>
          <w:sz w:val="20"/>
          <w:szCs w:val="20"/>
        </w:rPr>
        <w:t xml:space="preserve">from water and allow excess water to drain. </w:t>
      </w:r>
      <w:r>
        <w:rPr>
          <w:rFonts w:ascii="Arial" w:hAnsi="Arial" w:cs="Arial"/>
          <w:sz w:val="20"/>
          <w:szCs w:val="20"/>
        </w:rPr>
        <w:t>F</w:t>
      </w:r>
      <w:r w:rsidR="00595676" w:rsidRPr="001E6D1C">
        <w:rPr>
          <w:rFonts w:ascii="Arial" w:hAnsi="Arial" w:cs="Arial"/>
          <w:sz w:val="20"/>
          <w:szCs w:val="20"/>
        </w:rPr>
        <w:t>inal shoot length (L</w:t>
      </w:r>
      <w:r w:rsidR="00595676" w:rsidRPr="001E6D1C">
        <w:rPr>
          <w:rFonts w:ascii="Cambria Math" w:hAnsi="Cambria Math" w:cs="Cambria Math"/>
          <w:sz w:val="20"/>
          <w:szCs w:val="20"/>
        </w:rPr>
        <w:t>₂</w:t>
      </w:r>
      <w:r w:rsidR="00595676" w:rsidRPr="001E6D1C">
        <w:rPr>
          <w:rFonts w:ascii="Arial" w:hAnsi="Arial" w:cs="Arial"/>
          <w:sz w:val="20"/>
          <w:szCs w:val="20"/>
        </w:rPr>
        <w:t>) in the same seedlings you measured initially.</w:t>
      </w:r>
      <w:r w:rsidR="00E6653B" w:rsidRPr="001E6D1C">
        <w:rPr>
          <w:rFonts w:ascii="Arial" w:hAnsi="Arial" w:cs="Arial"/>
          <w:sz w:val="20"/>
          <w:szCs w:val="20"/>
        </w:rPr>
        <w:t xml:space="preserve"> </w:t>
      </w:r>
      <w:r w:rsidR="00595676" w:rsidRPr="00C04FB6">
        <w:rPr>
          <w:rFonts w:ascii="Arial" w:hAnsi="Arial" w:cs="Arial"/>
          <w:sz w:val="20"/>
          <w:szCs w:val="20"/>
        </w:rPr>
        <w:t>Initial shoot length (L</w:t>
      </w:r>
      <w:r w:rsidR="00595676" w:rsidRPr="00C04FB6">
        <w:rPr>
          <w:rFonts w:ascii="Cambria Math" w:hAnsi="Cambria Math" w:cs="Cambria Math"/>
          <w:sz w:val="20"/>
          <w:szCs w:val="20"/>
        </w:rPr>
        <w:t>₁</w:t>
      </w:r>
      <w:r w:rsidR="00595676" w:rsidRPr="00C04FB6">
        <w:rPr>
          <w:rFonts w:ascii="Arial" w:hAnsi="Arial" w:cs="Arial"/>
          <w:sz w:val="20"/>
          <w:szCs w:val="20"/>
        </w:rPr>
        <w:t>)</w:t>
      </w:r>
      <w:r w:rsidR="00C01FD5">
        <w:rPr>
          <w:rFonts w:ascii="Arial" w:hAnsi="Arial" w:cs="Arial"/>
          <w:sz w:val="20"/>
          <w:szCs w:val="20"/>
        </w:rPr>
        <w:t xml:space="preserve">. </w:t>
      </w:r>
      <w:r w:rsidR="00C01FD5" w:rsidRPr="00C01FD5">
        <w:rPr>
          <w:rFonts w:ascii="Arial" w:hAnsi="Arial" w:cs="Arial"/>
          <w:sz w:val="20"/>
          <w:szCs w:val="20"/>
        </w:rPr>
        <w:t xml:space="preserve">Shoot elongation during submergence </w:t>
      </w:r>
    </w:p>
    <w:p w14:paraId="6B56B6E8" w14:textId="4CFDB415" w:rsidR="00595676" w:rsidRPr="001E6D1C" w:rsidRDefault="00C01FD5" w:rsidP="0015221E">
      <w:pPr>
        <w:spacing w:line="360" w:lineRule="auto"/>
        <w:jc w:val="both"/>
        <w:rPr>
          <w:rFonts w:ascii="Arial" w:hAnsi="Arial" w:cs="Arial"/>
          <w:sz w:val="20"/>
          <w:szCs w:val="20"/>
        </w:rPr>
      </w:pPr>
      <w:r>
        <w:rPr>
          <w:rFonts w:ascii="Arial" w:hAnsi="Arial" w:cs="Arial"/>
          <w:sz w:val="20"/>
          <w:szCs w:val="20"/>
        </w:rPr>
        <w:t>Is determine</w:t>
      </w:r>
      <w:r w:rsidR="00595676" w:rsidRPr="001E6D1C">
        <w:rPr>
          <w:rFonts w:ascii="Arial" w:hAnsi="Arial" w:cs="Arial"/>
          <w:sz w:val="20"/>
          <w:szCs w:val="20"/>
        </w:rPr>
        <w:t xml:space="preserve"> the following formula</w:t>
      </w:r>
      <w:r>
        <w:rPr>
          <w:rFonts w:ascii="Arial" w:hAnsi="Arial" w:cs="Arial"/>
          <w:sz w:val="20"/>
          <w:szCs w:val="20"/>
        </w:rPr>
        <w:t xml:space="preserve"> (Ja’afar et al., 2024</w:t>
      </w:r>
      <w:r w:rsidR="0042603B">
        <w:rPr>
          <w:rFonts w:ascii="Arial" w:hAnsi="Arial" w:cs="Arial"/>
          <w:sz w:val="20"/>
          <w:szCs w:val="20"/>
        </w:rPr>
        <w:t xml:space="preserve">; </w:t>
      </w:r>
      <w:r w:rsidR="0042603B" w:rsidRPr="00F54F47">
        <w:rPr>
          <w:rFonts w:ascii="Arial" w:eastAsia="Times New Roman" w:hAnsi="Arial" w:cs="Arial"/>
          <w:sz w:val="20"/>
          <w:szCs w:val="20"/>
        </w:rPr>
        <w:t>Septiningsih</w:t>
      </w:r>
      <w:r w:rsidR="0042603B">
        <w:rPr>
          <w:rFonts w:ascii="Arial" w:eastAsia="Times New Roman" w:hAnsi="Arial" w:cs="Arial"/>
          <w:sz w:val="20"/>
          <w:szCs w:val="20"/>
        </w:rPr>
        <w:t>, 2011</w:t>
      </w:r>
      <w:r>
        <w:rPr>
          <w:rFonts w:ascii="Arial" w:hAnsi="Arial" w:cs="Arial"/>
          <w:sz w:val="20"/>
          <w:szCs w:val="20"/>
        </w:rPr>
        <w:t>)</w:t>
      </w:r>
      <w:r w:rsidRPr="001E6D1C">
        <w:rPr>
          <w:rFonts w:ascii="Arial" w:hAnsi="Arial" w:cs="Arial"/>
          <w:sz w:val="20"/>
          <w:szCs w:val="20"/>
        </w:rPr>
        <w:t>.</w:t>
      </w:r>
      <w:r w:rsidR="00595676" w:rsidRPr="001E6D1C">
        <w:rPr>
          <w:rFonts w:ascii="Arial" w:hAnsi="Arial" w:cs="Arial"/>
          <w:sz w:val="20"/>
          <w:szCs w:val="20"/>
        </w:rPr>
        <w:t>:</w:t>
      </w:r>
    </w:p>
    <w:p w14:paraId="78B3E34E" w14:textId="2C24092C" w:rsidR="00595676" w:rsidRPr="001E6D1C" w:rsidRDefault="00595676" w:rsidP="0015221E">
      <w:pPr>
        <w:spacing w:line="360" w:lineRule="auto"/>
        <w:jc w:val="both"/>
        <w:rPr>
          <w:rFonts w:ascii="Arial" w:hAnsi="Arial" w:cs="Arial"/>
          <w:sz w:val="20"/>
          <w:szCs w:val="20"/>
        </w:rPr>
      </w:pPr>
      <w:r w:rsidRPr="001E6D1C">
        <w:rPr>
          <w:rFonts w:ascii="Arial" w:hAnsi="Arial" w:cs="Arial"/>
          <w:sz w:val="20"/>
          <w:szCs w:val="20"/>
        </w:rPr>
        <w:t>Shoot Elongation (cm)=L2​−L1​</w:t>
      </w:r>
      <w:r w:rsidR="00E6653B" w:rsidRPr="001E6D1C">
        <w:rPr>
          <w:rFonts w:ascii="Arial" w:hAnsi="Arial" w:cs="Arial"/>
          <w:sz w:val="20"/>
          <w:szCs w:val="20"/>
        </w:rPr>
        <w:t>____________________________________</w:t>
      </w:r>
      <w:r w:rsidR="00DB75DB">
        <w:rPr>
          <w:rFonts w:ascii="Arial" w:hAnsi="Arial" w:cs="Arial"/>
          <w:sz w:val="20"/>
          <w:szCs w:val="20"/>
        </w:rPr>
        <w:t>___________________</w:t>
      </w:r>
      <w:r w:rsidR="00E6653B" w:rsidRPr="001E6D1C">
        <w:rPr>
          <w:rFonts w:ascii="Arial" w:hAnsi="Arial" w:cs="Arial"/>
          <w:sz w:val="20"/>
          <w:szCs w:val="20"/>
        </w:rPr>
        <w:t>2</w:t>
      </w:r>
    </w:p>
    <w:p w14:paraId="28241F73" w14:textId="67E66687" w:rsidR="00595676" w:rsidRPr="001E6D1C" w:rsidRDefault="00595676" w:rsidP="0015221E">
      <w:pPr>
        <w:spacing w:line="360" w:lineRule="auto"/>
        <w:jc w:val="both"/>
        <w:rPr>
          <w:rFonts w:ascii="Arial" w:hAnsi="Arial" w:cs="Arial"/>
          <w:sz w:val="20"/>
          <w:szCs w:val="20"/>
        </w:rPr>
      </w:pPr>
      <w:r w:rsidRPr="001E6D1C">
        <w:rPr>
          <w:rFonts w:ascii="Arial" w:hAnsi="Arial" w:cs="Arial"/>
          <w:sz w:val="20"/>
          <w:szCs w:val="20"/>
        </w:rPr>
        <w:t>Shoot Elongation Rate (cm/day)</w:t>
      </w:r>
      <w:r w:rsidR="00793325">
        <w:rPr>
          <w:rFonts w:ascii="Arial" w:hAnsi="Arial" w:cs="Arial"/>
          <w:sz w:val="20"/>
          <w:szCs w:val="20"/>
        </w:rPr>
        <w:t xml:space="preserve"> </w:t>
      </w:r>
      <w:r w:rsidRPr="001E6D1C">
        <w:rPr>
          <w:rFonts w:ascii="Arial" w:hAnsi="Arial" w:cs="Arial"/>
          <w:sz w:val="20"/>
          <w:szCs w:val="20"/>
        </w:rPr>
        <w:t>=</w:t>
      </w:r>
      <m:oMath>
        <m:f>
          <m:fPr>
            <m:ctrlPr>
              <w:rPr>
                <w:rFonts w:ascii="Cambria Math" w:hAnsi="Cambria Math" w:cs="Arial"/>
                <w:bCs/>
                <w:sz w:val="20"/>
                <w:szCs w:val="20"/>
              </w:rPr>
            </m:ctrlPr>
          </m:fPr>
          <m:num>
            <m:r>
              <m:rPr>
                <m:sty m:val="b"/>
              </m:rPr>
              <w:rPr>
                <w:rFonts w:ascii="Cambria Math" w:hAnsi="Cambria Math" w:cs="Arial"/>
                <w:sz w:val="20"/>
                <w:szCs w:val="20"/>
              </w:rPr>
              <m:t>L2-L1</m:t>
            </m:r>
          </m:num>
          <m:den>
            <m:r>
              <m:rPr>
                <m:sty m:val="b"/>
              </m:rPr>
              <w:rPr>
                <w:rFonts w:ascii="Cambria Math" w:hAnsi="Cambria Math" w:cs="Arial"/>
                <w:sz w:val="20"/>
                <w:szCs w:val="20"/>
              </w:rPr>
              <m:t xml:space="preserve"> Number of submergence days</m:t>
            </m:r>
          </m:den>
        </m:f>
      </m:oMath>
      <w:r w:rsidR="00E6653B" w:rsidRPr="001E6D1C">
        <w:rPr>
          <w:rFonts w:ascii="Arial" w:eastAsiaTheme="minorEastAsia" w:hAnsi="Arial" w:cs="Arial"/>
          <w:bCs/>
          <w:sz w:val="20"/>
          <w:szCs w:val="20"/>
        </w:rPr>
        <w:t>____________</w:t>
      </w:r>
      <w:r w:rsidR="00DB75DB">
        <w:rPr>
          <w:rFonts w:ascii="Arial" w:eastAsiaTheme="minorEastAsia" w:hAnsi="Arial" w:cs="Arial"/>
          <w:bCs/>
          <w:sz w:val="20"/>
          <w:szCs w:val="20"/>
        </w:rPr>
        <w:t>______________________</w:t>
      </w:r>
      <w:r w:rsidR="00E6653B" w:rsidRPr="001E6D1C">
        <w:rPr>
          <w:rFonts w:ascii="Arial" w:eastAsiaTheme="minorEastAsia" w:hAnsi="Arial" w:cs="Arial"/>
          <w:bCs/>
          <w:sz w:val="20"/>
          <w:szCs w:val="20"/>
        </w:rPr>
        <w:t>3</w:t>
      </w:r>
    </w:p>
    <w:p w14:paraId="021C01BB" w14:textId="4B18330B" w:rsidR="00326D88" w:rsidRPr="001E6D1C" w:rsidRDefault="003B00C1" w:rsidP="0015221E">
      <w:pPr>
        <w:spacing w:line="360" w:lineRule="auto"/>
        <w:jc w:val="both"/>
        <w:rPr>
          <w:rFonts w:ascii="Arial" w:hAnsi="Arial" w:cs="Arial"/>
          <w:b/>
          <w:bCs/>
          <w:sz w:val="20"/>
          <w:szCs w:val="20"/>
        </w:rPr>
      </w:pPr>
      <w:r w:rsidRPr="001E6D1C">
        <w:rPr>
          <w:rFonts w:ascii="Arial" w:hAnsi="Arial" w:cs="Arial"/>
          <w:b/>
          <w:bCs/>
          <w:sz w:val="20"/>
          <w:szCs w:val="20"/>
        </w:rPr>
        <w:t>2.</w:t>
      </w:r>
      <w:r w:rsidR="00C04FB6">
        <w:rPr>
          <w:rFonts w:ascii="Arial" w:hAnsi="Arial" w:cs="Arial"/>
          <w:b/>
          <w:bCs/>
          <w:sz w:val="20"/>
          <w:szCs w:val="20"/>
        </w:rPr>
        <w:t>7</w:t>
      </w:r>
      <w:r w:rsidRPr="001E6D1C">
        <w:rPr>
          <w:rFonts w:ascii="Arial" w:hAnsi="Arial" w:cs="Arial"/>
          <w:b/>
          <w:bCs/>
          <w:sz w:val="20"/>
          <w:szCs w:val="20"/>
        </w:rPr>
        <w:t xml:space="preserve"> </w:t>
      </w:r>
      <w:r w:rsidR="00B60873" w:rsidRPr="001E6D1C">
        <w:rPr>
          <w:rFonts w:ascii="Arial" w:hAnsi="Arial" w:cs="Arial"/>
          <w:b/>
          <w:bCs/>
          <w:sz w:val="20"/>
          <w:szCs w:val="20"/>
        </w:rPr>
        <w:t xml:space="preserve">Analysis </w:t>
      </w:r>
      <w:r w:rsidR="00326D88" w:rsidRPr="001E6D1C">
        <w:rPr>
          <w:rFonts w:ascii="Arial" w:hAnsi="Arial" w:cs="Arial"/>
          <w:b/>
          <w:bCs/>
          <w:sz w:val="20"/>
          <w:szCs w:val="20"/>
        </w:rPr>
        <w:t>of Submergence Tolerance Index (STI)</w:t>
      </w:r>
    </w:p>
    <w:p w14:paraId="077B112B" w14:textId="707A690F" w:rsidR="00326D88" w:rsidRPr="001E6D1C" w:rsidRDefault="00326D88" w:rsidP="0015221E">
      <w:pPr>
        <w:spacing w:line="360" w:lineRule="auto"/>
        <w:jc w:val="both"/>
        <w:rPr>
          <w:rFonts w:ascii="Arial" w:hAnsi="Arial" w:cs="Arial"/>
          <w:sz w:val="20"/>
          <w:szCs w:val="20"/>
        </w:rPr>
      </w:pPr>
      <w:r w:rsidRPr="001E6D1C">
        <w:rPr>
          <w:rFonts w:ascii="Arial" w:hAnsi="Arial" w:cs="Arial"/>
          <w:sz w:val="20"/>
          <w:szCs w:val="20"/>
        </w:rPr>
        <w:t>The Submergence Tolerance Index (STI) is calculated based on survival rate</w:t>
      </w:r>
      <w:r w:rsidR="00B60873" w:rsidRPr="001E6D1C">
        <w:rPr>
          <w:rFonts w:ascii="Arial" w:hAnsi="Arial" w:cs="Arial"/>
          <w:sz w:val="20"/>
          <w:szCs w:val="20"/>
        </w:rPr>
        <w:t xml:space="preserve"> using the following equation:</w:t>
      </w:r>
    </w:p>
    <w:p w14:paraId="3AD6BF7D" w14:textId="2FF13FD0" w:rsidR="007D00B0" w:rsidRPr="001E6D1C" w:rsidRDefault="00326D88" w:rsidP="0015221E">
      <w:pPr>
        <w:spacing w:line="360" w:lineRule="auto"/>
        <w:jc w:val="both"/>
        <w:rPr>
          <w:rFonts w:ascii="Arial" w:hAnsi="Arial" w:cs="Arial"/>
          <w:b/>
          <w:bCs/>
          <w:sz w:val="20"/>
          <w:szCs w:val="20"/>
        </w:rPr>
      </w:pPr>
      <w:r w:rsidRPr="001E6D1C">
        <w:rPr>
          <w:rFonts w:ascii="Arial" w:hAnsi="Arial" w:cs="Arial"/>
          <w:b/>
          <w:bCs/>
          <w:sz w:val="20"/>
          <w:szCs w:val="20"/>
        </w:rPr>
        <w:t xml:space="preserve">STI </w:t>
      </w:r>
      <w:r w:rsidR="007D00B0" w:rsidRPr="001E6D1C">
        <w:rPr>
          <w:rFonts w:ascii="Arial" w:hAnsi="Arial" w:cs="Arial"/>
          <w:b/>
          <w:bCs/>
          <w:sz w:val="20"/>
          <w:szCs w:val="20"/>
        </w:rPr>
        <w:t>=</w:t>
      </w:r>
      <m:oMath>
        <m:f>
          <m:fPr>
            <m:ctrlPr>
              <w:rPr>
                <w:rFonts w:ascii="Cambria Math" w:hAnsi="Cambria Math" w:cs="Arial"/>
                <w:bCs/>
                <w:sz w:val="20"/>
                <w:szCs w:val="20"/>
              </w:rPr>
            </m:ctrlPr>
          </m:fPr>
          <m:num>
            <m:r>
              <m:rPr>
                <m:sty m:val="b"/>
              </m:rPr>
              <w:rPr>
                <w:rFonts w:ascii="Cambria Math" w:hAnsi="Cambria Math" w:cs="Arial"/>
                <w:sz w:val="20"/>
                <w:szCs w:val="20"/>
              </w:rPr>
              <m:t>Survival (%) of genotype</m:t>
            </m:r>
          </m:num>
          <m:den>
            <m:r>
              <m:rPr>
                <m:sty m:val="b"/>
              </m:rPr>
              <w:rPr>
                <w:rFonts w:ascii="Cambria Math" w:hAnsi="Cambria Math" w:cs="Arial"/>
                <w:sz w:val="20"/>
                <w:szCs w:val="20"/>
              </w:rPr>
              <m:t>Survival (%) of susceptible control</m:t>
            </m:r>
          </m:den>
        </m:f>
        <m:r>
          <w:rPr>
            <w:rFonts w:ascii="Cambria Math" w:hAnsi="Cambria Math" w:cs="Arial"/>
            <w:sz w:val="20"/>
            <w:szCs w:val="20"/>
          </w:rPr>
          <m:t>×100</m:t>
        </m:r>
      </m:oMath>
      <w:r w:rsidR="007D00B0" w:rsidRPr="001E6D1C">
        <w:rPr>
          <w:rFonts w:ascii="Arial" w:hAnsi="Arial" w:cs="Arial"/>
          <w:b/>
          <w:bCs/>
          <w:sz w:val="20"/>
          <w:szCs w:val="20"/>
        </w:rPr>
        <w:t xml:space="preserve"> </w:t>
      </w:r>
      <w:r w:rsidR="00DB75DB">
        <w:rPr>
          <w:rFonts w:ascii="Arial" w:hAnsi="Arial" w:cs="Arial"/>
          <w:b/>
          <w:bCs/>
          <w:sz w:val="20"/>
          <w:szCs w:val="20"/>
        </w:rPr>
        <w:t>______________________________________________</w:t>
      </w:r>
      <w:r w:rsidR="00DB75DB" w:rsidRPr="00DB75DB">
        <w:rPr>
          <w:rFonts w:ascii="Arial" w:hAnsi="Arial" w:cs="Arial"/>
          <w:sz w:val="20"/>
          <w:szCs w:val="20"/>
        </w:rPr>
        <w:t>4</w:t>
      </w:r>
    </w:p>
    <w:p w14:paraId="790FF638" w14:textId="32EA327D" w:rsidR="00326D88" w:rsidRPr="0023472C" w:rsidRDefault="00C01FD5" w:rsidP="0015221E">
      <w:pPr>
        <w:spacing w:line="360" w:lineRule="auto"/>
        <w:jc w:val="both"/>
        <w:rPr>
          <w:rFonts w:ascii="Arial" w:hAnsi="Arial" w:cs="Arial"/>
          <w:sz w:val="20"/>
          <w:szCs w:val="20"/>
        </w:rPr>
      </w:pPr>
      <w:r>
        <w:rPr>
          <w:rFonts w:ascii="Arial" w:hAnsi="Arial" w:cs="Arial"/>
          <w:sz w:val="20"/>
          <w:szCs w:val="20"/>
        </w:rPr>
        <w:t>(Ja’afar et al., 2024)</w:t>
      </w:r>
      <w:r w:rsidRPr="001E6D1C">
        <w:rPr>
          <w:rFonts w:ascii="Arial" w:hAnsi="Arial" w:cs="Arial"/>
          <w:sz w:val="20"/>
          <w:szCs w:val="20"/>
        </w:rPr>
        <w:t>.</w:t>
      </w:r>
    </w:p>
    <w:p w14:paraId="0E4C8F7A" w14:textId="21B54BD7" w:rsidR="00B23D18" w:rsidRPr="001E6D1C" w:rsidRDefault="003B00C1" w:rsidP="0015221E">
      <w:pPr>
        <w:spacing w:line="360" w:lineRule="auto"/>
        <w:jc w:val="both"/>
        <w:rPr>
          <w:rFonts w:ascii="Arial" w:hAnsi="Arial" w:cs="Arial"/>
          <w:sz w:val="20"/>
          <w:szCs w:val="20"/>
        </w:rPr>
      </w:pPr>
      <w:r w:rsidRPr="001E6D1C">
        <w:rPr>
          <w:rFonts w:ascii="Arial" w:hAnsi="Arial" w:cs="Arial"/>
          <w:b/>
          <w:bCs/>
          <w:sz w:val="20"/>
          <w:szCs w:val="20"/>
        </w:rPr>
        <w:t>2.</w:t>
      </w:r>
      <w:r w:rsidR="00C04FB6">
        <w:rPr>
          <w:rFonts w:ascii="Arial" w:hAnsi="Arial" w:cs="Arial"/>
          <w:b/>
          <w:bCs/>
          <w:sz w:val="20"/>
          <w:szCs w:val="20"/>
        </w:rPr>
        <w:t>8</w:t>
      </w:r>
      <w:r w:rsidRPr="001E6D1C">
        <w:rPr>
          <w:rFonts w:ascii="Arial" w:hAnsi="Arial" w:cs="Arial"/>
          <w:b/>
          <w:bCs/>
          <w:sz w:val="20"/>
          <w:szCs w:val="20"/>
        </w:rPr>
        <w:t xml:space="preserve"> </w:t>
      </w:r>
      <w:r w:rsidR="00B23D18" w:rsidRPr="001E6D1C">
        <w:rPr>
          <w:rFonts w:ascii="Arial" w:hAnsi="Arial" w:cs="Arial"/>
          <w:b/>
          <w:bCs/>
          <w:sz w:val="20"/>
          <w:szCs w:val="20"/>
        </w:rPr>
        <w:t xml:space="preserve">Statistical Analysis </w:t>
      </w:r>
    </w:p>
    <w:p w14:paraId="2A28F8B0" w14:textId="77777777" w:rsidR="00B23D18" w:rsidRPr="001E6D1C" w:rsidRDefault="00B23D18" w:rsidP="0015221E">
      <w:pPr>
        <w:spacing w:line="360" w:lineRule="auto"/>
        <w:jc w:val="both"/>
        <w:rPr>
          <w:rFonts w:ascii="Arial" w:hAnsi="Arial" w:cs="Arial"/>
          <w:sz w:val="20"/>
          <w:szCs w:val="20"/>
        </w:rPr>
      </w:pPr>
      <w:r w:rsidRPr="001E6D1C">
        <w:rPr>
          <w:rFonts w:ascii="Arial" w:hAnsi="Arial" w:cs="Arial"/>
          <w:sz w:val="20"/>
          <w:szCs w:val="20"/>
        </w:rPr>
        <w:t>The data obtained was subjected to one way analysis of variance (ANOVA). Using SPSS statistical package (version 20). The mean was separated using Duncan’s multiple range.</w:t>
      </w:r>
    </w:p>
    <w:p w14:paraId="00D948B7" w14:textId="322B78E7" w:rsidR="00B23D18" w:rsidRPr="001E6D1C" w:rsidRDefault="00C01FD5" w:rsidP="00E2747F">
      <w:pPr>
        <w:spacing w:line="278" w:lineRule="auto"/>
        <w:rPr>
          <w:rFonts w:ascii="Arial" w:hAnsi="Arial" w:cs="Arial"/>
          <w:b/>
          <w:sz w:val="20"/>
          <w:szCs w:val="20"/>
        </w:rPr>
      </w:pPr>
      <w:r>
        <w:rPr>
          <w:rFonts w:ascii="Arial" w:hAnsi="Arial" w:cs="Arial"/>
          <w:b/>
          <w:sz w:val="20"/>
          <w:szCs w:val="20"/>
        </w:rPr>
        <w:br w:type="page"/>
      </w:r>
      <w:r w:rsidR="003B00C1" w:rsidRPr="001E6D1C">
        <w:rPr>
          <w:rFonts w:ascii="Arial" w:hAnsi="Arial" w:cs="Arial"/>
          <w:b/>
          <w:sz w:val="20"/>
          <w:szCs w:val="20"/>
        </w:rPr>
        <w:lastRenderedPageBreak/>
        <w:t>3.</w:t>
      </w:r>
      <w:r w:rsidR="00C04FB6">
        <w:rPr>
          <w:rFonts w:ascii="Arial" w:hAnsi="Arial" w:cs="Arial"/>
          <w:b/>
          <w:sz w:val="20"/>
          <w:szCs w:val="20"/>
        </w:rPr>
        <w:t xml:space="preserve"> </w:t>
      </w:r>
      <w:r w:rsidR="00C04FB6" w:rsidRPr="00C04FB6">
        <w:rPr>
          <w:rFonts w:ascii="Arial" w:hAnsi="Arial" w:cs="Arial"/>
          <w:b/>
        </w:rPr>
        <w:t>RESULTS</w:t>
      </w:r>
      <w:r w:rsidR="00573474">
        <w:rPr>
          <w:rFonts w:ascii="Arial" w:hAnsi="Arial" w:cs="Arial"/>
          <w:b/>
        </w:rPr>
        <w:t xml:space="preserve"> AND DISCUSSION </w:t>
      </w:r>
    </w:p>
    <w:p w14:paraId="2AC7409D" w14:textId="0749DD35" w:rsidR="00B23D18" w:rsidRPr="001E6D1C" w:rsidRDefault="00B23D18" w:rsidP="0015221E">
      <w:pPr>
        <w:spacing w:line="360" w:lineRule="auto"/>
        <w:rPr>
          <w:rFonts w:ascii="Arial" w:hAnsi="Arial" w:cs="Arial"/>
          <w:sz w:val="20"/>
          <w:szCs w:val="20"/>
        </w:rPr>
      </w:pPr>
      <w:r w:rsidRPr="001E6D1C">
        <w:rPr>
          <w:rFonts w:ascii="Arial" w:hAnsi="Arial" w:cs="Arial"/>
          <w:sz w:val="20"/>
          <w:szCs w:val="20"/>
        </w:rPr>
        <w:t xml:space="preserve"> </w:t>
      </w:r>
      <w:r w:rsidR="003B00C1" w:rsidRPr="001E6D1C">
        <w:rPr>
          <w:rFonts w:ascii="Arial" w:hAnsi="Arial" w:cs="Arial"/>
          <w:b/>
          <w:bCs/>
          <w:sz w:val="20"/>
          <w:szCs w:val="20"/>
        </w:rPr>
        <w:t>3.1</w:t>
      </w:r>
      <w:r w:rsidR="003B00C1" w:rsidRPr="001E6D1C">
        <w:rPr>
          <w:rFonts w:ascii="Arial" w:hAnsi="Arial" w:cs="Arial"/>
          <w:sz w:val="20"/>
          <w:szCs w:val="20"/>
        </w:rPr>
        <w:t xml:space="preserve"> </w:t>
      </w:r>
      <w:r w:rsidRPr="001E6D1C">
        <w:rPr>
          <w:rFonts w:ascii="Arial" w:hAnsi="Arial" w:cs="Arial"/>
          <w:b/>
          <w:sz w:val="20"/>
          <w:szCs w:val="20"/>
        </w:rPr>
        <w:t>Effect of s</w:t>
      </w:r>
      <w:r w:rsidR="00936E0C" w:rsidRPr="001E6D1C">
        <w:rPr>
          <w:rFonts w:ascii="Arial" w:hAnsi="Arial" w:cs="Arial"/>
          <w:b/>
          <w:sz w:val="20"/>
          <w:szCs w:val="20"/>
        </w:rPr>
        <w:t xml:space="preserve">ubmergence </w:t>
      </w:r>
      <w:r w:rsidRPr="001E6D1C">
        <w:rPr>
          <w:rFonts w:ascii="Arial" w:hAnsi="Arial" w:cs="Arial"/>
          <w:b/>
          <w:sz w:val="20"/>
          <w:szCs w:val="20"/>
        </w:rPr>
        <w:t xml:space="preserve">on </w:t>
      </w:r>
      <w:r w:rsidR="00936E0C" w:rsidRPr="001E6D1C">
        <w:rPr>
          <w:rFonts w:ascii="Arial" w:hAnsi="Arial" w:cs="Arial"/>
          <w:b/>
          <w:sz w:val="20"/>
          <w:szCs w:val="20"/>
        </w:rPr>
        <w:t xml:space="preserve">survival rate, shoot elongation and shoot elongation rate </w:t>
      </w:r>
      <w:r w:rsidRPr="001E6D1C">
        <w:rPr>
          <w:rFonts w:ascii="Arial" w:hAnsi="Arial" w:cs="Arial"/>
          <w:b/>
          <w:sz w:val="20"/>
          <w:szCs w:val="20"/>
        </w:rPr>
        <w:t>of Selected Rice Cultivars</w:t>
      </w:r>
    </w:p>
    <w:p w14:paraId="5F180252" w14:textId="1A86B5E9" w:rsidR="00847FD8" w:rsidRDefault="00E2747F" w:rsidP="00C01FD5">
      <w:pPr>
        <w:spacing w:before="100" w:beforeAutospacing="1" w:after="100" w:afterAutospacing="1" w:line="360" w:lineRule="auto"/>
        <w:jc w:val="both"/>
        <w:rPr>
          <w:rFonts w:ascii="Arial" w:eastAsia="Times New Roman" w:hAnsi="Arial" w:cs="Arial"/>
          <w:sz w:val="20"/>
          <w:szCs w:val="20"/>
        </w:rPr>
      </w:pPr>
      <w:r w:rsidRPr="00847FD8">
        <w:rPr>
          <w:rFonts w:ascii="Arial" w:eastAsia="Times New Roman" w:hAnsi="Arial" w:cs="Arial"/>
          <w:sz w:val="20"/>
          <w:szCs w:val="20"/>
        </w:rPr>
        <w:t>Swarna-Sub1</w:t>
      </w:r>
      <w:r w:rsidR="00847FD8" w:rsidRPr="00847FD8">
        <w:rPr>
          <w:rFonts w:ascii="Arial" w:eastAsia="Times New Roman" w:hAnsi="Arial" w:cs="Arial"/>
          <w:sz w:val="20"/>
          <w:szCs w:val="20"/>
        </w:rPr>
        <w:t xml:space="preserve"> had the highest survival rate (100%), indicating excellent submergence tolerance. This cultivar is significantly (P= 0.05) different from other cultivars. The "c" letter suggests it's significantly different from the others. CP 60 and </w:t>
      </w:r>
      <w:r w:rsidRPr="00847FD8">
        <w:rPr>
          <w:rFonts w:ascii="Arial" w:eastAsia="Times New Roman" w:hAnsi="Arial" w:cs="Arial"/>
          <w:sz w:val="20"/>
          <w:szCs w:val="20"/>
        </w:rPr>
        <w:t xml:space="preserve">Faro </w:t>
      </w:r>
      <w:r w:rsidR="00847FD8" w:rsidRPr="00847FD8">
        <w:rPr>
          <w:rFonts w:ascii="Arial" w:eastAsia="Times New Roman" w:hAnsi="Arial" w:cs="Arial"/>
          <w:sz w:val="20"/>
          <w:szCs w:val="20"/>
        </w:rPr>
        <w:t xml:space="preserve">40 showed moderate tolerance (66.67%), indicating some level of adaptive traits to submergence. </w:t>
      </w:r>
      <w:r w:rsidRPr="00847FD8">
        <w:rPr>
          <w:rFonts w:ascii="Arial" w:eastAsia="Times New Roman" w:hAnsi="Arial" w:cs="Arial"/>
          <w:sz w:val="20"/>
          <w:szCs w:val="20"/>
        </w:rPr>
        <w:t>Mai Hijabi, Faro,</w:t>
      </w:r>
      <w:r w:rsidR="00847FD8" w:rsidRPr="00847FD8">
        <w:rPr>
          <w:rFonts w:ascii="Arial" w:eastAsia="Times New Roman" w:hAnsi="Arial" w:cs="Arial"/>
          <w:sz w:val="20"/>
          <w:szCs w:val="20"/>
        </w:rPr>
        <w:t xml:space="preserve"> and IR64 all had low survival rates (33.33%), suggesting poor tolerance to submergence stress (Table 1).</w:t>
      </w:r>
      <w:r w:rsidR="00847FD8">
        <w:rPr>
          <w:rFonts w:ascii="Arial" w:eastAsia="Times New Roman" w:hAnsi="Arial" w:cs="Arial"/>
          <w:sz w:val="20"/>
          <w:szCs w:val="20"/>
        </w:rPr>
        <w:t xml:space="preserve"> </w:t>
      </w:r>
      <w:r w:rsidRPr="00847FD8">
        <w:rPr>
          <w:rFonts w:ascii="Arial" w:eastAsia="Times New Roman" w:hAnsi="Arial" w:cs="Arial"/>
          <w:sz w:val="20"/>
          <w:szCs w:val="20"/>
        </w:rPr>
        <w:t>Swarna-Sub1</w:t>
      </w:r>
      <w:r w:rsidR="00847FD8" w:rsidRPr="00847FD8">
        <w:rPr>
          <w:rFonts w:ascii="Arial" w:eastAsia="Times New Roman" w:hAnsi="Arial" w:cs="Arial"/>
          <w:sz w:val="20"/>
          <w:szCs w:val="20"/>
        </w:rPr>
        <w:t xml:space="preserve"> had the highest shoot elongation of 53.76 cm, suggesting a vigorous elongation response to escape submergence. Followed by </w:t>
      </w:r>
      <w:r w:rsidRPr="00847FD8">
        <w:rPr>
          <w:rFonts w:ascii="Arial" w:eastAsia="Times New Roman" w:hAnsi="Arial" w:cs="Arial"/>
          <w:sz w:val="20"/>
          <w:szCs w:val="20"/>
        </w:rPr>
        <w:t>Mai Hijabi</w:t>
      </w:r>
      <w:r w:rsidR="00847FD8" w:rsidRPr="00847FD8">
        <w:rPr>
          <w:rFonts w:ascii="Arial" w:eastAsia="Times New Roman" w:hAnsi="Arial" w:cs="Arial"/>
          <w:sz w:val="20"/>
          <w:szCs w:val="20"/>
        </w:rPr>
        <w:t xml:space="preserve"> with 48.00 cm, although it had low survival, suggesting elongation alone does not guarantee survival. </w:t>
      </w:r>
      <w:r w:rsidRPr="00847FD8">
        <w:rPr>
          <w:rFonts w:ascii="Arial" w:eastAsia="Times New Roman" w:hAnsi="Arial" w:cs="Arial"/>
          <w:sz w:val="20"/>
          <w:szCs w:val="20"/>
        </w:rPr>
        <w:t>Faro, Faro</w:t>
      </w:r>
      <w:r w:rsidR="00847FD8" w:rsidRPr="00847FD8">
        <w:rPr>
          <w:rFonts w:ascii="Arial" w:eastAsia="Times New Roman" w:hAnsi="Arial" w:cs="Arial"/>
          <w:sz w:val="20"/>
          <w:szCs w:val="20"/>
        </w:rPr>
        <w:t xml:space="preserve"> 40, CP 60, and IR64 had moderate elongation in the 33–36 cm range, indicating a moderate growth response to flooding (Table 1).</w:t>
      </w:r>
    </w:p>
    <w:p w14:paraId="039B5030" w14:textId="30F64CCB" w:rsidR="00847FD8" w:rsidRPr="00847FD8" w:rsidRDefault="00847FD8" w:rsidP="00847FD8">
      <w:pPr>
        <w:spacing w:after="240" w:line="360" w:lineRule="auto"/>
        <w:jc w:val="both"/>
        <w:rPr>
          <w:rFonts w:ascii="Arial" w:eastAsia="Times New Roman" w:hAnsi="Arial" w:cs="Arial"/>
          <w:kern w:val="0"/>
          <w:sz w:val="20"/>
          <w:szCs w:val="20"/>
          <w14:ligatures w14:val="none"/>
        </w:rPr>
      </w:pPr>
      <w:r w:rsidRPr="001E6D1C">
        <w:rPr>
          <w:rFonts w:ascii="Arial" w:eastAsia="Times New Roman" w:hAnsi="Arial" w:cs="Arial"/>
          <w:kern w:val="0"/>
          <w:sz w:val="20"/>
          <w:szCs w:val="20"/>
          <w14:ligatures w14:val="none"/>
        </w:rPr>
        <w:t xml:space="preserve">Survival under submergence is a critical trait for rice grown in flood-prone environments. The present study revealed that cultivar </w:t>
      </w:r>
      <w:r w:rsidR="00E2747F" w:rsidRPr="001E6D1C">
        <w:rPr>
          <w:rFonts w:ascii="Arial" w:eastAsia="Times New Roman" w:hAnsi="Arial" w:cs="Arial"/>
          <w:kern w:val="0"/>
          <w:sz w:val="20"/>
          <w:szCs w:val="20"/>
          <w14:ligatures w14:val="none"/>
        </w:rPr>
        <w:t>Swarna-Sub1</w:t>
      </w:r>
      <w:r w:rsidRPr="001E6D1C">
        <w:rPr>
          <w:rFonts w:ascii="Arial" w:eastAsia="Times New Roman" w:hAnsi="Arial" w:cs="Arial"/>
          <w:kern w:val="0"/>
          <w:sz w:val="20"/>
          <w:szCs w:val="20"/>
          <w14:ligatures w14:val="none"/>
        </w:rPr>
        <w:t xml:space="preserve"> showed the highest survival rate</w:t>
      </w:r>
      <w:r w:rsidRPr="001E6D1C">
        <w:rPr>
          <w:rFonts w:ascii="Arial" w:eastAsia="Times New Roman" w:hAnsi="Arial" w:cs="Arial"/>
          <w:b/>
          <w:bCs/>
          <w:kern w:val="0"/>
          <w:sz w:val="20"/>
          <w:szCs w:val="20"/>
          <w14:ligatures w14:val="none"/>
        </w:rPr>
        <w:t xml:space="preserve"> of </w:t>
      </w:r>
      <w:r w:rsidRPr="001E6D1C">
        <w:rPr>
          <w:rFonts w:ascii="Arial" w:eastAsia="Times New Roman" w:hAnsi="Arial" w:cs="Arial"/>
          <w:kern w:val="0"/>
          <w:sz w:val="20"/>
          <w:szCs w:val="20"/>
          <w14:ligatures w14:val="none"/>
        </w:rPr>
        <w:t xml:space="preserve">100.00%, significantly outperforming others. This high tolerance is attributed to the presence of the </w:t>
      </w:r>
      <w:r w:rsidRPr="001E6D1C">
        <w:rPr>
          <w:rFonts w:ascii="Arial" w:eastAsia="Times New Roman" w:hAnsi="Arial" w:cs="Arial"/>
          <w:i/>
          <w:iCs/>
          <w:kern w:val="0"/>
          <w:sz w:val="20"/>
          <w:szCs w:val="20"/>
          <w14:ligatures w14:val="none"/>
        </w:rPr>
        <w:t>Sub1A</w:t>
      </w:r>
      <w:r w:rsidRPr="001E6D1C">
        <w:rPr>
          <w:rFonts w:ascii="Arial" w:eastAsia="Times New Roman" w:hAnsi="Arial" w:cs="Arial"/>
          <w:kern w:val="0"/>
          <w:sz w:val="20"/>
          <w:szCs w:val="20"/>
          <w14:ligatures w14:val="none"/>
        </w:rPr>
        <w:t xml:space="preserve"> gene, known to enhance submergence tolerance by suppressing excessive elongation and conserving energy reserves during submergence (Xu</w:t>
      </w:r>
      <w:r w:rsidR="00146F8B">
        <w:rPr>
          <w:rFonts w:ascii="Arial" w:eastAsia="Times New Roman" w:hAnsi="Arial" w:cs="Arial"/>
          <w:kern w:val="0"/>
          <w:sz w:val="20"/>
          <w:szCs w:val="20"/>
          <w14:ligatures w14:val="none"/>
        </w:rPr>
        <w:t xml:space="preserve"> et al.., </w:t>
      </w:r>
      <w:r w:rsidRPr="001E6D1C">
        <w:rPr>
          <w:rFonts w:ascii="Arial" w:eastAsia="Times New Roman" w:hAnsi="Arial" w:cs="Arial"/>
          <w:kern w:val="0"/>
          <w:sz w:val="20"/>
          <w:szCs w:val="20"/>
          <w14:ligatures w14:val="none"/>
        </w:rPr>
        <w:t xml:space="preserve">2006). In contrast, </w:t>
      </w:r>
      <w:r w:rsidR="00E2747F" w:rsidRPr="001E6D1C">
        <w:rPr>
          <w:rFonts w:ascii="Arial" w:eastAsia="Times New Roman" w:hAnsi="Arial" w:cs="Arial"/>
          <w:kern w:val="0"/>
          <w:sz w:val="20"/>
          <w:szCs w:val="20"/>
          <w14:ligatures w14:val="none"/>
        </w:rPr>
        <w:t>Mai Hijabi, Faro,</w:t>
      </w:r>
      <w:r w:rsidRPr="001E6D1C">
        <w:rPr>
          <w:rFonts w:ascii="Arial" w:eastAsia="Times New Roman" w:hAnsi="Arial" w:cs="Arial"/>
          <w:kern w:val="0"/>
          <w:sz w:val="20"/>
          <w:szCs w:val="20"/>
          <w14:ligatures w14:val="none"/>
        </w:rPr>
        <w:t xml:space="preserve"> and IR64 all showed low survival rates of 33.33%, suggesting poor submergence tolerance, possibly due to the absence of </w:t>
      </w:r>
      <w:r w:rsidRPr="001E6D1C">
        <w:rPr>
          <w:rFonts w:ascii="Arial" w:eastAsia="Times New Roman" w:hAnsi="Arial" w:cs="Arial"/>
          <w:i/>
          <w:iCs/>
          <w:kern w:val="0"/>
          <w:sz w:val="20"/>
          <w:szCs w:val="20"/>
          <w14:ligatures w14:val="none"/>
        </w:rPr>
        <w:t>Sub1</w:t>
      </w:r>
      <w:r w:rsidRPr="001E6D1C">
        <w:rPr>
          <w:rFonts w:ascii="Arial" w:eastAsia="Times New Roman" w:hAnsi="Arial" w:cs="Arial"/>
          <w:kern w:val="0"/>
          <w:sz w:val="20"/>
          <w:szCs w:val="20"/>
          <w14:ligatures w14:val="none"/>
        </w:rPr>
        <w:t xml:space="preserve"> QTLs or less effective anaerobic survival strategies.</w:t>
      </w:r>
    </w:p>
    <w:p w14:paraId="16DC74B0" w14:textId="20B802DF" w:rsidR="00C146CD" w:rsidRDefault="00E2747F" w:rsidP="00C01FD5">
      <w:pPr>
        <w:spacing w:before="100" w:beforeAutospacing="1" w:after="100" w:afterAutospacing="1" w:line="360" w:lineRule="auto"/>
        <w:jc w:val="both"/>
        <w:rPr>
          <w:rFonts w:ascii="Arial" w:eastAsia="Times New Roman" w:hAnsi="Arial" w:cs="Arial"/>
          <w:sz w:val="20"/>
          <w:szCs w:val="20"/>
        </w:rPr>
      </w:pPr>
      <w:r w:rsidRPr="001E6D1C">
        <w:rPr>
          <w:rFonts w:ascii="Arial" w:eastAsia="Times New Roman" w:hAnsi="Arial" w:cs="Arial"/>
          <w:sz w:val="20"/>
          <w:szCs w:val="20"/>
        </w:rPr>
        <w:t>Swarna-Sub1</w:t>
      </w:r>
      <w:r w:rsidR="00936E0C" w:rsidRPr="001E6D1C">
        <w:rPr>
          <w:rFonts w:ascii="Arial" w:eastAsia="Times New Roman" w:hAnsi="Arial" w:cs="Arial"/>
          <w:sz w:val="20"/>
          <w:szCs w:val="20"/>
        </w:rPr>
        <w:t xml:space="preserve"> led with the highest elongation rate </w:t>
      </w:r>
      <w:r w:rsidR="0039264C" w:rsidRPr="001E6D1C">
        <w:rPr>
          <w:rFonts w:ascii="Arial" w:eastAsia="Times New Roman" w:hAnsi="Arial" w:cs="Arial"/>
          <w:sz w:val="20"/>
          <w:szCs w:val="20"/>
        </w:rPr>
        <w:t xml:space="preserve">with </w:t>
      </w:r>
      <w:r w:rsidR="00936E0C" w:rsidRPr="001E6D1C">
        <w:rPr>
          <w:rFonts w:ascii="Arial" w:eastAsia="Times New Roman" w:hAnsi="Arial" w:cs="Arial"/>
          <w:sz w:val="20"/>
          <w:szCs w:val="20"/>
        </w:rPr>
        <w:t>3.28 cm/day, showing a strong and sustained escape mechanism.</w:t>
      </w:r>
      <w:r w:rsidR="0039264C" w:rsidRPr="001E6D1C">
        <w:rPr>
          <w:rFonts w:ascii="Arial" w:eastAsia="Times New Roman" w:hAnsi="Arial" w:cs="Arial"/>
          <w:sz w:val="20"/>
          <w:szCs w:val="20"/>
        </w:rPr>
        <w:t xml:space="preserve"> </w:t>
      </w:r>
      <w:r w:rsidR="00936E0C" w:rsidRPr="001E6D1C">
        <w:rPr>
          <w:rFonts w:ascii="Arial" w:eastAsia="Times New Roman" w:hAnsi="Arial" w:cs="Arial"/>
          <w:sz w:val="20"/>
          <w:szCs w:val="20"/>
        </w:rPr>
        <w:t xml:space="preserve">MAI HIJABI had the second highest rate </w:t>
      </w:r>
      <w:r w:rsidR="0039264C" w:rsidRPr="001E6D1C">
        <w:rPr>
          <w:rFonts w:ascii="Arial" w:eastAsia="Times New Roman" w:hAnsi="Arial" w:cs="Arial"/>
          <w:sz w:val="20"/>
          <w:szCs w:val="20"/>
        </w:rPr>
        <w:t xml:space="preserve">of </w:t>
      </w:r>
      <w:r w:rsidR="00936E0C" w:rsidRPr="001E6D1C">
        <w:rPr>
          <w:rFonts w:ascii="Arial" w:eastAsia="Times New Roman" w:hAnsi="Arial" w:cs="Arial"/>
          <w:sz w:val="20"/>
          <w:szCs w:val="20"/>
        </w:rPr>
        <w:t>2.98 cm/day but did not survive well, possibly due to energy depletion from rapid elongation.</w:t>
      </w:r>
      <w:r w:rsidR="0039264C" w:rsidRPr="001E6D1C">
        <w:rPr>
          <w:rFonts w:ascii="Arial" w:eastAsia="Times New Roman" w:hAnsi="Arial" w:cs="Arial"/>
          <w:sz w:val="20"/>
          <w:szCs w:val="20"/>
        </w:rPr>
        <w:t xml:space="preserve"> </w:t>
      </w:r>
      <w:r w:rsidRPr="001E6D1C">
        <w:rPr>
          <w:rFonts w:ascii="Arial" w:eastAsia="Times New Roman" w:hAnsi="Arial" w:cs="Arial"/>
          <w:sz w:val="20"/>
          <w:szCs w:val="20"/>
        </w:rPr>
        <w:t xml:space="preserve">Faro 40 </w:t>
      </w:r>
      <w:r w:rsidR="00936E0C" w:rsidRPr="001E6D1C">
        <w:rPr>
          <w:rFonts w:ascii="Arial" w:eastAsia="Times New Roman" w:hAnsi="Arial" w:cs="Arial"/>
          <w:sz w:val="20"/>
          <w:szCs w:val="20"/>
        </w:rPr>
        <w:t xml:space="preserve">and </w:t>
      </w:r>
      <w:r w:rsidRPr="001E6D1C">
        <w:rPr>
          <w:rFonts w:ascii="Arial" w:eastAsia="Times New Roman" w:hAnsi="Arial" w:cs="Arial"/>
          <w:sz w:val="20"/>
          <w:szCs w:val="20"/>
        </w:rPr>
        <w:t xml:space="preserve">Faro </w:t>
      </w:r>
      <w:r w:rsidR="00936E0C" w:rsidRPr="001E6D1C">
        <w:rPr>
          <w:rFonts w:ascii="Arial" w:eastAsia="Times New Roman" w:hAnsi="Arial" w:cs="Arial"/>
          <w:sz w:val="20"/>
          <w:szCs w:val="20"/>
        </w:rPr>
        <w:t xml:space="preserve">had moderate elongation rates </w:t>
      </w:r>
      <w:r w:rsidR="0039264C" w:rsidRPr="001E6D1C">
        <w:rPr>
          <w:rFonts w:ascii="Arial" w:eastAsia="Times New Roman" w:hAnsi="Arial" w:cs="Arial"/>
          <w:sz w:val="20"/>
          <w:szCs w:val="20"/>
        </w:rPr>
        <w:t xml:space="preserve">of </w:t>
      </w:r>
      <w:r w:rsidR="00936E0C" w:rsidRPr="001E6D1C">
        <w:rPr>
          <w:rFonts w:ascii="Arial" w:eastAsia="Times New Roman" w:hAnsi="Arial" w:cs="Arial"/>
          <w:sz w:val="20"/>
          <w:szCs w:val="20"/>
        </w:rPr>
        <w:t xml:space="preserve">~2.5 cm/day, while IR64 had the lowest rate </w:t>
      </w:r>
      <w:r w:rsidR="0039264C" w:rsidRPr="001E6D1C">
        <w:rPr>
          <w:rFonts w:ascii="Arial" w:eastAsia="Times New Roman" w:hAnsi="Arial" w:cs="Arial"/>
          <w:sz w:val="20"/>
          <w:szCs w:val="20"/>
        </w:rPr>
        <w:t xml:space="preserve">of </w:t>
      </w:r>
      <w:r w:rsidR="00936E0C" w:rsidRPr="001E6D1C">
        <w:rPr>
          <w:rFonts w:ascii="Arial" w:eastAsia="Times New Roman" w:hAnsi="Arial" w:cs="Arial"/>
          <w:sz w:val="20"/>
          <w:szCs w:val="20"/>
        </w:rPr>
        <w:t>2.13 cm/day, correlating with its low survival</w:t>
      </w:r>
      <w:r w:rsidR="00B164A7" w:rsidRPr="001E6D1C">
        <w:rPr>
          <w:rFonts w:ascii="Arial" w:eastAsia="Times New Roman" w:hAnsi="Arial" w:cs="Arial"/>
          <w:sz w:val="20"/>
          <w:szCs w:val="20"/>
        </w:rPr>
        <w:t xml:space="preserve"> (Table 1)</w:t>
      </w:r>
      <w:r w:rsidR="00936E0C" w:rsidRPr="001E6D1C">
        <w:rPr>
          <w:rFonts w:ascii="Arial" w:eastAsia="Times New Roman" w:hAnsi="Arial" w:cs="Arial"/>
          <w:sz w:val="20"/>
          <w:szCs w:val="20"/>
        </w:rPr>
        <w:t>.</w:t>
      </w:r>
    </w:p>
    <w:p w14:paraId="0D6D5F61" w14:textId="6492697B" w:rsidR="00847FD8" w:rsidRPr="001E6D1C" w:rsidRDefault="00847FD8" w:rsidP="00847FD8">
      <w:pPr>
        <w:spacing w:after="240" w:line="360" w:lineRule="auto"/>
        <w:jc w:val="both"/>
        <w:rPr>
          <w:rFonts w:ascii="Arial" w:eastAsia="Times New Roman" w:hAnsi="Arial" w:cs="Arial"/>
          <w:kern w:val="0"/>
          <w:sz w:val="20"/>
          <w:szCs w:val="20"/>
          <w14:ligatures w14:val="none"/>
        </w:rPr>
      </w:pPr>
      <w:r w:rsidRPr="001E6D1C">
        <w:rPr>
          <w:rFonts w:ascii="Arial" w:eastAsia="Times New Roman" w:hAnsi="Arial" w:cs="Arial"/>
          <w:kern w:val="0"/>
          <w:sz w:val="20"/>
          <w:szCs w:val="20"/>
          <w14:ligatures w14:val="none"/>
        </w:rPr>
        <w:t xml:space="preserve">Under submergence, rice plants adopt either a quiescence strategy (limiting elongation to conserve energy) or an escape strategy (rapid elongation to reach the water surface). </w:t>
      </w:r>
      <w:r w:rsidR="00961CAE" w:rsidRPr="001E6D1C">
        <w:rPr>
          <w:rFonts w:ascii="Arial" w:eastAsia="Times New Roman" w:hAnsi="Arial" w:cs="Arial"/>
          <w:kern w:val="0"/>
          <w:sz w:val="20"/>
          <w:szCs w:val="20"/>
          <w14:ligatures w14:val="none"/>
        </w:rPr>
        <w:t>Swarna-Sub1</w:t>
      </w:r>
      <w:r w:rsidRPr="001E6D1C">
        <w:rPr>
          <w:rFonts w:ascii="Arial" w:eastAsia="Times New Roman" w:hAnsi="Arial" w:cs="Arial"/>
          <w:kern w:val="0"/>
          <w:sz w:val="20"/>
          <w:szCs w:val="20"/>
          <w14:ligatures w14:val="none"/>
        </w:rPr>
        <w:t xml:space="preserve"> had the highest shoot elongation of 53.76 cm and highest shoot elongation rate</w:t>
      </w:r>
      <w:r w:rsidRPr="001E6D1C">
        <w:rPr>
          <w:rFonts w:ascii="Arial" w:eastAsia="Times New Roman" w:hAnsi="Arial" w:cs="Arial"/>
          <w:b/>
          <w:bCs/>
          <w:kern w:val="0"/>
          <w:sz w:val="20"/>
          <w:szCs w:val="20"/>
          <w14:ligatures w14:val="none"/>
        </w:rPr>
        <w:t xml:space="preserve"> </w:t>
      </w:r>
      <w:r w:rsidRPr="001E6D1C">
        <w:rPr>
          <w:rFonts w:ascii="Arial" w:eastAsia="Times New Roman" w:hAnsi="Arial" w:cs="Arial"/>
          <w:kern w:val="0"/>
          <w:sz w:val="20"/>
          <w:szCs w:val="20"/>
          <w14:ligatures w14:val="none"/>
        </w:rPr>
        <w:t xml:space="preserve">of 3.28 cm/day, indicating a mixed strategy, though in many reports, </w:t>
      </w:r>
      <w:r w:rsidRPr="001E6D1C">
        <w:rPr>
          <w:rFonts w:ascii="Arial" w:eastAsia="Times New Roman" w:hAnsi="Arial" w:cs="Arial"/>
          <w:i/>
          <w:iCs/>
          <w:kern w:val="0"/>
          <w:sz w:val="20"/>
          <w:szCs w:val="20"/>
          <w14:ligatures w14:val="none"/>
        </w:rPr>
        <w:t>Sub1A</w:t>
      </w:r>
      <w:r w:rsidRPr="001E6D1C">
        <w:rPr>
          <w:rFonts w:ascii="Arial" w:eastAsia="Times New Roman" w:hAnsi="Arial" w:cs="Arial"/>
          <w:kern w:val="0"/>
          <w:sz w:val="20"/>
          <w:szCs w:val="20"/>
          <w14:ligatures w14:val="none"/>
        </w:rPr>
        <w:t xml:space="preserve"> genotypes restrict elongation (Kawano </w:t>
      </w:r>
      <w:r w:rsidRPr="001E6D1C">
        <w:rPr>
          <w:rFonts w:ascii="Arial" w:eastAsia="Times New Roman" w:hAnsi="Arial" w:cs="Arial"/>
          <w:i/>
          <w:iCs/>
          <w:kern w:val="0"/>
          <w:sz w:val="20"/>
          <w:szCs w:val="20"/>
          <w14:ligatures w14:val="none"/>
        </w:rPr>
        <w:t>et al</w:t>
      </w:r>
      <w:r w:rsidRPr="001E6D1C">
        <w:rPr>
          <w:rFonts w:ascii="Arial" w:eastAsia="Times New Roman" w:hAnsi="Arial" w:cs="Arial"/>
          <w:kern w:val="0"/>
          <w:sz w:val="20"/>
          <w:szCs w:val="20"/>
          <w14:ligatures w14:val="none"/>
        </w:rPr>
        <w:t xml:space="preserve">., 2009; Septiningsih </w:t>
      </w:r>
      <w:r w:rsidRPr="001E6D1C">
        <w:rPr>
          <w:rFonts w:ascii="Arial" w:eastAsia="Times New Roman" w:hAnsi="Arial" w:cs="Arial"/>
          <w:i/>
          <w:iCs/>
          <w:kern w:val="0"/>
          <w:sz w:val="20"/>
          <w:szCs w:val="20"/>
          <w14:ligatures w14:val="none"/>
        </w:rPr>
        <w:t>et al</w:t>
      </w:r>
      <w:r w:rsidRPr="001E6D1C">
        <w:rPr>
          <w:rFonts w:ascii="Arial" w:eastAsia="Times New Roman" w:hAnsi="Arial" w:cs="Arial"/>
          <w:kern w:val="0"/>
          <w:sz w:val="20"/>
          <w:szCs w:val="20"/>
          <w14:ligatures w14:val="none"/>
        </w:rPr>
        <w:t>., 2009). This discrepancy could arise from genetic background interactions or stress duration. MAI HIJABI also showed high elongation of 48.00 cm, but with a low survival rate, indicating an inefficient escape strategy, where rapid elongation depletes carbohydrates without guaranteeing emergence from water, leading to mortality (Fukao &amp; Bailey-Serres, 2008</w:t>
      </w:r>
      <w:r w:rsidR="0042603B">
        <w:rPr>
          <w:rFonts w:ascii="Arial" w:eastAsia="Times New Roman" w:hAnsi="Arial" w:cs="Arial"/>
          <w:kern w:val="0"/>
          <w:sz w:val="20"/>
          <w:szCs w:val="20"/>
          <w14:ligatures w14:val="none"/>
        </w:rPr>
        <w:t>; Singh et al., 2009</w:t>
      </w:r>
      <w:r w:rsidRPr="001E6D1C">
        <w:rPr>
          <w:rFonts w:ascii="Arial" w:eastAsia="Times New Roman" w:hAnsi="Arial" w:cs="Arial"/>
          <w:kern w:val="0"/>
          <w:sz w:val="20"/>
          <w:szCs w:val="20"/>
          <w14:ligatures w14:val="none"/>
        </w:rPr>
        <w:t>). Similarly, IR64 and CP 60 displayed moderate elongation, but CP 60 had better survival, possibly due to partial tolerance mechanisms.</w:t>
      </w:r>
    </w:p>
    <w:p w14:paraId="681DED71" w14:textId="6254BD13" w:rsidR="00847FD8" w:rsidRPr="00793325" w:rsidRDefault="00847FD8" w:rsidP="00793325">
      <w:pPr>
        <w:spacing w:after="240" w:line="360" w:lineRule="auto"/>
        <w:jc w:val="both"/>
        <w:rPr>
          <w:rFonts w:ascii="Arial" w:eastAsia="Times New Roman" w:hAnsi="Arial" w:cs="Arial"/>
          <w:kern w:val="0"/>
          <w:sz w:val="20"/>
          <w:szCs w:val="20"/>
          <w14:ligatures w14:val="none"/>
        </w:rPr>
      </w:pPr>
      <w:r w:rsidRPr="001E6D1C">
        <w:rPr>
          <w:rFonts w:ascii="Arial" w:eastAsia="Times New Roman" w:hAnsi="Arial" w:cs="Arial"/>
          <w:kern w:val="0"/>
          <w:sz w:val="20"/>
          <w:szCs w:val="20"/>
          <w14:ligatures w14:val="none"/>
        </w:rPr>
        <w:lastRenderedPageBreak/>
        <w:t>The Submergence Tolerance Index (STI) is a valuable quantitative trait used to assess the ability of rice cultivars to withstand complete or partial flooding. It reflects a cultivar’s capacity to survive and maintain growth under submerged conditions. The table above presents STI values (with statistical groupings) and corresponding tolerance classifications for six rice cultivars under submergence stress.</w:t>
      </w:r>
    </w:p>
    <w:p w14:paraId="543E5DC9" w14:textId="64D7EC64" w:rsidR="005E5EF6" w:rsidRPr="001E6D1C" w:rsidRDefault="005E5EF6" w:rsidP="0015221E">
      <w:pPr>
        <w:spacing w:line="360" w:lineRule="auto"/>
        <w:rPr>
          <w:rFonts w:ascii="Arial" w:hAnsi="Arial" w:cs="Arial"/>
          <w:sz w:val="20"/>
          <w:szCs w:val="20"/>
        </w:rPr>
      </w:pPr>
      <w:r w:rsidRPr="001E6D1C">
        <w:rPr>
          <w:rFonts w:ascii="Arial" w:eastAsia="Times New Roman" w:hAnsi="Arial" w:cs="Arial"/>
          <w:sz w:val="20"/>
          <w:szCs w:val="20"/>
        </w:rPr>
        <w:t xml:space="preserve">Table 1: Influence of submergence on </w:t>
      </w:r>
      <w:r w:rsidRPr="001E6D1C">
        <w:rPr>
          <w:rFonts w:ascii="Arial" w:hAnsi="Arial" w:cs="Arial"/>
          <w:sz w:val="20"/>
          <w:szCs w:val="20"/>
        </w:rPr>
        <w:t>survival rate, shoot elongation and shoot elongation rate in rice.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1784"/>
        <w:gridCol w:w="2327"/>
        <w:gridCol w:w="3150"/>
      </w:tblGrid>
      <w:tr w:rsidR="00C146CD" w:rsidRPr="001E6D1C" w14:paraId="1C49DFBA" w14:textId="77777777" w:rsidTr="00847FD8">
        <w:tc>
          <w:tcPr>
            <w:tcW w:w="0" w:type="auto"/>
            <w:tcBorders>
              <w:top w:val="single" w:sz="4" w:space="0" w:color="auto"/>
              <w:bottom w:val="single" w:sz="4" w:space="0" w:color="auto"/>
            </w:tcBorders>
          </w:tcPr>
          <w:p w14:paraId="4B992CF8" w14:textId="77777777" w:rsidR="00C146CD" w:rsidRPr="001E6D1C" w:rsidRDefault="00C146CD" w:rsidP="0015221E">
            <w:pPr>
              <w:tabs>
                <w:tab w:val="left" w:pos="3030"/>
              </w:tabs>
              <w:spacing w:line="360" w:lineRule="auto"/>
              <w:rPr>
                <w:rFonts w:ascii="Arial" w:hAnsi="Arial" w:cs="Arial"/>
                <w:b/>
                <w:sz w:val="20"/>
                <w:szCs w:val="20"/>
              </w:rPr>
            </w:pPr>
            <w:r w:rsidRPr="001E6D1C">
              <w:rPr>
                <w:rFonts w:ascii="Arial" w:hAnsi="Arial" w:cs="Arial"/>
                <w:b/>
                <w:sz w:val="20"/>
                <w:szCs w:val="20"/>
              </w:rPr>
              <w:t>Cultivars</w:t>
            </w:r>
          </w:p>
        </w:tc>
        <w:tc>
          <w:tcPr>
            <w:tcW w:w="0" w:type="auto"/>
            <w:tcBorders>
              <w:top w:val="single" w:sz="4" w:space="0" w:color="auto"/>
              <w:bottom w:val="single" w:sz="4" w:space="0" w:color="auto"/>
            </w:tcBorders>
          </w:tcPr>
          <w:p w14:paraId="4E5F0122" w14:textId="77777777" w:rsidR="00C146CD" w:rsidRPr="001E6D1C" w:rsidRDefault="00C146CD" w:rsidP="0015221E">
            <w:pPr>
              <w:tabs>
                <w:tab w:val="left" w:pos="3030"/>
              </w:tabs>
              <w:spacing w:line="360" w:lineRule="auto"/>
              <w:rPr>
                <w:rFonts w:ascii="Arial" w:hAnsi="Arial" w:cs="Arial"/>
                <w:b/>
                <w:sz w:val="20"/>
                <w:szCs w:val="20"/>
              </w:rPr>
            </w:pPr>
            <w:r w:rsidRPr="001E6D1C">
              <w:rPr>
                <w:rFonts w:ascii="Arial" w:hAnsi="Arial" w:cs="Arial"/>
                <w:b/>
                <w:sz w:val="20"/>
                <w:szCs w:val="20"/>
              </w:rPr>
              <w:t>Survival rate (%)</w:t>
            </w:r>
          </w:p>
          <w:p w14:paraId="2DBB436E" w14:textId="77777777" w:rsidR="00C146CD" w:rsidRPr="001E6D1C" w:rsidRDefault="00C146CD" w:rsidP="0015221E">
            <w:pPr>
              <w:tabs>
                <w:tab w:val="left" w:pos="3030"/>
              </w:tabs>
              <w:spacing w:line="360" w:lineRule="auto"/>
              <w:rPr>
                <w:rFonts w:ascii="Arial" w:hAnsi="Arial" w:cs="Arial"/>
                <w:b/>
                <w:sz w:val="20"/>
                <w:szCs w:val="20"/>
              </w:rPr>
            </w:pPr>
          </w:p>
        </w:tc>
        <w:tc>
          <w:tcPr>
            <w:tcW w:w="0" w:type="auto"/>
            <w:tcBorders>
              <w:top w:val="single" w:sz="4" w:space="0" w:color="auto"/>
              <w:bottom w:val="single" w:sz="4" w:space="0" w:color="auto"/>
            </w:tcBorders>
          </w:tcPr>
          <w:p w14:paraId="041690C8" w14:textId="77777777" w:rsidR="00C146CD" w:rsidRPr="001E6D1C" w:rsidRDefault="00C146CD" w:rsidP="0015221E">
            <w:pPr>
              <w:tabs>
                <w:tab w:val="left" w:pos="3030"/>
              </w:tabs>
              <w:spacing w:line="360" w:lineRule="auto"/>
              <w:rPr>
                <w:rFonts w:ascii="Arial" w:hAnsi="Arial" w:cs="Arial"/>
                <w:b/>
                <w:sz w:val="20"/>
                <w:szCs w:val="20"/>
              </w:rPr>
            </w:pPr>
            <w:r w:rsidRPr="001E6D1C">
              <w:rPr>
                <w:rFonts w:ascii="Arial" w:hAnsi="Arial" w:cs="Arial"/>
                <w:b/>
                <w:sz w:val="20"/>
                <w:szCs w:val="20"/>
              </w:rPr>
              <w:t>Shoot elongation (cm)</w:t>
            </w:r>
          </w:p>
        </w:tc>
        <w:tc>
          <w:tcPr>
            <w:tcW w:w="0" w:type="auto"/>
            <w:tcBorders>
              <w:top w:val="single" w:sz="4" w:space="0" w:color="auto"/>
              <w:bottom w:val="single" w:sz="4" w:space="0" w:color="auto"/>
            </w:tcBorders>
          </w:tcPr>
          <w:p w14:paraId="70BCF682" w14:textId="77777777" w:rsidR="00C146CD" w:rsidRPr="001E6D1C" w:rsidRDefault="00C146CD" w:rsidP="0015221E">
            <w:pPr>
              <w:tabs>
                <w:tab w:val="left" w:pos="3030"/>
              </w:tabs>
              <w:spacing w:line="360" w:lineRule="auto"/>
              <w:rPr>
                <w:rFonts w:ascii="Arial" w:hAnsi="Arial" w:cs="Arial"/>
                <w:b/>
                <w:sz w:val="20"/>
                <w:szCs w:val="20"/>
              </w:rPr>
            </w:pPr>
            <w:r w:rsidRPr="001E6D1C">
              <w:rPr>
                <w:rFonts w:ascii="Arial" w:hAnsi="Arial" w:cs="Arial"/>
                <w:b/>
                <w:sz w:val="20"/>
                <w:szCs w:val="20"/>
              </w:rPr>
              <w:t>Shoot elongation rate (cm/day)</w:t>
            </w:r>
          </w:p>
        </w:tc>
      </w:tr>
      <w:tr w:rsidR="00C146CD" w:rsidRPr="001E6D1C" w14:paraId="4859D35A" w14:textId="77777777" w:rsidTr="00847FD8">
        <w:tc>
          <w:tcPr>
            <w:tcW w:w="0" w:type="auto"/>
            <w:tcBorders>
              <w:top w:val="single" w:sz="4" w:space="0" w:color="auto"/>
            </w:tcBorders>
          </w:tcPr>
          <w:p w14:paraId="591897D8"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MAI HIJABI</w:t>
            </w:r>
          </w:p>
        </w:tc>
        <w:tc>
          <w:tcPr>
            <w:tcW w:w="0" w:type="auto"/>
            <w:tcBorders>
              <w:top w:val="single" w:sz="4" w:space="0" w:color="auto"/>
            </w:tcBorders>
          </w:tcPr>
          <w:p w14:paraId="1F8618EE"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33.33</w:t>
            </w:r>
            <w:r w:rsidRPr="001E6D1C">
              <w:rPr>
                <w:rFonts w:ascii="Arial" w:hAnsi="Arial" w:cs="Arial"/>
                <w:sz w:val="20"/>
                <w:szCs w:val="20"/>
                <w:vertAlign w:val="superscript"/>
              </w:rPr>
              <w:t>a</w:t>
            </w:r>
            <w:r w:rsidRPr="001E6D1C">
              <w:rPr>
                <w:rFonts w:ascii="Arial" w:hAnsi="Arial" w:cs="Arial"/>
                <w:sz w:val="20"/>
                <w:szCs w:val="20"/>
              </w:rPr>
              <w:t>±6.88</w:t>
            </w:r>
          </w:p>
        </w:tc>
        <w:tc>
          <w:tcPr>
            <w:tcW w:w="0" w:type="auto"/>
            <w:tcBorders>
              <w:top w:val="single" w:sz="4" w:space="0" w:color="auto"/>
            </w:tcBorders>
          </w:tcPr>
          <w:p w14:paraId="767725AB"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 xml:space="preserve">48.00 </w:t>
            </w:r>
            <w:r w:rsidRPr="001E6D1C">
              <w:rPr>
                <w:rFonts w:ascii="Arial" w:hAnsi="Arial" w:cs="Arial"/>
                <w:sz w:val="20"/>
                <w:szCs w:val="20"/>
                <w:vertAlign w:val="superscript"/>
              </w:rPr>
              <w:t>d</w:t>
            </w:r>
            <w:r w:rsidRPr="001E6D1C">
              <w:rPr>
                <w:rFonts w:ascii="Arial" w:hAnsi="Arial" w:cs="Arial"/>
                <w:sz w:val="20"/>
                <w:szCs w:val="20"/>
              </w:rPr>
              <w:t>±6.88</w:t>
            </w:r>
          </w:p>
        </w:tc>
        <w:tc>
          <w:tcPr>
            <w:tcW w:w="0" w:type="auto"/>
            <w:tcBorders>
              <w:top w:val="single" w:sz="4" w:space="0" w:color="auto"/>
            </w:tcBorders>
          </w:tcPr>
          <w:p w14:paraId="53ED0EB3"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2.98</w:t>
            </w:r>
            <w:r w:rsidRPr="001E6D1C">
              <w:rPr>
                <w:rFonts w:ascii="Arial" w:hAnsi="Arial" w:cs="Arial"/>
                <w:sz w:val="20"/>
                <w:szCs w:val="20"/>
                <w:vertAlign w:val="superscript"/>
              </w:rPr>
              <w:t>cd</w:t>
            </w:r>
            <w:r w:rsidRPr="001E6D1C">
              <w:rPr>
                <w:rFonts w:ascii="Arial" w:hAnsi="Arial" w:cs="Arial"/>
                <w:sz w:val="20"/>
                <w:szCs w:val="20"/>
              </w:rPr>
              <w:t>±14.24</w:t>
            </w:r>
          </w:p>
        </w:tc>
      </w:tr>
      <w:tr w:rsidR="00C146CD" w:rsidRPr="001E6D1C" w14:paraId="4C55E3F2" w14:textId="77777777" w:rsidTr="00847FD8">
        <w:tc>
          <w:tcPr>
            <w:tcW w:w="0" w:type="auto"/>
          </w:tcPr>
          <w:p w14:paraId="390DF3DF"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CP 60</w:t>
            </w:r>
          </w:p>
        </w:tc>
        <w:tc>
          <w:tcPr>
            <w:tcW w:w="0" w:type="auto"/>
          </w:tcPr>
          <w:p w14:paraId="6751731F"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66.67</w:t>
            </w:r>
            <w:r w:rsidRPr="001E6D1C">
              <w:rPr>
                <w:rFonts w:ascii="Arial" w:hAnsi="Arial" w:cs="Arial"/>
                <w:sz w:val="20"/>
                <w:szCs w:val="20"/>
                <w:vertAlign w:val="superscript"/>
              </w:rPr>
              <w:t>b</w:t>
            </w:r>
            <w:r w:rsidRPr="001E6D1C">
              <w:rPr>
                <w:rFonts w:ascii="Arial" w:hAnsi="Arial" w:cs="Arial"/>
                <w:sz w:val="20"/>
                <w:szCs w:val="20"/>
              </w:rPr>
              <w:t>±0.95</w:t>
            </w:r>
          </w:p>
        </w:tc>
        <w:tc>
          <w:tcPr>
            <w:tcW w:w="0" w:type="auto"/>
          </w:tcPr>
          <w:p w14:paraId="3ABA668C"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 xml:space="preserve">35.25 </w:t>
            </w:r>
            <w:r w:rsidRPr="001E6D1C">
              <w:rPr>
                <w:rFonts w:ascii="Arial" w:hAnsi="Arial" w:cs="Arial"/>
                <w:sz w:val="20"/>
                <w:szCs w:val="20"/>
                <w:vertAlign w:val="superscript"/>
              </w:rPr>
              <w:t>abc</w:t>
            </w:r>
            <w:r w:rsidRPr="001E6D1C">
              <w:rPr>
                <w:rFonts w:ascii="Arial" w:hAnsi="Arial" w:cs="Arial"/>
                <w:sz w:val="20"/>
                <w:szCs w:val="20"/>
              </w:rPr>
              <w:t>±0.95</w:t>
            </w:r>
          </w:p>
        </w:tc>
        <w:tc>
          <w:tcPr>
            <w:tcW w:w="0" w:type="auto"/>
          </w:tcPr>
          <w:p w14:paraId="1BFCCD1F"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2.21</w:t>
            </w:r>
            <w:r w:rsidRPr="001E6D1C">
              <w:rPr>
                <w:rFonts w:ascii="Arial" w:hAnsi="Arial" w:cs="Arial"/>
                <w:sz w:val="20"/>
                <w:szCs w:val="20"/>
                <w:vertAlign w:val="superscript"/>
              </w:rPr>
              <w:t xml:space="preserve"> ab</w:t>
            </w:r>
            <w:r w:rsidRPr="001E6D1C">
              <w:rPr>
                <w:rFonts w:ascii="Arial" w:hAnsi="Arial" w:cs="Arial"/>
                <w:sz w:val="20"/>
                <w:szCs w:val="20"/>
              </w:rPr>
              <w:t>±3.75</w:t>
            </w:r>
          </w:p>
        </w:tc>
      </w:tr>
      <w:tr w:rsidR="00C146CD" w:rsidRPr="001E6D1C" w14:paraId="53604F1D" w14:textId="77777777" w:rsidTr="00847FD8">
        <w:tc>
          <w:tcPr>
            <w:tcW w:w="0" w:type="auto"/>
          </w:tcPr>
          <w:p w14:paraId="161691E9"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FARO</w:t>
            </w:r>
          </w:p>
        </w:tc>
        <w:tc>
          <w:tcPr>
            <w:tcW w:w="0" w:type="auto"/>
          </w:tcPr>
          <w:p w14:paraId="7AE846B2"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33.33</w:t>
            </w:r>
            <w:r w:rsidRPr="001E6D1C">
              <w:rPr>
                <w:rFonts w:ascii="Arial" w:hAnsi="Arial" w:cs="Arial"/>
                <w:sz w:val="20"/>
                <w:szCs w:val="20"/>
                <w:vertAlign w:val="superscript"/>
              </w:rPr>
              <w:t>a</w:t>
            </w:r>
            <w:r w:rsidRPr="001E6D1C">
              <w:rPr>
                <w:rFonts w:ascii="Arial" w:hAnsi="Arial" w:cs="Arial"/>
                <w:sz w:val="20"/>
                <w:szCs w:val="20"/>
              </w:rPr>
              <w:t>±7.42</w:t>
            </w:r>
          </w:p>
        </w:tc>
        <w:tc>
          <w:tcPr>
            <w:tcW w:w="0" w:type="auto"/>
          </w:tcPr>
          <w:p w14:paraId="3BED1D90"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 xml:space="preserve">33.75 </w:t>
            </w:r>
            <w:r w:rsidRPr="001E6D1C">
              <w:rPr>
                <w:rFonts w:ascii="Arial" w:hAnsi="Arial" w:cs="Arial"/>
                <w:sz w:val="20"/>
                <w:szCs w:val="20"/>
                <w:vertAlign w:val="superscript"/>
              </w:rPr>
              <w:t>ab</w:t>
            </w:r>
            <w:r w:rsidRPr="001E6D1C">
              <w:rPr>
                <w:rFonts w:ascii="Arial" w:hAnsi="Arial" w:cs="Arial"/>
                <w:sz w:val="20"/>
                <w:szCs w:val="20"/>
              </w:rPr>
              <w:t>±7.42</w:t>
            </w:r>
          </w:p>
        </w:tc>
        <w:tc>
          <w:tcPr>
            <w:tcW w:w="0" w:type="auto"/>
          </w:tcPr>
          <w:p w14:paraId="129403BE"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 xml:space="preserve">2.51 </w:t>
            </w:r>
            <w:r w:rsidRPr="001E6D1C">
              <w:rPr>
                <w:rFonts w:ascii="Arial" w:hAnsi="Arial" w:cs="Arial"/>
                <w:sz w:val="20"/>
                <w:szCs w:val="20"/>
                <w:vertAlign w:val="superscript"/>
              </w:rPr>
              <w:t>abc</w:t>
            </w:r>
            <w:r w:rsidRPr="001E6D1C">
              <w:rPr>
                <w:rFonts w:ascii="Arial" w:hAnsi="Arial" w:cs="Arial"/>
                <w:sz w:val="20"/>
                <w:szCs w:val="20"/>
              </w:rPr>
              <w:t>±4’99</w:t>
            </w:r>
          </w:p>
        </w:tc>
      </w:tr>
      <w:tr w:rsidR="00C146CD" w:rsidRPr="001E6D1C" w14:paraId="75F9D4DF" w14:textId="77777777" w:rsidTr="00847FD8">
        <w:tc>
          <w:tcPr>
            <w:tcW w:w="0" w:type="auto"/>
          </w:tcPr>
          <w:p w14:paraId="30C7E321"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FARO 40</w:t>
            </w:r>
          </w:p>
        </w:tc>
        <w:tc>
          <w:tcPr>
            <w:tcW w:w="0" w:type="auto"/>
          </w:tcPr>
          <w:p w14:paraId="7F61296C"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66.67</w:t>
            </w:r>
            <w:r w:rsidRPr="001E6D1C">
              <w:rPr>
                <w:rFonts w:ascii="Arial" w:hAnsi="Arial" w:cs="Arial"/>
                <w:sz w:val="20"/>
                <w:szCs w:val="20"/>
                <w:vertAlign w:val="superscript"/>
              </w:rPr>
              <w:t>b</w:t>
            </w:r>
            <w:r w:rsidRPr="001E6D1C">
              <w:rPr>
                <w:rFonts w:ascii="Arial" w:hAnsi="Arial" w:cs="Arial"/>
                <w:sz w:val="20"/>
                <w:szCs w:val="20"/>
              </w:rPr>
              <w:t>±4.44</w:t>
            </w:r>
          </w:p>
        </w:tc>
        <w:tc>
          <w:tcPr>
            <w:tcW w:w="0" w:type="auto"/>
          </w:tcPr>
          <w:p w14:paraId="4D7F1C87"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36.50</w:t>
            </w:r>
            <w:r w:rsidRPr="001E6D1C">
              <w:rPr>
                <w:rFonts w:ascii="Arial" w:hAnsi="Arial" w:cs="Arial"/>
                <w:sz w:val="20"/>
                <w:szCs w:val="20"/>
                <w:vertAlign w:val="superscript"/>
              </w:rPr>
              <w:t>bc</w:t>
            </w:r>
            <w:r w:rsidRPr="001E6D1C">
              <w:rPr>
                <w:rFonts w:ascii="Arial" w:hAnsi="Arial" w:cs="Arial"/>
                <w:sz w:val="20"/>
                <w:szCs w:val="20"/>
              </w:rPr>
              <w:t>±4.44</w:t>
            </w:r>
          </w:p>
        </w:tc>
        <w:tc>
          <w:tcPr>
            <w:tcW w:w="0" w:type="auto"/>
          </w:tcPr>
          <w:p w14:paraId="20765078"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2.58</w:t>
            </w:r>
            <w:r w:rsidRPr="001E6D1C">
              <w:rPr>
                <w:rFonts w:ascii="Arial" w:hAnsi="Arial" w:cs="Arial"/>
                <w:sz w:val="20"/>
                <w:szCs w:val="20"/>
                <w:vertAlign w:val="superscript"/>
              </w:rPr>
              <w:t>bc</w:t>
            </w:r>
            <w:r w:rsidRPr="001E6D1C">
              <w:rPr>
                <w:rFonts w:ascii="Arial" w:hAnsi="Arial" w:cs="Arial"/>
                <w:sz w:val="20"/>
                <w:szCs w:val="20"/>
              </w:rPr>
              <w:t>±3.79</w:t>
            </w:r>
          </w:p>
        </w:tc>
      </w:tr>
      <w:tr w:rsidR="00C146CD" w:rsidRPr="001E6D1C" w14:paraId="3DA96EA5" w14:textId="77777777" w:rsidTr="00847FD8">
        <w:tc>
          <w:tcPr>
            <w:tcW w:w="0" w:type="auto"/>
          </w:tcPr>
          <w:p w14:paraId="0C686195"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SWARNA-SUB1</w:t>
            </w:r>
          </w:p>
        </w:tc>
        <w:tc>
          <w:tcPr>
            <w:tcW w:w="0" w:type="auto"/>
          </w:tcPr>
          <w:p w14:paraId="1B743A44"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100.00</w:t>
            </w:r>
            <w:r w:rsidRPr="001E6D1C">
              <w:rPr>
                <w:rFonts w:ascii="Arial" w:hAnsi="Arial" w:cs="Arial"/>
                <w:sz w:val="20"/>
                <w:szCs w:val="20"/>
                <w:vertAlign w:val="superscript"/>
              </w:rPr>
              <w:t>c</w:t>
            </w:r>
            <w:r w:rsidRPr="001E6D1C">
              <w:rPr>
                <w:rFonts w:ascii="Arial" w:hAnsi="Arial" w:cs="Arial"/>
                <w:sz w:val="20"/>
                <w:szCs w:val="20"/>
              </w:rPr>
              <w:t>±5.89</w:t>
            </w:r>
          </w:p>
        </w:tc>
        <w:tc>
          <w:tcPr>
            <w:tcW w:w="0" w:type="auto"/>
          </w:tcPr>
          <w:p w14:paraId="54EC11D4"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53.76</w:t>
            </w:r>
            <w:r w:rsidRPr="001E6D1C">
              <w:rPr>
                <w:rFonts w:ascii="Arial" w:hAnsi="Arial" w:cs="Arial"/>
                <w:sz w:val="20"/>
                <w:szCs w:val="20"/>
                <w:vertAlign w:val="superscript"/>
              </w:rPr>
              <w:t>e</w:t>
            </w:r>
            <w:r w:rsidRPr="001E6D1C">
              <w:rPr>
                <w:rFonts w:ascii="Arial" w:hAnsi="Arial" w:cs="Arial"/>
                <w:sz w:val="20"/>
                <w:szCs w:val="20"/>
              </w:rPr>
              <w:t>±2.56</w:t>
            </w:r>
          </w:p>
        </w:tc>
        <w:tc>
          <w:tcPr>
            <w:tcW w:w="0" w:type="auto"/>
          </w:tcPr>
          <w:p w14:paraId="7F74C4A8"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3.28±2.43</w:t>
            </w:r>
          </w:p>
        </w:tc>
      </w:tr>
      <w:tr w:rsidR="00C146CD" w:rsidRPr="001E6D1C" w14:paraId="561D808B" w14:textId="77777777" w:rsidTr="00847FD8">
        <w:tc>
          <w:tcPr>
            <w:tcW w:w="0" w:type="auto"/>
          </w:tcPr>
          <w:p w14:paraId="28069579"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IR64</w:t>
            </w:r>
          </w:p>
        </w:tc>
        <w:tc>
          <w:tcPr>
            <w:tcW w:w="0" w:type="auto"/>
          </w:tcPr>
          <w:p w14:paraId="1FA0FB28"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33.33</w:t>
            </w:r>
            <w:r w:rsidRPr="001E6D1C">
              <w:rPr>
                <w:rFonts w:ascii="Arial" w:hAnsi="Arial" w:cs="Arial"/>
                <w:sz w:val="20"/>
                <w:szCs w:val="20"/>
                <w:vertAlign w:val="superscript"/>
              </w:rPr>
              <w:t>a</w:t>
            </w:r>
            <w:r w:rsidRPr="001E6D1C">
              <w:rPr>
                <w:rFonts w:ascii="Arial" w:hAnsi="Arial" w:cs="Arial"/>
                <w:sz w:val="20"/>
                <w:szCs w:val="20"/>
              </w:rPr>
              <w:t>±6.88</w:t>
            </w:r>
          </w:p>
        </w:tc>
        <w:tc>
          <w:tcPr>
            <w:tcW w:w="0" w:type="auto"/>
          </w:tcPr>
          <w:p w14:paraId="7DCFE9D8"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35.45</w:t>
            </w:r>
            <w:r w:rsidRPr="001E6D1C">
              <w:rPr>
                <w:rFonts w:ascii="Arial" w:hAnsi="Arial" w:cs="Arial"/>
                <w:sz w:val="20"/>
                <w:szCs w:val="20"/>
                <w:vertAlign w:val="superscript"/>
              </w:rPr>
              <w:t>ab</w:t>
            </w:r>
            <w:r w:rsidRPr="001E6D1C">
              <w:rPr>
                <w:rFonts w:ascii="Arial" w:hAnsi="Arial" w:cs="Arial"/>
                <w:sz w:val="20"/>
                <w:szCs w:val="20"/>
              </w:rPr>
              <w:t xml:space="preserve"> ±1.98</w:t>
            </w:r>
          </w:p>
        </w:tc>
        <w:tc>
          <w:tcPr>
            <w:tcW w:w="0" w:type="auto"/>
          </w:tcPr>
          <w:p w14:paraId="2C4B0C24" w14:textId="77777777" w:rsidR="00C146CD" w:rsidRPr="001E6D1C" w:rsidRDefault="00C146CD" w:rsidP="0015221E">
            <w:pPr>
              <w:tabs>
                <w:tab w:val="left" w:pos="3030"/>
              </w:tabs>
              <w:spacing w:line="360" w:lineRule="auto"/>
              <w:rPr>
                <w:rFonts w:ascii="Arial" w:hAnsi="Arial" w:cs="Arial"/>
                <w:sz w:val="20"/>
                <w:szCs w:val="20"/>
              </w:rPr>
            </w:pPr>
            <w:r w:rsidRPr="001E6D1C">
              <w:rPr>
                <w:rFonts w:ascii="Arial" w:hAnsi="Arial" w:cs="Arial"/>
                <w:sz w:val="20"/>
                <w:szCs w:val="20"/>
              </w:rPr>
              <w:t>2.13±3.21</w:t>
            </w:r>
          </w:p>
        </w:tc>
      </w:tr>
    </w:tbl>
    <w:p w14:paraId="3926D37F" w14:textId="1F1AE215" w:rsidR="005E5EF6" w:rsidRPr="00847FD8" w:rsidRDefault="00B23D18" w:rsidP="00847FD8">
      <w:pPr>
        <w:tabs>
          <w:tab w:val="left" w:pos="3030"/>
        </w:tabs>
        <w:spacing w:line="360" w:lineRule="auto"/>
        <w:rPr>
          <w:rFonts w:ascii="Arial" w:hAnsi="Arial" w:cs="Arial"/>
          <w:sz w:val="20"/>
          <w:szCs w:val="20"/>
        </w:rPr>
      </w:pPr>
      <w:r w:rsidRPr="001E6D1C">
        <w:rPr>
          <w:rFonts w:ascii="Arial" w:hAnsi="Arial" w:cs="Arial"/>
          <w:sz w:val="20"/>
          <w:szCs w:val="20"/>
        </w:rPr>
        <w:t xml:space="preserve">Values presented in the table are mean±sandard deviation, values in a column with same superscript are the same  </w:t>
      </w:r>
    </w:p>
    <w:p w14:paraId="5FA1B095" w14:textId="609D54D5" w:rsidR="00B23D18" w:rsidRPr="001E6D1C" w:rsidRDefault="003B00C1" w:rsidP="0015221E">
      <w:pPr>
        <w:spacing w:line="360" w:lineRule="auto"/>
        <w:rPr>
          <w:rFonts w:ascii="Arial" w:hAnsi="Arial" w:cs="Arial"/>
          <w:b/>
          <w:sz w:val="20"/>
          <w:szCs w:val="20"/>
        </w:rPr>
      </w:pPr>
      <w:r w:rsidRPr="001E6D1C">
        <w:rPr>
          <w:rFonts w:ascii="Arial" w:hAnsi="Arial" w:cs="Arial"/>
          <w:b/>
          <w:sz w:val="20"/>
          <w:szCs w:val="20"/>
        </w:rPr>
        <w:t xml:space="preserve">3.2 </w:t>
      </w:r>
      <w:r w:rsidR="00B23D18" w:rsidRPr="001E6D1C">
        <w:rPr>
          <w:rFonts w:ascii="Arial" w:hAnsi="Arial" w:cs="Arial"/>
          <w:b/>
          <w:sz w:val="20"/>
          <w:szCs w:val="20"/>
        </w:rPr>
        <w:t xml:space="preserve">Effect of </w:t>
      </w:r>
      <w:r w:rsidR="00826BD0" w:rsidRPr="001E6D1C">
        <w:rPr>
          <w:rFonts w:ascii="Arial" w:hAnsi="Arial" w:cs="Arial"/>
          <w:b/>
          <w:sz w:val="20"/>
          <w:szCs w:val="20"/>
        </w:rPr>
        <w:t>submergence on</w:t>
      </w:r>
      <w:r w:rsidR="000B4EDF" w:rsidRPr="001E6D1C">
        <w:rPr>
          <w:rFonts w:ascii="Arial" w:hAnsi="Arial" w:cs="Arial"/>
          <w:b/>
          <w:sz w:val="20"/>
          <w:szCs w:val="20"/>
        </w:rPr>
        <w:t xml:space="preserve"> </w:t>
      </w:r>
      <w:r w:rsidR="00826BD0" w:rsidRPr="001E6D1C">
        <w:rPr>
          <w:rFonts w:ascii="Arial" w:hAnsi="Arial" w:cs="Arial"/>
          <w:b/>
          <w:sz w:val="20"/>
          <w:szCs w:val="20"/>
        </w:rPr>
        <w:t>submergence tolerance index in r</w:t>
      </w:r>
      <w:r w:rsidR="00B23D18" w:rsidRPr="001E6D1C">
        <w:rPr>
          <w:rFonts w:ascii="Arial" w:hAnsi="Arial" w:cs="Arial"/>
          <w:b/>
          <w:sz w:val="20"/>
          <w:szCs w:val="20"/>
        </w:rPr>
        <w:t xml:space="preserve">ice </w:t>
      </w:r>
    </w:p>
    <w:p w14:paraId="77B0FEBB" w14:textId="3D4922AF" w:rsidR="00826BD0" w:rsidRDefault="00826BD0" w:rsidP="0015221E">
      <w:pPr>
        <w:spacing w:line="360" w:lineRule="auto"/>
        <w:jc w:val="both"/>
        <w:rPr>
          <w:rFonts w:ascii="Arial" w:hAnsi="Arial" w:cs="Arial"/>
          <w:sz w:val="20"/>
          <w:szCs w:val="20"/>
        </w:rPr>
      </w:pPr>
      <w:r w:rsidRPr="001E6D1C">
        <w:rPr>
          <w:rFonts w:ascii="Arial" w:hAnsi="Arial" w:cs="Arial"/>
          <w:sz w:val="20"/>
          <w:szCs w:val="20"/>
        </w:rPr>
        <w:t>SWARNA-SUB1 shows significant (p= 0.05) different on STI it recorded 66.67% STI which indicates superior submergence tolerance. This high STI reflects its genetic resilience, likely due to the SUB1A gene, which confers controlled elongation and better survival (Table 2).</w:t>
      </w:r>
      <w:r w:rsidR="00847FD8">
        <w:rPr>
          <w:rFonts w:ascii="Arial" w:hAnsi="Arial" w:cs="Arial"/>
          <w:sz w:val="20"/>
          <w:szCs w:val="20"/>
        </w:rPr>
        <w:t xml:space="preserve"> </w:t>
      </w:r>
      <w:r w:rsidR="00847FD8" w:rsidRPr="001E6D1C">
        <w:rPr>
          <w:rFonts w:ascii="Arial" w:hAnsi="Arial" w:cs="Arial"/>
          <w:sz w:val="20"/>
          <w:szCs w:val="20"/>
        </w:rPr>
        <w:t xml:space="preserve">CP 60 and </w:t>
      </w:r>
      <w:r w:rsidR="00961CAE" w:rsidRPr="001E6D1C">
        <w:rPr>
          <w:rFonts w:ascii="Arial" w:hAnsi="Arial" w:cs="Arial"/>
          <w:sz w:val="20"/>
          <w:szCs w:val="20"/>
        </w:rPr>
        <w:t>Faro 40</w:t>
      </w:r>
      <w:r w:rsidR="00847FD8" w:rsidRPr="001E6D1C">
        <w:rPr>
          <w:rFonts w:ascii="Arial" w:hAnsi="Arial" w:cs="Arial"/>
          <w:sz w:val="20"/>
          <w:szCs w:val="20"/>
        </w:rPr>
        <w:t xml:space="preserve"> Both recorded an STI of 33.34%, indicating moderate tolerance to submergence. Their performance suggests some adaptive capacity, though not as effective as </w:t>
      </w:r>
      <w:r w:rsidR="00961CAE" w:rsidRPr="001E6D1C">
        <w:rPr>
          <w:rFonts w:ascii="Arial" w:hAnsi="Arial" w:cs="Arial"/>
          <w:sz w:val="20"/>
          <w:szCs w:val="20"/>
        </w:rPr>
        <w:t>Swarna-Sub1. Mai Hijabi, Faro</w:t>
      </w:r>
      <w:r w:rsidR="00847FD8" w:rsidRPr="001E6D1C">
        <w:rPr>
          <w:rFonts w:ascii="Arial" w:hAnsi="Arial" w:cs="Arial"/>
          <w:sz w:val="20"/>
          <w:szCs w:val="20"/>
        </w:rPr>
        <w:t xml:space="preserve">, and IR64 shows STI values of 0.00% </w:t>
      </w:r>
      <w:r w:rsidR="00847FD8">
        <w:rPr>
          <w:rFonts w:ascii="Arial" w:hAnsi="Arial" w:cs="Arial"/>
          <w:sz w:val="20"/>
          <w:szCs w:val="20"/>
        </w:rPr>
        <w:t xml:space="preserve">which </w:t>
      </w:r>
      <w:r w:rsidR="00847FD8" w:rsidRPr="001E6D1C">
        <w:rPr>
          <w:rFonts w:ascii="Arial" w:hAnsi="Arial" w:cs="Arial"/>
          <w:sz w:val="20"/>
          <w:szCs w:val="20"/>
        </w:rPr>
        <w:t>indicate complete susceptibility. These cultivars are unable to survive or recover from submergence, making them unsuitable for flood-prone environments (Table 2)</w:t>
      </w:r>
    </w:p>
    <w:p w14:paraId="57377353" w14:textId="1BC269CA" w:rsidR="00826BD0" w:rsidRDefault="00570E2E" w:rsidP="00847FD8">
      <w:pPr>
        <w:spacing w:after="240" w:line="360" w:lineRule="auto"/>
        <w:jc w:val="both"/>
        <w:rPr>
          <w:rFonts w:ascii="Arial" w:hAnsi="Arial" w:cs="Arial"/>
          <w:sz w:val="20"/>
          <w:szCs w:val="20"/>
        </w:rPr>
      </w:pPr>
      <w:r w:rsidRPr="001E6D1C">
        <w:rPr>
          <w:rFonts w:ascii="Arial" w:eastAsia="Times New Roman" w:hAnsi="Arial" w:cs="Arial"/>
          <w:kern w:val="0"/>
          <w:sz w:val="20"/>
          <w:szCs w:val="20"/>
          <w14:ligatures w14:val="none"/>
        </w:rPr>
        <w:t xml:space="preserve">Swarna-Sub1 </w:t>
      </w:r>
      <w:r w:rsidR="00847FD8" w:rsidRPr="001E6D1C">
        <w:rPr>
          <w:rFonts w:ascii="Arial" w:eastAsia="Times New Roman" w:hAnsi="Arial" w:cs="Arial"/>
          <w:kern w:val="0"/>
          <w:sz w:val="20"/>
          <w:szCs w:val="20"/>
          <w14:ligatures w14:val="none"/>
        </w:rPr>
        <w:t xml:space="preserve">demonstrated the highest STI, of 66.67 % confirming its high submergence tolerance. This aligns with existing research, as </w:t>
      </w:r>
      <w:r w:rsidR="00961CAE" w:rsidRPr="001E6D1C">
        <w:rPr>
          <w:rFonts w:ascii="Arial" w:eastAsia="Times New Roman" w:hAnsi="Arial" w:cs="Arial"/>
          <w:kern w:val="0"/>
          <w:sz w:val="20"/>
          <w:szCs w:val="20"/>
          <w14:ligatures w14:val="none"/>
        </w:rPr>
        <w:t>Swarna-Sub1</w:t>
      </w:r>
      <w:r w:rsidR="00847FD8" w:rsidRPr="001E6D1C">
        <w:rPr>
          <w:rFonts w:ascii="Arial" w:eastAsia="Times New Roman" w:hAnsi="Arial" w:cs="Arial"/>
          <w:kern w:val="0"/>
          <w:sz w:val="20"/>
          <w:szCs w:val="20"/>
          <w14:ligatures w14:val="none"/>
        </w:rPr>
        <w:t xml:space="preserve"> carries the Sub1A gene, a key factor in quiescence-based submergence tolerance. The Sub1A gene limits shoot elongation and preserves carbohydrate reserves, enhancing post-submergence survival (Xu et al., 2006; Bailey-Serres &amp; Voesenek, 2008).</w:t>
      </w:r>
      <w:r w:rsidR="00847FD8">
        <w:rPr>
          <w:rFonts w:ascii="Arial" w:eastAsia="Times New Roman" w:hAnsi="Arial" w:cs="Arial"/>
          <w:kern w:val="0"/>
          <w:sz w:val="20"/>
          <w:szCs w:val="20"/>
          <w14:ligatures w14:val="none"/>
        </w:rPr>
        <w:t xml:space="preserve"> </w:t>
      </w:r>
      <w:r w:rsidR="00847FD8" w:rsidRPr="001E6D1C">
        <w:rPr>
          <w:rFonts w:ascii="Arial" w:eastAsia="Times New Roman" w:hAnsi="Arial" w:cs="Arial"/>
          <w:kern w:val="0"/>
          <w:sz w:val="20"/>
          <w:szCs w:val="20"/>
          <w14:ligatures w14:val="none"/>
        </w:rPr>
        <w:t>CP 60 is classified as moderately tolerant, supported by its STI of 33.34%. This suggests it possesses partial adaptive traits under submergence, possibly through moderate elongation and energy use efficiency.</w:t>
      </w:r>
      <w:r w:rsidR="00847FD8">
        <w:rPr>
          <w:rFonts w:ascii="Arial" w:eastAsia="Times New Roman" w:hAnsi="Arial" w:cs="Arial"/>
          <w:kern w:val="0"/>
          <w:sz w:val="20"/>
          <w:szCs w:val="20"/>
          <w14:ligatures w14:val="none"/>
        </w:rPr>
        <w:t xml:space="preserve"> </w:t>
      </w:r>
      <w:r w:rsidR="00961CAE" w:rsidRPr="001E6D1C">
        <w:rPr>
          <w:rFonts w:ascii="Arial" w:eastAsia="Times New Roman" w:hAnsi="Arial" w:cs="Arial"/>
          <w:kern w:val="0"/>
          <w:sz w:val="20"/>
          <w:szCs w:val="20"/>
          <w14:ligatures w14:val="none"/>
        </w:rPr>
        <w:t>Faro</w:t>
      </w:r>
      <w:r w:rsidR="00847FD8" w:rsidRPr="001E6D1C">
        <w:rPr>
          <w:rFonts w:ascii="Arial" w:eastAsia="Times New Roman" w:hAnsi="Arial" w:cs="Arial"/>
          <w:kern w:val="0"/>
          <w:sz w:val="20"/>
          <w:szCs w:val="20"/>
          <w14:ligatures w14:val="none"/>
        </w:rPr>
        <w:t xml:space="preserve"> also shows an STI of 0.00% but is labelled “moderate tolerant. This classification raises concerns as STI typically directly reflects survival. Inconsistent classification may arise from varied submergence durations, incomplete recovery data, or environmental factors. Normally, an STI of 0% implies total sensitivity (Singh et al., 2010)</w:t>
      </w:r>
      <w:r w:rsidR="00826BD0" w:rsidRPr="001E6D1C">
        <w:rPr>
          <w:rFonts w:ascii="Arial" w:hAnsi="Arial" w:cs="Arial"/>
          <w:sz w:val="20"/>
          <w:szCs w:val="20"/>
        </w:rPr>
        <w:t>.</w:t>
      </w:r>
    </w:p>
    <w:p w14:paraId="2F767330" w14:textId="512723B7" w:rsidR="00847FD8" w:rsidRPr="001E6D1C" w:rsidRDefault="00961CAE" w:rsidP="00847FD8">
      <w:pPr>
        <w:spacing w:after="240" w:line="360" w:lineRule="auto"/>
        <w:jc w:val="both"/>
        <w:rPr>
          <w:rFonts w:ascii="Arial" w:eastAsia="Times New Roman" w:hAnsi="Arial" w:cs="Arial"/>
          <w:kern w:val="0"/>
          <w:sz w:val="20"/>
          <w:szCs w:val="20"/>
          <w14:ligatures w14:val="none"/>
        </w:rPr>
      </w:pPr>
      <w:r w:rsidRPr="001E6D1C">
        <w:rPr>
          <w:rFonts w:ascii="Arial" w:eastAsia="Times New Roman" w:hAnsi="Arial" w:cs="Arial"/>
          <w:kern w:val="0"/>
          <w:sz w:val="20"/>
          <w:szCs w:val="20"/>
          <w14:ligatures w14:val="none"/>
        </w:rPr>
        <w:lastRenderedPageBreak/>
        <w:t xml:space="preserve">Mai Hijabi, Faro </w:t>
      </w:r>
      <w:r w:rsidR="00847FD8" w:rsidRPr="001E6D1C">
        <w:rPr>
          <w:rFonts w:ascii="Arial" w:eastAsia="Times New Roman" w:hAnsi="Arial" w:cs="Arial"/>
          <w:kern w:val="0"/>
          <w:sz w:val="20"/>
          <w:szCs w:val="20"/>
          <w14:ligatures w14:val="none"/>
        </w:rPr>
        <w:t xml:space="preserve">40, and IR64 cultivars had STI values of 0.00% or 33.34%, and were largely classified as not tolerant, which agrees with prior studies by (Ella et al., 2003; Fukao et al., 2006) which reported that IR64, a widely studied variety, is known to be submergence-sensitive, with rapid elongation and energy depletion under flood conditions. </w:t>
      </w:r>
      <w:r w:rsidRPr="001E6D1C">
        <w:rPr>
          <w:rFonts w:ascii="Arial" w:eastAsia="Times New Roman" w:hAnsi="Arial" w:cs="Arial"/>
          <w:kern w:val="0"/>
          <w:sz w:val="20"/>
          <w:szCs w:val="20"/>
          <w14:ligatures w14:val="none"/>
        </w:rPr>
        <w:t>Faro 4</w:t>
      </w:r>
      <w:r w:rsidR="00847FD8" w:rsidRPr="001E6D1C">
        <w:rPr>
          <w:rFonts w:ascii="Arial" w:eastAsia="Times New Roman" w:hAnsi="Arial" w:cs="Arial"/>
          <w:kern w:val="0"/>
          <w:sz w:val="20"/>
          <w:szCs w:val="20"/>
          <w14:ligatures w14:val="none"/>
        </w:rPr>
        <w:t xml:space="preserve">0, despite having the same STI as CP 60, is classified here as “not tolerant,” which may be due to poor post-submergence recovery, carbohydrate exhaustion, or physiological damage and </w:t>
      </w:r>
      <w:r w:rsidRPr="001E6D1C">
        <w:rPr>
          <w:rFonts w:ascii="Arial" w:eastAsia="Times New Roman" w:hAnsi="Arial" w:cs="Arial"/>
          <w:kern w:val="0"/>
          <w:sz w:val="20"/>
          <w:szCs w:val="20"/>
          <w14:ligatures w14:val="none"/>
        </w:rPr>
        <w:t>Mai Hijabi</w:t>
      </w:r>
      <w:r w:rsidR="00847FD8" w:rsidRPr="001E6D1C">
        <w:rPr>
          <w:rFonts w:ascii="Arial" w:eastAsia="Times New Roman" w:hAnsi="Arial" w:cs="Arial"/>
          <w:kern w:val="0"/>
          <w:sz w:val="20"/>
          <w:szCs w:val="20"/>
          <w14:ligatures w14:val="none"/>
        </w:rPr>
        <w:t xml:space="preserve"> had 0% STI, accurately classified as not tolerant, indicating complete failure under submergence.</w:t>
      </w:r>
    </w:p>
    <w:p w14:paraId="6E2DD3EC" w14:textId="3019DD26" w:rsidR="00847FD8" w:rsidRPr="001E6D1C" w:rsidRDefault="00847FD8" w:rsidP="00847FD8">
      <w:pPr>
        <w:spacing w:after="240" w:line="360" w:lineRule="auto"/>
        <w:jc w:val="both"/>
        <w:rPr>
          <w:rFonts w:ascii="Arial" w:eastAsia="Times New Roman" w:hAnsi="Arial" w:cs="Arial"/>
          <w:kern w:val="0"/>
          <w:sz w:val="20"/>
          <w:szCs w:val="20"/>
          <w14:ligatures w14:val="none"/>
        </w:rPr>
      </w:pPr>
      <w:r w:rsidRPr="001E6D1C">
        <w:rPr>
          <w:rFonts w:ascii="Arial" w:eastAsia="Times New Roman" w:hAnsi="Arial" w:cs="Arial"/>
          <w:kern w:val="0"/>
          <w:sz w:val="20"/>
          <w:szCs w:val="20"/>
          <w14:ligatures w14:val="none"/>
        </w:rPr>
        <w:t xml:space="preserve">Quiescence strategy restricts elongation and conserves energy. Controlled by the Sub1A gene, found in tolerant varieties like </w:t>
      </w:r>
      <w:r w:rsidR="00961CAE" w:rsidRPr="001E6D1C">
        <w:rPr>
          <w:rFonts w:ascii="Arial" w:eastAsia="Times New Roman" w:hAnsi="Arial" w:cs="Arial"/>
          <w:kern w:val="0"/>
          <w:sz w:val="20"/>
          <w:szCs w:val="20"/>
          <w14:ligatures w14:val="none"/>
        </w:rPr>
        <w:t>Swarna-Sub1</w:t>
      </w:r>
      <w:r w:rsidRPr="001E6D1C">
        <w:rPr>
          <w:rFonts w:ascii="Arial" w:eastAsia="Times New Roman" w:hAnsi="Arial" w:cs="Arial"/>
          <w:kern w:val="0"/>
          <w:sz w:val="20"/>
          <w:szCs w:val="20"/>
          <w14:ligatures w14:val="none"/>
        </w:rPr>
        <w:t>. Escape strategy involves rapid elongation to reach the water surface, common in sensitive varieties like IR64 but often results in energy exhaustion and low survival (Fukao &amp; Bailey-Serres, 2008</w:t>
      </w:r>
      <w:r w:rsidR="00901121">
        <w:rPr>
          <w:rFonts w:ascii="Arial" w:eastAsia="Times New Roman" w:hAnsi="Arial" w:cs="Arial"/>
          <w:kern w:val="0"/>
          <w:sz w:val="20"/>
          <w:szCs w:val="20"/>
          <w14:ligatures w14:val="none"/>
        </w:rPr>
        <w:t xml:space="preserve">; </w:t>
      </w:r>
      <w:r w:rsidR="00901121" w:rsidRPr="00F54F47">
        <w:rPr>
          <w:rFonts w:ascii="Arial" w:eastAsia="Times New Roman" w:hAnsi="Arial" w:cs="Arial"/>
          <w:sz w:val="20"/>
          <w:szCs w:val="20"/>
        </w:rPr>
        <w:t>Septiningsih,</w:t>
      </w:r>
      <w:r w:rsidR="00901121">
        <w:rPr>
          <w:rFonts w:ascii="Arial" w:eastAsia="Times New Roman" w:hAnsi="Arial" w:cs="Arial"/>
          <w:sz w:val="20"/>
          <w:szCs w:val="20"/>
        </w:rPr>
        <w:t xml:space="preserve"> 2009</w:t>
      </w:r>
      <w:r w:rsidRPr="001E6D1C">
        <w:rPr>
          <w:rFonts w:ascii="Arial" w:eastAsia="Times New Roman" w:hAnsi="Arial" w:cs="Arial"/>
          <w:kern w:val="0"/>
          <w:sz w:val="20"/>
          <w:szCs w:val="20"/>
          <w14:ligatures w14:val="none"/>
        </w:rPr>
        <w:t>).</w:t>
      </w:r>
    </w:p>
    <w:p w14:paraId="6ACE7E15" w14:textId="02730C7D" w:rsidR="00826BD0" w:rsidRPr="001E6D1C" w:rsidRDefault="00847FD8" w:rsidP="0015221E">
      <w:pPr>
        <w:spacing w:line="360" w:lineRule="auto"/>
        <w:rPr>
          <w:rFonts w:ascii="Arial" w:hAnsi="Arial" w:cs="Arial"/>
          <w:b/>
          <w:sz w:val="20"/>
          <w:szCs w:val="20"/>
        </w:rPr>
      </w:pPr>
      <w:r>
        <w:rPr>
          <w:rFonts w:ascii="Arial" w:hAnsi="Arial" w:cs="Arial"/>
          <w:sz w:val="20"/>
          <w:szCs w:val="20"/>
        </w:rPr>
        <w:t xml:space="preserve">Table 2: Salinity tolerance index of different rice cultivars </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2550"/>
        <w:gridCol w:w="3280"/>
      </w:tblGrid>
      <w:tr w:rsidR="00826BD0" w:rsidRPr="001E6D1C" w14:paraId="2DFB0AF3" w14:textId="77777777" w:rsidTr="00847FD8">
        <w:tc>
          <w:tcPr>
            <w:tcW w:w="1886" w:type="pct"/>
            <w:tcBorders>
              <w:top w:val="single" w:sz="4" w:space="0" w:color="auto"/>
              <w:bottom w:val="single" w:sz="4" w:space="0" w:color="auto"/>
            </w:tcBorders>
          </w:tcPr>
          <w:p w14:paraId="2AAA5BDD" w14:textId="77777777" w:rsidR="00826BD0" w:rsidRPr="001E6D1C" w:rsidRDefault="00826BD0" w:rsidP="0015221E">
            <w:pPr>
              <w:tabs>
                <w:tab w:val="left" w:pos="3030"/>
              </w:tabs>
              <w:spacing w:line="360" w:lineRule="auto"/>
              <w:rPr>
                <w:rFonts w:ascii="Arial" w:hAnsi="Arial" w:cs="Arial"/>
                <w:b/>
                <w:sz w:val="20"/>
                <w:szCs w:val="20"/>
              </w:rPr>
            </w:pPr>
            <w:r w:rsidRPr="001E6D1C">
              <w:rPr>
                <w:rFonts w:ascii="Arial" w:hAnsi="Arial" w:cs="Arial"/>
                <w:b/>
                <w:sz w:val="20"/>
                <w:szCs w:val="20"/>
              </w:rPr>
              <w:t>Cultivars</w:t>
            </w:r>
          </w:p>
        </w:tc>
        <w:tc>
          <w:tcPr>
            <w:tcW w:w="1362" w:type="pct"/>
            <w:tcBorders>
              <w:top w:val="single" w:sz="4" w:space="0" w:color="auto"/>
              <w:bottom w:val="single" w:sz="4" w:space="0" w:color="auto"/>
            </w:tcBorders>
          </w:tcPr>
          <w:p w14:paraId="6492E7F4" w14:textId="77777777" w:rsidR="00826BD0" w:rsidRPr="001E6D1C" w:rsidRDefault="00826BD0" w:rsidP="0015221E">
            <w:pPr>
              <w:tabs>
                <w:tab w:val="left" w:pos="3030"/>
              </w:tabs>
              <w:spacing w:line="360" w:lineRule="auto"/>
              <w:rPr>
                <w:rFonts w:ascii="Arial" w:hAnsi="Arial" w:cs="Arial"/>
                <w:b/>
                <w:sz w:val="20"/>
                <w:szCs w:val="20"/>
              </w:rPr>
            </w:pPr>
            <w:r w:rsidRPr="001E6D1C">
              <w:rPr>
                <w:rFonts w:ascii="Arial" w:hAnsi="Arial" w:cs="Arial"/>
                <w:b/>
                <w:sz w:val="20"/>
                <w:szCs w:val="20"/>
              </w:rPr>
              <w:t>STI (%)</w:t>
            </w:r>
          </w:p>
          <w:p w14:paraId="72D95E18" w14:textId="77777777" w:rsidR="00826BD0" w:rsidRPr="001E6D1C" w:rsidRDefault="00826BD0" w:rsidP="0015221E">
            <w:pPr>
              <w:tabs>
                <w:tab w:val="left" w:pos="3030"/>
              </w:tabs>
              <w:spacing w:line="360" w:lineRule="auto"/>
              <w:rPr>
                <w:rFonts w:ascii="Arial" w:hAnsi="Arial" w:cs="Arial"/>
                <w:b/>
                <w:sz w:val="20"/>
                <w:szCs w:val="20"/>
              </w:rPr>
            </w:pPr>
          </w:p>
        </w:tc>
        <w:tc>
          <w:tcPr>
            <w:tcW w:w="1752" w:type="pct"/>
            <w:tcBorders>
              <w:top w:val="single" w:sz="4" w:space="0" w:color="auto"/>
              <w:bottom w:val="single" w:sz="4" w:space="0" w:color="auto"/>
            </w:tcBorders>
          </w:tcPr>
          <w:p w14:paraId="17FBB27C" w14:textId="77777777" w:rsidR="00826BD0" w:rsidRPr="001E6D1C" w:rsidRDefault="00826BD0" w:rsidP="0015221E">
            <w:pPr>
              <w:tabs>
                <w:tab w:val="left" w:pos="3030"/>
              </w:tabs>
              <w:spacing w:line="360" w:lineRule="auto"/>
              <w:rPr>
                <w:rFonts w:ascii="Arial" w:hAnsi="Arial" w:cs="Arial"/>
                <w:b/>
                <w:sz w:val="20"/>
                <w:szCs w:val="20"/>
              </w:rPr>
            </w:pPr>
            <w:r w:rsidRPr="001E6D1C">
              <w:rPr>
                <w:rFonts w:ascii="Arial" w:hAnsi="Arial" w:cs="Arial"/>
                <w:b/>
                <w:sz w:val="20"/>
                <w:szCs w:val="20"/>
              </w:rPr>
              <w:t xml:space="preserve">Interpretation </w:t>
            </w:r>
          </w:p>
        </w:tc>
      </w:tr>
      <w:tr w:rsidR="00826BD0" w:rsidRPr="001E6D1C" w14:paraId="365A7A64" w14:textId="77777777" w:rsidTr="00847FD8">
        <w:tc>
          <w:tcPr>
            <w:tcW w:w="1886" w:type="pct"/>
            <w:tcBorders>
              <w:top w:val="single" w:sz="4" w:space="0" w:color="auto"/>
            </w:tcBorders>
          </w:tcPr>
          <w:p w14:paraId="12DFE632"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MAI HIJABI</w:t>
            </w:r>
          </w:p>
        </w:tc>
        <w:tc>
          <w:tcPr>
            <w:tcW w:w="1362" w:type="pct"/>
            <w:tcBorders>
              <w:top w:val="single" w:sz="4" w:space="0" w:color="auto"/>
            </w:tcBorders>
          </w:tcPr>
          <w:p w14:paraId="328EBE71"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0.00</w:t>
            </w:r>
            <w:r w:rsidRPr="001E6D1C">
              <w:rPr>
                <w:rFonts w:ascii="Arial" w:hAnsi="Arial" w:cs="Arial"/>
                <w:sz w:val="20"/>
                <w:szCs w:val="20"/>
                <w:vertAlign w:val="superscript"/>
              </w:rPr>
              <w:t>a</w:t>
            </w:r>
            <w:r w:rsidRPr="001E6D1C">
              <w:rPr>
                <w:rFonts w:ascii="Arial" w:hAnsi="Arial" w:cs="Arial"/>
                <w:sz w:val="20"/>
                <w:szCs w:val="20"/>
              </w:rPr>
              <w:t>±6.88</w:t>
            </w:r>
          </w:p>
        </w:tc>
        <w:tc>
          <w:tcPr>
            <w:tcW w:w="1752" w:type="pct"/>
            <w:tcBorders>
              <w:top w:val="single" w:sz="4" w:space="0" w:color="auto"/>
            </w:tcBorders>
          </w:tcPr>
          <w:p w14:paraId="292CCA52" w14:textId="7A7B4570" w:rsidR="00826BD0" w:rsidRPr="001E6D1C" w:rsidRDefault="008B41A6" w:rsidP="0015221E">
            <w:pPr>
              <w:tabs>
                <w:tab w:val="left" w:pos="3030"/>
              </w:tabs>
              <w:spacing w:line="360" w:lineRule="auto"/>
              <w:rPr>
                <w:rFonts w:ascii="Arial" w:hAnsi="Arial" w:cs="Arial"/>
                <w:sz w:val="20"/>
                <w:szCs w:val="20"/>
              </w:rPr>
            </w:pPr>
            <w:r w:rsidRPr="001E6D1C">
              <w:rPr>
                <w:rFonts w:ascii="Arial" w:hAnsi="Arial" w:cs="Arial"/>
                <w:sz w:val="20"/>
                <w:szCs w:val="20"/>
              </w:rPr>
              <w:t>Not tolerant</w:t>
            </w:r>
          </w:p>
        </w:tc>
      </w:tr>
      <w:tr w:rsidR="00826BD0" w:rsidRPr="001E6D1C" w14:paraId="2660FCCB" w14:textId="77777777" w:rsidTr="00847FD8">
        <w:tc>
          <w:tcPr>
            <w:tcW w:w="1886" w:type="pct"/>
          </w:tcPr>
          <w:p w14:paraId="4816168F"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CP 60</w:t>
            </w:r>
          </w:p>
        </w:tc>
        <w:tc>
          <w:tcPr>
            <w:tcW w:w="1362" w:type="pct"/>
          </w:tcPr>
          <w:p w14:paraId="126C49B0"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33.34</w:t>
            </w:r>
            <w:r w:rsidRPr="001E6D1C">
              <w:rPr>
                <w:rFonts w:ascii="Arial" w:hAnsi="Arial" w:cs="Arial"/>
                <w:sz w:val="20"/>
                <w:szCs w:val="20"/>
                <w:vertAlign w:val="superscript"/>
              </w:rPr>
              <w:t>b</w:t>
            </w:r>
            <w:r w:rsidRPr="001E6D1C">
              <w:rPr>
                <w:rFonts w:ascii="Arial" w:hAnsi="Arial" w:cs="Arial"/>
                <w:sz w:val="20"/>
                <w:szCs w:val="20"/>
              </w:rPr>
              <w:t>±0.95</w:t>
            </w:r>
          </w:p>
        </w:tc>
        <w:tc>
          <w:tcPr>
            <w:tcW w:w="1752" w:type="pct"/>
          </w:tcPr>
          <w:p w14:paraId="5F53A154"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 xml:space="preserve">Moderate tolerant </w:t>
            </w:r>
          </w:p>
        </w:tc>
      </w:tr>
      <w:tr w:rsidR="00826BD0" w:rsidRPr="001E6D1C" w14:paraId="2B45E0E0" w14:textId="77777777" w:rsidTr="00847FD8">
        <w:tc>
          <w:tcPr>
            <w:tcW w:w="1886" w:type="pct"/>
          </w:tcPr>
          <w:p w14:paraId="71CEB316"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FARO</w:t>
            </w:r>
          </w:p>
        </w:tc>
        <w:tc>
          <w:tcPr>
            <w:tcW w:w="1362" w:type="pct"/>
          </w:tcPr>
          <w:p w14:paraId="21B94DCD"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0.00</w:t>
            </w:r>
            <w:r w:rsidRPr="001E6D1C">
              <w:rPr>
                <w:rFonts w:ascii="Arial" w:hAnsi="Arial" w:cs="Arial"/>
                <w:sz w:val="20"/>
                <w:szCs w:val="20"/>
                <w:vertAlign w:val="superscript"/>
              </w:rPr>
              <w:t>a</w:t>
            </w:r>
            <w:r w:rsidRPr="001E6D1C">
              <w:rPr>
                <w:rFonts w:ascii="Arial" w:hAnsi="Arial" w:cs="Arial"/>
                <w:sz w:val="20"/>
                <w:szCs w:val="20"/>
              </w:rPr>
              <w:t>±7.42</w:t>
            </w:r>
          </w:p>
        </w:tc>
        <w:tc>
          <w:tcPr>
            <w:tcW w:w="1752" w:type="pct"/>
          </w:tcPr>
          <w:p w14:paraId="5CEA8039"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Moderate tolerant</w:t>
            </w:r>
          </w:p>
        </w:tc>
      </w:tr>
      <w:tr w:rsidR="00826BD0" w:rsidRPr="001E6D1C" w14:paraId="460EFFEA" w14:textId="77777777" w:rsidTr="00847FD8">
        <w:tc>
          <w:tcPr>
            <w:tcW w:w="1886" w:type="pct"/>
          </w:tcPr>
          <w:p w14:paraId="32D0C6DF"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FARO 40</w:t>
            </w:r>
          </w:p>
        </w:tc>
        <w:tc>
          <w:tcPr>
            <w:tcW w:w="1362" w:type="pct"/>
          </w:tcPr>
          <w:p w14:paraId="0E6A1628"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33.34</w:t>
            </w:r>
            <w:r w:rsidRPr="001E6D1C">
              <w:rPr>
                <w:rFonts w:ascii="Arial" w:hAnsi="Arial" w:cs="Arial"/>
                <w:sz w:val="20"/>
                <w:szCs w:val="20"/>
                <w:vertAlign w:val="superscript"/>
              </w:rPr>
              <w:t>b</w:t>
            </w:r>
            <w:r w:rsidRPr="001E6D1C">
              <w:rPr>
                <w:rFonts w:ascii="Arial" w:hAnsi="Arial" w:cs="Arial"/>
                <w:sz w:val="20"/>
                <w:szCs w:val="20"/>
              </w:rPr>
              <w:t>±4.44</w:t>
            </w:r>
          </w:p>
        </w:tc>
        <w:tc>
          <w:tcPr>
            <w:tcW w:w="1752" w:type="pct"/>
          </w:tcPr>
          <w:p w14:paraId="16E0B867"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Not tolerant</w:t>
            </w:r>
          </w:p>
        </w:tc>
      </w:tr>
      <w:tr w:rsidR="00826BD0" w:rsidRPr="001E6D1C" w14:paraId="5CB9A473" w14:textId="77777777" w:rsidTr="00847FD8">
        <w:tc>
          <w:tcPr>
            <w:tcW w:w="1886" w:type="pct"/>
          </w:tcPr>
          <w:p w14:paraId="487C8C33"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SWARNA-SUB1</w:t>
            </w:r>
          </w:p>
        </w:tc>
        <w:tc>
          <w:tcPr>
            <w:tcW w:w="1362" w:type="pct"/>
          </w:tcPr>
          <w:p w14:paraId="6D1B5259"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66.67</w:t>
            </w:r>
            <w:r w:rsidRPr="001E6D1C">
              <w:rPr>
                <w:rFonts w:ascii="Arial" w:hAnsi="Arial" w:cs="Arial"/>
                <w:sz w:val="20"/>
                <w:szCs w:val="20"/>
                <w:vertAlign w:val="superscript"/>
              </w:rPr>
              <w:t>c</w:t>
            </w:r>
            <w:r w:rsidRPr="001E6D1C">
              <w:rPr>
                <w:rFonts w:ascii="Arial" w:hAnsi="Arial" w:cs="Arial"/>
                <w:sz w:val="20"/>
                <w:szCs w:val="20"/>
              </w:rPr>
              <w:t>±5.89</w:t>
            </w:r>
          </w:p>
        </w:tc>
        <w:tc>
          <w:tcPr>
            <w:tcW w:w="1752" w:type="pct"/>
          </w:tcPr>
          <w:p w14:paraId="4C3307A8" w14:textId="599736D0" w:rsidR="00826BD0" w:rsidRPr="001E6D1C" w:rsidRDefault="008B41A6" w:rsidP="0015221E">
            <w:pPr>
              <w:tabs>
                <w:tab w:val="left" w:pos="3030"/>
              </w:tabs>
              <w:spacing w:line="360" w:lineRule="auto"/>
              <w:rPr>
                <w:rFonts w:ascii="Arial" w:hAnsi="Arial" w:cs="Arial"/>
                <w:sz w:val="20"/>
                <w:szCs w:val="20"/>
              </w:rPr>
            </w:pPr>
            <w:r w:rsidRPr="001E6D1C">
              <w:rPr>
                <w:rFonts w:ascii="Arial" w:hAnsi="Arial" w:cs="Arial"/>
                <w:sz w:val="20"/>
                <w:szCs w:val="20"/>
              </w:rPr>
              <w:t>High tolerant</w:t>
            </w:r>
          </w:p>
        </w:tc>
      </w:tr>
      <w:tr w:rsidR="00826BD0" w:rsidRPr="001E6D1C" w14:paraId="7CB5C244" w14:textId="77777777" w:rsidTr="00847FD8">
        <w:tc>
          <w:tcPr>
            <w:tcW w:w="1886" w:type="pct"/>
          </w:tcPr>
          <w:p w14:paraId="58E6C99C"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IR64</w:t>
            </w:r>
          </w:p>
        </w:tc>
        <w:tc>
          <w:tcPr>
            <w:tcW w:w="1362" w:type="pct"/>
          </w:tcPr>
          <w:p w14:paraId="28D14CDA"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0.00</w:t>
            </w:r>
            <w:r w:rsidRPr="001E6D1C">
              <w:rPr>
                <w:rFonts w:ascii="Arial" w:hAnsi="Arial" w:cs="Arial"/>
                <w:sz w:val="20"/>
                <w:szCs w:val="20"/>
                <w:vertAlign w:val="superscript"/>
              </w:rPr>
              <w:t>a</w:t>
            </w:r>
            <w:r w:rsidRPr="001E6D1C">
              <w:rPr>
                <w:rFonts w:ascii="Arial" w:hAnsi="Arial" w:cs="Arial"/>
                <w:sz w:val="20"/>
                <w:szCs w:val="20"/>
              </w:rPr>
              <w:t>±6.88</w:t>
            </w:r>
          </w:p>
        </w:tc>
        <w:tc>
          <w:tcPr>
            <w:tcW w:w="1752" w:type="pct"/>
          </w:tcPr>
          <w:p w14:paraId="007DFF3F"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Not tolerant</w:t>
            </w:r>
          </w:p>
        </w:tc>
      </w:tr>
    </w:tbl>
    <w:p w14:paraId="39FD6EC3" w14:textId="77777777" w:rsidR="00826BD0" w:rsidRPr="001E6D1C" w:rsidRDefault="00826BD0" w:rsidP="0015221E">
      <w:pPr>
        <w:tabs>
          <w:tab w:val="left" w:pos="3030"/>
        </w:tabs>
        <w:spacing w:line="360" w:lineRule="auto"/>
        <w:rPr>
          <w:rFonts w:ascii="Arial" w:hAnsi="Arial" w:cs="Arial"/>
          <w:sz w:val="20"/>
          <w:szCs w:val="20"/>
        </w:rPr>
      </w:pPr>
      <w:r w:rsidRPr="001E6D1C">
        <w:rPr>
          <w:rFonts w:ascii="Arial" w:hAnsi="Arial" w:cs="Arial"/>
          <w:sz w:val="20"/>
          <w:szCs w:val="20"/>
        </w:rPr>
        <w:t xml:space="preserve">Values presented in the table are mean±sandard deviation, values in a column with different superscript are significantly different.  </w:t>
      </w:r>
    </w:p>
    <w:p w14:paraId="196BA843" w14:textId="4830934D" w:rsidR="00B23D18" w:rsidRPr="00847FD8" w:rsidRDefault="00DD7E84" w:rsidP="0015221E">
      <w:pPr>
        <w:spacing w:before="100" w:beforeAutospacing="1" w:after="100" w:afterAutospacing="1" w:line="360" w:lineRule="auto"/>
        <w:jc w:val="both"/>
        <w:rPr>
          <w:rFonts w:ascii="Arial" w:eastAsia="Times New Roman" w:hAnsi="Arial" w:cs="Arial"/>
        </w:rPr>
      </w:pPr>
      <w:r w:rsidRPr="00847FD8">
        <w:rPr>
          <w:rFonts w:ascii="Arial" w:eastAsia="Times New Roman" w:hAnsi="Arial" w:cs="Arial"/>
          <w:b/>
          <w:bCs/>
        </w:rPr>
        <w:t>CONCLUSION</w:t>
      </w:r>
    </w:p>
    <w:p w14:paraId="13C04AF8" w14:textId="17FA05A6" w:rsidR="00B164A7" w:rsidRDefault="00B164A7" w:rsidP="0015221E">
      <w:pPr>
        <w:spacing w:before="100" w:beforeAutospacing="1" w:after="100" w:afterAutospacing="1" w:line="360" w:lineRule="auto"/>
        <w:jc w:val="both"/>
        <w:rPr>
          <w:rFonts w:ascii="Times New Roman" w:eastAsia="Times New Roman" w:hAnsi="Times New Roman" w:cs="Times New Roman"/>
          <w:sz w:val="24"/>
          <w:szCs w:val="24"/>
        </w:rPr>
      </w:pPr>
      <w:r w:rsidRPr="001E6D1C">
        <w:rPr>
          <w:rFonts w:ascii="Arial" w:eastAsia="Times New Roman" w:hAnsi="Arial" w:cs="Arial"/>
          <w:sz w:val="20"/>
          <w:szCs w:val="20"/>
        </w:rPr>
        <w:t xml:space="preserve">Under submergence stress, rice cultivars respond differently. </w:t>
      </w:r>
      <w:r w:rsidR="00961CAE" w:rsidRPr="001E6D1C">
        <w:rPr>
          <w:rFonts w:ascii="Arial" w:eastAsia="Times New Roman" w:hAnsi="Arial" w:cs="Arial"/>
          <w:sz w:val="20"/>
          <w:szCs w:val="20"/>
        </w:rPr>
        <w:t>Swarna-Sub1</w:t>
      </w:r>
      <w:r w:rsidRPr="001E6D1C">
        <w:rPr>
          <w:rFonts w:ascii="Arial" w:eastAsia="Times New Roman" w:hAnsi="Arial" w:cs="Arial"/>
          <w:sz w:val="20"/>
          <w:szCs w:val="20"/>
        </w:rPr>
        <w:t xml:space="preserve"> demonstrates superior performance and is a good candidate for cultivation in flood-prone areas. In contrast, varieties like IR64, </w:t>
      </w:r>
      <w:r w:rsidR="00961CAE" w:rsidRPr="001E6D1C">
        <w:rPr>
          <w:rFonts w:ascii="Arial" w:eastAsia="Times New Roman" w:hAnsi="Arial" w:cs="Arial"/>
          <w:sz w:val="20"/>
          <w:szCs w:val="20"/>
        </w:rPr>
        <w:t>Faro</w:t>
      </w:r>
      <w:r w:rsidRPr="001E6D1C">
        <w:rPr>
          <w:rFonts w:ascii="Arial" w:eastAsia="Times New Roman" w:hAnsi="Arial" w:cs="Arial"/>
          <w:sz w:val="20"/>
          <w:szCs w:val="20"/>
        </w:rPr>
        <w:t xml:space="preserve">, and </w:t>
      </w:r>
      <w:r w:rsidR="00961CAE" w:rsidRPr="001E6D1C">
        <w:rPr>
          <w:rFonts w:ascii="Arial" w:eastAsia="Times New Roman" w:hAnsi="Arial" w:cs="Arial"/>
          <w:sz w:val="20"/>
          <w:szCs w:val="20"/>
        </w:rPr>
        <w:t>Mai Hijabi</w:t>
      </w:r>
      <w:r w:rsidRPr="001E6D1C">
        <w:rPr>
          <w:rFonts w:ascii="Arial" w:eastAsia="Times New Roman" w:hAnsi="Arial" w:cs="Arial"/>
          <w:sz w:val="20"/>
          <w:szCs w:val="20"/>
        </w:rPr>
        <w:t xml:space="preserve"> show poor adaptation and would require improvement through breeding or genetic modification for better submergence tolerance</w:t>
      </w:r>
      <w:r w:rsidRPr="007547E2">
        <w:rPr>
          <w:rFonts w:ascii="Times New Roman" w:eastAsia="Times New Roman" w:hAnsi="Times New Roman" w:cs="Times New Roman"/>
          <w:sz w:val="24"/>
          <w:szCs w:val="24"/>
        </w:rPr>
        <w:t>.</w:t>
      </w:r>
    </w:p>
    <w:p w14:paraId="612B3FD8" w14:textId="28BB2524" w:rsidR="00F54F47" w:rsidRPr="00F54F47" w:rsidRDefault="00DB75DB" w:rsidP="00F54F47">
      <w:pPr>
        <w:jc w:val="both"/>
        <w:rPr>
          <w:rFonts w:ascii="Times New Roman" w:eastAsia="Times New Roman" w:hAnsi="Times New Roman" w:cs="Times New Roman"/>
          <w:b/>
          <w:bCs/>
          <w:sz w:val="24"/>
          <w:szCs w:val="24"/>
        </w:rPr>
      </w:pPr>
      <w:bookmarkStart w:id="1" w:name="_Hlk186547158"/>
      <w:r w:rsidRPr="00DB75DB">
        <w:rPr>
          <w:rFonts w:ascii="Arial" w:eastAsia="Times New Roman" w:hAnsi="Arial" w:cs="Arial"/>
          <w:sz w:val="20"/>
          <w:szCs w:val="20"/>
        </w:rPr>
        <w:t> </w:t>
      </w:r>
      <w:r w:rsidR="00B23D18" w:rsidRPr="007B3E4F">
        <w:rPr>
          <w:rFonts w:ascii="Times New Roman" w:eastAsia="Times New Roman" w:hAnsi="Times New Roman" w:cs="Times New Roman"/>
          <w:b/>
          <w:bCs/>
          <w:sz w:val="24"/>
          <w:szCs w:val="24"/>
        </w:rPr>
        <w:t>References</w:t>
      </w:r>
    </w:p>
    <w:p w14:paraId="533D24D3" w14:textId="77777777" w:rsidR="00F54F47" w:rsidRPr="00F54F47" w:rsidRDefault="00F54F47" w:rsidP="00F54F47">
      <w:pPr>
        <w:jc w:val="both"/>
        <w:rPr>
          <w:rFonts w:ascii="Arial" w:eastAsia="Times New Roman" w:hAnsi="Arial" w:cs="Arial"/>
          <w:sz w:val="20"/>
          <w:szCs w:val="20"/>
        </w:rPr>
      </w:pPr>
      <w:r w:rsidRPr="00F54F47">
        <w:rPr>
          <w:rFonts w:ascii="Arial" w:eastAsia="Times New Roman" w:hAnsi="Arial" w:cs="Arial"/>
          <w:sz w:val="20"/>
          <w:szCs w:val="20"/>
        </w:rPr>
        <w:t xml:space="preserve">AfricaRice. (2020). </w:t>
      </w:r>
      <w:r w:rsidRPr="00F54F47">
        <w:rPr>
          <w:rFonts w:ascii="Arial" w:eastAsia="Times New Roman" w:hAnsi="Arial" w:cs="Arial"/>
          <w:i/>
          <w:iCs/>
          <w:sz w:val="20"/>
          <w:szCs w:val="20"/>
        </w:rPr>
        <w:t>AfricaRice annual report 2020</w:t>
      </w:r>
      <w:r w:rsidRPr="00F54F47">
        <w:rPr>
          <w:rFonts w:ascii="Arial" w:eastAsia="Times New Roman" w:hAnsi="Arial" w:cs="Arial"/>
          <w:sz w:val="20"/>
          <w:szCs w:val="20"/>
        </w:rPr>
        <w:t>. Africa Rice Center (AfricaRice).</w:t>
      </w:r>
    </w:p>
    <w:p w14:paraId="6BBA86F2" w14:textId="77777777" w:rsidR="00F54F47" w:rsidRPr="00F54F47" w:rsidRDefault="00F54F47" w:rsidP="00F54F47">
      <w:pPr>
        <w:jc w:val="both"/>
        <w:rPr>
          <w:rFonts w:ascii="Arial" w:eastAsia="Times New Roman" w:hAnsi="Arial" w:cs="Arial"/>
          <w:sz w:val="20"/>
          <w:szCs w:val="20"/>
        </w:rPr>
      </w:pPr>
      <w:r w:rsidRPr="00F54F47">
        <w:rPr>
          <w:rFonts w:ascii="Arial" w:eastAsia="Times New Roman" w:hAnsi="Arial" w:cs="Arial"/>
          <w:sz w:val="20"/>
          <w:szCs w:val="20"/>
        </w:rPr>
        <w:t xml:space="preserve">Bailey-Serres, J., &amp; Voesenek, L. A. C. J. (2008). Flooding stress: Acclimations and genetic diversity. </w:t>
      </w:r>
      <w:r w:rsidRPr="00F54F47">
        <w:rPr>
          <w:rFonts w:ascii="Arial" w:eastAsia="Times New Roman" w:hAnsi="Arial" w:cs="Arial"/>
          <w:i/>
          <w:iCs/>
          <w:sz w:val="20"/>
          <w:szCs w:val="20"/>
        </w:rPr>
        <w:t>Annual Review of Plant Biology, 59</w:t>
      </w:r>
      <w:r w:rsidRPr="00F54F47">
        <w:rPr>
          <w:rFonts w:ascii="Arial" w:eastAsia="Times New Roman" w:hAnsi="Arial" w:cs="Arial"/>
          <w:sz w:val="20"/>
          <w:szCs w:val="20"/>
        </w:rPr>
        <w:t>, 313–339.</w:t>
      </w:r>
    </w:p>
    <w:p w14:paraId="6DD7D903" w14:textId="77777777" w:rsidR="00F54F47" w:rsidRPr="00F54F47" w:rsidRDefault="00F54F47" w:rsidP="00F54F47">
      <w:pPr>
        <w:jc w:val="both"/>
        <w:rPr>
          <w:rFonts w:ascii="Arial" w:eastAsia="Times New Roman" w:hAnsi="Arial" w:cs="Arial"/>
          <w:sz w:val="20"/>
          <w:szCs w:val="20"/>
        </w:rPr>
      </w:pPr>
      <w:r w:rsidRPr="00F54F47">
        <w:rPr>
          <w:rFonts w:ascii="Arial" w:eastAsia="Times New Roman" w:hAnsi="Arial" w:cs="Arial"/>
          <w:sz w:val="20"/>
          <w:szCs w:val="20"/>
        </w:rPr>
        <w:t xml:space="preserve">Ella, E. S., Ismail, A. M., &amp; Vergara, G. V. (2003). Effects of submergence stress on survival and growth of contrasting rice genotypes. </w:t>
      </w:r>
      <w:r w:rsidRPr="00F54F47">
        <w:rPr>
          <w:rFonts w:ascii="Arial" w:eastAsia="Times New Roman" w:hAnsi="Arial" w:cs="Arial"/>
          <w:i/>
          <w:iCs/>
          <w:sz w:val="20"/>
          <w:szCs w:val="20"/>
        </w:rPr>
        <w:t>Crop Science, 43</w:t>
      </w:r>
      <w:r w:rsidRPr="00F54F47">
        <w:rPr>
          <w:rFonts w:ascii="Arial" w:eastAsia="Times New Roman" w:hAnsi="Arial" w:cs="Arial"/>
          <w:sz w:val="20"/>
          <w:szCs w:val="20"/>
        </w:rPr>
        <w:t>(3), 817–826.</w:t>
      </w:r>
    </w:p>
    <w:p w14:paraId="0CAD45E6" w14:textId="77777777" w:rsidR="00F54F47" w:rsidRPr="00F54F47" w:rsidRDefault="00F54F47" w:rsidP="00F54F47">
      <w:pPr>
        <w:jc w:val="both"/>
        <w:rPr>
          <w:rFonts w:ascii="Arial" w:eastAsia="Times New Roman" w:hAnsi="Arial" w:cs="Arial"/>
          <w:sz w:val="20"/>
          <w:szCs w:val="20"/>
        </w:rPr>
      </w:pPr>
      <w:r w:rsidRPr="00F54F47">
        <w:rPr>
          <w:rFonts w:ascii="Arial" w:eastAsia="Times New Roman" w:hAnsi="Arial" w:cs="Arial"/>
          <w:sz w:val="20"/>
          <w:szCs w:val="20"/>
        </w:rPr>
        <w:lastRenderedPageBreak/>
        <w:t xml:space="preserve">Fukao, T., &amp; Bailey-Serres, J. (2008). Submergence tolerance conferred by Sub1A is mediated by multiple stress-response pathways. </w:t>
      </w:r>
      <w:r w:rsidRPr="00F54F47">
        <w:rPr>
          <w:rFonts w:ascii="Arial" w:eastAsia="Times New Roman" w:hAnsi="Arial" w:cs="Arial"/>
          <w:i/>
          <w:iCs/>
          <w:sz w:val="20"/>
          <w:szCs w:val="20"/>
        </w:rPr>
        <w:t>Plant Physiology, 148</w:t>
      </w:r>
      <w:r w:rsidRPr="00F54F47">
        <w:rPr>
          <w:rFonts w:ascii="Arial" w:eastAsia="Times New Roman" w:hAnsi="Arial" w:cs="Arial"/>
          <w:sz w:val="20"/>
          <w:szCs w:val="20"/>
        </w:rPr>
        <w:t>(1), 384–394.</w:t>
      </w:r>
    </w:p>
    <w:p w14:paraId="6E5F3B21" w14:textId="77777777" w:rsidR="00F54F47" w:rsidRPr="00F54F47" w:rsidRDefault="00F54F47" w:rsidP="00F54F47">
      <w:pPr>
        <w:jc w:val="both"/>
        <w:rPr>
          <w:rFonts w:ascii="Arial" w:eastAsia="Times New Roman" w:hAnsi="Arial" w:cs="Arial"/>
          <w:sz w:val="20"/>
          <w:szCs w:val="20"/>
        </w:rPr>
      </w:pPr>
      <w:r w:rsidRPr="00F54F47">
        <w:rPr>
          <w:rFonts w:ascii="Arial" w:eastAsia="Times New Roman" w:hAnsi="Arial" w:cs="Arial"/>
          <w:sz w:val="20"/>
          <w:szCs w:val="20"/>
        </w:rPr>
        <w:t xml:space="preserve">Iftekharuddaula, K. M., Ahmed, H. U., Ghosal, S., Amin, A., &amp; Ali, M. S. (2011). Introgression of Sub1 QTL into BR11 rice variety for submergence tolerance. </w:t>
      </w:r>
      <w:r w:rsidRPr="00F54F47">
        <w:rPr>
          <w:rFonts w:ascii="Arial" w:eastAsia="Times New Roman" w:hAnsi="Arial" w:cs="Arial"/>
          <w:i/>
          <w:iCs/>
          <w:sz w:val="20"/>
          <w:szCs w:val="20"/>
        </w:rPr>
        <w:t>Bangladesh Rice Journal, 16</w:t>
      </w:r>
      <w:r w:rsidRPr="00F54F47">
        <w:rPr>
          <w:rFonts w:ascii="Arial" w:eastAsia="Times New Roman" w:hAnsi="Arial" w:cs="Arial"/>
          <w:sz w:val="20"/>
          <w:szCs w:val="20"/>
        </w:rPr>
        <w:t>(1), 9–14.</w:t>
      </w:r>
    </w:p>
    <w:p w14:paraId="566C5221" w14:textId="77777777" w:rsidR="00F54F47" w:rsidRPr="00F54F47" w:rsidRDefault="00F54F47" w:rsidP="00F54F47">
      <w:pPr>
        <w:jc w:val="both"/>
        <w:rPr>
          <w:rFonts w:ascii="Arial" w:eastAsia="Times New Roman" w:hAnsi="Arial" w:cs="Arial"/>
          <w:sz w:val="20"/>
          <w:szCs w:val="20"/>
        </w:rPr>
      </w:pPr>
      <w:r w:rsidRPr="00F54F47">
        <w:rPr>
          <w:rFonts w:ascii="Arial" w:eastAsia="Times New Roman" w:hAnsi="Arial" w:cs="Arial"/>
          <w:sz w:val="20"/>
          <w:szCs w:val="20"/>
        </w:rPr>
        <w:t xml:space="preserve">Ismail, A. M., Singh, U. S., Singh, S., Dar, M. H., &amp; Mackill, D. J. (2013). The contribution of submergence-tolerant (Sub1) rice varieties to food security in flood-prone rainfed lowland areas in Asia. </w:t>
      </w:r>
      <w:r w:rsidRPr="00F54F47">
        <w:rPr>
          <w:rFonts w:ascii="Arial" w:eastAsia="Times New Roman" w:hAnsi="Arial" w:cs="Arial"/>
          <w:i/>
          <w:iCs/>
          <w:sz w:val="20"/>
          <w:szCs w:val="20"/>
        </w:rPr>
        <w:t>Field Crops Research, 152</w:t>
      </w:r>
      <w:r w:rsidRPr="00F54F47">
        <w:rPr>
          <w:rFonts w:ascii="Arial" w:eastAsia="Times New Roman" w:hAnsi="Arial" w:cs="Arial"/>
          <w:sz w:val="20"/>
          <w:szCs w:val="20"/>
        </w:rPr>
        <w:t xml:space="preserve">, 83–93. </w:t>
      </w:r>
      <w:hyperlink r:id="rId8" w:history="1">
        <w:r w:rsidRPr="00F54F47">
          <w:rPr>
            <w:rStyle w:val="Hyperlink"/>
            <w:rFonts w:ascii="Arial" w:eastAsia="Times New Roman" w:hAnsi="Arial" w:cs="Arial"/>
            <w:sz w:val="20"/>
            <w:szCs w:val="20"/>
          </w:rPr>
          <w:t>https://doi.org/10.1016/j.fcr.2013.01.007</w:t>
        </w:r>
      </w:hyperlink>
    </w:p>
    <w:p w14:paraId="1497A09F" w14:textId="77777777" w:rsidR="00F54F47" w:rsidRPr="00F54F47" w:rsidRDefault="00F54F47" w:rsidP="00F54F47">
      <w:pPr>
        <w:jc w:val="both"/>
        <w:rPr>
          <w:rFonts w:ascii="Arial" w:eastAsia="Times New Roman" w:hAnsi="Arial" w:cs="Arial"/>
          <w:sz w:val="20"/>
          <w:szCs w:val="20"/>
        </w:rPr>
      </w:pPr>
      <w:r w:rsidRPr="00F54F47">
        <w:rPr>
          <w:rFonts w:ascii="Arial" w:eastAsia="Times New Roman" w:hAnsi="Arial" w:cs="Arial"/>
          <w:sz w:val="20"/>
          <w:szCs w:val="20"/>
        </w:rPr>
        <w:t>Ja’afar, U., Aliero, A. A., Shehu, K., &amp; Abubakar, L. (2018). Identification and analysis of salt-responsive candidate gene based on SSRs from tomato (</w:t>
      </w:r>
      <w:r w:rsidRPr="00F54F47">
        <w:rPr>
          <w:rFonts w:ascii="Arial" w:eastAsia="Times New Roman" w:hAnsi="Arial" w:cs="Arial"/>
          <w:i/>
          <w:iCs/>
          <w:sz w:val="20"/>
          <w:szCs w:val="20"/>
        </w:rPr>
        <w:t>Solanum lycopersicum</w:t>
      </w:r>
      <w:r w:rsidRPr="00F54F47">
        <w:rPr>
          <w:rFonts w:ascii="Arial" w:eastAsia="Times New Roman" w:hAnsi="Arial" w:cs="Arial"/>
          <w:sz w:val="20"/>
          <w:szCs w:val="20"/>
        </w:rPr>
        <w:t xml:space="preserve"> L.). </w:t>
      </w:r>
      <w:r w:rsidRPr="00F54F47">
        <w:rPr>
          <w:rFonts w:ascii="Arial" w:eastAsia="Times New Roman" w:hAnsi="Arial" w:cs="Arial"/>
          <w:i/>
          <w:iCs/>
          <w:sz w:val="20"/>
          <w:szCs w:val="20"/>
        </w:rPr>
        <w:t>International Journal of Cell Science and Molecular Biology, 5</w:t>
      </w:r>
      <w:r w:rsidRPr="00F54F47">
        <w:rPr>
          <w:rFonts w:ascii="Arial" w:eastAsia="Times New Roman" w:hAnsi="Arial" w:cs="Arial"/>
          <w:sz w:val="20"/>
          <w:szCs w:val="20"/>
        </w:rPr>
        <w:t xml:space="preserve">(1), 1–7. </w:t>
      </w:r>
      <w:hyperlink r:id="rId9" w:history="1">
        <w:r w:rsidRPr="00F54F47">
          <w:rPr>
            <w:rStyle w:val="Hyperlink"/>
            <w:rFonts w:ascii="Arial" w:eastAsia="Times New Roman" w:hAnsi="Arial" w:cs="Arial"/>
            <w:sz w:val="20"/>
            <w:szCs w:val="20"/>
          </w:rPr>
          <w:t>https://doi.org/10.19080/IJCSMB.2018.05.555653</w:t>
        </w:r>
      </w:hyperlink>
    </w:p>
    <w:p w14:paraId="17F9A511" w14:textId="77777777" w:rsidR="00F54F47" w:rsidRPr="00F54F47" w:rsidRDefault="00F54F47" w:rsidP="00F54F47">
      <w:pPr>
        <w:jc w:val="both"/>
        <w:rPr>
          <w:rFonts w:ascii="Arial" w:eastAsia="Times New Roman" w:hAnsi="Arial" w:cs="Arial"/>
          <w:sz w:val="20"/>
          <w:szCs w:val="20"/>
        </w:rPr>
      </w:pPr>
      <w:r w:rsidRPr="00F54F47">
        <w:rPr>
          <w:rFonts w:ascii="Arial" w:eastAsia="Times New Roman" w:hAnsi="Arial" w:cs="Arial"/>
          <w:sz w:val="20"/>
          <w:szCs w:val="20"/>
        </w:rPr>
        <w:t>Ja’afar, U., Lawal, A. G., Salisu, N., Danjumma, J. K., Obadiah, C. D., Umar, M., &amp; Mustapha, H. M. (2024). Influence of different temperatures on germination of sweet wormwood (</w:t>
      </w:r>
      <w:r w:rsidRPr="00F54F47">
        <w:rPr>
          <w:rFonts w:ascii="Arial" w:eastAsia="Times New Roman" w:hAnsi="Arial" w:cs="Arial"/>
          <w:i/>
          <w:iCs/>
          <w:sz w:val="20"/>
          <w:szCs w:val="20"/>
        </w:rPr>
        <w:t>Artemisia annua</w:t>
      </w:r>
      <w:r w:rsidRPr="00F54F47">
        <w:rPr>
          <w:rFonts w:ascii="Arial" w:eastAsia="Times New Roman" w:hAnsi="Arial" w:cs="Arial"/>
          <w:sz w:val="20"/>
          <w:szCs w:val="20"/>
        </w:rPr>
        <w:t xml:space="preserve"> L.). </w:t>
      </w:r>
      <w:r w:rsidRPr="00F54F47">
        <w:rPr>
          <w:rFonts w:ascii="Arial" w:eastAsia="Times New Roman" w:hAnsi="Arial" w:cs="Arial"/>
          <w:i/>
          <w:iCs/>
          <w:sz w:val="20"/>
          <w:szCs w:val="20"/>
        </w:rPr>
        <w:t>Bulletins of Natural and Applied Science, 1</w:t>
      </w:r>
      <w:r w:rsidRPr="00F54F47">
        <w:rPr>
          <w:rFonts w:ascii="Arial" w:eastAsia="Times New Roman" w:hAnsi="Arial" w:cs="Arial"/>
          <w:sz w:val="20"/>
          <w:szCs w:val="20"/>
        </w:rPr>
        <w:t xml:space="preserve">(3), 67–74. </w:t>
      </w:r>
      <w:hyperlink r:id="rId10" w:history="1">
        <w:r w:rsidRPr="00F54F47">
          <w:rPr>
            <w:rStyle w:val="Hyperlink"/>
            <w:rFonts w:ascii="Arial" w:eastAsia="Times New Roman" w:hAnsi="Arial" w:cs="Arial"/>
            <w:sz w:val="20"/>
            <w:szCs w:val="20"/>
          </w:rPr>
          <w:t>https://doi.org/10.5281/zenodo.14576198</w:t>
        </w:r>
      </w:hyperlink>
    </w:p>
    <w:p w14:paraId="5F3E4495" w14:textId="77777777" w:rsidR="00F54F47" w:rsidRPr="00F54F47" w:rsidRDefault="00F54F47" w:rsidP="00F54F47">
      <w:pPr>
        <w:jc w:val="both"/>
        <w:rPr>
          <w:rFonts w:ascii="Arial" w:eastAsia="Times New Roman" w:hAnsi="Arial" w:cs="Arial"/>
          <w:sz w:val="20"/>
          <w:szCs w:val="20"/>
        </w:rPr>
      </w:pPr>
      <w:r w:rsidRPr="00F54F47">
        <w:rPr>
          <w:rFonts w:ascii="Arial" w:eastAsia="Times New Roman" w:hAnsi="Arial" w:cs="Arial"/>
          <w:sz w:val="20"/>
          <w:szCs w:val="20"/>
        </w:rPr>
        <w:t xml:space="preserve">Ja’afar, U., Shehu, K., Aliero, A. A., Gumi, M. A., &amp; Koko, J. D. (2024). Evaluation of selected rice cultivars' phenotypic traits and chlorophyll content under sub-mergence stress. </w:t>
      </w:r>
      <w:r w:rsidRPr="00F54F47">
        <w:rPr>
          <w:rFonts w:ascii="Arial" w:eastAsia="Times New Roman" w:hAnsi="Arial" w:cs="Arial"/>
          <w:i/>
          <w:iCs/>
          <w:sz w:val="20"/>
          <w:szCs w:val="20"/>
        </w:rPr>
        <w:t>Dutse Journal of Pure and Applied Sciences (DUJOPAS), 10</w:t>
      </w:r>
      <w:r w:rsidRPr="00F54F47">
        <w:rPr>
          <w:rFonts w:ascii="Arial" w:eastAsia="Times New Roman" w:hAnsi="Arial" w:cs="Arial"/>
          <w:sz w:val="20"/>
          <w:szCs w:val="20"/>
        </w:rPr>
        <w:t>, 235–244.</w:t>
      </w:r>
    </w:p>
    <w:p w14:paraId="72D9E5F0" w14:textId="77777777" w:rsidR="00F54F47" w:rsidRPr="00F54F47" w:rsidRDefault="00F54F47" w:rsidP="00F54F47">
      <w:pPr>
        <w:jc w:val="both"/>
        <w:rPr>
          <w:rFonts w:ascii="Arial" w:eastAsia="Times New Roman" w:hAnsi="Arial" w:cs="Arial"/>
          <w:sz w:val="20"/>
          <w:szCs w:val="20"/>
        </w:rPr>
      </w:pPr>
      <w:r w:rsidRPr="00F54F47">
        <w:rPr>
          <w:rFonts w:ascii="Arial" w:eastAsia="Times New Roman" w:hAnsi="Arial" w:cs="Arial"/>
          <w:sz w:val="20"/>
          <w:szCs w:val="20"/>
        </w:rPr>
        <w:t xml:space="preserve">Kawano, N., Ito, O., &amp; Sakagami, J. (2009). Morphological and physiological responses of rice seedlings to complete submergence (flash flooding). </w:t>
      </w:r>
      <w:r w:rsidRPr="00F54F47">
        <w:rPr>
          <w:rFonts w:ascii="Arial" w:eastAsia="Times New Roman" w:hAnsi="Arial" w:cs="Arial"/>
          <w:i/>
          <w:iCs/>
          <w:sz w:val="20"/>
          <w:szCs w:val="20"/>
        </w:rPr>
        <w:t>Annals of Botany, 103</w:t>
      </w:r>
      <w:r w:rsidRPr="00F54F47">
        <w:rPr>
          <w:rFonts w:ascii="Arial" w:eastAsia="Times New Roman" w:hAnsi="Arial" w:cs="Arial"/>
          <w:sz w:val="20"/>
          <w:szCs w:val="20"/>
        </w:rPr>
        <w:t>(2), 161–169.</w:t>
      </w:r>
    </w:p>
    <w:p w14:paraId="2C5711EA" w14:textId="77777777" w:rsidR="00F54F47" w:rsidRPr="00F54F47" w:rsidRDefault="00F54F47" w:rsidP="00F54F47">
      <w:pPr>
        <w:jc w:val="both"/>
        <w:rPr>
          <w:rFonts w:ascii="Arial" w:eastAsia="Times New Roman" w:hAnsi="Arial" w:cs="Arial"/>
          <w:sz w:val="20"/>
          <w:szCs w:val="20"/>
        </w:rPr>
      </w:pPr>
      <w:r w:rsidRPr="00F54F47">
        <w:rPr>
          <w:rFonts w:ascii="Arial" w:eastAsia="Times New Roman" w:hAnsi="Arial" w:cs="Arial"/>
          <w:sz w:val="20"/>
          <w:szCs w:val="20"/>
        </w:rPr>
        <w:t xml:space="preserve">National Bureau of Statistics (NBS). (2019). </w:t>
      </w:r>
      <w:r w:rsidRPr="00F54F47">
        <w:rPr>
          <w:rFonts w:ascii="Arial" w:eastAsia="Times New Roman" w:hAnsi="Arial" w:cs="Arial"/>
          <w:i/>
          <w:iCs/>
          <w:sz w:val="20"/>
          <w:szCs w:val="20"/>
        </w:rPr>
        <w:t>Agricultural performance survey report of 2018 wet season in Nigeria</w:t>
      </w:r>
      <w:r w:rsidRPr="00F54F47">
        <w:rPr>
          <w:rFonts w:ascii="Arial" w:eastAsia="Times New Roman" w:hAnsi="Arial" w:cs="Arial"/>
          <w:sz w:val="20"/>
          <w:szCs w:val="20"/>
        </w:rPr>
        <w:t>. NBS Publications.</w:t>
      </w:r>
    </w:p>
    <w:p w14:paraId="2356FCE0" w14:textId="77777777" w:rsidR="00F54F47" w:rsidRPr="00F54F47" w:rsidRDefault="00F54F47" w:rsidP="00F54F47">
      <w:pPr>
        <w:jc w:val="both"/>
        <w:rPr>
          <w:rFonts w:ascii="Arial" w:eastAsia="Times New Roman" w:hAnsi="Arial" w:cs="Arial"/>
          <w:sz w:val="20"/>
          <w:szCs w:val="20"/>
        </w:rPr>
      </w:pPr>
      <w:r w:rsidRPr="00F54F47">
        <w:rPr>
          <w:rFonts w:ascii="Arial" w:eastAsia="Times New Roman" w:hAnsi="Arial" w:cs="Arial"/>
          <w:sz w:val="20"/>
          <w:szCs w:val="20"/>
        </w:rPr>
        <w:t xml:space="preserve">Nigerian Meteorological Agency (NIMET). (2018). </w:t>
      </w:r>
      <w:r w:rsidRPr="00F54F47">
        <w:rPr>
          <w:rFonts w:ascii="Arial" w:eastAsia="Times New Roman" w:hAnsi="Arial" w:cs="Arial"/>
          <w:i/>
          <w:iCs/>
          <w:sz w:val="20"/>
          <w:szCs w:val="20"/>
        </w:rPr>
        <w:t>Seasonal rainfall prediction and flood outlook for Nigeria</w:t>
      </w:r>
      <w:r w:rsidRPr="00F54F47">
        <w:rPr>
          <w:rFonts w:ascii="Arial" w:eastAsia="Times New Roman" w:hAnsi="Arial" w:cs="Arial"/>
          <w:sz w:val="20"/>
          <w:szCs w:val="20"/>
        </w:rPr>
        <w:t>. NIMET.</w:t>
      </w:r>
    </w:p>
    <w:p w14:paraId="5B2FE00F" w14:textId="77777777" w:rsidR="00F54F47" w:rsidRPr="00F54F47" w:rsidRDefault="00F54F47" w:rsidP="00F54F47">
      <w:pPr>
        <w:jc w:val="both"/>
        <w:rPr>
          <w:rFonts w:ascii="Arial" w:eastAsia="Times New Roman" w:hAnsi="Arial" w:cs="Arial"/>
          <w:sz w:val="20"/>
          <w:szCs w:val="20"/>
        </w:rPr>
      </w:pPr>
      <w:r w:rsidRPr="00F54F47">
        <w:rPr>
          <w:rFonts w:ascii="Arial" w:eastAsia="Times New Roman" w:hAnsi="Arial" w:cs="Arial"/>
          <w:sz w:val="20"/>
          <w:szCs w:val="20"/>
        </w:rPr>
        <w:t xml:space="preserve">Sarkar, R. K., &amp; Bhattacharjee, B. (2011). Rice genotypes with SUB1 QTL differ in submergence tolerance, elongation ability during submergence and re-generation growth at re-emergence. </w:t>
      </w:r>
      <w:r w:rsidRPr="00F54F47">
        <w:rPr>
          <w:rFonts w:ascii="Arial" w:eastAsia="Times New Roman" w:hAnsi="Arial" w:cs="Arial"/>
          <w:i/>
          <w:iCs/>
          <w:sz w:val="20"/>
          <w:szCs w:val="20"/>
        </w:rPr>
        <w:t>Rice Science, 18</w:t>
      </w:r>
      <w:r w:rsidRPr="00F54F47">
        <w:rPr>
          <w:rFonts w:ascii="Arial" w:eastAsia="Times New Roman" w:hAnsi="Arial" w:cs="Arial"/>
          <w:sz w:val="20"/>
          <w:szCs w:val="20"/>
        </w:rPr>
        <w:t xml:space="preserve">(2), 111–122. </w:t>
      </w:r>
      <w:hyperlink r:id="rId11" w:history="1">
        <w:r w:rsidRPr="00F54F47">
          <w:rPr>
            <w:rStyle w:val="Hyperlink"/>
            <w:rFonts w:ascii="Arial" w:eastAsia="Times New Roman" w:hAnsi="Arial" w:cs="Arial"/>
            <w:sz w:val="20"/>
            <w:szCs w:val="20"/>
          </w:rPr>
          <w:t>https://doi.org/10.1016/S1672-6308(11)60023-2</w:t>
        </w:r>
      </w:hyperlink>
    </w:p>
    <w:p w14:paraId="56B3929D" w14:textId="77777777" w:rsidR="00F54F47" w:rsidRPr="00F54F47" w:rsidRDefault="00F54F47" w:rsidP="00F54F47">
      <w:pPr>
        <w:jc w:val="both"/>
        <w:rPr>
          <w:rFonts w:ascii="Arial" w:eastAsia="Times New Roman" w:hAnsi="Arial" w:cs="Arial"/>
          <w:sz w:val="20"/>
          <w:szCs w:val="20"/>
        </w:rPr>
      </w:pPr>
      <w:r w:rsidRPr="00F54F47">
        <w:rPr>
          <w:rFonts w:ascii="Arial" w:eastAsia="Times New Roman" w:hAnsi="Arial" w:cs="Arial"/>
          <w:sz w:val="20"/>
          <w:szCs w:val="20"/>
        </w:rPr>
        <w:t xml:space="preserve">Septiningsih, E. M. (2011). Rapid and reliable method for screening submergence tolerance in rice. </w:t>
      </w:r>
      <w:r w:rsidRPr="00F54F47">
        <w:rPr>
          <w:rFonts w:ascii="Arial" w:eastAsia="Times New Roman" w:hAnsi="Arial" w:cs="Arial"/>
          <w:i/>
          <w:iCs/>
          <w:sz w:val="20"/>
          <w:szCs w:val="20"/>
        </w:rPr>
        <w:t>SABRAO Journal of Breeding and Genetics, 43</w:t>
      </w:r>
      <w:r w:rsidRPr="00F54F47">
        <w:rPr>
          <w:rFonts w:ascii="Arial" w:eastAsia="Times New Roman" w:hAnsi="Arial" w:cs="Arial"/>
          <w:sz w:val="20"/>
          <w:szCs w:val="20"/>
        </w:rPr>
        <w:t>(1), 79–88.</w:t>
      </w:r>
    </w:p>
    <w:p w14:paraId="420C71D8" w14:textId="77777777" w:rsidR="00F54F47" w:rsidRPr="00F54F47" w:rsidRDefault="00F54F47" w:rsidP="00F54F47">
      <w:pPr>
        <w:jc w:val="both"/>
        <w:rPr>
          <w:rFonts w:ascii="Arial" w:eastAsia="Times New Roman" w:hAnsi="Arial" w:cs="Arial"/>
          <w:sz w:val="20"/>
          <w:szCs w:val="20"/>
        </w:rPr>
      </w:pPr>
      <w:r w:rsidRPr="00F54F47">
        <w:rPr>
          <w:rFonts w:ascii="Arial" w:eastAsia="Times New Roman" w:hAnsi="Arial" w:cs="Arial"/>
          <w:sz w:val="20"/>
          <w:szCs w:val="20"/>
        </w:rPr>
        <w:t xml:space="preserve">Septiningsih, E. M., Pamplona, A. M., Sanchez, D. L., Neeraja, C. N., Vergara, G. V., Heuer, S., &amp; Ismail, A. M. (2009). Development of submergence-tolerant rice cultivars: The </w:t>
      </w:r>
      <w:r w:rsidRPr="00F54F47">
        <w:rPr>
          <w:rFonts w:ascii="Arial" w:eastAsia="Times New Roman" w:hAnsi="Arial" w:cs="Arial"/>
          <w:i/>
          <w:iCs/>
          <w:sz w:val="20"/>
          <w:szCs w:val="20"/>
        </w:rPr>
        <w:t>Sub1</w:t>
      </w:r>
      <w:r w:rsidRPr="00F54F47">
        <w:rPr>
          <w:rFonts w:ascii="Arial" w:eastAsia="Times New Roman" w:hAnsi="Arial" w:cs="Arial"/>
          <w:sz w:val="20"/>
          <w:szCs w:val="20"/>
        </w:rPr>
        <w:t xml:space="preserve"> locus and beyond. </w:t>
      </w:r>
      <w:r w:rsidRPr="00F54F47">
        <w:rPr>
          <w:rFonts w:ascii="Arial" w:eastAsia="Times New Roman" w:hAnsi="Arial" w:cs="Arial"/>
          <w:i/>
          <w:iCs/>
          <w:sz w:val="20"/>
          <w:szCs w:val="20"/>
        </w:rPr>
        <w:t>Annals of Botany, 103</w:t>
      </w:r>
      <w:r w:rsidRPr="00F54F47">
        <w:rPr>
          <w:rFonts w:ascii="Arial" w:eastAsia="Times New Roman" w:hAnsi="Arial" w:cs="Arial"/>
          <w:sz w:val="20"/>
          <w:szCs w:val="20"/>
        </w:rPr>
        <w:t>(2), 151–160.</w:t>
      </w:r>
    </w:p>
    <w:p w14:paraId="72783904" w14:textId="77777777" w:rsidR="00F54F47" w:rsidRPr="00F54F47" w:rsidRDefault="00F54F47" w:rsidP="00F54F47">
      <w:pPr>
        <w:jc w:val="both"/>
        <w:rPr>
          <w:rFonts w:ascii="Arial" w:eastAsia="Times New Roman" w:hAnsi="Arial" w:cs="Arial"/>
          <w:sz w:val="20"/>
          <w:szCs w:val="20"/>
        </w:rPr>
      </w:pPr>
      <w:r w:rsidRPr="00F54F47">
        <w:rPr>
          <w:rFonts w:ascii="Arial" w:eastAsia="Times New Roman" w:hAnsi="Arial" w:cs="Arial"/>
          <w:sz w:val="20"/>
          <w:szCs w:val="20"/>
        </w:rPr>
        <w:t xml:space="preserve">Singh, S., Mackill, D. J., &amp; Ismail, A. M. (2009). Tolerance of longer-term partial stagnant flooding is independent of the SUB1 locus in rice. </w:t>
      </w:r>
      <w:r w:rsidRPr="00F54F47">
        <w:rPr>
          <w:rFonts w:ascii="Arial" w:eastAsia="Times New Roman" w:hAnsi="Arial" w:cs="Arial"/>
          <w:i/>
          <w:iCs/>
          <w:sz w:val="20"/>
          <w:szCs w:val="20"/>
        </w:rPr>
        <w:t>Field Crops Research, 116</w:t>
      </w:r>
      <w:r w:rsidRPr="00F54F47">
        <w:rPr>
          <w:rFonts w:ascii="Arial" w:eastAsia="Times New Roman" w:hAnsi="Arial" w:cs="Arial"/>
          <w:sz w:val="20"/>
          <w:szCs w:val="20"/>
        </w:rPr>
        <w:t>(1–2), 177–184.</w:t>
      </w:r>
    </w:p>
    <w:p w14:paraId="09304E96" w14:textId="77777777" w:rsidR="00F54F47" w:rsidRPr="00F54F47" w:rsidRDefault="00F54F47" w:rsidP="00F54F47">
      <w:pPr>
        <w:jc w:val="both"/>
        <w:rPr>
          <w:rFonts w:ascii="Arial" w:eastAsia="Times New Roman" w:hAnsi="Arial" w:cs="Arial"/>
          <w:sz w:val="20"/>
          <w:szCs w:val="20"/>
        </w:rPr>
      </w:pPr>
      <w:r w:rsidRPr="00F54F47">
        <w:rPr>
          <w:rFonts w:ascii="Arial" w:eastAsia="Times New Roman" w:hAnsi="Arial" w:cs="Arial"/>
          <w:sz w:val="20"/>
          <w:szCs w:val="20"/>
        </w:rPr>
        <w:t xml:space="preserve">Singh, S., Mackill, D. J., &amp; Ismail, A. M. (2010). Tolerance of longer-term partial stagnant flooding is independent of the SUB1 locus in rice. </w:t>
      </w:r>
      <w:r w:rsidRPr="00F54F47">
        <w:rPr>
          <w:rFonts w:ascii="Arial" w:eastAsia="Times New Roman" w:hAnsi="Arial" w:cs="Arial"/>
          <w:i/>
          <w:iCs/>
          <w:sz w:val="20"/>
          <w:szCs w:val="20"/>
        </w:rPr>
        <w:t>Field Crops Research, 116</w:t>
      </w:r>
      <w:r w:rsidRPr="00F54F47">
        <w:rPr>
          <w:rFonts w:ascii="Arial" w:eastAsia="Times New Roman" w:hAnsi="Arial" w:cs="Arial"/>
          <w:sz w:val="20"/>
          <w:szCs w:val="20"/>
        </w:rPr>
        <w:t>(1–2), 177–184.</w:t>
      </w:r>
    </w:p>
    <w:p w14:paraId="1D4374FC" w14:textId="77777777" w:rsidR="00F54F47" w:rsidRPr="00F54F47" w:rsidRDefault="00F54F47" w:rsidP="00F54F47">
      <w:pPr>
        <w:jc w:val="both"/>
        <w:rPr>
          <w:rFonts w:ascii="Arial" w:eastAsia="Times New Roman" w:hAnsi="Arial" w:cs="Arial"/>
          <w:sz w:val="20"/>
          <w:szCs w:val="20"/>
        </w:rPr>
      </w:pPr>
      <w:r w:rsidRPr="00F54F47">
        <w:rPr>
          <w:rFonts w:ascii="Arial" w:eastAsia="Times New Roman" w:hAnsi="Arial" w:cs="Arial"/>
          <w:sz w:val="20"/>
          <w:szCs w:val="20"/>
        </w:rPr>
        <w:t xml:space="preserve">Xu, K., Xu, X., Fukao, T., Canlas, P., Maghirang-Rodriguez, R., Heuer, S., ... &amp; Mackill, D. J. (2006). </w:t>
      </w:r>
      <w:r w:rsidRPr="00F54F47">
        <w:rPr>
          <w:rFonts w:ascii="Arial" w:eastAsia="Times New Roman" w:hAnsi="Arial" w:cs="Arial"/>
          <w:i/>
          <w:iCs/>
          <w:sz w:val="20"/>
          <w:szCs w:val="20"/>
        </w:rPr>
        <w:t xml:space="preserve">Sub1A </w:t>
      </w:r>
      <w:r w:rsidRPr="00F54F47">
        <w:rPr>
          <w:rFonts w:ascii="Arial" w:eastAsia="Times New Roman" w:hAnsi="Arial" w:cs="Arial"/>
          <w:sz w:val="20"/>
          <w:szCs w:val="20"/>
        </w:rPr>
        <w:t xml:space="preserve">is an ethylene-response-factor-like gene that confers submergence tolerance to rice. </w:t>
      </w:r>
      <w:r w:rsidRPr="00F54F47">
        <w:rPr>
          <w:rFonts w:ascii="Arial" w:eastAsia="Times New Roman" w:hAnsi="Arial" w:cs="Arial"/>
          <w:i/>
          <w:iCs/>
          <w:sz w:val="20"/>
          <w:szCs w:val="20"/>
        </w:rPr>
        <w:t>Nature, 442</w:t>
      </w:r>
      <w:r w:rsidRPr="00F54F47">
        <w:rPr>
          <w:rFonts w:ascii="Arial" w:eastAsia="Times New Roman" w:hAnsi="Arial" w:cs="Arial"/>
          <w:sz w:val="20"/>
          <w:szCs w:val="20"/>
        </w:rPr>
        <w:t>(7103), 705–708.</w:t>
      </w:r>
    </w:p>
    <w:bookmarkEnd w:id="1"/>
    <w:p w14:paraId="76DBA750" w14:textId="77777777" w:rsidR="00B23D18" w:rsidRPr="00F96A37" w:rsidRDefault="00B23D18" w:rsidP="00F96A37"/>
    <w:sectPr w:rsidR="00B23D18" w:rsidRPr="00F96A37" w:rsidSect="0062386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0BBA4" w14:textId="77777777" w:rsidR="00365D32" w:rsidRDefault="00365D32" w:rsidP="00051ADA">
      <w:pPr>
        <w:spacing w:after="0" w:line="240" w:lineRule="auto"/>
      </w:pPr>
      <w:r>
        <w:separator/>
      </w:r>
    </w:p>
  </w:endnote>
  <w:endnote w:type="continuationSeparator" w:id="0">
    <w:p w14:paraId="215D1D29" w14:textId="77777777" w:rsidR="00365D32" w:rsidRDefault="00365D32" w:rsidP="0005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E77C8" w14:textId="77777777" w:rsidR="007700CE" w:rsidRDefault="00770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175395"/>
      <w:docPartObj>
        <w:docPartGallery w:val="Page Numbers (Bottom of Page)"/>
        <w:docPartUnique/>
      </w:docPartObj>
    </w:sdtPr>
    <w:sdtEndPr>
      <w:rPr>
        <w:noProof/>
      </w:rPr>
    </w:sdtEndPr>
    <w:sdtContent>
      <w:p w14:paraId="708F5801" w14:textId="31D0CAEE" w:rsidR="00D057AD" w:rsidRDefault="00D057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CE58B8" w14:textId="657C672F" w:rsidR="00051ADA" w:rsidRDefault="00051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3B715" w14:textId="77777777" w:rsidR="007700CE" w:rsidRDefault="00770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F1D49" w14:textId="77777777" w:rsidR="00365D32" w:rsidRDefault="00365D32" w:rsidP="00051ADA">
      <w:pPr>
        <w:spacing w:after="0" w:line="240" w:lineRule="auto"/>
      </w:pPr>
      <w:r>
        <w:separator/>
      </w:r>
    </w:p>
  </w:footnote>
  <w:footnote w:type="continuationSeparator" w:id="0">
    <w:p w14:paraId="7C26D5B1" w14:textId="77777777" w:rsidR="00365D32" w:rsidRDefault="00365D32" w:rsidP="00051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40FE4" w14:textId="30633588" w:rsidR="007700CE" w:rsidRDefault="007700CE">
    <w:pPr>
      <w:pStyle w:val="Header"/>
    </w:pPr>
    <w:r>
      <w:rPr>
        <w:noProof/>
      </w:rPr>
      <w:pict w14:anchorId="7AAF4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797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70FD8" w14:textId="4C899E58" w:rsidR="007700CE" w:rsidRDefault="007700CE">
    <w:pPr>
      <w:pStyle w:val="Header"/>
    </w:pPr>
    <w:r>
      <w:rPr>
        <w:noProof/>
      </w:rPr>
      <w:pict w14:anchorId="14BA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797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092CE" w14:textId="72A68CFA" w:rsidR="007700CE" w:rsidRDefault="007700CE">
    <w:pPr>
      <w:pStyle w:val="Header"/>
    </w:pPr>
    <w:r>
      <w:rPr>
        <w:noProof/>
      </w:rPr>
      <w:pict w14:anchorId="1ACE2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797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0CB"/>
    <w:multiLevelType w:val="multilevel"/>
    <w:tmpl w:val="82C0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336CF"/>
    <w:multiLevelType w:val="multilevel"/>
    <w:tmpl w:val="E35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66DB0"/>
    <w:multiLevelType w:val="multilevel"/>
    <w:tmpl w:val="A0A6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94B1E"/>
    <w:multiLevelType w:val="multilevel"/>
    <w:tmpl w:val="E3C0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40C05"/>
    <w:multiLevelType w:val="multilevel"/>
    <w:tmpl w:val="7592F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93C99"/>
    <w:multiLevelType w:val="multilevel"/>
    <w:tmpl w:val="18BC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DC0604"/>
    <w:multiLevelType w:val="multilevel"/>
    <w:tmpl w:val="DC9C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B5517"/>
    <w:multiLevelType w:val="multilevel"/>
    <w:tmpl w:val="347E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E2D25"/>
    <w:multiLevelType w:val="multilevel"/>
    <w:tmpl w:val="46B2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65B99"/>
    <w:multiLevelType w:val="multilevel"/>
    <w:tmpl w:val="A0F8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C50A1"/>
    <w:multiLevelType w:val="multilevel"/>
    <w:tmpl w:val="0446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8B5EC0"/>
    <w:multiLevelType w:val="multilevel"/>
    <w:tmpl w:val="8A42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542F8"/>
    <w:multiLevelType w:val="multilevel"/>
    <w:tmpl w:val="BC8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192753"/>
    <w:multiLevelType w:val="multilevel"/>
    <w:tmpl w:val="CB0E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355B1"/>
    <w:multiLevelType w:val="multilevel"/>
    <w:tmpl w:val="6F7E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8402AD"/>
    <w:multiLevelType w:val="multilevel"/>
    <w:tmpl w:val="BF32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793214"/>
    <w:multiLevelType w:val="multilevel"/>
    <w:tmpl w:val="E8D2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335EFA"/>
    <w:multiLevelType w:val="multilevel"/>
    <w:tmpl w:val="D46A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D0624E"/>
    <w:multiLevelType w:val="multilevel"/>
    <w:tmpl w:val="23FE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F15879"/>
    <w:multiLevelType w:val="multilevel"/>
    <w:tmpl w:val="AF74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A6C8D"/>
    <w:multiLevelType w:val="multilevel"/>
    <w:tmpl w:val="32B0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D142DF"/>
    <w:multiLevelType w:val="multilevel"/>
    <w:tmpl w:val="5984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61349A"/>
    <w:multiLevelType w:val="multilevel"/>
    <w:tmpl w:val="8E4E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9E5956"/>
    <w:multiLevelType w:val="multilevel"/>
    <w:tmpl w:val="24E6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5D558D"/>
    <w:multiLevelType w:val="multilevel"/>
    <w:tmpl w:val="B59C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491AAE"/>
    <w:multiLevelType w:val="multilevel"/>
    <w:tmpl w:val="6410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674AB7"/>
    <w:multiLevelType w:val="multilevel"/>
    <w:tmpl w:val="13B6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9D75D6"/>
    <w:multiLevelType w:val="multilevel"/>
    <w:tmpl w:val="EC96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EB4E87"/>
    <w:multiLevelType w:val="multilevel"/>
    <w:tmpl w:val="CFFC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563590"/>
    <w:multiLevelType w:val="multilevel"/>
    <w:tmpl w:val="39CE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B51A59"/>
    <w:multiLevelType w:val="multilevel"/>
    <w:tmpl w:val="F104AA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A4060FE"/>
    <w:multiLevelType w:val="multilevel"/>
    <w:tmpl w:val="5F6E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2B41E0"/>
    <w:multiLevelType w:val="multilevel"/>
    <w:tmpl w:val="D824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3E1B22"/>
    <w:multiLevelType w:val="multilevel"/>
    <w:tmpl w:val="4F68B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D3295A"/>
    <w:multiLevelType w:val="multilevel"/>
    <w:tmpl w:val="4A62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7A40DE"/>
    <w:multiLevelType w:val="hybridMultilevel"/>
    <w:tmpl w:val="F800AE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8E54404"/>
    <w:multiLevelType w:val="multilevel"/>
    <w:tmpl w:val="3A78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195197"/>
    <w:multiLevelType w:val="multilevel"/>
    <w:tmpl w:val="9E62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496063"/>
    <w:multiLevelType w:val="multilevel"/>
    <w:tmpl w:val="0EBC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4D2694"/>
    <w:multiLevelType w:val="multilevel"/>
    <w:tmpl w:val="88D8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024B5F"/>
    <w:multiLevelType w:val="multilevel"/>
    <w:tmpl w:val="6226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2"/>
  </w:num>
  <w:num w:numId="3">
    <w:abstractNumId w:val="7"/>
  </w:num>
  <w:num w:numId="4">
    <w:abstractNumId w:val="19"/>
  </w:num>
  <w:num w:numId="5">
    <w:abstractNumId w:val="17"/>
  </w:num>
  <w:num w:numId="6">
    <w:abstractNumId w:val="16"/>
  </w:num>
  <w:num w:numId="7">
    <w:abstractNumId w:val="12"/>
  </w:num>
  <w:num w:numId="8">
    <w:abstractNumId w:val="34"/>
  </w:num>
  <w:num w:numId="9">
    <w:abstractNumId w:val="21"/>
  </w:num>
  <w:num w:numId="10">
    <w:abstractNumId w:val="37"/>
  </w:num>
  <w:num w:numId="11">
    <w:abstractNumId w:val="36"/>
  </w:num>
  <w:num w:numId="12">
    <w:abstractNumId w:val="6"/>
  </w:num>
  <w:num w:numId="13">
    <w:abstractNumId w:val="2"/>
  </w:num>
  <w:num w:numId="14">
    <w:abstractNumId w:val="10"/>
  </w:num>
  <w:num w:numId="15">
    <w:abstractNumId w:val="18"/>
  </w:num>
  <w:num w:numId="16">
    <w:abstractNumId w:val="23"/>
  </w:num>
  <w:num w:numId="17">
    <w:abstractNumId w:val="3"/>
  </w:num>
  <w:num w:numId="18">
    <w:abstractNumId w:val="15"/>
  </w:num>
  <w:num w:numId="19">
    <w:abstractNumId w:val="13"/>
  </w:num>
  <w:num w:numId="20">
    <w:abstractNumId w:val="39"/>
  </w:num>
  <w:num w:numId="21">
    <w:abstractNumId w:val="4"/>
  </w:num>
  <w:num w:numId="22">
    <w:abstractNumId w:val="1"/>
  </w:num>
  <w:num w:numId="23">
    <w:abstractNumId w:val="27"/>
  </w:num>
  <w:num w:numId="24">
    <w:abstractNumId w:val="9"/>
  </w:num>
  <w:num w:numId="25">
    <w:abstractNumId w:val="20"/>
  </w:num>
  <w:num w:numId="26">
    <w:abstractNumId w:val="40"/>
  </w:num>
  <w:num w:numId="27">
    <w:abstractNumId w:val="31"/>
  </w:num>
  <w:num w:numId="28">
    <w:abstractNumId w:val="33"/>
  </w:num>
  <w:num w:numId="29">
    <w:abstractNumId w:val="28"/>
  </w:num>
  <w:num w:numId="30">
    <w:abstractNumId w:val="32"/>
  </w:num>
  <w:num w:numId="31">
    <w:abstractNumId w:val="26"/>
  </w:num>
  <w:num w:numId="32">
    <w:abstractNumId w:val="25"/>
  </w:num>
  <w:num w:numId="33">
    <w:abstractNumId w:val="0"/>
  </w:num>
  <w:num w:numId="34">
    <w:abstractNumId w:val="29"/>
  </w:num>
  <w:num w:numId="35">
    <w:abstractNumId w:val="11"/>
  </w:num>
  <w:num w:numId="36">
    <w:abstractNumId w:val="14"/>
  </w:num>
  <w:num w:numId="37">
    <w:abstractNumId w:val="8"/>
  </w:num>
  <w:num w:numId="38">
    <w:abstractNumId w:val="24"/>
  </w:num>
  <w:num w:numId="39">
    <w:abstractNumId w:val="35"/>
  </w:num>
  <w:num w:numId="40">
    <w:abstractNumId w:val="30"/>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18"/>
    <w:rsid w:val="000231B2"/>
    <w:rsid w:val="000278BA"/>
    <w:rsid w:val="00051ADA"/>
    <w:rsid w:val="0008504E"/>
    <w:rsid w:val="000B4EDF"/>
    <w:rsid w:val="000C3006"/>
    <w:rsid w:val="000E3D7E"/>
    <w:rsid w:val="000F2DA5"/>
    <w:rsid w:val="00135144"/>
    <w:rsid w:val="00137CAD"/>
    <w:rsid w:val="00144B10"/>
    <w:rsid w:val="00146652"/>
    <w:rsid w:val="00146F8B"/>
    <w:rsid w:val="0015221E"/>
    <w:rsid w:val="001828EB"/>
    <w:rsid w:val="0019507A"/>
    <w:rsid w:val="001A2A49"/>
    <w:rsid w:val="001D0B13"/>
    <w:rsid w:val="001E6D1C"/>
    <w:rsid w:val="00203872"/>
    <w:rsid w:val="00205BB6"/>
    <w:rsid w:val="0023472C"/>
    <w:rsid w:val="00326D88"/>
    <w:rsid w:val="00365D32"/>
    <w:rsid w:val="00383BE3"/>
    <w:rsid w:val="0039264C"/>
    <w:rsid w:val="003932C2"/>
    <w:rsid w:val="003B00C1"/>
    <w:rsid w:val="0042603B"/>
    <w:rsid w:val="00447C81"/>
    <w:rsid w:val="00470F3B"/>
    <w:rsid w:val="004C4A20"/>
    <w:rsid w:val="004D2934"/>
    <w:rsid w:val="004D3821"/>
    <w:rsid w:val="004D67C5"/>
    <w:rsid w:val="00532694"/>
    <w:rsid w:val="00570E2E"/>
    <w:rsid w:val="00573474"/>
    <w:rsid w:val="00595676"/>
    <w:rsid w:val="005C0C18"/>
    <w:rsid w:val="005E3B2B"/>
    <w:rsid w:val="005E5EF6"/>
    <w:rsid w:val="00616AF4"/>
    <w:rsid w:val="00623867"/>
    <w:rsid w:val="00694546"/>
    <w:rsid w:val="007547E2"/>
    <w:rsid w:val="007700CE"/>
    <w:rsid w:val="00772483"/>
    <w:rsid w:val="0078031C"/>
    <w:rsid w:val="00793325"/>
    <w:rsid w:val="007A1A50"/>
    <w:rsid w:val="007D00B0"/>
    <w:rsid w:val="00826BD0"/>
    <w:rsid w:val="00847648"/>
    <w:rsid w:val="00847FD8"/>
    <w:rsid w:val="00851959"/>
    <w:rsid w:val="00855AFF"/>
    <w:rsid w:val="00890B48"/>
    <w:rsid w:val="008B41A6"/>
    <w:rsid w:val="008E0051"/>
    <w:rsid w:val="008F5D26"/>
    <w:rsid w:val="00901121"/>
    <w:rsid w:val="00936E0C"/>
    <w:rsid w:val="00961CAE"/>
    <w:rsid w:val="0098058B"/>
    <w:rsid w:val="009858F0"/>
    <w:rsid w:val="00991D31"/>
    <w:rsid w:val="009E4BDE"/>
    <w:rsid w:val="00A6398E"/>
    <w:rsid w:val="00AD31BB"/>
    <w:rsid w:val="00B164A7"/>
    <w:rsid w:val="00B23D18"/>
    <w:rsid w:val="00B60873"/>
    <w:rsid w:val="00B72EDE"/>
    <w:rsid w:val="00B9619F"/>
    <w:rsid w:val="00BE33F3"/>
    <w:rsid w:val="00BE5201"/>
    <w:rsid w:val="00C01FD5"/>
    <w:rsid w:val="00C04FB6"/>
    <w:rsid w:val="00C146CD"/>
    <w:rsid w:val="00C2358F"/>
    <w:rsid w:val="00C45F10"/>
    <w:rsid w:val="00CA0C7E"/>
    <w:rsid w:val="00CE4FE3"/>
    <w:rsid w:val="00D057AD"/>
    <w:rsid w:val="00D06360"/>
    <w:rsid w:val="00D21ADE"/>
    <w:rsid w:val="00D350AB"/>
    <w:rsid w:val="00D71C8E"/>
    <w:rsid w:val="00DB75DB"/>
    <w:rsid w:val="00DD7E84"/>
    <w:rsid w:val="00DF0CA5"/>
    <w:rsid w:val="00DF2352"/>
    <w:rsid w:val="00E2747F"/>
    <w:rsid w:val="00E6163B"/>
    <w:rsid w:val="00E6653B"/>
    <w:rsid w:val="00F54F47"/>
    <w:rsid w:val="00F96A37"/>
    <w:rsid w:val="00FA063A"/>
    <w:rsid w:val="00FA4865"/>
    <w:rsid w:val="00FD7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D69166"/>
  <w15:chartTrackingRefBased/>
  <w15:docId w15:val="{B28803BE-00BC-4C26-BDCB-9E7B7C22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D18"/>
    <w:pPr>
      <w:spacing w:line="259" w:lineRule="auto"/>
    </w:pPr>
    <w:rPr>
      <w:sz w:val="22"/>
      <w:szCs w:val="22"/>
    </w:rPr>
  </w:style>
  <w:style w:type="paragraph" w:styleId="Heading1">
    <w:name w:val="heading 1"/>
    <w:basedOn w:val="Normal"/>
    <w:next w:val="Normal"/>
    <w:link w:val="Heading1Char"/>
    <w:uiPriority w:val="9"/>
    <w:qFormat/>
    <w:rsid w:val="00B23D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3D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3D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3D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3D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3D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D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D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D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D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3D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3D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3D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3D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3D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D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D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D18"/>
    <w:rPr>
      <w:rFonts w:eastAsiaTheme="majorEastAsia" w:cstheme="majorBidi"/>
      <w:color w:val="272727" w:themeColor="text1" w:themeTint="D8"/>
    </w:rPr>
  </w:style>
  <w:style w:type="paragraph" w:styleId="Title">
    <w:name w:val="Title"/>
    <w:basedOn w:val="Normal"/>
    <w:next w:val="Normal"/>
    <w:link w:val="TitleChar"/>
    <w:uiPriority w:val="10"/>
    <w:qFormat/>
    <w:rsid w:val="00B23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D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D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D18"/>
    <w:pPr>
      <w:spacing w:before="160"/>
      <w:jc w:val="center"/>
    </w:pPr>
    <w:rPr>
      <w:i/>
      <w:iCs/>
      <w:color w:val="404040" w:themeColor="text1" w:themeTint="BF"/>
    </w:rPr>
  </w:style>
  <w:style w:type="character" w:customStyle="1" w:styleId="QuoteChar">
    <w:name w:val="Quote Char"/>
    <w:basedOn w:val="DefaultParagraphFont"/>
    <w:link w:val="Quote"/>
    <w:uiPriority w:val="29"/>
    <w:rsid w:val="00B23D18"/>
    <w:rPr>
      <w:i/>
      <w:iCs/>
      <w:color w:val="404040" w:themeColor="text1" w:themeTint="BF"/>
    </w:rPr>
  </w:style>
  <w:style w:type="paragraph" w:styleId="ListParagraph">
    <w:name w:val="List Paragraph"/>
    <w:basedOn w:val="Normal"/>
    <w:uiPriority w:val="34"/>
    <w:qFormat/>
    <w:rsid w:val="00B23D18"/>
    <w:pPr>
      <w:ind w:left="720"/>
      <w:contextualSpacing/>
    </w:pPr>
  </w:style>
  <w:style w:type="character" w:styleId="IntenseEmphasis">
    <w:name w:val="Intense Emphasis"/>
    <w:basedOn w:val="DefaultParagraphFont"/>
    <w:uiPriority w:val="21"/>
    <w:qFormat/>
    <w:rsid w:val="00B23D18"/>
    <w:rPr>
      <w:i/>
      <w:iCs/>
      <w:color w:val="2F5496" w:themeColor="accent1" w:themeShade="BF"/>
    </w:rPr>
  </w:style>
  <w:style w:type="paragraph" w:styleId="IntenseQuote">
    <w:name w:val="Intense Quote"/>
    <w:basedOn w:val="Normal"/>
    <w:next w:val="Normal"/>
    <w:link w:val="IntenseQuoteChar"/>
    <w:uiPriority w:val="30"/>
    <w:qFormat/>
    <w:rsid w:val="00B23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3D18"/>
    <w:rPr>
      <w:i/>
      <w:iCs/>
      <w:color w:val="2F5496" w:themeColor="accent1" w:themeShade="BF"/>
    </w:rPr>
  </w:style>
  <w:style w:type="character" w:styleId="IntenseReference">
    <w:name w:val="Intense Reference"/>
    <w:basedOn w:val="DefaultParagraphFont"/>
    <w:uiPriority w:val="32"/>
    <w:qFormat/>
    <w:rsid w:val="00B23D18"/>
    <w:rPr>
      <w:b/>
      <w:bCs/>
      <w:smallCaps/>
      <w:color w:val="2F5496" w:themeColor="accent1" w:themeShade="BF"/>
      <w:spacing w:val="5"/>
    </w:rPr>
  </w:style>
  <w:style w:type="table" w:styleId="TableGrid">
    <w:name w:val="Table Grid"/>
    <w:basedOn w:val="TableNormal"/>
    <w:uiPriority w:val="59"/>
    <w:rsid w:val="00B23D18"/>
    <w:pPr>
      <w:spacing w:after="0" w:line="240" w:lineRule="auto"/>
    </w:pPr>
    <w:rPr>
      <w:kern w:val="0"/>
      <w:sz w:val="22"/>
      <w:szCs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23D18"/>
    <w:rPr>
      <w:color w:val="0563C1" w:themeColor="hyperlink"/>
      <w:u w:val="single"/>
    </w:rPr>
  </w:style>
  <w:style w:type="paragraph" w:styleId="NormalWeb">
    <w:name w:val="Normal (Web)"/>
    <w:basedOn w:val="Normal"/>
    <w:uiPriority w:val="99"/>
    <w:semiHidden/>
    <w:unhideWhenUsed/>
    <w:rsid w:val="00BE520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51ADA"/>
    <w:rPr>
      <w:color w:val="605E5C"/>
      <w:shd w:val="clear" w:color="auto" w:fill="E1DFDD"/>
    </w:rPr>
  </w:style>
  <w:style w:type="paragraph" w:styleId="Header">
    <w:name w:val="header"/>
    <w:basedOn w:val="Normal"/>
    <w:link w:val="HeaderChar"/>
    <w:uiPriority w:val="99"/>
    <w:unhideWhenUsed/>
    <w:rsid w:val="00051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ADA"/>
    <w:rPr>
      <w:sz w:val="22"/>
      <w:szCs w:val="22"/>
    </w:rPr>
  </w:style>
  <w:style w:type="paragraph" w:styleId="Footer">
    <w:name w:val="footer"/>
    <w:basedOn w:val="Normal"/>
    <w:link w:val="FooterChar"/>
    <w:uiPriority w:val="99"/>
    <w:unhideWhenUsed/>
    <w:rsid w:val="00051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ADA"/>
    <w:rPr>
      <w:sz w:val="22"/>
      <w:szCs w:val="22"/>
    </w:rPr>
  </w:style>
  <w:style w:type="character" w:styleId="LineNumber">
    <w:name w:val="line number"/>
    <w:basedOn w:val="DefaultParagraphFont"/>
    <w:uiPriority w:val="99"/>
    <w:semiHidden/>
    <w:unhideWhenUsed/>
    <w:rsid w:val="004D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965767">
      <w:bodyDiv w:val="1"/>
      <w:marLeft w:val="0"/>
      <w:marRight w:val="0"/>
      <w:marTop w:val="0"/>
      <w:marBottom w:val="0"/>
      <w:divBdr>
        <w:top w:val="none" w:sz="0" w:space="0" w:color="auto"/>
        <w:left w:val="none" w:sz="0" w:space="0" w:color="auto"/>
        <w:bottom w:val="none" w:sz="0" w:space="0" w:color="auto"/>
        <w:right w:val="none" w:sz="0" w:space="0" w:color="auto"/>
      </w:divBdr>
      <w:divsChild>
        <w:div w:id="802042436">
          <w:marLeft w:val="0"/>
          <w:marRight w:val="0"/>
          <w:marTop w:val="0"/>
          <w:marBottom w:val="0"/>
          <w:divBdr>
            <w:top w:val="none" w:sz="0" w:space="0" w:color="auto"/>
            <w:left w:val="none" w:sz="0" w:space="0" w:color="auto"/>
            <w:bottom w:val="none" w:sz="0" w:space="0" w:color="auto"/>
            <w:right w:val="none" w:sz="0" w:space="0" w:color="auto"/>
          </w:divBdr>
          <w:divsChild>
            <w:div w:id="539170161">
              <w:marLeft w:val="0"/>
              <w:marRight w:val="0"/>
              <w:marTop w:val="0"/>
              <w:marBottom w:val="0"/>
              <w:divBdr>
                <w:top w:val="none" w:sz="0" w:space="0" w:color="auto"/>
                <w:left w:val="none" w:sz="0" w:space="0" w:color="auto"/>
                <w:bottom w:val="none" w:sz="0" w:space="0" w:color="auto"/>
                <w:right w:val="none" w:sz="0" w:space="0" w:color="auto"/>
              </w:divBdr>
              <w:divsChild>
                <w:div w:id="37125940">
                  <w:marLeft w:val="0"/>
                  <w:marRight w:val="0"/>
                  <w:marTop w:val="0"/>
                  <w:marBottom w:val="0"/>
                  <w:divBdr>
                    <w:top w:val="none" w:sz="0" w:space="0" w:color="auto"/>
                    <w:left w:val="none" w:sz="0" w:space="0" w:color="auto"/>
                    <w:bottom w:val="none" w:sz="0" w:space="0" w:color="auto"/>
                    <w:right w:val="none" w:sz="0" w:space="0" w:color="auto"/>
                  </w:divBdr>
                  <w:divsChild>
                    <w:div w:id="1406147689">
                      <w:marLeft w:val="-315"/>
                      <w:marRight w:val="0"/>
                      <w:marTop w:val="90"/>
                      <w:marBottom w:val="0"/>
                      <w:divBdr>
                        <w:top w:val="none" w:sz="0" w:space="0" w:color="auto"/>
                        <w:left w:val="single" w:sz="6" w:space="0" w:color="DADCE0"/>
                        <w:bottom w:val="none" w:sz="0" w:space="0" w:color="auto"/>
                        <w:right w:val="none" w:sz="0" w:space="0" w:color="auto"/>
                      </w:divBdr>
                      <w:divsChild>
                        <w:div w:id="1108232976">
                          <w:marLeft w:val="0"/>
                          <w:marRight w:val="0"/>
                          <w:marTop w:val="0"/>
                          <w:marBottom w:val="0"/>
                          <w:divBdr>
                            <w:top w:val="none" w:sz="0" w:space="0" w:color="auto"/>
                            <w:left w:val="none" w:sz="0" w:space="0" w:color="auto"/>
                            <w:bottom w:val="none" w:sz="0" w:space="0" w:color="auto"/>
                            <w:right w:val="none" w:sz="0" w:space="0" w:color="auto"/>
                          </w:divBdr>
                          <w:divsChild>
                            <w:div w:id="844831541">
                              <w:marLeft w:val="0"/>
                              <w:marRight w:val="0"/>
                              <w:marTop w:val="0"/>
                              <w:marBottom w:val="0"/>
                              <w:divBdr>
                                <w:top w:val="none" w:sz="0" w:space="0" w:color="auto"/>
                                <w:left w:val="none" w:sz="0" w:space="0" w:color="auto"/>
                                <w:bottom w:val="none" w:sz="0" w:space="0" w:color="auto"/>
                                <w:right w:val="none" w:sz="0" w:space="0" w:color="auto"/>
                              </w:divBdr>
                              <w:divsChild>
                                <w:div w:id="62878009">
                                  <w:marLeft w:val="0"/>
                                  <w:marRight w:val="0"/>
                                  <w:marTop w:val="0"/>
                                  <w:marBottom w:val="0"/>
                                  <w:divBdr>
                                    <w:top w:val="none" w:sz="0" w:space="0" w:color="auto"/>
                                    <w:left w:val="none" w:sz="0" w:space="0" w:color="auto"/>
                                    <w:bottom w:val="none" w:sz="0" w:space="0" w:color="auto"/>
                                    <w:right w:val="none" w:sz="0" w:space="0" w:color="auto"/>
                                  </w:divBdr>
                                  <w:divsChild>
                                    <w:div w:id="90787852">
                                      <w:marLeft w:val="0"/>
                                      <w:marRight w:val="0"/>
                                      <w:marTop w:val="0"/>
                                      <w:marBottom w:val="0"/>
                                      <w:divBdr>
                                        <w:top w:val="none" w:sz="0" w:space="0" w:color="auto"/>
                                        <w:left w:val="none" w:sz="0" w:space="0" w:color="auto"/>
                                        <w:bottom w:val="none" w:sz="0" w:space="0" w:color="auto"/>
                                        <w:right w:val="none" w:sz="0" w:space="0" w:color="auto"/>
                                      </w:divBdr>
                                      <w:divsChild>
                                        <w:div w:id="1709451884">
                                          <w:marLeft w:val="0"/>
                                          <w:marRight w:val="0"/>
                                          <w:marTop w:val="0"/>
                                          <w:marBottom w:val="0"/>
                                          <w:divBdr>
                                            <w:top w:val="none" w:sz="0" w:space="0" w:color="auto"/>
                                            <w:left w:val="none" w:sz="0" w:space="0" w:color="auto"/>
                                            <w:bottom w:val="none" w:sz="0" w:space="0" w:color="auto"/>
                                            <w:right w:val="none" w:sz="0" w:space="0" w:color="auto"/>
                                          </w:divBdr>
                                          <w:divsChild>
                                            <w:div w:id="1091773999">
                                              <w:marLeft w:val="0"/>
                                              <w:marRight w:val="0"/>
                                              <w:marTop w:val="0"/>
                                              <w:marBottom w:val="0"/>
                                              <w:divBdr>
                                                <w:top w:val="none" w:sz="0" w:space="0" w:color="auto"/>
                                                <w:left w:val="none" w:sz="0" w:space="0" w:color="auto"/>
                                                <w:bottom w:val="none" w:sz="0" w:space="0" w:color="auto"/>
                                                <w:right w:val="none" w:sz="0" w:space="0" w:color="auto"/>
                                              </w:divBdr>
                                              <w:divsChild>
                                                <w:div w:id="6452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295552">
          <w:marLeft w:val="0"/>
          <w:marRight w:val="0"/>
          <w:marTop w:val="0"/>
          <w:marBottom w:val="0"/>
          <w:divBdr>
            <w:top w:val="none" w:sz="0" w:space="0" w:color="auto"/>
            <w:left w:val="none" w:sz="0" w:space="0" w:color="auto"/>
            <w:bottom w:val="none" w:sz="0" w:space="0" w:color="auto"/>
            <w:right w:val="none" w:sz="0" w:space="0" w:color="auto"/>
          </w:divBdr>
          <w:divsChild>
            <w:div w:id="331301552">
              <w:marLeft w:val="0"/>
              <w:marRight w:val="0"/>
              <w:marTop w:val="90"/>
              <w:marBottom w:val="0"/>
              <w:divBdr>
                <w:top w:val="none" w:sz="0" w:space="0" w:color="auto"/>
                <w:left w:val="single" w:sz="6" w:space="15" w:color="DADCE0"/>
                <w:bottom w:val="none" w:sz="0" w:space="0" w:color="auto"/>
                <w:right w:val="none" w:sz="0" w:space="0" w:color="auto"/>
              </w:divBdr>
              <w:divsChild>
                <w:div w:id="983463651">
                  <w:marLeft w:val="0"/>
                  <w:marRight w:val="0"/>
                  <w:marTop w:val="0"/>
                  <w:marBottom w:val="0"/>
                  <w:divBdr>
                    <w:top w:val="none" w:sz="0" w:space="0" w:color="auto"/>
                    <w:left w:val="none" w:sz="0" w:space="0" w:color="auto"/>
                    <w:bottom w:val="none" w:sz="0" w:space="0" w:color="auto"/>
                    <w:right w:val="none" w:sz="0" w:space="0" w:color="auto"/>
                  </w:divBdr>
                  <w:divsChild>
                    <w:div w:id="215052067">
                      <w:marLeft w:val="0"/>
                      <w:marRight w:val="0"/>
                      <w:marTop w:val="0"/>
                      <w:marBottom w:val="0"/>
                      <w:divBdr>
                        <w:top w:val="none" w:sz="0" w:space="0" w:color="auto"/>
                        <w:left w:val="none" w:sz="0" w:space="0" w:color="auto"/>
                        <w:bottom w:val="none" w:sz="0" w:space="0" w:color="auto"/>
                        <w:right w:val="none" w:sz="0" w:space="0" w:color="auto"/>
                      </w:divBdr>
                      <w:divsChild>
                        <w:div w:id="1042824213">
                          <w:marLeft w:val="0"/>
                          <w:marRight w:val="0"/>
                          <w:marTop w:val="0"/>
                          <w:marBottom w:val="0"/>
                          <w:divBdr>
                            <w:top w:val="none" w:sz="0" w:space="0" w:color="auto"/>
                            <w:left w:val="none" w:sz="0" w:space="0" w:color="auto"/>
                            <w:bottom w:val="none" w:sz="0" w:space="0" w:color="auto"/>
                            <w:right w:val="none" w:sz="0" w:space="0" w:color="auto"/>
                          </w:divBdr>
                          <w:divsChild>
                            <w:div w:id="518079024">
                              <w:marLeft w:val="0"/>
                              <w:marRight w:val="0"/>
                              <w:marTop w:val="0"/>
                              <w:marBottom w:val="0"/>
                              <w:divBdr>
                                <w:top w:val="none" w:sz="0" w:space="0" w:color="auto"/>
                                <w:left w:val="none" w:sz="0" w:space="0" w:color="auto"/>
                                <w:bottom w:val="none" w:sz="0" w:space="0" w:color="auto"/>
                                <w:right w:val="none" w:sz="0" w:space="0" w:color="auto"/>
                              </w:divBdr>
                              <w:divsChild>
                                <w:div w:id="1003823761">
                                  <w:marLeft w:val="0"/>
                                  <w:marRight w:val="0"/>
                                  <w:marTop w:val="0"/>
                                  <w:marBottom w:val="0"/>
                                  <w:divBdr>
                                    <w:top w:val="none" w:sz="0" w:space="0" w:color="auto"/>
                                    <w:left w:val="none" w:sz="0" w:space="0" w:color="auto"/>
                                    <w:bottom w:val="none" w:sz="0" w:space="0" w:color="auto"/>
                                    <w:right w:val="none" w:sz="0" w:space="0" w:color="auto"/>
                                  </w:divBdr>
                                  <w:divsChild>
                                    <w:div w:id="62531431">
                                      <w:marLeft w:val="0"/>
                                      <w:marRight w:val="0"/>
                                      <w:marTop w:val="0"/>
                                      <w:marBottom w:val="0"/>
                                      <w:divBdr>
                                        <w:top w:val="none" w:sz="0" w:space="0" w:color="auto"/>
                                        <w:left w:val="none" w:sz="0" w:space="0" w:color="auto"/>
                                        <w:bottom w:val="none" w:sz="0" w:space="0" w:color="auto"/>
                                        <w:right w:val="none" w:sz="0" w:space="0" w:color="auto"/>
                                      </w:divBdr>
                                      <w:divsChild>
                                        <w:div w:id="1454984925">
                                          <w:marLeft w:val="0"/>
                                          <w:marRight w:val="0"/>
                                          <w:marTop w:val="0"/>
                                          <w:marBottom w:val="0"/>
                                          <w:divBdr>
                                            <w:top w:val="none" w:sz="0" w:space="0" w:color="auto"/>
                                            <w:left w:val="none" w:sz="0" w:space="0" w:color="auto"/>
                                            <w:bottom w:val="none" w:sz="0" w:space="0" w:color="auto"/>
                                            <w:right w:val="none" w:sz="0" w:space="0" w:color="auto"/>
                                          </w:divBdr>
                                          <w:divsChild>
                                            <w:div w:id="511917096">
                                              <w:marLeft w:val="0"/>
                                              <w:marRight w:val="0"/>
                                              <w:marTop w:val="0"/>
                                              <w:marBottom w:val="0"/>
                                              <w:divBdr>
                                                <w:top w:val="none" w:sz="0" w:space="0" w:color="auto"/>
                                                <w:left w:val="none" w:sz="0" w:space="0" w:color="auto"/>
                                                <w:bottom w:val="none" w:sz="0" w:space="0" w:color="auto"/>
                                                <w:right w:val="none" w:sz="0" w:space="0" w:color="auto"/>
                                              </w:divBdr>
                                              <w:divsChild>
                                                <w:div w:id="787940890">
                                                  <w:marLeft w:val="0"/>
                                                  <w:marRight w:val="0"/>
                                                  <w:marTop w:val="120"/>
                                                  <w:marBottom w:val="0"/>
                                                  <w:divBdr>
                                                    <w:top w:val="none" w:sz="0" w:space="0" w:color="auto"/>
                                                    <w:left w:val="none" w:sz="0" w:space="0" w:color="auto"/>
                                                    <w:bottom w:val="none" w:sz="0" w:space="0" w:color="auto"/>
                                                    <w:right w:val="none" w:sz="0" w:space="0" w:color="auto"/>
                                                  </w:divBdr>
                                                  <w:divsChild>
                                                    <w:div w:id="542599777">
                                                      <w:marLeft w:val="0"/>
                                                      <w:marRight w:val="0"/>
                                                      <w:marTop w:val="0"/>
                                                      <w:marBottom w:val="0"/>
                                                      <w:divBdr>
                                                        <w:top w:val="none" w:sz="0" w:space="0" w:color="auto"/>
                                                        <w:left w:val="none" w:sz="0" w:space="0" w:color="auto"/>
                                                        <w:bottom w:val="none" w:sz="0" w:space="0" w:color="auto"/>
                                                        <w:right w:val="none" w:sz="0" w:space="0" w:color="auto"/>
                                                      </w:divBdr>
                                                      <w:divsChild>
                                                        <w:div w:id="14268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067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fcr.2013.01.00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S1672-6308(11)60023-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5281/zenodo.1457619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9080/IJCSMB.2018.05.55565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8</Pages>
  <Words>3102</Words>
  <Characters>17683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Jafar</dc:creator>
  <cp:keywords/>
  <dc:description/>
  <cp:lastModifiedBy>SDI 1084</cp:lastModifiedBy>
  <cp:revision>48</cp:revision>
  <dcterms:created xsi:type="dcterms:W3CDTF">2025-07-14T16:14:00Z</dcterms:created>
  <dcterms:modified xsi:type="dcterms:W3CDTF">2025-07-19T09:37:00Z</dcterms:modified>
</cp:coreProperties>
</file>