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39D90" w14:textId="77777777" w:rsidR="00AE7900" w:rsidRDefault="00AE7900" w:rsidP="00007373">
      <w:pPr>
        <w:jc w:val="center"/>
        <w:rPr>
          <w:rFonts w:asciiTheme="majorBidi" w:eastAsiaTheme="majorEastAsia" w:hAnsiTheme="majorBidi" w:cstheme="majorBidi"/>
          <w:b/>
          <w:bCs/>
          <w:spacing w:val="5"/>
          <w:kern w:val="28"/>
          <w:sz w:val="28"/>
          <w:szCs w:val="28"/>
        </w:rPr>
      </w:pPr>
      <w:bookmarkStart w:id="0" w:name="_Hlk201921409"/>
      <w:r w:rsidRPr="00AE7900">
        <w:rPr>
          <w:rFonts w:asciiTheme="majorBidi" w:eastAsiaTheme="majorEastAsia" w:hAnsiTheme="majorBidi" w:cstheme="majorBidi"/>
          <w:b/>
          <w:bCs/>
          <w:spacing w:val="5"/>
          <w:kern w:val="28"/>
          <w:sz w:val="28"/>
          <w:szCs w:val="28"/>
        </w:rPr>
        <w:t xml:space="preserve">Original Research Article </w:t>
      </w:r>
    </w:p>
    <w:p w14:paraId="17FB3075" w14:textId="77777777" w:rsidR="00AE7900" w:rsidRDefault="00AE7900" w:rsidP="00007373">
      <w:pPr>
        <w:jc w:val="center"/>
        <w:rPr>
          <w:rFonts w:asciiTheme="majorBidi" w:eastAsiaTheme="majorEastAsia" w:hAnsiTheme="majorBidi" w:cstheme="majorBidi"/>
          <w:b/>
          <w:bCs/>
          <w:spacing w:val="5"/>
          <w:kern w:val="28"/>
          <w:sz w:val="28"/>
          <w:szCs w:val="28"/>
        </w:rPr>
      </w:pPr>
    </w:p>
    <w:p w14:paraId="05BFAD0E" w14:textId="3CBC1EED" w:rsidR="00007373" w:rsidRPr="00711CA9" w:rsidRDefault="00007373" w:rsidP="00007373">
      <w:pPr>
        <w:jc w:val="center"/>
        <w:rPr>
          <w:rFonts w:asciiTheme="majorBidi" w:eastAsiaTheme="majorEastAsia" w:hAnsiTheme="majorBidi" w:cstheme="majorBidi"/>
          <w:b/>
          <w:bCs/>
          <w:spacing w:val="5"/>
          <w:kern w:val="28"/>
          <w:sz w:val="28"/>
          <w:szCs w:val="28"/>
        </w:rPr>
      </w:pPr>
      <w:r w:rsidRPr="00711CA9">
        <w:rPr>
          <w:rFonts w:asciiTheme="majorBidi" w:eastAsiaTheme="majorEastAsia" w:hAnsiTheme="majorBidi" w:cstheme="majorBidi"/>
          <w:b/>
          <w:bCs/>
          <w:spacing w:val="5"/>
          <w:kern w:val="28"/>
          <w:sz w:val="28"/>
          <w:szCs w:val="28"/>
        </w:rPr>
        <w:t xml:space="preserve">The Correlation Between Antenatal Education History </w:t>
      </w:r>
      <w:proofErr w:type="gramStart"/>
      <w:r w:rsidRPr="00711CA9">
        <w:rPr>
          <w:rFonts w:asciiTheme="majorBidi" w:eastAsiaTheme="majorEastAsia" w:hAnsiTheme="majorBidi" w:cstheme="majorBidi"/>
          <w:b/>
          <w:bCs/>
          <w:spacing w:val="5"/>
          <w:kern w:val="28"/>
          <w:sz w:val="28"/>
          <w:szCs w:val="28"/>
        </w:rPr>
        <w:t>And</w:t>
      </w:r>
      <w:proofErr w:type="gramEnd"/>
      <w:r w:rsidRPr="00711CA9">
        <w:rPr>
          <w:rFonts w:asciiTheme="majorBidi" w:eastAsiaTheme="majorEastAsia" w:hAnsiTheme="majorBidi" w:cstheme="majorBidi"/>
          <w:b/>
          <w:bCs/>
          <w:spacing w:val="5"/>
          <w:kern w:val="28"/>
          <w:sz w:val="28"/>
          <w:szCs w:val="28"/>
        </w:rPr>
        <w:t xml:space="preserve"> Maternal Knowledge Level About Preeclampsia Danger Signs</w:t>
      </w:r>
      <w:r w:rsidR="00713C98">
        <w:rPr>
          <w:rFonts w:asciiTheme="majorBidi" w:eastAsiaTheme="majorEastAsia" w:hAnsiTheme="majorBidi" w:cstheme="majorBidi"/>
          <w:b/>
          <w:bCs/>
          <w:spacing w:val="5"/>
          <w:kern w:val="28"/>
          <w:sz w:val="28"/>
          <w:szCs w:val="28"/>
        </w:rPr>
        <w:t>:</w:t>
      </w:r>
      <w:r w:rsidR="00962AC1">
        <w:rPr>
          <w:rFonts w:asciiTheme="majorBidi" w:eastAsiaTheme="majorEastAsia" w:hAnsiTheme="majorBidi" w:cstheme="majorBidi"/>
          <w:b/>
          <w:bCs/>
          <w:spacing w:val="5"/>
          <w:kern w:val="28"/>
          <w:sz w:val="28"/>
          <w:szCs w:val="28"/>
        </w:rPr>
        <w:t xml:space="preserve"> </w:t>
      </w:r>
      <w:r w:rsidR="00962AC1" w:rsidRPr="00962AC1">
        <w:rPr>
          <w:rFonts w:asciiTheme="majorBidi" w:eastAsiaTheme="majorEastAsia" w:hAnsiTheme="majorBidi" w:cstheme="majorBidi"/>
          <w:b/>
          <w:bCs/>
          <w:spacing w:val="5"/>
          <w:kern w:val="28"/>
          <w:sz w:val="28"/>
          <w:szCs w:val="28"/>
        </w:rPr>
        <w:t>Cross-Sectional Study</w:t>
      </w:r>
    </w:p>
    <w:bookmarkEnd w:id="0"/>
    <w:p w14:paraId="255EA976" w14:textId="77777777"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36FA5238" w14:textId="77777777" w:rsidR="00007373" w:rsidRPr="00FB3A86" w:rsidRDefault="00007373" w:rsidP="00007373">
      <w:pPr>
        <w:pStyle w:val="Affiliation"/>
        <w:spacing w:after="0" w:line="240" w:lineRule="auto"/>
        <w:jc w:val="both"/>
        <w:rPr>
          <w:rFonts w:ascii="Arial" w:hAnsi="Arial" w:cs="Arial"/>
        </w:rPr>
      </w:pPr>
    </w:p>
    <w:p w14:paraId="39EF37D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7927"/>
      </w:tblGrid>
      <w:tr w:rsidR="00296529" w:rsidRPr="001E44FE" w14:paraId="2403DB65" w14:textId="77777777" w:rsidTr="001E44FE">
        <w:tc>
          <w:tcPr>
            <w:tcW w:w="9576" w:type="dxa"/>
            <w:shd w:val="clear" w:color="auto" w:fill="F2F2F2"/>
          </w:tcPr>
          <w:p w14:paraId="49EDE83E" w14:textId="744C9BB4" w:rsidR="009B7159" w:rsidRPr="009B7159" w:rsidRDefault="009B7159" w:rsidP="00007373">
            <w:pPr>
              <w:pStyle w:val="Body"/>
              <w:spacing w:after="0"/>
              <w:rPr>
                <w:rFonts w:ascii="Arial" w:eastAsia="Calibri" w:hAnsi="Arial" w:cs="Arial"/>
                <w:b/>
              </w:rPr>
            </w:pPr>
            <w:r w:rsidRPr="009B7159">
              <w:rPr>
                <w:rFonts w:ascii="Arial" w:eastAsia="Calibri" w:hAnsi="Arial" w:cs="Arial"/>
                <w:b/>
              </w:rPr>
              <w:t>ABSTRACT</w:t>
            </w:r>
          </w:p>
          <w:p w14:paraId="06DE7772" w14:textId="77777777" w:rsidR="009B7159" w:rsidRPr="009B7159" w:rsidRDefault="009B7159" w:rsidP="00007373">
            <w:pPr>
              <w:pStyle w:val="Body"/>
              <w:spacing w:after="0"/>
              <w:rPr>
                <w:rFonts w:ascii="Arial" w:eastAsia="Calibri" w:hAnsi="Arial" w:cs="Arial"/>
                <w:b/>
              </w:rPr>
            </w:pPr>
          </w:p>
          <w:p w14:paraId="7E1EE0E9" w14:textId="2CF1AB01" w:rsidR="00E3114E" w:rsidRPr="009B7159" w:rsidRDefault="009B7159" w:rsidP="00007373">
            <w:pPr>
              <w:pStyle w:val="Body"/>
              <w:spacing w:after="0"/>
              <w:rPr>
                <w:rFonts w:ascii="Arial" w:eastAsia="Calibri" w:hAnsi="Arial" w:cs="Arial"/>
                <w:b/>
              </w:rPr>
            </w:pPr>
            <w:proofErr w:type="gramStart"/>
            <w:r w:rsidRPr="009B7159">
              <w:rPr>
                <w:rFonts w:ascii="Arial" w:eastAsia="Calibri" w:hAnsi="Arial" w:cs="Arial"/>
                <w:b/>
              </w:rPr>
              <w:t>Introduction :</w:t>
            </w:r>
            <w:proofErr w:type="gramEnd"/>
            <w:r w:rsidRPr="009B7159">
              <w:rPr>
                <w:rFonts w:ascii="Arial" w:eastAsia="Calibri" w:hAnsi="Arial" w:cs="Arial"/>
                <w:b/>
              </w:rPr>
              <w:t xml:space="preserve"> </w:t>
            </w:r>
            <w:r w:rsidRPr="009B7159">
              <w:rPr>
                <w:rFonts w:ascii="Arial" w:eastAsia="Calibri" w:hAnsi="Arial" w:cs="Arial"/>
                <w:bCs/>
              </w:rPr>
              <w:t xml:space="preserve">Preeclampsia is a leading cause of maternal and infant morbidity and mortality in Indonesia, including </w:t>
            </w:r>
            <w:proofErr w:type="spellStart"/>
            <w:r w:rsidRPr="009B7159">
              <w:rPr>
                <w:rFonts w:ascii="Arial" w:eastAsia="Calibri" w:hAnsi="Arial" w:cs="Arial"/>
                <w:bCs/>
              </w:rPr>
              <w:t>Buleleng</w:t>
            </w:r>
            <w:proofErr w:type="spellEnd"/>
            <w:r w:rsidRPr="009B7159">
              <w:rPr>
                <w:rFonts w:ascii="Arial" w:eastAsia="Calibri" w:hAnsi="Arial" w:cs="Arial"/>
                <w:bCs/>
              </w:rPr>
              <w:t xml:space="preserve"> Regency, and highlights the need for improved maternal knowledge of its warning signs. Antenatal education, through classes and ANC visits, can enhance awareness and help prevent pregnancy complications.</w:t>
            </w:r>
          </w:p>
          <w:p w14:paraId="01A74694" w14:textId="416EC271" w:rsidR="00BA1B01" w:rsidRPr="009B7159" w:rsidRDefault="00BA1B01" w:rsidP="00007373">
            <w:pPr>
              <w:pStyle w:val="Body"/>
              <w:spacing w:after="0"/>
              <w:rPr>
                <w:rFonts w:ascii="Arial" w:eastAsia="Calibri" w:hAnsi="Arial" w:cs="Arial"/>
                <w:b/>
              </w:rPr>
            </w:pPr>
            <w:r w:rsidRPr="009B7159">
              <w:rPr>
                <w:rFonts w:ascii="Arial" w:eastAsia="Calibri" w:hAnsi="Arial" w:cs="Arial"/>
                <w:b/>
              </w:rPr>
              <w:t xml:space="preserve">Aims: </w:t>
            </w:r>
            <w:r w:rsidR="009B7159" w:rsidRPr="009B7159">
              <w:rPr>
                <w:rFonts w:ascii="Arial" w:hAnsi="Arial" w:cs="Arial"/>
              </w:rPr>
              <w:t xml:space="preserve">This study aimed to determine the relationship between antenatal education history (participation in antenatal classes and education during ANC visits) and the level of knowledge about preeclampsia warning signs among pregnant women at </w:t>
            </w:r>
            <w:proofErr w:type="spellStart"/>
            <w:r w:rsidR="009B7159" w:rsidRPr="009B7159">
              <w:rPr>
                <w:rFonts w:ascii="Arial" w:hAnsi="Arial" w:cs="Arial"/>
              </w:rPr>
              <w:t>Buleleng</w:t>
            </w:r>
            <w:proofErr w:type="spellEnd"/>
            <w:r w:rsidR="009B7159" w:rsidRPr="009B7159">
              <w:rPr>
                <w:rFonts w:ascii="Arial" w:hAnsi="Arial" w:cs="Arial"/>
              </w:rPr>
              <w:t xml:space="preserve"> District Hospital.</w:t>
            </w:r>
          </w:p>
          <w:p w14:paraId="094B6007" w14:textId="77777777" w:rsidR="00BA1B01" w:rsidRPr="009B7159" w:rsidRDefault="00BA1B01" w:rsidP="00007373">
            <w:pPr>
              <w:pStyle w:val="Body"/>
              <w:spacing w:after="0"/>
              <w:rPr>
                <w:rFonts w:ascii="Arial" w:eastAsia="Calibri" w:hAnsi="Arial" w:cs="Arial"/>
                <w:b/>
              </w:rPr>
            </w:pPr>
            <w:r w:rsidRPr="009B7159">
              <w:rPr>
                <w:rFonts w:ascii="Arial" w:eastAsia="Calibri" w:hAnsi="Arial" w:cs="Arial"/>
                <w:b/>
              </w:rPr>
              <w:t xml:space="preserve">Study design: </w:t>
            </w:r>
            <w:r w:rsidRPr="009B7159">
              <w:rPr>
                <w:rFonts w:ascii="Arial" w:eastAsia="Calibri" w:hAnsi="Arial" w:cs="Arial"/>
              </w:rPr>
              <w:t xml:space="preserve"> </w:t>
            </w:r>
            <w:r w:rsidR="00007373" w:rsidRPr="009B7159">
              <w:rPr>
                <w:rFonts w:ascii="Arial" w:hAnsi="Arial" w:cs="Arial"/>
              </w:rPr>
              <w:t>This was an observational analytic study with a cross-sectional design</w:t>
            </w:r>
            <w:r w:rsidRPr="009B7159">
              <w:rPr>
                <w:rFonts w:ascii="Arial" w:eastAsia="Calibri" w:hAnsi="Arial" w:cs="Arial"/>
              </w:rPr>
              <w:t>.</w:t>
            </w:r>
          </w:p>
          <w:p w14:paraId="31D8DDCA" w14:textId="77777777" w:rsidR="009B7159" w:rsidRPr="009B7159" w:rsidRDefault="00BA1B01" w:rsidP="009B7159">
            <w:pPr>
              <w:pStyle w:val="Body"/>
              <w:spacing w:after="0"/>
              <w:rPr>
                <w:rFonts w:ascii="Arial" w:hAnsi="Arial" w:cs="Arial"/>
                <w:i/>
                <w:iCs/>
              </w:rPr>
            </w:pPr>
            <w:r w:rsidRPr="009B7159">
              <w:rPr>
                <w:rFonts w:ascii="Arial" w:eastAsia="Calibri" w:hAnsi="Arial" w:cs="Arial"/>
                <w:b/>
              </w:rPr>
              <w:t xml:space="preserve">Place and Duration of Study: </w:t>
            </w:r>
            <w:r w:rsidR="009B7159" w:rsidRPr="009B7159">
              <w:rPr>
                <w:rFonts w:ascii="Arial" w:hAnsi="Arial" w:cs="Arial"/>
              </w:rPr>
              <w:t xml:space="preserve">This study was conducted at the Obstetric Outpatient Clinic of </w:t>
            </w:r>
            <w:proofErr w:type="spellStart"/>
            <w:r w:rsidR="009B7159" w:rsidRPr="009B7159">
              <w:rPr>
                <w:rFonts w:ascii="Arial" w:hAnsi="Arial" w:cs="Arial"/>
              </w:rPr>
              <w:t>Buleleng</w:t>
            </w:r>
            <w:proofErr w:type="spellEnd"/>
            <w:r w:rsidR="009B7159" w:rsidRPr="009B7159">
              <w:rPr>
                <w:rFonts w:ascii="Arial" w:hAnsi="Arial" w:cs="Arial"/>
              </w:rPr>
              <w:t xml:space="preserve"> District Hospital from March 6 to April 25, 2025.</w:t>
            </w:r>
          </w:p>
          <w:p w14:paraId="5A2C68EC" w14:textId="77777777" w:rsidR="009B7159" w:rsidRPr="009B7159" w:rsidRDefault="00BA1B01" w:rsidP="009B7159">
            <w:pPr>
              <w:pStyle w:val="Body"/>
              <w:spacing w:after="0"/>
              <w:rPr>
                <w:rFonts w:ascii="Arial" w:eastAsia="Calibri" w:hAnsi="Arial" w:cs="Arial"/>
              </w:rPr>
            </w:pPr>
            <w:r w:rsidRPr="009B7159">
              <w:rPr>
                <w:rFonts w:ascii="Arial" w:eastAsia="Calibri" w:hAnsi="Arial" w:cs="Arial"/>
                <w:b/>
                <w:bCs/>
              </w:rPr>
              <w:t>Methodology:</w:t>
            </w:r>
            <w:r w:rsidRPr="009B7159">
              <w:rPr>
                <w:rFonts w:ascii="Arial" w:eastAsia="Calibri" w:hAnsi="Arial" w:cs="Arial"/>
                <w:b/>
              </w:rPr>
              <w:t xml:space="preserve"> </w:t>
            </w:r>
            <w:r w:rsidR="009B7159" w:rsidRPr="009B7159">
              <w:rPr>
                <w:rFonts w:ascii="Arial" w:eastAsia="Calibri" w:hAnsi="Arial" w:cs="Arial"/>
              </w:rPr>
              <w:t xml:space="preserve">The study population included all pregnant women with preeclampsia attending </w:t>
            </w:r>
            <w:proofErr w:type="spellStart"/>
            <w:r w:rsidR="009B7159" w:rsidRPr="009B7159">
              <w:rPr>
                <w:rFonts w:ascii="Arial" w:eastAsia="Calibri" w:hAnsi="Arial" w:cs="Arial"/>
              </w:rPr>
              <w:t>Buleleng</w:t>
            </w:r>
            <w:proofErr w:type="spellEnd"/>
            <w:r w:rsidR="009B7159" w:rsidRPr="009B7159">
              <w:rPr>
                <w:rFonts w:ascii="Arial" w:eastAsia="Calibri" w:hAnsi="Arial" w:cs="Arial"/>
              </w:rPr>
              <w:t xml:space="preserve"> District Hospital. A total of 38 pregnant women were selected using a total sampling technique. Data were collected using a validated questionnaire. The inclusion criteria were women in the second and third trimester with preeclampsia, and exclusion criteria included women with verbal or mental impairments. Univariate and bivariate analyses were performed using Fisher’s Exact test in SPSS version 26.</w:t>
            </w:r>
          </w:p>
          <w:p w14:paraId="7727A160" w14:textId="74C21DEB" w:rsidR="00BA1B01" w:rsidRPr="009B7159" w:rsidRDefault="00BA1B01" w:rsidP="00007373">
            <w:pPr>
              <w:pStyle w:val="Body"/>
              <w:spacing w:after="0"/>
              <w:rPr>
                <w:rFonts w:ascii="Arial" w:eastAsia="Calibri" w:hAnsi="Arial" w:cs="Arial"/>
                <w:b/>
                <w:bCs/>
              </w:rPr>
            </w:pPr>
            <w:r w:rsidRPr="009B7159">
              <w:rPr>
                <w:rFonts w:ascii="Arial" w:eastAsia="Calibri" w:hAnsi="Arial" w:cs="Arial"/>
                <w:b/>
                <w:bCs/>
              </w:rPr>
              <w:t>Results:</w:t>
            </w:r>
            <w:r w:rsidRPr="009B7159">
              <w:rPr>
                <w:rFonts w:ascii="Arial" w:eastAsia="Calibri" w:hAnsi="Arial" w:cs="Arial"/>
                <w:b/>
              </w:rPr>
              <w:t xml:space="preserve"> </w:t>
            </w:r>
            <w:r w:rsidR="00007373" w:rsidRPr="009B7159">
              <w:rPr>
                <w:rFonts w:ascii="Arial" w:hAnsi="Arial" w:cs="Arial"/>
              </w:rPr>
              <w:t xml:space="preserve">Univariate analysis showed that most respondents were aged 20–35 years (86.8%), had higher education levels (78.9%), were multiparous (84.2%), and had a moderate level of knowledge (60.5%). Fisher Exact test showed a significant </w:t>
            </w:r>
            <w:proofErr w:type="spellStart"/>
            <w:r w:rsidR="00007373" w:rsidRPr="009B7159">
              <w:rPr>
                <w:rFonts w:ascii="Arial" w:hAnsi="Arial" w:cs="Arial"/>
              </w:rPr>
              <w:t>corrrelation</w:t>
            </w:r>
            <w:proofErr w:type="spellEnd"/>
            <w:r w:rsidR="00007373" w:rsidRPr="009B7159">
              <w:rPr>
                <w:rFonts w:ascii="Arial" w:hAnsi="Arial" w:cs="Arial"/>
              </w:rPr>
              <w:t xml:space="preserve"> between participation in antenatal classes (p = 0.000) and education during ANC visits (p = 0.001) with maternal knowledge of preeclampsia danger signs.</w:t>
            </w:r>
          </w:p>
          <w:p w14:paraId="4666E330" w14:textId="78D16EA1" w:rsidR="00007373" w:rsidRPr="009B7159" w:rsidRDefault="00BA1B01" w:rsidP="00007373">
            <w:pPr>
              <w:pStyle w:val="NormalWeb"/>
              <w:widowControl/>
              <w:tabs>
                <w:tab w:val="left" w:pos="426"/>
              </w:tabs>
              <w:spacing w:before="0" w:beforeAutospacing="0" w:after="0" w:afterAutospacing="0" w:line="276" w:lineRule="auto"/>
              <w:jc w:val="both"/>
              <w:rPr>
                <w:rFonts w:ascii="Arial" w:eastAsia="Book Antiqua" w:hAnsi="Arial" w:cs="Arial"/>
                <w:b/>
                <w:color w:val="000000"/>
                <w:kern w:val="0"/>
                <w:sz w:val="20"/>
                <w:szCs w:val="20"/>
              </w:rPr>
            </w:pPr>
            <w:r w:rsidRPr="009B7159">
              <w:rPr>
                <w:rFonts w:ascii="Arial" w:eastAsia="Calibri" w:hAnsi="Arial" w:cs="Arial"/>
                <w:b/>
                <w:bCs/>
                <w:sz w:val="20"/>
                <w:szCs w:val="20"/>
              </w:rPr>
              <w:t>Conclusion:</w:t>
            </w:r>
            <w:r w:rsidRPr="009B7159">
              <w:rPr>
                <w:rFonts w:ascii="Arial" w:eastAsia="Calibri" w:hAnsi="Arial" w:cs="Arial"/>
                <w:b/>
                <w:sz w:val="20"/>
                <w:szCs w:val="20"/>
              </w:rPr>
              <w:t xml:space="preserve"> </w:t>
            </w:r>
            <w:r w:rsidR="009B7159" w:rsidRPr="009B7159">
              <w:rPr>
                <w:rFonts w:ascii="Arial" w:hAnsi="Arial" w:cs="Arial"/>
                <w:sz w:val="20"/>
                <w:szCs w:val="20"/>
              </w:rPr>
              <w:t xml:space="preserve">The history of antenatal education is significantly associated with the level of maternal knowledge about preeclampsia warning signs at </w:t>
            </w:r>
            <w:proofErr w:type="spellStart"/>
            <w:r w:rsidR="009B7159" w:rsidRPr="009B7159">
              <w:rPr>
                <w:rFonts w:ascii="Arial" w:hAnsi="Arial" w:cs="Arial"/>
                <w:sz w:val="20"/>
                <w:szCs w:val="20"/>
              </w:rPr>
              <w:t>Buleleng</w:t>
            </w:r>
            <w:proofErr w:type="spellEnd"/>
            <w:r w:rsidR="009B7159" w:rsidRPr="009B7159">
              <w:rPr>
                <w:rFonts w:ascii="Arial" w:hAnsi="Arial" w:cs="Arial"/>
                <w:sz w:val="20"/>
                <w:szCs w:val="20"/>
              </w:rPr>
              <w:t xml:space="preserve"> District Hospital. Healthcare workers, especially midwives, are expected to improve interactive educational methods to enhance the effectiveness of antenatal education and contribute to reducing maternal and neonatal complications due to preeclampsia.</w:t>
            </w:r>
          </w:p>
          <w:p w14:paraId="0363BAD9" w14:textId="0FB9AF19" w:rsidR="00505F06" w:rsidRPr="009B7159" w:rsidRDefault="00505F06" w:rsidP="00441B6F">
            <w:pPr>
              <w:pStyle w:val="Body"/>
              <w:spacing w:after="0"/>
              <w:rPr>
                <w:rFonts w:ascii="Arial" w:eastAsia="Calibri" w:hAnsi="Arial" w:cs="Arial"/>
              </w:rPr>
            </w:pPr>
          </w:p>
        </w:tc>
      </w:tr>
    </w:tbl>
    <w:p w14:paraId="43046CE3" w14:textId="77777777" w:rsidR="00636EB2" w:rsidRDefault="00636EB2" w:rsidP="00441B6F">
      <w:pPr>
        <w:pStyle w:val="Body"/>
        <w:spacing w:after="0"/>
        <w:rPr>
          <w:rFonts w:ascii="Arial" w:hAnsi="Arial" w:cs="Arial"/>
          <w:i/>
        </w:rPr>
      </w:pPr>
    </w:p>
    <w:p w14:paraId="6362555F" w14:textId="2059667A" w:rsidR="00790ADA" w:rsidRDefault="00A24E7E" w:rsidP="00441B6F">
      <w:pPr>
        <w:pStyle w:val="Body"/>
        <w:spacing w:after="0"/>
        <w:rPr>
          <w:rFonts w:ascii="Arial" w:hAnsi="Arial" w:cs="Arial"/>
        </w:rPr>
      </w:pPr>
      <w:r>
        <w:rPr>
          <w:rFonts w:ascii="Arial" w:hAnsi="Arial" w:cs="Arial"/>
          <w:i/>
        </w:rPr>
        <w:t xml:space="preserve">Keywords: </w:t>
      </w:r>
      <w:r w:rsidR="009B7159">
        <w:rPr>
          <w:rFonts w:ascii="Arial" w:hAnsi="Arial" w:cs="Arial"/>
          <w:iCs/>
        </w:rPr>
        <w:t>[</w:t>
      </w:r>
      <w:r w:rsidR="009B7159" w:rsidRPr="009B7159">
        <w:rPr>
          <w:rFonts w:ascii="Arial" w:hAnsi="Arial" w:cs="Arial"/>
          <w:i/>
          <w:iCs/>
        </w:rPr>
        <w:t>antenatal education, maternal knowledge, preeclampsia warning signs</w:t>
      </w:r>
      <w:r w:rsidR="009B7159">
        <w:rPr>
          <w:rFonts w:ascii="Arial" w:hAnsi="Arial" w:cs="Arial"/>
        </w:rPr>
        <w:t>]</w:t>
      </w:r>
    </w:p>
    <w:p w14:paraId="1E909481" w14:textId="77777777" w:rsidR="009E267C" w:rsidRPr="009B7159" w:rsidRDefault="009E267C" w:rsidP="00441B6F">
      <w:pPr>
        <w:pStyle w:val="Body"/>
        <w:spacing w:after="0"/>
        <w:rPr>
          <w:rFonts w:cs="Calibri"/>
          <w:sz w:val="22"/>
          <w:szCs w:val="22"/>
        </w:rPr>
      </w:pPr>
    </w:p>
    <w:p w14:paraId="777E21A4" w14:textId="72071C2D" w:rsidR="007F7B32" w:rsidRDefault="00902823" w:rsidP="00146BE3">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CDD87A4" w14:textId="77777777" w:rsidR="00790ADA" w:rsidRPr="00FB3A86" w:rsidRDefault="00790ADA" w:rsidP="00146BE3">
      <w:pPr>
        <w:pStyle w:val="AbstHead"/>
        <w:spacing w:after="0"/>
        <w:jc w:val="both"/>
        <w:rPr>
          <w:rFonts w:ascii="Arial" w:hAnsi="Arial" w:cs="Arial"/>
        </w:rPr>
      </w:pPr>
    </w:p>
    <w:p w14:paraId="0F877180" w14:textId="77777777" w:rsidR="009B7159" w:rsidRPr="009B7159" w:rsidRDefault="009B7159" w:rsidP="00146BE3">
      <w:pPr>
        <w:ind w:firstLine="450"/>
        <w:jc w:val="both"/>
        <w:rPr>
          <w:rFonts w:ascii="Arial" w:hAnsi="Arial" w:cs="Arial"/>
        </w:rPr>
      </w:pPr>
      <w:r w:rsidRPr="009B7159">
        <w:rPr>
          <w:rFonts w:ascii="Arial" w:hAnsi="Arial" w:cs="Arial"/>
          <w:lang w:bidi="th-TH"/>
        </w:rPr>
        <w:t xml:space="preserve">Preeclampsia is one of the uttermost cause maternal </w:t>
      </w:r>
      <w:proofErr w:type="gramStart"/>
      <w:r w:rsidRPr="009B7159">
        <w:rPr>
          <w:rFonts w:ascii="Arial" w:hAnsi="Arial" w:cs="Arial"/>
          <w:lang w:bidi="th-TH"/>
        </w:rPr>
        <w:t>death</w:t>
      </w:r>
      <w:proofErr w:type="gramEnd"/>
      <w:r w:rsidRPr="009B7159">
        <w:rPr>
          <w:rFonts w:ascii="Arial" w:hAnsi="Arial" w:cs="Arial"/>
          <w:lang w:bidi="th-TH"/>
        </w:rPr>
        <w:t xml:space="preserve"> globally, with an incidence seven times higher in developing countries than advanced countries. As stated by WHO (2023), preeclampsia accounts for 12% maternal deaths in the world. In Indonesia, the number of incidences of preeclampsia reached 9,4%, while in Bali in 2023 there were 718 cases, with 116 cases in </w:t>
      </w:r>
      <w:proofErr w:type="spellStart"/>
      <w:r w:rsidRPr="009B7159">
        <w:rPr>
          <w:rFonts w:ascii="Arial" w:hAnsi="Arial" w:cs="Arial"/>
          <w:lang w:bidi="th-TH"/>
        </w:rPr>
        <w:t>Buleleng</w:t>
      </w:r>
      <w:proofErr w:type="spellEnd"/>
      <w:r w:rsidRPr="009B7159">
        <w:rPr>
          <w:rFonts w:ascii="Arial" w:hAnsi="Arial" w:cs="Arial"/>
          <w:lang w:bidi="th-TH"/>
        </w:rPr>
        <w:t xml:space="preserve"> regency (Bali Provincial Health Office, 2023). Preeclampsia also has a serious impact on the fetus, increasing the risk of prematurity, IUGR, dan BBLR (</w:t>
      </w:r>
      <w:proofErr w:type="spellStart"/>
      <w:r w:rsidRPr="009B7159">
        <w:rPr>
          <w:rFonts w:ascii="Arial" w:hAnsi="Arial" w:cs="Arial"/>
          <w:lang w:bidi="th-TH"/>
        </w:rPr>
        <w:t>Sugiantari</w:t>
      </w:r>
      <w:proofErr w:type="spellEnd"/>
      <w:r w:rsidRPr="009B7159">
        <w:rPr>
          <w:rFonts w:ascii="Arial" w:hAnsi="Arial" w:cs="Arial"/>
          <w:lang w:bidi="th-TH"/>
        </w:rPr>
        <w:t xml:space="preserve">, </w:t>
      </w:r>
      <w:proofErr w:type="spellStart"/>
      <w:r w:rsidRPr="009B7159">
        <w:rPr>
          <w:rFonts w:ascii="Arial" w:hAnsi="Arial" w:cs="Arial"/>
          <w:lang w:bidi="th-TH"/>
        </w:rPr>
        <w:t>dkk</w:t>
      </w:r>
      <w:proofErr w:type="spellEnd"/>
      <w:r w:rsidRPr="009B7159">
        <w:rPr>
          <w:rFonts w:ascii="Arial" w:hAnsi="Arial" w:cs="Arial"/>
          <w:lang w:bidi="th-TH"/>
        </w:rPr>
        <w:t>., 2019).</w:t>
      </w:r>
    </w:p>
    <w:p w14:paraId="5A19EA24" w14:textId="77777777" w:rsidR="009B7159" w:rsidRPr="009B7159" w:rsidRDefault="009B7159" w:rsidP="00146BE3">
      <w:pPr>
        <w:ind w:firstLine="450"/>
        <w:jc w:val="both"/>
        <w:rPr>
          <w:rFonts w:ascii="Arial" w:hAnsi="Arial" w:cs="Arial"/>
        </w:rPr>
      </w:pPr>
      <w:r w:rsidRPr="009B7159">
        <w:rPr>
          <w:rFonts w:ascii="Arial" w:hAnsi="Arial" w:cs="Arial"/>
          <w:lang w:bidi="th-TH"/>
        </w:rPr>
        <w:t>Efforts to prevent preeclampsia in Indonesia is a priority, one of which is through the role of midwives as the front-line health workers. Based on the Midwife Professional (</w:t>
      </w:r>
      <w:proofErr w:type="spellStart"/>
      <w:r w:rsidRPr="009B7159">
        <w:rPr>
          <w:rFonts w:ascii="Arial" w:hAnsi="Arial" w:cs="Arial"/>
          <w:lang w:bidi="th-TH"/>
        </w:rPr>
        <w:t>Kemenkes</w:t>
      </w:r>
      <w:proofErr w:type="spellEnd"/>
      <w:r w:rsidRPr="009B7159">
        <w:rPr>
          <w:rFonts w:ascii="Arial" w:hAnsi="Arial" w:cs="Arial"/>
          <w:lang w:bidi="th-TH"/>
        </w:rPr>
        <w:t xml:space="preserve"> RI, 2020), midwives have an important role in providing promotional, preventive, curative, and collaborative services. One of the preventive and promotive </w:t>
      </w:r>
      <w:r w:rsidRPr="009B7159">
        <w:rPr>
          <w:rFonts w:ascii="Arial" w:hAnsi="Arial" w:cs="Arial"/>
          <w:lang w:bidi="th-TH"/>
        </w:rPr>
        <w:lastRenderedPageBreak/>
        <w:t>efforts carried out by the midwives is antenatal education, which includes the participation of pregnant women in prenatal class and education antenatal care (ANC) visits. This antenatal education aims to increase the maternal knowledge of danger signs of pregnancy, including preeclampsia (</w:t>
      </w:r>
      <w:proofErr w:type="spellStart"/>
      <w:r w:rsidRPr="009B7159">
        <w:rPr>
          <w:rFonts w:ascii="Arial" w:hAnsi="Arial" w:cs="Arial"/>
          <w:lang w:bidi="th-TH"/>
        </w:rPr>
        <w:t>Andira</w:t>
      </w:r>
      <w:proofErr w:type="spellEnd"/>
      <w:r w:rsidRPr="009B7159">
        <w:rPr>
          <w:rFonts w:ascii="Arial" w:hAnsi="Arial" w:cs="Arial"/>
          <w:lang w:bidi="th-TH"/>
        </w:rPr>
        <w:t xml:space="preserve"> &amp; Sri Rahayu, 2023; </w:t>
      </w:r>
      <w:proofErr w:type="spellStart"/>
      <w:r w:rsidRPr="009B7159">
        <w:rPr>
          <w:rFonts w:ascii="Arial" w:hAnsi="Arial" w:cs="Arial"/>
          <w:lang w:bidi="th-TH"/>
        </w:rPr>
        <w:t>Erawati</w:t>
      </w:r>
      <w:proofErr w:type="spellEnd"/>
      <w:r w:rsidRPr="009B7159">
        <w:rPr>
          <w:rFonts w:ascii="Arial" w:hAnsi="Arial" w:cs="Arial"/>
          <w:lang w:bidi="th-TH"/>
        </w:rPr>
        <w:t xml:space="preserve">, </w:t>
      </w:r>
      <w:proofErr w:type="spellStart"/>
      <w:r w:rsidRPr="009B7159">
        <w:rPr>
          <w:rFonts w:ascii="Arial" w:hAnsi="Arial" w:cs="Arial"/>
          <w:lang w:bidi="th-TH"/>
        </w:rPr>
        <w:t>dkk</w:t>
      </w:r>
      <w:proofErr w:type="spellEnd"/>
      <w:r w:rsidRPr="009B7159">
        <w:rPr>
          <w:rFonts w:ascii="Arial" w:hAnsi="Arial" w:cs="Arial"/>
          <w:lang w:bidi="th-TH"/>
        </w:rPr>
        <w:t>., 2019).</w:t>
      </w:r>
    </w:p>
    <w:p w14:paraId="2F3856D6" w14:textId="77777777" w:rsidR="009B7159" w:rsidRPr="009B7159" w:rsidRDefault="009B7159" w:rsidP="00146BE3">
      <w:pPr>
        <w:ind w:firstLine="450"/>
        <w:jc w:val="both"/>
        <w:rPr>
          <w:rFonts w:ascii="Arial" w:hAnsi="Arial" w:cs="Arial"/>
          <w:lang w:bidi="th-TH"/>
        </w:rPr>
      </w:pPr>
      <w:r w:rsidRPr="009B7159">
        <w:rPr>
          <w:rFonts w:ascii="Arial" w:hAnsi="Arial" w:cs="Arial"/>
          <w:lang w:bidi="th-TH"/>
        </w:rPr>
        <w:t xml:space="preserve">Good knowledge is expected to help mothers to recognize the initial symptoms of preeclampsia, prevent complications, and enrich compliance towards antenatal visits. However, facts on the ground show that even though the mother attended antenatal class and regular ANC examinations, many mothers still lack understanding of the signs and symptoms of preeclampsia (Tamma, </w:t>
      </w:r>
      <w:proofErr w:type="spellStart"/>
      <w:r w:rsidRPr="009B7159">
        <w:rPr>
          <w:rFonts w:ascii="Arial" w:hAnsi="Arial" w:cs="Arial"/>
          <w:lang w:bidi="th-TH"/>
        </w:rPr>
        <w:t>dkk</w:t>
      </w:r>
      <w:proofErr w:type="spellEnd"/>
      <w:r w:rsidRPr="009B7159">
        <w:rPr>
          <w:rFonts w:ascii="Arial" w:hAnsi="Arial" w:cs="Arial"/>
          <w:lang w:bidi="th-TH"/>
        </w:rPr>
        <w:t xml:space="preserve">., 2023). This gap indicates the needs of evaluation of effectiveness antenatal education, both from the participation of mothers in antenatal classes and the education provided during ANC visits. </w:t>
      </w:r>
    </w:p>
    <w:p w14:paraId="1F68132E" w14:textId="77777777" w:rsidR="009B7159" w:rsidRPr="009B7159" w:rsidRDefault="009B7159" w:rsidP="00146BE3">
      <w:pPr>
        <w:ind w:firstLine="450"/>
        <w:jc w:val="both"/>
        <w:rPr>
          <w:rFonts w:ascii="Arial" w:hAnsi="Arial" w:cs="Arial"/>
        </w:rPr>
      </w:pPr>
      <w:r w:rsidRPr="009B7159">
        <w:rPr>
          <w:rFonts w:ascii="Arial" w:hAnsi="Arial" w:cs="Arial"/>
          <w:lang w:bidi="th-TH"/>
        </w:rPr>
        <w:t xml:space="preserve">Therefore, this study aims to analyze the correlation between antenatal education history (participation in antenatal class and education during ANC) with the level of knowledge of expectant mother about the danger signs of preeclampsia in </w:t>
      </w:r>
      <w:proofErr w:type="spellStart"/>
      <w:r w:rsidRPr="009B7159">
        <w:rPr>
          <w:rFonts w:ascii="Arial" w:hAnsi="Arial" w:cs="Arial"/>
          <w:lang w:bidi="th-TH"/>
        </w:rPr>
        <w:t>Buleleng</w:t>
      </w:r>
      <w:proofErr w:type="spellEnd"/>
      <w:r w:rsidRPr="009B7159">
        <w:rPr>
          <w:rFonts w:ascii="Arial" w:hAnsi="Arial" w:cs="Arial"/>
          <w:lang w:bidi="th-TH"/>
        </w:rPr>
        <w:t xml:space="preserve"> regency. The results of the study are expected to be the basis of the improvement antenatal education program to be more effective in reducing the risk of complications and maternal mortality due to preeclampsia</w:t>
      </w:r>
      <w:r w:rsidRPr="009B7159">
        <w:rPr>
          <w:rFonts w:ascii="Arial" w:eastAsia="Book Antiqua" w:hAnsi="Arial" w:cs="Arial"/>
        </w:rPr>
        <w:t>.</w:t>
      </w:r>
    </w:p>
    <w:p w14:paraId="63DDBBCB" w14:textId="77777777" w:rsidR="00790ADA" w:rsidRPr="00FB3A86" w:rsidRDefault="00790ADA" w:rsidP="00146BE3">
      <w:pPr>
        <w:pStyle w:val="Body"/>
        <w:spacing w:after="0"/>
        <w:rPr>
          <w:rFonts w:ascii="Arial" w:hAnsi="Arial" w:cs="Arial"/>
        </w:rPr>
      </w:pPr>
    </w:p>
    <w:p w14:paraId="4C7A3A21" w14:textId="2E59BED2" w:rsidR="007F7B32" w:rsidRDefault="00902823" w:rsidP="00146BE3">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86110ED" w14:textId="77777777" w:rsidR="00EC17D3" w:rsidRPr="00EC17D3" w:rsidRDefault="00EC17D3" w:rsidP="00146BE3">
      <w:pPr>
        <w:pStyle w:val="AbstHead"/>
        <w:spacing w:after="0"/>
        <w:jc w:val="both"/>
        <w:rPr>
          <w:rFonts w:ascii="Arial" w:hAnsi="Arial" w:cs="Arial"/>
          <w:bCs/>
        </w:rPr>
      </w:pPr>
      <w:r w:rsidRPr="00EC17D3">
        <w:rPr>
          <w:rFonts w:ascii="Arial" w:hAnsi="Arial" w:cs="Arial"/>
          <w:bCs/>
        </w:rPr>
        <w:t>2.1 Participants and Survey Procedures</w:t>
      </w:r>
    </w:p>
    <w:p w14:paraId="1DCE800E" w14:textId="15411D83" w:rsidR="00EC17D3" w:rsidRPr="00EC17D3" w:rsidRDefault="00EC17D3" w:rsidP="00146BE3">
      <w:pPr>
        <w:ind w:firstLine="450"/>
        <w:jc w:val="both"/>
        <w:rPr>
          <w:rFonts w:ascii="Arial" w:hAnsi="Arial" w:cs="Arial"/>
          <w:i/>
          <w:iCs/>
        </w:rPr>
      </w:pPr>
      <w:r w:rsidRPr="00EC17D3">
        <w:rPr>
          <w:rFonts w:ascii="Arial" w:hAnsi="Arial" w:cs="Arial"/>
        </w:rPr>
        <w:t xml:space="preserve">This study used an analytic observational design with a cross-sectional approach, which was carried out on march 6, 2025 to </w:t>
      </w:r>
      <w:proofErr w:type="spellStart"/>
      <w:r w:rsidRPr="00EC17D3">
        <w:rPr>
          <w:rFonts w:ascii="Arial" w:hAnsi="Arial" w:cs="Arial"/>
        </w:rPr>
        <w:t>april</w:t>
      </w:r>
      <w:proofErr w:type="spellEnd"/>
      <w:r w:rsidRPr="00EC17D3">
        <w:rPr>
          <w:rFonts w:ascii="Arial" w:hAnsi="Arial" w:cs="Arial"/>
        </w:rPr>
        <w:t xml:space="preserve"> 25, 2025 at the </w:t>
      </w:r>
      <w:proofErr w:type="spellStart"/>
      <w:r w:rsidRPr="00EC17D3">
        <w:rPr>
          <w:rFonts w:ascii="Arial" w:hAnsi="Arial" w:cs="Arial"/>
        </w:rPr>
        <w:t>buleleng</w:t>
      </w:r>
      <w:proofErr w:type="spellEnd"/>
      <w:r w:rsidRPr="00EC17D3">
        <w:rPr>
          <w:rFonts w:ascii="Arial" w:hAnsi="Arial" w:cs="Arial"/>
        </w:rPr>
        <w:t xml:space="preserve"> district hospital. </w:t>
      </w:r>
      <w:r w:rsidRPr="00EC17D3">
        <w:rPr>
          <w:rFonts w:ascii="Arial" w:hAnsi="Arial" w:cs="Arial"/>
          <w:szCs w:val="18"/>
        </w:rPr>
        <w:t xml:space="preserve">The sample in this study consisted of 38 pregnant women with preeclampsia who attended the obstetric outpatient clinic at </w:t>
      </w:r>
      <w:proofErr w:type="spellStart"/>
      <w:r w:rsidRPr="00EC17D3">
        <w:rPr>
          <w:rFonts w:ascii="Arial" w:hAnsi="Arial" w:cs="Arial"/>
          <w:szCs w:val="18"/>
        </w:rPr>
        <w:t>buleleng</w:t>
      </w:r>
      <w:proofErr w:type="spellEnd"/>
      <w:r w:rsidRPr="00EC17D3">
        <w:rPr>
          <w:rFonts w:ascii="Arial" w:hAnsi="Arial" w:cs="Arial"/>
          <w:szCs w:val="18"/>
        </w:rPr>
        <w:t xml:space="preserve"> district hospital and met the inclusion criteria. Participants were selected using a total sampling technique. The inclusion criteria were pregnant women in their second and third trimesters diagnosed with preeclampsia and willing to participate in the study by signing an informed consent. The exclusion criteria were pregnant women with mental or verbal impairments. After obtaining ethical clearance and research permission, data were collected using a structured questionnaire administered directly by the researcher. </w:t>
      </w:r>
      <w:r w:rsidRPr="00EC17D3">
        <w:rPr>
          <w:rFonts w:ascii="Arial" w:hAnsi="Arial" w:cs="Arial"/>
        </w:rPr>
        <w:t xml:space="preserve">Research ethics were obtained from the </w:t>
      </w:r>
      <w:proofErr w:type="spellStart"/>
      <w:r w:rsidR="009E267C" w:rsidRPr="00EC17D3">
        <w:rPr>
          <w:rFonts w:ascii="Arial" w:hAnsi="Arial" w:cs="Arial"/>
        </w:rPr>
        <w:t>buleleng</w:t>
      </w:r>
      <w:proofErr w:type="spellEnd"/>
      <w:r w:rsidR="009E267C" w:rsidRPr="00EC17D3">
        <w:rPr>
          <w:rFonts w:ascii="Arial" w:hAnsi="Arial" w:cs="Arial"/>
        </w:rPr>
        <w:t xml:space="preserve"> district hospital</w:t>
      </w:r>
      <w:r w:rsidRPr="00EC17D3">
        <w:rPr>
          <w:rFonts w:ascii="Arial" w:hAnsi="Arial" w:cs="Arial"/>
        </w:rPr>
        <w:t>, with ethics approval letter number: 04/EC/KEPK-RSB/III/2025.</w:t>
      </w:r>
    </w:p>
    <w:p w14:paraId="449F79C8" w14:textId="77777777" w:rsidR="00EC17D3" w:rsidRPr="00EC17D3" w:rsidRDefault="00EC17D3" w:rsidP="00146BE3">
      <w:pPr>
        <w:pStyle w:val="AbstHead"/>
        <w:spacing w:after="0"/>
        <w:jc w:val="both"/>
        <w:rPr>
          <w:rFonts w:ascii="Arial" w:hAnsi="Arial" w:cs="Arial"/>
          <w:bCs/>
        </w:rPr>
      </w:pPr>
      <w:r w:rsidRPr="00EC17D3">
        <w:rPr>
          <w:rFonts w:ascii="Arial" w:hAnsi="Arial" w:cs="Arial"/>
          <w:bCs/>
        </w:rPr>
        <w:t>2.2 Questionnaire</w:t>
      </w:r>
    </w:p>
    <w:p w14:paraId="350FC087" w14:textId="6A3A0442" w:rsidR="00EC17D3" w:rsidRDefault="00EC17D3" w:rsidP="00146BE3">
      <w:pPr>
        <w:pStyle w:val="AbstHead"/>
        <w:spacing w:after="0"/>
        <w:ind w:firstLine="450"/>
        <w:jc w:val="both"/>
        <w:rPr>
          <w:rFonts w:ascii="Arial" w:hAnsi="Arial" w:cs="Arial"/>
          <w:b w:val="0"/>
          <w:bCs/>
          <w:caps w:val="0"/>
          <w:sz w:val="20"/>
          <w:szCs w:val="18"/>
        </w:rPr>
      </w:pPr>
      <w:r w:rsidRPr="00EC17D3">
        <w:rPr>
          <w:rFonts w:ascii="Arial" w:hAnsi="Arial" w:cs="Arial"/>
          <w:b w:val="0"/>
          <w:bCs/>
          <w:caps w:val="0"/>
          <w:sz w:val="20"/>
          <w:szCs w:val="18"/>
        </w:rPr>
        <w:t>The research instrument used a questionnaire developed and modified based on previous validated instruments (</w:t>
      </w:r>
      <w:proofErr w:type="spellStart"/>
      <w:r w:rsidRPr="00EC17D3">
        <w:rPr>
          <w:rFonts w:ascii="Arial" w:hAnsi="Arial" w:cs="Arial"/>
          <w:b w:val="0"/>
          <w:bCs/>
          <w:caps w:val="0"/>
          <w:sz w:val="20"/>
          <w:szCs w:val="18"/>
        </w:rPr>
        <w:t>restika</w:t>
      </w:r>
      <w:proofErr w:type="spellEnd"/>
      <w:r w:rsidRPr="00EC17D3">
        <w:rPr>
          <w:rFonts w:ascii="Arial" w:hAnsi="Arial" w:cs="Arial"/>
          <w:b w:val="0"/>
          <w:bCs/>
          <w:caps w:val="0"/>
          <w:sz w:val="20"/>
          <w:szCs w:val="18"/>
        </w:rPr>
        <w:t xml:space="preserve"> </w:t>
      </w:r>
      <w:proofErr w:type="spellStart"/>
      <w:r w:rsidRPr="00EC17D3">
        <w:rPr>
          <w:rFonts w:ascii="Arial" w:hAnsi="Arial" w:cs="Arial"/>
          <w:b w:val="0"/>
          <w:bCs/>
          <w:caps w:val="0"/>
          <w:sz w:val="20"/>
          <w:szCs w:val="18"/>
        </w:rPr>
        <w:t>riski</w:t>
      </w:r>
      <w:proofErr w:type="spellEnd"/>
      <w:r w:rsidRPr="00EC17D3">
        <w:rPr>
          <w:rFonts w:ascii="Arial" w:hAnsi="Arial" w:cs="Arial"/>
          <w:b w:val="0"/>
          <w:bCs/>
          <w:caps w:val="0"/>
          <w:sz w:val="20"/>
          <w:szCs w:val="18"/>
        </w:rPr>
        <w:t xml:space="preserve">, 2019) to assess maternal knowledge of preeclampsia warning signs. The questionnaire consisted of 12 true-or-false questions concerning the definition of preeclampsia, risk factors, signs and symptoms, and complications. Respondents’ knowledge level was categorized into three levels based on the total correct answers: good (76–100%), fair (56–75%), and poor (≤55%). Prior to data collection, a validity and reliability test </w:t>
      </w:r>
      <w:proofErr w:type="gramStart"/>
      <w:r w:rsidRPr="00EC17D3">
        <w:rPr>
          <w:rFonts w:ascii="Arial" w:hAnsi="Arial" w:cs="Arial"/>
          <w:b w:val="0"/>
          <w:bCs/>
          <w:caps w:val="0"/>
          <w:sz w:val="20"/>
          <w:szCs w:val="18"/>
        </w:rPr>
        <w:t>was</w:t>
      </w:r>
      <w:proofErr w:type="gramEnd"/>
      <w:r w:rsidRPr="00EC17D3">
        <w:rPr>
          <w:rFonts w:ascii="Arial" w:hAnsi="Arial" w:cs="Arial"/>
          <w:b w:val="0"/>
          <w:bCs/>
          <w:caps w:val="0"/>
          <w:sz w:val="20"/>
          <w:szCs w:val="18"/>
        </w:rPr>
        <w:t xml:space="preserve"> conducted with 40 respondents outside the study setting. The validity test showed all items were valid with r-count &gt; r-table (0.304), with r-count ranging from 0.310 to 0.513. The reliability test yielded a </w:t>
      </w:r>
      <w:proofErr w:type="spellStart"/>
      <w:r w:rsidRPr="00EC17D3">
        <w:rPr>
          <w:rFonts w:ascii="Arial" w:hAnsi="Arial" w:cs="Arial"/>
          <w:b w:val="0"/>
          <w:bCs/>
          <w:caps w:val="0"/>
          <w:sz w:val="20"/>
          <w:szCs w:val="18"/>
        </w:rPr>
        <w:t>cronbach's</w:t>
      </w:r>
      <w:proofErr w:type="spellEnd"/>
      <w:r w:rsidRPr="00EC17D3">
        <w:rPr>
          <w:rFonts w:ascii="Arial" w:hAnsi="Arial" w:cs="Arial"/>
          <w:b w:val="0"/>
          <w:bCs/>
          <w:caps w:val="0"/>
          <w:sz w:val="20"/>
          <w:szCs w:val="18"/>
        </w:rPr>
        <w:t xml:space="preserve"> alpha value of 0.843 (&gt;0.6), indicating the instrument was reliable.</w:t>
      </w:r>
    </w:p>
    <w:p w14:paraId="6D7F5711" w14:textId="77777777" w:rsidR="00EC17D3" w:rsidRPr="00EC17D3" w:rsidRDefault="00EC17D3" w:rsidP="00146BE3">
      <w:pPr>
        <w:pStyle w:val="AbstHead"/>
        <w:spacing w:after="0"/>
        <w:jc w:val="both"/>
        <w:rPr>
          <w:rFonts w:ascii="Arial" w:hAnsi="Arial" w:cs="Arial"/>
          <w:b w:val="0"/>
          <w:bCs/>
          <w:sz w:val="20"/>
          <w:szCs w:val="18"/>
        </w:rPr>
      </w:pPr>
    </w:p>
    <w:p w14:paraId="6FE6CEC7" w14:textId="77777777" w:rsidR="00EC17D3" w:rsidRPr="00EC17D3" w:rsidRDefault="00EC17D3" w:rsidP="00146BE3">
      <w:pPr>
        <w:pStyle w:val="AbstHead"/>
        <w:spacing w:after="0"/>
        <w:jc w:val="both"/>
        <w:rPr>
          <w:rFonts w:ascii="Arial" w:hAnsi="Arial" w:cs="Arial"/>
          <w:bCs/>
        </w:rPr>
      </w:pPr>
      <w:r w:rsidRPr="00EC17D3">
        <w:rPr>
          <w:rFonts w:ascii="Arial" w:hAnsi="Arial" w:cs="Arial"/>
          <w:bCs/>
        </w:rPr>
        <w:t>2.3 Statistical Analysis</w:t>
      </w:r>
    </w:p>
    <w:p w14:paraId="0497AC3F" w14:textId="1C85947A" w:rsidR="00EC17D3" w:rsidRPr="00EC17D3" w:rsidRDefault="00EC17D3" w:rsidP="00146BE3">
      <w:pPr>
        <w:pStyle w:val="AbstHead"/>
        <w:spacing w:after="0"/>
        <w:ind w:firstLine="450"/>
        <w:jc w:val="both"/>
        <w:rPr>
          <w:rFonts w:ascii="Arial" w:hAnsi="Arial" w:cs="Arial"/>
          <w:b w:val="0"/>
          <w:bCs/>
          <w:sz w:val="20"/>
          <w:szCs w:val="18"/>
        </w:rPr>
      </w:pPr>
      <w:r w:rsidRPr="00EC17D3">
        <w:rPr>
          <w:rFonts w:ascii="Arial" w:hAnsi="Arial" w:cs="Arial"/>
          <w:b w:val="0"/>
          <w:bCs/>
          <w:caps w:val="0"/>
          <w:sz w:val="20"/>
          <w:szCs w:val="18"/>
        </w:rPr>
        <w:t xml:space="preserve">Data were processed and analyzed using </w:t>
      </w:r>
      <w:proofErr w:type="spellStart"/>
      <w:r w:rsidRPr="00EC17D3">
        <w:rPr>
          <w:rFonts w:ascii="Arial" w:hAnsi="Arial" w:cs="Arial"/>
          <w:b w:val="0"/>
          <w:bCs/>
          <w:caps w:val="0"/>
          <w:sz w:val="20"/>
          <w:szCs w:val="18"/>
        </w:rPr>
        <w:t>spss</w:t>
      </w:r>
      <w:proofErr w:type="spellEnd"/>
      <w:r w:rsidRPr="00EC17D3">
        <w:rPr>
          <w:rFonts w:ascii="Arial" w:hAnsi="Arial" w:cs="Arial"/>
          <w:b w:val="0"/>
          <w:bCs/>
          <w:caps w:val="0"/>
          <w:sz w:val="20"/>
          <w:szCs w:val="18"/>
        </w:rPr>
        <w:t xml:space="preserve"> version 26.0. Descriptive statistics were used to summarize maternal characteristics and level of knowledge. Bivariate analysis was conducted using fisher's exact test to examine the relationship between antenatal education history and maternal knowledge of preeclampsia warning signs.</w:t>
      </w:r>
    </w:p>
    <w:p w14:paraId="4F5CD68A" w14:textId="77777777" w:rsidR="00EC17D3" w:rsidRDefault="00EC17D3" w:rsidP="00146BE3">
      <w:pPr>
        <w:pStyle w:val="AbstHead"/>
        <w:spacing w:after="0"/>
        <w:jc w:val="both"/>
        <w:rPr>
          <w:rFonts w:ascii="Arial" w:hAnsi="Arial" w:cs="Arial"/>
        </w:rPr>
      </w:pPr>
    </w:p>
    <w:p w14:paraId="7092CA44" w14:textId="77777777" w:rsidR="00902823" w:rsidRDefault="00000F8F" w:rsidP="00146BE3">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A7812F6" w14:textId="77777777" w:rsidR="00DC5C0A" w:rsidRPr="00A479E8" w:rsidRDefault="00DC5C0A" w:rsidP="00146BE3">
      <w:pPr>
        <w:ind w:firstLine="450"/>
        <w:jc w:val="both"/>
        <w:rPr>
          <w:rFonts w:ascii="Arial" w:hAnsi="Arial" w:cs="Arial"/>
          <w:lang w:bidi="th-TH"/>
        </w:rPr>
      </w:pPr>
      <w:r w:rsidRPr="00A479E8">
        <w:rPr>
          <w:rFonts w:ascii="Arial" w:hAnsi="Arial" w:cs="Arial"/>
          <w:lang w:bidi="th-TH"/>
        </w:rPr>
        <w:t>The results of the study showed that most respondents were 20-35 years old (86,8%), had a high school education (78,9%), were employed (78,9%), and multiparous (68,4%). However, more than half of the respondents did not attend antenatal class (55,3%), and almost half received non-standard compliant ANC education (47,4%). The level of maternal knowledge about the danger signs of preeclampsia was mostly in the moderate category (60,5%). The correlation analysis showed that the participation in antenatal class and ANC education quality had a significant correlation with the level of maternal knowledge.</w:t>
      </w:r>
    </w:p>
    <w:p w14:paraId="4B7C5F1A" w14:textId="77777777" w:rsidR="00DC5C0A" w:rsidRPr="00902FA1" w:rsidRDefault="00DC5C0A" w:rsidP="00146BE3">
      <w:pPr>
        <w:jc w:val="center"/>
        <w:rPr>
          <w:rFonts w:ascii="Times New Roman" w:hAnsi="Times New Roman"/>
          <w:lang w:bidi="th-TH"/>
        </w:rPr>
      </w:pPr>
    </w:p>
    <w:p w14:paraId="7D594C52" w14:textId="77777777" w:rsidR="00DC5C0A" w:rsidRPr="00A479E8" w:rsidRDefault="00DC5C0A" w:rsidP="00146BE3">
      <w:pPr>
        <w:jc w:val="center"/>
        <w:rPr>
          <w:rFonts w:ascii="Arial" w:hAnsi="Arial" w:cs="Arial"/>
        </w:rPr>
      </w:pPr>
      <w:r w:rsidRPr="00A479E8">
        <w:rPr>
          <w:rFonts w:ascii="Arial" w:hAnsi="Arial" w:cs="Arial"/>
        </w:rPr>
        <w:t>Table 1. Distribution of Respondent Characteristics</w:t>
      </w:r>
    </w:p>
    <w:tbl>
      <w:tblPr>
        <w:tblW w:w="792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510"/>
        <w:gridCol w:w="1620"/>
        <w:gridCol w:w="2790"/>
      </w:tblGrid>
      <w:tr w:rsidR="00DC5C0A" w:rsidRPr="00A479E8" w14:paraId="782F6612" w14:textId="77777777" w:rsidTr="00EB28C0">
        <w:trPr>
          <w:trHeight w:val="57"/>
          <w:tblHeader/>
          <w:jc w:val="center"/>
        </w:trPr>
        <w:tc>
          <w:tcPr>
            <w:tcW w:w="3510" w:type="dxa"/>
            <w:shd w:val="clear" w:color="auto" w:fill="auto"/>
            <w:hideMark/>
          </w:tcPr>
          <w:p w14:paraId="65D1EADC" w14:textId="77777777" w:rsidR="00DC5C0A" w:rsidRPr="00A479E8" w:rsidRDefault="00DC5C0A" w:rsidP="00146BE3">
            <w:pPr>
              <w:widowControl w:val="0"/>
              <w:autoSpaceDE w:val="0"/>
              <w:autoSpaceDN w:val="0"/>
              <w:rPr>
                <w:rFonts w:ascii="Arial" w:hAnsi="Arial" w:cs="Arial"/>
                <w:b/>
              </w:rPr>
            </w:pPr>
            <w:r w:rsidRPr="00A479E8">
              <w:rPr>
                <w:rFonts w:ascii="Arial" w:hAnsi="Arial" w:cs="Arial"/>
                <w:b/>
              </w:rPr>
              <w:t xml:space="preserve">Characteristics </w:t>
            </w:r>
          </w:p>
        </w:tc>
        <w:tc>
          <w:tcPr>
            <w:tcW w:w="1620" w:type="dxa"/>
            <w:shd w:val="clear" w:color="auto" w:fill="auto"/>
            <w:hideMark/>
          </w:tcPr>
          <w:p w14:paraId="412BEA8A" w14:textId="77777777" w:rsidR="00DC5C0A" w:rsidRPr="00A479E8" w:rsidRDefault="00DC5C0A" w:rsidP="00146BE3">
            <w:pPr>
              <w:widowControl w:val="0"/>
              <w:autoSpaceDE w:val="0"/>
              <w:autoSpaceDN w:val="0"/>
              <w:jc w:val="right"/>
              <w:rPr>
                <w:rFonts w:ascii="Arial" w:hAnsi="Arial" w:cs="Arial"/>
                <w:b/>
              </w:rPr>
            </w:pPr>
            <w:r w:rsidRPr="00A479E8">
              <w:rPr>
                <w:rFonts w:ascii="Arial" w:hAnsi="Arial" w:cs="Arial"/>
                <w:b/>
              </w:rPr>
              <w:t>Frequency</w:t>
            </w:r>
          </w:p>
          <w:p w14:paraId="4CD18A32" w14:textId="77777777" w:rsidR="00DC5C0A" w:rsidRPr="00A479E8" w:rsidRDefault="00DC5C0A" w:rsidP="00146BE3">
            <w:pPr>
              <w:widowControl w:val="0"/>
              <w:autoSpaceDE w:val="0"/>
              <w:autoSpaceDN w:val="0"/>
              <w:jc w:val="right"/>
              <w:rPr>
                <w:rFonts w:ascii="Arial" w:hAnsi="Arial" w:cs="Arial"/>
                <w:b/>
              </w:rPr>
            </w:pPr>
            <w:r w:rsidRPr="00A479E8">
              <w:rPr>
                <w:rFonts w:ascii="Arial" w:hAnsi="Arial" w:cs="Arial"/>
                <w:b/>
              </w:rPr>
              <w:t>(f)</w:t>
            </w:r>
          </w:p>
        </w:tc>
        <w:tc>
          <w:tcPr>
            <w:tcW w:w="2790" w:type="dxa"/>
            <w:shd w:val="clear" w:color="auto" w:fill="auto"/>
            <w:hideMark/>
          </w:tcPr>
          <w:p w14:paraId="1DAF86BE" w14:textId="2A2BFF8F" w:rsidR="00DC5C0A" w:rsidRPr="00A479E8" w:rsidRDefault="00DC5C0A" w:rsidP="00146BE3">
            <w:pPr>
              <w:widowControl w:val="0"/>
              <w:autoSpaceDE w:val="0"/>
              <w:autoSpaceDN w:val="0"/>
              <w:jc w:val="right"/>
              <w:rPr>
                <w:rFonts w:ascii="Arial" w:hAnsi="Arial" w:cs="Arial"/>
                <w:b/>
                <w:lang w:val="id-ID"/>
              </w:rPr>
            </w:pPr>
            <w:r w:rsidRPr="00A479E8">
              <w:rPr>
                <w:rFonts w:ascii="Arial" w:hAnsi="Arial" w:cs="Arial"/>
                <w:b/>
              </w:rPr>
              <w:t>P</w:t>
            </w:r>
            <w:r w:rsidRPr="00A479E8">
              <w:rPr>
                <w:rFonts w:ascii="Arial" w:hAnsi="Arial" w:cs="Arial"/>
                <w:b/>
                <w:lang w:val="id-ID"/>
              </w:rPr>
              <w:t>e</w:t>
            </w:r>
            <w:proofErr w:type="spellStart"/>
            <w:r w:rsidRPr="00A479E8">
              <w:rPr>
                <w:rFonts w:ascii="Arial" w:hAnsi="Arial" w:cs="Arial"/>
                <w:b/>
              </w:rPr>
              <w:t>r</w:t>
            </w:r>
            <w:r w:rsidR="00E074E0">
              <w:rPr>
                <w:rFonts w:ascii="Arial" w:hAnsi="Arial" w:cs="Arial"/>
                <w:b/>
              </w:rPr>
              <w:t>c</w:t>
            </w:r>
            <w:r w:rsidRPr="00A479E8">
              <w:rPr>
                <w:rFonts w:ascii="Arial" w:hAnsi="Arial" w:cs="Arial"/>
                <w:b/>
              </w:rPr>
              <w:t>entage</w:t>
            </w:r>
            <w:proofErr w:type="spellEnd"/>
          </w:p>
          <w:p w14:paraId="71D0F40C" w14:textId="77777777" w:rsidR="00DC5C0A" w:rsidRPr="00A479E8" w:rsidRDefault="00DC5C0A" w:rsidP="00146BE3">
            <w:pPr>
              <w:widowControl w:val="0"/>
              <w:autoSpaceDE w:val="0"/>
              <w:autoSpaceDN w:val="0"/>
              <w:jc w:val="right"/>
              <w:rPr>
                <w:rFonts w:ascii="Arial" w:hAnsi="Arial" w:cs="Arial"/>
                <w:b/>
              </w:rPr>
            </w:pPr>
            <w:r w:rsidRPr="00A479E8">
              <w:rPr>
                <w:rFonts w:ascii="Arial" w:hAnsi="Arial" w:cs="Arial"/>
                <w:b/>
              </w:rPr>
              <w:t>(%)</w:t>
            </w:r>
          </w:p>
        </w:tc>
      </w:tr>
      <w:tr w:rsidR="00DC5C0A" w:rsidRPr="00A479E8" w14:paraId="00F616B3" w14:textId="77777777" w:rsidTr="00EB28C0">
        <w:trPr>
          <w:trHeight w:val="170"/>
          <w:jc w:val="center"/>
        </w:trPr>
        <w:tc>
          <w:tcPr>
            <w:tcW w:w="3510" w:type="dxa"/>
            <w:tcBorders>
              <w:bottom w:val="single" w:sz="4" w:space="0" w:color="auto"/>
            </w:tcBorders>
            <w:shd w:val="clear" w:color="auto" w:fill="auto"/>
          </w:tcPr>
          <w:p w14:paraId="4D6BA82A" w14:textId="77777777" w:rsidR="00DC5C0A" w:rsidRPr="00A479E8" w:rsidRDefault="00DC5C0A" w:rsidP="00146BE3">
            <w:pPr>
              <w:widowControl w:val="0"/>
              <w:autoSpaceDE w:val="0"/>
              <w:autoSpaceDN w:val="0"/>
              <w:rPr>
                <w:rFonts w:ascii="Arial" w:hAnsi="Arial" w:cs="Arial"/>
                <w:b/>
                <w:bCs/>
                <w:lang w:val="id-ID"/>
              </w:rPr>
            </w:pPr>
            <w:r w:rsidRPr="00A479E8">
              <w:rPr>
                <w:rFonts w:ascii="Arial" w:hAnsi="Arial" w:cs="Arial"/>
                <w:b/>
                <w:bCs/>
                <w:lang w:val="id-ID"/>
              </w:rPr>
              <w:t>Usia</w:t>
            </w:r>
          </w:p>
        </w:tc>
        <w:tc>
          <w:tcPr>
            <w:tcW w:w="1620" w:type="dxa"/>
            <w:tcBorders>
              <w:bottom w:val="single" w:sz="4" w:space="0" w:color="auto"/>
            </w:tcBorders>
            <w:shd w:val="clear" w:color="auto" w:fill="auto"/>
            <w:vAlign w:val="center"/>
          </w:tcPr>
          <w:p w14:paraId="361F3531" w14:textId="77777777" w:rsidR="00DC5C0A" w:rsidRPr="00A479E8" w:rsidRDefault="00DC5C0A" w:rsidP="00146BE3">
            <w:pPr>
              <w:widowControl w:val="0"/>
              <w:autoSpaceDE w:val="0"/>
              <w:autoSpaceDN w:val="0"/>
              <w:jc w:val="center"/>
              <w:rPr>
                <w:rFonts w:ascii="Arial" w:hAnsi="Arial" w:cs="Arial"/>
              </w:rPr>
            </w:pPr>
          </w:p>
        </w:tc>
        <w:tc>
          <w:tcPr>
            <w:tcW w:w="2790" w:type="dxa"/>
            <w:tcBorders>
              <w:bottom w:val="single" w:sz="4" w:space="0" w:color="auto"/>
            </w:tcBorders>
            <w:shd w:val="clear" w:color="auto" w:fill="auto"/>
            <w:vAlign w:val="center"/>
          </w:tcPr>
          <w:p w14:paraId="66485BC9" w14:textId="77777777" w:rsidR="00DC5C0A" w:rsidRPr="00A479E8" w:rsidRDefault="00DC5C0A" w:rsidP="00146BE3">
            <w:pPr>
              <w:widowControl w:val="0"/>
              <w:autoSpaceDE w:val="0"/>
              <w:autoSpaceDN w:val="0"/>
              <w:jc w:val="center"/>
              <w:rPr>
                <w:rFonts w:ascii="Arial" w:hAnsi="Arial" w:cs="Arial"/>
              </w:rPr>
            </w:pPr>
          </w:p>
        </w:tc>
      </w:tr>
      <w:tr w:rsidR="00DC5C0A" w:rsidRPr="00A479E8" w14:paraId="11FE5C53" w14:textId="77777777" w:rsidTr="00EB28C0">
        <w:trPr>
          <w:trHeight w:val="170"/>
          <w:jc w:val="center"/>
        </w:trPr>
        <w:tc>
          <w:tcPr>
            <w:tcW w:w="3510" w:type="dxa"/>
            <w:tcBorders>
              <w:bottom w:val="nil"/>
            </w:tcBorders>
            <w:shd w:val="clear" w:color="auto" w:fill="auto"/>
          </w:tcPr>
          <w:p w14:paraId="7BD17AFC" w14:textId="0BCD7A73" w:rsidR="00DC5C0A" w:rsidRPr="00A479E8" w:rsidRDefault="00DC5C0A" w:rsidP="00146BE3">
            <w:pPr>
              <w:widowControl w:val="0"/>
              <w:autoSpaceDE w:val="0"/>
              <w:autoSpaceDN w:val="0"/>
              <w:rPr>
                <w:rFonts w:ascii="Arial" w:hAnsi="Arial" w:cs="Arial"/>
              </w:rPr>
            </w:pPr>
            <w:r w:rsidRPr="00A479E8">
              <w:rPr>
                <w:rFonts w:ascii="Arial" w:hAnsi="Arial" w:cs="Arial"/>
                <w:lang w:val="id-ID"/>
              </w:rPr>
              <w:t xml:space="preserve">&lt;20 </w:t>
            </w:r>
            <w:r w:rsidR="00EC17D3" w:rsidRPr="00A479E8">
              <w:rPr>
                <w:rFonts w:ascii="Arial" w:hAnsi="Arial" w:cs="Arial"/>
                <w:lang w:val="id-ID"/>
              </w:rPr>
              <w:t xml:space="preserve">and &gt;35 </w:t>
            </w:r>
            <w:r w:rsidRPr="00A479E8">
              <w:rPr>
                <w:rFonts w:ascii="Arial" w:hAnsi="Arial" w:cs="Arial"/>
              </w:rPr>
              <w:t>Years</w:t>
            </w:r>
          </w:p>
        </w:tc>
        <w:tc>
          <w:tcPr>
            <w:tcW w:w="1620" w:type="dxa"/>
            <w:tcBorders>
              <w:bottom w:val="nil"/>
            </w:tcBorders>
            <w:shd w:val="clear" w:color="auto" w:fill="auto"/>
            <w:vAlign w:val="center"/>
          </w:tcPr>
          <w:p w14:paraId="2E680AF6" w14:textId="66696EAB" w:rsidR="00DC5C0A" w:rsidRPr="00A479E8" w:rsidRDefault="00EC17D3" w:rsidP="00146BE3">
            <w:pPr>
              <w:widowControl w:val="0"/>
              <w:autoSpaceDE w:val="0"/>
              <w:autoSpaceDN w:val="0"/>
              <w:jc w:val="right"/>
              <w:rPr>
                <w:rFonts w:ascii="Arial" w:hAnsi="Arial" w:cs="Arial"/>
                <w:lang w:val="id-ID"/>
              </w:rPr>
            </w:pPr>
            <w:r w:rsidRPr="00A479E8">
              <w:rPr>
                <w:rFonts w:ascii="Arial" w:hAnsi="Arial" w:cs="Arial"/>
                <w:lang w:val="id-ID"/>
              </w:rPr>
              <w:t>5</w:t>
            </w:r>
          </w:p>
        </w:tc>
        <w:tc>
          <w:tcPr>
            <w:tcW w:w="2790" w:type="dxa"/>
            <w:tcBorders>
              <w:bottom w:val="nil"/>
            </w:tcBorders>
            <w:shd w:val="clear" w:color="auto" w:fill="auto"/>
            <w:vAlign w:val="center"/>
          </w:tcPr>
          <w:p w14:paraId="687956A8" w14:textId="2540905C" w:rsidR="00DC5C0A" w:rsidRPr="00A479E8" w:rsidRDefault="00EC17D3" w:rsidP="00146BE3">
            <w:pPr>
              <w:widowControl w:val="0"/>
              <w:autoSpaceDE w:val="0"/>
              <w:autoSpaceDN w:val="0"/>
              <w:jc w:val="right"/>
              <w:rPr>
                <w:rFonts w:ascii="Arial" w:hAnsi="Arial" w:cs="Arial"/>
                <w:lang w:val="id-ID"/>
              </w:rPr>
            </w:pPr>
            <w:r w:rsidRPr="00A479E8">
              <w:rPr>
                <w:rFonts w:ascii="Arial" w:hAnsi="Arial" w:cs="Arial"/>
                <w:lang w:val="id-ID"/>
              </w:rPr>
              <w:t>13</w:t>
            </w:r>
          </w:p>
        </w:tc>
      </w:tr>
      <w:tr w:rsidR="00DC5C0A" w:rsidRPr="00A479E8" w14:paraId="37B711A2" w14:textId="77777777" w:rsidTr="00EB28C0">
        <w:trPr>
          <w:trHeight w:val="170"/>
          <w:jc w:val="center"/>
        </w:trPr>
        <w:tc>
          <w:tcPr>
            <w:tcW w:w="3510" w:type="dxa"/>
            <w:tcBorders>
              <w:top w:val="nil"/>
            </w:tcBorders>
            <w:shd w:val="clear" w:color="auto" w:fill="auto"/>
          </w:tcPr>
          <w:p w14:paraId="6628A834" w14:textId="77777777" w:rsidR="00DC5C0A" w:rsidRPr="00A479E8" w:rsidRDefault="00DC5C0A" w:rsidP="00146BE3">
            <w:pPr>
              <w:widowControl w:val="0"/>
              <w:autoSpaceDE w:val="0"/>
              <w:autoSpaceDN w:val="0"/>
              <w:rPr>
                <w:rFonts w:ascii="Arial" w:hAnsi="Arial" w:cs="Arial"/>
              </w:rPr>
            </w:pPr>
            <w:r w:rsidRPr="00A479E8">
              <w:rPr>
                <w:rFonts w:ascii="Arial" w:hAnsi="Arial" w:cs="Arial"/>
                <w:lang w:val="id-ID"/>
              </w:rPr>
              <w:t xml:space="preserve">20-35 </w:t>
            </w:r>
            <w:r w:rsidRPr="00A479E8">
              <w:rPr>
                <w:rFonts w:ascii="Arial" w:hAnsi="Arial" w:cs="Arial"/>
              </w:rPr>
              <w:t>Years</w:t>
            </w:r>
          </w:p>
          <w:p w14:paraId="40C9BABE" w14:textId="77777777" w:rsidR="00DC5C0A" w:rsidRPr="00A479E8" w:rsidRDefault="00DC5C0A" w:rsidP="00146BE3">
            <w:pPr>
              <w:widowControl w:val="0"/>
              <w:autoSpaceDE w:val="0"/>
              <w:autoSpaceDN w:val="0"/>
              <w:rPr>
                <w:rFonts w:ascii="Arial" w:hAnsi="Arial" w:cs="Arial"/>
              </w:rPr>
            </w:pPr>
            <w:r w:rsidRPr="00A479E8">
              <w:rPr>
                <w:rFonts w:ascii="Arial" w:hAnsi="Arial" w:cs="Arial"/>
                <w:lang w:val="id-ID"/>
              </w:rPr>
              <w:t xml:space="preserve">&gt;35 </w:t>
            </w:r>
            <w:r w:rsidRPr="00A479E8">
              <w:rPr>
                <w:rFonts w:ascii="Arial" w:hAnsi="Arial" w:cs="Arial"/>
              </w:rPr>
              <w:t>Years</w:t>
            </w:r>
          </w:p>
        </w:tc>
        <w:tc>
          <w:tcPr>
            <w:tcW w:w="1620" w:type="dxa"/>
            <w:tcBorders>
              <w:top w:val="nil"/>
            </w:tcBorders>
            <w:shd w:val="clear" w:color="auto" w:fill="auto"/>
            <w:vAlign w:val="center"/>
          </w:tcPr>
          <w:p w14:paraId="160DDB6D"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33</w:t>
            </w:r>
          </w:p>
          <w:p w14:paraId="2CA79441"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2</w:t>
            </w:r>
          </w:p>
        </w:tc>
        <w:tc>
          <w:tcPr>
            <w:tcW w:w="2790" w:type="dxa"/>
            <w:tcBorders>
              <w:top w:val="nil"/>
            </w:tcBorders>
            <w:shd w:val="clear" w:color="auto" w:fill="auto"/>
            <w:vAlign w:val="center"/>
          </w:tcPr>
          <w:p w14:paraId="33EF492C"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86,8</w:t>
            </w:r>
          </w:p>
          <w:p w14:paraId="7DD6E25D"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5.3</w:t>
            </w:r>
          </w:p>
        </w:tc>
      </w:tr>
      <w:tr w:rsidR="00DC5C0A" w:rsidRPr="00A479E8" w14:paraId="5F4A6116" w14:textId="77777777" w:rsidTr="00EB28C0">
        <w:trPr>
          <w:trHeight w:val="170"/>
          <w:jc w:val="center"/>
        </w:trPr>
        <w:tc>
          <w:tcPr>
            <w:tcW w:w="3510" w:type="dxa"/>
            <w:shd w:val="clear" w:color="auto" w:fill="auto"/>
          </w:tcPr>
          <w:p w14:paraId="052C3378"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Total</w:t>
            </w:r>
          </w:p>
        </w:tc>
        <w:tc>
          <w:tcPr>
            <w:tcW w:w="1620" w:type="dxa"/>
            <w:shd w:val="clear" w:color="auto" w:fill="auto"/>
            <w:vAlign w:val="center"/>
          </w:tcPr>
          <w:p w14:paraId="0BBF3E3D"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38</w:t>
            </w:r>
          </w:p>
        </w:tc>
        <w:tc>
          <w:tcPr>
            <w:tcW w:w="2790" w:type="dxa"/>
            <w:shd w:val="clear" w:color="auto" w:fill="auto"/>
            <w:vAlign w:val="center"/>
          </w:tcPr>
          <w:p w14:paraId="42C3741D"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100,0</w:t>
            </w:r>
          </w:p>
        </w:tc>
      </w:tr>
      <w:tr w:rsidR="00DC5C0A" w:rsidRPr="00A479E8" w14:paraId="049DC0EB" w14:textId="77777777" w:rsidTr="00EB28C0">
        <w:trPr>
          <w:trHeight w:val="170"/>
          <w:jc w:val="center"/>
        </w:trPr>
        <w:tc>
          <w:tcPr>
            <w:tcW w:w="3510" w:type="dxa"/>
            <w:tcBorders>
              <w:bottom w:val="single" w:sz="4" w:space="0" w:color="auto"/>
            </w:tcBorders>
            <w:shd w:val="clear" w:color="auto" w:fill="auto"/>
          </w:tcPr>
          <w:p w14:paraId="437B800E" w14:textId="77777777" w:rsidR="00DC5C0A" w:rsidRPr="00A479E8" w:rsidRDefault="00DC5C0A" w:rsidP="00146BE3">
            <w:pPr>
              <w:widowControl w:val="0"/>
              <w:autoSpaceDE w:val="0"/>
              <w:autoSpaceDN w:val="0"/>
              <w:rPr>
                <w:rFonts w:ascii="Arial" w:hAnsi="Arial" w:cs="Arial"/>
                <w:b/>
              </w:rPr>
            </w:pPr>
            <w:r w:rsidRPr="00A479E8">
              <w:rPr>
                <w:rFonts w:ascii="Arial" w:hAnsi="Arial" w:cs="Arial"/>
                <w:b/>
              </w:rPr>
              <w:t>Education</w:t>
            </w:r>
          </w:p>
        </w:tc>
        <w:tc>
          <w:tcPr>
            <w:tcW w:w="1620" w:type="dxa"/>
            <w:tcBorders>
              <w:bottom w:val="single" w:sz="4" w:space="0" w:color="auto"/>
            </w:tcBorders>
            <w:shd w:val="clear" w:color="auto" w:fill="auto"/>
          </w:tcPr>
          <w:p w14:paraId="73EC649C" w14:textId="77777777" w:rsidR="00DC5C0A" w:rsidRPr="00A479E8" w:rsidRDefault="00DC5C0A" w:rsidP="00146BE3">
            <w:pPr>
              <w:widowControl w:val="0"/>
              <w:autoSpaceDE w:val="0"/>
              <w:autoSpaceDN w:val="0"/>
              <w:jc w:val="center"/>
              <w:rPr>
                <w:rFonts w:ascii="Arial" w:hAnsi="Arial" w:cs="Arial"/>
                <w:b/>
                <w:lang w:val="id-ID"/>
              </w:rPr>
            </w:pPr>
          </w:p>
        </w:tc>
        <w:tc>
          <w:tcPr>
            <w:tcW w:w="2790" w:type="dxa"/>
            <w:tcBorders>
              <w:bottom w:val="single" w:sz="4" w:space="0" w:color="auto"/>
            </w:tcBorders>
            <w:shd w:val="clear" w:color="auto" w:fill="auto"/>
          </w:tcPr>
          <w:p w14:paraId="4EDCB878" w14:textId="77777777" w:rsidR="00DC5C0A" w:rsidRPr="00A479E8" w:rsidRDefault="00DC5C0A" w:rsidP="00146BE3">
            <w:pPr>
              <w:widowControl w:val="0"/>
              <w:autoSpaceDE w:val="0"/>
              <w:autoSpaceDN w:val="0"/>
              <w:jc w:val="center"/>
              <w:rPr>
                <w:rFonts w:ascii="Arial" w:hAnsi="Arial" w:cs="Arial"/>
                <w:b/>
                <w:lang w:val="id-ID"/>
              </w:rPr>
            </w:pPr>
          </w:p>
        </w:tc>
      </w:tr>
      <w:tr w:rsidR="00DC5C0A" w:rsidRPr="00A479E8" w14:paraId="1DD04885" w14:textId="77777777" w:rsidTr="00EB28C0">
        <w:trPr>
          <w:trHeight w:val="494"/>
          <w:jc w:val="center"/>
        </w:trPr>
        <w:tc>
          <w:tcPr>
            <w:tcW w:w="3510" w:type="dxa"/>
            <w:tcBorders>
              <w:bottom w:val="nil"/>
            </w:tcBorders>
            <w:shd w:val="clear" w:color="auto" w:fill="auto"/>
          </w:tcPr>
          <w:p w14:paraId="32FEAB5F" w14:textId="77777777" w:rsidR="00DC5C0A" w:rsidRPr="00A479E8" w:rsidRDefault="00DC5C0A" w:rsidP="00146BE3">
            <w:pPr>
              <w:widowControl w:val="0"/>
              <w:autoSpaceDE w:val="0"/>
              <w:autoSpaceDN w:val="0"/>
              <w:rPr>
                <w:rFonts w:ascii="Arial" w:hAnsi="Arial" w:cs="Arial"/>
                <w:color w:val="000000"/>
              </w:rPr>
            </w:pPr>
            <w:r w:rsidRPr="00A479E8">
              <w:rPr>
                <w:rFonts w:ascii="Arial" w:hAnsi="Arial" w:cs="Arial"/>
                <w:color w:val="000000"/>
              </w:rPr>
              <w:t>Elementary &amp; Junior High School</w:t>
            </w:r>
          </w:p>
          <w:p w14:paraId="6F013799" w14:textId="77777777" w:rsidR="00DC5C0A" w:rsidRPr="00A479E8" w:rsidRDefault="00DC5C0A" w:rsidP="00146BE3">
            <w:pPr>
              <w:widowControl w:val="0"/>
              <w:autoSpaceDE w:val="0"/>
              <w:autoSpaceDN w:val="0"/>
              <w:rPr>
                <w:rFonts w:ascii="Arial" w:hAnsi="Arial" w:cs="Arial"/>
              </w:rPr>
            </w:pPr>
            <w:r w:rsidRPr="00A479E8">
              <w:rPr>
                <w:rFonts w:ascii="Arial" w:hAnsi="Arial" w:cs="Arial"/>
                <w:color w:val="000000"/>
              </w:rPr>
              <w:t>Senior/Vocational High School</w:t>
            </w:r>
          </w:p>
        </w:tc>
        <w:tc>
          <w:tcPr>
            <w:tcW w:w="1620" w:type="dxa"/>
            <w:tcBorders>
              <w:bottom w:val="nil"/>
            </w:tcBorders>
            <w:shd w:val="clear" w:color="auto" w:fill="auto"/>
          </w:tcPr>
          <w:p w14:paraId="1CBECB7D"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8</w:t>
            </w:r>
          </w:p>
          <w:p w14:paraId="5E914B42"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30</w:t>
            </w:r>
          </w:p>
        </w:tc>
        <w:tc>
          <w:tcPr>
            <w:tcW w:w="2790" w:type="dxa"/>
            <w:tcBorders>
              <w:bottom w:val="nil"/>
            </w:tcBorders>
            <w:shd w:val="clear" w:color="auto" w:fill="auto"/>
          </w:tcPr>
          <w:p w14:paraId="0700FC72"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21,1</w:t>
            </w:r>
          </w:p>
          <w:p w14:paraId="4BE1503E"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78,9</w:t>
            </w:r>
          </w:p>
        </w:tc>
      </w:tr>
      <w:tr w:rsidR="00DC5C0A" w:rsidRPr="00A479E8" w14:paraId="2582C7E3" w14:textId="77777777" w:rsidTr="00EB28C0">
        <w:trPr>
          <w:trHeight w:val="170"/>
          <w:jc w:val="center"/>
        </w:trPr>
        <w:tc>
          <w:tcPr>
            <w:tcW w:w="3510" w:type="dxa"/>
            <w:tcBorders>
              <w:top w:val="nil"/>
            </w:tcBorders>
            <w:shd w:val="clear" w:color="auto" w:fill="auto"/>
          </w:tcPr>
          <w:p w14:paraId="5A7AE2AB" w14:textId="77777777" w:rsidR="00DC5C0A" w:rsidRPr="00A479E8" w:rsidRDefault="00DC5C0A" w:rsidP="00146BE3">
            <w:pPr>
              <w:widowControl w:val="0"/>
              <w:autoSpaceDE w:val="0"/>
              <w:autoSpaceDN w:val="0"/>
              <w:rPr>
                <w:rFonts w:ascii="Arial" w:hAnsi="Arial" w:cs="Arial"/>
                <w:lang w:val="id-ID"/>
              </w:rPr>
            </w:pPr>
            <w:r w:rsidRPr="00A479E8">
              <w:rPr>
                <w:rFonts w:ascii="Arial" w:hAnsi="Arial" w:cs="Arial"/>
                <w:color w:val="000000"/>
              </w:rPr>
              <w:t>Higher Education</w:t>
            </w:r>
          </w:p>
        </w:tc>
        <w:tc>
          <w:tcPr>
            <w:tcW w:w="1620" w:type="dxa"/>
            <w:tcBorders>
              <w:top w:val="nil"/>
            </w:tcBorders>
            <w:shd w:val="clear" w:color="auto" w:fill="auto"/>
          </w:tcPr>
          <w:p w14:paraId="3756977C"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0</w:t>
            </w:r>
          </w:p>
        </w:tc>
        <w:tc>
          <w:tcPr>
            <w:tcW w:w="2790" w:type="dxa"/>
            <w:tcBorders>
              <w:top w:val="nil"/>
            </w:tcBorders>
            <w:shd w:val="clear" w:color="auto" w:fill="auto"/>
          </w:tcPr>
          <w:p w14:paraId="0FFE2FF7"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0</w:t>
            </w:r>
          </w:p>
        </w:tc>
      </w:tr>
      <w:tr w:rsidR="00DC5C0A" w:rsidRPr="00A479E8" w14:paraId="6B1CA287" w14:textId="77777777" w:rsidTr="00EB28C0">
        <w:trPr>
          <w:trHeight w:val="170"/>
          <w:jc w:val="center"/>
        </w:trPr>
        <w:tc>
          <w:tcPr>
            <w:tcW w:w="3510" w:type="dxa"/>
            <w:shd w:val="clear" w:color="auto" w:fill="auto"/>
          </w:tcPr>
          <w:p w14:paraId="253B08F0"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Total</w:t>
            </w:r>
          </w:p>
        </w:tc>
        <w:tc>
          <w:tcPr>
            <w:tcW w:w="1620" w:type="dxa"/>
            <w:shd w:val="clear" w:color="auto" w:fill="auto"/>
          </w:tcPr>
          <w:p w14:paraId="64D29EE0"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38</w:t>
            </w:r>
          </w:p>
        </w:tc>
        <w:tc>
          <w:tcPr>
            <w:tcW w:w="2790" w:type="dxa"/>
            <w:shd w:val="clear" w:color="auto" w:fill="auto"/>
          </w:tcPr>
          <w:p w14:paraId="7F25E059"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100,0</w:t>
            </w:r>
          </w:p>
        </w:tc>
      </w:tr>
      <w:tr w:rsidR="00DC5C0A" w:rsidRPr="00A479E8" w14:paraId="125C3E11" w14:textId="77777777" w:rsidTr="00EB28C0">
        <w:trPr>
          <w:trHeight w:val="170"/>
          <w:jc w:val="center"/>
        </w:trPr>
        <w:tc>
          <w:tcPr>
            <w:tcW w:w="3510" w:type="dxa"/>
            <w:tcBorders>
              <w:bottom w:val="single" w:sz="4" w:space="0" w:color="auto"/>
            </w:tcBorders>
            <w:shd w:val="clear" w:color="auto" w:fill="auto"/>
          </w:tcPr>
          <w:p w14:paraId="4493F9F9" w14:textId="77777777" w:rsidR="00DC5C0A" w:rsidRPr="00A479E8" w:rsidRDefault="00DC5C0A" w:rsidP="00146BE3">
            <w:pPr>
              <w:widowControl w:val="0"/>
              <w:autoSpaceDE w:val="0"/>
              <w:autoSpaceDN w:val="0"/>
              <w:rPr>
                <w:rFonts w:ascii="Arial" w:hAnsi="Arial" w:cs="Arial"/>
                <w:b/>
              </w:rPr>
            </w:pPr>
            <w:r w:rsidRPr="00A479E8">
              <w:rPr>
                <w:rFonts w:ascii="Arial" w:hAnsi="Arial" w:cs="Arial"/>
                <w:b/>
              </w:rPr>
              <w:t>Jobs</w:t>
            </w:r>
          </w:p>
        </w:tc>
        <w:tc>
          <w:tcPr>
            <w:tcW w:w="1620" w:type="dxa"/>
            <w:tcBorders>
              <w:bottom w:val="single" w:sz="4" w:space="0" w:color="auto"/>
            </w:tcBorders>
            <w:shd w:val="clear" w:color="auto" w:fill="auto"/>
          </w:tcPr>
          <w:p w14:paraId="7BE992B4" w14:textId="77777777" w:rsidR="00DC5C0A" w:rsidRPr="00A479E8" w:rsidRDefault="00DC5C0A" w:rsidP="00146BE3">
            <w:pPr>
              <w:widowControl w:val="0"/>
              <w:autoSpaceDE w:val="0"/>
              <w:autoSpaceDN w:val="0"/>
              <w:jc w:val="right"/>
              <w:rPr>
                <w:rFonts w:ascii="Arial" w:hAnsi="Arial" w:cs="Arial"/>
                <w:b/>
                <w:lang w:val="id-ID"/>
              </w:rPr>
            </w:pPr>
          </w:p>
        </w:tc>
        <w:tc>
          <w:tcPr>
            <w:tcW w:w="2790" w:type="dxa"/>
            <w:tcBorders>
              <w:bottom w:val="single" w:sz="4" w:space="0" w:color="auto"/>
            </w:tcBorders>
            <w:shd w:val="clear" w:color="auto" w:fill="auto"/>
          </w:tcPr>
          <w:p w14:paraId="4AAE0E02" w14:textId="77777777" w:rsidR="00DC5C0A" w:rsidRPr="00A479E8" w:rsidRDefault="00DC5C0A" w:rsidP="00146BE3">
            <w:pPr>
              <w:widowControl w:val="0"/>
              <w:autoSpaceDE w:val="0"/>
              <w:autoSpaceDN w:val="0"/>
              <w:jc w:val="right"/>
              <w:rPr>
                <w:rFonts w:ascii="Arial" w:hAnsi="Arial" w:cs="Arial"/>
                <w:b/>
                <w:lang w:val="id-ID"/>
              </w:rPr>
            </w:pPr>
          </w:p>
        </w:tc>
      </w:tr>
      <w:tr w:rsidR="00DC5C0A" w:rsidRPr="00A479E8" w14:paraId="3133CB67" w14:textId="77777777" w:rsidTr="00EB28C0">
        <w:trPr>
          <w:trHeight w:val="170"/>
          <w:jc w:val="center"/>
        </w:trPr>
        <w:tc>
          <w:tcPr>
            <w:tcW w:w="3510" w:type="dxa"/>
            <w:tcBorders>
              <w:bottom w:val="nil"/>
            </w:tcBorders>
            <w:shd w:val="clear" w:color="auto" w:fill="auto"/>
          </w:tcPr>
          <w:p w14:paraId="77C5D5C2"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Unemployed</w:t>
            </w:r>
          </w:p>
        </w:tc>
        <w:tc>
          <w:tcPr>
            <w:tcW w:w="1620" w:type="dxa"/>
            <w:tcBorders>
              <w:bottom w:val="nil"/>
            </w:tcBorders>
            <w:shd w:val="clear" w:color="auto" w:fill="auto"/>
          </w:tcPr>
          <w:p w14:paraId="7BA66D88"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8</w:t>
            </w:r>
          </w:p>
        </w:tc>
        <w:tc>
          <w:tcPr>
            <w:tcW w:w="2790" w:type="dxa"/>
            <w:tcBorders>
              <w:bottom w:val="nil"/>
            </w:tcBorders>
            <w:shd w:val="clear" w:color="auto" w:fill="auto"/>
          </w:tcPr>
          <w:p w14:paraId="3AC4F690"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21,1</w:t>
            </w:r>
          </w:p>
        </w:tc>
      </w:tr>
      <w:tr w:rsidR="00DC5C0A" w:rsidRPr="00A479E8" w14:paraId="20D94200" w14:textId="77777777" w:rsidTr="00EB28C0">
        <w:trPr>
          <w:trHeight w:val="170"/>
          <w:jc w:val="center"/>
        </w:trPr>
        <w:tc>
          <w:tcPr>
            <w:tcW w:w="3510" w:type="dxa"/>
            <w:tcBorders>
              <w:top w:val="nil"/>
            </w:tcBorders>
            <w:shd w:val="clear" w:color="auto" w:fill="auto"/>
          </w:tcPr>
          <w:p w14:paraId="2B0F0722"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Employed</w:t>
            </w:r>
          </w:p>
        </w:tc>
        <w:tc>
          <w:tcPr>
            <w:tcW w:w="1620" w:type="dxa"/>
            <w:tcBorders>
              <w:top w:val="nil"/>
            </w:tcBorders>
            <w:shd w:val="clear" w:color="auto" w:fill="auto"/>
          </w:tcPr>
          <w:p w14:paraId="7A917F96"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30</w:t>
            </w:r>
          </w:p>
        </w:tc>
        <w:tc>
          <w:tcPr>
            <w:tcW w:w="2790" w:type="dxa"/>
            <w:tcBorders>
              <w:top w:val="nil"/>
            </w:tcBorders>
            <w:shd w:val="clear" w:color="auto" w:fill="auto"/>
          </w:tcPr>
          <w:p w14:paraId="3AD88E56"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78,9</w:t>
            </w:r>
          </w:p>
        </w:tc>
      </w:tr>
      <w:tr w:rsidR="00DC5C0A" w:rsidRPr="00A479E8" w14:paraId="600EC5B6" w14:textId="77777777" w:rsidTr="00EB28C0">
        <w:trPr>
          <w:trHeight w:val="170"/>
          <w:jc w:val="center"/>
        </w:trPr>
        <w:tc>
          <w:tcPr>
            <w:tcW w:w="3510" w:type="dxa"/>
            <w:shd w:val="clear" w:color="auto" w:fill="auto"/>
          </w:tcPr>
          <w:p w14:paraId="49C5BBC9"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Total</w:t>
            </w:r>
          </w:p>
        </w:tc>
        <w:tc>
          <w:tcPr>
            <w:tcW w:w="1620" w:type="dxa"/>
            <w:shd w:val="clear" w:color="auto" w:fill="auto"/>
          </w:tcPr>
          <w:p w14:paraId="41C1FA4B"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38</w:t>
            </w:r>
          </w:p>
        </w:tc>
        <w:tc>
          <w:tcPr>
            <w:tcW w:w="2790" w:type="dxa"/>
            <w:shd w:val="clear" w:color="auto" w:fill="auto"/>
          </w:tcPr>
          <w:p w14:paraId="49ABD4C7"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100,0</w:t>
            </w:r>
          </w:p>
        </w:tc>
      </w:tr>
      <w:tr w:rsidR="00DC5C0A" w:rsidRPr="00A479E8" w14:paraId="2F6212BA" w14:textId="77777777" w:rsidTr="00EB28C0">
        <w:trPr>
          <w:trHeight w:val="224"/>
          <w:jc w:val="center"/>
        </w:trPr>
        <w:tc>
          <w:tcPr>
            <w:tcW w:w="3510" w:type="dxa"/>
            <w:tcBorders>
              <w:bottom w:val="single" w:sz="4" w:space="0" w:color="auto"/>
            </w:tcBorders>
            <w:shd w:val="clear" w:color="auto" w:fill="auto"/>
          </w:tcPr>
          <w:p w14:paraId="31C3B4C7" w14:textId="77777777" w:rsidR="00DC5C0A" w:rsidRPr="00A479E8" w:rsidRDefault="00DC5C0A" w:rsidP="00146BE3">
            <w:pPr>
              <w:widowControl w:val="0"/>
              <w:autoSpaceDE w:val="0"/>
              <w:autoSpaceDN w:val="0"/>
              <w:rPr>
                <w:rFonts w:ascii="Arial" w:hAnsi="Arial" w:cs="Arial"/>
                <w:b/>
              </w:rPr>
            </w:pPr>
            <w:r w:rsidRPr="00A479E8">
              <w:rPr>
                <w:rFonts w:ascii="Arial" w:hAnsi="Arial" w:cs="Arial"/>
                <w:b/>
                <w:lang w:val="id-ID"/>
              </w:rPr>
              <w:t>Parit</w:t>
            </w:r>
            <w:r w:rsidRPr="00A479E8">
              <w:rPr>
                <w:rFonts w:ascii="Arial" w:hAnsi="Arial" w:cs="Arial"/>
                <w:b/>
              </w:rPr>
              <w:t>y</w:t>
            </w:r>
          </w:p>
        </w:tc>
        <w:tc>
          <w:tcPr>
            <w:tcW w:w="1620" w:type="dxa"/>
            <w:tcBorders>
              <w:bottom w:val="single" w:sz="4" w:space="0" w:color="auto"/>
            </w:tcBorders>
            <w:shd w:val="clear" w:color="auto" w:fill="auto"/>
          </w:tcPr>
          <w:p w14:paraId="3BFB1215" w14:textId="77777777" w:rsidR="00DC5C0A" w:rsidRPr="00A479E8" w:rsidRDefault="00DC5C0A" w:rsidP="00146BE3">
            <w:pPr>
              <w:widowControl w:val="0"/>
              <w:autoSpaceDE w:val="0"/>
              <w:autoSpaceDN w:val="0"/>
              <w:jc w:val="right"/>
              <w:rPr>
                <w:rFonts w:ascii="Arial" w:hAnsi="Arial" w:cs="Arial"/>
                <w:b/>
                <w:lang w:val="id-ID"/>
              </w:rPr>
            </w:pPr>
          </w:p>
        </w:tc>
        <w:tc>
          <w:tcPr>
            <w:tcW w:w="2790" w:type="dxa"/>
            <w:tcBorders>
              <w:bottom w:val="single" w:sz="4" w:space="0" w:color="auto"/>
            </w:tcBorders>
            <w:shd w:val="clear" w:color="auto" w:fill="auto"/>
          </w:tcPr>
          <w:p w14:paraId="29F176AA" w14:textId="77777777" w:rsidR="00DC5C0A" w:rsidRPr="00A479E8" w:rsidRDefault="00DC5C0A" w:rsidP="00146BE3">
            <w:pPr>
              <w:widowControl w:val="0"/>
              <w:autoSpaceDE w:val="0"/>
              <w:autoSpaceDN w:val="0"/>
              <w:jc w:val="right"/>
              <w:rPr>
                <w:rFonts w:ascii="Arial" w:hAnsi="Arial" w:cs="Arial"/>
                <w:b/>
                <w:lang w:val="id-ID"/>
              </w:rPr>
            </w:pPr>
          </w:p>
        </w:tc>
      </w:tr>
      <w:tr w:rsidR="00DC5C0A" w:rsidRPr="00A479E8" w14:paraId="7E38BF94" w14:textId="77777777" w:rsidTr="00EB28C0">
        <w:trPr>
          <w:trHeight w:val="170"/>
          <w:jc w:val="center"/>
        </w:trPr>
        <w:tc>
          <w:tcPr>
            <w:tcW w:w="3510" w:type="dxa"/>
            <w:tcBorders>
              <w:bottom w:val="nil"/>
            </w:tcBorders>
            <w:shd w:val="clear" w:color="auto" w:fill="auto"/>
          </w:tcPr>
          <w:p w14:paraId="60754189" w14:textId="77777777" w:rsidR="00DC5C0A" w:rsidRPr="00A479E8" w:rsidRDefault="00DC5C0A" w:rsidP="00146BE3">
            <w:pPr>
              <w:widowControl w:val="0"/>
              <w:autoSpaceDE w:val="0"/>
              <w:autoSpaceDN w:val="0"/>
              <w:rPr>
                <w:rFonts w:ascii="Arial" w:hAnsi="Arial" w:cs="Arial"/>
              </w:rPr>
            </w:pPr>
            <w:r w:rsidRPr="00A479E8">
              <w:rPr>
                <w:rFonts w:ascii="Arial" w:hAnsi="Arial" w:cs="Arial"/>
                <w:lang w:val="id-ID"/>
              </w:rPr>
              <w:t>Primipar</w:t>
            </w:r>
            <w:proofErr w:type="spellStart"/>
            <w:r w:rsidRPr="00A479E8">
              <w:rPr>
                <w:rFonts w:ascii="Arial" w:hAnsi="Arial" w:cs="Arial"/>
              </w:rPr>
              <w:t>ous</w:t>
            </w:r>
            <w:proofErr w:type="spellEnd"/>
          </w:p>
        </w:tc>
        <w:tc>
          <w:tcPr>
            <w:tcW w:w="1620" w:type="dxa"/>
            <w:tcBorders>
              <w:bottom w:val="nil"/>
            </w:tcBorders>
            <w:shd w:val="clear" w:color="auto" w:fill="auto"/>
          </w:tcPr>
          <w:p w14:paraId="0D60080E"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6</w:t>
            </w:r>
          </w:p>
        </w:tc>
        <w:tc>
          <w:tcPr>
            <w:tcW w:w="2790" w:type="dxa"/>
            <w:tcBorders>
              <w:bottom w:val="nil"/>
            </w:tcBorders>
            <w:shd w:val="clear" w:color="auto" w:fill="auto"/>
          </w:tcPr>
          <w:p w14:paraId="3821A80D"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15,8</w:t>
            </w:r>
          </w:p>
        </w:tc>
      </w:tr>
      <w:tr w:rsidR="00DC5C0A" w:rsidRPr="00A479E8" w14:paraId="00E10CBA" w14:textId="77777777" w:rsidTr="00EB28C0">
        <w:trPr>
          <w:trHeight w:val="170"/>
          <w:jc w:val="center"/>
        </w:trPr>
        <w:tc>
          <w:tcPr>
            <w:tcW w:w="3510" w:type="dxa"/>
            <w:tcBorders>
              <w:top w:val="nil"/>
              <w:bottom w:val="nil"/>
            </w:tcBorders>
            <w:shd w:val="clear" w:color="auto" w:fill="auto"/>
          </w:tcPr>
          <w:p w14:paraId="621A8E32" w14:textId="77777777" w:rsidR="00DC5C0A" w:rsidRPr="00A479E8" w:rsidRDefault="00DC5C0A" w:rsidP="00146BE3">
            <w:pPr>
              <w:widowControl w:val="0"/>
              <w:autoSpaceDE w:val="0"/>
              <w:autoSpaceDN w:val="0"/>
              <w:rPr>
                <w:rFonts w:ascii="Arial" w:hAnsi="Arial" w:cs="Arial"/>
              </w:rPr>
            </w:pPr>
            <w:r w:rsidRPr="00A479E8">
              <w:rPr>
                <w:rFonts w:ascii="Arial" w:hAnsi="Arial" w:cs="Arial"/>
                <w:lang w:val="id-ID"/>
              </w:rPr>
              <w:t>Multipar</w:t>
            </w:r>
            <w:proofErr w:type="spellStart"/>
            <w:r w:rsidRPr="00A479E8">
              <w:rPr>
                <w:rFonts w:ascii="Arial" w:hAnsi="Arial" w:cs="Arial"/>
              </w:rPr>
              <w:t>ous</w:t>
            </w:r>
            <w:proofErr w:type="spellEnd"/>
          </w:p>
        </w:tc>
        <w:tc>
          <w:tcPr>
            <w:tcW w:w="1620" w:type="dxa"/>
            <w:tcBorders>
              <w:top w:val="nil"/>
              <w:bottom w:val="nil"/>
            </w:tcBorders>
            <w:shd w:val="clear" w:color="auto" w:fill="auto"/>
          </w:tcPr>
          <w:p w14:paraId="2FCDF0B4"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26</w:t>
            </w:r>
          </w:p>
        </w:tc>
        <w:tc>
          <w:tcPr>
            <w:tcW w:w="2790" w:type="dxa"/>
            <w:tcBorders>
              <w:top w:val="nil"/>
              <w:bottom w:val="nil"/>
            </w:tcBorders>
            <w:shd w:val="clear" w:color="auto" w:fill="auto"/>
          </w:tcPr>
          <w:p w14:paraId="0A97E962"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68,4</w:t>
            </w:r>
          </w:p>
        </w:tc>
      </w:tr>
      <w:tr w:rsidR="00DC5C0A" w:rsidRPr="00A479E8" w14:paraId="6B77E81D" w14:textId="77777777" w:rsidTr="00EB28C0">
        <w:trPr>
          <w:trHeight w:val="170"/>
          <w:jc w:val="center"/>
        </w:trPr>
        <w:tc>
          <w:tcPr>
            <w:tcW w:w="3510" w:type="dxa"/>
            <w:tcBorders>
              <w:top w:val="nil"/>
            </w:tcBorders>
            <w:shd w:val="clear" w:color="auto" w:fill="auto"/>
          </w:tcPr>
          <w:p w14:paraId="54B1F0EB" w14:textId="77777777" w:rsidR="00DC5C0A" w:rsidRPr="00A479E8" w:rsidRDefault="00DC5C0A" w:rsidP="00146BE3">
            <w:pPr>
              <w:widowControl w:val="0"/>
              <w:autoSpaceDE w:val="0"/>
              <w:autoSpaceDN w:val="0"/>
              <w:rPr>
                <w:rFonts w:ascii="Arial" w:hAnsi="Arial" w:cs="Arial"/>
              </w:rPr>
            </w:pPr>
            <w:r w:rsidRPr="00A479E8">
              <w:rPr>
                <w:rFonts w:ascii="Arial" w:hAnsi="Arial" w:cs="Arial"/>
                <w:lang w:val="id-ID"/>
              </w:rPr>
              <w:t>Grande Multipar</w:t>
            </w:r>
            <w:proofErr w:type="spellStart"/>
            <w:r w:rsidRPr="00A479E8">
              <w:rPr>
                <w:rFonts w:ascii="Arial" w:hAnsi="Arial" w:cs="Arial"/>
              </w:rPr>
              <w:t>ous</w:t>
            </w:r>
            <w:proofErr w:type="spellEnd"/>
          </w:p>
        </w:tc>
        <w:tc>
          <w:tcPr>
            <w:tcW w:w="1620" w:type="dxa"/>
            <w:tcBorders>
              <w:top w:val="nil"/>
            </w:tcBorders>
            <w:shd w:val="clear" w:color="auto" w:fill="auto"/>
          </w:tcPr>
          <w:p w14:paraId="49744DCD"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6</w:t>
            </w:r>
          </w:p>
        </w:tc>
        <w:tc>
          <w:tcPr>
            <w:tcW w:w="2790" w:type="dxa"/>
            <w:tcBorders>
              <w:top w:val="nil"/>
            </w:tcBorders>
            <w:shd w:val="clear" w:color="auto" w:fill="auto"/>
          </w:tcPr>
          <w:p w14:paraId="0DD97C08"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15,8</w:t>
            </w:r>
          </w:p>
        </w:tc>
      </w:tr>
      <w:tr w:rsidR="00DC5C0A" w:rsidRPr="00A479E8" w14:paraId="2F3CA6EB" w14:textId="77777777" w:rsidTr="00EB28C0">
        <w:trPr>
          <w:trHeight w:val="170"/>
          <w:jc w:val="center"/>
        </w:trPr>
        <w:tc>
          <w:tcPr>
            <w:tcW w:w="3510" w:type="dxa"/>
            <w:shd w:val="clear" w:color="auto" w:fill="auto"/>
          </w:tcPr>
          <w:p w14:paraId="72109CFD"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Total</w:t>
            </w:r>
          </w:p>
        </w:tc>
        <w:tc>
          <w:tcPr>
            <w:tcW w:w="1620" w:type="dxa"/>
            <w:shd w:val="clear" w:color="auto" w:fill="auto"/>
          </w:tcPr>
          <w:p w14:paraId="02638AE1"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38</w:t>
            </w:r>
          </w:p>
        </w:tc>
        <w:tc>
          <w:tcPr>
            <w:tcW w:w="2790" w:type="dxa"/>
            <w:shd w:val="clear" w:color="auto" w:fill="auto"/>
          </w:tcPr>
          <w:p w14:paraId="3FD37BAE"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100,0</w:t>
            </w:r>
          </w:p>
        </w:tc>
      </w:tr>
      <w:tr w:rsidR="00DC5C0A" w:rsidRPr="00A479E8" w14:paraId="09571B12" w14:textId="77777777" w:rsidTr="00EB28C0">
        <w:trPr>
          <w:trHeight w:val="170"/>
          <w:jc w:val="center"/>
        </w:trPr>
        <w:tc>
          <w:tcPr>
            <w:tcW w:w="3510" w:type="dxa"/>
            <w:tcBorders>
              <w:bottom w:val="single" w:sz="4" w:space="0" w:color="auto"/>
            </w:tcBorders>
            <w:shd w:val="clear" w:color="auto" w:fill="auto"/>
          </w:tcPr>
          <w:p w14:paraId="44DC54A5" w14:textId="77777777" w:rsidR="00DC5C0A" w:rsidRPr="00A479E8" w:rsidRDefault="00DC5C0A" w:rsidP="00146BE3">
            <w:pPr>
              <w:widowControl w:val="0"/>
              <w:autoSpaceDE w:val="0"/>
              <w:autoSpaceDN w:val="0"/>
              <w:rPr>
                <w:rFonts w:ascii="Arial" w:hAnsi="Arial" w:cs="Arial"/>
                <w:b/>
                <w:bCs/>
              </w:rPr>
            </w:pPr>
            <w:r w:rsidRPr="00A479E8">
              <w:rPr>
                <w:rFonts w:ascii="Arial" w:hAnsi="Arial" w:cs="Arial"/>
                <w:b/>
                <w:bCs/>
              </w:rPr>
              <w:t>Antenatal Class Participation</w:t>
            </w:r>
          </w:p>
        </w:tc>
        <w:tc>
          <w:tcPr>
            <w:tcW w:w="1620" w:type="dxa"/>
            <w:tcBorders>
              <w:bottom w:val="single" w:sz="4" w:space="0" w:color="auto"/>
            </w:tcBorders>
            <w:shd w:val="clear" w:color="auto" w:fill="auto"/>
          </w:tcPr>
          <w:p w14:paraId="53A81E86" w14:textId="77777777" w:rsidR="00DC5C0A" w:rsidRPr="00A479E8" w:rsidRDefault="00DC5C0A" w:rsidP="00146BE3">
            <w:pPr>
              <w:widowControl w:val="0"/>
              <w:autoSpaceDE w:val="0"/>
              <w:autoSpaceDN w:val="0"/>
              <w:jc w:val="right"/>
              <w:rPr>
                <w:rFonts w:ascii="Arial" w:hAnsi="Arial" w:cs="Arial"/>
                <w:lang w:val="id-ID"/>
              </w:rPr>
            </w:pPr>
          </w:p>
        </w:tc>
        <w:tc>
          <w:tcPr>
            <w:tcW w:w="2790" w:type="dxa"/>
            <w:tcBorders>
              <w:bottom w:val="single" w:sz="4" w:space="0" w:color="auto"/>
            </w:tcBorders>
            <w:shd w:val="clear" w:color="auto" w:fill="auto"/>
          </w:tcPr>
          <w:p w14:paraId="73A7D9B0" w14:textId="77777777" w:rsidR="00DC5C0A" w:rsidRPr="00A479E8" w:rsidRDefault="00DC5C0A" w:rsidP="00146BE3">
            <w:pPr>
              <w:widowControl w:val="0"/>
              <w:autoSpaceDE w:val="0"/>
              <w:autoSpaceDN w:val="0"/>
              <w:jc w:val="right"/>
              <w:rPr>
                <w:rFonts w:ascii="Arial" w:hAnsi="Arial" w:cs="Arial"/>
                <w:lang w:val="id-ID"/>
              </w:rPr>
            </w:pPr>
          </w:p>
        </w:tc>
      </w:tr>
      <w:tr w:rsidR="00DC5C0A" w:rsidRPr="00A479E8" w14:paraId="6E1578B2" w14:textId="77777777" w:rsidTr="00EB28C0">
        <w:trPr>
          <w:trHeight w:val="170"/>
          <w:jc w:val="center"/>
        </w:trPr>
        <w:tc>
          <w:tcPr>
            <w:tcW w:w="3510" w:type="dxa"/>
            <w:tcBorders>
              <w:bottom w:val="nil"/>
            </w:tcBorders>
            <w:shd w:val="clear" w:color="auto" w:fill="auto"/>
          </w:tcPr>
          <w:p w14:paraId="6DB624D4"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Not Joining</w:t>
            </w:r>
          </w:p>
        </w:tc>
        <w:tc>
          <w:tcPr>
            <w:tcW w:w="1620" w:type="dxa"/>
            <w:tcBorders>
              <w:bottom w:val="nil"/>
            </w:tcBorders>
            <w:shd w:val="clear" w:color="auto" w:fill="auto"/>
          </w:tcPr>
          <w:p w14:paraId="7FAFC80E"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21</w:t>
            </w:r>
          </w:p>
        </w:tc>
        <w:tc>
          <w:tcPr>
            <w:tcW w:w="2790" w:type="dxa"/>
            <w:tcBorders>
              <w:bottom w:val="nil"/>
            </w:tcBorders>
            <w:shd w:val="clear" w:color="auto" w:fill="auto"/>
          </w:tcPr>
          <w:p w14:paraId="159AC8C9"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55,3</w:t>
            </w:r>
          </w:p>
        </w:tc>
      </w:tr>
      <w:tr w:rsidR="00DC5C0A" w:rsidRPr="00A479E8" w14:paraId="58FF0C4E" w14:textId="77777777" w:rsidTr="00EB28C0">
        <w:trPr>
          <w:trHeight w:val="170"/>
          <w:jc w:val="center"/>
        </w:trPr>
        <w:tc>
          <w:tcPr>
            <w:tcW w:w="3510" w:type="dxa"/>
            <w:tcBorders>
              <w:top w:val="nil"/>
            </w:tcBorders>
            <w:shd w:val="clear" w:color="auto" w:fill="auto"/>
          </w:tcPr>
          <w:p w14:paraId="48C42EEA"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Join</w:t>
            </w:r>
          </w:p>
        </w:tc>
        <w:tc>
          <w:tcPr>
            <w:tcW w:w="1620" w:type="dxa"/>
            <w:tcBorders>
              <w:top w:val="nil"/>
            </w:tcBorders>
            <w:shd w:val="clear" w:color="auto" w:fill="auto"/>
          </w:tcPr>
          <w:p w14:paraId="2948905D"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17</w:t>
            </w:r>
          </w:p>
        </w:tc>
        <w:tc>
          <w:tcPr>
            <w:tcW w:w="2790" w:type="dxa"/>
            <w:tcBorders>
              <w:top w:val="nil"/>
            </w:tcBorders>
            <w:shd w:val="clear" w:color="auto" w:fill="auto"/>
          </w:tcPr>
          <w:p w14:paraId="5FD712F4"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44,7</w:t>
            </w:r>
          </w:p>
        </w:tc>
      </w:tr>
      <w:tr w:rsidR="00DC5C0A" w:rsidRPr="00A479E8" w14:paraId="6D82EB74" w14:textId="77777777" w:rsidTr="00EB28C0">
        <w:trPr>
          <w:trHeight w:val="170"/>
          <w:jc w:val="center"/>
        </w:trPr>
        <w:tc>
          <w:tcPr>
            <w:tcW w:w="3510" w:type="dxa"/>
            <w:shd w:val="clear" w:color="auto" w:fill="auto"/>
          </w:tcPr>
          <w:p w14:paraId="4B87FB3B"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Total</w:t>
            </w:r>
          </w:p>
        </w:tc>
        <w:tc>
          <w:tcPr>
            <w:tcW w:w="1620" w:type="dxa"/>
            <w:shd w:val="clear" w:color="auto" w:fill="auto"/>
          </w:tcPr>
          <w:p w14:paraId="3ABDD9AE"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38</w:t>
            </w:r>
          </w:p>
        </w:tc>
        <w:tc>
          <w:tcPr>
            <w:tcW w:w="2790" w:type="dxa"/>
            <w:shd w:val="clear" w:color="auto" w:fill="auto"/>
          </w:tcPr>
          <w:p w14:paraId="2054BA7C"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100,0</w:t>
            </w:r>
          </w:p>
        </w:tc>
      </w:tr>
      <w:tr w:rsidR="00DC5C0A" w:rsidRPr="00A479E8" w14:paraId="2BD2C1A4" w14:textId="77777777" w:rsidTr="00EB28C0">
        <w:trPr>
          <w:trHeight w:val="170"/>
          <w:jc w:val="center"/>
        </w:trPr>
        <w:tc>
          <w:tcPr>
            <w:tcW w:w="3510" w:type="dxa"/>
            <w:tcBorders>
              <w:bottom w:val="single" w:sz="4" w:space="0" w:color="auto"/>
            </w:tcBorders>
            <w:shd w:val="clear" w:color="auto" w:fill="auto"/>
          </w:tcPr>
          <w:p w14:paraId="528FBB20" w14:textId="77777777" w:rsidR="00DC5C0A" w:rsidRPr="00A479E8" w:rsidRDefault="00DC5C0A" w:rsidP="00146BE3">
            <w:pPr>
              <w:widowControl w:val="0"/>
              <w:autoSpaceDE w:val="0"/>
              <w:autoSpaceDN w:val="0"/>
              <w:rPr>
                <w:rFonts w:ascii="Arial" w:hAnsi="Arial" w:cs="Arial"/>
                <w:b/>
                <w:bCs/>
              </w:rPr>
            </w:pPr>
            <w:r w:rsidRPr="00A479E8">
              <w:rPr>
                <w:rFonts w:ascii="Arial" w:hAnsi="Arial" w:cs="Arial"/>
                <w:b/>
                <w:bCs/>
              </w:rPr>
              <w:t>Education during ANC Visit</w:t>
            </w:r>
          </w:p>
        </w:tc>
        <w:tc>
          <w:tcPr>
            <w:tcW w:w="1620" w:type="dxa"/>
            <w:tcBorders>
              <w:bottom w:val="single" w:sz="4" w:space="0" w:color="auto"/>
            </w:tcBorders>
            <w:shd w:val="clear" w:color="auto" w:fill="auto"/>
          </w:tcPr>
          <w:p w14:paraId="6F0A895F" w14:textId="77777777" w:rsidR="00DC5C0A" w:rsidRPr="00A479E8" w:rsidRDefault="00DC5C0A" w:rsidP="00146BE3">
            <w:pPr>
              <w:widowControl w:val="0"/>
              <w:autoSpaceDE w:val="0"/>
              <w:autoSpaceDN w:val="0"/>
              <w:jc w:val="right"/>
              <w:rPr>
                <w:rFonts w:ascii="Arial" w:hAnsi="Arial" w:cs="Arial"/>
                <w:lang w:val="id-ID"/>
              </w:rPr>
            </w:pPr>
          </w:p>
        </w:tc>
        <w:tc>
          <w:tcPr>
            <w:tcW w:w="2790" w:type="dxa"/>
            <w:tcBorders>
              <w:bottom w:val="single" w:sz="4" w:space="0" w:color="auto"/>
            </w:tcBorders>
            <w:shd w:val="clear" w:color="auto" w:fill="auto"/>
          </w:tcPr>
          <w:p w14:paraId="0244FE0C" w14:textId="77777777" w:rsidR="00DC5C0A" w:rsidRPr="00A479E8" w:rsidRDefault="00DC5C0A" w:rsidP="00146BE3">
            <w:pPr>
              <w:widowControl w:val="0"/>
              <w:autoSpaceDE w:val="0"/>
              <w:autoSpaceDN w:val="0"/>
              <w:jc w:val="right"/>
              <w:rPr>
                <w:rFonts w:ascii="Arial" w:hAnsi="Arial" w:cs="Arial"/>
                <w:lang w:val="id-ID"/>
              </w:rPr>
            </w:pPr>
          </w:p>
        </w:tc>
      </w:tr>
      <w:tr w:rsidR="00DC5C0A" w:rsidRPr="00A479E8" w14:paraId="3602CC2E" w14:textId="77777777" w:rsidTr="00EB28C0">
        <w:trPr>
          <w:trHeight w:val="170"/>
          <w:jc w:val="center"/>
        </w:trPr>
        <w:tc>
          <w:tcPr>
            <w:tcW w:w="3510" w:type="dxa"/>
            <w:tcBorders>
              <w:bottom w:val="nil"/>
            </w:tcBorders>
            <w:shd w:val="clear" w:color="auto" w:fill="auto"/>
          </w:tcPr>
          <w:p w14:paraId="4F5B7BA8"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Non-Standard Compliant</w:t>
            </w:r>
          </w:p>
        </w:tc>
        <w:tc>
          <w:tcPr>
            <w:tcW w:w="1620" w:type="dxa"/>
            <w:tcBorders>
              <w:bottom w:val="nil"/>
            </w:tcBorders>
            <w:shd w:val="clear" w:color="auto" w:fill="auto"/>
          </w:tcPr>
          <w:p w14:paraId="03A3CD07"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18</w:t>
            </w:r>
          </w:p>
        </w:tc>
        <w:tc>
          <w:tcPr>
            <w:tcW w:w="2790" w:type="dxa"/>
            <w:tcBorders>
              <w:bottom w:val="nil"/>
            </w:tcBorders>
            <w:shd w:val="clear" w:color="auto" w:fill="auto"/>
          </w:tcPr>
          <w:p w14:paraId="3DFD35B9"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47,4</w:t>
            </w:r>
          </w:p>
        </w:tc>
      </w:tr>
      <w:tr w:rsidR="00DC5C0A" w:rsidRPr="00A479E8" w14:paraId="4B7BEAC0" w14:textId="77777777" w:rsidTr="00EB28C0">
        <w:trPr>
          <w:trHeight w:val="170"/>
          <w:jc w:val="center"/>
        </w:trPr>
        <w:tc>
          <w:tcPr>
            <w:tcW w:w="3510" w:type="dxa"/>
            <w:tcBorders>
              <w:top w:val="nil"/>
            </w:tcBorders>
            <w:shd w:val="clear" w:color="auto" w:fill="auto"/>
          </w:tcPr>
          <w:p w14:paraId="245FCF9D"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Standard Compliant</w:t>
            </w:r>
          </w:p>
        </w:tc>
        <w:tc>
          <w:tcPr>
            <w:tcW w:w="1620" w:type="dxa"/>
            <w:tcBorders>
              <w:top w:val="nil"/>
            </w:tcBorders>
            <w:shd w:val="clear" w:color="auto" w:fill="auto"/>
          </w:tcPr>
          <w:p w14:paraId="0AAC77C8"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20</w:t>
            </w:r>
          </w:p>
        </w:tc>
        <w:tc>
          <w:tcPr>
            <w:tcW w:w="2790" w:type="dxa"/>
            <w:tcBorders>
              <w:top w:val="nil"/>
            </w:tcBorders>
            <w:shd w:val="clear" w:color="auto" w:fill="auto"/>
          </w:tcPr>
          <w:p w14:paraId="157BDA8C"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52,6</w:t>
            </w:r>
          </w:p>
        </w:tc>
      </w:tr>
      <w:tr w:rsidR="00DC5C0A" w:rsidRPr="00A479E8" w14:paraId="76CDFF45" w14:textId="77777777" w:rsidTr="00EB28C0">
        <w:trPr>
          <w:trHeight w:val="170"/>
          <w:jc w:val="center"/>
        </w:trPr>
        <w:tc>
          <w:tcPr>
            <w:tcW w:w="3510" w:type="dxa"/>
            <w:shd w:val="clear" w:color="auto" w:fill="auto"/>
          </w:tcPr>
          <w:p w14:paraId="6BE9A2EF"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Total</w:t>
            </w:r>
          </w:p>
        </w:tc>
        <w:tc>
          <w:tcPr>
            <w:tcW w:w="1620" w:type="dxa"/>
            <w:shd w:val="clear" w:color="auto" w:fill="auto"/>
          </w:tcPr>
          <w:p w14:paraId="7D1CAD32"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38</w:t>
            </w:r>
          </w:p>
        </w:tc>
        <w:tc>
          <w:tcPr>
            <w:tcW w:w="2790" w:type="dxa"/>
            <w:shd w:val="clear" w:color="auto" w:fill="auto"/>
          </w:tcPr>
          <w:p w14:paraId="502D5977"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100,0</w:t>
            </w:r>
          </w:p>
        </w:tc>
      </w:tr>
      <w:tr w:rsidR="00DC5C0A" w:rsidRPr="00A479E8" w14:paraId="71BFDB8E" w14:textId="77777777" w:rsidTr="00EB28C0">
        <w:trPr>
          <w:trHeight w:val="170"/>
          <w:jc w:val="center"/>
        </w:trPr>
        <w:tc>
          <w:tcPr>
            <w:tcW w:w="3510" w:type="dxa"/>
            <w:tcBorders>
              <w:bottom w:val="single" w:sz="4" w:space="0" w:color="auto"/>
            </w:tcBorders>
            <w:shd w:val="clear" w:color="auto" w:fill="auto"/>
          </w:tcPr>
          <w:p w14:paraId="57C7007D" w14:textId="77777777" w:rsidR="00DC5C0A" w:rsidRPr="00A479E8" w:rsidRDefault="00DC5C0A" w:rsidP="00146BE3">
            <w:pPr>
              <w:widowControl w:val="0"/>
              <w:autoSpaceDE w:val="0"/>
              <w:autoSpaceDN w:val="0"/>
              <w:rPr>
                <w:rFonts w:ascii="Arial" w:hAnsi="Arial" w:cs="Arial"/>
                <w:b/>
                <w:bCs/>
              </w:rPr>
            </w:pPr>
            <w:r w:rsidRPr="00A479E8">
              <w:rPr>
                <w:rFonts w:ascii="Arial" w:hAnsi="Arial" w:cs="Arial"/>
                <w:b/>
                <w:bCs/>
              </w:rPr>
              <w:t>Level of Knowledge</w:t>
            </w:r>
          </w:p>
        </w:tc>
        <w:tc>
          <w:tcPr>
            <w:tcW w:w="1620" w:type="dxa"/>
            <w:tcBorders>
              <w:bottom w:val="single" w:sz="4" w:space="0" w:color="auto"/>
            </w:tcBorders>
            <w:shd w:val="clear" w:color="auto" w:fill="auto"/>
          </w:tcPr>
          <w:p w14:paraId="086A9028" w14:textId="77777777" w:rsidR="00DC5C0A" w:rsidRPr="00A479E8" w:rsidRDefault="00DC5C0A" w:rsidP="00146BE3">
            <w:pPr>
              <w:widowControl w:val="0"/>
              <w:autoSpaceDE w:val="0"/>
              <w:autoSpaceDN w:val="0"/>
              <w:jc w:val="right"/>
              <w:rPr>
                <w:rFonts w:ascii="Arial" w:hAnsi="Arial" w:cs="Arial"/>
                <w:lang w:val="id-ID"/>
              </w:rPr>
            </w:pPr>
          </w:p>
        </w:tc>
        <w:tc>
          <w:tcPr>
            <w:tcW w:w="2790" w:type="dxa"/>
            <w:tcBorders>
              <w:bottom w:val="single" w:sz="4" w:space="0" w:color="auto"/>
            </w:tcBorders>
            <w:shd w:val="clear" w:color="auto" w:fill="auto"/>
          </w:tcPr>
          <w:p w14:paraId="7B2912B6" w14:textId="77777777" w:rsidR="00DC5C0A" w:rsidRPr="00A479E8" w:rsidRDefault="00DC5C0A" w:rsidP="00146BE3">
            <w:pPr>
              <w:widowControl w:val="0"/>
              <w:autoSpaceDE w:val="0"/>
              <w:autoSpaceDN w:val="0"/>
              <w:jc w:val="right"/>
              <w:rPr>
                <w:rFonts w:ascii="Arial" w:hAnsi="Arial" w:cs="Arial"/>
                <w:lang w:val="id-ID"/>
              </w:rPr>
            </w:pPr>
          </w:p>
        </w:tc>
      </w:tr>
      <w:tr w:rsidR="00DC5C0A" w:rsidRPr="00A479E8" w14:paraId="61CF4B16" w14:textId="77777777" w:rsidTr="00EB28C0">
        <w:trPr>
          <w:trHeight w:val="170"/>
          <w:jc w:val="center"/>
        </w:trPr>
        <w:tc>
          <w:tcPr>
            <w:tcW w:w="3510" w:type="dxa"/>
            <w:tcBorders>
              <w:bottom w:val="nil"/>
            </w:tcBorders>
            <w:shd w:val="clear" w:color="auto" w:fill="auto"/>
          </w:tcPr>
          <w:p w14:paraId="6856D823"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Poor</w:t>
            </w:r>
          </w:p>
        </w:tc>
        <w:tc>
          <w:tcPr>
            <w:tcW w:w="1620" w:type="dxa"/>
            <w:tcBorders>
              <w:bottom w:val="nil"/>
            </w:tcBorders>
            <w:shd w:val="clear" w:color="auto" w:fill="auto"/>
          </w:tcPr>
          <w:p w14:paraId="66AE92CD"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0</w:t>
            </w:r>
          </w:p>
        </w:tc>
        <w:tc>
          <w:tcPr>
            <w:tcW w:w="2790" w:type="dxa"/>
            <w:tcBorders>
              <w:bottom w:val="nil"/>
            </w:tcBorders>
            <w:shd w:val="clear" w:color="auto" w:fill="auto"/>
          </w:tcPr>
          <w:p w14:paraId="5242A561"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0,0</w:t>
            </w:r>
          </w:p>
        </w:tc>
      </w:tr>
      <w:tr w:rsidR="00DC5C0A" w:rsidRPr="00A479E8" w14:paraId="36870ABF" w14:textId="77777777" w:rsidTr="00EB28C0">
        <w:trPr>
          <w:trHeight w:val="170"/>
          <w:jc w:val="center"/>
        </w:trPr>
        <w:tc>
          <w:tcPr>
            <w:tcW w:w="3510" w:type="dxa"/>
            <w:tcBorders>
              <w:top w:val="nil"/>
              <w:bottom w:val="nil"/>
            </w:tcBorders>
            <w:shd w:val="clear" w:color="auto" w:fill="auto"/>
          </w:tcPr>
          <w:p w14:paraId="68806474"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Moderate</w:t>
            </w:r>
          </w:p>
        </w:tc>
        <w:tc>
          <w:tcPr>
            <w:tcW w:w="1620" w:type="dxa"/>
            <w:tcBorders>
              <w:top w:val="nil"/>
              <w:bottom w:val="nil"/>
            </w:tcBorders>
            <w:shd w:val="clear" w:color="auto" w:fill="auto"/>
          </w:tcPr>
          <w:p w14:paraId="209AB1B3"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23</w:t>
            </w:r>
          </w:p>
        </w:tc>
        <w:tc>
          <w:tcPr>
            <w:tcW w:w="2790" w:type="dxa"/>
            <w:tcBorders>
              <w:top w:val="nil"/>
              <w:bottom w:val="nil"/>
            </w:tcBorders>
            <w:shd w:val="clear" w:color="auto" w:fill="auto"/>
          </w:tcPr>
          <w:p w14:paraId="699FE7A8"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60,5</w:t>
            </w:r>
          </w:p>
        </w:tc>
      </w:tr>
      <w:tr w:rsidR="00DC5C0A" w:rsidRPr="00A479E8" w14:paraId="1BCAAD23" w14:textId="77777777" w:rsidTr="00EB28C0">
        <w:trPr>
          <w:trHeight w:val="170"/>
          <w:jc w:val="center"/>
        </w:trPr>
        <w:tc>
          <w:tcPr>
            <w:tcW w:w="3510" w:type="dxa"/>
            <w:tcBorders>
              <w:top w:val="nil"/>
            </w:tcBorders>
            <w:shd w:val="clear" w:color="auto" w:fill="auto"/>
          </w:tcPr>
          <w:p w14:paraId="75B41EBF" w14:textId="77777777" w:rsidR="00DC5C0A" w:rsidRPr="00A479E8" w:rsidRDefault="00DC5C0A" w:rsidP="00146BE3">
            <w:pPr>
              <w:widowControl w:val="0"/>
              <w:autoSpaceDE w:val="0"/>
              <w:autoSpaceDN w:val="0"/>
              <w:rPr>
                <w:rFonts w:ascii="Arial" w:hAnsi="Arial" w:cs="Arial"/>
              </w:rPr>
            </w:pPr>
            <w:r w:rsidRPr="00A479E8">
              <w:rPr>
                <w:rFonts w:ascii="Arial" w:hAnsi="Arial" w:cs="Arial"/>
              </w:rPr>
              <w:t>Good</w:t>
            </w:r>
          </w:p>
        </w:tc>
        <w:tc>
          <w:tcPr>
            <w:tcW w:w="1620" w:type="dxa"/>
            <w:tcBorders>
              <w:top w:val="nil"/>
            </w:tcBorders>
            <w:shd w:val="clear" w:color="auto" w:fill="auto"/>
          </w:tcPr>
          <w:p w14:paraId="1A0C6BAB"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15</w:t>
            </w:r>
          </w:p>
        </w:tc>
        <w:tc>
          <w:tcPr>
            <w:tcW w:w="2790" w:type="dxa"/>
            <w:tcBorders>
              <w:top w:val="nil"/>
            </w:tcBorders>
            <w:shd w:val="clear" w:color="auto" w:fill="auto"/>
          </w:tcPr>
          <w:p w14:paraId="698B3059" w14:textId="77777777" w:rsidR="00DC5C0A" w:rsidRPr="00A479E8" w:rsidRDefault="00DC5C0A" w:rsidP="00146BE3">
            <w:pPr>
              <w:widowControl w:val="0"/>
              <w:autoSpaceDE w:val="0"/>
              <w:autoSpaceDN w:val="0"/>
              <w:jc w:val="right"/>
              <w:rPr>
                <w:rFonts w:ascii="Arial" w:hAnsi="Arial" w:cs="Arial"/>
                <w:lang w:val="id-ID"/>
              </w:rPr>
            </w:pPr>
            <w:r w:rsidRPr="00A479E8">
              <w:rPr>
                <w:rFonts w:ascii="Arial" w:hAnsi="Arial" w:cs="Arial"/>
                <w:lang w:val="id-ID"/>
              </w:rPr>
              <w:t>39,5</w:t>
            </w:r>
          </w:p>
        </w:tc>
      </w:tr>
      <w:tr w:rsidR="00DC5C0A" w:rsidRPr="00A479E8" w14:paraId="0D645176" w14:textId="77777777" w:rsidTr="00EB28C0">
        <w:trPr>
          <w:trHeight w:val="170"/>
          <w:jc w:val="center"/>
        </w:trPr>
        <w:tc>
          <w:tcPr>
            <w:tcW w:w="3510" w:type="dxa"/>
            <w:shd w:val="clear" w:color="auto" w:fill="auto"/>
          </w:tcPr>
          <w:p w14:paraId="4960D348" w14:textId="77777777" w:rsidR="00DC5C0A" w:rsidRPr="00A479E8" w:rsidRDefault="00DC5C0A" w:rsidP="00146BE3">
            <w:pPr>
              <w:widowControl w:val="0"/>
              <w:autoSpaceDE w:val="0"/>
              <w:autoSpaceDN w:val="0"/>
              <w:rPr>
                <w:rFonts w:ascii="Arial" w:hAnsi="Arial" w:cs="Arial"/>
                <w:b/>
              </w:rPr>
            </w:pPr>
            <w:r w:rsidRPr="00A479E8">
              <w:rPr>
                <w:rFonts w:ascii="Arial" w:hAnsi="Arial" w:cs="Arial"/>
                <w:b/>
              </w:rPr>
              <w:t>Total</w:t>
            </w:r>
          </w:p>
        </w:tc>
        <w:tc>
          <w:tcPr>
            <w:tcW w:w="1620" w:type="dxa"/>
            <w:shd w:val="clear" w:color="auto" w:fill="auto"/>
          </w:tcPr>
          <w:p w14:paraId="22965A82" w14:textId="77777777" w:rsidR="00DC5C0A" w:rsidRPr="00A479E8" w:rsidRDefault="00DC5C0A" w:rsidP="00146BE3">
            <w:pPr>
              <w:widowControl w:val="0"/>
              <w:autoSpaceDE w:val="0"/>
              <w:autoSpaceDN w:val="0"/>
              <w:jc w:val="right"/>
              <w:rPr>
                <w:rFonts w:ascii="Arial" w:hAnsi="Arial" w:cs="Arial"/>
                <w:b/>
                <w:lang w:val="id-ID"/>
              </w:rPr>
            </w:pPr>
            <w:r w:rsidRPr="00A479E8">
              <w:rPr>
                <w:rFonts w:ascii="Arial" w:hAnsi="Arial" w:cs="Arial"/>
                <w:b/>
                <w:lang w:val="id-ID"/>
              </w:rPr>
              <w:t>38</w:t>
            </w:r>
          </w:p>
        </w:tc>
        <w:tc>
          <w:tcPr>
            <w:tcW w:w="2790" w:type="dxa"/>
            <w:shd w:val="clear" w:color="auto" w:fill="auto"/>
          </w:tcPr>
          <w:p w14:paraId="7D1AEF89" w14:textId="77777777" w:rsidR="00DC5C0A" w:rsidRPr="00A479E8" w:rsidRDefault="00DC5C0A" w:rsidP="00146BE3">
            <w:pPr>
              <w:widowControl w:val="0"/>
              <w:autoSpaceDE w:val="0"/>
              <w:autoSpaceDN w:val="0"/>
              <w:jc w:val="right"/>
              <w:rPr>
                <w:rFonts w:ascii="Arial" w:hAnsi="Arial" w:cs="Arial"/>
                <w:b/>
                <w:lang w:val="id-ID"/>
              </w:rPr>
            </w:pPr>
            <w:r w:rsidRPr="00A479E8">
              <w:rPr>
                <w:rFonts w:ascii="Arial" w:hAnsi="Arial" w:cs="Arial"/>
                <w:b/>
                <w:lang w:val="id-ID"/>
              </w:rPr>
              <w:t>100,0</w:t>
            </w:r>
          </w:p>
        </w:tc>
      </w:tr>
    </w:tbl>
    <w:p w14:paraId="5C95C48D" w14:textId="77777777" w:rsidR="00DC5C0A" w:rsidRPr="00902FA1" w:rsidRDefault="00DC5C0A" w:rsidP="00146BE3">
      <w:pPr>
        <w:pStyle w:val="ISI"/>
        <w:spacing w:line="240" w:lineRule="auto"/>
        <w:rPr>
          <w:rFonts w:cs="Calibri"/>
        </w:rPr>
      </w:pPr>
    </w:p>
    <w:p w14:paraId="78A24743" w14:textId="77777777" w:rsidR="00DC5C0A" w:rsidRPr="00A479E8" w:rsidRDefault="00DC5C0A" w:rsidP="00146BE3">
      <w:pPr>
        <w:ind w:firstLine="446"/>
        <w:jc w:val="both"/>
        <w:rPr>
          <w:rFonts w:ascii="Arial" w:hAnsi="Arial" w:cs="Arial"/>
          <w:sz w:val="16"/>
          <w:szCs w:val="16"/>
        </w:rPr>
      </w:pPr>
      <w:r w:rsidRPr="00A479E8">
        <w:rPr>
          <w:rFonts w:ascii="Arial" w:hAnsi="Arial" w:cs="Arial"/>
        </w:rPr>
        <w:t>Table 2 illustrates the bivariate correlation between antenatal education history and the level of maternal knowledge about the danger signs of preeclampsia. Fisher Exact test results showed a significant correlation between participation in antenatal classes and maternal knowledge level (p = 0.000), and between education during ANC visits and maternal knowledge (p = 0.001).</w:t>
      </w:r>
    </w:p>
    <w:p w14:paraId="0494C0B7" w14:textId="77777777" w:rsidR="00DC5C0A" w:rsidRDefault="00DC5C0A" w:rsidP="00146BE3">
      <w:pPr>
        <w:jc w:val="center"/>
        <w:rPr>
          <w:rFonts w:ascii="Times New Roman" w:hAnsi="Times New Roman"/>
        </w:rPr>
      </w:pPr>
    </w:p>
    <w:p w14:paraId="63A07464" w14:textId="77777777" w:rsidR="00146BE3" w:rsidRDefault="00146BE3" w:rsidP="00146BE3">
      <w:pPr>
        <w:jc w:val="center"/>
        <w:rPr>
          <w:rFonts w:ascii="Arial" w:hAnsi="Arial" w:cs="Arial"/>
        </w:rPr>
      </w:pPr>
    </w:p>
    <w:p w14:paraId="481F50CF" w14:textId="77777777" w:rsidR="00146BE3" w:rsidRDefault="00146BE3" w:rsidP="00146BE3">
      <w:pPr>
        <w:jc w:val="center"/>
        <w:rPr>
          <w:rFonts w:ascii="Arial" w:hAnsi="Arial" w:cs="Arial"/>
        </w:rPr>
      </w:pPr>
    </w:p>
    <w:p w14:paraId="3D0108EC" w14:textId="77777777" w:rsidR="00146BE3" w:rsidRDefault="00146BE3" w:rsidP="00146BE3">
      <w:pPr>
        <w:jc w:val="center"/>
        <w:rPr>
          <w:rFonts w:ascii="Arial" w:hAnsi="Arial" w:cs="Arial"/>
        </w:rPr>
      </w:pPr>
    </w:p>
    <w:p w14:paraId="105C1772" w14:textId="77777777" w:rsidR="00146BE3" w:rsidRDefault="00146BE3" w:rsidP="00146BE3">
      <w:pPr>
        <w:jc w:val="center"/>
        <w:rPr>
          <w:rFonts w:ascii="Arial" w:hAnsi="Arial" w:cs="Arial"/>
        </w:rPr>
      </w:pPr>
    </w:p>
    <w:p w14:paraId="46888C56" w14:textId="77777777" w:rsidR="00146BE3" w:rsidRDefault="00146BE3" w:rsidP="00146BE3">
      <w:pPr>
        <w:jc w:val="center"/>
        <w:rPr>
          <w:rFonts w:ascii="Arial" w:hAnsi="Arial" w:cs="Arial"/>
        </w:rPr>
      </w:pPr>
    </w:p>
    <w:p w14:paraId="7D3F3450" w14:textId="77777777" w:rsidR="00146BE3" w:rsidRDefault="00146BE3" w:rsidP="00146BE3">
      <w:pPr>
        <w:jc w:val="center"/>
        <w:rPr>
          <w:rFonts w:ascii="Arial" w:hAnsi="Arial" w:cs="Arial"/>
        </w:rPr>
      </w:pPr>
    </w:p>
    <w:p w14:paraId="20828558" w14:textId="77777777" w:rsidR="00146BE3" w:rsidRDefault="00146BE3" w:rsidP="00146BE3">
      <w:pPr>
        <w:jc w:val="center"/>
        <w:rPr>
          <w:rFonts w:ascii="Arial" w:hAnsi="Arial" w:cs="Arial"/>
        </w:rPr>
      </w:pPr>
    </w:p>
    <w:p w14:paraId="5C34BE63" w14:textId="77777777" w:rsidR="00146BE3" w:rsidRDefault="00146BE3" w:rsidP="00146BE3">
      <w:pPr>
        <w:jc w:val="center"/>
        <w:rPr>
          <w:rFonts w:ascii="Arial" w:hAnsi="Arial" w:cs="Arial"/>
        </w:rPr>
      </w:pPr>
    </w:p>
    <w:p w14:paraId="59B1EB32" w14:textId="2EFF77FD" w:rsidR="00DC5C0A" w:rsidRPr="00A479E8" w:rsidRDefault="00DC5C0A" w:rsidP="00146BE3">
      <w:pPr>
        <w:jc w:val="center"/>
        <w:rPr>
          <w:rFonts w:ascii="Arial" w:hAnsi="Arial" w:cs="Arial"/>
        </w:rPr>
      </w:pPr>
      <w:r w:rsidRPr="00A479E8">
        <w:rPr>
          <w:rFonts w:ascii="Arial" w:hAnsi="Arial" w:cs="Arial"/>
        </w:rPr>
        <w:t>Tabl</w:t>
      </w:r>
      <w:r w:rsidR="001302AB">
        <w:rPr>
          <w:rFonts w:ascii="Arial" w:hAnsi="Arial" w:cs="Arial"/>
        </w:rPr>
        <w:t>e</w:t>
      </w:r>
      <w:r w:rsidRPr="00A479E8">
        <w:rPr>
          <w:rFonts w:ascii="Arial" w:hAnsi="Arial" w:cs="Arial"/>
        </w:rPr>
        <w:t xml:space="preserve"> 2. </w:t>
      </w:r>
    </w:p>
    <w:p w14:paraId="1998B848" w14:textId="77777777" w:rsidR="00DC5C0A" w:rsidRPr="00A479E8" w:rsidRDefault="00DC5C0A" w:rsidP="00146BE3">
      <w:pPr>
        <w:jc w:val="center"/>
        <w:rPr>
          <w:rFonts w:ascii="Arial" w:hAnsi="Arial" w:cs="Arial"/>
        </w:rPr>
      </w:pPr>
      <w:r w:rsidRPr="00A479E8">
        <w:rPr>
          <w:rFonts w:ascii="Arial" w:hAnsi="Arial" w:cs="Arial"/>
        </w:rPr>
        <w:t>Correlation between Antenatal Education History and Maternal Knowledge Level about Preeclampsia Danger Signs</w:t>
      </w:r>
    </w:p>
    <w:tbl>
      <w:tblPr>
        <w:tblW w:w="7397"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998"/>
        <w:gridCol w:w="970"/>
        <w:gridCol w:w="944"/>
        <w:gridCol w:w="18"/>
        <w:gridCol w:w="710"/>
        <w:gridCol w:w="941"/>
        <w:gridCol w:w="827"/>
        <w:gridCol w:w="989"/>
      </w:tblGrid>
      <w:tr w:rsidR="00DC5C0A" w:rsidRPr="00A479E8" w14:paraId="4C5379F8" w14:textId="77777777" w:rsidTr="00EB28C0">
        <w:trPr>
          <w:trHeight w:val="300"/>
          <w:jc w:val="center"/>
        </w:trPr>
        <w:tc>
          <w:tcPr>
            <w:tcW w:w="1998" w:type="dxa"/>
            <w:vMerge w:val="restart"/>
            <w:tcBorders>
              <w:left w:val="nil"/>
            </w:tcBorders>
            <w:shd w:val="clear" w:color="auto" w:fill="auto"/>
            <w:noWrap/>
            <w:vAlign w:val="bottom"/>
            <w:hideMark/>
          </w:tcPr>
          <w:p w14:paraId="12E250D7" w14:textId="77777777" w:rsidR="00DC5C0A" w:rsidRPr="00A479E8" w:rsidRDefault="00DC5C0A" w:rsidP="00146BE3">
            <w:pPr>
              <w:rPr>
                <w:rFonts w:ascii="Arial" w:hAnsi="Arial" w:cs="Arial"/>
                <w:lang w:eastAsia="id-ID"/>
              </w:rPr>
            </w:pPr>
            <w:r w:rsidRPr="00A479E8">
              <w:rPr>
                <w:rFonts w:ascii="Arial" w:hAnsi="Arial" w:cs="Arial"/>
                <w:lang w:val="id-ID" w:eastAsia="id-ID"/>
              </w:rPr>
              <w:t>Variab</w:t>
            </w:r>
            <w:r w:rsidRPr="00A479E8">
              <w:rPr>
                <w:rFonts w:ascii="Arial" w:hAnsi="Arial" w:cs="Arial"/>
                <w:lang w:eastAsia="id-ID"/>
              </w:rPr>
              <w:t>le</w:t>
            </w:r>
          </w:p>
          <w:p w14:paraId="0F4401CE" w14:textId="77777777" w:rsidR="00DC5C0A" w:rsidRPr="00A479E8" w:rsidRDefault="00DC5C0A" w:rsidP="00146BE3">
            <w:pPr>
              <w:rPr>
                <w:rFonts w:ascii="Arial" w:hAnsi="Arial" w:cs="Arial"/>
                <w:lang w:val="id-ID" w:eastAsia="id-ID"/>
              </w:rPr>
            </w:pPr>
            <w:r w:rsidRPr="00A479E8">
              <w:rPr>
                <w:rFonts w:ascii="Arial" w:hAnsi="Arial" w:cs="Arial"/>
                <w:lang w:val="id-ID" w:eastAsia="id-ID"/>
              </w:rPr>
              <w:lastRenderedPageBreak/>
              <w:t> </w:t>
            </w:r>
          </w:p>
        </w:tc>
        <w:tc>
          <w:tcPr>
            <w:tcW w:w="3583" w:type="dxa"/>
            <w:gridSpan w:val="5"/>
            <w:shd w:val="clear" w:color="auto" w:fill="auto"/>
            <w:noWrap/>
            <w:vAlign w:val="center"/>
            <w:hideMark/>
          </w:tcPr>
          <w:p w14:paraId="3F05EA11" w14:textId="77777777" w:rsidR="00DC5C0A" w:rsidRPr="00A479E8" w:rsidRDefault="00DC5C0A" w:rsidP="00146BE3">
            <w:pPr>
              <w:jc w:val="center"/>
              <w:rPr>
                <w:rFonts w:ascii="Arial" w:hAnsi="Arial" w:cs="Arial"/>
                <w:lang w:eastAsia="id-ID"/>
              </w:rPr>
            </w:pPr>
            <w:r w:rsidRPr="00A479E8">
              <w:rPr>
                <w:rFonts w:ascii="Arial" w:hAnsi="Arial" w:cs="Arial"/>
                <w:lang w:eastAsia="id-ID"/>
              </w:rPr>
              <w:lastRenderedPageBreak/>
              <w:t>Knowledge</w:t>
            </w:r>
          </w:p>
        </w:tc>
        <w:tc>
          <w:tcPr>
            <w:tcW w:w="827" w:type="dxa"/>
            <w:vMerge w:val="restart"/>
            <w:vAlign w:val="center"/>
          </w:tcPr>
          <w:p w14:paraId="60F16AC9"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Total</w:t>
            </w:r>
          </w:p>
        </w:tc>
        <w:tc>
          <w:tcPr>
            <w:tcW w:w="989" w:type="dxa"/>
            <w:vMerge w:val="restart"/>
            <w:tcBorders>
              <w:right w:val="nil"/>
            </w:tcBorders>
            <w:shd w:val="clear" w:color="auto" w:fill="auto"/>
            <w:noWrap/>
            <w:vAlign w:val="center"/>
            <w:hideMark/>
          </w:tcPr>
          <w:p w14:paraId="289A8E57" w14:textId="77777777" w:rsidR="00DC5C0A" w:rsidRPr="00A479E8" w:rsidRDefault="00DC5C0A" w:rsidP="00146BE3">
            <w:pPr>
              <w:ind w:right="-68"/>
              <w:jc w:val="center"/>
              <w:rPr>
                <w:rFonts w:ascii="Arial" w:hAnsi="Arial" w:cs="Arial"/>
                <w:lang w:val="id-ID" w:eastAsia="id-ID"/>
              </w:rPr>
            </w:pPr>
            <w:r w:rsidRPr="00A479E8">
              <w:rPr>
                <w:rFonts w:ascii="Arial" w:hAnsi="Arial" w:cs="Arial"/>
                <w:lang w:val="id-ID" w:eastAsia="id-ID"/>
              </w:rPr>
              <w:t xml:space="preserve">P </w:t>
            </w:r>
            <w:r w:rsidRPr="00A479E8">
              <w:rPr>
                <w:rFonts w:ascii="Arial" w:hAnsi="Arial" w:cs="Arial"/>
                <w:i/>
                <w:iCs/>
                <w:lang w:val="id-ID" w:eastAsia="id-ID"/>
              </w:rPr>
              <w:t>Value</w:t>
            </w:r>
          </w:p>
        </w:tc>
      </w:tr>
      <w:tr w:rsidR="00DC5C0A" w:rsidRPr="00A479E8" w14:paraId="4071C576" w14:textId="77777777" w:rsidTr="00EB28C0">
        <w:trPr>
          <w:trHeight w:val="300"/>
          <w:jc w:val="center"/>
        </w:trPr>
        <w:tc>
          <w:tcPr>
            <w:tcW w:w="1998" w:type="dxa"/>
            <w:vMerge/>
            <w:tcBorders>
              <w:left w:val="nil"/>
            </w:tcBorders>
            <w:shd w:val="clear" w:color="auto" w:fill="auto"/>
            <w:noWrap/>
            <w:vAlign w:val="bottom"/>
            <w:hideMark/>
          </w:tcPr>
          <w:p w14:paraId="397AFB2E" w14:textId="77777777" w:rsidR="00DC5C0A" w:rsidRPr="00A479E8" w:rsidRDefault="00DC5C0A" w:rsidP="00146BE3">
            <w:pPr>
              <w:rPr>
                <w:rFonts w:ascii="Arial" w:hAnsi="Arial" w:cs="Arial"/>
                <w:lang w:val="id-ID" w:eastAsia="id-ID"/>
              </w:rPr>
            </w:pPr>
          </w:p>
        </w:tc>
        <w:tc>
          <w:tcPr>
            <w:tcW w:w="1932" w:type="dxa"/>
            <w:gridSpan w:val="3"/>
            <w:shd w:val="clear" w:color="auto" w:fill="auto"/>
            <w:noWrap/>
            <w:vAlign w:val="center"/>
            <w:hideMark/>
          </w:tcPr>
          <w:p w14:paraId="3E02F69E" w14:textId="77777777" w:rsidR="00DC5C0A" w:rsidRPr="00A479E8" w:rsidRDefault="00DC5C0A" w:rsidP="00146BE3">
            <w:pPr>
              <w:jc w:val="center"/>
              <w:rPr>
                <w:rFonts w:ascii="Arial" w:hAnsi="Arial" w:cs="Arial"/>
                <w:lang w:eastAsia="id-ID"/>
              </w:rPr>
            </w:pPr>
            <w:r w:rsidRPr="00A479E8">
              <w:rPr>
                <w:rFonts w:ascii="Arial" w:hAnsi="Arial" w:cs="Arial"/>
                <w:lang w:eastAsia="id-ID"/>
              </w:rPr>
              <w:t>Enough</w:t>
            </w:r>
          </w:p>
        </w:tc>
        <w:tc>
          <w:tcPr>
            <w:tcW w:w="1651" w:type="dxa"/>
            <w:gridSpan w:val="2"/>
            <w:shd w:val="clear" w:color="auto" w:fill="auto"/>
            <w:noWrap/>
            <w:vAlign w:val="center"/>
            <w:hideMark/>
          </w:tcPr>
          <w:p w14:paraId="12BBDC40" w14:textId="77777777" w:rsidR="00DC5C0A" w:rsidRPr="00A479E8" w:rsidRDefault="00DC5C0A" w:rsidP="00146BE3">
            <w:pPr>
              <w:jc w:val="center"/>
              <w:rPr>
                <w:rFonts w:ascii="Arial" w:hAnsi="Arial" w:cs="Arial"/>
                <w:lang w:eastAsia="id-ID"/>
              </w:rPr>
            </w:pPr>
            <w:r w:rsidRPr="00A479E8">
              <w:rPr>
                <w:rFonts w:ascii="Arial" w:hAnsi="Arial" w:cs="Arial"/>
                <w:lang w:eastAsia="id-ID"/>
              </w:rPr>
              <w:t>Good</w:t>
            </w:r>
          </w:p>
        </w:tc>
        <w:tc>
          <w:tcPr>
            <w:tcW w:w="827" w:type="dxa"/>
            <w:vMerge/>
          </w:tcPr>
          <w:p w14:paraId="4BFD365A" w14:textId="77777777" w:rsidR="00DC5C0A" w:rsidRPr="00A479E8" w:rsidRDefault="00DC5C0A" w:rsidP="00146BE3">
            <w:pPr>
              <w:jc w:val="center"/>
              <w:rPr>
                <w:rFonts w:ascii="Arial" w:hAnsi="Arial" w:cs="Arial"/>
                <w:lang w:val="id-ID" w:eastAsia="id-ID"/>
              </w:rPr>
            </w:pPr>
          </w:p>
        </w:tc>
        <w:tc>
          <w:tcPr>
            <w:tcW w:w="989" w:type="dxa"/>
            <w:vMerge/>
            <w:tcBorders>
              <w:right w:val="nil"/>
            </w:tcBorders>
            <w:shd w:val="clear" w:color="auto" w:fill="auto"/>
            <w:noWrap/>
            <w:vAlign w:val="center"/>
            <w:hideMark/>
          </w:tcPr>
          <w:p w14:paraId="4C1AEFE3" w14:textId="77777777" w:rsidR="00DC5C0A" w:rsidRPr="00A479E8" w:rsidRDefault="00DC5C0A" w:rsidP="00146BE3">
            <w:pPr>
              <w:ind w:right="-68"/>
              <w:jc w:val="center"/>
              <w:rPr>
                <w:rFonts w:ascii="Arial" w:hAnsi="Arial" w:cs="Arial"/>
                <w:lang w:val="id-ID" w:eastAsia="id-ID"/>
              </w:rPr>
            </w:pPr>
          </w:p>
        </w:tc>
      </w:tr>
      <w:tr w:rsidR="00DC5C0A" w:rsidRPr="00A479E8" w14:paraId="12E08E2C" w14:textId="77777777" w:rsidTr="00EB28C0">
        <w:trPr>
          <w:trHeight w:val="300"/>
          <w:jc w:val="center"/>
        </w:trPr>
        <w:tc>
          <w:tcPr>
            <w:tcW w:w="1998" w:type="dxa"/>
            <w:vMerge/>
            <w:tcBorders>
              <w:left w:val="nil"/>
              <w:bottom w:val="single" w:sz="4" w:space="0" w:color="auto"/>
            </w:tcBorders>
            <w:shd w:val="clear" w:color="auto" w:fill="auto"/>
            <w:noWrap/>
            <w:vAlign w:val="bottom"/>
            <w:hideMark/>
          </w:tcPr>
          <w:p w14:paraId="67B10C38" w14:textId="77777777" w:rsidR="00DC5C0A" w:rsidRPr="00A479E8" w:rsidRDefault="00DC5C0A" w:rsidP="00146BE3">
            <w:pPr>
              <w:rPr>
                <w:rFonts w:ascii="Arial" w:hAnsi="Arial" w:cs="Arial"/>
                <w:lang w:val="id-ID" w:eastAsia="id-ID"/>
              </w:rPr>
            </w:pPr>
          </w:p>
        </w:tc>
        <w:tc>
          <w:tcPr>
            <w:tcW w:w="970" w:type="dxa"/>
            <w:tcBorders>
              <w:bottom w:val="single" w:sz="4" w:space="0" w:color="auto"/>
            </w:tcBorders>
            <w:shd w:val="clear" w:color="auto" w:fill="auto"/>
            <w:noWrap/>
            <w:hideMark/>
          </w:tcPr>
          <w:p w14:paraId="0E2E9DB5"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F</w:t>
            </w:r>
          </w:p>
        </w:tc>
        <w:tc>
          <w:tcPr>
            <w:tcW w:w="944" w:type="dxa"/>
            <w:tcBorders>
              <w:bottom w:val="single" w:sz="4" w:space="0" w:color="auto"/>
            </w:tcBorders>
            <w:shd w:val="clear" w:color="auto" w:fill="auto"/>
            <w:noWrap/>
            <w:hideMark/>
          </w:tcPr>
          <w:p w14:paraId="2D64E8AB"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w:t>
            </w:r>
          </w:p>
        </w:tc>
        <w:tc>
          <w:tcPr>
            <w:tcW w:w="728" w:type="dxa"/>
            <w:gridSpan w:val="2"/>
            <w:tcBorders>
              <w:bottom w:val="single" w:sz="4" w:space="0" w:color="auto"/>
            </w:tcBorders>
            <w:shd w:val="clear" w:color="auto" w:fill="auto"/>
            <w:noWrap/>
            <w:hideMark/>
          </w:tcPr>
          <w:p w14:paraId="133EBFA4"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F</w:t>
            </w:r>
          </w:p>
        </w:tc>
        <w:tc>
          <w:tcPr>
            <w:tcW w:w="941" w:type="dxa"/>
            <w:tcBorders>
              <w:bottom w:val="single" w:sz="4" w:space="0" w:color="auto"/>
            </w:tcBorders>
            <w:shd w:val="clear" w:color="auto" w:fill="auto"/>
            <w:noWrap/>
            <w:hideMark/>
          </w:tcPr>
          <w:p w14:paraId="694AB00C"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w:t>
            </w:r>
          </w:p>
        </w:tc>
        <w:tc>
          <w:tcPr>
            <w:tcW w:w="827" w:type="dxa"/>
            <w:vMerge/>
            <w:tcBorders>
              <w:bottom w:val="single" w:sz="4" w:space="0" w:color="auto"/>
            </w:tcBorders>
          </w:tcPr>
          <w:p w14:paraId="7150A269" w14:textId="77777777" w:rsidR="00DC5C0A" w:rsidRPr="00A479E8" w:rsidRDefault="00DC5C0A" w:rsidP="00146BE3">
            <w:pPr>
              <w:ind w:right="-68"/>
              <w:jc w:val="center"/>
              <w:rPr>
                <w:rFonts w:ascii="Arial" w:hAnsi="Arial" w:cs="Arial"/>
                <w:lang w:val="id-ID" w:eastAsia="id-ID"/>
              </w:rPr>
            </w:pPr>
          </w:p>
        </w:tc>
        <w:tc>
          <w:tcPr>
            <w:tcW w:w="989" w:type="dxa"/>
            <w:vMerge/>
            <w:tcBorders>
              <w:bottom w:val="single" w:sz="4" w:space="0" w:color="auto"/>
              <w:right w:val="nil"/>
            </w:tcBorders>
            <w:shd w:val="clear" w:color="auto" w:fill="auto"/>
            <w:noWrap/>
            <w:vAlign w:val="center"/>
            <w:hideMark/>
          </w:tcPr>
          <w:p w14:paraId="3D737F1F" w14:textId="77777777" w:rsidR="00DC5C0A" w:rsidRPr="00A479E8" w:rsidRDefault="00DC5C0A" w:rsidP="00146BE3">
            <w:pPr>
              <w:ind w:right="-68"/>
              <w:jc w:val="center"/>
              <w:rPr>
                <w:rFonts w:ascii="Arial" w:hAnsi="Arial" w:cs="Arial"/>
                <w:lang w:val="id-ID" w:eastAsia="id-ID"/>
              </w:rPr>
            </w:pPr>
          </w:p>
        </w:tc>
      </w:tr>
      <w:tr w:rsidR="00DC5C0A" w:rsidRPr="00A479E8" w14:paraId="7119D1FE" w14:textId="77777777" w:rsidTr="00EB28C0">
        <w:trPr>
          <w:trHeight w:val="300"/>
          <w:jc w:val="center"/>
        </w:trPr>
        <w:tc>
          <w:tcPr>
            <w:tcW w:w="2968" w:type="dxa"/>
            <w:gridSpan w:val="2"/>
            <w:tcBorders>
              <w:left w:val="nil"/>
              <w:bottom w:val="single" w:sz="4" w:space="0" w:color="auto"/>
            </w:tcBorders>
            <w:shd w:val="clear" w:color="auto" w:fill="auto"/>
            <w:noWrap/>
            <w:vAlign w:val="center"/>
          </w:tcPr>
          <w:p w14:paraId="4BBAF384" w14:textId="77777777" w:rsidR="00DC5C0A" w:rsidRPr="00A479E8" w:rsidRDefault="00DC5C0A" w:rsidP="00146BE3">
            <w:pPr>
              <w:rPr>
                <w:rFonts w:ascii="Arial" w:hAnsi="Arial" w:cs="Arial"/>
                <w:lang w:val="id-ID" w:eastAsia="id-ID"/>
              </w:rPr>
            </w:pPr>
            <w:r w:rsidRPr="00A479E8">
              <w:rPr>
                <w:rFonts w:ascii="Arial" w:hAnsi="Arial" w:cs="Arial"/>
                <w:b/>
                <w:bCs/>
                <w:lang w:eastAsia="id-ID"/>
              </w:rPr>
              <w:t>Antenatal Class Participation</w:t>
            </w:r>
          </w:p>
        </w:tc>
        <w:tc>
          <w:tcPr>
            <w:tcW w:w="944" w:type="dxa"/>
            <w:tcBorders>
              <w:bottom w:val="single" w:sz="4" w:space="0" w:color="auto"/>
            </w:tcBorders>
            <w:shd w:val="clear" w:color="auto" w:fill="auto"/>
            <w:noWrap/>
          </w:tcPr>
          <w:p w14:paraId="5E1CFE5F" w14:textId="77777777" w:rsidR="00DC5C0A" w:rsidRPr="00A479E8" w:rsidRDefault="00DC5C0A" w:rsidP="00146BE3">
            <w:pPr>
              <w:jc w:val="center"/>
              <w:rPr>
                <w:rFonts w:ascii="Arial" w:hAnsi="Arial" w:cs="Arial"/>
                <w:lang w:val="id-ID" w:eastAsia="id-ID"/>
              </w:rPr>
            </w:pPr>
          </w:p>
        </w:tc>
        <w:tc>
          <w:tcPr>
            <w:tcW w:w="728" w:type="dxa"/>
            <w:gridSpan w:val="2"/>
            <w:tcBorders>
              <w:bottom w:val="single" w:sz="4" w:space="0" w:color="auto"/>
            </w:tcBorders>
            <w:shd w:val="clear" w:color="auto" w:fill="auto"/>
            <w:noWrap/>
          </w:tcPr>
          <w:p w14:paraId="1957602D" w14:textId="77777777" w:rsidR="00DC5C0A" w:rsidRPr="00A479E8" w:rsidRDefault="00DC5C0A" w:rsidP="00146BE3">
            <w:pPr>
              <w:jc w:val="center"/>
              <w:rPr>
                <w:rFonts w:ascii="Arial" w:hAnsi="Arial" w:cs="Arial"/>
                <w:lang w:val="id-ID" w:eastAsia="id-ID"/>
              </w:rPr>
            </w:pPr>
          </w:p>
        </w:tc>
        <w:tc>
          <w:tcPr>
            <w:tcW w:w="941" w:type="dxa"/>
            <w:tcBorders>
              <w:bottom w:val="single" w:sz="4" w:space="0" w:color="auto"/>
            </w:tcBorders>
            <w:shd w:val="clear" w:color="auto" w:fill="auto"/>
            <w:noWrap/>
          </w:tcPr>
          <w:p w14:paraId="481153C5" w14:textId="77777777" w:rsidR="00DC5C0A" w:rsidRPr="00A479E8" w:rsidRDefault="00DC5C0A" w:rsidP="00146BE3">
            <w:pPr>
              <w:jc w:val="center"/>
              <w:rPr>
                <w:rFonts w:ascii="Arial" w:hAnsi="Arial" w:cs="Arial"/>
                <w:lang w:val="id-ID" w:eastAsia="id-ID"/>
              </w:rPr>
            </w:pPr>
          </w:p>
        </w:tc>
        <w:tc>
          <w:tcPr>
            <w:tcW w:w="827" w:type="dxa"/>
            <w:tcBorders>
              <w:bottom w:val="single" w:sz="4" w:space="0" w:color="auto"/>
            </w:tcBorders>
          </w:tcPr>
          <w:p w14:paraId="5BC799F6" w14:textId="77777777" w:rsidR="00DC5C0A" w:rsidRPr="00A479E8" w:rsidRDefault="00DC5C0A" w:rsidP="00146BE3">
            <w:pPr>
              <w:ind w:right="-68"/>
              <w:jc w:val="center"/>
              <w:rPr>
                <w:rFonts w:ascii="Arial" w:hAnsi="Arial" w:cs="Arial"/>
                <w:lang w:val="id-ID" w:eastAsia="id-ID"/>
              </w:rPr>
            </w:pPr>
          </w:p>
        </w:tc>
        <w:tc>
          <w:tcPr>
            <w:tcW w:w="989" w:type="dxa"/>
            <w:tcBorders>
              <w:bottom w:val="single" w:sz="4" w:space="0" w:color="auto"/>
              <w:right w:val="nil"/>
            </w:tcBorders>
            <w:shd w:val="clear" w:color="auto" w:fill="auto"/>
            <w:noWrap/>
            <w:vAlign w:val="center"/>
          </w:tcPr>
          <w:p w14:paraId="136A53B4" w14:textId="77777777" w:rsidR="00DC5C0A" w:rsidRPr="00A479E8" w:rsidRDefault="00DC5C0A" w:rsidP="00146BE3">
            <w:pPr>
              <w:ind w:right="-68"/>
              <w:jc w:val="center"/>
              <w:rPr>
                <w:rFonts w:ascii="Arial" w:hAnsi="Arial" w:cs="Arial"/>
                <w:lang w:val="id-ID" w:eastAsia="id-ID"/>
              </w:rPr>
            </w:pPr>
          </w:p>
        </w:tc>
      </w:tr>
      <w:tr w:rsidR="00DC5C0A" w:rsidRPr="00A479E8" w14:paraId="0188F275" w14:textId="77777777" w:rsidTr="00EB28C0">
        <w:trPr>
          <w:trHeight w:val="300"/>
          <w:jc w:val="center"/>
        </w:trPr>
        <w:tc>
          <w:tcPr>
            <w:tcW w:w="1998" w:type="dxa"/>
            <w:tcBorders>
              <w:top w:val="single" w:sz="4" w:space="0" w:color="auto"/>
              <w:left w:val="nil"/>
              <w:bottom w:val="nil"/>
            </w:tcBorders>
            <w:shd w:val="clear" w:color="auto" w:fill="auto"/>
            <w:noWrap/>
            <w:vAlign w:val="bottom"/>
            <w:hideMark/>
          </w:tcPr>
          <w:p w14:paraId="0699E08F" w14:textId="77777777" w:rsidR="00DC5C0A" w:rsidRPr="00A479E8" w:rsidRDefault="00DC5C0A" w:rsidP="00146BE3">
            <w:pPr>
              <w:rPr>
                <w:rFonts w:ascii="Arial" w:hAnsi="Arial" w:cs="Arial"/>
                <w:lang w:eastAsia="id-ID"/>
              </w:rPr>
            </w:pPr>
            <w:r w:rsidRPr="00A479E8">
              <w:rPr>
                <w:rFonts w:ascii="Arial" w:hAnsi="Arial" w:cs="Arial"/>
                <w:lang w:eastAsia="id-ID"/>
              </w:rPr>
              <w:t xml:space="preserve">Did not attend </w:t>
            </w:r>
          </w:p>
        </w:tc>
        <w:tc>
          <w:tcPr>
            <w:tcW w:w="970" w:type="dxa"/>
            <w:tcBorders>
              <w:top w:val="single" w:sz="4" w:space="0" w:color="auto"/>
              <w:bottom w:val="nil"/>
            </w:tcBorders>
            <w:shd w:val="clear" w:color="auto" w:fill="auto"/>
            <w:noWrap/>
            <w:hideMark/>
          </w:tcPr>
          <w:p w14:paraId="584874FC"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21</w:t>
            </w:r>
          </w:p>
        </w:tc>
        <w:tc>
          <w:tcPr>
            <w:tcW w:w="944" w:type="dxa"/>
            <w:tcBorders>
              <w:top w:val="single" w:sz="4" w:space="0" w:color="auto"/>
              <w:bottom w:val="nil"/>
            </w:tcBorders>
            <w:shd w:val="clear" w:color="auto" w:fill="auto"/>
            <w:noWrap/>
            <w:hideMark/>
          </w:tcPr>
          <w:p w14:paraId="6EBCD9BC"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100,0</w:t>
            </w:r>
          </w:p>
        </w:tc>
        <w:tc>
          <w:tcPr>
            <w:tcW w:w="728" w:type="dxa"/>
            <w:gridSpan w:val="2"/>
            <w:tcBorders>
              <w:top w:val="single" w:sz="4" w:space="0" w:color="auto"/>
              <w:bottom w:val="nil"/>
            </w:tcBorders>
            <w:shd w:val="clear" w:color="auto" w:fill="auto"/>
            <w:noWrap/>
            <w:hideMark/>
          </w:tcPr>
          <w:p w14:paraId="5DF9FA9B"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0</w:t>
            </w:r>
          </w:p>
        </w:tc>
        <w:tc>
          <w:tcPr>
            <w:tcW w:w="941" w:type="dxa"/>
            <w:tcBorders>
              <w:top w:val="single" w:sz="4" w:space="0" w:color="auto"/>
              <w:bottom w:val="nil"/>
            </w:tcBorders>
            <w:shd w:val="clear" w:color="auto" w:fill="auto"/>
            <w:noWrap/>
            <w:vAlign w:val="center"/>
            <w:hideMark/>
          </w:tcPr>
          <w:p w14:paraId="5A0FE925" w14:textId="77777777" w:rsidR="00DC5C0A" w:rsidRPr="00A479E8" w:rsidRDefault="00DC5C0A" w:rsidP="00146BE3">
            <w:pPr>
              <w:jc w:val="right"/>
              <w:rPr>
                <w:rFonts w:ascii="Arial" w:hAnsi="Arial" w:cs="Arial"/>
                <w:lang w:val="id-ID" w:eastAsia="id-ID"/>
              </w:rPr>
            </w:pPr>
            <w:r w:rsidRPr="00A479E8">
              <w:rPr>
                <w:rFonts w:ascii="Arial" w:hAnsi="Arial" w:cs="Arial"/>
                <w:lang w:val="id-ID" w:eastAsia="id-ID"/>
              </w:rPr>
              <w:t>0,0</w:t>
            </w:r>
          </w:p>
        </w:tc>
        <w:tc>
          <w:tcPr>
            <w:tcW w:w="827" w:type="dxa"/>
            <w:tcBorders>
              <w:top w:val="single" w:sz="4" w:space="0" w:color="auto"/>
              <w:bottom w:val="nil"/>
            </w:tcBorders>
          </w:tcPr>
          <w:p w14:paraId="2F700C4E"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21</w:t>
            </w:r>
          </w:p>
        </w:tc>
        <w:tc>
          <w:tcPr>
            <w:tcW w:w="989" w:type="dxa"/>
            <w:tcBorders>
              <w:top w:val="single" w:sz="4" w:space="0" w:color="auto"/>
              <w:bottom w:val="nil"/>
              <w:right w:val="nil"/>
            </w:tcBorders>
            <w:shd w:val="clear" w:color="auto" w:fill="auto"/>
            <w:noWrap/>
            <w:vAlign w:val="center"/>
            <w:hideMark/>
          </w:tcPr>
          <w:p w14:paraId="7894DA55"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0,000</w:t>
            </w:r>
          </w:p>
        </w:tc>
      </w:tr>
      <w:tr w:rsidR="00DC5C0A" w:rsidRPr="00A479E8" w14:paraId="74A11D87" w14:textId="77777777" w:rsidTr="00EB28C0">
        <w:trPr>
          <w:trHeight w:val="300"/>
          <w:jc w:val="center"/>
        </w:trPr>
        <w:tc>
          <w:tcPr>
            <w:tcW w:w="1998" w:type="dxa"/>
            <w:tcBorders>
              <w:top w:val="nil"/>
              <w:left w:val="nil"/>
            </w:tcBorders>
            <w:shd w:val="clear" w:color="auto" w:fill="auto"/>
            <w:noWrap/>
            <w:vAlign w:val="bottom"/>
            <w:hideMark/>
          </w:tcPr>
          <w:p w14:paraId="7DCA247A" w14:textId="77777777" w:rsidR="00DC5C0A" w:rsidRPr="00A479E8" w:rsidRDefault="00DC5C0A" w:rsidP="00146BE3">
            <w:pPr>
              <w:rPr>
                <w:rFonts w:ascii="Arial" w:hAnsi="Arial" w:cs="Arial"/>
                <w:lang w:eastAsia="id-ID"/>
              </w:rPr>
            </w:pPr>
            <w:r w:rsidRPr="00A479E8">
              <w:rPr>
                <w:rFonts w:ascii="Arial" w:hAnsi="Arial" w:cs="Arial"/>
                <w:lang w:eastAsia="id-ID"/>
              </w:rPr>
              <w:t>Follow</w:t>
            </w:r>
          </w:p>
        </w:tc>
        <w:tc>
          <w:tcPr>
            <w:tcW w:w="970" w:type="dxa"/>
            <w:tcBorders>
              <w:top w:val="nil"/>
            </w:tcBorders>
            <w:shd w:val="clear" w:color="auto" w:fill="auto"/>
            <w:noWrap/>
            <w:hideMark/>
          </w:tcPr>
          <w:p w14:paraId="4EE66271"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2</w:t>
            </w:r>
          </w:p>
        </w:tc>
        <w:tc>
          <w:tcPr>
            <w:tcW w:w="944" w:type="dxa"/>
            <w:tcBorders>
              <w:top w:val="nil"/>
            </w:tcBorders>
            <w:shd w:val="clear" w:color="auto" w:fill="auto"/>
            <w:noWrap/>
            <w:hideMark/>
          </w:tcPr>
          <w:p w14:paraId="775B73AC"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11,76</w:t>
            </w:r>
          </w:p>
        </w:tc>
        <w:tc>
          <w:tcPr>
            <w:tcW w:w="728" w:type="dxa"/>
            <w:gridSpan w:val="2"/>
            <w:tcBorders>
              <w:top w:val="nil"/>
            </w:tcBorders>
            <w:shd w:val="clear" w:color="auto" w:fill="auto"/>
            <w:noWrap/>
            <w:hideMark/>
          </w:tcPr>
          <w:p w14:paraId="0A717989"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15</w:t>
            </w:r>
          </w:p>
        </w:tc>
        <w:tc>
          <w:tcPr>
            <w:tcW w:w="941" w:type="dxa"/>
            <w:tcBorders>
              <w:top w:val="nil"/>
            </w:tcBorders>
            <w:shd w:val="clear" w:color="auto" w:fill="auto"/>
            <w:noWrap/>
            <w:vAlign w:val="center"/>
            <w:hideMark/>
          </w:tcPr>
          <w:p w14:paraId="3E502D8C" w14:textId="77777777" w:rsidR="00DC5C0A" w:rsidRPr="00A479E8" w:rsidRDefault="00DC5C0A" w:rsidP="00146BE3">
            <w:pPr>
              <w:jc w:val="right"/>
              <w:rPr>
                <w:rFonts w:ascii="Arial" w:hAnsi="Arial" w:cs="Arial"/>
                <w:lang w:val="id-ID" w:eastAsia="id-ID"/>
              </w:rPr>
            </w:pPr>
            <w:r w:rsidRPr="00A479E8">
              <w:rPr>
                <w:rFonts w:ascii="Arial" w:hAnsi="Arial" w:cs="Arial"/>
                <w:lang w:val="id-ID" w:eastAsia="id-ID"/>
              </w:rPr>
              <w:t>88,24</w:t>
            </w:r>
          </w:p>
        </w:tc>
        <w:tc>
          <w:tcPr>
            <w:tcW w:w="827" w:type="dxa"/>
            <w:tcBorders>
              <w:top w:val="nil"/>
            </w:tcBorders>
          </w:tcPr>
          <w:p w14:paraId="24F03737"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17</w:t>
            </w:r>
          </w:p>
        </w:tc>
        <w:tc>
          <w:tcPr>
            <w:tcW w:w="989" w:type="dxa"/>
            <w:tcBorders>
              <w:top w:val="nil"/>
              <w:right w:val="nil"/>
            </w:tcBorders>
            <w:shd w:val="clear" w:color="auto" w:fill="auto"/>
            <w:noWrap/>
            <w:vAlign w:val="center"/>
            <w:hideMark/>
          </w:tcPr>
          <w:p w14:paraId="2E830D47" w14:textId="77777777" w:rsidR="00DC5C0A" w:rsidRPr="00A479E8" w:rsidRDefault="00DC5C0A" w:rsidP="00146BE3">
            <w:pPr>
              <w:jc w:val="center"/>
              <w:rPr>
                <w:rFonts w:ascii="Arial" w:hAnsi="Arial" w:cs="Arial"/>
                <w:lang w:val="id-ID" w:eastAsia="id-ID"/>
              </w:rPr>
            </w:pPr>
          </w:p>
        </w:tc>
      </w:tr>
      <w:tr w:rsidR="00DC5C0A" w:rsidRPr="00A479E8" w14:paraId="035CDA58" w14:textId="77777777" w:rsidTr="00EB28C0">
        <w:trPr>
          <w:trHeight w:val="300"/>
          <w:jc w:val="center"/>
        </w:trPr>
        <w:tc>
          <w:tcPr>
            <w:tcW w:w="1998" w:type="dxa"/>
            <w:tcBorders>
              <w:left w:val="nil"/>
            </w:tcBorders>
            <w:shd w:val="clear" w:color="auto" w:fill="auto"/>
            <w:noWrap/>
            <w:vAlign w:val="bottom"/>
            <w:hideMark/>
          </w:tcPr>
          <w:p w14:paraId="63F6C1D9" w14:textId="77777777" w:rsidR="00DC5C0A" w:rsidRPr="00A479E8" w:rsidRDefault="00DC5C0A" w:rsidP="00146BE3">
            <w:pPr>
              <w:rPr>
                <w:rFonts w:ascii="Arial" w:hAnsi="Arial" w:cs="Arial"/>
                <w:lang w:eastAsia="id-ID"/>
              </w:rPr>
            </w:pPr>
            <w:r w:rsidRPr="00A479E8">
              <w:rPr>
                <w:rFonts w:ascii="Arial" w:hAnsi="Arial" w:cs="Arial"/>
                <w:lang w:eastAsia="id-ID"/>
              </w:rPr>
              <w:t>Total</w:t>
            </w:r>
          </w:p>
        </w:tc>
        <w:tc>
          <w:tcPr>
            <w:tcW w:w="970" w:type="dxa"/>
            <w:shd w:val="clear" w:color="auto" w:fill="auto"/>
            <w:noWrap/>
            <w:hideMark/>
          </w:tcPr>
          <w:p w14:paraId="0C777AC6"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23</w:t>
            </w:r>
          </w:p>
        </w:tc>
        <w:tc>
          <w:tcPr>
            <w:tcW w:w="944" w:type="dxa"/>
            <w:shd w:val="clear" w:color="auto" w:fill="auto"/>
            <w:noWrap/>
            <w:hideMark/>
          </w:tcPr>
          <w:p w14:paraId="5EADC8B5"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60,5</w:t>
            </w:r>
          </w:p>
        </w:tc>
        <w:tc>
          <w:tcPr>
            <w:tcW w:w="728" w:type="dxa"/>
            <w:gridSpan w:val="2"/>
            <w:shd w:val="clear" w:color="auto" w:fill="auto"/>
            <w:noWrap/>
            <w:hideMark/>
          </w:tcPr>
          <w:p w14:paraId="4BF9AC3B"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15</w:t>
            </w:r>
          </w:p>
        </w:tc>
        <w:tc>
          <w:tcPr>
            <w:tcW w:w="941" w:type="dxa"/>
            <w:shd w:val="clear" w:color="auto" w:fill="auto"/>
            <w:noWrap/>
            <w:vAlign w:val="center"/>
            <w:hideMark/>
          </w:tcPr>
          <w:p w14:paraId="44514387" w14:textId="77777777" w:rsidR="00DC5C0A" w:rsidRPr="00A479E8" w:rsidRDefault="00DC5C0A" w:rsidP="00146BE3">
            <w:pPr>
              <w:jc w:val="right"/>
              <w:rPr>
                <w:rFonts w:ascii="Arial" w:hAnsi="Arial" w:cs="Arial"/>
                <w:lang w:val="id-ID" w:eastAsia="id-ID"/>
              </w:rPr>
            </w:pPr>
            <w:r w:rsidRPr="00A479E8">
              <w:rPr>
                <w:rFonts w:ascii="Arial" w:hAnsi="Arial" w:cs="Arial"/>
                <w:lang w:val="id-ID" w:eastAsia="id-ID"/>
              </w:rPr>
              <w:t>39,5</w:t>
            </w:r>
          </w:p>
        </w:tc>
        <w:tc>
          <w:tcPr>
            <w:tcW w:w="827" w:type="dxa"/>
          </w:tcPr>
          <w:p w14:paraId="7C9861B0"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38</w:t>
            </w:r>
          </w:p>
        </w:tc>
        <w:tc>
          <w:tcPr>
            <w:tcW w:w="989" w:type="dxa"/>
            <w:tcBorders>
              <w:right w:val="nil"/>
            </w:tcBorders>
            <w:shd w:val="clear" w:color="auto" w:fill="auto"/>
            <w:noWrap/>
            <w:vAlign w:val="center"/>
            <w:hideMark/>
          </w:tcPr>
          <w:p w14:paraId="7CE8A05C" w14:textId="77777777" w:rsidR="00DC5C0A" w:rsidRPr="00A479E8" w:rsidRDefault="00DC5C0A" w:rsidP="00146BE3">
            <w:pPr>
              <w:jc w:val="center"/>
              <w:rPr>
                <w:rFonts w:ascii="Arial" w:hAnsi="Arial" w:cs="Arial"/>
                <w:lang w:val="id-ID" w:eastAsia="id-ID"/>
              </w:rPr>
            </w:pPr>
          </w:p>
        </w:tc>
      </w:tr>
      <w:tr w:rsidR="00DC5C0A" w:rsidRPr="00A479E8" w14:paraId="673EB9C2" w14:textId="77777777" w:rsidTr="00EB28C0">
        <w:trPr>
          <w:trHeight w:val="300"/>
          <w:jc w:val="center"/>
        </w:trPr>
        <w:tc>
          <w:tcPr>
            <w:tcW w:w="2968" w:type="dxa"/>
            <w:gridSpan w:val="2"/>
            <w:tcBorders>
              <w:left w:val="nil"/>
              <w:bottom w:val="single" w:sz="4" w:space="0" w:color="auto"/>
            </w:tcBorders>
            <w:shd w:val="clear" w:color="auto" w:fill="auto"/>
            <w:noWrap/>
            <w:vAlign w:val="center"/>
          </w:tcPr>
          <w:p w14:paraId="1C310B42" w14:textId="77777777" w:rsidR="00DC5C0A" w:rsidRPr="00A479E8" w:rsidRDefault="00DC5C0A" w:rsidP="00146BE3">
            <w:pPr>
              <w:rPr>
                <w:rFonts w:ascii="Arial" w:hAnsi="Arial" w:cs="Arial"/>
                <w:b/>
                <w:bCs/>
                <w:lang w:eastAsia="id-ID"/>
              </w:rPr>
            </w:pPr>
            <w:r w:rsidRPr="00A479E8">
              <w:rPr>
                <w:rFonts w:ascii="Arial" w:hAnsi="Arial" w:cs="Arial"/>
                <w:b/>
                <w:bCs/>
                <w:lang w:eastAsia="id-ID"/>
              </w:rPr>
              <w:t>Education during ANC Visit</w:t>
            </w:r>
          </w:p>
        </w:tc>
        <w:tc>
          <w:tcPr>
            <w:tcW w:w="944" w:type="dxa"/>
            <w:tcBorders>
              <w:bottom w:val="single" w:sz="4" w:space="0" w:color="auto"/>
            </w:tcBorders>
            <w:shd w:val="clear" w:color="auto" w:fill="auto"/>
            <w:noWrap/>
          </w:tcPr>
          <w:p w14:paraId="208999AD" w14:textId="77777777" w:rsidR="00DC5C0A" w:rsidRPr="00A479E8" w:rsidRDefault="00DC5C0A" w:rsidP="00146BE3">
            <w:pPr>
              <w:jc w:val="center"/>
              <w:rPr>
                <w:rFonts w:ascii="Arial" w:hAnsi="Arial" w:cs="Arial"/>
                <w:lang w:val="id-ID" w:eastAsia="id-ID"/>
              </w:rPr>
            </w:pPr>
          </w:p>
        </w:tc>
        <w:tc>
          <w:tcPr>
            <w:tcW w:w="728" w:type="dxa"/>
            <w:gridSpan w:val="2"/>
            <w:tcBorders>
              <w:bottom w:val="single" w:sz="4" w:space="0" w:color="auto"/>
            </w:tcBorders>
            <w:shd w:val="clear" w:color="auto" w:fill="auto"/>
            <w:noWrap/>
          </w:tcPr>
          <w:p w14:paraId="59D94C40" w14:textId="77777777" w:rsidR="00DC5C0A" w:rsidRPr="00A479E8" w:rsidRDefault="00DC5C0A" w:rsidP="00146BE3">
            <w:pPr>
              <w:jc w:val="center"/>
              <w:rPr>
                <w:rFonts w:ascii="Arial" w:hAnsi="Arial" w:cs="Arial"/>
                <w:lang w:val="id-ID" w:eastAsia="id-ID"/>
              </w:rPr>
            </w:pPr>
          </w:p>
        </w:tc>
        <w:tc>
          <w:tcPr>
            <w:tcW w:w="941" w:type="dxa"/>
            <w:tcBorders>
              <w:bottom w:val="single" w:sz="4" w:space="0" w:color="auto"/>
            </w:tcBorders>
            <w:shd w:val="clear" w:color="auto" w:fill="auto"/>
            <w:noWrap/>
            <w:vAlign w:val="center"/>
          </w:tcPr>
          <w:p w14:paraId="004F1B41" w14:textId="77777777" w:rsidR="00DC5C0A" w:rsidRPr="00A479E8" w:rsidRDefault="00DC5C0A" w:rsidP="00146BE3">
            <w:pPr>
              <w:jc w:val="right"/>
              <w:rPr>
                <w:rFonts w:ascii="Arial" w:hAnsi="Arial" w:cs="Arial"/>
                <w:lang w:val="id-ID" w:eastAsia="id-ID"/>
              </w:rPr>
            </w:pPr>
          </w:p>
        </w:tc>
        <w:tc>
          <w:tcPr>
            <w:tcW w:w="827" w:type="dxa"/>
            <w:tcBorders>
              <w:bottom w:val="single" w:sz="4" w:space="0" w:color="auto"/>
            </w:tcBorders>
          </w:tcPr>
          <w:p w14:paraId="75D54495" w14:textId="77777777" w:rsidR="00DC5C0A" w:rsidRPr="00A479E8" w:rsidRDefault="00DC5C0A" w:rsidP="00146BE3">
            <w:pPr>
              <w:jc w:val="center"/>
              <w:rPr>
                <w:rFonts w:ascii="Arial" w:hAnsi="Arial" w:cs="Arial"/>
                <w:lang w:val="id-ID" w:eastAsia="id-ID"/>
              </w:rPr>
            </w:pPr>
          </w:p>
        </w:tc>
        <w:tc>
          <w:tcPr>
            <w:tcW w:w="989" w:type="dxa"/>
            <w:tcBorders>
              <w:bottom w:val="single" w:sz="4" w:space="0" w:color="auto"/>
              <w:right w:val="nil"/>
            </w:tcBorders>
            <w:shd w:val="clear" w:color="auto" w:fill="auto"/>
            <w:noWrap/>
            <w:vAlign w:val="center"/>
          </w:tcPr>
          <w:p w14:paraId="11B4FC46" w14:textId="77777777" w:rsidR="00DC5C0A" w:rsidRPr="00A479E8" w:rsidRDefault="00DC5C0A" w:rsidP="00146BE3">
            <w:pPr>
              <w:jc w:val="center"/>
              <w:rPr>
                <w:rFonts w:ascii="Arial" w:hAnsi="Arial" w:cs="Arial"/>
                <w:lang w:val="id-ID" w:eastAsia="id-ID"/>
              </w:rPr>
            </w:pPr>
          </w:p>
        </w:tc>
      </w:tr>
      <w:tr w:rsidR="00DC5C0A" w:rsidRPr="00A479E8" w14:paraId="59B3E1BA" w14:textId="77777777" w:rsidTr="00A479E8">
        <w:trPr>
          <w:trHeight w:val="300"/>
          <w:jc w:val="center"/>
        </w:trPr>
        <w:tc>
          <w:tcPr>
            <w:tcW w:w="1998" w:type="dxa"/>
            <w:tcBorders>
              <w:left w:val="nil"/>
              <w:bottom w:val="nil"/>
            </w:tcBorders>
            <w:shd w:val="clear" w:color="auto" w:fill="auto"/>
            <w:noWrap/>
            <w:vAlign w:val="bottom"/>
          </w:tcPr>
          <w:p w14:paraId="6C692762" w14:textId="77777777" w:rsidR="00DC5C0A" w:rsidRPr="00A479E8" w:rsidRDefault="00DC5C0A" w:rsidP="00146BE3">
            <w:pPr>
              <w:rPr>
                <w:rFonts w:ascii="Arial" w:hAnsi="Arial" w:cs="Arial"/>
                <w:lang w:val="id-ID" w:eastAsia="id-ID"/>
              </w:rPr>
            </w:pPr>
            <w:r w:rsidRPr="00A479E8">
              <w:rPr>
                <w:rFonts w:ascii="Arial" w:hAnsi="Arial" w:cs="Arial"/>
              </w:rPr>
              <w:t>Non-Standard Compliant</w:t>
            </w:r>
          </w:p>
        </w:tc>
        <w:tc>
          <w:tcPr>
            <w:tcW w:w="970" w:type="dxa"/>
            <w:tcBorders>
              <w:bottom w:val="nil"/>
            </w:tcBorders>
            <w:shd w:val="clear" w:color="auto" w:fill="auto"/>
            <w:noWrap/>
          </w:tcPr>
          <w:p w14:paraId="1918C7A0"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16</w:t>
            </w:r>
          </w:p>
        </w:tc>
        <w:tc>
          <w:tcPr>
            <w:tcW w:w="944" w:type="dxa"/>
            <w:tcBorders>
              <w:bottom w:val="nil"/>
            </w:tcBorders>
            <w:shd w:val="clear" w:color="auto" w:fill="auto"/>
            <w:noWrap/>
          </w:tcPr>
          <w:p w14:paraId="66AF03B0"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88,89</w:t>
            </w:r>
          </w:p>
        </w:tc>
        <w:tc>
          <w:tcPr>
            <w:tcW w:w="728" w:type="dxa"/>
            <w:gridSpan w:val="2"/>
            <w:tcBorders>
              <w:bottom w:val="nil"/>
            </w:tcBorders>
            <w:shd w:val="clear" w:color="auto" w:fill="auto"/>
            <w:noWrap/>
          </w:tcPr>
          <w:p w14:paraId="632D6A7A"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2</w:t>
            </w:r>
          </w:p>
        </w:tc>
        <w:tc>
          <w:tcPr>
            <w:tcW w:w="941" w:type="dxa"/>
            <w:tcBorders>
              <w:bottom w:val="nil"/>
            </w:tcBorders>
            <w:shd w:val="clear" w:color="auto" w:fill="auto"/>
            <w:noWrap/>
          </w:tcPr>
          <w:p w14:paraId="605AA79B" w14:textId="77777777" w:rsidR="00DC5C0A" w:rsidRPr="00A479E8" w:rsidRDefault="00DC5C0A" w:rsidP="00146BE3">
            <w:pPr>
              <w:jc w:val="right"/>
              <w:rPr>
                <w:rFonts w:ascii="Arial" w:hAnsi="Arial" w:cs="Arial"/>
                <w:lang w:val="id-ID" w:eastAsia="id-ID"/>
              </w:rPr>
            </w:pPr>
            <w:r w:rsidRPr="00A479E8">
              <w:rPr>
                <w:rFonts w:ascii="Arial" w:hAnsi="Arial" w:cs="Arial"/>
                <w:lang w:val="id-ID" w:eastAsia="id-ID"/>
              </w:rPr>
              <w:t>11,11</w:t>
            </w:r>
          </w:p>
        </w:tc>
        <w:tc>
          <w:tcPr>
            <w:tcW w:w="827" w:type="dxa"/>
            <w:tcBorders>
              <w:bottom w:val="nil"/>
            </w:tcBorders>
          </w:tcPr>
          <w:p w14:paraId="10DCC49F"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18</w:t>
            </w:r>
          </w:p>
        </w:tc>
        <w:tc>
          <w:tcPr>
            <w:tcW w:w="989" w:type="dxa"/>
            <w:tcBorders>
              <w:bottom w:val="nil"/>
              <w:right w:val="nil"/>
            </w:tcBorders>
            <w:shd w:val="clear" w:color="auto" w:fill="auto"/>
            <w:noWrap/>
            <w:vAlign w:val="center"/>
          </w:tcPr>
          <w:p w14:paraId="006FBD0A"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0,001</w:t>
            </w:r>
          </w:p>
        </w:tc>
      </w:tr>
      <w:tr w:rsidR="00DC5C0A" w:rsidRPr="00A479E8" w14:paraId="3639FC81" w14:textId="77777777" w:rsidTr="00EB28C0">
        <w:trPr>
          <w:trHeight w:val="300"/>
          <w:jc w:val="center"/>
        </w:trPr>
        <w:tc>
          <w:tcPr>
            <w:tcW w:w="1998" w:type="dxa"/>
            <w:tcBorders>
              <w:top w:val="nil"/>
              <w:left w:val="nil"/>
            </w:tcBorders>
            <w:shd w:val="clear" w:color="auto" w:fill="auto"/>
            <w:noWrap/>
            <w:vAlign w:val="bottom"/>
          </w:tcPr>
          <w:p w14:paraId="64E78625" w14:textId="77777777" w:rsidR="00DC5C0A" w:rsidRPr="00A479E8" w:rsidRDefault="00DC5C0A" w:rsidP="00146BE3">
            <w:pPr>
              <w:rPr>
                <w:rFonts w:ascii="Arial" w:hAnsi="Arial" w:cs="Arial"/>
                <w:lang w:eastAsia="id-ID"/>
              </w:rPr>
            </w:pPr>
            <w:r w:rsidRPr="00A479E8">
              <w:rPr>
                <w:rFonts w:ascii="Arial" w:hAnsi="Arial" w:cs="Arial"/>
                <w:lang w:eastAsia="id-ID"/>
              </w:rPr>
              <w:t>Standard Compliant</w:t>
            </w:r>
          </w:p>
        </w:tc>
        <w:tc>
          <w:tcPr>
            <w:tcW w:w="970" w:type="dxa"/>
            <w:tcBorders>
              <w:top w:val="nil"/>
            </w:tcBorders>
            <w:shd w:val="clear" w:color="auto" w:fill="auto"/>
            <w:noWrap/>
          </w:tcPr>
          <w:p w14:paraId="21121C20"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7</w:t>
            </w:r>
          </w:p>
        </w:tc>
        <w:tc>
          <w:tcPr>
            <w:tcW w:w="944" w:type="dxa"/>
            <w:tcBorders>
              <w:top w:val="nil"/>
            </w:tcBorders>
            <w:shd w:val="clear" w:color="auto" w:fill="auto"/>
            <w:noWrap/>
          </w:tcPr>
          <w:p w14:paraId="4ECDB391"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35,00</w:t>
            </w:r>
          </w:p>
        </w:tc>
        <w:tc>
          <w:tcPr>
            <w:tcW w:w="728" w:type="dxa"/>
            <w:gridSpan w:val="2"/>
            <w:tcBorders>
              <w:top w:val="nil"/>
            </w:tcBorders>
            <w:shd w:val="clear" w:color="auto" w:fill="auto"/>
            <w:noWrap/>
          </w:tcPr>
          <w:p w14:paraId="446EA781"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13</w:t>
            </w:r>
          </w:p>
        </w:tc>
        <w:tc>
          <w:tcPr>
            <w:tcW w:w="941" w:type="dxa"/>
            <w:tcBorders>
              <w:top w:val="nil"/>
            </w:tcBorders>
            <w:shd w:val="clear" w:color="auto" w:fill="auto"/>
            <w:noWrap/>
            <w:vAlign w:val="center"/>
          </w:tcPr>
          <w:p w14:paraId="641CD3EE" w14:textId="77777777" w:rsidR="00DC5C0A" w:rsidRPr="00A479E8" w:rsidRDefault="00DC5C0A" w:rsidP="00146BE3">
            <w:pPr>
              <w:jc w:val="right"/>
              <w:rPr>
                <w:rFonts w:ascii="Arial" w:hAnsi="Arial" w:cs="Arial"/>
                <w:lang w:val="id-ID" w:eastAsia="id-ID"/>
              </w:rPr>
            </w:pPr>
            <w:r w:rsidRPr="00A479E8">
              <w:rPr>
                <w:rFonts w:ascii="Arial" w:hAnsi="Arial" w:cs="Arial"/>
                <w:lang w:val="id-ID" w:eastAsia="id-ID"/>
              </w:rPr>
              <w:t>65,00</w:t>
            </w:r>
          </w:p>
        </w:tc>
        <w:tc>
          <w:tcPr>
            <w:tcW w:w="827" w:type="dxa"/>
            <w:tcBorders>
              <w:top w:val="nil"/>
            </w:tcBorders>
          </w:tcPr>
          <w:p w14:paraId="40FB4A05"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20</w:t>
            </w:r>
          </w:p>
        </w:tc>
        <w:tc>
          <w:tcPr>
            <w:tcW w:w="989" w:type="dxa"/>
            <w:tcBorders>
              <w:top w:val="nil"/>
              <w:right w:val="nil"/>
            </w:tcBorders>
            <w:shd w:val="clear" w:color="auto" w:fill="auto"/>
            <w:noWrap/>
            <w:vAlign w:val="center"/>
          </w:tcPr>
          <w:p w14:paraId="035385A0" w14:textId="77777777" w:rsidR="00DC5C0A" w:rsidRPr="00A479E8" w:rsidRDefault="00DC5C0A" w:rsidP="00146BE3">
            <w:pPr>
              <w:jc w:val="center"/>
              <w:rPr>
                <w:rFonts w:ascii="Arial" w:hAnsi="Arial" w:cs="Arial"/>
                <w:lang w:val="id-ID" w:eastAsia="id-ID"/>
              </w:rPr>
            </w:pPr>
          </w:p>
        </w:tc>
      </w:tr>
      <w:tr w:rsidR="00DC5C0A" w:rsidRPr="00A479E8" w14:paraId="1731C0C3" w14:textId="77777777" w:rsidTr="00EB28C0">
        <w:trPr>
          <w:trHeight w:val="300"/>
          <w:jc w:val="center"/>
        </w:trPr>
        <w:tc>
          <w:tcPr>
            <w:tcW w:w="1998" w:type="dxa"/>
            <w:tcBorders>
              <w:left w:val="nil"/>
            </w:tcBorders>
            <w:shd w:val="clear" w:color="auto" w:fill="auto"/>
            <w:noWrap/>
            <w:vAlign w:val="bottom"/>
          </w:tcPr>
          <w:p w14:paraId="6998AF3D" w14:textId="77777777" w:rsidR="00DC5C0A" w:rsidRPr="00A479E8" w:rsidRDefault="00DC5C0A" w:rsidP="00146BE3">
            <w:pPr>
              <w:rPr>
                <w:rFonts w:ascii="Arial" w:hAnsi="Arial" w:cs="Arial"/>
                <w:lang w:eastAsia="id-ID"/>
              </w:rPr>
            </w:pPr>
            <w:r w:rsidRPr="00A479E8">
              <w:rPr>
                <w:rFonts w:ascii="Arial" w:hAnsi="Arial" w:cs="Arial"/>
                <w:lang w:eastAsia="id-ID"/>
              </w:rPr>
              <w:t>Total</w:t>
            </w:r>
          </w:p>
        </w:tc>
        <w:tc>
          <w:tcPr>
            <w:tcW w:w="970" w:type="dxa"/>
            <w:shd w:val="clear" w:color="auto" w:fill="auto"/>
            <w:noWrap/>
          </w:tcPr>
          <w:p w14:paraId="2187A7DB"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23</w:t>
            </w:r>
          </w:p>
        </w:tc>
        <w:tc>
          <w:tcPr>
            <w:tcW w:w="944" w:type="dxa"/>
            <w:shd w:val="clear" w:color="auto" w:fill="auto"/>
            <w:noWrap/>
          </w:tcPr>
          <w:p w14:paraId="6C3F373A"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60,50</w:t>
            </w:r>
          </w:p>
        </w:tc>
        <w:tc>
          <w:tcPr>
            <w:tcW w:w="728" w:type="dxa"/>
            <w:gridSpan w:val="2"/>
            <w:shd w:val="clear" w:color="auto" w:fill="auto"/>
            <w:noWrap/>
          </w:tcPr>
          <w:p w14:paraId="50368E87"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15</w:t>
            </w:r>
          </w:p>
        </w:tc>
        <w:tc>
          <w:tcPr>
            <w:tcW w:w="941" w:type="dxa"/>
            <w:shd w:val="clear" w:color="auto" w:fill="auto"/>
            <w:noWrap/>
            <w:vAlign w:val="center"/>
          </w:tcPr>
          <w:p w14:paraId="58069E98" w14:textId="77777777" w:rsidR="00DC5C0A" w:rsidRPr="00A479E8" w:rsidRDefault="00DC5C0A" w:rsidP="00146BE3">
            <w:pPr>
              <w:jc w:val="right"/>
              <w:rPr>
                <w:rFonts w:ascii="Arial" w:hAnsi="Arial" w:cs="Arial"/>
                <w:lang w:val="id-ID" w:eastAsia="id-ID"/>
              </w:rPr>
            </w:pPr>
            <w:r w:rsidRPr="00A479E8">
              <w:rPr>
                <w:rFonts w:ascii="Arial" w:hAnsi="Arial" w:cs="Arial"/>
                <w:lang w:val="id-ID" w:eastAsia="id-ID"/>
              </w:rPr>
              <w:t>39,50</w:t>
            </w:r>
          </w:p>
        </w:tc>
        <w:tc>
          <w:tcPr>
            <w:tcW w:w="827" w:type="dxa"/>
          </w:tcPr>
          <w:p w14:paraId="10FF06FC" w14:textId="77777777" w:rsidR="00DC5C0A" w:rsidRPr="00A479E8" w:rsidRDefault="00DC5C0A" w:rsidP="00146BE3">
            <w:pPr>
              <w:jc w:val="center"/>
              <w:rPr>
                <w:rFonts w:ascii="Arial" w:hAnsi="Arial" w:cs="Arial"/>
                <w:lang w:val="id-ID" w:eastAsia="id-ID"/>
              </w:rPr>
            </w:pPr>
            <w:r w:rsidRPr="00A479E8">
              <w:rPr>
                <w:rFonts w:ascii="Arial" w:hAnsi="Arial" w:cs="Arial"/>
                <w:lang w:val="id-ID" w:eastAsia="id-ID"/>
              </w:rPr>
              <w:t>38</w:t>
            </w:r>
          </w:p>
        </w:tc>
        <w:tc>
          <w:tcPr>
            <w:tcW w:w="989" w:type="dxa"/>
            <w:tcBorders>
              <w:right w:val="nil"/>
            </w:tcBorders>
            <w:shd w:val="clear" w:color="auto" w:fill="auto"/>
            <w:noWrap/>
            <w:vAlign w:val="center"/>
          </w:tcPr>
          <w:p w14:paraId="22BBBC41" w14:textId="77777777" w:rsidR="00DC5C0A" w:rsidRPr="00A479E8" w:rsidRDefault="00DC5C0A" w:rsidP="00146BE3">
            <w:pPr>
              <w:jc w:val="center"/>
              <w:rPr>
                <w:rFonts w:ascii="Arial" w:hAnsi="Arial" w:cs="Arial"/>
                <w:lang w:val="id-ID" w:eastAsia="id-ID"/>
              </w:rPr>
            </w:pPr>
          </w:p>
        </w:tc>
      </w:tr>
    </w:tbl>
    <w:p w14:paraId="6ABCC6B0" w14:textId="77777777" w:rsidR="00DC5C0A" w:rsidRPr="00902FA1" w:rsidRDefault="00DC5C0A" w:rsidP="00146BE3">
      <w:pPr>
        <w:jc w:val="both"/>
        <w:rPr>
          <w:rFonts w:ascii="Times New Roman" w:hAnsi="Times New Roman"/>
        </w:rPr>
      </w:pPr>
    </w:p>
    <w:p w14:paraId="04E0FBBF" w14:textId="77777777" w:rsidR="00A479E8" w:rsidRPr="00A479E8" w:rsidRDefault="00A479E8" w:rsidP="00146BE3">
      <w:pPr>
        <w:tabs>
          <w:tab w:val="left" w:pos="1800"/>
        </w:tabs>
        <w:ind w:firstLine="450"/>
        <w:jc w:val="both"/>
        <w:rPr>
          <w:rFonts w:ascii="Arial" w:hAnsi="Arial" w:cs="Arial"/>
        </w:rPr>
      </w:pPr>
      <w:r w:rsidRPr="00A479E8">
        <w:rPr>
          <w:rFonts w:ascii="Arial" w:hAnsi="Arial" w:cs="Arial"/>
        </w:rPr>
        <w:t xml:space="preserve">The results of this study show that most expectant mothers are in in the range of 20-35 years, which is biologically the optimal reproductive age with a relatively low risk of complications (Tinta et al., 2020). However, most respondents in this group still experienced preeclampsia, indicating that other factors such as stress, lifestyle, and work contributed to the occurrence of complications (Christine, 2018; </w:t>
      </w:r>
      <w:proofErr w:type="spellStart"/>
      <w:r w:rsidRPr="00A479E8">
        <w:rPr>
          <w:rFonts w:ascii="Arial" w:hAnsi="Arial" w:cs="Arial"/>
        </w:rPr>
        <w:t>Khadari</w:t>
      </w:r>
      <w:proofErr w:type="spellEnd"/>
      <w:r w:rsidRPr="00A479E8">
        <w:rPr>
          <w:rFonts w:ascii="Arial" w:hAnsi="Arial" w:cs="Arial"/>
        </w:rPr>
        <w:t xml:space="preserve">, 2025). The majority of respondents also had secondary education and were employed. Formal education plays a role in shaping basic understanding of pregnancy, but access to and engagement in active antenatal education remains a key determinant in improving maternal knowledge (Mattsson et al., 2022; </w:t>
      </w:r>
      <w:proofErr w:type="spellStart"/>
      <w:r w:rsidRPr="00A479E8">
        <w:rPr>
          <w:rFonts w:ascii="Arial" w:hAnsi="Arial" w:cs="Arial"/>
        </w:rPr>
        <w:t>Rachmawati</w:t>
      </w:r>
      <w:proofErr w:type="spellEnd"/>
      <w:r w:rsidRPr="00A479E8">
        <w:rPr>
          <w:rFonts w:ascii="Arial" w:hAnsi="Arial" w:cs="Arial"/>
        </w:rPr>
        <w:t xml:space="preserve"> et al., 2021). On the other hand, working mothers may experience barriers to attending antenatal classes or receiving maximum education due to time constraints and workload (Iskandar et al., 2024)</w:t>
      </w:r>
    </w:p>
    <w:p w14:paraId="2C069846" w14:textId="77777777" w:rsidR="00A479E8" w:rsidRPr="00A479E8" w:rsidRDefault="00A479E8" w:rsidP="00146BE3">
      <w:pPr>
        <w:tabs>
          <w:tab w:val="left" w:pos="1800"/>
        </w:tabs>
        <w:ind w:firstLine="450"/>
        <w:jc w:val="both"/>
        <w:rPr>
          <w:rFonts w:ascii="Arial" w:hAnsi="Arial" w:cs="Arial"/>
        </w:rPr>
      </w:pPr>
      <w:r w:rsidRPr="00A479E8">
        <w:rPr>
          <w:rFonts w:ascii="Arial" w:hAnsi="Arial" w:cs="Arial"/>
        </w:rPr>
        <w:t>Although most of the respondents were multiparous, this did not necessarily correlate with increased knowledge, as previous pregnancy experience did not necessarily involve a proper understanding of the danger signs of preeclampsia (Khatiwada &amp; Nepal, 2021; ACOG, 2020). This is reinforced by the fact that most respondents in this study had a level of knowledge that was only classified as fair, while the rest were good, and none were classified as poor. This suggests that although basic information has been conveyed, in-depth understanding of preeclampsia still needs to be improved through more effective interventions.</w:t>
      </w:r>
    </w:p>
    <w:p w14:paraId="18BDB6E7" w14:textId="77777777" w:rsidR="00A479E8" w:rsidRPr="00A479E8" w:rsidRDefault="00A479E8" w:rsidP="00146BE3">
      <w:pPr>
        <w:tabs>
          <w:tab w:val="left" w:pos="1800"/>
        </w:tabs>
        <w:ind w:firstLine="450"/>
        <w:jc w:val="both"/>
        <w:rPr>
          <w:rFonts w:ascii="Arial" w:hAnsi="Arial" w:cs="Arial"/>
        </w:rPr>
      </w:pPr>
      <w:r w:rsidRPr="00A479E8">
        <w:rPr>
          <w:rFonts w:ascii="Arial" w:hAnsi="Arial" w:cs="Arial"/>
        </w:rPr>
        <w:t>Bivariate analysis in this study emphasized that participation in antenatal classes was significantly associated with the level of maternal knowledge about the danger signs of preeclampsia. Mothers who actively attended classes had better knowledge than those who did not participate. Maternity classes provide a structured, interactive, educational tool that allows for the exchange of experiences between participants, making them an effective medium for improving maternal understanding (</w:t>
      </w:r>
      <w:proofErr w:type="spellStart"/>
      <w:r w:rsidRPr="00A479E8">
        <w:rPr>
          <w:rFonts w:ascii="Arial" w:hAnsi="Arial" w:cs="Arial"/>
        </w:rPr>
        <w:t>Koovimon</w:t>
      </w:r>
      <w:proofErr w:type="spellEnd"/>
      <w:r w:rsidRPr="00A479E8">
        <w:rPr>
          <w:rFonts w:ascii="Arial" w:hAnsi="Arial" w:cs="Arial"/>
        </w:rPr>
        <w:t xml:space="preserve"> et al., 2023; Yang et al., 2022). This study also supports the opinion that maternal participation in classes is greater among mothers with higher education and productive age, while housewives tend to be more flexible in attending classes than working mothers (</w:t>
      </w:r>
      <w:proofErr w:type="spellStart"/>
      <w:r w:rsidRPr="00A479E8">
        <w:rPr>
          <w:rFonts w:ascii="Arial" w:hAnsi="Arial" w:cs="Arial"/>
        </w:rPr>
        <w:t>Aljohani</w:t>
      </w:r>
      <w:proofErr w:type="spellEnd"/>
      <w:r w:rsidRPr="00A479E8">
        <w:rPr>
          <w:rFonts w:ascii="Arial" w:hAnsi="Arial" w:cs="Arial"/>
        </w:rPr>
        <w:t xml:space="preserve"> &amp; </w:t>
      </w:r>
      <w:proofErr w:type="spellStart"/>
      <w:r w:rsidRPr="00A479E8">
        <w:rPr>
          <w:rFonts w:ascii="Arial" w:hAnsi="Arial" w:cs="Arial"/>
        </w:rPr>
        <w:t>Aljohani</w:t>
      </w:r>
      <w:proofErr w:type="spellEnd"/>
      <w:r w:rsidRPr="00A479E8">
        <w:rPr>
          <w:rFonts w:ascii="Arial" w:hAnsi="Arial" w:cs="Arial"/>
        </w:rPr>
        <w:t>, 2020</w:t>
      </w:r>
    </w:p>
    <w:p w14:paraId="4EA85A1A" w14:textId="77777777" w:rsidR="00A479E8" w:rsidRPr="00A479E8" w:rsidRDefault="00A479E8" w:rsidP="00146BE3">
      <w:pPr>
        <w:tabs>
          <w:tab w:val="left" w:pos="1800"/>
        </w:tabs>
        <w:ind w:firstLine="450"/>
        <w:jc w:val="both"/>
        <w:rPr>
          <w:rFonts w:ascii="Arial" w:hAnsi="Arial" w:cs="Arial"/>
        </w:rPr>
      </w:pPr>
      <w:r w:rsidRPr="00A479E8">
        <w:rPr>
          <w:rFonts w:ascii="Arial" w:hAnsi="Arial" w:cs="Arial"/>
        </w:rPr>
        <w:t xml:space="preserve">Furthermore, education during ANC visits also showed a significant correlation with mothers' knowledge level. Mothers who received education according to the standard had more good knowledge. This suggests that ANC visits not only serve as a physical examination, but also as an important moment to convey relevant and comprehensive information about pregnancy complications. Research by Hassen and </w:t>
      </w:r>
      <w:proofErr w:type="spellStart"/>
      <w:r w:rsidRPr="00A479E8">
        <w:rPr>
          <w:rFonts w:ascii="Arial" w:hAnsi="Arial" w:cs="Arial"/>
        </w:rPr>
        <w:t>Lelisho</w:t>
      </w:r>
      <w:proofErr w:type="spellEnd"/>
      <w:r w:rsidRPr="00A479E8">
        <w:rPr>
          <w:rFonts w:ascii="Arial" w:hAnsi="Arial" w:cs="Arial"/>
        </w:rPr>
        <w:t xml:space="preserve"> (2022) and </w:t>
      </w:r>
      <w:proofErr w:type="spellStart"/>
      <w:r w:rsidRPr="00A479E8">
        <w:rPr>
          <w:rFonts w:ascii="Arial" w:hAnsi="Arial" w:cs="Arial"/>
        </w:rPr>
        <w:t>Ferdian</w:t>
      </w:r>
      <w:proofErr w:type="spellEnd"/>
      <w:r w:rsidRPr="00A479E8">
        <w:rPr>
          <w:rFonts w:ascii="Arial" w:hAnsi="Arial" w:cs="Arial"/>
        </w:rPr>
        <w:t xml:space="preserve"> et al. (2024) confirmed that the quality of counseling during ANC greatly determines the improvement of maternal knowledge. However, the fact that almost half of the respondents did not receive standardized education suggests the need for improvement in the delivery of education in health facilities. The education provided should not be biased based on parity or educational background, because every mother has the right to obtain adequate information (</w:t>
      </w:r>
      <w:proofErr w:type="spellStart"/>
      <w:r w:rsidRPr="00A479E8">
        <w:rPr>
          <w:rFonts w:ascii="Arial" w:hAnsi="Arial" w:cs="Arial"/>
        </w:rPr>
        <w:t>Tjandraprawira</w:t>
      </w:r>
      <w:proofErr w:type="spellEnd"/>
      <w:r w:rsidRPr="00A479E8">
        <w:rPr>
          <w:rFonts w:ascii="Arial" w:hAnsi="Arial" w:cs="Arial"/>
        </w:rPr>
        <w:t xml:space="preserve"> &amp; </w:t>
      </w:r>
      <w:proofErr w:type="spellStart"/>
      <w:r w:rsidRPr="00A479E8">
        <w:rPr>
          <w:rFonts w:ascii="Arial" w:hAnsi="Arial" w:cs="Arial"/>
        </w:rPr>
        <w:t>Ghozali</w:t>
      </w:r>
      <w:proofErr w:type="spellEnd"/>
      <w:r w:rsidRPr="00A479E8">
        <w:rPr>
          <w:rFonts w:ascii="Arial" w:hAnsi="Arial" w:cs="Arial"/>
        </w:rPr>
        <w:t>, 2019).</w:t>
      </w:r>
    </w:p>
    <w:p w14:paraId="42E5BD8A" w14:textId="77777777" w:rsidR="00A479E8" w:rsidRPr="00A479E8" w:rsidRDefault="00A479E8" w:rsidP="00146BE3">
      <w:pPr>
        <w:tabs>
          <w:tab w:val="left" w:pos="1800"/>
        </w:tabs>
        <w:ind w:firstLine="450"/>
        <w:jc w:val="both"/>
        <w:rPr>
          <w:rFonts w:ascii="Arial" w:hAnsi="Arial" w:cs="Arial"/>
        </w:rPr>
      </w:pPr>
      <w:r w:rsidRPr="00A479E8">
        <w:rPr>
          <w:rFonts w:ascii="Arial" w:hAnsi="Arial" w:cs="Arial"/>
        </w:rPr>
        <w:t xml:space="preserve">The role of midwives as health workers who provide education is very important in supporting the success of antenatal education. Both in antenatal classes and in </w:t>
      </w:r>
      <w:proofErr w:type="spellStart"/>
      <w:r w:rsidRPr="00A479E8">
        <w:rPr>
          <w:rFonts w:ascii="Arial" w:hAnsi="Arial" w:cs="Arial"/>
        </w:rPr>
        <w:t>anc</w:t>
      </w:r>
      <w:proofErr w:type="spellEnd"/>
      <w:r w:rsidRPr="00A479E8">
        <w:rPr>
          <w:rFonts w:ascii="Arial" w:hAnsi="Arial" w:cs="Arial"/>
        </w:rPr>
        <w:t xml:space="preserve"> services, midwives need to ensure that the material is delivered communicatively and in </w:t>
      </w:r>
      <w:r w:rsidRPr="00A479E8">
        <w:rPr>
          <w:rFonts w:ascii="Arial" w:hAnsi="Arial" w:cs="Arial"/>
        </w:rPr>
        <w:lastRenderedPageBreak/>
        <w:t xml:space="preserve">accordance with the characteristics of the mother. In accordance with </w:t>
      </w:r>
      <w:proofErr w:type="spellStart"/>
      <w:r w:rsidRPr="00A479E8">
        <w:rPr>
          <w:rFonts w:ascii="Arial" w:hAnsi="Arial" w:cs="Arial"/>
        </w:rPr>
        <w:t>permenkes</w:t>
      </w:r>
      <w:proofErr w:type="spellEnd"/>
      <w:r w:rsidRPr="00A479E8">
        <w:rPr>
          <w:rFonts w:ascii="Arial" w:hAnsi="Arial" w:cs="Arial"/>
        </w:rPr>
        <w:t xml:space="preserve"> no. 21 of 2021 and law no. 4 of 2019 concerning midwifery, midwives are required to monitor and provide counseling on pregnancy complications, including preeclampsia, at every stage of service. Continuous and inclusive education can be key in improving maternal knowledge and reducing the risk of pregnancy complications (</w:t>
      </w:r>
      <w:proofErr w:type="spellStart"/>
      <w:r w:rsidRPr="00A479E8">
        <w:rPr>
          <w:rFonts w:ascii="Arial" w:hAnsi="Arial" w:cs="Arial"/>
        </w:rPr>
        <w:t>Rahyani</w:t>
      </w:r>
      <w:proofErr w:type="spellEnd"/>
      <w:r w:rsidRPr="00A479E8">
        <w:rPr>
          <w:rFonts w:ascii="Arial" w:hAnsi="Arial" w:cs="Arial"/>
        </w:rPr>
        <w:t xml:space="preserve"> &amp; Suardana, 2018).</w:t>
      </w:r>
    </w:p>
    <w:p w14:paraId="3CA2208A" w14:textId="0B5B26A2" w:rsidR="00A479E8" w:rsidRPr="00A479E8" w:rsidRDefault="00A479E8" w:rsidP="00146BE3">
      <w:pPr>
        <w:tabs>
          <w:tab w:val="left" w:pos="1800"/>
        </w:tabs>
        <w:ind w:firstLine="450"/>
        <w:jc w:val="both"/>
        <w:rPr>
          <w:rFonts w:ascii="Arial" w:hAnsi="Arial" w:cs="Arial"/>
        </w:rPr>
      </w:pPr>
      <w:r w:rsidRPr="00A479E8">
        <w:rPr>
          <w:rFonts w:ascii="Arial" w:hAnsi="Arial" w:cs="Arial"/>
          <w:bCs/>
        </w:rPr>
        <w:t>Thus, the findings of this study confirm that improving maternal knowledge about the danger signs of preeclampsia is strongly influenced by active involvement in antenatal classes and the quality of education during anc. These two approaches complement each other in shaping expectant mother awareness of the risk of complications, and are an important part of preventive efforts that should continue to be strengthened in the midwifery service system</w:t>
      </w:r>
      <w:r w:rsidRPr="00A479E8">
        <w:rPr>
          <w:rFonts w:ascii="Arial" w:hAnsi="Arial" w:cs="Arial"/>
          <w:bCs/>
          <w:caps/>
        </w:rPr>
        <w:t>.</w:t>
      </w:r>
    </w:p>
    <w:p w14:paraId="546FA23A" w14:textId="77777777" w:rsidR="00790ADA" w:rsidRPr="00FB3A86" w:rsidRDefault="00790ADA" w:rsidP="00146BE3">
      <w:pPr>
        <w:pStyle w:val="Body"/>
        <w:spacing w:after="0"/>
        <w:rPr>
          <w:rFonts w:ascii="Arial" w:hAnsi="Arial" w:cs="Arial"/>
        </w:rPr>
      </w:pPr>
    </w:p>
    <w:p w14:paraId="59AF66C8" w14:textId="77777777" w:rsidR="00B01FCD" w:rsidRDefault="00000F8F" w:rsidP="00146BE3">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1067E80" w14:textId="6DD93B28" w:rsidR="00A479E8" w:rsidRPr="00A479E8" w:rsidRDefault="00A479E8" w:rsidP="00146BE3">
      <w:pPr>
        <w:pStyle w:val="ConcHead"/>
        <w:spacing w:after="0"/>
        <w:ind w:firstLine="450"/>
        <w:jc w:val="both"/>
        <w:rPr>
          <w:rFonts w:ascii="Arial" w:hAnsi="Arial" w:cs="Arial"/>
          <w:b w:val="0"/>
          <w:bCs/>
          <w:sz w:val="20"/>
          <w:szCs w:val="18"/>
        </w:rPr>
      </w:pPr>
      <w:r w:rsidRPr="00A479E8">
        <w:rPr>
          <w:rFonts w:ascii="Arial" w:hAnsi="Arial" w:cs="Arial"/>
          <w:b w:val="0"/>
          <w:bCs/>
          <w:caps w:val="0"/>
          <w:sz w:val="20"/>
          <w:szCs w:val="18"/>
        </w:rPr>
        <w:t xml:space="preserve">Participation in antenatal classes and regular education during </w:t>
      </w:r>
      <w:proofErr w:type="spellStart"/>
      <w:r w:rsidRPr="00A479E8">
        <w:rPr>
          <w:rFonts w:ascii="Arial" w:hAnsi="Arial" w:cs="Arial"/>
          <w:b w:val="0"/>
          <w:bCs/>
          <w:caps w:val="0"/>
          <w:sz w:val="20"/>
          <w:szCs w:val="18"/>
        </w:rPr>
        <w:t>anc</w:t>
      </w:r>
      <w:proofErr w:type="spellEnd"/>
      <w:r w:rsidRPr="00A479E8">
        <w:rPr>
          <w:rFonts w:ascii="Arial" w:hAnsi="Arial" w:cs="Arial"/>
          <w:b w:val="0"/>
          <w:bCs/>
          <w:caps w:val="0"/>
          <w:sz w:val="20"/>
          <w:szCs w:val="18"/>
        </w:rPr>
        <w:t xml:space="preserve"> visits significantly improved maternal knowledge of the danger signs of preeclampsia. Mothers who attended classes and received education are considerably more likely to understand the risks of preeclampsia than who did not. Education, age, and parity affect the level of knowledge, however structured education remains crucial for all expectant mothers. The role of midwives as education provider become the key in preventing pregnancy complications through increasing maternal awareness.</w:t>
      </w:r>
    </w:p>
    <w:p w14:paraId="04320560" w14:textId="77777777" w:rsidR="00790ADA" w:rsidRPr="00FB3A86" w:rsidRDefault="00790ADA" w:rsidP="00146BE3">
      <w:pPr>
        <w:pStyle w:val="Body"/>
        <w:spacing w:after="0"/>
        <w:rPr>
          <w:rFonts w:ascii="Arial" w:hAnsi="Arial" w:cs="Arial"/>
        </w:rPr>
      </w:pPr>
    </w:p>
    <w:p w14:paraId="498031F8" w14:textId="77777777" w:rsidR="00EE6298" w:rsidRDefault="00EE6298" w:rsidP="00146BE3">
      <w:pPr>
        <w:pStyle w:val="NormalWeb"/>
        <w:widowControl/>
        <w:tabs>
          <w:tab w:val="left" w:pos="426"/>
        </w:tabs>
        <w:spacing w:before="0" w:beforeAutospacing="0" w:after="0" w:afterAutospacing="0"/>
        <w:jc w:val="both"/>
        <w:rPr>
          <w:rFonts w:ascii="Arial" w:eastAsia="Book Antiqua" w:hAnsi="Arial" w:cs="Arial"/>
          <w:bCs/>
          <w:color w:val="000000"/>
          <w:kern w:val="0"/>
          <w:sz w:val="20"/>
          <w:szCs w:val="20"/>
        </w:rPr>
      </w:pPr>
    </w:p>
    <w:p w14:paraId="11E6D03C" w14:textId="77777777" w:rsidR="002B685A" w:rsidRDefault="002B685A" w:rsidP="00146BE3">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18EDBF3D" w14:textId="55681179" w:rsidR="009E267C" w:rsidRPr="009E267C" w:rsidRDefault="009E267C" w:rsidP="00146BE3">
      <w:pPr>
        <w:pStyle w:val="ReferHead"/>
        <w:spacing w:after="0"/>
        <w:jc w:val="both"/>
        <w:rPr>
          <w:rFonts w:ascii="Arial" w:hAnsi="Arial" w:cs="Arial"/>
          <w:b w:val="0"/>
          <w:bCs/>
          <w:sz w:val="20"/>
          <w:szCs w:val="18"/>
        </w:rPr>
      </w:pPr>
      <w:r w:rsidRPr="009E267C">
        <w:rPr>
          <w:rFonts w:ascii="Arial" w:hAnsi="Arial" w:cs="Arial"/>
          <w:b w:val="0"/>
          <w:bCs/>
          <w:caps w:val="0"/>
          <w:sz w:val="20"/>
          <w:szCs w:val="18"/>
        </w:rPr>
        <w:t>As per international standards or university standards, participants’ written consent has been</w:t>
      </w:r>
      <w:r>
        <w:rPr>
          <w:rFonts w:ascii="Arial" w:hAnsi="Arial" w:cs="Arial"/>
          <w:b w:val="0"/>
          <w:bCs/>
          <w:sz w:val="20"/>
          <w:szCs w:val="18"/>
        </w:rPr>
        <w:t xml:space="preserve"> </w:t>
      </w:r>
      <w:r>
        <w:rPr>
          <w:rFonts w:ascii="Arial" w:hAnsi="Arial" w:cs="Arial"/>
          <w:b w:val="0"/>
          <w:bCs/>
          <w:caps w:val="0"/>
          <w:sz w:val="20"/>
          <w:szCs w:val="18"/>
        </w:rPr>
        <w:t>c</w:t>
      </w:r>
      <w:r w:rsidRPr="009E267C">
        <w:rPr>
          <w:rFonts w:ascii="Arial" w:hAnsi="Arial" w:cs="Arial"/>
          <w:b w:val="0"/>
          <w:bCs/>
          <w:caps w:val="0"/>
          <w:sz w:val="20"/>
          <w:szCs w:val="18"/>
        </w:rPr>
        <w:t>ollected and preserved by the author(s).</w:t>
      </w:r>
    </w:p>
    <w:p w14:paraId="09FC9B37" w14:textId="77777777" w:rsidR="001A29D8" w:rsidRDefault="001A29D8" w:rsidP="00146BE3">
      <w:pPr>
        <w:pStyle w:val="ReferHead"/>
        <w:spacing w:after="0"/>
        <w:jc w:val="both"/>
        <w:rPr>
          <w:rFonts w:ascii="Arial" w:hAnsi="Arial" w:cs="Arial"/>
          <w:b w:val="0"/>
          <w:caps w:val="0"/>
          <w:sz w:val="20"/>
        </w:rPr>
      </w:pPr>
    </w:p>
    <w:p w14:paraId="062272C0" w14:textId="77777777" w:rsidR="005C784C" w:rsidRDefault="005C784C" w:rsidP="00146BE3">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12DBCB7A" w14:textId="3FCE21AA" w:rsidR="009E267C" w:rsidRDefault="009E267C" w:rsidP="00146BE3">
      <w:pPr>
        <w:pStyle w:val="ReferHead"/>
        <w:spacing w:after="0"/>
        <w:jc w:val="both"/>
        <w:rPr>
          <w:rFonts w:ascii="Arial" w:hAnsi="Arial" w:cs="Arial"/>
          <w:b w:val="0"/>
          <w:caps w:val="0"/>
        </w:rPr>
      </w:pPr>
      <w:r w:rsidRPr="009E267C">
        <w:rPr>
          <w:rFonts w:ascii="Arial" w:hAnsi="Arial" w:cs="Arial"/>
          <w:b w:val="0"/>
          <w:bCs/>
          <w:caps w:val="0"/>
          <w:sz w:val="20"/>
          <w:szCs w:val="18"/>
        </w:rPr>
        <w:t xml:space="preserve">This research has received ethical approval from the ethics committee of the </w:t>
      </w:r>
      <w:proofErr w:type="spellStart"/>
      <w:r w:rsidRPr="00EC17D3">
        <w:rPr>
          <w:rFonts w:ascii="Arial" w:hAnsi="Arial" w:cs="Arial"/>
          <w:b w:val="0"/>
          <w:caps w:val="0"/>
        </w:rPr>
        <w:t>buleleng</w:t>
      </w:r>
      <w:proofErr w:type="spellEnd"/>
      <w:r w:rsidRPr="00EC17D3">
        <w:rPr>
          <w:rFonts w:ascii="Arial" w:hAnsi="Arial" w:cs="Arial"/>
          <w:b w:val="0"/>
          <w:caps w:val="0"/>
        </w:rPr>
        <w:t xml:space="preserve"> district hospital</w:t>
      </w:r>
      <w:r>
        <w:rPr>
          <w:rFonts w:ascii="Arial" w:hAnsi="Arial" w:cs="Arial"/>
          <w:b w:val="0"/>
          <w:caps w:val="0"/>
        </w:rPr>
        <w:t>.</w:t>
      </w:r>
    </w:p>
    <w:p w14:paraId="0B8F3DF7" w14:textId="77777777" w:rsidR="00EE6298" w:rsidRDefault="00EE6298" w:rsidP="00146BE3">
      <w:pPr>
        <w:pStyle w:val="ReferHead"/>
        <w:spacing w:after="0"/>
        <w:jc w:val="both"/>
        <w:rPr>
          <w:rFonts w:ascii="Arial" w:hAnsi="Arial" w:cs="Arial"/>
          <w:b w:val="0"/>
          <w:caps w:val="0"/>
        </w:rPr>
      </w:pPr>
    </w:p>
    <w:p w14:paraId="4B1CB3CF" w14:textId="77777777" w:rsidR="009E267C" w:rsidRPr="009E267C" w:rsidRDefault="009E267C" w:rsidP="00146BE3">
      <w:pPr>
        <w:pStyle w:val="ReferHead"/>
        <w:spacing w:after="0"/>
        <w:jc w:val="both"/>
        <w:rPr>
          <w:rFonts w:ascii="Arial" w:hAnsi="Arial" w:cs="Arial"/>
          <w:bCs/>
          <w:szCs w:val="18"/>
        </w:rPr>
      </w:pPr>
      <w:r w:rsidRPr="009E267C">
        <w:rPr>
          <w:rFonts w:ascii="Arial" w:hAnsi="Arial" w:cs="Arial"/>
          <w:bCs/>
          <w:szCs w:val="18"/>
        </w:rPr>
        <w:t>DISCLAIMER (ARTIFICIAL INTELLIGENCE)</w:t>
      </w:r>
    </w:p>
    <w:p w14:paraId="272AEE95" w14:textId="473E75B2" w:rsidR="009E267C" w:rsidRPr="009E267C" w:rsidRDefault="009E267C" w:rsidP="00146BE3">
      <w:pPr>
        <w:pStyle w:val="ReferHead"/>
        <w:spacing w:after="0"/>
        <w:jc w:val="both"/>
        <w:rPr>
          <w:rFonts w:ascii="Arial" w:hAnsi="Arial" w:cs="Arial"/>
          <w:b w:val="0"/>
          <w:sz w:val="20"/>
          <w:szCs w:val="16"/>
        </w:rPr>
      </w:pPr>
      <w:r w:rsidRPr="009E267C">
        <w:rPr>
          <w:rFonts w:ascii="Arial" w:hAnsi="Arial" w:cs="Arial"/>
          <w:b w:val="0"/>
          <w:caps w:val="0"/>
          <w:sz w:val="20"/>
          <w:szCs w:val="16"/>
        </w:rPr>
        <w:t xml:space="preserve">Author(s) hereby </w:t>
      </w:r>
      <w:proofErr w:type="gramStart"/>
      <w:r w:rsidRPr="009E267C">
        <w:rPr>
          <w:rFonts w:ascii="Arial" w:hAnsi="Arial" w:cs="Arial"/>
          <w:b w:val="0"/>
          <w:caps w:val="0"/>
          <w:sz w:val="20"/>
          <w:szCs w:val="16"/>
        </w:rPr>
        <w:t>declare</w:t>
      </w:r>
      <w:proofErr w:type="gramEnd"/>
      <w:r w:rsidRPr="009E267C">
        <w:rPr>
          <w:rFonts w:ascii="Arial" w:hAnsi="Arial" w:cs="Arial"/>
          <w:b w:val="0"/>
          <w:caps w:val="0"/>
          <w:sz w:val="20"/>
          <w:szCs w:val="16"/>
        </w:rPr>
        <w:t xml:space="preserve"> that no generative ai technologies such as large language models (</w:t>
      </w:r>
      <w:proofErr w:type="spellStart"/>
      <w:r w:rsidRPr="009E267C">
        <w:rPr>
          <w:rFonts w:ascii="Arial" w:hAnsi="Arial" w:cs="Arial"/>
          <w:b w:val="0"/>
          <w:caps w:val="0"/>
          <w:sz w:val="20"/>
          <w:szCs w:val="16"/>
        </w:rPr>
        <w:t>chatgpt</w:t>
      </w:r>
      <w:proofErr w:type="spellEnd"/>
      <w:r w:rsidRPr="009E267C">
        <w:rPr>
          <w:rFonts w:ascii="Arial" w:hAnsi="Arial" w:cs="Arial"/>
          <w:b w:val="0"/>
          <w:caps w:val="0"/>
          <w:sz w:val="20"/>
          <w:szCs w:val="16"/>
        </w:rPr>
        <w:t xml:space="preserve">, copilot, </w:t>
      </w:r>
      <w:proofErr w:type="spellStart"/>
      <w:r w:rsidRPr="009E267C">
        <w:rPr>
          <w:rFonts w:ascii="Arial" w:hAnsi="Arial" w:cs="Arial"/>
          <w:b w:val="0"/>
          <w:caps w:val="0"/>
          <w:sz w:val="20"/>
          <w:szCs w:val="16"/>
        </w:rPr>
        <w:t>etc</w:t>
      </w:r>
      <w:proofErr w:type="spellEnd"/>
      <w:r w:rsidRPr="009E267C">
        <w:rPr>
          <w:rFonts w:ascii="Arial" w:hAnsi="Arial" w:cs="Arial"/>
          <w:b w:val="0"/>
          <w:caps w:val="0"/>
          <w:sz w:val="20"/>
          <w:szCs w:val="16"/>
        </w:rPr>
        <w:t>) and text-to-image generators have been used during writing or editing of this manuscript</w:t>
      </w:r>
      <w:r w:rsidRPr="009E267C">
        <w:rPr>
          <w:rFonts w:ascii="Arial" w:hAnsi="Arial" w:cs="Arial"/>
          <w:b w:val="0"/>
          <w:sz w:val="20"/>
          <w:szCs w:val="16"/>
        </w:rPr>
        <w:t>.</w:t>
      </w:r>
    </w:p>
    <w:p w14:paraId="04735B4B" w14:textId="77777777" w:rsidR="00860000" w:rsidRDefault="00860000" w:rsidP="00146BE3">
      <w:pPr>
        <w:pStyle w:val="ReferHead"/>
        <w:spacing w:after="0"/>
        <w:jc w:val="both"/>
        <w:rPr>
          <w:rFonts w:ascii="Arial" w:hAnsi="Arial" w:cs="Arial"/>
        </w:rPr>
      </w:pPr>
    </w:p>
    <w:p w14:paraId="5881F468" w14:textId="77777777" w:rsidR="00B01FCD" w:rsidRDefault="00B01FCD" w:rsidP="00146BE3">
      <w:pPr>
        <w:pStyle w:val="ReferHead"/>
        <w:spacing w:after="0"/>
        <w:jc w:val="both"/>
        <w:rPr>
          <w:rFonts w:ascii="Arial" w:hAnsi="Arial" w:cs="Arial"/>
        </w:rPr>
      </w:pPr>
      <w:r w:rsidRPr="00FB3A86">
        <w:rPr>
          <w:rFonts w:ascii="Arial" w:hAnsi="Arial" w:cs="Arial"/>
        </w:rPr>
        <w:t>References</w:t>
      </w:r>
    </w:p>
    <w:p w14:paraId="30324AAB" w14:textId="77777777" w:rsidR="00146BE3" w:rsidRDefault="00146BE3" w:rsidP="00097B02">
      <w:pPr>
        <w:jc w:val="both"/>
      </w:pPr>
    </w:p>
    <w:p w14:paraId="331BF59C" w14:textId="77777777" w:rsidR="00F70F1E" w:rsidRDefault="00F70F1E" w:rsidP="00F70F1E">
      <w:r>
        <w:t>American College of Obstetricians and Gynecologists. (2020). Management of preeclampsia in multiparous women. Obstetrics &amp; Gynecology, 135(6), e237–e260. https://doi.org/10.1097/AOG.0000000000003891</w:t>
      </w:r>
    </w:p>
    <w:p w14:paraId="52AA3E35" w14:textId="77777777" w:rsidR="00F70F1E" w:rsidRDefault="00F70F1E" w:rsidP="00F70F1E">
      <w:proofErr w:type="spellStart"/>
      <w:r>
        <w:t>Aljohani</w:t>
      </w:r>
      <w:proofErr w:type="spellEnd"/>
      <w:r>
        <w:t xml:space="preserve">, A., &amp; </w:t>
      </w:r>
      <w:proofErr w:type="spellStart"/>
      <w:r>
        <w:t>Aljohani</w:t>
      </w:r>
      <w:proofErr w:type="spellEnd"/>
      <w:r>
        <w:t>, S. (2020). The impact of employment status on maternal knowledge during pregnancy. International Journal of Maternal Health, 15(2), 112–120. https://doi.org/10.5539/gjhs.v8n9p37</w:t>
      </w:r>
    </w:p>
    <w:p w14:paraId="68215D9B" w14:textId="77777777" w:rsidR="00F70F1E" w:rsidRDefault="00F70F1E" w:rsidP="00F70F1E">
      <w:proofErr w:type="spellStart"/>
      <w:r>
        <w:t>Andira</w:t>
      </w:r>
      <w:proofErr w:type="spellEnd"/>
      <w:r>
        <w:t>, &amp; Sri Rahayu. (2023). Factors associated with preeclampsia in pregnant women in the third trimester. Journal of Science and Health, 2(1), 1–8. https://doi.org/10.57151/jsika.v2i1.63</w:t>
      </w:r>
    </w:p>
    <w:p w14:paraId="6310E1CB" w14:textId="77777777" w:rsidR="00F70F1E" w:rsidRDefault="00F70F1E" w:rsidP="00F70F1E">
      <w:r>
        <w:t>Christine, D. (2018). Preeclampsia and eclampsia. Jakarta: CV Budi Utama.</w:t>
      </w:r>
    </w:p>
    <w:p w14:paraId="19B30476" w14:textId="77777777" w:rsidR="00F70F1E" w:rsidRDefault="00F70F1E" w:rsidP="00F70F1E">
      <w:proofErr w:type="spellStart"/>
      <w:r>
        <w:t>Erawati</w:t>
      </w:r>
      <w:proofErr w:type="spellEnd"/>
      <w:r>
        <w:t xml:space="preserve">, N. S. R. I., </w:t>
      </w:r>
      <w:proofErr w:type="spellStart"/>
      <w:r>
        <w:t>Somoyani</w:t>
      </w:r>
      <w:proofErr w:type="spellEnd"/>
      <w:r>
        <w:t xml:space="preserve">, N. K., </w:t>
      </w:r>
      <w:proofErr w:type="spellStart"/>
      <w:r>
        <w:t>Darmapatni</w:t>
      </w:r>
      <w:proofErr w:type="spellEnd"/>
      <w:r>
        <w:t xml:space="preserve">, &amp; </w:t>
      </w:r>
      <w:proofErr w:type="spellStart"/>
      <w:r>
        <w:t>Darmapatni</w:t>
      </w:r>
      <w:proofErr w:type="spellEnd"/>
      <w:r>
        <w:t>, M. W. G. (2019). Pregnant women's class assistance at UPT. Dawan I Health Center in 2016. Proceedings of Denpasar Polytechnic of Health. http://repository.poltekkes-denpasar.ac.id/1702/</w:t>
      </w:r>
    </w:p>
    <w:p w14:paraId="03BEE2EF" w14:textId="77777777" w:rsidR="00F70F1E" w:rsidRDefault="00F70F1E" w:rsidP="00F70F1E">
      <w:proofErr w:type="spellStart"/>
      <w:r>
        <w:t>Ferdian</w:t>
      </w:r>
      <w:proofErr w:type="spellEnd"/>
      <w:r>
        <w:t xml:space="preserve">, D., Hikmat, R., </w:t>
      </w:r>
      <w:proofErr w:type="spellStart"/>
      <w:r>
        <w:t>Zuqriefa</w:t>
      </w:r>
      <w:proofErr w:type="spellEnd"/>
      <w:r>
        <w:t xml:space="preserve">, A. B., </w:t>
      </w:r>
      <w:proofErr w:type="spellStart"/>
      <w:r>
        <w:t>Ma'ruf</w:t>
      </w:r>
      <w:proofErr w:type="spellEnd"/>
      <w:r>
        <w:t xml:space="preserve">, T. L. H., </w:t>
      </w:r>
      <w:proofErr w:type="spellStart"/>
      <w:r>
        <w:t>Noviana</w:t>
      </w:r>
      <w:proofErr w:type="spellEnd"/>
      <w:r>
        <w:t xml:space="preserve">, M., </w:t>
      </w:r>
      <w:proofErr w:type="spellStart"/>
      <w:r>
        <w:t>Harahap</w:t>
      </w:r>
      <w:proofErr w:type="spellEnd"/>
      <w:r>
        <w:t xml:space="preserve">, S. M. I., Sutanto, H., &amp; </w:t>
      </w:r>
      <w:proofErr w:type="spellStart"/>
      <w:r>
        <w:t>Hutapea</w:t>
      </w:r>
      <w:proofErr w:type="spellEnd"/>
      <w:r>
        <w:t xml:space="preserve">, M. R. R. (2024). The effect of health education on improving knowledge about mental health. MAHESA: </w:t>
      </w:r>
      <w:proofErr w:type="spellStart"/>
      <w:r>
        <w:t>Malahayati</w:t>
      </w:r>
      <w:proofErr w:type="spellEnd"/>
      <w:r>
        <w:t xml:space="preserve"> Health Student Journal, 4(5), 2058–2067. https://doi.org/10.33024/mahesa.v4i5.14585</w:t>
      </w:r>
    </w:p>
    <w:p w14:paraId="4D14A9EA" w14:textId="77777777" w:rsidR="00F70F1E" w:rsidRDefault="00F70F1E" w:rsidP="00F70F1E">
      <w:r>
        <w:t xml:space="preserve">Hassen, S. S., &amp; </w:t>
      </w:r>
      <w:proofErr w:type="spellStart"/>
      <w:r>
        <w:t>Lelisho</w:t>
      </w:r>
      <w:proofErr w:type="spellEnd"/>
      <w:r>
        <w:t xml:space="preserve">, M. E. (2022). Determining factors associated with the prevalence of knowledge, attitude, and practice in seeking skilled maternal healthcare </w:t>
      </w:r>
      <w:r>
        <w:lastRenderedPageBreak/>
        <w:t>services among women in a remote area of ​​</w:t>
      </w:r>
      <w:proofErr w:type="spellStart"/>
      <w:r>
        <w:t>Gesha</w:t>
      </w:r>
      <w:proofErr w:type="spellEnd"/>
      <w:r>
        <w:t xml:space="preserve"> district. BMC Health Services Research, 22(1), 1–13. https://doi.org/10.1186/s12913-022-08710-y</w:t>
      </w:r>
    </w:p>
    <w:p w14:paraId="2CC74D9A" w14:textId="77777777" w:rsidR="00F70F1E" w:rsidRDefault="00F70F1E" w:rsidP="00F70F1E">
      <w:r>
        <w:t xml:space="preserve">Iskandar, I., Syam, A., </w:t>
      </w:r>
      <w:proofErr w:type="spellStart"/>
      <w:r>
        <w:t>Fitrianingtyas</w:t>
      </w:r>
      <w:proofErr w:type="spellEnd"/>
      <w:r>
        <w:t xml:space="preserve">, D., &amp; </w:t>
      </w:r>
      <w:proofErr w:type="spellStart"/>
      <w:r>
        <w:t>Tajriani</w:t>
      </w:r>
      <w:proofErr w:type="spellEnd"/>
      <w:r>
        <w:t>, T. (2024). The impact of chronic hypertension, kidney disorders, and employment status on preeclampsia in Makassar. Manarang Health Journal, 10(3), 238. https://doi.org/10.33490/jkm.v10i3.1720</w:t>
      </w:r>
    </w:p>
    <w:p w14:paraId="74F8CD61" w14:textId="77777777" w:rsidR="00F70F1E" w:rsidRDefault="00F70F1E" w:rsidP="00F70F1E">
      <w:proofErr w:type="spellStart"/>
      <w:r>
        <w:t>Khadari</w:t>
      </w:r>
      <w:proofErr w:type="spellEnd"/>
      <w:r>
        <w:t>, M. (2025). Expectant management of severe preeclampsia in advanced maternal age with multiple risk factors: a case report. Cureus. https://doi.org/10.7759/cureus.79600</w:t>
      </w:r>
    </w:p>
    <w:p w14:paraId="07EC0A89" w14:textId="77777777" w:rsidR="00F70F1E" w:rsidRDefault="00F70F1E" w:rsidP="00F70F1E">
      <w:r>
        <w:t>Khatiwada, S., &amp; Nepal, M. (2021). Devastating outcome of late onset preeclampsia in a multiparous woman: a case report. Journal of B.P. Koirala Institute of Health Sciences, 4(2), 41–44. https://doi.org/10.3126/jbpkihs.v4i2.44373</w:t>
      </w:r>
    </w:p>
    <w:p w14:paraId="055CECD6" w14:textId="77777777" w:rsidR="00F70F1E" w:rsidRDefault="00F70F1E" w:rsidP="00F70F1E">
      <w:proofErr w:type="spellStart"/>
      <w:r>
        <w:t>Koovimon</w:t>
      </w:r>
      <w:proofErr w:type="spellEnd"/>
      <w:r>
        <w:t xml:space="preserve">, P., </w:t>
      </w:r>
      <w:proofErr w:type="spellStart"/>
      <w:r>
        <w:t>Kaikaew</w:t>
      </w:r>
      <w:proofErr w:type="spellEnd"/>
      <w:r>
        <w:t xml:space="preserve">, K., </w:t>
      </w:r>
      <w:proofErr w:type="spellStart"/>
      <w:r>
        <w:t>Mahoree</w:t>
      </w:r>
      <w:proofErr w:type="spellEnd"/>
      <w:r>
        <w:t xml:space="preserve">, K., &amp; </w:t>
      </w:r>
      <w:proofErr w:type="spellStart"/>
      <w:r>
        <w:t>Bumphenkiatikul</w:t>
      </w:r>
      <w:proofErr w:type="spellEnd"/>
      <w:r>
        <w:t>, T. (2023). Knowledge of obstetric danger signs and associated factors among pregnant women attending antenatal care services at Thai community hospital. F1000Research, 12, 851. https://doi.org/10.12688/f1000research.131267.2</w:t>
      </w:r>
    </w:p>
    <w:p w14:paraId="58F670A8" w14:textId="77777777" w:rsidR="00F70F1E" w:rsidRDefault="00F70F1E" w:rsidP="00F70F1E">
      <w:r>
        <w:t>Mattsson, K., Juárez, S., &amp; Malmqvist, E. (2022). Influence of socio-economic factors and region of birth on the risk of preeclampsia in Sweden. International Journal of Environmental Research and Public Health, 19(7), 4080. https://doi.org/10.3390/ijerph19074080</w:t>
      </w:r>
    </w:p>
    <w:p w14:paraId="014CCF9A" w14:textId="77777777" w:rsidR="00F70F1E" w:rsidRDefault="00F70F1E" w:rsidP="00F70F1E">
      <w:proofErr w:type="spellStart"/>
      <w:r>
        <w:t>Rachmawati</w:t>
      </w:r>
      <w:proofErr w:type="spellEnd"/>
      <w:r>
        <w:t xml:space="preserve">, E., </w:t>
      </w:r>
      <w:proofErr w:type="spellStart"/>
      <w:r>
        <w:t>Rahmadhani</w:t>
      </w:r>
      <w:proofErr w:type="spellEnd"/>
      <w:r>
        <w:t xml:space="preserve">, F., Ananda, M. R., </w:t>
      </w:r>
      <w:proofErr w:type="spellStart"/>
      <w:r>
        <w:t>Salsabillah</w:t>
      </w:r>
      <w:proofErr w:type="spellEnd"/>
      <w:r>
        <w:t>, S., &amp; Pradana, A. A. (2021). Factors influencing family knowledge of hypertension: A narrative review. Mitra Kesehatan Journal, 4(1), 14–19. https://doi.org/10.47522/jmk.v4i1.98</w:t>
      </w:r>
    </w:p>
    <w:p w14:paraId="7AC4F001" w14:textId="77777777" w:rsidR="00F70F1E" w:rsidRDefault="00F70F1E" w:rsidP="00F70F1E">
      <w:proofErr w:type="spellStart"/>
      <w:r>
        <w:t>Rahyani</w:t>
      </w:r>
      <w:proofErr w:type="spellEnd"/>
      <w:r>
        <w:t>, N. K., &amp; Suardana, W. (2018). Inequity in applying midwifery standards of practice by midwives on early detection and management of maternal neonatal emergency in Denpasar City and Fakfak District, Papua Indonesia. International Journal of Scientific Research, 8(12), 895–898. https://doi.org/10.21275/ART20203301</w:t>
      </w:r>
    </w:p>
    <w:p w14:paraId="703844E2" w14:textId="77777777" w:rsidR="00F70F1E" w:rsidRDefault="00F70F1E" w:rsidP="00F70F1E">
      <w:proofErr w:type="spellStart"/>
      <w:r>
        <w:t>Sugiantari</w:t>
      </w:r>
      <w:proofErr w:type="spellEnd"/>
      <w:r>
        <w:t xml:space="preserve">, A. I. M., Surya, I. G. H. W., Aryana, M. B. D., &amp; I. N. G. B. (2019). Characteristics of mothers with severe preeclampsia who gave birth to </w:t>
      </w:r>
      <w:proofErr w:type="gramStart"/>
      <w:r>
        <w:t>low birth weight</w:t>
      </w:r>
      <w:proofErr w:type="gramEnd"/>
      <w:r>
        <w:t xml:space="preserve"> babies at </w:t>
      </w:r>
      <w:proofErr w:type="spellStart"/>
      <w:r>
        <w:t>Sanglah</w:t>
      </w:r>
      <w:proofErr w:type="spellEnd"/>
      <w:r>
        <w:t xml:space="preserve"> General Hospital, Denpasar. E-</w:t>
      </w:r>
      <w:proofErr w:type="spellStart"/>
      <w:r>
        <w:t>Jurnal</w:t>
      </w:r>
      <w:proofErr w:type="spellEnd"/>
      <w:r>
        <w:t xml:space="preserve"> Medika Udayana, 8(6). https://jurnal.harianregional.com/eum/id-51734</w:t>
      </w:r>
    </w:p>
    <w:p w14:paraId="39B7747C" w14:textId="77777777" w:rsidR="00F70F1E" w:rsidRDefault="00F70F1E" w:rsidP="00F70F1E">
      <w:r>
        <w:t>Tamma, E., Adu-</w:t>
      </w:r>
      <w:proofErr w:type="spellStart"/>
      <w:r>
        <w:t>Bonsaffoh</w:t>
      </w:r>
      <w:proofErr w:type="spellEnd"/>
      <w:r>
        <w:t xml:space="preserve">, K., </w:t>
      </w:r>
      <w:proofErr w:type="spellStart"/>
      <w:r>
        <w:t>Nwameme</w:t>
      </w:r>
      <w:proofErr w:type="spellEnd"/>
      <w:r>
        <w:t xml:space="preserve">, A., Dako-Gyeke, P., </w:t>
      </w:r>
      <w:proofErr w:type="spellStart"/>
      <w:r>
        <w:t>Srofenyoh</w:t>
      </w:r>
      <w:proofErr w:type="spellEnd"/>
      <w:r>
        <w:t>, E., &amp; Browne, J. (2023). Maternal hypertensive mothers' knowledge, attitudes and misconceptions on hypertension in pregnancy: A multi-center qualitative study in Ghana. PLOS Global Public Health, 3(1), e0001456. https://doi.org/10.1371/journal.pgph.0001456</w:t>
      </w:r>
    </w:p>
    <w:p w14:paraId="4DFC7F8E" w14:textId="77777777" w:rsidR="00F70F1E" w:rsidRDefault="00F70F1E" w:rsidP="00F70F1E">
      <w:r>
        <w:t xml:space="preserve">Tinta, Y., </w:t>
      </w:r>
      <w:proofErr w:type="spellStart"/>
      <w:r>
        <w:t>Polopadang</w:t>
      </w:r>
      <w:proofErr w:type="spellEnd"/>
      <w:r>
        <w:t xml:space="preserve">, V., &amp; Rais, M. (2020). Related factors to preeclampsia incidence in pregnant women at </w:t>
      </w:r>
      <w:proofErr w:type="spellStart"/>
      <w:r>
        <w:t>Lasinrang</w:t>
      </w:r>
      <w:proofErr w:type="spellEnd"/>
      <w:r>
        <w:t xml:space="preserve"> Regional Hospital </w:t>
      </w:r>
      <w:proofErr w:type="spellStart"/>
      <w:r>
        <w:t>Pinrang</w:t>
      </w:r>
      <w:proofErr w:type="spellEnd"/>
      <w:r>
        <w:t>. South Asian Research Journal of Nursing and Healthcare, 2(1), 12–16. https://doi.org/10.36346/sarjnhc.2020.v02i01.002</w:t>
      </w:r>
    </w:p>
    <w:p w14:paraId="6AB64180" w14:textId="77777777" w:rsidR="00F70F1E" w:rsidRDefault="00F70F1E" w:rsidP="00F70F1E">
      <w:proofErr w:type="spellStart"/>
      <w:r>
        <w:t>Tjandraprawira</w:t>
      </w:r>
      <w:proofErr w:type="spellEnd"/>
      <w:r>
        <w:t xml:space="preserve">, K. D., &amp; </w:t>
      </w:r>
      <w:proofErr w:type="spellStart"/>
      <w:r>
        <w:t>Ghozali</w:t>
      </w:r>
      <w:proofErr w:type="spellEnd"/>
      <w:r>
        <w:t>, I. (2019). Knowledge of pregnancy and its danger signs not improved by maternal and child health handbook. Indian Journal of Obstetrics &amp; Gynecology, 69(3), 218–224. https://doi.org/10.1007/s13224-018-1162-0</w:t>
      </w:r>
    </w:p>
    <w:p w14:paraId="341E517C" w14:textId="6CFBC050" w:rsidR="00146BE3" w:rsidRPr="001F4648" w:rsidRDefault="00F70F1E" w:rsidP="00F70F1E">
      <w:r>
        <w:t>Yang, F. F., Knowledge, M., Mark, T., Pregnancy, B., &amp; Kasmara, D. P. (2022). Factors affecting knowledge about the danger signs of pregnancy. INCH Journal of Infant and Child Healthcare, 1(2), 69–76.</w:t>
      </w:r>
    </w:p>
    <w:sectPr w:rsidR="00146BE3" w:rsidRPr="001F4648" w:rsidSect="00462B3F">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2DA23" w14:textId="77777777" w:rsidR="007310C4" w:rsidRDefault="007310C4" w:rsidP="00C37E61">
      <w:r>
        <w:separator/>
      </w:r>
    </w:p>
  </w:endnote>
  <w:endnote w:type="continuationSeparator" w:id="0">
    <w:p w14:paraId="4A63DC0D" w14:textId="77777777" w:rsidR="007310C4" w:rsidRDefault="007310C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B5C1B" w14:textId="77777777" w:rsidR="00462B3F" w:rsidRDefault="00462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B841"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413F5" w14:textId="77777777" w:rsidR="00462B3F" w:rsidRDefault="00462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71453" w14:textId="77777777" w:rsidR="007310C4" w:rsidRDefault="007310C4" w:rsidP="00C37E61">
      <w:r>
        <w:separator/>
      </w:r>
    </w:p>
  </w:footnote>
  <w:footnote w:type="continuationSeparator" w:id="0">
    <w:p w14:paraId="6DED16DC" w14:textId="77777777" w:rsidR="007310C4" w:rsidRDefault="007310C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F821" w14:textId="05D12379" w:rsidR="00462B3F" w:rsidRDefault="00462B3F">
    <w:pPr>
      <w:pStyle w:val="Header"/>
    </w:pPr>
    <w:r>
      <w:rPr>
        <w:noProof/>
      </w:rPr>
      <w:pict w14:anchorId="6C189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66172" o:spid="_x0000_s1026" type="#_x0000_t136" style="position:absolute;margin-left:0;margin-top:0;width:503.55pt;height:5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F4581" w14:textId="7029B27B" w:rsidR="00462B3F" w:rsidRDefault="00462B3F">
    <w:pPr>
      <w:pStyle w:val="Header"/>
    </w:pPr>
    <w:r>
      <w:rPr>
        <w:noProof/>
      </w:rPr>
      <w:pict w14:anchorId="374514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66173" o:spid="_x0000_s1027" type="#_x0000_t136" style="position:absolute;margin-left:0;margin-top:0;width:503.55pt;height:5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91EF" w14:textId="078AD5F9" w:rsidR="00462B3F" w:rsidRDefault="00462B3F">
    <w:pPr>
      <w:pStyle w:val="Header"/>
    </w:pPr>
    <w:r>
      <w:rPr>
        <w:noProof/>
      </w:rPr>
      <w:pict w14:anchorId="2B1960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66171" o:spid="_x0000_s1025" type="#_x0000_t136" style="position:absolute;margin-left:0;margin-top:0;width:503.55pt;height:5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E23FF2"/>
    <w:multiLevelType w:val="multilevel"/>
    <w:tmpl w:val="E19A8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6E45F46"/>
    <w:multiLevelType w:val="multilevel"/>
    <w:tmpl w:val="7104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78939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0460944">
    <w:abstractNumId w:val="16"/>
  </w:num>
  <w:num w:numId="3" w16cid:durableId="1591966295">
    <w:abstractNumId w:val="24"/>
  </w:num>
  <w:num w:numId="4" w16cid:durableId="126538269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40186180">
    <w:abstractNumId w:val="7"/>
  </w:num>
  <w:num w:numId="6" w16cid:durableId="189147556">
    <w:abstractNumId w:val="6"/>
  </w:num>
  <w:num w:numId="7" w16cid:durableId="1598321713">
    <w:abstractNumId w:val="1"/>
  </w:num>
  <w:num w:numId="8" w16cid:durableId="1896890696">
    <w:abstractNumId w:val="12"/>
  </w:num>
  <w:num w:numId="9" w16cid:durableId="476579817">
    <w:abstractNumId w:val="27"/>
  </w:num>
  <w:num w:numId="10" w16cid:durableId="1562980055">
    <w:abstractNumId w:val="2"/>
  </w:num>
  <w:num w:numId="11" w16cid:durableId="485777577">
    <w:abstractNumId w:val="19"/>
  </w:num>
  <w:num w:numId="12" w16cid:durableId="527304328">
    <w:abstractNumId w:val="3"/>
  </w:num>
  <w:num w:numId="13" w16cid:durableId="86772427">
    <w:abstractNumId w:val="18"/>
  </w:num>
  <w:num w:numId="14" w16cid:durableId="469590476">
    <w:abstractNumId w:val="8"/>
  </w:num>
  <w:num w:numId="15" w16cid:durableId="1666668156">
    <w:abstractNumId w:val="22"/>
  </w:num>
  <w:num w:numId="16" w16cid:durableId="1994984983">
    <w:abstractNumId w:val="5"/>
  </w:num>
  <w:num w:numId="17" w16cid:durableId="373310441">
    <w:abstractNumId w:val="23"/>
  </w:num>
  <w:num w:numId="18" w16cid:durableId="171996312">
    <w:abstractNumId w:val="15"/>
  </w:num>
  <w:num w:numId="19" w16cid:durableId="14238691">
    <w:abstractNumId w:val="30"/>
  </w:num>
  <w:num w:numId="20" w16cid:durableId="1936674019">
    <w:abstractNumId w:val="11"/>
  </w:num>
  <w:num w:numId="21" w16cid:durableId="758915545">
    <w:abstractNumId w:val="9"/>
  </w:num>
  <w:num w:numId="22" w16cid:durableId="1391925191">
    <w:abstractNumId w:val="14"/>
  </w:num>
  <w:num w:numId="23" w16cid:durableId="961375996">
    <w:abstractNumId w:val="20"/>
  </w:num>
  <w:num w:numId="24" w16cid:durableId="1010452903">
    <w:abstractNumId w:val="28"/>
  </w:num>
  <w:num w:numId="25" w16cid:durableId="1264800878">
    <w:abstractNumId w:val="4"/>
  </w:num>
  <w:num w:numId="26" w16cid:durableId="1768886762">
    <w:abstractNumId w:val="17"/>
  </w:num>
  <w:num w:numId="27" w16cid:durableId="1680505546">
    <w:abstractNumId w:val="21"/>
  </w:num>
  <w:num w:numId="28" w16cid:durableId="1965454036">
    <w:abstractNumId w:val="29"/>
  </w:num>
  <w:num w:numId="29" w16cid:durableId="1545216938">
    <w:abstractNumId w:val="26"/>
  </w:num>
  <w:num w:numId="30" w16cid:durableId="619531023">
    <w:abstractNumId w:val="10"/>
  </w:num>
  <w:num w:numId="31" w16cid:durableId="405345752">
    <w:abstractNumId w:val="25"/>
  </w:num>
  <w:num w:numId="32" w16cid:durableId="407159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7373"/>
    <w:rsid w:val="0001039C"/>
    <w:rsid w:val="00030174"/>
    <w:rsid w:val="0004579C"/>
    <w:rsid w:val="00097B02"/>
    <w:rsid w:val="000A47FA"/>
    <w:rsid w:val="000A65D3"/>
    <w:rsid w:val="000B1E33"/>
    <w:rsid w:val="000C23A3"/>
    <w:rsid w:val="000D689F"/>
    <w:rsid w:val="000E7B7B"/>
    <w:rsid w:val="000E7D62"/>
    <w:rsid w:val="00103357"/>
    <w:rsid w:val="00123C9F"/>
    <w:rsid w:val="00126190"/>
    <w:rsid w:val="001302AB"/>
    <w:rsid w:val="00130F17"/>
    <w:rsid w:val="001320BF"/>
    <w:rsid w:val="00146BE3"/>
    <w:rsid w:val="00163BC4"/>
    <w:rsid w:val="00191062"/>
    <w:rsid w:val="00192B72"/>
    <w:rsid w:val="001A29D8"/>
    <w:rsid w:val="001A5CAA"/>
    <w:rsid w:val="001B0427"/>
    <w:rsid w:val="001D3A51"/>
    <w:rsid w:val="001E10D2"/>
    <w:rsid w:val="001E25B4"/>
    <w:rsid w:val="001E44FE"/>
    <w:rsid w:val="001F4648"/>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2B3F"/>
    <w:rsid w:val="00471A80"/>
    <w:rsid w:val="004D305E"/>
    <w:rsid w:val="004D4277"/>
    <w:rsid w:val="00502516"/>
    <w:rsid w:val="00505F06"/>
    <w:rsid w:val="00506828"/>
    <w:rsid w:val="0053056E"/>
    <w:rsid w:val="00554FDA"/>
    <w:rsid w:val="005C1833"/>
    <w:rsid w:val="005C784C"/>
    <w:rsid w:val="005D17F6"/>
    <w:rsid w:val="005E2627"/>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13C98"/>
    <w:rsid w:val="007310C4"/>
    <w:rsid w:val="007369E6"/>
    <w:rsid w:val="00746E59"/>
    <w:rsid w:val="00754C9A"/>
    <w:rsid w:val="0075599A"/>
    <w:rsid w:val="00761D52"/>
    <w:rsid w:val="0077749E"/>
    <w:rsid w:val="00790ADA"/>
    <w:rsid w:val="007C5C49"/>
    <w:rsid w:val="007D2288"/>
    <w:rsid w:val="007E088F"/>
    <w:rsid w:val="007F7B32"/>
    <w:rsid w:val="00804BC2"/>
    <w:rsid w:val="0081431A"/>
    <w:rsid w:val="00826D2A"/>
    <w:rsid w:val="0083216F"/>
    <w:rsid w:val="008577DB"/>
    <w:rsid w:val="00860000"/>
    <w:rsid w:val="0086111F"/>
    <w:rsid w:val="00863BD3"/>
    <w:rsid w:val="008641ED"/>
    <w:rsid w:val="00866D66"/>
    <w:rsid w:val="008671C6"/>
    <w:rsid w:val="00875803"/>
    <w:rsid w:val="008B459E"/>
    <w:rsid w:val="008E13AE"/>
    <w:rsid w:val="008E1506"/>
    <w:rsid w:val="008E710C"/>
    <w:rsid w:val="008F69D6"/>
    <w:rsid w:val="009022ED"/>
    <w:rsid w:val="00902823"/>
    <w:rsid w:val="00915CA6"/>
    <w:rsid w:val="00927834"/>
    <w:rsid w:val="009500A6"/>
    <w:rsid w:val="00957C18"/>
    <w:rsid w:val="00962AC1"/>
    <w:rsid w:val="009659BA"/>
    <w:rsid w:val="00983040"/>
    <w:rsid w:val="009B3FB9"/>
    <w:rsid w:val="009B7159"/>
    <w:rsid w:val="009C2465"/>
    <w:rsid w:val="009D35A0"/>
    <w:rsid w:val="009D7EB7"/>
    <w:rsid w:val="009E048A"/>
    <w:rsid w:val="009E08E9"/>
    <w:rsid w:val="009E267C"/>
    <w:rsid w:val="009E3DB9"/>
    <w:rsid w:val="009E6E35"/>
    <w:rsid w:val="009F0EDA"/>
    <w:rsid w:val="00A03B96"/>
    <w:rsid w:val="00A05B19"/>
    <w:rsid w:val="00A1134E"/>
    <w:rsid w:val="00A24E7E"/>
    <w:rsid w:val="00A258C3"/>
    <w:rsid w:val="00A347C0"/>
    <w:rsid w:val="00A479E8"/>
    <w:rsid w:val="00A51431"/>
    <w:rsid w:val="00A539AD"/>
    <w:rsid w:val="00A94063"/>
    <w:rsid w:val="00AA6219"/>
    <w:rsid w:val="00AA74E0"/>
    <w:rsid w:val="00AB703F"/>
    <w:rsid w:val="00AC6BB8"/>
    <w:rsid w:val="00AE008F"/>
    <w:rsid w:val="00AE7900"/>
    <w:rsid w:val="00B01FCD"/>
    <w:rsid w:val="00B1776C"/>
    <w:rsid w:val="00B52583"/>
    <w:rsid w:val="00B52896"/>
    <w:rsid w:val="00B95236"/>
    <w:rsid w:val="00B96BD9"/>
    <w:rsid w:val="00BA1B01"/>
    <w:rsid w:val="00BA2641"/>
    <w:rsid w:val="00BA45B8"/>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A2C56"/>
    <w:rsid w:val="00CB69CB"/>
    <w:rsid w:val="00CD6755"/>
    <w:rsid w:val="00CD6856"/>
    <w:rsid w:val="00CE0089"/>
    <w:rsid w:val="00CE793C"/>
    <w:rsid w:val="00CF193C"/>
    <w:rsid w:val="00D16F30"/>
    <w:rsid w:val="00D173F1"/>
    <w:rsid w:val="00D74CB0"/>
    <w:rsid w:val="00D8295D"/>
    <w:rsid w:val="00DC2A65"/>
    <w:rsid w:val="00DC5C0A"/>
    <w:rsid w:val="00DE15F0"/>
    <w:rsid w:val="00DE5663"/>
    <w:rsid w:val="00DE78AA"/>
    <w:rsid w:val="00DF2E62"/>
    <w:rsid w:val="00E053D0"/>
    <w:rsid w:val="00E074E0"/>
    <w:rsid w:val="00E15994"/>
    <w:rsid w:val="00E3114E"/>
    <w:rsid w:val="00E31A70"/>
    <w:rsid w:val="00E35B02"/>
    <w:rsid w:val="00E66496"/>
    <w:rsid w:val="00E66B35"/>
    <w:rsid w:val="00E66E10"/>
    <w:rsid w:val="00E769F6"/>
    <w:rsid w:val="00E8407C"/>
    <w:rsid w:val="00E84F3C"/>
    <w:rsid w:val="00EA012C"/>
    <w:rsid w:val="00EC17D3"/>
    <w:rsid w:val="00EC6A55"/>
    <w:rsid w:val="00ED0288"/>
    <w:rsid w:val="00EE52CB"/>
    <w:rsid w:val="00EE6298"/>
    <w:rsid w:val="00EF581D"/>
    <w:rsid w:val="00EF7FD8"/>
    <w:rsid w:val="00F06F59"/>
    <w:rsid w:val="00F17988"/>
    <w:rsid w:val="00F21829"/>
    <w:rsid w:val="00F469F0"/>
    <w:rsid w:val="00F53273"/>
    <w:rsid w:val="00F70F1E"/>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96FC8"/>
  <w15:docId w15:val="{740A1190-DF53-4489-8060-355657C6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C17D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rsid w:val="00007373"/>
    <w:pPr>
      <w:widowControl w:val="0"/>
      <w:spacing w:before="100" w:beforeAutospacing="1" w:after="100" w:afterAutospacing="1"/>
    </w:pPr>
    <w:rPr>
      <w:rFonts w:ascii="Times New Roman" w:hAnsi="Times New Roman"/>
      <w:kern w:val="2"/>
      <w:sz w:val="24"/>
      <w:szCs w:val="24"/>
      <w:lang w:eastAsia="zh-CN"/>
    </w:rPr>
  </w:style>
  <w:style w:type="paragraph" w:customStyle="1" w:styleId="abstract">
    <w:name w:val="abstract"/>
    <w:basedOn w:val="Normal"/>
    <w:link w:val="abstractChar"/>
    <w:qFormat/>
    <w:rsid w:val="00DC5C0A"/>
    <w:pPr>
      <w:spacing w:line="480" w:lineRule="auto"/>
      <w:jc w:val="both"/>
    </w:pPr>
    <w:rPr>
      <w:rFonts w:ascii="Times New Roman" w:eastAsiaTheme="minorHAnsi" w:hAnsi="Times New Roman"/>
      <w:color w:val="0070C0"/>
      <w:sz w:val="24"/>
      <w:szCs w:val="24"/>
    </w:rPr>
  </w:style>
  <w:style w:type="character" w:customStyle="1" w:styleId="abstractChar">
    <w:name w:val="abstract Char"/>
    <w:basedOn w:val="DefaultParagraphFont"/>
    <w:link w:val="abstract"/>
    <w:rsid w:val="00DC5C0A"/>
    <w:rPr>
      <w:rFonts w:eastAsiaTheme="minorHAnsi"/>
      <w:color w:val="0070C0"/>
      <w:sz w:val="24"/>
      <w:szCs w:val="24"/>
    </w:rPr>
  </w:style>
  <w:style w:type="paragraph" w:customStyle="1" w:styleId="ISI">
    <w:name w:val="ISI"/>
    <w:basedOn w:val="Normal"/>
    <w:link w:val="ISIChar"/>
    <w:rsid w:val="00DC5C0A"/>
    <w:pPr>
      <w:spacing w:after="80" w:line="330" w:lineRule="exact"/>
      <w:ind w:firstLine="284"/>
      <w:jc w:val="both"/>
    </w:pPr>
    <w:rPr>
      <w:rFonts w:ascii="Calibri" w:hAnsi="Calibri"/>
      <w:spacing w:val="-10"/>
      <w:sz w:val="23"/>
      <w:szCs w:val="24"/>
    </w:rPr>
  </w:style>
  <w:style w:type="character" w:customStyle="1" w:styleId="ISIChar">
    <w:name w:val="ISI Char"/>
    <w:link w:val="ISI"/>
    <w:rsid w:val="00DC5C0A"/>
    <w:rPr>
      <w:rFonts w:ascii="Calibri" w:hAnsi="Calibri"/>
      <w:spacing w:val="-10"/>
      <w:sz w:val="23"/>
      <w:szCs w:val="24"/>
    </w:rPr>
  </w:style>
  <w:style w:type="character" w:customStyle="1" w:styleId="Heading3Char">
    <w:name w:val="Heading 3 Char"/>
    <w:basedOn w:val="DefaultParagraphFont"/>
    <w:link w:val="Heading3"/>
    <w:semiHidden/>
    <w:rsid w:val="00EC17D3"/>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E2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610521">
      <w:bodyDiv w:val="1"/>
      <w:marLeft w:val="0"/>
      <w:marRight w:val="0"/>
      <w:marTop w:val="0"/>
      <w:marBottom w:val="0"/>
      <w:divBdr>
        <w:top w:val="none" w:sz="0" w:space="0" w:color="auto"/>
        <w:left w:val="none" w:sz="0" w:space="0" w:color="auto"/>
        <w:bottom w:val="none" w:sz="0" w:space="0" w:color="auto"/>
        <w:right w:val="none" w:sz="0" w:space="0" w:color="auto"/>
      </w:divBdr>
    </w:div>
    <w:div w:id="103765905">
      <w:bodyDiv w:val="1"/>
      <w:marLeft w:val="0"/>
      <w:marRight w:val="0"/>
      <w:marTop w:val="0"/>
      <w:marBottom w:val="0"/>
      <w:divBdr>
        <w:top w:val="none" w:sz="0" w:space="0" w:color="auto"/>
        <w:left w:val="none" w:sz="0" w:space="0" w:color="auto"/>
        <w:bottom w:val="none" w:sz="0" w:space="0" w:color="auto"/>
        <w:right w:val="none" w:sz="0" w:space="0" w:color="auto"/>
      </w:divBdr>
    </w:div>
    <w:div w:id="130638561">
      <w:bodyDiv w:val="1"/>
      <w:marLeft w:val="0"/>
      <w:marRight w:val="0"/>
      <w:marTop w:val="0"/>
      <w:marBottom w:val="0"/>
      <w:divBdr>
        <w:top w:val="none" w:sz="0" w:space="0" w:color="auto"/>
        <w:left w:val="none" w:sz="0" w:space="0" w:color="auto"/>
        <w:bottom w:val="none" w:sz="0" w:space="0" w:color="auto"/>
        <w:right w:val="none" w:sz="0" w:space="0" w:color="auto"/>
      </w:divBdr>
    </w:div>
    <w:div w:id="13357359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077403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50449627">
      <w:bodyDiv w:val="1"/>
      <w:marLeft w:val="0"/>
      <w:marRight w:val="0"/>
      <w:marTop w:val="0"/>
      <w:marBottom w:val="0"/>
      <w:divBdr>
        <w:top w:val="none" w:sz="0" w:space="0" w:color="auto"/>
        <w:left w:val="none" w:sz="0" w:space="0" w:color="auto"/>
        <w:bottom w:val="none" w:sz="0" w:space="0" w:color="auto"/>
        <w:right w:val="none" w:sz="0" w:space="0" w:color="auto"/>
      </w:divBdr>
    </w:div>
    <w:div w:id="372972769">
      <w:bodyDiv w:val="1"/>
      <w:marLeft w:val="0"/>
      <w:marRight w:val="0"/>
      <w:marTop w:val="0"/>
      <w:marBottom w:val="0"/>
      <w:divBdr>
        <w:top w:val="none" w:sz="0" w:space="0" w:color="auto"/>
        <w:left w:val="none" w:sz="0" w:space="0" w:color="auto"/>
        <w:bottom w:val="none" w:sz="0" w:space="0" w:color="auto"/>
        <w:right w:val="none" w:sz="0" w:space="0" w:color="auto"/>
      </w:divBdr>
    </w:div>
    <w:div w:id="405764612">
      <w:bodyDiv w:val="1"/>
      <w:marLeft w:val="0"/>
      <w:marRight w:val="0"/>
      <w:marTop w:val="0"/>
      <w:marBottom w:val="0"/>
      <w:divBdr>
        <w:top w:val="none" w:sz="0" w:space="0" w:color="auto"/>
        <w:left w:val="none" w:sz="0" w:space="0" w:color="auto"/>
        <w:bottom w:val="none" w:sz="0" w:space="0" w:color="auto"/>
        <w:right w:val="none" w:sz="0" w:space="0" w:color="auto"/>
      </w:divBdr>
    </w:div>
    <w:div w:id="451751403">
      <w:bodyDiv w:val="1"/>
      <w:marLeft w:val="0"/>
      <w:marRight w:val="0"/>
      <w:marTop w:val="0"/>
      <w:marBottom w:val="0"/>
      <w:divBdr>
        <w:top w:val="none" w:sz="0" w:space="0" w:color="auto"/>
        <w:left w:val="none" w:sz="0" w:space="0" w:color="auto"/>
        <w:bottom w:val="none" w:sz="0" w:space="0" w:color="auto"/>
        <w:right w:val="none" w:sz="0" w:space="0" w:color="auto"/>
      </w:divBdr>
    </w:div>
    <w:div w:id="485517549">
      <w:bodyDiv w:val="1"/>
      <w:marLeft w:val="0"/>
      <w:marRight w:val="0"/>
      <w:marTop w:val="0"/>
      <w:marBottom w:val="0"/>
      <w:divBdr>
        <w:top w:val="none" w:sz="0" w:space="0" w:color="auto"/>
        <w:left w:val="none" w:sz="0" w:space="0" w:color="auto"/>
        <w:bottom w:val="none" w:sz="0" w:space="0" w:color="auto"/>
        <w:right w:val="none" w:sz="0" w:space="0" w:color="auto"/>
      </w:divBdr>
    </w:div>
    <w:div w:id="49939153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8291483">
      <w:bodyDiv w:val="1"/>
      <w:marLeft w:val="0"/>
      <w:marRight w:val="0"/>
      <w:marTop w:val="0"/>
      <w:marBottom w:val="0"/>
      <w:divBdr>
        <w:top w:val="none" w:sz="0" w:space="0" w:color="auto"/>
        <w:left w:val="none" w:sz="0" w:space="0" w:color="auto"/>
        <w:bottom w:val="none" w:sz="0" w:space="0" w:color="auto"/>
        <w:right w:val="none" w:sz="0" w:space="0" w:color="auto"/>
      </w:divBdr>
    </w:div>
    <w:div w:id="663049370">
      <w:bodyDiv w:val="1"/>
      <w:marLeft w:val="0"/>
      <w:marRight w:val="0"/>
      <w:marTop w:val="0"/>
      <w:marBottom w:val="0"/>
      <w:divBdr>
        <w:top w:val="none" w:sz="0" w:space="0" w:color="auto"/>
        <w:left w:val="none" w:sz="0" w:space="0" w:color="auto"/>
        <w:bottom w:val="none" w:sz="0" w:space="0" w:color="auto"/>
        <w:right w:val="none" w:sz="0" w:space="0" w:color="auto"/>
      </w:divBdr>
    </w:div>
    <w:div w:id="682051560">
      <w:bodyDiv w:val="1"/>
      <w:marLeft w:val="0"/>
      <w:marRight w:val="0"/>
      <w:marTop w:val="0"/>
      <w:marBottom w:val="0"/>
      <w:divBdr>
        <w:top w:val="none" w:sz="0" w:space="0" w:color="auto"/>
        <w:left w:val="none" w:sz="0" w:space="0" w:color="auto"/>
        <w:bottom w:val="none" w:sz="0" w:space="0" w:color="auto"/>
        <w:right w:val="none" w:sz="0" w:space="0" w:color="auto"/>
      </w:divBdr>
    </w:div>
    <w:div w:id="710956005">
      <w:bodyDiv w:val="1"/>
      <w:marLeft w:val="0"/>
      <w:marRight w:val="0"/>
      <w:marTop w:val="0"/>
      <w:marBottom w:val="0"/>
      <w:divBdr>
        <w:top w:val="none" w:sz="0" w:space="0" w:color="auto"/>
        <w:left w:val="none" w:sz="0" w:space="0" w:color="auto"/>
        <w:bottom w:val="none" w:sz="0" w:space="0" w:color="auto"/>
        <w:right w:val="none" w:sz="0" w:space="0" w:color="auto"/>
      </w:divBdr>
    </w:div>
    <w:div w:id="764113982">
      <w:bodyDiv w:val="1"/>
      <w:marLeft w:val="0"/>
      <w:marRight w:val="0"/>
      <w:marTop w:val="0"/>
      <w:marBottom w:val="0"/>
      <w:divBdr>
        <w:top w:val="none" w:sz="0" w:space="0" w:color="auto"/>
        <w:left w:val="none" w:sz="0" w:space="0" w:color="auto"/>
        <w:bottom w:val="none" w:sz="0" w:space="0" w:color="auto"/>
        <w:right w:val="none" w:sz="0" w:space="0" w:color="auto"/>
      </w:divBdr>
    </w:div>
    <w:div w:id="805389149">
      <w:bodyDiv w:val="1"/>
      <w:marLeft w:val="0"/>
      <w:marRight w:val="0"/>
      <w:marTop w:val="0"/>
      <w:marBottom w:val="0"/>
      <w:divBdr>
        <w:top w:val="none" w:sz="0" w:space="0" w:color="auto"/>
        <w:left w:val="none" w:sz="0" w:space="0" w:color="auto"/>
        <w:bottom w:val="none" w:sz="0" w:space="0" w:color="auto"/>
        <w:right w:val="none" w:sz="0" w:space="0" w:color="auto"/>
      </w:divBdr>
    </w:div>
    <w:div w:id="91987649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127934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6853970">
      <w:bodyDiv w:val="1"/>
      <w:marLeft w:val="0"/>
      <w:marRight w:val="0"/>
      <w:marTop w:val="0"/>
      <w:marBottom w:val="0"/>
      <w:divBdr>
        <w:top w:val="none" w:sz="0" w:space="0" w:color="auto"/>
        <w:left w:val="none" w:sz="0" w:space="0" w:color="auto"/>
        <w:bottom w:val="none" w:sz="0" w:space="0" w:color="auto"/>
        <w:right w:val="none" w:sz="0" w:space="0" w:color="auto"/>
      </w:divBdr>
    </w:div>
    <w:div w:id="1134952657">
      <w:bodyDiv w:val="1"/>
      <w:marLeft w:val="0"/>
      <w:marRight w:val="0"/>
      <w:marTop w:val="0"/>
      <w:marBottom w:val="0"/>
      <w:divBdr>
        <w:top w:val="none" w:sz="0" w:space="0" w:color="auto"/>
        <w:left w:val="none" w:sz="0" w:space="0" w:color="auto"/>
        <w:bottom w:val="none" w:sz="0" w:space="0" w:color="auto"/>
        <w:right w:val="none" w:sz="0" w:space="0" w:color="auto"/>
      </w:divBdr>
    </w:div>
    <w:div w:id="1293092750">
      <w:bodyDiv w:val="1"/>
      <w:marLeft w:val="0"/>
      <w:marRight w:val="0"/>
      <w:marTop w:val="0"/>
      <w:marBottom w:val="0"/>
      <w:divBdr>
        <w:top w:val="none" w:sz="0" w:space="0" w:color="auto"/>
        <w:left w:val="none" w:sz="0" w:space="0" w:color="auto"/>
        <w:bottom w:val="none" w:sz="0" w:space="0" w:color="auto"/>
        <w:right w:val="none" w:sz="0" w:space="0" w:color="auto"/>
      </w:divBdr>
    </w:div>
    <w:div w:id="1402291548">
      <w:bodyDiv w:val="1"/>
      <w:marLeft w:val="0"/>
      <w:marRight w:val="0"/>
      <w:marTop w:val="0"/>
      <w:marBottom w:val="0"/>
      <w:divBdr>
        <w:top w:val="none" w:sz="0" w:space="0" w:color="auto"/>
        <w:left w:val="none" w:sz="0" w:space="0" w:color="auto"/>
        <w:bottom w:val="none" w:sz="0" w:space="0" w:color="auto"/>
        <w:right w:val="none" w:sz="0" w:space="0" w:color="auto"/>
      </w:divBdr>
    </w:div>
    <w:div w:id="1480927853">
      <w:bodyDiv w:val="1"/>
      <w:marLeft w:val="0"/>
      <w:marRight w:val="0"/>
      <w:marTop w:val="0"/>
      <w:marBottom w:val="0"/>
      <w:divBdr>
        <w:top w:val="none" w:sz="0" w:space="0" w:color="auto"/>
        <w:left w:val="none" w:sz="0" w:space="0" w:color="auto"/>
        <w:bottom w:val="none" w:sz="0" w:space="0" w:color="auto"/>
        <w:right w:val="none" w:sz="0" w:space="0" w:color="auto"/>
      </w:divBdr>
    </w:div>
    <w:div w:id="1487356863">
      <w:bodyDiv w:val="1"/>
      <w:marLeft w:val="0"/>
      <w:marRight w:val="0"/>
      <w:marTop w:val="0"/>
      <w:marBottom w:val="0"/>
      <w:divBdr>
        <w:top w:val="none" w:sz="0" w:space="0" w:color="auto"/>
        <w:left w:val="none" w:sz="0" w:space="0" w:color="auto"/>
        <w:bottom w:val="none" w:sz="0" w:space="0" w:color="auto"/>
        <w:right w:val="none" w:sz="0" w:space="0" w:color="auto"/>
      </w:divBdr>
    </w:div>
    <w:div w:id="1545948708">
      <w:bodyDiv w:val="1"/>
      <w:marLeft w:val="0"/>
      <w:marRight w:val="0"/>
      <w:marTop w:val="0"/>
      <w:marBottom w:val="0"/>
      <w:divBdr>
        <w:top w:val="none" w:sz="0" w:space="0" w:color="auto"/>
        <w:left w:val="none" w:sz="0" w:space="0" w:color="auto"/>
        <w:bottom w:val="none" w:sz="0" w:space="0" w:color="auto"/>
        <w:right w:val="none" w:sz="0" w:space="0" w:color="auto"/>
      </w:divBdr>
    </w:div>
    <w:div w:id="1643735998">
      <w:bodyDiv w:val="1"/>
      <w:marLeft w:val="0"/>
      <w:marRight w:val="0"/>
      <w:marTop w:val="0"/>
      <w:marBottom w:val="0"/>
      <w:divBdr>
        <w:top w:val="none" w:sz="0" w:space="0" w:color="auto"/>
        <w:left w:val="none" w:sz="0" w:space="0" w:color="auto"/>
        <w:bottom w:val="none" w:sz="0" w:space="0" w:color="auto"/>
        <w:right w:val="none" w:sz="0" w:space="0" w:color="auto"/>
      </w:divBdr>
    </w:div>
    <w:div w:id="1709794198">
      <w:bodyDiv w:val="1"/>
      <w:marLeft w:val="0"/>
      <w:marRight w:val="0"/>
      <w:marTop w:val="0"/>
      <w:marBottom w:val="0"/>
      <w:divBdr>
        <w:top w:val="none" w:sz="0" w:space="0" w:color="auto"/>
        <w:left w:val="none" w:sz="0" w:space="0" w:color="auto"/>
        <w:bottom w:val="none" w:sz="0" w:space="0" w:color="auto"/>
        <w:right w:val="none" w:sz="0" w:space="0" w:color="auto"/>
      </w:divBdr>
    </w:div>
    <w:div w:id="172309023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0464151">
      <w:bodyDiv w:val="1"/>
      <w:marLeft w:val="0"/>
      <w:marRight w:val="0"/>
      <w:marTop w:val="0"/>
      <w:marBottom w:val="0"/>
      <w:divBdr>
        <w:top w:val="none" w:sz="0" w:space="0" w:color="auto"/>
        <w:left w:val="none" w:sz="0" w:space="0" w:color="auto"/>
        <w:bottom w:val="none" w:sz="0" w:space="0" w:color="auto"/>
        <w:right w:val="none" w:sz="0" w:space="0" w:color="auto"/>
      </w:divBdr>
    </w:div>
    <w:div w:id="1851530135">
      <w:bodyDiv w:val="1"/>
      <w:marLeft w:val="0"/>
      <w:marRight w:val="0"/>
      <w:marTop w:val="0"/>
      <w:marBottom w:val="0"/>
      <w:divBdr>
        <w:top w:val="none" w:sz="0" w:space="0" w:color="auto"/>
        <w:left w:val="none" w:sz="0" w:space="0" w:color="auto"/>
        <w:bottom w:val="none" w:sz="0" w:space="0" w:color="auto"/>
        <w:right w:val="none" w:sz="0" w:space="0" w:color="auto"/>
      </w:divBdr>
    </w:div>
    <w:div w:id="1889608187">
      <w:bodyDiv w:val="1"/>
      <w:marLeft w:val="0"/>
      <w:marRight w:val="0"/>
      <w:marTop w:val="0"/>
      <w:marBottom w:val="0"/>
      <w:divBdr>
        <w:top w:val="none" w:sz="0" w:space="0" w:color="auto"/>
        <w:left w:val="none" w:sz="0" w:space="0" w:color="auto"/>
        <w:bottom w:val="none" w:sz="0" w:space="0" w:color="auto"/>
        <w:right w:val="none" w:sz="0" w:space="0" w:color="auto"/>
      </w:divBdr>
    </w:div>
    <w:div w:id="193042976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7462658">
      <w:bodyDiv w:val="1"/>
      <w:marLeft w:val="0"/>
      <w:marRight w:val="0"/>
      <w:marTop w:val="0"/>
      <w:marBottom w:val="0"/>
      <w:divBdr>
        <w:top w:val="none" w:sz="0" w:space="0" w:color="auto"/>
        <w:left w:val="none" w:sz="0" w:space="0" w:color="auto"/>
        <w:bottom w:val="none" w:sz="0" w:space="0" w:color="auto"/>
        <w:right w:val="none" w:sz="0" w:space="0" w:color="auto"/>
      </w:divBdr>
    </w:div>
    <w:div w:id="2063480816">
      <w:bodyDiv w:val="1"/>
      <w:marLeft w:val="0"/>
      <w:marRight w:val="0"/>
      <w:marTop w:val="0"/>
      <w:marBottom w:val="0"/>
      <w:divBdr>
        <w:top w:val="none" w:sz="0" w:space="0" w:color="auto"/>
        <w:left w:val="none" w:sz="0" w:space="0" w:color="auto"/>
        <w:bottom w:val="none" w:sz="0" w:space="0" w:color="auto"/>
        <w:right w:val="none" w:sz="0" w:space="0" w:color="auto"/>
      </w:divBdr>
    </w:div>
    <w:div w:id="2106490103">
      <w:bodyDiv w:val="1"/>
      <w:marLeft w:val="0"/>
      <w:marRight w:val="0"/>
      <w:marTop w:val="0"/>
      <w:marBottom w:val="0"/>
      <w:divBdr>
        <w:top w:val="none" w:sz="0" w:space="0" w:color="auto"/>
        <w:left w:val="none" w:sz="0" w:space="0" w:color="auto"/>
        <w:bottom w:val="none" w:sz="0" w:space="0" w:color="auto"/>
        <w:right w:val="none" w:sz="0" w:space="0" w:color="auto"/>
      </w:divBdr>
    </w:div>
    <w:div w:id="212626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A49D7-3BAD-4AE1-B10E-50559BBC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6</Pages>
  <Words>2887</Words>
  <Characters>16459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19308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8</cp:revision>
  <cp:lastPrinted>1999-07-06T11:00:00Z</cp:lastPrinted>
  <dcterms:created xsi:type="dcterms:W3CDTF">2025-06-27T05:17:00Z</dcterms:created>
  <dcterms:modified xsi:type="dcterms:W3CDTF">2025-06-27T12:10:00Z</dcterms:modified>
</cp:coreProperties>
</file>