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8A5A" w14:textId="416574CE" w:rsidR="00902A88" w:rsidRPr="00902A88" w:rsidRDefault="00902A88" w:rsidP="00537CF5">
      <w:pPr>
        <w:pStyle w:val="Heading1"/>
        <w:rPr>
          <w:rFonts w:eastAsia="Times New Roman"/>
          <w:iCs/>
          <w:kern w:val="28"/>
          <w:sz w:val="40"/>
          <w:szCs w:val="40"/>
          <w:u w:val="single"/>
        </w:rPr>
      </w:pPr>
      <w:bookmarkStart w:id="0" w:name="_Hlk182654942"/>
      <w:r w:rsidRPr="00902A88">
        <w:rPr>
          <w:rFonts w:eastAsia="Times New Roman"/>
          <w:iCs/>
          <w:kern w:val="28"/>
          <w:sz w:val="40"/>
          <w:szCs w:val="40"/>
          <w:u w:val="single"/>
        </w:rPr>
        <w:t>Original Research Article</w:t>
      </w:r>
    </w:p>
    <w:p w14:paraId="00C70D75" w14:textId="0AB3CCC9" w:rsidR="0014043F" w:rsidRDefault="00D53AFF" w:rsidP="00902A88">
      <w:pPr>
        <w:pStyle w:val="Heading1"/>
        <w:jc w:val="left"/>
        <w:rPr>
          <w:rFonts w:eastAsia="Times New Roman"/>
          <w:iCs/>
          <w:kern w:val="28"/>
          <w:sz w:val="40"/>
          <w:szCs w:val="40"/>
        </w:rPr>
      </w:pPr>
      <w:proofErr w:type="spellStart"/>
      <w:r>
        <w:rPr>
          <w:rFonts w:eastAsia="Times New Roman"/>
          <w:iCs/>
          <w:kern w:val="28"/>
          <w:sz w:val="40"/>
          <w:szCs w:val="40"/>
        </w:rPr>
        <w:t>Endotyping</w:t>
      </w:r>
      <w:proofErr w:type="spellEnd"/>
      <w:r>
        <w:rPr>
          <w:rFonts w:eastAsia="Times New Roman"/>
          <w:iCs/>
          <w:kern w:val="28"/>
          <w:sz w:val="40"/>
          <w:szCs w:val="40"/>
        </w:rPr>
        <w:t xml:space="preserve"> Cellular and Humoral</w:t>
      </w:r>
      <w:r w:rsidRPr="005E2A7F">
        <w:rPr>
          <w:rFonts w:eastAsia="Times New Roman"/>
          <w:iCs/>
          <w:kern w:val="28"/>
          <w:sz w:val="40"/>
          <w:szCs w:val="40"/>
        </w:rPr>
        <w:t xml:space="preserve"> </w:t>
      </w:r>
      <w:r>
        <w:rPr>
          <w:rFonts w:eastAsia="Times New Roman"/>
          <w:iCs/>
          <w:kern w:val="28"/>
          <w:sz w:val="40"/>
          <w:szCs w:val="40"/>
        </w:rPr>
        <w:t xml:space="preserve">cross-reactivity between </w:t>
      </w:r>
      <w:proofErr w:type="spellStart"/>
      <w:r w:rsidRPr="00E86C05">
        <w:rPr>
          <w:rFonts w:eastAsia="Times New Roman"/>
          <w:i/>
          <w:kern w:val="28"/>
          <w:sz w:val="40"/>
          <w:szCs w:val="40"/>
        </w:rPr>
        <w:t>Blomia</w:t>
      </w:r>
      <w:proofErr w:type="spellEnd"/>
      <w:r w:rsidRPr="00E86C05">
        <w:rPr>
          <w:rFonts w:eastAsia="Times New Roman"/>
          <w:i/>
          <w:kern w:val="28"/>
          <w:sz w:val="40"/>
          <w:szCs w:val="40"/>
        </w:rPr>
        <w:t xml:space="preserve"> tropicalis</w:t>
      </w:r>
      <w:r>
        <w:rPr>
          <w:rFonts w:eastAsia="Times New Roman"/>
          <w:iCs/>
          <w:kern w:val="28"/>
          <w:sz w:val="40"/>
          <w:szCs w:val="40"/>
        </w:rPr>
        <w:t xml:space="preserve"> and </w:t>
      </w:r>
    </w:p>
    <w:p w14:paraId="1E82501B" w14:textId="2EC3FCF5" w:rsidR="00D53AFF" w:rsidRPr="006279D3" w:rsidRDefault="00D53AFF" w:rsidP="00902A88">
      <w:pPr>
        <w:pStyle w:val="Heading1"/>
        <w:jc w:val="left"/>
        <w:rPr>
          <w:rFonts w:eastAsia="Times New Roman"/>
          <w:iCs/>
          <w:kern w:val="28"/>
          <w:sz w:val="40"/>
          <w:szCs w:val="40"/>
        </w:rPr>
      </w:pPr>
      <w:proofErr w:type="spellStart"/>
      <w:r w:rsidRPr="00E86C05">
        <w:rPr>
          <w:rFonts w:eastAsia="Times New Roman"/>
          <w:i/>
          <w:kern w:val="28"/>
          <w:sz w:val="40"/>
          <w:szCs w:val="40"/>
        </w:rPr>
        <w:t>Farfantepenaeus</w:t>
      </w:r>
      <w:proofErr w:type="spellEnd"/>
      <w:r w:rsidRPr="00E86C05">
        <w:rPr>
          <w:rFonts w:eastAsia="Times New Roman"/>
          <w:i/>
          <w:kern w:val="28"/>
          <w:sz w:val="40"/>
          <w:szCs w:val="40"/>
        </w:rPr>
        <w:t xml:space="preserve"> </w:t>
      </w:r>
      <w:proofErr w:type="spellStart"/>
      <w:r w:rsidRPr="00E86C05">
        <w:rPr>
          <w:rFonts w:eastAsia="Times New Roman"/>
          <w:i/>
          <w:kern w:val="28"/>
          <w:sz w:val="40"/>
          <w:szCs w:val="40"/>
        </w:rPr>
        <w:t>brasiliensis</w:t>
      </w:r>
      <w:proofErr w:type="spellEnd"/>
      <w:r>
        <w:rPr>
          <w:rFonts w:eastAsia="Times New Roman"/>
          <w:iCs/>
          <w:kern w:val="28"/>
          <w:sz w:val="40"/>
          <w:szCs w:val="40"/>
        </w:rPr>
        <w:t xml:space="preserve"> in patients with Allergic M</w:t>
      </w:r>
      <w:r w:rsidRPr="00A35AAE">
        <w:rPr>
          <w:rFonts w:eastAsia="Times New Roman"/>
          <w:iCs/>
          <w:kern w:val="28"/>
          <w:sz w:val="40"/>
          <w:szCs w:val="40"/>
        </w:rPr>
        <w:t>ultimorbidity</w:t>
      </w:r>
      <w:r w:rsidRPr="005E2A7F">
        <w:rPr>
          <w:rFonts w:eastAsia="Times New Roman"/>
          <w:iCs/>
          <w:kern w:val="28"/>
          <w:sz w:val="40"/>
          <w:szCs w:val="40"/>
        </w:rPr>
        <w:t>.</w:t>
      </w:r>
    </w:p>
    <w:bookmarkEnd w:id="0"/>
    <w:p w14:paraId="0847D429" w14:textId="77777777" w:rsidR="00D53AFF" w:rsidRDefault="00D53AFF" w:rsidP="00537CF5">
      <w:pPr>
        <w:pStyle w:val="Heading1"/>
        <w:rPr>
          <w:rFonts w:eastAsia="Times New Roman" w:cs="Arial"/>
          <w:b w:val="0"/>
          <w:bCs w:val="0"/>
          <w:szCs w:val="20"/>
        </w:rPr>
      </w:pPr>
    </w:p>
    <w:p w14:paraId="7F09BF09" w14:textId="77777777" w:rsidR="00902A88" w:rsidRDefault="00902A88" w:rsidP="00902A88"/>
    <w:p w14:paraId="03466A6D" w14:textId="77777777" w:rsidR="00902A88" w:rsidRPr="00902A88" w:rsidRDefault="00902A88" w:rsidP="00902A88"/>
    <w:p w14:paraId="6E2117F4" w14:textId="77777777" w:rsidR="00D53AFF" w:rsidRPr="005E2A7F" w:rsidRDefault="00D53AFF" w:rsidP="00B45921">
      <w:pPr>
        <w:spacing w:after="0" w:line="240" w:lineRule="auto"/>
        <w:jc w:val="right"/>
        <w:rPr>
          <w:rFonts w:ascii="Arial" w:eastAsia="Times New Roman" w:hAnsi="Arial" w:cs="Arial"/>
          <w:b/>
          <w:sz w:val="24"/>
          <w:szCs w:val="20"/>
        </w:rPr>
      </w:pPr>
      <w:r w:rsidRPr="005E2A7F">
        <w:rPr>
          <w:rFonts w:ascii="Arial" w:eastAsia="Times New Roman" w:hAnsi="Arial" w:cs="Arial"/>
          <w:b/>
          <w:noProof/>
          <w:sz w:val="24"/>
          <w:szCs w:val="20"/>
        </w:rPr>
        <mc:AlternateContent>
          <mc:Choice Requires="wps">
            <w:drawing>
              <wp:inline distT="0" distB="0" distL="0" distR="0" wp14:anchorId="347FF12C" wp14:editId="2B53EC78">
                <wp:extent cx="5723890" cy="635"/>
                <wp:effectExtent l="12700" t="10160" r="16510" b="18415"/>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3E779B" id="_x0000_t32" coordsize="21600,21600" o:spt="32" o:oned="t" path="m,l21600,21600e" filled="f">
                <v:path arrowok="t" fillok="f" o:connecttype="none"/>
                <o:lock v:ext="edit" shapetype="t"/>
              </v:shapetype>
              <v:shape id="AutoShape 16"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06A0E46E" w14:textId="77777777" w:rsidR="00D53AFF" w:rsidRPr="005E2A7F" w:rsidRDefault="00D53AFF" w:rsidP="00646870">
      <w:pPr>
        <w:pStyle w:val="Heading2"/>
        <w:rPr>
          <w:rFonts w:eastAsia="Times New Roman"/>
        </w:rPr>
      </w:pPr>
      <w:r w:rsidRPr="005E2A7F">
        <w:rPr>
          <w:rFonts w:eastAsia="Times New Roman"/>
        </w:rPr>
        <w:t>ABSTRACT</w:t>
      </w:r>
    </w:p>
    <w:p w14:paraId="6567FBF1" w14:textId="77777777" w:rsidR="00D53AFF" w:rsidRPr="0011247B" w:rsidRDefault="00D53AFF" w:rsidP="0060324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D53AFF" w:rsidRPr="0011247B" w14:paraId="1A687949" w14:textId="77777777" w:rsidTr="00FC1F87">
        <w:trPr>
          <w:jc w:val="center"/>
        </w:trPr>
        <w:tc>
          <w:tcPr>
            <w:tcW w:w="9018" w:type="dxa"/>
            <w:shd w:val="clear" w:color="auto" w:fill="auto"/>
          </w:tcPr>
          <w:p w14:paraId="61393E4A" w14:textId="77777777" w:rsidR="00D53AFF" w:rsidRPr="0011247B" w:rsidRDefault="00D53AFF" w:rsidP="00300E61">
            <w:pPr>
              <w:spacing w:after="0" w:line="240" w:lineRule="auto"/>
              <w:jc w:val="both"/>
              <w:rPr>
                <w:rFonts w:ascii="Arial" w:eastAsia="Calibri" w:hAnsi="Arial" w:cs="Arial"/>
                <w:b/>
              </w:rPr>
            </w:pPr>
            <w:r w:rsidRPr="0011247B">
              <w:rPr>
                <w:rFonts w:ascii="Arial" w:eastAsia="Calibri" w:hAnsi="Arial" w:cs="Arial"/>
                <w:b/>
              </w:rPr>
              <w:t>Background:</w:t>
            </w:r>
            <w:r w:rsidRPr="0011247B">
              <w:rPr>
                <w:rFonts w:ascii="Arial" w:eastAsia="Calibri" w:hAnsi="Arial" w:cs="Arial"/>
                <w:bCs/>
              </w:rPr>
              <w:t xml:space="preserve"> </w:t>
            </w:r>
            <w:proofErr w:type="spellStart"/>
            <w:r w:rsidRPr="0011247B">
              <w:rPr>
                <w:rFonts w:ascii="Arial" w:eastAsia="Calibri" w:hAnsi="Arial" w:cs="Arial"/>
                <w:bCs/>
              </w:rPr>
              <w:t>Panallergens</w:t>
            </w:r>
            <w:proofErr w:type="spellEnd"/>
            <w:r w:rsidRPr="0011247B">
              <w:rPr>
                <w:rFonts w:ascii="Arial" w:eastAsia="Calibri" w:hAnsi="Arial" w:cs="Arial"/>
                <w:bCs/>
              </w:rPr>
              <w:t xml:space="preserve">, such as tropomyosin, produce cross-reactivity between indoor allergens and food allergens, including the house dust mite </w:t>
            </w:r>
            <w:proofErr w:type="spellStart"/>
            <w:r w:rsidRPr="0011247B">
              <w:rPr>
                <w:rFonts w:ascii="Arial" w:eastAsia="Calibri" w:hAnsi="Arial" w:cs="Arial"/>
                <w:bCs/>
                <w:i/>
                <w:iCs/>
              </w:rPr>
              <w:t>Blomia</w:t>
            </w:r>
            <w:proofErr w:type="spellEnd"/>
            <w:r w:rsidRPr="0011247B">
              <w:rPr>
                <w:rFonts w:ascii="Arial" w:eastAsia="Calibri" w:hAnsi="Arial" w:cs="Arial"/>
                <w:bCs/>
                <w:i/>
                <w:iCs/>
              </w:rPr>
              <w:t xml:space="preserve"> tropicalis</w:t>
            </w:r>
            <w:r w:rsidRPr="0011247B">
              <w:rPr>
                <w:rFonts w:ascii="Arial" w:eastAsia="Calibri" w:hAnsi="Arial" w:cs="Arial"/>
                <w:bCs/>
              </w:rPr>
              <w:t xml:space="preserve"> and the Brazilian pink shrimp </w:t>
            </w:r>
            <w:proofErr w:type="spellStart"/>
            <w:r w:rsidRPr="0011247B">
              <w:rPr>
                <w:rFonts w:ascii="Arial" w:eastAsia="Calibri" w:hAnsi="Arial" w:cs="Arial"/>
                <w:bCs/>
                <w:i/>
                <w:iCs/>
              </w:rPr>
              <w:t>Farfantepenaeus</w:t>
            </w:r>
            <w:proofErr w:type="spellEnd"/>
            <w:r w:rsidRPr="0011247B">
              <w:rPr>
                <w:rFonts w:ascii="Arial" w:eastAsia="Calibri" w:hAnsi="Arial" w:cs="Arial"/>
                <w:bCs/>
                <w:i/>
                <w:iCs/>
              </w:rPr>
              <w:t xml:space="preserve"> </w:t>
            </w:r>
            <w:proofErr w:type="spellStart"/>
            <w:r w:rsidRPr="0011247B">
              <w:rPr>
                <w:rFonts w:ascii="Arial" w:eastAsia="Calibri" w:hAnsi="Arial" w:cs="Arial"/>
                <w:bCs/>
                <w:i/>
                <w:iCs/>
              </w:rPr>
              <w:t>brasiliensis</w:t>
            </w:r>
            <w:proofErr w:type="spellEnd"/>
            <w:r w:rsidRPr="0011247B">
              <w:rPr>
                <w:rFonts w:ascii="Arial" w:eastAsia="Calibri" w:hAnsi="Arial" w:cs="Arial"/>
                <w:bCs/>
              </w:rPr>
              <w:t>, and are responsible for the clinical symptoms present in patients with allergic multimorbidity phenotypes.</w:t>
            </w:r>
          </w:p>
          <w:p w14:paraId="6C1792BE" w14:textId="77777777" w:rsidR="00D53AFF" w:rsidRPr="0011247B" w:rsidRDefault="00D53AFF" w:rsidP="00333662">
            <w:pPr>
              <w:spacing w:after="0" w:line="240" w:lineRule="auto"/>
              <w:jc w:val="both"/>
              <w:rPr>
                <w:rFonts w:ascii="Arial" w:eastAsia="Calibri" w:hAnsi="Arial" w:cs="Arial"/>
                <w:bCs/>
              </w:rPr>
            </w:pPr>
            <w:r w:rsidRPr="0011247B">
              <w:rPr>
                <w:rFonts w:ascii="Arial" w:eastAsia="Calibri" w:hAnsi="Arial" w:cs="Arial"/>
                <w:b/>
              </w:rPr>
              <w:t xml:space="preserve">Aim: </w:t>
            </w:r>
            <w:r w:rsidRPr="0011247B">
              <w:rPr>
                <w:rFonts w:ascii="Arial" w:eastAsia="Calibri" w:hAnsi="Arial" w:cs="Arial"/>
                <w:bCs/>
              </w:rPr>
              <w:t xml:space="preserve">To evaluate the potential of the Tube Titration of Precipitins (TTP) and the Leukocyte Adherence Inhibition Test (LAIT) to discriminate and correlate cellular and humoral immunoreactivity against protein extracts of </w:t>
            </w:r>
            <w:r w:rsidRPr="0011247B">
              <w:rPr>
                <w:rFonts w:ascii="Arial" w:eastAsia="Calibri" w:hAnsi="Arial" w:cs="Arial"/>
                <w:bCs/>
                <w:i/>
                <w:iCs/>
              </w:rPr>
              <w:t>B. tropicalis</w:t>
            </w:r>
            <w:r w:rsidRPr="0011247B">
              <w:rPr>
                <w:rFonts w:ascii="Arial" w:eastAsia="Calibri" w:hAnsi="Arial" w:cs="Arial"/>
                <w:bCs/>
              </w:rPr>
              <w:t xml:space="preserve"> and </w:t>
            </w:r>
            <w:r w:rsidRPr="0011247B">
              <w:rPr>
                <w:rFonts w:ascii="Arial" w:eastAsia="Calibri" w:hAnsi="Arial" w:cs="Arial"/>
                <w:bCs/>
                <w:i/>
                <w:iCs/>
              </w:rPr>
              <w:t xml:space="preserve">F. </w:t>
            </w:r>
            <w:proofErr w:type="spellStart"/>
            <w:r w:rsidRPr="0011247B">
              <w:rPr>
                <w:rFonts w:ascii="Arial" w:eastAsia="Calibri" w:hAnsi="Arial" w:cs="Arial"/>
                <w:bCs/>
                <w:i/>
                <w:iCs/>
              </w:rPr>
              <w:t>brasiliensis</w:t>
            </w:r>
            <w:proofErr w:type="spellEnd"/>
            <w:r w:rsidRPr="0011247B">
              <w:rPr>
                <w:rFonts w:ascii="Arial" w:eastAsia="Calibri" w:hAnsi="Arial" w:cs="Arial"/>
                <w:bCs/>
              </w:rPr>
              <w:t xml:space="preserve"> in patients with non–</w:t>
            </w:r>
            <w:proofErr w:type="spellStart"/>
            <w:r w:rsidRPr="0011247B">
              <w:rPr>
                <w:rFonts w:ascii="Arial" w:eastAsia="Calibri" w:hAnsi="Arial" w:cs="Arial"/>
                <w:bCs/>
              </w:rPr>
              <w:t>IgE</w:t>
            </w:r>
            <w:proofErr w:type="spellEnd"/>
            <w:r w:rsidRPr="0011247B">
              <w:rPr>
                <w:rFonts w:ascii="Arial" w:eastAsia="Calibri" w:hAnsi="Arial" w:cs="Arial"/>
                <w:bCs/>
              </w:rPr>
              <w:t>-mediated allergic multimorbidity phenotypes.</w:t>
            </w:r>
          </w:p>
          <w:p w14:paraId="5F657882" w14:textId="77777777" w:rsidR="00D53AFF" w:rsidRPr="0011247B" w:rsidRDefault="00D53AFF" w:rsidP="00FC1F87">
            <w:pPr>
              <w:spacing w:after="0" w:line="240" w:lineRule="auto"/>
              <w:jc w:val="both"/>
              <w:rPr>
                <w:rFonts w:ascii="Arial" w:eastAsia="Calibri" w:hAnsi="Arial" w:cs="Arial"/>
                <w:bCs/>
              </w:rPr>
            </w:pPr>
            <w:r w:rsidRPr="0011247B">
              <w:rPr>
                <w:rFonts w:ascii="Arial" w:eastAsia="Calibri" w:hAnsi="Arial" w:cs="Arial"/>
                <w:b/>
              </w:rPr>
              <w:t xml:space="preserve">Study Design: </w:t>
            </w:r>
            <w:r w:rsidRPr="0011247B">
              <w:rPr>
                <w:rFonts w:ascii="Arial" w:eastAsia="Calibri" w:hAnsi="Arial" w:cs="Arial"/>
                <w:bCs/>
              </w:rPr>
              <w:t>We examined retrospectively the medical charts of two cohorts of patients clinically diagnosed with non–</w:t>
            </w:r>
            <w:proofErr w:type="spellStart"/>
            <w:r w:rsidRPr="0011247B">
              <w:rPr>
                <w:rFonts w:ascii="Arial" w:eastAsia="Calibri" w:hAnsi="Arial" w:cs="Arial"/>
                <w:bCs/>
              </w:rPr>
              <w:t>IgE</w:t>
            </w:r>
            <w:proofErr w:type="spellEnd"/>
            <w:r w:rsidRPr="0011247B">
              <w:rPr>
                <w:rFonts w:ascii="Arial" w:eastAsia="Calibri" w:hAnsi="Arial" w:cs="Arial"/>
                <w:bCs/>
              </w:rPr>
              <w:t>-mediated allergic multimorbidity phenotypes related to inhalation or contact with house dust and/or consumption of shrimps, who were concomitantly investigated for these allergens with the help of TTP or LAIT.</w:t>
            </w:r>
          </w:p>
          <w:p w14:paraId="52CD0C3C" w14:textId="1D1448BC" w:rsidR="00D53AFF" w:rsidRPr="0011247B" w:rsidRDefault="00D53AFF" w:rsidP="007A39CE">
            <w:pPr>
              <w:spacing w:after="0" w:line="240" w:lineRule="auto"/>
              <w:jc w:val="both"/>
              <w:rPr>
                <w:rFonts w:ascii="Arial" w:eastAsia="Times New Roman" w:hAnsi="Arial" w:cs="Arial"/>
                <w:bCs/>
              </w:rPr>
            </w:pPr>
            <w:r w:rsidRPr="0011247B">
              <w:rPr>
                <w:rFonts w:ascii="Arial" w:eastAsia="Calibri" w:hAnsi="Arial" w:cs="Arial"/>
                <w:b/>
              </w:rPr>
              <w:t xml:space="preserve">Methodology: </w:t>
            </w:r>
            <w:r w:rsidRPr="0011247B">
              <w:rPr>
                <w:rFonts w:ascii="Arial" w:eastAsia="Calibri" w:hAnsi="Arial" w:cs="Arial"/>
                <w:bCs/>
              </w:rPr>
              <w:t xml:space="preserve">The registered results of the TTP and LAIT against protein extracts of </w:t>
            </w:r>
            <w:r w:rsidRPr="0011247B">
              <w:rPr>
                <w:rFonts w:ascii="Arial" w:eastAsia="Calibri" w:hAnsi="Arial" w:cs="Arial"/>
                <w:bCs/>
                <w:i/>
                <w:iCs/>
              </w:rPr>
              <w:t>B. tropicalis</w:t>
            </w:r>
            <w:r w:rsidRPr="0011247B">
              <w:rPr>
                <w:rFonts w:ascii="Arial" w:eastAsia="Calibri" w:hAnsi="Arial" w:cs="Arial"/>
                <w:bCs/>
              </w:rPr>
              <w:t xml:space="preserve"> and </w:t>
            </w:r>
            <w:r w:rsidRPr="0011247B">
              <w:rPr>
                <w:rFonts w:ascii="Arial" w:eastAsia="Calibri" w:hAnsi="Arial" w:cs="Arial"/>
                <w:bCs/>
                <w:i/>
                <w:iCs/>
              </w:rPr>
              <w:t xml:space="preserve">F. </w:t>
            </w:r>
            <w:proofErr w:type="spellStart"/>
            <w:r w:rsidRPr="0011247B">
              <w:rPr>
                <w:rFonts w:ascii="Arial" w:eastAsia="Calibri" w:hAnsi="Arial" w:cs="Arial"/>
                <w:bCs/>
                <w:i/>
                <w:iCs/>
              </w:rPr>
              <w:t>brasiliensis</w:t>
            </w:r>
            <w:proofErr w:type="spellEnd"/>
            <w:r w:rsidRPr="0011247B">
              <w:rPr>
                <w:rFonts w:ascii="Arial" w:eastAsia="Calibri" w:hAnsi="Arial" w:cs="Arial"/>
                <w:bCs/>
              </w:rPr>
              <w:t xml:space="preserve"> were distributed in ranges through cascade distribution charts. The correlation between the paired assays was calculated using Pearson</w:t>
            </w:r>
            <w:r w:rsidR="008D5A42">
              <w:rPr>
                <w:rFonts w:ascii="Arial" w:eastAsia="Calibri" w:hAnsi="Arial" w:cs="Arial"/>
                <w:bCs/>
              </w:rPr>
              <w:t>'</w:t>
            </w:r>
            <w:r w:rsidRPr="0011247B">
              <w:rPr>
                <w:rFonts w:ascii="Arial" w:eastAsia="Calibri" w:hAnsi="Arial" w:cs="Arial"/>
                <w:bCs/>
              </w:rPr>
              <w:t xml:space="preserve">s methodology and demonstrated by dispersion graphs. </w:t>
            </w:r>
          </w:p>
          <w:p w14:paraId="1F5B410D" w14:textId="10F023E7" w:rsidR="00D53AFF" w:rsidRPr="0011247B" w:rsidRDefault="00D53AFF" w:rsidP="007A39CE">
            <w:pPr>
              <w:spacing w:after="0" w:line="240" w:lineRule="auto"/>
              <w:jc w:val="both"/>
              <w:rPr>
                <w:rFonts w:ascii="Arial" w:eastAsia="Times New Roman" w:hAnsi="Arial" w:cs="Arial"/>
              </w:rPr>
            </w:pPr>
            <w:r w:rsidRPr="0011247B">
              <w:rPr>
                <w:rFonts w:ascii="Arial" w:eastAsia="Calibri" w:hAnsi="Arial" w:cs="Arial"/>
                <w:b/>
              </w:rPr>
              <w:t xml:space="preserve">Results: </w:t>
            </w:r>
            <w:r w:rsidRPr="0011247B">
              <w:rPr>
                <w:rFonts w:ascii="Arial" w:eastAsia="Times New Roman" w:hAnsi="Arial" w:cs="Arial"/>
              </w:rPr>
              <w:t xml:space="preserve">The TTP for the </w:t>
            </w:r>
            <w:r w:rsidRPr="0011247B">
              <w:rPr>
                <w:rFonts w:ascii="Arial" w:eastAsia="Times New Roman" w:hAnsi="Arial" w:cs="Arial"/>
                <w:i/>
                <w:iCs/>
              </w:rPr>
              <w:t>B. tropicalis</w:t>
            </w:r>
            <w:r w:rsidRPr="0011247B">
              <w:rPr>
                <w:rFonts w:ascii="Arial" w:eastAsia="Times New Roman" w:hAnsi="Arial" w:cs="Arial"/>
              </w:rPr>
              <w:t xml:space="preserve"> extract showed a distribution concentrated on the higher dilutions</w:t>
            </w:r>
            <w:r>
              <w:rPr>
                <w:rFonts w:ascii="Arial" w:eastAsia="Times New Roman" w:hAnsi="Arial" w:cs="Arial"/>
              </w:rPr>
              <w:t>.</w:t>
            </w:r>
            <w:r w:rsidRPr="0011247B">
              <w:rPr>
                <w:rFonts w:ascii="Arial" w:eastAsia="Times New Roman" w:hAnsi="Arial" w:cs="Arial"/>
              </w:rPr>
              <w:t xml:space="preserve"> The mean was 1:353; the median was 1:256; the standard deviation was 1:163; the mode was 1:512 (appeared 49 times). The TTP for the </w:t>
            </w:r>
            <w:r w:rsidRPr="0011247B">
              <w:rPr>
                <w:rFonts w:ascii="Arial" w:eastAsia="Times New Roman" w:hAnsi="Arial" w:cs="Arial"/>
                <w:i/>
                <w:iCs/>
              </w:rPr>
              <w:t xml:space="preserve">F. </w:t>
            </w:r>
            <w:proofErr w:type="spellStart"/>
            <w:r w:rsidRPr="0011247B">
              <w:rPr>
                <w:rFonts w:ascii="Arial" w:eastAsia="Times New Roman" w:hAnsi="Arial" w:cs="Arial"/>
                <w:i/>
                <w:iCs/>
              </w:rPr>
              <w:t>brasiliensis</w:t>
            </w:r>
            <w:proofErr w:type="spellEnd"/>
            <w:r w:rsidRPr="0011247B">
              <w:rPr>
                <w:rFonts w:ascii="Arial" w:eastAsia="Times New Roman" w:hAnsi="Arial" w:cs="Arial"/>
              </w:rPr>
              <w:t xml:space="preserve"> extract showed a distribution concentrated on the higher dilutions. The mean was 1:380; the median was 1:512; the standard deviation was 1:157; the mode was 1:512 (</w:t>
            </w:r>
            <w:r>
              <w:rPr>
                <w:rFonts w:ascii="Arial" w:eastAsia="Times New Roman" w:hAnsi="Arial" w:cs="Arial"/>
              </w:rPr>
              <w:t xml:space="preserve">which </w:t>
            </w:r>
            <w:r w:rsidRPr="0011247B">
              <w:rPr>
                <w:rFonts w:ascii="Arial" w:eastAsia="Times New Roman" w:hAnsi="Arial" w:cs="Arial"/>
              </w:rPr>
              <w:t>appeared 57 times).</w:t>
            </w:r>
            <w:r w:rsidRPr="0011247B">
              <w:rPr>
                <w:rFonts w:ascii="Arial" w:eastAsia="Times New Roman" w:hAnsi="Arial" w:cs="Arial"/>
                <w:color w:val="FF0000"/>
              </w:rPr>
              <w:t xml:space="preserve"> </w:t>
            </w:r>
            <w:r w:rsidRPr="0011247B">
              <w:rPr>
                <w:rFonts w:ascii="Arial" w:eastAsia="Times New Roman" w:hAnsi="Arial" w:cs="Arial"/>
              </w:rPr>
              <w:t xml:space="preserve">The LAIT for the </w:t>
            </w:r>
            <w:r w:rsidRPr="0011247B">
              <w:rPr>
                <w:rFonts w:ascii="Arial" w:eastAsia="Times New Roman" w:hAnsi="Arial" w:cs="Arial"/>
                <w:i/>
                <w:iCs/>
              </w:rPr>
              <w:t>B</w:t>
            </w:r>
            <w:r>
              <w:rPr>
                <w:rFonts w:ascii="Arial" w:eastAsia="Times New Roman" w:hAnsi="Arial" w:cs="Arial"/>
                <w:i/>
                <w:iCs/>
              </w:rPr>
              <w:t>.</w:t>
            </w:r>
            <w:r w:rsidRPr="0011247B">
              <w:rPr>
                <w:rFonts w:ascii="Arial" w:eastAsia="Times New Roman" w:hAnsi="Arial" w:cs="Arial"/>
                <w:i/>
                <w:iCs/>
              </w:rPr>
              <w:t xml:space="preserve"> tropicalis</w:t>
            </w:r>
            <w:r w:rsidRPr="0011247B">
              <w:rPr>
                <w:rFonts w:ascii="Arial" w:eastAsia="Times New Roman" w:hAnsi="Arial" w:cs="Arial"/>
              </w:rPr>
              <w:t xml:space="preserve"> extract showed a wide distribution range of results. The LAI ranged from 0% to 100%. The mean was 49.8%; the median was 51.5%; the standard deviation was 30.0%; the mode was 0% (appeared eleven times).</w:t>
            </w:r>
            <w:r>
              <w:rPr>
                <w:rFonts w:ascii="Arial" w:eastAsia="Times New Roman" w:hAnsi="Arial" w:cs="Arial"/>
              </w:rPr>
              <w:t xml:space="preserve"> </w:t>
            </w:r>
            <w:r w:rsidRPr="0072467B">
              <w:rPr>
                <w:rFonts w:ascii="Arial" w:eastAsia="Times New Roman" w:hAnsi="Arial" w:cs="Arial"/>
              </w:rPr>
              <w:t xml:space="preserve">The LAIT for the </w:t>
            </w:r>
            <w:r w:rsidRPr="0072467B">
              <w:rPr>
                <w:rFonts w:ascii="Arial" w:eastAsia="Times New Roman" w:hAnsi="Arial" w:cs="Arial"/>
                <w:i/>
                <w:iCs/>
              </w:rPr>
              <w:t>F</w:t>
            </w:r>
            <w:r>
              <w:rPr>
                <w:rFonts w:ascii="Arial" w:eastAsia="Times New Roman" w:hAnsi="Arial" w:cs="Arial"/>
                <w:i/>
                <w:iCs/>
              </w:rPr>
              <w:t>.</w:t>
            </w:r>
            <w:r w:rsidRPr="0072467B">
              <w:rPr>
                <w:rFonts w:ascii="Arial" w:eastAsia="Times New Roman" w:hAnsi="Arial" w:cs="Arial"/>
                <w:i/>
                <w:iCs/>
              </w:rPr>
              <w:t xml:space="preserve"> </w:t>
            </w:r>
            <w:proofErr w:type="spellStart"/>
            <w:r w:rsidRPr="0072467B">
              <w:rPr>
                <w:rFonts w:ascii="Arial" w:eastAsia="Times New Roman" w:hAnsi="Arial" w:cs="Arial"/>
                <w:i/>
                <w:iCs/>
              </w:rPr>
              <w:t>brasiliensis</w:t>
            </w:r>
            <w:proofErr w:type="spellEnd"/>
            <w:r w:rsidRPr="0072467B">
              <w:rPr>
                <w:rFonts w:ascii="Arial" w:eastAsia="Times New Roman" w:hAnsi="Arial" w:cs="Arial"/>
              </w:rPr>
              <w:t xml:space="preserve"> extract showed a wide distribution range of results. The LAI ranged from 0% to 100%. The mean was 55%; the median was 56%; the standard deviation was 28.8%; the mode was 0% (appeared five times). </w:t>
            </w:r>
            <w:r>
              <w:rPr>
                <w:rFonts w:ascii="Arial" w:eastAsia="Times New Roman" w:hAnsi="Arial" w:cs="Arial"/>
              </w:rPr>
              <w:t xml:space="preserve">There was no significant correlation between </w:t>
            </w:r>
            <w:r w:rsidRPr="00F13177">
              <w:rPr>
                <w:rFonts w:ascii="Arial" w:eastAsia="Times New Roman" w:hAnsi="Arial" w:cs="Arial"/>
                <w:i/>
                <w:iCs/>
              </w:rPr>
              <w:t>B. tropicalis</w:t>
            </w:r>
            <w:r>
              <w:rPr>
                <w:rFonts w:ascii="Arial" w:eastAsia="Times New Roman" w:hAnsi="Arial" w:cs="Arial"/>
              </w:rPr>
              <w:t xml:space="preserve"> and </w:t>
            </w:r>
            <w:r w:rsidRPr="00F13177">
              <w:rPr>
                <w:rFonts w:ascii="Arial" w:eastAsia="Times New Roman" w:hAnsi="Arial" w:cs="Arial"/>
                <w:i/>
                <w:iCs/>
              </w:rPr>
              <w:t xml:space="preserve">F. </w:t>
            </w:r>
            <w:proofErr w:type="spellStart"/>
            <w:r w:rsidRPr="00F13177">
              <w:rPr>
                <w:rFonts w:ascii="Arial" w:eastAsia="Times New Roman" w:hAnsi="Arial" w:cs="Arial"/>
                <w:i/>
                <w:iCs/>
              </w:rPr>
              <w:t>brasiliensis</w:t>
            </w:r>
            <w:proofErr w:type="spellEnd"/>
            <w:r>
              <w:rPr>
                <w:rFonts w:ascii="Arial" w:eastAsia="Times New Roman" w:hAnsi="Arial" w:cs="Arial"/>
              </w:rPr>
              <w:t xml:space="preserve"> </w:t>
            </w:r>
            <w:r w:rsidR="00E0188D">
              <w:rPr>
                <w:rFonts w:ascii="Arial" w:eastAsia="Times New Roman" w:hAnsi="Arial" w:cs="Arial"/>
              </w:rPr>
              <w:t xml:space="preserve">when analyzed by </w:t>
            </w:r>
            <w:r>
              <w:rPr>
                <w:rFonts w:ascii="Arial" w:eastAsia="Times New Roman" w:hAnsi="Arial" w:cs="Arial"/>
              </w:rPr>
              <w:t>TTP or LAIT results.</w:t>
            </w:r>
          </w:p>
          <w:p w14:paraId="0ADB4EBE" w14:textId="7EC5957E" w:rsidR="00D53AFF" w:rsidRPr="0011247B" w:rsidRDefault="00D53AFF" w:rsidP="007A39CE">
            <w:pPr>
              <w:spacing w:after="0" w:line="240" w:lineRule="auto"/>
              <w:jc w:val="both"/>
              <w:rPr>
                <w:rFonts w:ascii="Arial" w:eastAsia="Calibri" w:hAnsi="Arial" w:cs="Arial"/>
                <w:bCs/>
              </w:rPr>
            </w:pPr>
            <w:r w:rsidRPr="0011247B">
              <w:rPr>
                <w:rFonts w:ascii="Arial" w:eastAsia="Calibri" w:hAnsi="Arial" w:cs="Arial"/>
                <w:b/>
              </w:rPr>
              <w:t xml:space="preserve">Conclusion: </w:t>
            </w:r>
            <w:r w:rsidRPr="0011247B">
              <w:rPr>
                <w:rFonts w:ascii="Arial" w:eastAsia="Calibri" w:hAnsi="Arial" w:cs="Arial"/>
                <w:bCs/>
              </w:rPr>
              <w:t>Our preliminary results su</w:t>
            </w:r>
            <w:r>
              <w:rPr>
                <w:rFonts w:ascii="Arial" w:eastAsia="Calibri" w:hAnsi="Arial" w:cs="Arial"/>
                <w:bCs/>
              </w:rPr>
              <w:t xml:space="preserve">ggest that the TTP and LAIT may </w:t>
            </w:r>
            <w:r w:rsidR="00995CDB">
              <w:rPr>
                <w:rFonts w:ascii="Arial" w:eastAsia="Calibri" w:hAnsi="Arial" w:cs="Arial"/>
                <w:bCs/>
              </w:rPr>
              <w:t>reveal</w:t>
            </w:r>
            <w:r>
              <w:rPr>
                <w:rFonts w:ascii="Arial" w:eastAsia="Calibri" w:hAnsi="Arial" w:cs="Arial"/>
                <w:bCs/>
              </w:rPr>
              <w:t xml:space="preserve"> humoral and cellular immunoreactivity in patients with allergic multimorbidity phenotypes using protein extracts of </w:t>
            </w:r>
            <w:r w:rsidRPr="008435AD">
              <w:rPr>
                <w:rFonts w:ascii="Arial" w:eastAsia="Calibri" w:hAnsi="Arial" w:cs="Arial"/>
                <w:bCs/>
                <w:i/>
                <w:iCs/>
              </w:rPr>
              <w:t>B. tropicalis</w:t>
            </w:r>
            <w:r>
              <w:rPr>
                <w:rFonts w:ascii="Arial" w:eastAsia="Calibri" w:hAnsi="Arial" w:cs="Arial"/>
                <w:bCs/>
              </w:rPr>
              <w:t xml:space="preserve"> and </w:t>
            </w:r>
            <w:r w:rsidRPr="008435AD">
              <w:rPr>
                <w:rFonts w:ascii="Arial" w:eastAsia="Calibri" w:hAnsi="Arial" w:cs="Arial"/>
                <w:bCs/>
                <w:i/>
                <w:iCs/>
              </w:rPr>
              <w:t xml:space="preserve">F. </w:t>
            </w:r>
            <w:proofErr w:type="spellStart"/>
            <w:r w:rsidRPr="008435AD">
              <w:rPr>
                <w:rFonts w:ascii="Arial" w:eastAsia="Calibri" w:hAnsi="Arial" w:cs="Arial"/>
                <w:bCs/>
                <w:i/>
                <w:iCs/>
              </w:rPr>
              <w:t>brasiliensis</w:t>
            </w:r>
            <w:proofErr w:type="spellEnd"/>
            <w:r w:rsidRPr="0011247B">
              <w:rPr>
                <w:rFonts w:ascii="Arial" w:eastAsia="Calibri" w:hAnsi="Arial" w:cs="Arial"/>
                <w:bCs/>
              </w:rPr>
              <w:t>.</w:t>
            </w:r>
          </w:p>
        </w:tc>
      </w:tr>
    </w:tbl>
    <w:p w14:paraId="3501AA14" w14:textId="77777777" w:rsidR="00D53AFF" w:rsidRPr="005E2A7F" w:rsidRDefault="00D53AFF" w:rsidP="00646870">
      <w:pPr>
        <w:spacing w:after="0" w:line="240" w:lineRule="auto"/>
        <w:ind w:left="990" w:hanging="990"/>
        <w:jc w:val="both"/>
        <w:textAlignment w:val="top"/>
        <w:rPr>
          <w:rFonts w:ascii="Arial" w:eastAsia="Times New Roman" w:hAnsi="Arial" w:cs="Arial"/>
          <w:i/>
          <w:szCs w:val="20"/>
        </w:rPr>
      </w:pPr>
    </w:p>
    <w:p w14:paraId="1BE6A2D3" w14:textId="77777777" w:rsidR="00D53AFF" w:rsidRPr="00E04BFE" w:rsidRDefault="00D53AFF" w:rsidP="00646870">
      <w:pPr>
        <w:spacing w:after="0" w:line="240" w:lineRule="auto"/>
        <w:ind w:left="1080" w:hanging="1080"/>
        <w:jc w:val="both"/>
        <w:rPr>
          <w:rFonts w:ascii="Arial" w:eastAsia="Times New Roman" w:hAnsi="Arial" w:cs="Arial"/>
          <w:bCs/>
          <w:i/>
          <w:iCs/>
          <w:sz w:val="20"/>
          <w:szCs w:val="20"/>
        </w:rPr>
      </w:pPr>
      <w:r w:rsidRPr="00E04BFE">
        <w:rPr>
          <w:rFonts w:ascii="Arial" w:eastAsia="Times New Roman" w:hAnsi="Arial" w:cs="Arial"/>
          <w:i/>
          <w:sz w:val="20"/>
          <w:szCs w:val="20"/>
        </w:rPr>
        <w:t xml:space="preserve">Keywords: </w:t>
      </w:r>
      <w:proofErr w:type="spellStart"/>
      <w:r w:rsidRPr="00E04BFE">
        <w:rPr>
          <w:rFonts w:ascii="Arial" w:eastAsia="Calibri" w:hAnsi="Arial" w:cs="Arial"/>
          <w:bCs/>
          <w:i/>
          <w:iCs/>
          <w:sz w:val="20"/>
        </w:rPr>
        <w:t>Blomia</w:t>
      </w:r>
      <w:proofErr w:type="spellEnd"/>
      <w:r w:rsidRPr="00E04BFE">
        <w:rPr>
          <w:rFonts w:ascii="Arial" w:eastAsia="Calibri" w:hAnsi="Arial" w:cs="Arial"/>
          <w:bCs/>
          <w:i/>
          <w:iCs/>
          <w:sz w:val="20"/>
        </w:rPr>
        <w:t xml:space="preserve"> tropicalis;</w:t>
      </w:r>
      <w:r w:rsidRPr="00E04BFE">
        <w:rPr>
          <w:rFonts w:ascii="Arial" w:eastAsia="Times New Roman" w:hAnsi="Arial" w:cs="Arial"/>
          <w:bCs/>
          <w:i/>
          <w:iCs/>
          <w:sz w:val="20"/>
          <w:szCs w:val="20"/>
        </w:rPr>
        <w:t xml:space="preserve"> </w:t>
      </w:r>
      <w:proofErr w:type="spellStart"/>
      <w:r w:rsidRPr="00E04BFE">
        <w:rPr>
          <w:rFonts w:ascii="Arial" w:eastAsia="Calibri" w:hAnsi="Arial" w:cs="Arial"/>
          <w:bCs/>
          <w:i/>
          <w:iCs/>
          <w:sz w:val="20"/>
        </w:rPr>
        <w:t>Farfantepenaeus</w:t>
      </w:r>
      <w:proofErr w:type="spellEnd"/>
      <w:r w:rsidRPr="00E04BFE">
        <w:rPr>
          <w:rFonts w:ascii="Arial" w:eastAsia="Calibri" w:hAnsi="Arial" w:cs="Arial"/>
          <w:bCs/>
          <w:i/>
          <w:iCs/>
          <w:sz w:val="20"/>
        </w:rPr>
        <w:t xml:space="preserve"> </w:t>
      </w:r>
      <w:proofErr w:type="spellStart"/>
      <w:r w:rsidRPr="00E04BFE">
        <w:rPr>
          <w:rFonts w:ascii="Arial" w:eastAsia="Calibri" w:hAnsi="Arial" w:cs="Arial"/>
          <w:bCs/>
          <w:i/>
          <w:iCs/>
          <w:sz w:val="20"/>
        </w:rPr>
        <w:t>brasiliensis</w:t>
      </w:r>
      <w:proofErr w:type="spellEnd"/>
      <w:r w:rsidRPr="00E04BFE">
        <w:rPr>
          <w:rFonts w:ascii="Arial" w:eastAsia="Times New Roman" w:hAnsi="Arial" w:cs="Arial"/>
          <w:bCs/>
          <w:i/>
          <w:iCs/>
          <w:sz w:val="20"/>
          <w:szCs w:val="20"/>
        </w:rPr>
        <w:t xml:space="preserve">; Hypersensitivity; House Dust Mite; </w:t>
      </w:r>
      <w:r w:rsidRPr="00E04BFE">
        <w:rPr>
          <w:rFonts w:ascii="Arial" w:eastAsia="Calibri" w:hAnsi="Arial" w:cs="Arial"/>
          <w:bCs/>
          <w:i/>
          <w:iCs/>
          <w:sz w:val="20"/>
        </w:rPr>
        <w:t>Leukocyte Adherence Inhibition Test</w:t>
      </w:r>
      <w:r w:rsidRPr="00E04BFE">
        <w:rPr>
          <w:rFonts w:ascii="Arial" w:eastAsia="Times New Roman" w:hAnsi="Arial" w:cs="Arial"/>
          <w:bCs/>
          <w:i/>
          <w:iCs/>
          <w:sz w:val="20"/>
          <w:szCs w:val="20"/>
        </w:rPr>
        <w:t>; Non–</w:t>
      </w:r>
      <w:proofErr w:type="spellStart"/>
      <w:r w:rsidRPr="00E04BFE">
        <w:rPr>
          <w:rFonts w:ascii="Arial" w:eastAsia="Times New Roman" w:hAnsi="Arial" w:cs="Arial"/>
          <w:bCs/>
          <w:i/>
          <w:iCs/>
          <w:sz w:val="20"/>
          <w:szCs w:val="20"/>
        </w:rPr>
        <w:t>IgE</w:t>
      </w:r>
      <w:proofErr w:type="spellEnd"/>
      <w:r w:rsidRPr="00E04BFE">
        <w:rPr>
          <w:rFonts w:ascii="Arial" w:eastAsia="Times New Roman" w:hAnsi="Arial" w:cs="Arial"/>
          <w:bCs/>
          <w:i/>
          <w:iCs/>
          <w:sz w:val="20"/>
          <w:szCs w:val="20"/>
        </w:rPr>
        <w:t>-mediated Immunoreactivity; Shrimp; Precipitins.</w:t>
      </w:r>
    </w:p>
    <w:p w14:paraId="7A013F28" w14:textId="77777777" w:rsidR="00D53AFF" w:rsidRPr="002D7DE5" w:rsidRDefault="00D53AFF" w:rsidP="00646870">
      <w:pPr>
        <w:pStyle w:val="Heading2"/>
        <w:rPr>
          <w:rFonts w:eastAsia="Times New Roman"/>
          <w:color w:val="FF0000"/>
        </w:rPr>
      </w:pPr>
    </w:p>
    <w:p w14:paraId="1CE0DED0" w14:textId="77777777" w:rsidR="00D53AFF" w:rsidRPr="00F17474" w:rsidRDefault="00D53AFF" w:rsidP="00806635">
      <w:pPr>
        <w:spacing w:after="0" w:line="240" w:lineRule="auto"/>
        <w:rPr>
          <w:rFonts w:ascii="Arial" w:hAnsi="Arial" w:cs="Arial"/>
          <w:b/>
          <w:bCs/>
          <w:sz w:val="20"/>
          <w:szCs w:val="20"/>
          <w:lang w:val="fr-FR"/>
        </w:rPr>
      </w:pPr>
      <w:proofErr w:type="spellStart"/>
      <w:proofErr w:type="gramStart"/>
      <w:r w:rsidRPr="00F17474">
        <w:rPr>
          <w:rFonts w:ascii="Arial" w:hAnsi="Arial" w:cs="Arial"/>
          <w:b/>
          <w:bCs/>
          <w:sz w:val="20"/>
          <w:szCs w:val="20"/>
          <w:lang w:val="fr-FR"/>
        </w:rPr>
        <w:t>Abbreviations</w:t>
      </w:r>
      <w:proofErr w:type="spellEnd"/>
      <w:r w:rsidRPr="00F17474">
        <w:rPr>
          <w:rFonts w:ascii="Arial" w:hAnsi="Arial" w:cs="Arial"/>
          <w:b/>
          <w:bCs/>
          <w:sz w:val="20"/>
          <w:szCs w:val="20"/>
          <w:lang w:val="fr-FR"/>
        </w:rPr>
        <w:t>:</w:t>
      </w:r>
      <w:proofErr w:type="gramEnd"/>
    </w:p>
    <w:p w14:paraId="79D0A002" w14:textId="77777777" w:rsidR="00D53AFF" w:rsidRPr="00F17474" w:rsidRDefault="00D53AFF" w:rsidP="00806635">
      <w:pPr>
        <w:spacing w:after="0" w:line="240" w:lineRule="auto"/>
        <w:rPr>
          <w:rFonts w:ascii="Arial" w:hAnsi="Arial" w:cs="Arial"/>
          <w:sz w:val="20"/>
          <w:szCs w:val="20"/>
          <w:lang w:val="fr-FR"/>
        </w:rPr>
      </w:pPr>
      <w:proofErr w:type="gramStart"/>
      <w:r w:rsidRPr="00F17474">
        <w:rPr>
          <w:rFonts w:ascii="Arial" w:hAnsi="Arial" w:cs="Arial"/>
          <w:sz w:val="20"/>
          <w:szCs w:val="20"/>
          <w:lang w:val="fr-FR"/>
        </w:rPr>
        <w:t>LAI:</w:t>
      </w:r>
      <w:proofErr w:type="gramEnd"/>
      <w:r w:rsidRPr="00F17474">
        <w:rPr>
          <w:rFonts w:ascii="Arial" w:hAnsi="Arial" w:cs="Arial"/>
          <w:sz w:val="20"/>
          <w:szCs w:val="20"/>
          <w:lang w:val="fr-FR"/>
        </w:rPr>
        <w:t xml:space="preserve"> </w:t>
      </w:r>
      <w:proofErr w:type="spellStart"/>
      <w:r w:rsidRPr="00F17474">
        <w:rPr>
          <w:rFonts w:ascii="Arial" w:hAnsi="Arial" w:cs="Arial"/>
          <w:sz w:val="20"/>
          <w:szCs w:val="20"/>
          <w:lang w:val="fr-FR"/>
        </w:rPr>
        <w:t>Leukocyte</w:t>
      </w:r>
      <w:proofErr w:type="spellEnd"/>
      <w:r w:rsidRPr="00F17474">
        <w:rPr>
          <w:rFonts w:ascii="Arial" w:hAnsi="Arial" w:cs="Arial"/>
          <w:sz w:val="20"/>
          <w:szCs w:val="20"/>
          <w:lang w:val="fr-FR"/>
        </w:rPr>
        <w:t xml:space="preserve"> </w:t>
      </w:r>
      <w:proofErr w:type="spellStart"/>
      <w:r w:rsidRPr="00F17474">
        <w:rPr>
          <w:rFonts w:ascii="Arial" w:hAnsi="Arial" w:cs="Arial"/>
          <w:sz w:val="20"/>
          <w:szCs w:val="20"/>
          <w:lang w:val="fr-FR"/>
        </w:rPr>
        <w:t>Adherence</w:t>
      </w:r>
      <w:proofErr w:type="spellEnd"/>
      <w:r w:rsidRPr="00F17474">
        <w:rPr>
          <w:rFonts w:ascii="Arial" w:hAnsi="Arial" w:cs="Arial"/>
          <w:sz w:val="20"/>
          <w:szCs w:val="20"/>
          <w:lang w:val="fr-FR"/>
        </w:rPr>
        <w:t xml:space="preserve"> Inhibition.</w:t>
      </w:r>
    </w:p>
    <w:p w14:paraId="539773BF" w14:textId="77777777" w:rsidR="00D53AFF" w:rsidRPr="006F4DDA" w:rsidRDefault="00D53AFF" w:rsidP="00A50D7A">
      <w:pPr>
        <w:spacing w:after="0" w:line="240" w:lineRule="auto"/>
        <w:rPr>
          <w:rFonts w:ascii="Arial" w:hAnsi="Arial" w:cs="Arial"/>
          <w:sz w:val="20"/>
          <w:szCs w:val="20"/>
        </w:rPr>
      </w:pPr>
      <w:r w:rsidRPr="006F4DDA">
        <w:rPr>
          <w:rFonts w:ascii="Arial" w:hAnsi="Arial" w:cs="Arial"/>
          <w:sz w:val="20"/>
          <w:szCs w:val="20"/>
        </w:rPr>
        <w:t>LAIT: Leukocyte Adherence Inhibition Test</w:t>
      </w:r>
    </w:p>
    <w:p w14:paraId="74404C83" w14:textId="77777777" w:rsidR="00D53AFF" w:rsidRPr="006F4DDA" w:rsidRDefault="00D53AFF" w:rsidP="00A50D7A">
      <w:pPr>
        <w:spacing w:after="0" w:line="240" w:lineRule="auto"/>
        <w:rPr>
          <w:rFonts w:ascii="Arial" w:hAnsi="Arial" w:cs="Arial"/>
          <w:sz w:val="20"/>
          <w:szCs w:val="20"/>
        </w:rPr>
      </w:pPr>
      <w:r w:rsidRPr="006F4DDA">
        <w:rPr>
          <w:rFonts w:ascii="Arial" w:hAnsi="Arial" w:cs="Arial"/>
          <w:sz w:val="20"/>
          <w:szCs w:val="20"/>
        </w:rPr>
        <w:t>TTP: Tube Titration of Precipitins</w:t>
      </w:r>
    </w:p>
    <w:p w14:paraId="61C42D88" w14:textId="77777777" w:rsidR="00D53AFF" w:rsidRPr="002D7DE5" w:rsidRDefault="00D53AFF" w:rsidP="00A50D7A">
      <w:pPr>
        <w:spacing w:after="0" w:line="240" w:lineRule="auto"/>
        <w:rPr>
          <w:rFonts w:ascii="Arial" w:hAnsi="Arial" w:cs="Arial"/>
          <w:color w:val="FF0000"/>
          <w:sz w:val="20"/>
          <w:szCs w:val="20"/>
        </w:rPr>
      </w:pPr>
    </w:p>
    <w:p w14:paraId="3E13A2A2" w14:textId="77777777" w:rsidR="00D53AFF" w:rsidRPr="00BD7BF9" w:rsidRDefault="00D53AFF" w:rsidP="00646870">
      <w:pPr>
        <w:pStyle w:val="Heading2"/>
        <w:rPr>
          <w:rFonts w:eastAsia="Times New Roman" w:cs="Arial"/>
          <w:color w:val="FF0000"/>
          <w:szCs w:val="22"/>
        </w:rPr>
      </w:pPr>
      <w:r w:rsidRPr="00405785">
        <w:rPr>
          <w:rFonts w:eastAsia="Times New Roman"/>
        </w:rPr>
        <w:t>1. INTRODUCTIO</w:t>
      </w:r>
      <w:r w:rsidRPr="00BD7BF9">
        <w:rPr>
          <w:rFonts w:eastAsia="Times New Roman" w:cs="Arial"/>
          <w:szCs w:val="22"/>
        </w:rPr>
        <w:t xml:space="preserve">N </w:t>
      </w:r>
    </w:p>
    <w:p w14:paraId="1252EDBB" w14:textId="77777777" w:rsidR="00D53AFF" w:rsidRPr="00BD7BF9" w:rsidRDefault="00D53AFF" w:rsidP="005F3E7B">
      <w:pPr>
        <w:spacing w:after="0" w:line="240" w:lineRule="auto"/>
        <w:jc w:val="both"/>
        <w:rPr>
          <w:rFonts w:ascii="Arial" w:eastAsia="Times New Roman" w:hAnsi="Arial" w:cs="Arial"/>
          <w:color w:val="000000" w:themeColor="text1"/>
        </w:rPr>
      </w:pPr>
      <w:bookmarkStart w:id="1" w:name="_Hlk139722355"/>
      <w:r w:rsidRPr="00BD7BF9">
        <w:rPr>
          <w:rFonts w:ascii="Arial" w:eastAsia="Times New Roman" w:hAnsi="Arial" w:cs="Arial"/>
          <w:color w:val="000000" w:themeColor="text1"/>
        </w:rPr>
        <w:tab/>
      </w:r>
    </w:p>
    <w:p w14:paraId="1276E059" w14:textId="6BCB1534" w:rsidR="00D53AFF" w:rsidRDefault="00D53AFF" w:rsidP="00972D0E">
      <w:pPr>
        <w:autoSpaceDE w:val="0"/>
        <w:autoSpaceDN w:val="0"/>
        <w:adjustRightInd w:val="0"/>
        <w:spacing w:after="0" w:line="240" w:lineRule="auto"/>
        <w:ind w:firstLine="708"/>
        <w:jc w:val="both"/>
        <w:rPr>
          <w:rFonts w:ascii="Arial" w:eastAsiaTheme="minorHAnsi" w:hAnsi="Arial" w:cs="Arial"/>
          <w:color w:val="3A3A3A"/>
          <w14:ligatures w14:val="standardContextual"/>
        </w:rPr>
      </w:pPr>
      <w:proofErr w:type="spellStart"/>
      <w:r w:rsidRPr="00562E0C">
        <w:rPr>
          <w:rFonts w:ascii="Arial" w:eastAsiaTheme="minorHAnsi" w:hAnsi="Arial" w:cs="Arial"/>
          <w:i/>
          <w:iCs/>
          <w:color w:val="3A3A3A"/>
          <w14:ligatures w14:val="standardContextual"/>
        </w:rPr>
        <w:t>Blomia</w:t>
      </w:r>
      <w:proofErr w:type="spellEnd"/>
      <w:r w:rsidRPr="00562E0C">
        <w:rPr>
          <w:rFonts w:ascii="Arial" w:eastAsiaTheme="minorHAnsi" w:hAnsi="Arial" w:cs="Arial"/>
          <w:i/>
          <w:iCs/>
          <w:color w:val="3A3A3A"/>
          <w14:ligatures w14:val="standardContextual"/>
        </w:rPr>
        <w:t xml:space="preserve"> tropicalis</w:t>
      </w:r>
      <w:r>
        <w:rPr>
          <w:rFonts w:ascii="Arial" w:eastAsiaTheme="minorHAnsi" w:hAnsi="Arial" w:cs="Arial"/>
          <w:color w:val="3A3A3A"/>
          <w14:ligatures w14:val="standardContextual"/>
        </w:rPr>
        <w:t xml:space="preserve"> is </w:t>
      </w:r>
      <w:r w:rsidRPr="002A22BC">
        <w:rPr>
          <w:rFonts w:ascii="Arial" w:eastAsiaTheme="minorHAnsi" w:hAnsi="Arial" w:cs="Arial"/>
          <w:color w:val="3A3A3A"/>
          <w14:ligatures w14:val="standardContextual"/>
        </w:rPr>
        <w:t>a</w:t>
      </w:r>
      <w:r>
        <w:rPr>
          <w:rFonts w:ascii="Arial" w:eastAsiaTheme="minorHAnsi" w:hAnsi="Arial" w:cs="Arial"/>
          <w:color w:val="3A3A3A"/>
          <w14:ligatures w14:val="standardContextual"/>
        </w:rPr>
        <w:t>n</w:t>
      </w:r>
      <w:r w:rsidRPr="002A22BC">
        <w:rPr>
          <w:rFonts w:ascii="Arial" w:eastAsiaTheme="minorHAnsi" w:hAnsi="Arial" w:cs="Arial"/>
          <w:color w:val="3A3A3A"/>
          <w14:ligatures w14:val="standardContextual"/>
        </w:rPr>
        <w:t xml:space="preserve"> arthropod </w:t>
      </w:r>
      <w:r>
        <w:rPr>
          <w:rFonts w:ascii="Arial" w:eastAsiaTheme="minorHAnsi" w:hAnsi="Arial" w:cs="Arial"/>
          <w:color w:val="3A3A3A"/>
          <w14:ligatures w14:val="standardContextual"/>
        </w:rPr>
        <w:t xml:space="preserve">(phylum) </w:t>
      </w:r>
      <w:r w:rsidRPr="002A22BC">
        <w:rPr>
          <w:rFonts w:ascii="Arial" w:eastAsiaTheme="minorHAnsi" w:hAnsi="Arial" w:cs="Arial"/>
          <w:color w:val="3A3A3A"/>
          <w14:ligatures w14:val="standardContextual"/>
        </w:rPr>
        <w:t xml:space="preserve">of the </w:t>
      </w:r>
      <w:r>
        <w:rPr>
          <w:rFonts w:ascii="Arial" w:eastAsiaTheme="minorHAnsi" w:hAnsi="Arial" w:cs="Arial"/>
          <w:color w:val="3A3A3A"/>
          <w14:ligatures w14:val="standardContextual"/>
        </w:rPr>
        <w:t>s</w:t>
      </w:r>
      <w:r w:rsidRPr="00F16A24">
        <w:rPr>
          <w:rFonts w:ascii="Arial" w:eastAsiaTheme="minorHAnsi" w:hAnsi="Arial" w:cs="Arial"/>
          <w:color w:val="3A3A3A"/>
          <w14:ligatures w14:val="standardContextual"/>
        </w:rPr>
        <w:t>ubphylum</w:t>
      </w:r>
      <w:r>
        <w:rPr>
          <w:rFonts w:ascii="Arial" w:eastAsiaTheme="minorHAnsi" w:hAnsi="Arial" w:cs="Arial"/>
          <w:color w:val="3A3A3A"/>
          <w14:ligatures w14:val="standardContextual"/>
        </w:rPr>
        <w:t xml:space="preserve"> </w:t>
      </w:r>
      <w:r w:rsidRPr="00F16A24">
        <w:rPr>
          <w:rFonts w:ascii="Arial" w:eastAsiaTheme="minorHAnsi" w:hAnsi="Arial" w:cs="Arial"/>
          <w:color w:val="3A3A3A"/>
          <w14:ligatures w14:val="standardContextual"/>
        </w:rPr>
        <w:t>Chelicerata</w:t>
      </w:r>
      <w:r>
        <w:rPr>
          <w:rFonts w:ascii="Arial" w:eastAsiaTheme="minorHAnsi" w:hAnsi="Arial" w:cs="Arial"/>
          <w:color w:val="3A3A3A"/>
          <w14:ligatures w14:val="standardContextual"/>
        </w:rPr>
        <w:t xml:space="preserve">; </w:t>
      </w:r>
      <w:r w:rsidRPr="002A22BC">
        <w:rPr>
          <w:rFonts w:ascii="Arial" w:eastAsiaTheme="minorHAnsi" w:hAnsi="Arial" w:cs="Arial"/>
          <w:color w:val="3A3A3A"/>
          <w14:ligatures w14:val="standardContextual"/>
        </w:rPr>
        <w:t>class Arachnida</w:t>
      </w:r>
      <w:r>
        <w:rPr>
          <w:rFonts w:ascii="Arial" w:eastAsiaTheme="minorHAnsi" w:hAnsi="Arial" w:cs="Arial"/>
          <w:color w:val="3A3A3A"/>
          <w14:ligatures w14:val="standardContextual"/>
        </w:rPr>
        <w:t>;</w:t>
      </w:r>
      <w:r w:rsidRPr="002A22BC">
        <w:rPr>
          <w:rFonts w:ascii="Arial" w:eastAsiaTheme="minorHAnsi" w:hAnsi="Arial" w:cs="Arial"/>
          <w:color w:val="3A3A3A"/>
          <w14:ligatures w14:val="standardContextual"/>
        </w:rPr>
        <w:t xml:space="preserve"> </w:t>
      </w:r>
      <w:r>
        <w:rPr>
          <w:rFonts w:ascii="Arial" w:eastAsiaTheme="minorHAnsi" w:hAnsi="Arial" w:cs="Arial"/>
          <w:color w:val="3A3A3A"/>
          <w14:ligatures w14:val="standardContextual"/>
        </w:rPr>
        <w:t>subclass</w:t>
      </w:r>
      <w:r w:rsidRPr="002A22BC">
        <w:rPr>
          <w:rFonts w:ascii="Arial" w:eastAsiaTheme="minorHAnsi" w:hAnsi="Arial" w:cs="Arial"/>
          <w:color w:val="3A3A3A"/>
          <w14:ligatures w14:val="standardContextual"/>
        </w:rPr>
        <w:t xml:space="preserve"> Acari</w:t>
      </w:r>
      <w:r>
        <w:rPr>
          <w:rFonts w:ascii="Arial" w:eastAsiaTheme="minorHAnsi" w:hAnsi="Arial" w:cs="Arial"/>
          <w:color w:val="3A3A3A"/>
          <w14:ligatures w14:val="standardContextual"/>
        </w:rPr>
        <w:t xml:space="preserve">; superorder </w:t>
      </w:r>
      <w:proofErr w:type="spellStart"/>
      <w:r w:rsidRPr="00F16A24">
        <w:rPr>
          <w:rFonts w:ascii="Arial" w:eastAsiaTheme="minorHAnsi" w:hAnsi="Arial" w:cs="Arial"/>
          <w:color w:val="3A3A3A"/>
          <w14:ligatures w14:val="standardContextual"/>
        </w:rPr>
        <w:t>Acariformes</w:t>
      </w:r>
      <w:proofErr w:type="spellEnd"/>
      <w:r w:rsidRPr="00F16A24">
        <w:rPr>
          <w:rFonts w:ascii="Arial" w:eastAsiaTheme="minorHAnsi" w:hAnsi="Arial" w:cs="Arial"/>
          <w:color w:val="3A3A3A"/>
          <w14:ligatures w14:val="standardContextual"/>
        </w:rPr>
        <w:t xml:space="preserve">; </w:t>
      </w:r>
      <w:r>
        <w:rPr>
          <w:rFonts w:ascii="Arial" w:eastAsiaTheme="minorHAnsi" w:hAnsi="Arial" w:cs="Arial"/>
          <w:color w:val="3A3A3A"/>
          <w14:ligatures w14:val="standardContextual"/>
        </w:rPr>
        <w:t xml:space="preserve">order </w:t>
      </w:r>
      <w:proofErr w:type="spellStart"/>
      <w:r w:rsidRPr="00F16A24">
        <w:rPr>
          <w:rFonts w:ascii="Arial" w:eastAsiaTheme="minorHAnsi" w:hAnsi="Arial" w:cs="Arial"/>
          <w:color w:val="3A3A3A"/>
          <w14:ligatures w14:val="standardContextual"/>
        </w:rPr>
        <w:t>Sarcoptiform</w:t>
      </w:r>
      <w:r w:rsidRPr="00DB06D2">
        <w:rPr>
          <w:rFonts w:ascii="Arial" w:eastAsiaTheme="minorHAnsi" w:hAnsi="Arial" w:cs="Arial"/>
          <w:color w:val="3A3A3A"/>
          <w14:ligatures w14:val="standardContextual"/>
        </w:rPr>
        <w:t>es</w:t>
      </w:r>
      <w:proofErr w:type="spellEnd"/>
      <w:r w:rsidRPr="00DB06D2">
        <w:rPr>
          <w:rFonts w:ascii="Arial" w:eastAsiaTheme="minorHAnsi" w:hAnsi="Arial" w:cs="Arial"/>
          <w:color w:val="3A3A3A"/>
          <w14:ligatures w14:val="standardContextual"/>
        </w:rPr>
        <w:t xml:space="preserve">; suborder </w:t>
      </w:r>
      <w:proofErr w:type="spellStart"/>
      <w:r w:rsidRPr="00DB06D2">
        <w:rPr>
          <w:rFonts w:ascii="Arial" w:eastAsiaTheme="minorHAnsi" w:hAnsi="Arial" w:cs="Arial"/>
          <w:color w:val="3A3A3A"/>
          <w14:ligatures w14:val="standardContextual"/>
        </w:rPr>
        <w:t>Astigmata</w:t>
      </w:r>
      <w:proofErr w:type="spellEnd"/>
      <w:r w:rsidRPr="00DB06D2">
        <w:rPr>
          <w:rFonts w:ascii="Arial" w:eastAsiaTheme="minorHAnsi" w:hAnsi="Arial" w:cs="Arial"/>
          <w:color w:val="3A3A3A"/>
          <w14:ligatures w14:val="standardContextual"/>
        </w:rPr>
        <w:t xml:space="preserve">; superfamily </w:t>
      </w:r>
      <w:proofErr w:type="spellStart"/>
      <w:r w:rsidRPr="00DB06D2">
        <w:rPr>
          <w:rFonts w:ascii="Arial" w:eastAsiaTheme="minorHAnsi" w:hAnsi="Arial" w:cs="Arial"/>
          <w:color w:val="3A3A3A"/>
          <w14:ligatures w14:val="standardContextual"/>
        </w:rPr>
        <w:t>Glycyphagoidea</w:t>
      </w:r>
      <w:proofErr w:type="spellEnd"/>
      <w:r w:rsidRPr="00DB06D2">
        <w:rPr>
          <w:rFonts w:ascii="Arial" w:eastAsiaTheme="minorHAnsi" w:hAnsi="Arial" w:cs="Arial"/>
          <w:color w:val="3A3A3A"/>
          <w14:ligatures w14:val="standardContextual"/>
        </w:rPr>
        <w:t xml:space="preserve">; family Echimyopodidae </w:t>
      </w:r>
      <w:r>
        <w:rPr>
          <w:rFonts w:ascii="Arial" w:eastAsiaTheme="minorHAnsi" w:hAnsi="Arial" w:cs="Arial"/>
          <w:noProof/>
          <w:color w:val="3A3A3A"/>
          <w14:ligatures w14:val="standardContextual"/>
        </w:rPr>
        <w:t xml:space="preserve">(Schoch CL </w:t>
      </w:r>
      <w:r w:rsidR="00BA632D" w:rsidRPr="00BA632D">
        <w:rPr>
          <w:rFonts w:ascii="Arial" w:eastAsiaTheme="minorHAnsi" w:hAnsi="Arial" w:cs="Arial"/>
          <w:i/>
          <w:iCs/>
          <w:noProof/>
          <w:color w:val="3A3A3A"/>
          <w14:ligatures w14:val="standardContextual"/>
        </w:rPr>
        <w:t>et al</w:t>
      </w:r>
      <w:r>
        <w:rPr>
          <w:rFonts w:ascii="Arial" w:eastAsiaTheme="minorHAnsi" w:hAnsi="Arial" w:cs="Arial"/>
          <w:noProof/>
          <w:color w:val="3A3A3A"/>
          <w14:ligatures w14:val="standardContextual"/>
        </w:rPr>
        <w:t>. 2020a)</w:t>
      </w:r>
      <w:r w:rsidRPr="00DB06D2">
        <w:rPr>
          <w:rFonts w:ascii="Arial" w:eastAsiaTheme="minorHAnsi" w:hAnsi="Arial" w:cs="Arial"/>
          <w:color w:val="3A3A3A"/>
          <w14:ligatures w14:val="standardContextual"/>
        </w:rPr>
        <w:t>.</w:t>
      </w:r>
    </w:p>
    <w:p w14:paraId="75897FC2" w14:textId="7FD8AEB1" w:rsidR="00D53AFF" w:rsidRDefault="00D53AFF" w:rsidP="00CB2B46">
      <w:pPr>
        <w:autoSpaceDE w:val="0"/>
        <w:autoSpaceDN w:val="0"/>
        <w:adjustRightInd w:val="0"/>
        <w:spacing w:after="0" w:line="240" w:lineRule="auto"/>
        <w:ind w:firstLine="708"/>
        <w:jc w:val="both"/>
        <w:rPr>
          <w:rFonts w:ascii="Arial" w:eastAsiaTheme="minorHAnsi" w:hAnsi="Arial" w:cs="Arial"/>
          <w:color w:val="3A3A3A"/>
          <w14:ligatures w14:val="standardContextual"/>
        </w:rPr>
      </w:pPr>
      <w:proofErr w:type="spellStart"/>
      <w:r>
        <w:rPr>
          <w:rFonts w:ascii="Arial" w:eastAsiaTheme="minorHAnsi" w:hAnsi="Arial" w:cs="Arial"/>
          <w:i/>
          <w:iCs/>
          <w:color w:val="3A3A3A"/>
          <w14:ligatures w14:val="standardContextual"/>
        </w:rPr>
        <w:t>Farfantepenaeus</w:t>
      </w:r>
      <w:proofErr w:type="spellEnd"/>
      <w:r>
        <w:rPr>
          <w:rFonts w:ascii="Arial" w:eastAsiaTheme="minorHAnsi" w:hAnsi="Arial" w:cs="Arial"/>
          <w:i/>
          <w:iCs/>
          <w:color w:val="3A3A3A"/>
          <w14:ligatures w14:val="standardContextual"/>
        </w:rPr>
        <w:t xml:space="preserve"> </w:t>
      </w:r>
      <w:proofErr w:type="spellStart"/>
      <w:r>
        <w:rPr>
          <w:rFonts w:ascii="Arial" w:eastAsiaTheme="minorHAnsi" w:hAnsi="Arial" w:cs="Arial"/>
          <w:i/>
          <w:iCs/>
          <w:color w:val="3A3A3A"/>
          <w14:ligatures w14:val="standardContextual"/>
        </w:rPr>
        <w:t>brasiliensis</w:t>
      </w:r>
      <w:proofErr w:type="spellEnd"/>
      <w:r>
        <w:rPr>
          <w:rFonts w:ascii="Arial" w:eastAsiaTheme="minorHAnsi" w:hAnsi="Arial" w:cs="Arial"/>
          <w:i/>
          <w:iCs/>
          <w:color w:val="3A3A3A"/>
          <w14:ligatures w14:val="standardContextual"/>
        </w:rPr>
        <w:t xml:space="preserve"> (Penaeus </w:t>
      </w:r>
      <w:proofErr w:type="spellStart"/>
      <w:r>
        <w:rPr>
          <w:rFonts w:ascii="Arial" w:eastAsiaTheme="minorHAnsi" w:hAnsi="Arial" w:cs="Arial"/>
          <w:i/>
          <w:iCs/>
          <w:color w:val="3A3A3A"/>
          <w14:ligatures w14:val="standardContextual"/>
        </w:rPr>
        <w:t>brasiliensis</w:t>
      </w:r>
      <w:proofErr w:type="spellEnd"/>
      <w:r>
        <w:rPr>
          <w:rFonts w:ascii="Arial" w:eastAsiaTheme="minorHAnsi" w:hAnsi="Arial" w:cs="Arial"/>
          <w:i/>
          <w:iCs/>
          <w:color w:val="3A3A3A"/>
          <w14:ligatures w14:val="standardContextual"/>
        </w:rPr>
        <w:t>)</w:t>
      </w:r>
      <w:r>
        <w:rPr>
          <w:rFonts w:ascii="Arial" w:eastAsiaTheme="minorHAnsi" w:hAnsi="Arial" w:cs="Arial"/>
          <w:color w:val="3A3A3A"/>
          <w14:ligatures w14:val="standardContextual"/>
        </w:rPr>
        <w:t xml:space="preserve"> is </w:t>
      </w:r>
      <w:r w:rsidRPr="002A22BC">
        <w:rPr>
          <w:rFonts w:ascii="Arial" w:eastAsiaTheme="minorHAnsi" w:hAnsi="Arial" w:cs="Arial"/>
          <w:color w:val="3A3A3A"/>
          <w14:ligatures w14:val="standardContextual"/>
        </w:rPr>
        <w:t>a</w:t>
      </w:r>
      <w:r>
        <w:rPr>
          <w:rFonts w:ascii="Arial" w:eastAsiaTheme="minorHAnsi" w:hAnsi="Arial" w:cs="Arial"/>
          <w:color w:val="3A3A3A"/>
          <w14:ligatures w14:val="standardContextual"/>
        </w:rPr>
        <w:t>n</w:t>
      </w:r>
      <w:r w:rsidRPr="002A22BC">
        <w:rPr>
          <w:rFonts w:ascii="Arial" w:eastAsiaTheme="minorHAnsi" w:hAnsi="Arial" w:cs="Arial"/>
          <w:color w:val="3A3A3A"/>
          <w14:ligatures w14:val="standardContextual"/>
        </w:rPr>
        <w:t xml:space="preserve"> arthropod </w:t>
      </w:r>
      <w:r>
        <w:rPr>
          <w:rFonts w:ascii="Arial" w:eastAsiaTheme="minorHAnsi" w:hAnsi="Arial" w:cs="Arial"/>
          <w:color w:val="3A3A3A"/>
          <w14:ligatures w14:val="standardContextual"/>
        </w:rPr>
        <w:t xml:space="preserve">(phylum) </w:t>
      </w:r>
      <w:r w:rsidRPr="002A22BC">
        <w:rPr>
          <w:rFonts w:ascii="Arial" w:eastAsiaTheme="minorHAnsi" w:hAnsi="Arial" w:cs="Arial"/>
          <w:color w:val="3A3A3A"/>
          <w14:ligatures w14:val="standardContextual"/>
        </w:rPr>
        <w:t xml:space="preserve">of the </w:t>
      </w:r>
      <w:r>
        <w:rPr>
          <w:rFonts w:ascii="Arial" w:eastAsiaTheme="minorHAnsi" w:hAnsi="Arial" w:cs="Arial"/>
          <w:color w:val="3A3A3A"/>
          <w14:ligatures w14:val="standardContextual"/>
        </w:rPr>
        <w:t>s</w:t>
      </w:r>
      <w:r w:rsidRPr="00F16A24">
        <w:rPr>
          <w:rFonts w:ascii="Arial" w:eastAsiaTheme="minorHAnsi" w:hAnsi="Arial" w:cs="Arial"/>
          <w:color w:val="3A3A3A"/>
          <w14:ligatures w14:val="standardContextual"/>
        </w:rPr>
        <w:t>ubphylum</w:t>
      </w:r>
      <w:r>
        <w:rPr>
          <w:rFonts w:ascii="Arial" w:eastAsiaTheme="minorHAnsi" w:hAnsi="Arial" w:cs="Arial"/>
          <w:color w:val="3A3A3A"/>
          <w14:ligatures w14:val="standardContextual"/>
        </w:rPr>
        <w:t xml:space="preserve"> Crustacea; </w:t>
      </w:r>
      <w:r w:rsidRPr="002A22BC">
        <w:rPr>
          <w:rFonts w:ascii="Arial" w:eastAsiaTheme="minorHAnsi" w:hAnsi="Arial" w:cs="Arial"/>
          <w:color w:val="3A3A3A"/>
          <w14:ligatures w14:val="standardContextual"/>
        </w:rPr>
        <w:t xml:space="preserve">class </w:t>
      </w:r>
      <w:r>
        <w:rPr>
          <w:rFonts w:ascii="Arial" w:eastAsiaTheme="minorHAnsi" w:hAnsi="Arial" w:cs="Arial"/>
          <w:color w:val="3A3A3A"/>
          <w14:ligatures w14:val="standardContextual"/>
        </w:rPr>
        <w:t>Malacostraca;</w:t>
      </w:r>
      <w:r w:rsidRPr="002A22BC">
        <w:rPr>
          <w:rFonts w:ascii="Arial" w:eastAsiaTheme="minorHAnsi" w:hAnsi="Arial" w:cs="Arial"/>
          <w:color w:val="3A3A3A"/>
          <w14:ligatures w14:val="standardContextual"/>
        </w:rPr>
        <w:t xml:space="preserve"> order </w:t>
      </w:r>
      <w:r>
        <w:rPr>
          <w:rFonts w:ascii="Arial" w:eastAsiaTheme="minorHAnsi" w:hAnsi="Arial" w:cs="Arial"/>
          <w:color w:val="3A3A3A"/>
          <w14:ligatures w14:val="standardContextual"/>
        </w:rPr>
        <w:t>Decapoda;</w:t>
      </w:r>
      <w:r w:rsidRPr="00DB06D2">
        <w:rPr>
          <w:rFonts w:ascii="Arial" w:eastAsiaTheme="minorHAnsi" w:hAnsi="Arial" w:cs="Arial"/>
          <w:color w:val="3A3A3A"/>
          <w14:ligatures w14:val="standardContextual"/>
        </w:rPr>
        <w:t xml:space="preserve"> suborder </w:t>
      </w:r>
      <w:proofErr w:type="spellStart"/>
      <w:r>
        <w:rPr>
          <w:rFonts w:ascii="Arial" w:eastAsiaTheme="minorHAnsi" w:hAnsi="Arial" w:cs="Arial"/>
          <w:color w:val="3A3A3A"/>
          <w14:ligatures w14:val="standardContextual"/>
        </w:rPr>
        <w:t>Dendrobranchiata</w:t>
      </w:r>
      <w:proofErr w:type="spellEnd"/>
      <w:r w:rsidRPr="00DB06D2">
        <w:rPr>
          <w:rFonts w:ascii="Arial" w:eastAsiaTheme="minorHAnsi" w:hAnsi="Arial" w:cs="Arial"/>
          <w:color w:val="3A3A3A"/>
          <w14:ligatures w14:val="standardContextual"/>
        </w:rPr>
        <w:t xml:space="preserve">; superfamily </w:t>
      </w:r>
      <w:proofErr w:type="spellStart"/>
      <w:r>
        <w:rPr>
          <w:rFonts w:ascii="Arial" w:eastAsiaTheme="minorHAnsi" w:hAnsi="Arial" w:cs="Arial"/>
          <w:color w:val="3A3A3A"/>
          <w14:ligatures w14:val="standardContextual"/>
        </w:rPr>
        <w:t>Penaeoidea</w:t>
      </w:r>
      <w:proofErr w:type="spellEnd"/>
      <w:r w:rsidRPr="00DB06D2">
        <w:rPr>
          <w:rFonts w:ascii="Arial" w:eastAsiaTheme="minorHAnsi" w:hAnsi="Arial" w:cs="Arial"/>
          <w:color w:val="3A3A3A"/>
          <w14:ligatures w14:val="standardContextual"/>
        </w:rPr>
        <w:t xml:space="preserve">; family </w:t>
      </w:r>
      <w:proofErr w:type="spellStart"/>
      <w:r>
        <w:rPr>
          <w:rFonts w:ascii="Arial" w:eastAsiaTheme="minorHAnsi" w:hAnsi="Arial" w:cs="Arial"/>
          <w:color w:val="3A3A3A"/>
          <w14:ligatures w14:val="standardContextual"/>
        </w:rPr>
        <w:t>Penaeidae</w:t>
      </w:r>
      <w:proofErr w:type="spellEnd"/>
      <w:r>
        <w:rPr>
          <w:rFonts w:ascii="Arial" w:eastAsiaTheme="minorHAnsi" w:hAnsi="Arial" w:cs="Arial"/>
          <w:color w:val="3A3A3A"/>
          <w14:ligatures w14:val="standardContextual"/>
        </w:rPr>
        <w:t xml:space="preserve"> </w:t>
      </w:r>
      <w:r>
        <w:rPr>
          <w:rFonts w:ascii="Arial" w:eastAsiaTheme="minorHAnsi" w:hAnsi="Arial" w:cs="Arial"/>
          <w:noProof/>
          <w:color w:val="3A3A3A"/>
          <w14:ligatures w14:val="standardContextual"/>
        </w:rPr>
        <w:t xml:space="preserve">(Schoch CL </w:t>
      </w:r>
      <w:r w:rsidR="00BA632D" w:rsidRPr="00BA632D">
        <w:rPr>
          <w:rFonts w:ascii="Arial" w:eastAsiaTheme="minorHAnsi" w:hAnsi="Arial" w:cs="Arial"/>
          <w:i/>
          <w:iCs/>
          <w:noProof/>
          <w:color w:val="3A3A3A"/>
          <w14:ligatures w14:val="standardContextual"/>
        </w:rPr>
        <w:t>et al</w:t>
      </w:r>
      <w:r>
        <w:rPr>
          <w:rFonts w:ascii="Arial" w:eastAsiaTheme="minorHAnsi" w:hAnsi="Arial" w:cs="Arial"/>
          <w:noProof/>
          <w:color w:val="3A3A3A"/>
          <w14:ligatures w14:val="standardContextual"/>
        </w:rPr>
        <w:t>. 2020b)</w:t>
      </w:r>
      <w:r>
        <w:rPr>
          <w:rFonts w:ascii="Arial" w:eastAsiaTheme="minorHAnsi" w:hAnsi="Arial" w:cs="Arial"/>
          <w:color w:val="3A3A3A"/>
          <w14:ligatures w14:val="standardContextual"/>
        </w:rPr>
        <w:t>.</w:t>
      </w:r>
    </w:p>
    <w:p w14:paraId="36F735FB" w14:textId="2B6A5AF8" w:rsidR="00D53AFF" w:rsidRDefault="00D53AFF" w:rsidP="00CB2B46">
      <w:pPr>
        <w:autoSpaceDE w:val="0"/>
        <w:autoSpaceDN w:val="0"/>
        <w:adjustRightInd w:val="0"/>
        <w:spacing w:after="0" w:line="240" w:lineRule="auto"/>
        <w:ind w:firstLine="708"/>
        <w:jc w:val="both"/>
        <w:rPr>
          <w:rFonts w:ascii="Arial" w:eastAsiaTheme="minorHAnsi" w:hAnsi="Arial" w:cs="Arial"/>
          <w:color w:val="3A3A3A"/>
          <w14:ligatures w14:val="standardContextual"/>
        </w:rPr>
      </w:pPr>
      <w:r>
        <w:rPr>
          <w:rFonts w:ascii="Arial" w:eastAsiaTheme="minorHAnsi" w:hAnsi="Arial" w:cs="Arial"/>
          <w:color w:val="3A3A3A"/>
          <w14:ligatures w14:val="standardContextual"/>
        </w:rPr>
        <w:t xml:space="preserve">The first suspicion and evidence that house dust mites (HDM), from the genus </w:t>
      </w:r>
      <w:proofErr w:type="spellStart"/>
      <w:r w:rsidRPr="00B361A2">
        <w:rPr>
          <w:rFonts w:ascii="Arial" w:eastAsiaTheme="minorHAnsi" w:hAnsi="Arial" w:cs="Arial"/>
          <w:i/>
          <w:iCs/>
          <w:color w:val="3A3A3A"/>
          <w14:ligatures w14:val="standardContextual"/>
        </w:rPr>
        <w:t>Dermatophagoides</w:t>
      </w:r>
      <w:proofErr w:type="spellEnd"/>
      <w:r>
        <w:rPr>
          <w:rFonts w:ascii="Arial" w:eastAsiaTheme="minorHAnsi" w:hAnsi="Arial" w:cs="Arial"/>
          <w:i/>
          <w:iCs/>
          <w:color w:val="3A3A3A"/>
          <w14:ligatures w14:val="standardContextual"/>
        </w:rPr>
        <w:t>,</w:t>
      </w:r>
      <w:r>
        <w:rPr>
          <w:rFonts w:ascii="Arial" w:eastAsiaTheme="minorHAnsi" w:hAnsi="Arial" w:cs="Arial"/>
          <w:color w:val="3A3A3A"/>
          <w14:ligatures w14:val="standardContextual"/>
        </w:rPr>
        <w:t xml:space="preserve"> were causing respiratory allergies</w:t>
      </w:r>
      <w:r>
        <w:rPr>
          <w:rFonts w:ascii="Arial" w:eastAsiaTheme="minorHAnsi" w:hAnsi="Arial" w:cs="Arial"/>
          <w:i/>
          <w:iCs/>
          <w:color w:val="3A3A3A"/>
          <w14:ligatures w14:val="standardContextual"/>
        </w:rPr>
        <w:t xml:space="preserve"> </w:t>
      </w:r>
      <w:r>
        <w:rPr>
          <w:rFonts w:ascii="Arial" w:eastAsiaTheme="minorHAnsi" w:hAnsi="Arial" w:cs="Arial"/>
          <w:color w:val="3A3A3A"/>
          <w14:ligatures w14:val="standardContextual"/>
        </w:rPr>
        <w:t xml:space="preserve">were publicized in the mid-1960s </w:t>
      </w:r>
      <w:r>
        <w:rPr>
          <w:rFonts w:ascii="Arial" w:eastAsiaTheme="minorHAnsi" w:hAnsi="Arial" w:cs="Arial"/>
          <w:noProof/>
          <w:color w:val="3A3A3A"/>
          <w14:ligatures w14:val="standardContextual"/>
        </w:rPr>
        <w:t>(Voorhorst, Spieksma-Boezeman</w:t>
      </w:r>
      <w:r w:rsidR="008D5A42">
        <w:rPr>
          <w:rFonts w:ascii="Arial" w:eastAsiaTheme="minorHAnsi" w:hAnsi="Arial" w:cs="Arial"/>
          <w:noProof/>
          <w:color w:val="3A3A3A"/>
          <w14:ligatures w14:val="standardContextual"/>
        </w:rPr>
        <w:t>, and Spieksma, 1964; Fain,</w:t>
      </w:r>
      <w:r>
        <w:rPr>
          <w:rFonts w:ascii="Arial" w:eastAsiaTheme="minorHAnsi" w:hAnsi="Arial" w:cs="Arial"/>
          <w:noProof/>
          <w:color w:val="3A3A3A"/>
          <w14:ligatures w14:val="standardContextual"/>
        </w:rPr>
        <w:t xml:space="preserve"> 1966)</w:t>
      </w:r>
      <w:r>
        <w:rPr>
          <w:rFonts w:ascii="Arial" w:eastAsiaTheme="minorHAnsi" w:hAnsi="Arial" w:cs="Arial"/>
          <w:color w:val="3A3A3A"/>
          <w14:ligatures w14:val="standardContextual"/>
        </w:rPr>
        <w:t xml:space="preserve">. </w:t>
      </w:r>
      <w:r w:rsidRPr="00BD7BF9">
        <w:rPr>
          <w:rFonts w:ascii="Arial" w:eastAsiaTheme="minorHAnsi" w:hAnsi="Arial" w:cs="Arial"/>
          <w:color w:val="3A3A3A"/>
          <w14:ligatures w14:val="standardContextual"/>
        </w:rPr>
        <w:t>The</w:t>
      </w:r>
      <w:r>
        <w:rPr>
          <w:rFonts w:ascii="Arial" w:eastAsiaTheme="minorHAnsi" w:hAnsi="Arial" w:cs="Arial"/>
          <w:color w:val="3A3A3A"/>
          <w14:ligatures w14:val="standardContextual"/>
        </w:rPr>
        <w:t xml:space="preserve"> </w:t>
      </w:r>
      <w:r w:rsidRPr="00BD7BF9">
        <w:rPr>
          <w:rFonts w:ascii="Arial" w:eastAsiaTheme="minorHAnsi" w:hAnsi="Arial" w:cs="Arial"/>
          <w:color w:val="3A3A3A"/>
          <w14:ligatures w14:val="standardContextual"/>
        </w:rPr>
        <w:t xml:space="preserve">allergenicity of </w:t>
      </w:r>
      <w:r>
        <w:rPr>
          <w:rFonts w:ascii="Arial" w:eastAsiaTheme="minorHAnsi" w:hAnsi="Arial" w:cs="Arial"/>
          <w:color w:val="3A3A3A"/>
          <w14:ligatures w14:val="standardContextual"/>
        </w:rPr>
        <w:t>HDM</w:t>
      </w:r>
      <w:r w:rsidRPr="00BD7BF9">
        <w:rPr>
          <w:rFonts w:ascii="Arial" w:eastAsiaTheme="minorHAnsi" w:hAnsi="Arial" w:cs="Arial"/>
          <w:color w:val="3A3A3A"/>
          <w14:ligatures w14:val="standardContextual"/>
        </w:rPr>
        <w:t xml:space="preserve"> from the </w:t>
      </w:r>
      <w:proofErr w:type="spellStart"/>
      <w:r w:rsidRPr="00B361A2">
        <w:rPr>
          <w:rFonts w:ascii="Arial" w:eastAsiaTheme="minorHAnsi" w:hAnsi="Arial" w:cs="Arial"/>
          <w:i/>
          <w:iCs/>
          <w:color w:val="3A3A3A"/>
          <w14:ligatures w14:val="standardContextual"/>
        </w:rPr>
        <w:t>Blomia</w:t>
      </w:r>
      <w:proofErr w:type="spellEnd"/>
      <w:r w:rsidRPr="00BD7BF9">
        <w:rPr>
          <w:rFonts w:ascii="Arial" w:eastAsiaTheme="minorHAnsi" w:hAnsi="Arial" w:cs="Arial"/>
          <w:color w:val="3A3A3A"/>
          <w14:ligatures w14:val="standardContextual"/>
        </w:rPr>
        <w:t xml:space="preserve"> genus and </w:t>
      </w:r>
      <w:r>
        <w:rPr>
          <w:rFonts w:ascii="Arial" w:eastAsiaTheme="minorHAnsi" w:hAnsi="Arial" w:cs="Arial"/>
          <w:color w:val="3A3A3A"/>
          <w14:ligatures w14:val="standardContextual"/>
        </w:rPr>
        <w:t>its</w:t>
      </w:r>
      <w:r w:rsidRPr="00BD7BF9">
        <w:rPr>
          <w:rFonts w:ascii="Arial" w:eastAsiaTheme="minorHAnsi" w:hAnsi="Arial" w:cs="Arial"/>
          <w:color w:val="3A3A3A"/>
          <w14:ligatures w14:val="standardContextual"/>
        </w:rPr>
        <w:t xml:space="preserve"> cross-reactivity </w:t>
      </w:r>
      <w:r>
        <w:rPr>
          <w:rFonts w:ascii="Arial" w:eastAsiaTheme="minorHAnsi" w:hAnsi="Arial" w:cs="Arial"/>
          <w:color w:val="3A3A3A"/>
          <w14:ligatures w14:val="standardContextual"/>
        </w:rPr>
        <w:t>with other HDM</w:t>
      </w:r>
      <w:r w:rsidRPr="00BD7BF9">
        <w:rPr>
          <w:rFonts w:ascii="Arial" w:eastAsiaTheme="minorHAnsi" w:hAnsi="Arial" w:cs="Arial"/>
          <w:color w:val="3A3A3A"/>
          <w14:ligatures w14:val="standardContextual"/>
        </w:rPr>
        <w:t xml:space="preserve"> species</w:t>
      </w:r>
      <w:r>
        <w:rPr>
          <w:rFonts w:ascii="Arial" w:eastAsiaTheme="minorHAnsi" w:hAnsi="Arial" w:cs="Arial"/>
          <w:color w:val="3A3A3A"/>
          <w14:ligatures w14:val="standardContextual"/>
        </w:rPr>
        <w:t xml:space="preserve"> were</w:t>
      </w:r>
      <w:r w:rsidRPr="00BD7BF9">
        <w:rPr>
          <w:rFonts w:ascii="Arial" w:eastAsiaTheme="minorHAnsi" w:hAnsi="Arial" w:cs="Arial"/>
          <w:color w:val="3A3A3A"/>
          <w14:ligatures w14:val="standardContextual"/>
        </w:rPr>
        <w:t xml:space="preserve"> studied</w:t>
      </w:r>
      <w:r>
        <w:rPr>
          <w:rFonts w:ascii="Arial" w:eastAsiaTheme="minorHAnsi" w:hAnsi="Arial" w:cs="Arial"/>
          <w:color w:val="3A3A3A"/>
          <w14:ligatures w14:val="standardContextual"/>
        </w:rPr>
        <w:t xml:space="preserve"> using</w:t>
      </w:r>
      <w:r w:rsidRPr="00BD7BF9">
        <w:rPr>
          <w:rFonts w:ascii="Arial" w:eastAsiaTheme="minorHAnsi" w:hAnsi="Arial" w:cs="Arial"/>
          <w:color w:val="3A3A3A"/>
          <w14:ligatures w14:val="standardContextual"/>
        </w:rPr>
        <w:t xml:space="preserve"> </w:t>
      </w:r>
      <w:r w:rsidRPr="00B361A2">
        <w:rPr>
          <w:rFonts w:ascii="Arial" w:eastAsiaTheme="minorHAnsi" w:hAnsi="Arial" w:cs="Arial"/>
          <w:i/>
          <w:iCs/>
          <w:color w:val="3A3A3A"/>
          <w14:ligatures w14:val="standardContextual"/>
        </w:rPr>
        <w:t>in vitro</w:t>
      </w:r>
      <w:r w:rsidRPr="00BD7BF9">
        <w:rPr>
          <w:rFonts w:ascii="Arial" w:eastAsiaTheme="minorHAnsi" w:hAnsi="Arial" w:cs="Arial"/>
          <w:color w:val="3A3A3A"/>
          <w14:ligatures w14:val="standardContextual"/>
        </w:rPr>
        <w:t xml:space="preserve"> neutralization of skin-sensitizing antibod</w:t>
      </w:r>
      <w:r>
        <w:rPr>
          <w:rFonts w:ascii="Arial" w:eastAsiaTheme="minorHAnsi" w:hAnsi="Arial" w:cs="Arial"/>
          <w:color w:val="3A3A3A"/>
          <w14:ligatures w14:val="standardContextual"/>
        </w:rPr>
        <w:t>ies, as described in Japan in the late 1960</w:t>
      </w:r>
      <w:proofErr w:type="gramStart"/>
      <w:r>
        <w:rPr>
          <w:rFonts w:ascii="Arial" w:eastAsiaTheme="minorHAnsi" w:hAnsi="Arial" w:cs="Arial"/>
          <w:color w:val="3A3A3A"/>
          <w14:ligatures w14:val="standardContextual"/>
        </w:rPr>
        <w:t xml:space="preserve">s  </w:t>
      </w:r>
      <w:r>
        <w:rPr>
          <w:rFonts w:ascii="Arial" w:eastAsiaTheme="minorHAnsi" w:hAnsi="Arial" w:cs="Arial"/>
          <w:noProof/>
          <w:color w:val="3A3A3A"/>
          <w14:ligatures w14:val="standardContextual"/>
        </w:rPr>
        <w:t>(</w:t>
      </w:r>
      <w:proofErr w:type="gramEnd"/>
      <w:r>
        <w:rPr>
          <w:rFonts w:ascii="Arial" w:eastAsiaTheme="minorHAnsi" w:hAnsi="Arial" w:cs="Arial"/>
          <w:noProof/>
          <w:color w:val="3A3A3A"/>
          <w14:ligatures w14:val="standardContextual"/>
        </w:rPr>
        <w:t xml:space="preserve">Miyamoto </w:t>
      </w:r>
      <w:r w:rsidR="00BA632D" w:rsidRPr="00BA632D">
        <w:rPr>
          <w:rFonts w:ascii="Arial" w:eastAsiaTheme="minorHAnsi" w:hAnsi="Arial" w:cs="Arial"/>
          <w:i/>
          <w:iCs/>
          <w:noProof/>
          <w:color w:val="3A3A3A"/>
          <w14:ligatures w14:val="standardContextual"/>
        </w:rPr>
        <w:t>et al</w:t>
      </w:r>
      <w:r>
        <w:rPr>
          <w:rFonts w:ascii="Arial" w:eastAsiaTheme="minorHAnsi" w:hAnsi="Arial" w:cs="Arial"/>
          <w:noProof/>
          <w:color w:val="3A3A3A"/>
          <w14:ligatures w14:val="standardContextual"/>
        </w:rPr>
        <w:t>. 1969)</w:t>
      </w:r>
      <w:r>
        <w:rPr>
          <w:rFonts w:ascii="Arial" w:eastAsiaTheme="minorHAnsi" w:hAnsi="Arial" w:cs="Arial"/>
          <w:color w:val="3A3A3A"/>
          <w14:ligatures w14:val="standardContextual"/>
        </w:rPr>
        <w:t xml:space="preserve">. The species </w:t>
      </w:r>
      <w:proofErr w:type="spellStart"/>
      <w:r w:rsidRPr="00B361A2">
        <w:rPr>
          <w:rFonts w:ascii="Arial" w:eastAsiaTheme="minorHAnsi" w:hAnsi="Arial" w:cs="Arial"/>
          <w:i/>
          <w:iCs/>
          <w:color w:val="3A3A3A"/>
          <w14:ligatures w14:val="standardContextual"/>
        </w:rPr>
        <w:t>Blomia</w:t>
      </w:r>
      <w:proofErr w:type="spellEnd"/>
      <w:r w:rsidRPr="00B361A2">
        <w:rPr>
          <w:rFonts w:ascii="Arial" w:eastAsiaTheme="minorHAnsi" w:hAnsi="Arial" w:cs="Arial"/>
          <w:i/>
          <w:iCs/>
          <w:color w:val="3A3A3A"/>
          <w14:ligatures w14:val="standardContextual"/>
        </w:rPr>
        <w:t xml:space="preserve"> tropicalis</w:t>
      </w:r>
      <w:r>
        <w:rPr>
          <w:rFonts w:ascii="Arial" w:eastAsiaTheme="minorHAnsi" w:hAnsi="Arial" w:cs="Arial"/>
          <w:color w:val="3A3A3A"/>
          <w14:ligatures w14:val="standardContextual"/>
        </w:rPr>
        <w:t xml:space="preserve"> was described in the early 1970s as a</w:t>
      </w:r>
      <w:r w:rsidR="00975B0F">
        <w:rPr>
          <w:rFonts w:ascii="Arial" w:eastAsiaTheme="minorHAnsi" w:hAnsi="Arial" w:cs="Arial"/>
          <w:color w:val="3A3A3A"/>
          <w14:ligatures w14:val="standardContextual"/>
        </w:rPr>
        <w:t xml:space="preserve"> dust and storage mite</w:t>
      </w:r>
      <w:r>
        <w:rPr>
          <w:rFonts w:ascii="Arial" w:eastAsiaTheme="minorHAnsi" w:hAnsi="Arial" w:cs="Arial"/>
          <w:color w:val="3A3A3A"/>
          <w14:ligatures w14:val="standardContextual"/>
        </w:rPr>
        <w:t xml:space="preserve"> </w:t>
      </w:r>
      <w:r w:rsidR="00975B0F">
        <w:rPr>
          <w:rFonts w:ascii="Arial" w:eastAsiaTheme="minorHAnsi" w:hAnsi="Arial" w:cs="Arial"/>
          <w:color w:val="3A3A3A"/>
          <w14:ligatures w14:val="standardContextual"/>
        </w:rPr>
        <w:t>found in tropical and subtropical regions (van Bronswijk, de Cock, and Oshima,</w:t>
      </w:r>
      <w:r>
        <w:rPr>
          <w:rFonts w:ascii="Arial" w:eastAsiaTheme="minorHAnsi" w:hAnsi="Arial" w:cs="Arial"/>
          <w:noProof/>
          <w:color w:val="3A3A3A"/>
          <w14:ligatures w14:val="standardContextual"/>
        </w:rPr>
        <w:t xml:space="preserve"> 1973)</w:t>
      </w:r>
      <w:r>
        <w:rPr>
          <w:rFonts w:ascii="Arial" w:eastAsiaTheme="minorHAnsi" w:hAnsi="Arial" w:cs="Arial"/>
          <w:color w:val="3A3A3A"/>
          <w14:ligatures w14:val="standardContextual"/>
        </w:rPr>
        <w:t xml:space="preserve">. Soon, several reports </w:t>
      </w:r>
      <w:r w:rsidR="008D5A42">
        <w:rPr>
          <w:rFonts w:ascii="Arial" w:eastAsiaTheme="minorHAnsi" w:hAnsi="Arial" w:cs="Arial"/>
          <w:color w:val="3A3A3A"/>
          <w14:ligatures w14:val="standardContextual"/>
        </w:rPr>
        <w:t xml:space="preserve">on the allergenicity of </w:t>
      </w:r>
      <w:proofErr w:type="spellStart"/>
      <w:r w:rsidR="008D5A42">
        <w:rPr>
          <w:rFonts w:ascii="Arial" w:eastAsiaTheme="minorHAnsi" w:hAnsi="Arial" w:cs="Arial"/>
          <w:color w:val="3A3A3A"/>
          <w14:ligatures w14:val="standardContextual"/>
        </w:rPr>
        <w:t>Blomia</w:t>
      </w:r>
      <w:proofErr w:type="spellEnd"/>
      <w:r w:rsidR="008D5A42">
        <w:rPr>
          <w:rFonts w:ascii="Arial" w:eastAsiaTheme="minorHAnsi" w:hAnsi="Arial" w:cs="Arial"/>
          <w:color w:val="3A3A3A"/>
          <w14:ligatures w14:val="standardContextual"/>
        </w:rPr>
        <w:t xml:space="preserve"> tropicalis in Western tropical countries were also published (Fernández-Caldas et al., 1990; Fernández-Caldas et al., 1993; Chew et al., 1999; </w:t>
      </w:r>
      <w:proofErr w:type="spellStart"/>
      <w:r w:rsidR="008D5A42">
        <w:rPr>
          <w:rFonts w:ascii="Arial" w:eastAsiaTheme="minorHAnsi" w:hAnsi="Arial" w:cs="Arial"/>
          <w:color w:val="3A3A3A"/>
          <w14:ligatures w14:val="standardContextual"/>
        </w:rPr>
        <w:t>Baqueiro</w:t>
      </w:r>
      <w:proofErr w:type="spellEnd"/>
      <w:r w:rsidR="008D5A42">
        <w:rPr>
          <w:rFonts w:ascii="Arial" w:eastAsiaTheme="minorHAnsi" w:hAnsi="Arial" w:cs="Arial"/>
          <w:color w:val="3A3A3A"/>
          <w14:ligatures w14:val="standardContextual"/>
        </w:rPr>
        <w:t xml:space="preserve"> et al.,</w:t>
      </w:r>
      <w:r>
        <w:rPr>
          <w:rFonts w:ascii="Arial" w:eastAsiaTheme="minorHAnsi" w:hAnsi="Arial" w:cs="Arial"/>
          <w:noProof/>
          <w:color w:val="3A3A3A"/>
          <w14:ligatures w14:val="standardContextual"/>
        </w:rPr>
        <w:t xml:space="preserve"> 2006)</w:t>
      </w:r>
      <w:r>
        <w:rPr>
          <w:rFonts w:ascii="Arial" w:eastAsiaTheme="minorHAnsi" w:hAnsi="Arial" w:cs="Arial"/>
          <w:color w:val="3A3A3A"/>
          <w14:ligatures w14:val="standardContextual"/>
        </w:rPr>
        <w:t>.</w:t>
      </w:r>
    </w:p>
    <w:p w14:paraId="44DEA571" w14:textId="7531B18F" w:rsidR="00D53AFF" w:rsidRDefault="00D53AFF" w:rsidP="00972D0E">
      <w:pPr>
        <w:autoSpaceDE w:val="0"/>
        <w:autoSpaceDN w:val="0"/>
        <w:adjustRightInd w:val="0"/>
        <w:spacing w:after="0" w:line="240" w:lineRule="auto"/>
        <w:ind w:firstLine="708"/>
        <w:jc w:val="both"/>
        <w:rPr>
          <w:rFonts w:ascii="Arial" w:eastAsiaTheme="minorHAnsi" w:hAnsi="Arial" w:cs="Arial"/>
          <w:color w:val="3A3A3A"/>
          <w14:ligatures w14:val="standardContextual"/>
        </w:rPr>
      </w:pPr>
      <w:r>
        <w:rPr>
          <w:rFonts w:ascii="Arial" w:eastAsiaTheme="minorHAnsi" w:hAnsi="Arial" w:cs="Arial"/>
          <w:color w:val="3A3A3A"/>
          <w14:ligatures w14:val="standardContextual"/>
        </w:rPr>
        <w:t xml:space="preserve">Almost six decades after the discovery of their causality </w:t>
      </w:r>
      <w:r w:rsidR="008D5A42">
        <w:rPr>
          <w:rFonts w:ascii="Arial" w:eastAsiaTheme="minorHAnsi" w:hAnsi="Arial" w:cs="Arial"/>
          <w:color w:val="3A3A3A"/>
          <w14:ligatures w14:val="standardContextual"/>
        </w:rPr>
        <w:t xml:space="preserve">in respiratory allergies, several reports have indicated that food contamination with HDM, including </w:t>
      </w:r>
      <w:proofErr w:type="spellStart"/>
      <w:r w:rsidR="008D5A42">
        <w:rPr>
          <w:rFonts w:ascii="Arial" w:eastAsiaTheme="minorHAnsi" w:hAnsi="Arial" w:cs="Arial"/>
          <w:color w:val="3A3A3A"/>
          <w14:ligatures w14:val="standardContextual"/>
        </w:rPr>
        <w:t>Blomia</w:t>
      </w:r>
      <w:proofErr w:type="spellEnd"/>
      <w:r w:rsidR="008D5A42">
        <w:rPr>
          <w:rFonts w:ascii="Arial" w:eastAsiaTheme="minorHAnsi" w:hAnsi="Arial" w:cs="Arial"/>
          <w:color w:val="3A3A3A"/>
          <w14:ligatures w14:val="standardContextual"/>
        </w:rPr>
        <w:t xml:space="preserve"> tropicalis, also produces urticaria and anaphylaxis and is associated with hypersensitivity to non-steroidal anti-inflammatory drugs (Sánchez-Borges et al., 2013; Barrera-de-Pino, Murgas, and Miranda,</w:t>
      </w:r>
      <w:r>
        <w:rPr>
          <w:rFonts w:ascii="Arial" w:eastAsiaTheme="minorHAnsi" w:hAnsi="Arial" w:cs="Arial"/>
          <w:noProof/>
          <w:color w:val="3A3A3A"/>
          <w14:ligatures w14:val="standardContextual"/>
        </w:rPr>
        <w:t xml:space="preserve"> 2012)</w:t>
      </w:r>
      <w:r>
        <w:rPr>
          <w:rFonts w:ascii="Arial" w:eastAsiaTheme="minorHAnsi" w:hAnsi="Arial" w:cs="Arial"/>
          <w:color w:val="3A3A3A"/>
          <w14:ligatures w14:val="standardContextual"/>
        </w:rPr>
        <w:t xml:space="preserve">. After that, it was noticed that the HDM, including </w:t>
      </w:r>
      <w:proofErr w:type="spellStart"/>
      <w:r w:rsidRPr="00382D76">
        <w:rPr>
          <w:rFonts w:ascii="Arial" w:eastAsiaTheme="minorHAnsi" w:hAnsi="Arial" w:cs="Arial"/>
          <w:i/>
          <w:iCs/>
          <w:color w:val="3A3A3A"/>
          <w14:ligatures w14:val="standardContextual"/>
        </w:rPr>
        <w:t>Blomia</w:t>
      </w:r>
      <w:proofErr w:type="spellEnd"/>
      <w:r w:rsidRPr="00382D76">
        <w:rPr>
          <w:rFonts w:ascii="Arial" w:eastAsiaTheme="minorHAnsi" w:hAnsi="Arial" w:cs="Arial"/>
          <w:i/>
          <w:iCs/>
          <w:color w:val="3A3A3A"/>
          <w14:ligatures w14:val="standardContextual"/>
        </w:rPr>
        <w:t xml:space="preserve"> tropicalis</w:t>
      </w:r>
      <w:r>
        <w:rPr>
          <w:rFonts w:ascii="Arial" w:eastAsiaTheme="minorHAnsi" w:hAnsi="Arial" w:cs="Arial"/>
          <w:color w:val="3A3A3A"/>
          <w14:ligatures w14:val="standardContextual"/>
        </w:rPr>
        <w:t xml:space="preserve">, also produced Atopic Dermatitis </w:t>
      </w:r>
      <w:r>
        <w:rPr>
          <w:rFonts w:ascii="Arial" w:eastAsiaTheme="minorHAnsi" w:hAnsi="Arial" w:cs="Arial"/>
          <w:noProof/>
          <w:color w:val="3A3A3A"/>
          <w14:ligatures w14:val="standardContextual"/>
        </w:rPr>
        <w:t xml:space="preserve">(Emran </w:t>
      </w:r>
      <w:r w:rsidR="00BA632D" w:rsidRPr="00BA632D">
        <w:rPr>
          <w:rFonts w:ascii="Arial" w:eastAsiaTheme="minorHAnsi" w:hAnsi="Arial" w:cs="Arial"/>
          <w:i/>
          <w:iCs/>
          <w:noProof/>
          <w:color w:val="3A3A3A"/>
          <w14:ligatures w14:val="standardContextual"/>
        </w:rPr>
        <w:t>et al</w:t>
      </w:r>
      <w:r>
        <w:rPr>
          <w:rFonts w:ascii="Arial" w:eastAsiaTheme="minorHAnsi" w:hAnsi="Arial" w:cs="Arial"/>
          <w:noProof/>
          <w:color w:val="3A3A3A"/>
          <w14:ligatures w14:val="standardContextual"/>
        </w:rPr>
        <w:t>. 2019)</w:t>
      </w:r>
      <w:r>
        <w:rPr>
          <w:rFonts w:ascii="Arial" w:eastAsiaTheme="minorHAnsi" w:hAnsi="Arial" w:cs="Arial"/>
          <w:color w:val="3A3A3A"/>
          <w14:ligatures w14:val="standardContextual"/>
        </w:rPr>
        <w:t xml:space="preserve">. </w:t>
      </w:r>
    </w:p>
    <w:p w14:paraId="2C7DAFED" w14:textId="29F1414D" w:rsidR="00D53AFF" w:rsidRDefault="00D53AFF" w:rsidP="00D4065A">
      <w:pPr>
        <w:spacing w:after="0" w:line="240" w:lineRule="auto"/>
        <w:jc w:val="both"/>
        <w:rPr>
          <w:rFonts w:ascii="Arial" w:eastAsia="Times New Roman" w:hAnsi="Arial" w:cs="Arial"/>
        </w:rPr>
      </w:pPr>
      <w:r w:rsidRPr="00DB06D2">
        <w:rPr>
          <w:rFonts w:ascii="Arial" w:eastAsia="Times New Roman" w:hAnsi="Arial" w:cs="Arial"/>
          <w:color w:val="FF0000"/>
        </w:rPr>
        <w:tab/>
      </w:r>
      <w:r w:rsidRPr="00DB06D2">
        <w:rPr>
          <w:rFonts w:ascii="Arial" w:eastAsia="Times New Roman" w:hAnsi="Arial" w:cs="Arial"/>
        </w:rPr>
        <w:t xml:space="preserve">The Allergen Nomenclature Sub-Committee of the World Health Organization and </w:t>
      </w:r>
      <w:r w:rsidR="008D5A42">
        <w:rPr>
          <w:rFonts w:ascii="Arial" w:eastAsia="Times New Roman" w:hAnsi="Arial" w:cs="Arial"/>
        </w:rPr>
        <w:t xml:space="preserve">the International Union of Immunological Societies (WHO/IUIS) has recognized twenty-six allergens to date, </w:t>
      </w:r>
      <w:r w:rsidR="00975B0F">
        <w:rPr>
          <w:rFonts w:ascii="Arial" w:eastAsia="Times New Roman" w:hAnsi="Arial" w:cs="Arial"/>
        </w:rPr>
        <w:t xml:space="preserve">ranging in molecular weight from 7 to 110 </w:t>
      </w:r>
      <w:proofErr w:type="spellStart"/>
      <w:r w:rsidR="00975B0F">
        <w:rPr>
          <w:rFonts w:ascii="Arial" w:eastAsia="Times New Roman" w:hAnsi="Arial" w:cs="Arial"/>
        </w:rPr>
        <w:t>kDa</w:t>
      </w:r>
      <w:proofErr w:type="spellEnd"/>
      <w:r w:rsidR="00975B0F">
        <w:rPr>
          <w:rFonts w:ascii="Arial" w:eastAsia="Times New Roman" w:hAnsi="Arial" w:cs="Arial"/>
        </w:rPr>
        <w:t>, which have been</w:t>
      </w:r>
      <w:r w:rsidR="008D5A42">
        <w:rPr>
          <w:rFonts w:ascii="Arial" w:eastAsia="Times New Roman" w:hAnsi="Arial" w:cs="Arial"/>
        </w:rPr>
        <w:t xml:space="preserve"> identified in </w:t>
      </w:r>
      <w:proofErr w:type="spellStart"/>
      <w:r w:rsidR="008D5A42" w:rsidRPr="004B4897">
        <w:rPr>
          <w:rFonts w:ascii="Arial" w:eastAsia="Times New Roman" w:hAnsi="Arial" w:cs="Arial"/>
          <w:i/>
          <w:iCs/>
        </w:rPr>
        <w:t>Blomia</w:t>
      </w:r>
      <w:proofErr w:type="spellEnd"/>
      <w:r w:rsidR="008D5A42" w:rsidRPr="004B4897">
        <w:rPr>
          <w:rFonts w:ascii="Arial" w:eastAsia="Times New Roman" w:hAnsi="Arial" w:cs="Arial"/>
          <w:i/>
          <w:iCs/>
        </w:rPr>
        <w:t xml:space="preserve"> tropicalis</w:t>
      </w:r>
      <w:r w:rsidR="008D5A42">
        <w:rPr>
          <w:rFonts w:ascii="Arial" w:eastAsia="Times New Roman" w:hAnsi="Arial" w:cs="Arial"/>
        </w:rPr>
        <w:t xml:space="preserve"> (Sub-Committee, 2025</w:t>
      </w:r>
      <w:r w:rsidR="000E4D61">
        <w:rPr>
          <w:rFonts w:ascii="Arial" w:eastAsia="Times New Roman" w:hAnsi="Arial" w:cs="Arial"/>
        </w:rPr>
        <w:t>a</w:t>
      </w:r>
      <w:r w:rsidR="008D5A42">
        <w:rPr>
          <w:rFonts w:ascii="Arial" w:eastAsia="Times New Roman" w:hAnsi="Arial" w:cs="Arial"/>
        </w:rPr>
        <w:t>; Chua et al.,</w:t>
      </w:r>
      <w:r>
        <w:rPr>
          <w:rFonts w:ascii="Arial" w:eastAsia="Times New Roman" w:hAnsi="Arial" w:cs="Arial"/>
          <w:noProof/>
        </w:rPr>
        <w:t xml:space="preserve"> 2007)</w:t>
      </w:r>
      <w:r w:rsidRPr="00DB06D2">
        <w:rPr>
          <w:rFonts w:ascii="Arial" w:eastAsia="Times New Roman" w:hAnsi="Arial" w:cs="Arial"/>
        </w:rPr>
        <w:t>.</w:t>
      </w:r>
      <w:r>
        <w:rPr>
          <w:rFonts w:ascii="Arial" w:eastAsia="Times New Roman" w:hAnsi="Arial" w:cs="Arial"/>
        </w:rPr>
        <w:t xml:space="preserve"> </w:t>
      </w:r>
    </w:p>
    <w:p w14:paraId="6CD2E2B3" w14:textId="1ADB5570" w:rsidR="00D53AFF" w:rsidRPr="000728C8" w:rsidRDefault="00D53AFF" w:rsidP="000728C8">
      <w:pPr>
        <w:spacing w:after="0" w:line="240" w:lineRule="auto"/>
        <w:ind w:firstLine="708"/>
        <w:jc w:val="both"/>
        <w:rPr>
          <w:rFonts w:ascii="Arial" w:eastAsia="Times New Roman" w:hAnsi="Arial" w:cs="Arial"/>
        </w:rPr>
      </w:pPr>
      <w:r w:rsidRPr="00EA0D90">
        <w:rPr>
          <w:rFonts w:ascii="Arial" w:eastAsiaTheme="minorHAnsi" w:hAnsi="Arial" w:cs="Arial"/>
          <w14:ligatures w14:val="standardContextual"/>
        </w:rPr>
        <w:t>Tropomyosin is</w:t>
      </w:r>
      <w:r>
        <w:rPr>
          <w:rFonts w:ascii="Arial" w:eastAsiaTheme="minorHAnsi" w:hAnsi="Arial" w:cs="Arial"/>
          <w14:ligatures w14:val="standardContextual"/>
        </w:rPr>
        <w:t xml:space="preserve"> a phylogenetically</w:t>
      </w:r>
      <w:r w:rsidRPr="00EA0D90">
        <w:rPr>
          <w:rFonts w:ascii="Arial" w:eastAsiaTheme="minorHAnsi" w:hAnsi="Arial" w:cs="Arial"/>
          <w14:ligatures w14:val="standardContextual"/>
        </w:rPr>
        <w:t xml:space="preserve"> conserved </w:t>
      </w:r>
      <w:r w:rsidRPr="00382D0D">
        <w:rPr>
          <w:rFonts w:ascii="Arial" w:eastAsiaTheme="minorHAnsi" w:hAnsi="Arial" w:cs="Arial"/>
          <w14:ligatures w14:val="standardContextual"/>
        </w:rPr>
        <w:t>heat-stable alpha-helical coiled-coil dimeric</w:t>
      </w:r>
      <w:r>
        <w:rPr>
          <w:rFonts w:ascii="Arial" w:eastAsiaTheme="minorHAnsi" w:hAnsi="Arial" w:cs="Arial"/>
          <w14:ligatures w14:val="standardContextual"/>
        </w:rPr>
        <w:t xml:space="preserve"> </w:t>
      </w:r>
      <w:r w:rsidRPr="00EA0D90">
        <w:rPr>
          <w:rFonts w:ascii="Arial" w:eastAsiaTheme="minorHAnsi" w:hAnsi="Arial" w:cs="Arial"/>
          <w14:ligatures w14:val="standardContextual"/>
        </w:rPr>
        <w:t xml:space="preserve">protein found in vertebrates and invertebrates </w:t>
      </w:r>
      <w:r>
        <w:rPr>
          <w:rFonts w:ascii="Arial" w:eastAsiaTheme="minorHAnsi" w:hAnsi="Arial" w:cs="Arial"/>
          <w14:ligatures w14:val="standardContextual"/>
        </w:rPr>
        <w:t>that</w:t>
      </w:r>
      <w:r w:rsidRPr="00EA0D90">
        <w:rPr>
          <w:rFonts w:ascii="Arial" w:eastAsiaTheme="minorHAnsi" w:hAnsi="Arial" w:cs="Arial"/>
          <w14:ligatures w14:val="standardContextual"/>
        </w:rPr>
        <w:t xml:space="preserve"> interacts with actin</w:t>
      </w:r>
      <w:r>
        <w:rPr>
          <w:rFonts w:ascii="Arial" w:eastAsiaTheme="minorHAnsi" w:hAnsi="Arial" w:cs="Arial"/>
          <w14:ligatures w14:val="standardContextual"/>
        </w:rPr>
        <w:t>,</w:t>
      </w:r>
      <w:r w:rsidRPr="00EA0D90">
        <w:rPr>
          <w:rFonts w:ascii="Arial" w:eastAsiaTheme="minorHAnsi" w:hAnsi="Arial" w:cs="Arial"/>
          <w14:ligatures w14:val="standardContextual"/>
        </w:rPr>
        <w:t xml:space="preserve"> producing muscle contraction </w:t>
      </w:r>
      <w:r>
        <w:rPr>
          <w:rFonts w:ascii="Arial" w:eastAsiaTheme="minorHAnsi" w:hAnsi="Arial" w:cs="Arial"/>
          <w:noProof/>
          <w14:ligatures w14:val="standardContextual"/>
        </w:rPr>
        <w:t>(Bailey 1946)</w:t>
      </w:r>
      <w:r>
        <w:rPr>
          <w:rFonts w:ascii="Arial" w:eastAsiaTheme="minorHAnsi" w:hAnsi="Arial" w:cs="Arial"/>
          <w14:ligatures w14:val="standardContextual"/>
        </w:rPr>
        <w:t xml:space="preserve"> </w:t>
      </w:r>
      <w:r>
        <w:rPr>
          <w:rFonts w:ascii="Arial" w:eastAsiaTheme="minorHAnsi" w:hAnsi="Arial" w:cs="Arial"/>
          <w:noProof/>
          <w14:ligatures w14:val="standardContextual"/>
        </w:rPr>
        <w:t>(Reese, Ayuso</w:t>
      </w:r>
      <w:r w:rsidR="008D5A42">
        <w:rPr>
          <w:rFonts w:ascii="Arial" w:eastAsiaTheme="minorHAnsi" w:hAnsi="Arial" w:cs="Arial"/>
          <w:noProof/>
          <w14:ligatures w14:val="standardContextual"/>
        </w:rPr>
        <w:t>,</w:t>
      </w:r>
      <w:r>
        <w:rPr>
          <w:rFonts w:ascii="Arial" w:eastAsiaTheme="minorHAnsi" w:hAnsi="Arial" w:cs="Arial"/>
          <w:noProof/>
          <w14:ligatures w14:val="standardContextual"/>
        </w:rPr>
        <w:t xml:space="preserve"> and Lehrer 1999)</w:t>
      </w:r>
      <w:r w:rsidRPr="00EA0D90">
        <w:rPr>
          <w:rFonts w:ascii="Arial" w:eastAsiaTheme="minorHAnsi" w:hAnsi="Arial" w:cs="Arial"/>
          <w14:ligatures w14:val="standardContextual"/>
        </w:rPr>
        <w:t xml:space="preserve">. </w:t>
      </w:r>
      <w:r w:rsidRPr="00461172">
        <w:rPr>
          <w:rFonts w:ascii="Arial" w:eastAsiaTheme="minorHAnsi" w:hAnsi="Arial" w:cs="Arial"/>
          <w14:ligatures w14:val="standardContextual"/>
        </w:rPr>
        <w:t>Tropomyosin homologs are defined as the group 10 HDM allergens</w:t>
      </w:r>
      <w:r>
        <w:rPr>
          <w:rFonts w:ascii="Arial" w:eastAsiaTheme="minorHAnsi" w:hAnsi="Arial" w:cs="Arial"/>
          <w14:ligatures w14:val="standardContextual"/>
        </w:rPr>
        <w:t>,</w:t>
      </w:r>
      <w:r w:rsidRPr="00461172">
        <w:rPr>
          <w:rFonts w:ascii="Arial" w:eastAsiaTheme="minorHAnsi" w:hAnsi="Arial" w:cs="Arial"/>
          <w14:ligatures w14:val="standardContextual"/>
        </w:rPr>
        <w:t xml:space="preserve"> and Blo t 10 is the </w:t>
      </w:r>
      <w:proofErr w:type="spellStart"/>
      <w:r w:rsidRPr="00461172">
        <w:rPr>
          <w:rFonts w:ascii="Arial" w:eastAsiaTheme="minorHAnsi" w:hAnsi="Arial" w:cs="Arial"/>
          <w:i/>
          <w:iCs/>
          <w14:ligatures w14:val="standardContextual"/>
        </w:rPr>
        <w:t>Blomia</w:t>
      </w:r>
      <w:proofErr w:type="spellEnd"/>
      <w:r w:rsidRPr="00461172">
        <w:rPr>
          <w:rFonts w:ascii="Arial" w:eastAsiaTheme="minorHAnsi" w:hAnsi="Arial" w:cs="Arial"/>
          <w:i/>
          <w:iCs/>
          <w14:ligatures w14:val="standardContextual"/>
        </w:rPr>
        <w:t xml:space="preserve"> tropicalis</w:t>
      </w:r>
      <w:r w:rsidRPr="00461172">
        <w:rPr>
          <w:rFonts w:ascii="Arial" w:eastAsiaTheme="minorHAnsi" w:hAnsi="Arial" w:cs="Arial"/>
          <w14:ligatures w14:val="standardContextual"/>
        </w:rPr>
        <w:t xml:space="preserve"> tropomyosin, sharing amino acid sequence homology with several forms of </w:t>
      </w:r>
      <w:proofErr w:type="spellStart"/>
      <w:r w:rsidRPr="00461172">
        <w:rPr>
          <w:rFonts w:ascii="Arial" w:eastAsiaTheme="minorHAnsi" w:hAnsi="Arial" w:cs="Arial"/>
          <w14:ligatures w14:val="standardContextual"/>
        </w:rPr>
        <w:t>tropomyosins</w:t>
      </w:r>
      <w:proofErr w:type="spellEnd"/>
      <w:r w:rsidRPr="00461172">
        <w:rPr>
          <w:rFonts w:ascii="Arial" w:eastAsiaTheme="minorHAnsi" w:hAnsi="Arial" w:cs="Arial"/>
          <w14:ligatures w14:val="standardContextual"/>
        </w:rPr>
        <w:t xml:space="preserve"> that are involved in cross-reactivity with mites, cockroaches, shrimps, snails, oysters, crabs, lobsters, squids</w:t>
      </w:r>
      <w:r w:rsidR="008D5A42">
        <w:rPr>
          <w:rFonts w:ascii="Arial" w:eastAsiaTheme="minorHAnsi" w:hAnsi="Arial" w:cs="Arial"/>
          <w14:ligatures w14:val="standardContextual"/>
        </w:rPr>
        <w:t>,</w:t>
      </w:r>
      <w:r w:rsidRPr="00461172">
        <w:rPr>
          <w:rFonts w:ascii="Arial" w:eastAsiaTheme="minorHAnsi" w:hAnsi="Arial" w:cs="Arial"/>
          <w14:ligatures w14:val="standardContextual"/>
        </w:rPr>
        <w:t xml:space="preserve"> and other invertebrates </w:t>
      </w:r>
      <w:r>
        <w:rPr>
          <w:rFonts w:ascii="Arial" w:eastAsiaTheme="minorHAnsi" w:hAnsi="Arial" w:cs="Arial"/>
          <w:noProof/>
          <w14:ligatures w14:val="standardContextual"/>
        </w:rPr>
        <w:t xml:space="preserve">(Martínez </w:t>
      </w:r>
      <w:r w:rsidR="00BA632D" w:rsidRPr="00BA632D">
        <w:rPr>
          <w:rFonts w:ascii="Arial" w:eastAsiaTheme="minorHAnsi" w:hAnsi="Arial" w:cs="Arial"/>
          <w:i/>
          <w:iCs/>
          <w:noProof/>
          <w14:ligatures w14:val="standardContextual"/>
        </w:rPr>
        <w:t>et al</w:t>
      </w:r>
      <w:r>
        <w:rPr>
          <w:rFonts w:ascii="Arial" w:eastAsiaTheme="minorHAnsi" w:hAnsi="Arial" w:cs="Arial"/>
          <w:noProof/>
          <w14:ligatures w14:val="standardContextual"/>
        </w:rPr>
        <w:t>. 2024, Papia, Bellia and Uasuf 2021)</w:t>
      </w:r>
      <w:r w:rsidRPr="00461172">
        <w:rPr>
          <w:rFonts w:ascii="Arial" w:eastAsiaTheme="minorHAnsi" w:hAnsi="Arial" w:cs="Arial"/>
          <w14:ligatures w14:val="standardContextual"/>
        </w:rPr>
        <w:t>.</w:t>
      </w:r>
    </w:p>
    <w:p w14:paraId="714FD16E" w14:textId="6B697BF5" w:rsidR="00D53AFF" w:rsidRPr="005C4ED4" w:rsidRDefault="00D53AFF" w:rsidP="00B6336E">
      <w:pPr>
        <w:autoSpaceDE w:val="0"/>
        <w:autoSpaceDN w:val="0"/>
        <w:adjustRightInd w:val="0"/>
        <w:spacing w:after="0" w:line="240" w:lineRule="auto"/>
        <w:ind w:firstLine="708"/>
        <w:jc w:val="both"/>
        <w:rPr>
          <w:rFonts w:ascii="Arial" w:eastAsiaTheme="minorHAnsi" w:hAnsi="Arial" w:cs="Arial"/>
          <w14:ligatures w14:val="standardContextual"/>
        </w:rPr>
      </w:pPr>
      <w:r w:rsidRPr="00197423">
        <w:rPr>
          <w:rFonts w:ascii="Arial" w:eastAsiaTheme="minorHAnsi" w:hAnsi="Arial" w:cs="Arial"/>
          <w14:ligatures w14:val="standardContextual"/>
        </w:rPr>
        <w:t xml:space="preserve"> </w:t>
      </w:r>
      <w:r>
        <w:rPr>
          <w:rFonts w:ascii="Arial" w:eastAsia="Times New Roman" w:hAnsi="Arial" w:cs="Arial"/>
        </w:rPr>
        <w:t xml:space="preserve">Tropomyosin is the major allergen of crustaceans from the genus Penaeus </w:t>
      </w:r>
      <w:r>
        <w:rPr>
          <w:rFonts w:ascii="Arial" w:eastAsia="Times New Roman" w:hAnsi="Arial" w:cs="Arial"/>
          <w:noProof/>
        </w:rPr>
        <w:t xml:space="preserve">(Daul </w:t>
      </w:r>
      <w:r w:rsidR="00BA632D" w:rsidRPr="00BA632D">
        <w:rPr>
          <w:rFonts w:ascii="Arial" w:eastAsia="Times New Roman" w:hAnsi="Arial" w:cs="Arial"/>
          <w:i/>
          <w:iCs/>
          <w:noProof/>
        </w:rPr>
        <w:t>et al</w:t>
      </w:r>
      <w:r>
        <w:rPr>
          <w:rFonts w:ascii="Arial" w:eastAsia="Times New Roman" w:hAnsi="Arial" w:cs="Arial"/>
          <w:noProof/>
        </w:rPr>
        <w:t>. 1994)</w:t>
      </w:r>
      <w:r>
        <w:rPr>
          <w:rFonts w:ascii="Arial" w:eastAsia="Times New Roman" w:hAnsi="Arial" w:cs="Arial"/>
        </w:rPr>
        <w:t>.</w:t>
      </w:r>
      <w:r>
        <w:rPr>
          <w:rFonts w:ascii="Arial" w:eastAsiaTheme="minorHAnsi" w:hAnsi="Arial" w:cs="Arial"/>
          <w14:ligatures w14:val="standardContextual"/>
        </w:rPr>
        <w:t xml:space="preserve"> </w:t>
      </w:r>
      <w:r w:rsidRPr="00197423">
        <w:rPr>
          <w:rFonts w:ascii="Arial" w:eastAsiaTheme="minorHAnsi" w:hAnsi="Arial" w:cs="Arial"/>
          <w14:ligatures w14:val="standardContextual"/>
        </w:rPr>
        <w:t xml:space="preserve">Tropomyosin is </w:t>
      </w:r>
      <w:r>
        <w:rPr>
          <w:rFonts w:ascii="Arial" w:eastAsiaTheme="minorHAnsi" w:hAnsi="Arial" w:cs="Arial"/>
          <w14:ligatures w14:val="standardContextual"/>
        </w:rPr>
        <w:t xml:space="preserve">considered a </w:t>
      </w:r>
      <w:proofErr w:type="spellStart"/>
      <w:r>
        <w:rPr>
          <w:rFonts w:ascii="Arial" w:eastAsiaTheme="minorHAnsi" w:hAnsi="Arial" w:cs="Arial"/>
          <w14:ligatures w14:val="standardContextual"/>
        </w:rPr>
        <w:t>panallergen</w:t>
      </w:r>
      <w:proofErr w:type="spellEnd"/>
      <w:r>
        <w:rPr>
          <w:rFonts w:ascii="Arial" w:eastAsiaTheme="minorHAnsi" w:hAnsi="Arial" w:cs="Arial"/>
          <w14:ligatures w14:val="standardContextual"/>
        </w:rPr>
        <w:t>, a sensitizing protein acquired from different fonts, responsible for (apparently) unrelated clinical allergic reactions such as respiratory symptoms (elicited by inhalation of house dust mites) or systemic symptoms (elicited by</w:t>
      </w:r>
      <w:r w:rsidRPr="00197423">
        <w:rPr>
          <w:rFonts w:ascii="Arial" w:eastAsiaTheme="minorHAnsi" w:hAnsi="Arial" w:cs="Arial"/>
          <w14:ligatures w14:val="standardContextual"/>
        </w:rPr>
        <w:t xml:space="preserve"> </w:t>
      </w:r>
      <w:r>
        <w:rPr>
          <w:rFonts w:ascii="Arial" w:eastAsiaTheme="minorHAnsi" w:hAnsi="Arial" w:cs="Arial"/>
          <w14:ligatures w14:val="standardContextual"/>
        </w:rPr>
        <w:t>the ingestion of edible invertebrates such as shrimps)</w:t>
      </w:r>
      <w:r w:rsidRPr="00FA139E">
        <w:rPr>
          <w:rFonts w:ascii="Arial" w:eastAsiaTheme="minorHAnsi" w:hAnsi="Arial" w:cs="Arial"/>
          <w14:ligatures w14:val="standardContextual"/>
        </w:rPr>
        <w:t xml:space="preserve"> </w:t>
      </w:r>
      <w:r>
        <w:rPr>
          <w:rFonts w:ascii="Arial" w:eastAsiaTheme="minorHAnsi" w:hAnsi="Arial" w:cs="Arial"/>
          <w:noProof/>
          <w14:ligatures w14:val="standardContextual"/>
        </w:rPr>
        <w:t>(Wong, Huang</w:t>
      </w:r>
      <w:r w:rsidR="008D5A42">
        <w:rPr>
          <w:rFonts w:ascii="Arial" w:eastAsiaTheme="minorHAnsi" w:hAnsi="Arial" w:cs="Arial"/>
          <w:noProof/>
          <w14:ligatures w14:val="standardContextual"/>
        </w:rPr>
        <w:t>,</w:t>
      </w:r>
      <w:r>
        <w:rPr>
          <w:rFonts w:ascii="Arial" w:eastAsiaTheme="minorHAnsi" w:hAnsi="Arial" w:cs="Arial"/>
          <w:noProof/>
          <w14:ligatures w14:val="standardContextual"/>
        </w:rPr>
        <w:t xml:space="preserve"> and Lee 2016, Yang </w:t>
      </w:r>
      <w:r w:rsidR="00BA632D" w:rsidRPr="00BA632D">
        <w:rPr>
          <w:rFonts w:ascii="Arial" w:eastAsiaTheme="minorHAnsi" w:hAnsi="Arial" w:cs="Arial"/>
          <w:i/>
          <w:iCs/>
          <w:noProof/>
          <w14:ligatures w14:val="standardContextual"/>
        </w:rPr>
        <w:t>et al</w:t>
      </w:r>
      <w:r>
        <w:rPr>
          <w:rFonts w:ascii="Arial" w:eastAsiaTheme="minorHAnsi" w:hAnsi="Arial" w:cs="Arial"/>
          <w:noProof/>
          <w14:ligatures w14:val="standardContextual"/>
        </w:rPr>
        <w:t>. 2010)</w:t>
      </w:r>
      <w:r w:rsidRPr="00FA139E">
        <w:rPr>
          <w:rFonts w:ascii="Arial" w:eastAsiaTheme="minorHAnsi" w:hAnsi="Arial" w:cs="Arial"/>
          <w14:ligatures w14:val="standardContextual"/>
        </w:rPr>
        <w:t>.</w:t>
      </w:r>
    </w:p>
    <w:p w14:paraId="1E225216" w14:textId="584C58AD" w:rsidR="00D53AFF" w:rsidRDefault="00D53AFF" w:rsidP="005C4ED4">
      <w:pPr>
        <w:spacing w:after="0" w:line="240" w:lineRule="auto"/>
        <w:ind w:firstLine="708"/>
        <w:jc w:val="both"/>
        <w:rPr>
          <w:rFonts w:ascii="Arial" w:eastAsia="Times New Roman" w:hAnsi="Arial" w:cs="Arial"/>
        </w:rPr>
      </w:pPr>
      <w:proofErr w:type="spellStart"/>
      <w:r w:rsidRPr="00FA139E">
        <w:rPr>
          <w:rFonts w:ascii="Arial" w:eastAsia="Times New Roman" w:hAnsi="Arial" w:cs="Arial"/>
          <w:i/>
          <w:iCs/>
        </w:rPr>
        <w:t>Farfantepenaeus</w:t>
      </w:r>
      <w:proofErr w:type="spellEnd"/>
      <w:r w:rsidRPr="00FA139E">
        <w:rPr>
          <w:rFonts w:ascii="Arial" w:eastAsia="Times New Roman" w:hAnsi="Arial" w:cs="Arial"/>
          <w:i/>
          <w:iCs/>
        </w:rPr>
        <w:t xml:space="preserve"> </w:t>
      </w:r>
      <w:proofErr w:type="spellStart"/>
      <w:r w:rsidRPr="00FA139E">
        <w:rPr>
          <w:rFonts w:ascii="Arial" w:eastAsia="Times New Roman" w:hAnsi="Arial" w:cs="Arial"/>
          <w:i/>
          <w:iCs/>
        </w:rPr>
        <w:t>brasiliensis</w:t>
      </w:r>
      <w:proofErr w:type="spellEnd"/>
      <w:r w:rsidRPr="00FA139E">
        <w:rPr>
          <w:rFonts w:ascii="Arial" w:eastAsia="Times New Roman" w:hAnsi="Arial" w:cs="Arial"/>
        </w:rPr>
        <w:t xml:space="preserve"> (pink shrimp) is </w:t>
      </w:r>
      <w:r w:rsidRPr="00E94BAB">
        <w:rPr>
          <w:rFonts w:ascii="Arial" w:eastAsia="Times New Roman" w:hAnsi="Arial" w:cs="Arial"/>
        </w:rPr>
        <w:t xml:space="preserve">the most exploited shrimp </w:t>
      </w:r>
      <w:r w:rsidR="008D5A42">
        <w:rPr>
          <w:rFonts w:ascii="Arial" w:eastAsia="Times New Roman" w:hAnsi="Arial" w:cs="Arial"/>
        </w:rPr>
        <w:t xml:space="preserve">species along the Brazilian Coast (Carvalho, </w:t>
      </w:r>
      <w:proofErr w:type="spellStart"/>
      <w:r w:rsidR="008D5A42">
        <w:rPr>
          <w:rFonts w:ascii="Arial" w:eastAsia="Times New Roman" w:hAnsi="Arial" w:cs="Arial"/>
        </w:rPr>
        <w:t>Keunecke</w:t>
      </w:r>
      <w:proofErr w:type="spellEnd"/>
      <w:r w:rsidR="008D5A42">
        <w:rPr>
          <w:rFonts w:ascii="Arial" w:eastAsia="Times New Roman" w:hAnsi="Arial" w:cs="Arial"/>
        </w:rPr>
        <w:t xml:space="preserve">, and </w:t>
      </w:r>
      <w:proofErr w:type="spellStart"/>
      <w:r w:rsidR="008D5A42">
        <w:rPr>
          <w:rFonts w:ascii="Arial" w:eastAsia="Times New Roman" w:hAnsi="Arial" w:cs="Arial"/>
        </w:rPr>
        <w:t>Lavrado</w:t>
      </w:r>
      <w:proofErr w:type="spellEnd"/>
      <w:r w:rsidR="008D5A42">
        <w:rPr>
          <w:rFonts w:ascii="Arial" w:eastAsia="Times New Roman" w:hAnsi="Arial" w:cs="Arial"/>
        </w:rPr>
        <w:t>,</w:t>
      </w:r>
      <w:r>
        <w:rPr>
          <w:rFonts w:ascii="Arial" w:eastAsia="Times New Roman" w:hAnsi="Arial" w:cs="Arial"/>
          <w:noProof/>
        </w:rPr>
        <w:t xml:space="preserve"> 2019)</w:t>
      </w:r>
      <w:r w:rsidRPr="00E94BAB">
        <w:rPr>
          <w:rFonts w:ascii="Arial" w:eastAsia="Times New Roman" w:hAnsi="Arial" w:cs="Arial"/>
        </w:rPr>
        <w:t>.</w:t>
      </w:r>
      <w:r>
        <w:rPr>
          <w:rFonts w:ascii="Arial" w:eastAsia="Times New Roman" w:hAnsi="Arial" w:cs="Arial"/>
        </w:rPr>
        <w:t xml:space="preserve"> </w:t>
      </w:r>
      <w:r>
        <w:rPr>
          <w:rFonts w:ascii="Arial" w:hAnsi="Arial" w:cs="Arial"/>
          <w:shd w:val="clear" w:color="auto" w:fill="FFFFFF"/>
        </w:rPr>
        <w:t>Shrimp</w:t>
      </w:r>
      <w:r w:rsidR="008D5A42">
        <w:rPr>
          <w:rFonts w:ascii="Arial" w:hAnsi="Arial" w:cs="Arial"/>
          <w:shd w:val="clear" w:color="auto" w:fill="FFFFFF"/>
        </w:rPr>
        <w:t xml:space="preserve">'s tropomyosin is a 34- to 38-kDa heat-stable allergen </w:t>
      </w:r>
      <w:r w:rsidR="00975B0F">
        <w:rPr>
          <w:rFonts w:ascii="Arial" w:hAnsi="Arial" w:cs="Arial"/>
          <w:shd w:val="clear" w:color="auto" w:fill="FFFFFF"/>
        </w:rPr>
        <w:t>that can provoke</w:t>
      </w:r>
      <w:r w:rsidR="008D5A42">
        <w:rPr>
          <w:rFonts w:ascii="Arial" w:hAnsi="Arial" w:cs="Arial"/>
          <w:shd w:val="clear" w:color="auto" w:fill="FFFFFF"/>
        </w:rPr>
        <w:t xml:space="preserve"> </w:t>
      </w:r>
      <w:proofErr w:type="spellStart"/>
      <w:r w:rsidR="008D5A42">
        <w:rPr>
          <w:rFonts w:ascii="Arial" w:hAnsi="Arial" w:cs="Arial"/>
          <w:shd w:val="clear" w:color="auto" w:fill="FFFFFF"/>
        </w:rPr>
        <w:t>IgE</w:t>
      </w:r>
      <w:proofErr w:type="spellEnd"/>
      <w:r w:rsidR="008D5A42">
        <w:rPr>
          <w:rFonts w:ascii="Arial" w:hAnsi="Arial" w:cs="Arial"/>
          <w:shd w:val="clear" w:color="auto" w:fill="FFFFFF"/>
        </w:rPr>
        <w:t>-mediated immediate-type hypersensitivity reactions after ingestion (Shanti et al.,</w:t>
      </w:r>
      <w:r>
        <w:rPr>
          <w:rFonts w:ascii="Arial" w:hAnsi="Arial" w:cs="Arial"/>
          <w:noProof/>
          <w:shd w:val="clear" w:color="auto" w:fill="FFFFFF"/>
        </w:rPr>
        <w:t xml:space="preserve"> 1993)</w:t>
      </w:r>
      <w:r w:rsidRPr="00E94BAB">
        <w:rPr>
          <w:rFonts w:ascii="Arial" w:hAnsi="Arial" w:cs="Arial"/>
          <w:shd w:val="clear" w:color="auto" w:fill="FFFFFF"/>
        </w:rPr>
        <w:t>.</w:t>
      </w:r>
      <w:r>
        <w:rPr>
          <w:rFonts w:ascii="Arial" w:hAnsi="Arial" w:cs="Arial"/>
          <w:shd w:val="clear" w:color="auto" w:fill="FFFFFF"/>
        </w:rPr>
        <w:t xml:space="preserve"> Tropomyosin is considered the major allergen of shrimp</w:t>
      </w:r>
      <w:r w:rsidR="00975B0F">
        <w:rPr>
          <w:rFonts w:ascii="Arial" w:hAnsi="Arial" w:cs="Arial"/>
          <w:shd w:val="clear" w:color="auto" w:fill="FFFFFF"/>
        </w:rPr>
        <w:t xml:space="preserve"> and is usually classified as a </w:t>
      </w:r>
      <w:r w:rsidR="00975B0F">
        <w:rPr>
          <w:rFonts w:ascii="Arial" w:hAnsi="Arial" w:cs="Arial"/>
          <w:shd w:val="clear" w:color="auto" w:fill="FFFFFF"/>
        </w:rPr>
        <w:lastRenderedPageBreak/>
        <w:t>group 1 allergen,</w:t>
      </w:r>
      <w:r>
        <w:rPr>
          <w:rFonts w:ascii="Arial" w:hAnsi="Arial" w:cs="Arial"/>
          <w:shd w:val="clear" w:color="auto" w:fill="FFFFFF"/>
        </w:rPr>
        <w:t xml:space="preserve"> following the group 1 allergens (</w:t>
      </w:r>
      <w:proofErr w:type="spellStart"/>
      <w:r>
        <w:rPr>
          <w:rFonts w:ascii="Arial" w:hAnsi="Arial" w:cs="Arial"/>
          <w:shd w:val="clear" w:color="auto" w:fill="FFFFFF"/>
        </w:rPr>
        <w:t>Crac</w:t>
      </w:r>
      <w:proofErr w:type="spellEnd"/>
      <w:r>
        <w:rPr>
          <w:rFonts w:ascii="Arial" w:hAnsi="Arial" w:cs="Arial"/>
          <w:shd w:val="clear" w:color="auto" w:fill="FFFFFF"/>
        </w:rPr>
        <w:t xml:space="preserve"> c 1, Exo m 1, Lit v 1, Met e 1, Pan b 1, Pen a 1, Pen </w:t>
      </w:r>
      <w:proofErr w:type="spellStart"/>
      <w:r>
        <w:rPr>
          <w:rFonts w:ascii="Arial" w:hAnsi="Arial" w:cs="Arial"/>
          <w:shd w:val="clear" w:color="auto" w:fill="FFFFFF"/>
        </w:rPr>
        <w:t>i</w:t>
      </w:r>
      <w:proofErr w:type="spellEnd"/>
      <w:r>
        <w:rPr>
          <w:rFonts w:ascii="Arial" w:hAnsi="Arial" w:cs="Arial"/>
          <w:shd w:val="clear" w:color="auto" w:fill="FFFFFF"/>
        </w:rPr>
        <w:t xml:space="preserve"> 1, Pen m 1) </w:t>
      </w:r>
      <w:r>
        <w:rPr>
          <w:rFonts w:ascii="Arial" w:hAnsi="Arial" w:cs="Arial"/>
          <w:noProof/>
          <w:shd w:val="clear" w:color="auto" w:fill="FFFFFF"/>
        </w:rPr>
        <w:t>(Sub-Committee</w:t>
      </w:r>
      <w:r w:rsidR="000E4D61">
        <w:rPr>
          <w:rFonts w:ascii="Arial" w:hAnsi="Arial" w:cs="Arial"/>
          <w:noProof/>
          <w:shd w:val="clear" w:color="auto" w:fill="FFFFFF"/>
        </w:rPr>
        <w:t>,</w:t>
      </w:r>
      <w:r>
        <w:rPr>
          <w:rFonts w:ascii="Arial" w:hAnsi="Arial" w:cs="Arial"/>
          <w:noProof/>
          <w:shd w:val="clear" w:color="auto" w:fill="FFFFFF"/>
        </w:rPr>
        <w:t xml:space="preserve"> 2025</w:t>
      </w:r>
      <w:r w:rsidR="000E4D61">
        <w:rPr>
          <w:rFonts w:ascii="Arial" w:hAnsi="Arial" w:cs="Arial"/>
          <w:noProof/>
          <w:shd w:val="clear" w:color="auto" w:fill="FFFFFF"/>
        </w:rPr>
        <w:t>b</w:t>
      </w:r>
      <w:r>
        <w:rPr>
          <w:rFonts w:ascii="Arial" w:hAnsi="Arial" w:cs="Arial"/>
          <w:noProof/>
          <w:shd w:val="clear" w:color="auto" w:fill="FFFFFF"/>
        </w:rPr>
        <w:t>)</w:t>
      </w:r>
      <w:r>
        <w:rPr>
          <w:rFonts w:ascii="Arial" w:hAnsi="Arial" w:cs="Arial"/>
          <w:shd w:val="clear" w:color="auto" w:fill="FFFFFF"/>
        </w:rPr>
        <w:t xml:space="preserve">. Nevertheless, uncharacterized, the </w:t>
      </w:r>
      <w:proofErr w:type="spellStart"/>
      <w:r w:rsidRPr="00FA139E">
        <w:rPr>
          <w:rFonts w:ascii="Arial" w:eastAsia="Times New Roman" w:hAnsi="Arial" w:cs="Arial"/>
          <w:i/>
          <w:iCs/>
        </w:rPr>
        <w:t>Farfantepenaeus</w:t>
      </w:r>
      <w:proofErr w:type="spellEnd"/>
      <w:r w:rsidRPr="00FA139E">
        <w:rPr>
          <w:rFonts w:ascii="Arial" w:eastAsia="Times New Roman" w:hAnsi="Arial" w:cs="Arial"/>
          <w:i/>
          <w:iCs/>
        </w:rPr>
        <w:t xml:space="preserve"> </w:t>
      </w:r>
      <w:proofErr w:type="spellStart"/>
      <w:r w:rsidRPr="00FA139E">
        <w:rPr>
          <w:rFonts w:ascii="Arial" w:eastAsia="Times New Roman" w:hAnsi="Arial" w:cs="Arial"/>
          <w:i/>
          <w:iCs/>
        </w:rPr>
        <w:t>brasiliensis</w:t>
      </w:r>
      <w:proofErr w:type="spellEnd"/>
      <w:r>
        <w:rPr>
          <w:rFonts w:ascii="Arial" w:eastAsia="Times New Roman" w:hAnsi="Arial" w:cs="Arial"/>
          <w:i/>
          <w:iCs/>
        </w:rPr>
        <w:t xml:space="preserve"> </w:t>
      </w:r>
      <w:r>
        <w:rPr>
          <w:rFonts w:ascii="Arial" w:eastAsia="Times New Roman" w:hAnsi="Arial" w:cs="Arial"/>
        </w:rPr>
        <w:t xml:space="preserve">tropomyosin should receive the allergen nomenclature Far b 1). Besides the common major allergen, tropomyosin, several species-specific shrimp allergens may also participate in allergic reactions </w:t>
      </w:r>
      <w:r>
        <w:rPr>
          <w:rFonts w:ascii="Arial" w:eastAsia="Times New Roman" w:hAnsi="Arial" w:cs="Arial"/>
          <w:noProof/>
        </w:rPr>
        <w:t xml:space="preserve">(Morgan </w:t>
      </w:r>
      <w:r w:rsidR="00BA632D" w:rsidRPr="00BA632D">
        <w:rPr>
          <w:rFonts w:ascii="Arial" w:eastAsia="Times New Roman" w:hAnsi="Arial" w:cs="Arial"/>
          <w:i/>
          <w:iCs/>
          <w:noProof/>
        </w:rPr>
        <w:t>et al</w:t>
      </w:r>
      <w:r>
        <w:rPr>
          <w:rFonts w:ascii="Arial" w:eastAsia="Times New Roman" w:hAnsi="Arial" w:cs="Arial"/>
          <w:noProof/>
        </w:rPr>
        <w:t>. 1989)</w:t>
      </w:r>
      <w:r>
        <w:rPr>
          <w:rFonts w:ascii="Arial" w:eastAsia="Times New Roman" w:hAnsi="Arial" w:cs="Arial"/>
        </w:rPr>
        <w:t>.</w:t>
      </w:r>
    </w:p>
    <w:p w14:paraId="25B3E9D7" w14:textId="2320C539" w:rsidR="00D53AFF" w:rsidRPr="003703DA" w:rsidRDefault="00D53AFF" w:rsidP="002C4C23">
      <w:pPr>
        <w:spacing w:after="0" w:line="240" w:lineRule="auto"/>
        <w:ind w:firstLine="708"/>
        <w:jc w:val="both"/>
        <w:rPr>
          <w:rFonts w:ascii="Arial" w:eastAsia="Times New Roman" w:hAnsi="Arial" w:cs="Arial"/>
        </w:rPr>
      </w:pPr>
      <w:r>
        <w:rPr>
          <w:rFonts w:ascii="Arial" w:eastAsia="Times New Roman" w:hAnsi="Arial" w:cs="Arial"/>
        </w:rPr>
        <w:t>Several symptoms have been attributed to shrimp allergy (u</w:t>
      </w:r>
      <w:r w:rsidRPr="00254409">
        <w:rPr>
          <w:rFonts w:ascii="Arial" w:eastAsia="Times New Roman" w:hAnsi="Arial" w:cs="Arial"/>
        </w:rPr>
        <w:t>rticaria</w:t>
      </w:r>
      <w:r>
        <w:rPr>
          <w:rFonts w:ascii="Arial" w:eastAsia="Times New Roman" w:hAnsi="Arial" w:cs="Arial"/>
        </w:rPr>
        <w:t>, a</w:t>
      </w:r>
      <w:r w:rsidRPr="00254409">
        <w:rPr>
          <w:rFonts w:ascii="Arial" w:eastAsia="Times New Roman" w:hAnsi="Arial" w:cs="Arial"/>
        </w:rPr>
        <w:t>ngioedema</w:t>
      </w:r>
      <w:r>
        <w:rPr>
          <w:rFonts w:ascii="Arial" w:eastAsia="Times New Roman" w:hAnsi="Arial" w:cs="Arial"/>
        </w:rPr>
        <w:t>, c</w:t>
      </w:r>
      <w:r w:rsidRPr="00254409">
        <w:rPr>
          <w:rFonts w:ascii="Arial" w:eastAsia="Times New Roman" w:hAnsi="Arial" w:cs="Arial"/>
        </w:rPr>
        <w:t>hest tightness</w:t>
      </w:r>
      <w:r>
        <w:rPr>
          <w:rFonts w:ascii="Arial" w:eastAsia="Times New Roman" w:hAnsi="Arial" w:cs="Arial"/>
        </w:rPr>
        <w:t xml:space="preserve">, </w:t>
      </w:r>
      <w:r w:rsidRPr="00254409">
        <w:rPr>
          <w:rFonts w:ascii="Arial" w:eastAsia="Times New Roman" w:hAnsi="Arial" w:cs="Arial"/>
        </w:rPr>
        <w:t>shortness of breath</w:t>
      </w:r>
      <w:r>
        <w:rPr>
          <w:rFonts w:ascii="Arial" w:eastAsia="Times New Roman" w:hAnsi="Arial" w:cs="Arial"/>
        </w:rPr>
        <w:t>, n</w:t>
      </w:r>
      <w:r w:rsidRPr="00254409">
        <w:rPr>
          <w:rFonts w:ascii="Arial" w:eastAsia="Times New Roman" w:hAnsi="Arial" w:cs="Arial"/>
        </w:rPr>
        <w:t>ausea, vomiting, diarrhea</w:t>
      </w:r>
      <w:r>
        <w:rPr>
          <w:rFonts w:ascii="Arial" w:eastAsia="Times New Roman" w:hAnsi="Arial" w:cs="Arial"/>
        </w:rPr>
        <w:t>, f</w:t>
      </w:r>
      <w:r w:rsidRPr="00254409">
        <w:rPr>
          <w:rFonts w:ascii="Arial" w:eastAsia="Times New Roman" w:hAnsi="Arial" w:cs="Arial"/>
        </w:rPr>
        <w:t>ainting with documented hypotension</w:t>
      </w:r>
      <w:r>
        <w:rPr>
          <w:rFonts w:ascii="Arial" w:eastAsia="Times New Roman" w:hAnsi="Arial" w:cs="Arial"/>
        </w:rPr>
        <w:t xml:space="preserve">, </w:t>
      </w:r>
      <w:r w:rsidRPr="00254409">
        <w:rPr>
          <w:rFonts w:ascii="Arial" w:eastAsia="Times New Roman" w:hAnsi="Arial" w:cs="Arial"/>
        </w:rPr>
        <w:t>chills, f</w:t>
      </w:r>
      <w:r w:rsidRPr="003703DA">
        <w:rPr>
          <w:rFonts w:ascii="Arial" w:eastAsia="Times New Roman" w:hAnsi="Arial" w:cs="Arial"/>
        </w:rPr>
        <w:t xml:space="preserve">ever, abdominal discomfort, abdominal pain, </w:t>
      </w:r>
      <w:r>
        <w:rPr>
          <w:rFonts w:ascii="Arial" w:eastAsia="Times New Roman" w:hAnsi="Arial" w:cs="Arial"/>
        </w:rPr>
        <w:t xml:space="preserve">and </w:t>
      </w:r>
      <w:r w:rsidRPr="003703DA">
        <w:rPr>
          <w:rFonts w:ascii="Arial" w:eastAsia="Times New Roman" w:hAnsi="Arial" w:cs="Arial"/>
        </w:rPr>
        <w:t xml:space="preserve">finger stiffness) </w:t>
      </w:r>
      <w:r>
        <w:rPr>
          <w:rFonts w:ascii="Arial" w:eastAsia="Times New Roman" w:hAnsi="Arial" w:cs="Arial"/>
          <w:noProof/>
        </w:rPr>
        <w:t xml:space="preserve">(Waring </w:t>
      </w:r>
      <w:r w:rsidR="00BA632D" w:rsidRPr="00BA632D">
        <w:rPr>
          <w:rFonts w:ascii="Arial" w:eastAsia="Times New Roman" w:hAnsi="Arial" w:cs="Arial"/>
          <w:i/>
          <w:iCs/>
          <w:noProof/>
        </w:rPr>
        <w:t>et al</w:t>
      </w:r>
      <w:r>
        <w:rPr>
          <w:rFonts w:ascii="Arial" w:eastAsia="Times New Roman" w:hAnsi="Arial" w:cs="Arial"/>
          <w:noProof/>
        </w:rPr>
        <w:t>. 1985)</w:t>
      </w:r>
      <w:r>
        <w:rPr>
          <w:rFonts w:ascii="Arial" w:eastAsia="Times New Roman" w:hAnsi="Arial" w:cs="Arial"/>
        </w:rPr>
        <w:t>.</w:t>
      </w:r>
    </w:p>
    <w:p w14:paraId="6B1604DB" w14:textId="7F570D1F" w:rsidR="00D53AFF" w:rsidRPr="00F43ABF" w:rsidRDefault="00D53AFF" w:rsidP="003D3F66">
      <w:pPr>
        <w:spacing w:after="0" w:line="240" w:lineRule="auto"/>
        <w:jc w:val="both"/>
        <w:rPr>
          <w:rFonts w:ascii="Arial" w:eastAsia="Times New Roman" w:hAnsi="Arial" w:cs="Arial"/>
          <w:color w:val="000000" w:themeColor="text1"/>
        </w:rPr>
      </w:pPr>
      <w:r w:rsidRPr="003703DA">
        <w:rPr>
          <w:rFonts w:ascii="Arial" w:eastAsia="Times New Roman" w:hAnsi="Arial" w:cs="Arial"/>
          <w:color w:val="FF0000"/>
        </w:rPr>
        <w:tab/>
      </w:r>
      <w:r w:rsidRPr="003703DA">
        <w:rPr>
          <w:rFonts w:ascii="Arial" w:eastAsia="Times New Roman" w:hAnsi="Arial" w:cs="Arial"/>
        </w:rPr>
        <w:t xml:space="preserve">Allergic Multimorbidity is defined </w:t>
      </w:r>
      <w:r>
        <w:rPr>
          <w:rFonts w:ascii="Arial" w:eastAsia="Times New Roman" w:hAnsi="Arial" w:cs="Arial"/>
        </w:rPr>
        <w:t xml:space="preserve">as </w:t>
      </w:r>
      <w:r w:rsidR="008D5A42">
        <w:rPr>
          <w:rFonts w:ascii="Arial" w:eastAsia="Times New Roman" w:hAnsi="Arial" w:cs="Arial"/>
        </w:rPr>
        <w:t xml:space="preserve">the presence of concomitant or consecutive allergic phenotypes that may be </w:t>
      </w:r>
      <w:proofErr w:type="spellStart"/>
      <w:r w:rsidR="008D5A42">
        <w:rPr>
          <w:rFonts w:ascii="Arial" w:eastAsia="Times New Roman" w:hAnsi="Arial" w:cs="Arial"/>
        </w:rPr>
        <w:t>IgE</w:t>
      </w:r>
      <w:proofErr w:type="spellEnd"/>
      <w:r w:rsidR="008D5A42">
        <w:rPr>
          <w:rFonts w:ascii="Arial" w:eastAsia="Times New Roman" w:hAnsi="Arial" w:cs="Arial"/>
        </w:rPr>
        <w:t xml:space="preserve">-mediated, partly </w:t>
      </w:r>
      <w:proofErr w:type="spellStart"/>
      <w:r w:rsidR="008D5A42">
        <w:rPr>
          <w:rFonts w:ascii="Arial" w:eastAsia="Times New Roman" w:hAnsi="Arial" w:cs="Arial"/>
        </w:rPr>
        <w:t>IgE</w:t>
      </w:r>
      <w:proofErr w:type="spellEnd"/>
      <w:r w:rsidR="008D5A42">
        <w:rPr>
          <w:rFonts w:ascii="Arial" w:eastAsia="Times New Roman" w:hAnsi="Arial" w:cs="Arial"/>
        </w:rPr>
        <w:t>-mediated, or non-</w:t>
      </w:r>
      <w:proofErr w:type="spellStart"/>
      <w:r w:rsidR="008D5A42">
        <w:rPr>
          <w:rFonts w:ascii="Arial" w:eastAsia="Times New Roman" w:hAnsi="Arial" w:cs="Arial"/>
        </w:rPr>
        <w:t>IgE</w:t>
      </w:r>
      <w:proofErr w:type="spellEnd"/>
      <w:r w:rsidR="008D5A42">
        <w:rPr>
          <w:rFonts w:ascii="Arial" w:eastAsia="Times New Roman" w:hAnsi="Arial" w:cs="Arial"/>
        </w:rPr>
        <w:t>-mediated (Bousquet et al., 2015; Bousquet et al.,</w:t>
      </w:r>
      <w:r>
        <w:rPr>
          <w:rFonts w:ascii="Arial" w:eastAsia="Times New Roman" w:hAnsi="Arial" w:cs="Arial"/>
          <w:noProof/>
          <w:color w:val="000000" w:themeColor="text1"/>
        </w:rPr>
        <w:t xml:space="preserve"> 2025)</w:t>
      </w:r>
      <w:r w:rsidRPr="003703DA">
        <w:rPr>
          <w:rFonts w:ascii="Arial" w:eastAsia="Times New Roman" w:hAnsi="Arial" w:cs="Arial"/>
          <w:color w:val="000000" w:themeColor="text1"/>
        </w:rPr>
        <w:t xml:space="preserve">. Besides the </w:t>
      </w:r>
      <w:proofErr w:type="spellStart"/>
      <w:r w:rsidRPr="003703DA">
        <w:rPr>
          <w:rFonts w:ascii="Arial" w:eastAsia="Times New Roman" w:hAnsi="Arial" w:cs="Arial"/>
          <w:color w:val="000000" w:themeColor="text1"/>
        </w:rPr>
        <w:t>IgE</w:t>
      </w:r>
      <w:proofErr w:type="spellEnd"/>
      <w:r w:rsidRPr="003703DA">
        <w:rPr>
          <w:rFonts w:ascii="Arial" w:eastAsia="Times New Roman" w:hAnsi="Arial" w:cs="Arial"/>
          <w:color w:val="000000" w:themeColor="text1"/>
        </w:rPr>
        <w:t xml:space="preserve">-mediated hypersensitivity mechanism, several types of hypersensitivity mechanisms are associated with allergic phenotypes </w:t>
      </w:r>
      <w:r>
        <w:rPr>
          <w:rFonts w:ascii="Arial" w:eastAsia="Times New Roman" w:hAnsi="Arial" w:cs="Arial"/>
          <w:noProof/>
          <w:color w:val="000000" w:themeColor="text1"/>
        </w:rPr>
        <w:t xml:space="preserve">(Jutel </w:t>
      </w:r>
      <w:r w:rsidR="00BA632D" w:rsidRPr="00BA632D">
        <w:rPr>
          <w:rFonts w:ascii="Arial" w:eastAsia="Times New Roman" w:hAnsi="Arial" w:cs="Arial"/>
          <w:i/>
          <w:iCs/>
          <w:noProof/>
          <w:color w:val="000000" w:themeColor="text1"/>
        </w:rPr>
        <w:t>et al</w:t>
      </w:r>
      <w:r>
        <w:rPr>
          <w:rFonts w:ascii="Arial" w:eastAsia="Times New Roman" w:hAnsi="Arial" w:cs="Arial"/>
          <w:noProof/>
          <w:color w:val="000000" w:themeColor="text1"/>
        </w:rPr>
        <w:t>.</w:t>
      </w:r>
      <w:r w:rsidR="008D5A42">
        <w:rPr>
          <w:rFonts w:ascii="Arial" w:eastAsia="Times New Roman" w:hAnsi="Arial" w:cs="Arial"/>
          <w:noProof/>
          <w:color w:val="000000" w:themeColor="text1"/>
        </w:rPr>
        <w:t>,</w:t>
      </w:r>
      <w:r>
        <w:rPr>
          <w:rFonts w:ascii="Arial" w:eastAsia="Times New Roman" w:hAnsi="Arial" w:cs="Arial"/>
          <w:noProof/>
          <w:color w:val="000000" w:themeColor="text1"/>
        </w:rPr>
        <w:t xml:space="preserve"> 2023)</w:t>
      </w:r>
      <w:r w:rsidRPr="003703DA">
        <w:rPr>
          <w:rFonts w:ascii="Arial" w:eastAsia="Times New Roman" w:hAnsi="Arial" w:cs="Arial"/>
          <w:color w:val="000000" w:themeColor="text1"/>
        </w:rPr>
        <w:t>. The humoral-dependent non–</w:t>
      </w:r>
      <w:proofErr w:type="spellStart"/>
      <w:r w:rsidRPr="003703DA">
        <w:rPr>
          <w:rFonts w:ascii="Arial" w:eastAsia="Times New Roman" w:hAnsi="Arial" w:cs="Arial"/>
          <w:color w:val="000000" w:themeColor="text1"/>
        </w:rPr>
        <w:t>IgE</w:t>
      </w:r>
      <w:proofErr w:type="spellEnd"/>
      <w:r w:rsidRPr="003703DA">
        <w:rPr>
          <w:rFonts w:ascii="Arial" w:eastAsia="Times New Roman" w:hAnsi="Arial" w:cs="Arial"/>
          <w:color w:val="000000" w:themeColor="text1"/>
        </w:rPr>
        <w:t xml:space="preserve">-mediated allergic phenotypes may be </w:t>
      </w:r>
      <w:bookmarkStart w:id="2" w:name="_Hlk167600393"/>
      <w:r w:rsidRPr="003703DA">
        <w:rPr>
          <w:rFonts w:ascii="Arial" w:eastAsia="Times New Roman" w:hAnsi="Arial" w:cs="Arial"/>
          <w:color w:val="000000" w:themeColor="text1"/>
        </w:rPr>
        <w:t>e</w:t>
      </w:r>
      <w:r w:rsidRPr="003703DA">
        <w:rPr>
          <w:rFonts w:ascii="Arial" w:eastAsia="Times New Roman" w:hAnsi="Arial" w:cs="Arial"/>
        </w:rPr>
        <w:t>valuated by the research of</w:t>
      </w:r>
      <w:r w:rsidRPr="003703DA">
        <w:rPr>
          <w:rFonts w:ascii="Arial" w:eastAsia="Times New Roman" w:hAnsi="Arial" w:cs="Arial"/>
          <w:iCs/>
        </w:rPr>
        <w:t xml:space="preserve"> Precipitins </w:t>
      </w:r>
      <w:r>
        <w:rPr>
          <w:rFonts w:ascii="Arial" w:eastAsia="Times New Roman" w:hAnsi="Arial" w:cs="Arial"/>
          <w:iCs/>
          <w:noProof/>
        </w:rPr>
        <w:t>(Augustin 1953</w:t>
      </w:r>
      <w:r w:rsidR="008D5A42">
        <w:rPr>
          <w:rFonts w:ascii="Arial" w:eastAsia="Times New Roman" w:hAnsi="Arial" w:cs="Arial"/>
          <w:iCs/>
          <w:noProof/>
        </w:rPr>
        <w:t>;</w:t>
      </w:r>
      <w:r>
        <w:rPr>
          <w:rFonts w:ascii="Arial" w:eastAsia="Times New Roman" w:hAnsi="Arial" w:cs="Arial"/>
          <w:iCs/>
          <w:noProof/>
        </w:rPr>
        <w:t xml:space="preserve"> Augustin, Hayward</w:t>
      </w:r>
      <w:r w:rsidR="008D5A42">
        <w:rPr>
          <w:rFonts w:ascii="Arial" w:eastAsia="Times New Roman" w:hAnsi="Arial" w:cs="Arial"/>
          <w:iCs/>
          <w:noProof/>
        </w:rPr>
        <w:t>,</w:t>
      </w:r>
      <w:r>
        <w:rPr>
          <w:rFonts w:ascii="Arial" w:eastAsia="Times New Roman" w:hAnsi="Arial" w:cs="Arial"/>
          <w:iCs/>
          <w:noProof/>
        </w:rPr>
        <w:t xml:space="preserve"> and Longbottom 1960</w:t>
      </w:r>
      <w:r w:rsidR="008D5A42">
        <w:rPr>
          <w:rFonts w:ascii="Arial" w:eastAsia="Times New Roman" w:hAnsi="Arial" w:cs="Arial"/>
          <w:iCs/>
          <w:noProof/>
        </w:rPr>
        <w:t>;</w:t>
      </w:r>
      <w:r>
        <w:rPr>
          <w:rFonts w:ascii="Arial" w:eastAsia="Times New Roman" w:hAnsi="Arial" w:cs="Arial"/>
          <w:iCs/>
          <w:noProof/>
        </w:rPr>
        <w:t xml:space="preserve"> Cunningham-Rundles </w:t>
      </w:r>
      <w:r w:rsidR="00BA632D" w:rsidRPr="00BA632D">
        <w:rPr>
          <w:rFonts w:ascii="Arial" w:eastAsia="Times New Roman" w:hAnsi="Arial" w:cs="Arial"/>
          <w:i/>
          <w:iCs/>
          <w:noProof/>
        </w:rPr>
        <w:t>et al</w:t>
      </w:r>
      <w:r>
        <w:rPr>
          <w:rFonts w:ascii="Arial" w:eastAsia="Times New Roman" w:hAnsi="Arial" w:cs="Arial"/>
          <w:iCs/>
          <w:noProof/>
        </w:rPr>
        <w:t>. 1978</w:t>
      </w:r>
      <w:r w:rsidR="008D5A42">
        <w:rPr>
          <w:rFonts w:ascii="Arial" w:eastAsia="Times New Roman" w:hAnsi="Arial" w:cs="Arial"/>
          <w:iCs/>
          <w:noProof/>
        </w:rPr>
        <w:t>;</w:t>
      </w:r>
      <w:r>
        <w:rPr>
          <w:rFonts w:ascii="Arial" w:eastAsia="Times New Roman" w:hAnsi="Arial" w:cs="Arial"/>
          <w:iCs/>
          <w:noProof/>
        </w:rPr>
        <w:t xml:space="preserve"> Ferguson and Carswell 1972</w:t>
      </w:r>
      <w:r w:rsidR="008D5A42">
        <w:rPr>
          <w:rFonts w:ascii="Arial" w:eastAsia="Times New Roman" w:hAnsi="Arial" w:cs="Arial"/>
          <w:iCs/>
          <w:noProof/>
        </w:rPr>
        <w:t>;</w:t>
      </w:r>
      <w:r>
        <w:rPr>
          <w:rFonts w:ascii="Arial" w:eastAsia="Times New Roman" w:hAnsi="Arial" w:cs="Arial"/>
          <w:iCs/>
          <w:noProof/>
        </w:rPr>
        <w:t xml:space="preserve"> Heiner, Sears and Kniker 1962)</w:t>
      </w:r>
      <w:r w:rsidRPr="003703DA">
        <w:rPr>
          <w:rFonts w:ascii="Arial" w:eastAsia="Times New Roman" w:hAnsi="Arial" w:cs="Arial"/>
          <w:iCs/>
        </w:rPr>
        <w:t>.</w:t>
      </w:r>
      <w:bookmarkEnd w:id="2"/>
      <w:r w:rsidRPr="003703DA">
        <w:rPr>
          <w:rFonts w:ascii="Arial" w:eastAsia="Times New Roman" w:hAnsi="Arial" w:cs="Arial"/>
          <w:iCs/>
        </w:rPr>
        <w:t xml:space="preserve"> The Tube Titration of Precipitins (TTP) i</w:t>
      </w:r>
      <w:r>
        <w:rPr>
          <w:rFonts w:ascii="Arial" w:eastAsia="Times New Roman" w:hAnsi="Arial" w:cs="Arial"/>
          <w:iCs/>
        </w:rPr>
        <w:t>s</w:t>
      </w:r>
      <w:r w:rsidRPr="003703DA">
        <w:rPr>
          <w:rFonts w:ascii="Arial" w:eastAsia="Times New Roman" w:hAnsi="Arial" w:cs="Arial"/>
          <w:iCs/>
        </w:rPr>
        <w:t xml:space="preserve"> routinely used at our facilities to evaluate humoral </w:t>
      </w:r>
      <w:r w:rsidRPr="003703DA">
        <w:rPr>
          <w:rFonts w:ascii="Arial" w:eastAsia="Times New Roman" w:hAnsi="Arial" w:cs="Arial"/>
        </w:rPr>
        <w:t xml:space="preserve">immunoreactivity against suspected allergens </w:t>
      </w:r>
      <w:r w:rsidRPr="003703DA">
        <w:rPr>
          <w:rFonts w:ascii="Arial" w:eastAsia="Times New Roman" w:hAnsi="Arial" w:cs="Arial"/>
          <w:iCs/>
        </w:rPr>
        <w:t xml:space="preserve">as a triage test prior to the exhaustive </w:t>
      </w:r>
      <w:r w:rsidRPr="003703DA">
        <w:rPr>
          <w:rFonts w:ascii="Arial" w:eastAsia="Times New Roman" w:hAnsi="Arial" w:cs="Arial"/>
          <w:i/>
        </w:rPr>
        <w:t>in vivo</w:t>
      </w:r>
      <w:r w:rsidRPr="003703DA">
        <w:rPr>
          <w:rFonts w:ascii="Arial" w:eastAsia="Times New Roman" w:hAnsi="Arial" w:cs="Arial"/>
          <w:iCs/>
        </w:rPr>
        <w:t xml:space="preserve"> provocation tests</w:t>
      </w:r>
      <w:r>
        <w:rPr>
          <w:rFonts w:ascii="Arial" w:eastAsia="Times New Roman" w:hAnsi="Arial" w:cs="Arial"/>
          <w:iCs/>
        </w:rPr>
        <w:t>, which define hypersensitivities diseases</w:t>
      </w:r>
      <w:r w:rsidRPr="003703DA">
        <w:rPr>
          <w:rFonts w:ascii="Arial" w:eastAsia="Times New Roman" w:hAnsi="Arial" w:cs="Arial"/>
          <w:iCs/>
        </w:rPr>
        <w:t xml:space="preserve"> </w:t>
      </w:r>
      <w:r>
        <w:rPr>
          <w:rFonts w:ascii="Arial" w:eastAsia="Times New Roman" w:hAnsi="Arial" w:cs="Arial"/>
          <w:iCs/>
          <w:noProof/>
        </w:rPr>
        <w:t xml:space="preserve">(Olivier </w:t>
      </w:r>
      <w:r w:rsidR="00BA632D" w:rsidRPr="00BA632D">
        <w:rPr>
          <w:rFonts w:ascii="Arial" w:eastAsia="Times New Roman" w:hAnsi="Arial" w:cs="Arial"/>
          <w:i/>
          <w:iCs/>
          <w:noProof/>
        </w:rPr>
        <w:t>et al</w:t>
      </w:r>
      <w:r>
        <w:rPr>
          <w:rFonts w:ascii="Arial" w:eastAsia="Times New Roman" w:hAnsi="Arial" w:cs="Arial"/>
          <w:iCs/>
          <w:noProof/>
        </w:rPr>
        <w:t xml:space="preserve">. 2023e, Olivier </w:t>
      </w:r>
      <w:r w:rsidR="00BA632D" w:rsidRPr="00BA632D">
        <w:rPr>
          <w:rFonts w:ascii="Arial" w:eastAsia="Times New Roman" w:hAnsi="Arial" w:cs="Arial"/>
          <w:i/>
          <w:iCs/>
          <w:noProof/>
        </w:rPr>
        <w:t>et al</w:t>
      </w:r>
      <w:r>
        <w:rPr>
          <w:rFonts w:ascii="Arial" w:eastAsia="Times New Roman" w:hAnsi="Arial" w:cs="Arial"/>
          <w:iCs/>
          <w:noProof/>
        </w:rPr>
        <w:t xml:space="preserve">. 2021e, Olivier </w:t>
      </w:r>
      <w:r w:rsidR="00BA632D" w:rsidRPr="00BA632D">
        <w:rPr>
          <w:rFonts w:ascii="Arial" w:eastAsia="Times New Roman" w:hAnsi="Arial" w:cs="Arial"/>
          <w:i/>
          <w:iCs/>
          <w:noProof/>
        </w:rPr>
        <w:t>et al</w:t>
      </w:r>
      <w:r>
        <w:rPr>
          <w:rFonts w:ascii="Arial" w:eastAsia="Times New Roman" w:hAnsi="Arial" w:cs="Arial"/>
          <w:iCs/>
          <w:noProof/>
        </w:rPr>
        <w:t xml:space="preserve">. 2021d, Olivier </w:t>
      </w:r>
      <w:r w:rsidR="00BA632D" w:rsidRPr="00BA632D">
        <w:rPr>
          <w:rFonts w:ascii="Arial" w:eastAsia="Times New Roman" w:hAnsi="Arial" w:cs="Arial"/>
          <w:i/>
          <w:iCs/>
          <w:noProof/>
        </w:rPr>
        <w:t>et al</w:t>
      </w:r>
      <w:r>
        <w:rPr>
          <w:rFonts w:ascii="Arial" w:eastAsia="Times New Roman" w:hAnsi="Arial" w:cs="Arial"/>
          <w:iCs/>
          <w:noProof/>
        </w:rPr>
        <w:t xml:space="preserve">. 2024e, Olivier </w:t>
      </w:r>
      <w:r w:rsidR="00BA632D" w:rsidRPr="00BA632D">
        <w:rPr>
          <w:rFonts w:ascii="Arial" w:eastAsia="Times New Roman" w:hAnsi="Arial" w:cs="Arial"/>
          <w:i/>
          <w:iCs/>
          <w:noProof/>
        </w:rPr>
        <w:t>et al</w:t>
      </w:r>
      <w:r>
        <w:rPr>
          <w:rFonts w:ascii="Arial" w:eastAsia="Times New Roman" w:hAnsi="Arial" w:cs="Arial"/>
          <w:iCs/>
          <w:noProof/>
        </w:rPr>
        <w:t>. 2024c)</w:t>
      </w:r>
      <w:r w:rsidRPr="003703DA">
        <w:rPr>
          <w:rFonts w:ascii="Arial" w:eastAsia="Times New Roman" w:hAnsi="Arial" w:cs="Arial"/>
          <w:iCs/>
        </w:rPr>
        <w:t xml:space="preserve">. </w:t>
      </w:r>
    </w:p>
    <w:p w14:paraId="46C5428B" w14:textId="0862894A" w:rsidR="00D53AFF" w:rsidRPr="003703DA" w:rsidRDefault="00D53AFF" w:rsidP="00004B4D">
      <w:pPr>
        <w:spacing w:after="0" w:line="240" w:lineRule="auto"/>
        <w:ind w:firstLine="708"/>
        <w:jc w:val="both"/>
        <w:rPr>
          <w:rFonts w:ascii="Arial" w:eastAsia="Times New Roman" w:hAnsi="Arial" w:cs="Arial"/>
        </w:rPr>
      </w:pPr>
      <w:r w:rsidRPr="003703DA">
        <w:rPr>
          <w:rFonts w:ascii="Arial" w:eastAsia="Times New Roman" w:hAnsi="Arial" w:cs="Arial"/>
        </w:rPr>
        <w:t>The Leukocyte Adherence Inhibition Test (LAIT) and its similar assay</w:t>
      </w:r>
      <w:r>
        <w:rPr>
          <w:rFonts w:ascii="Arial" w:eastAsia="Times New Roman" w:hAnsi="Arial" w:cs="Arial"/>
        </w:rPr>
        <w:t>,</w:t>
      </w:r>
      <w:r w:rsidRPr="003703DA">
        <w:rPr>
          <w:rFonts w:ascii="Arial" w:eastAsia="Times New Roman" w:hAnsi="Arial" w:cs="Arial"/>
        </w:rPr>
        <w:t xml:space="preserve"> the Leukocyte Migration Inhibition Test (LMIT)</w:t>
      </w:r>
      <w:r>
        <w:rPr>
          <w:rFonts w:ascii="Arial" w:eastAsia="Times New Roman" w:hAnsi="Arial" w:cs="Arial"/>
        </w:rPr>
        <w:t>,</w:t>
      </w:r>
      <w:r w:rsidRPr="003703DA">
        <w:rPr>
          <w:rFonts w:ascii="Arial" w:eastAsia="Times New Roman" w:hAnsi="Arial" w:cs="Arial"/>
        </w:rPr>
        <w:t xml:space="preserve"> have </w:t>
      </w:r>
      <w:r w:rsidR="008D5A42">
        <w:rPr>
          <w:rFonts w:ascii="Arial" w:eastAsia="Times New Roman" w:hAnsi="Arial" w:cs="Arial"/>
        </w:rPr>
        <w:t>traditionally</w:t>
      </w:r>
      <w:r w:rsidRPr="003703DA">
        <w:rPr>
          <w:rFonts w:ascii="Arial" w:eastAsia="Times New Roman" w:hAnsi="Arial" w:cs="Arial"/>
        </w:rPr>
        <w:t xml:space="preserve"> been used to differentiate </w:t>
      </w:r>
      <w:r>
        <w:rPr>
          <w:rFonts w:ascii="Arial" w:eastAsia="Times New Roman" w:hAnsi="Arial" w:cs="Arial"/>
        </w:rPr>
        <w:t>n</w:t>
      </w:r>
      <w:r w:rsidRPr="003703DA">
        <w:rPr>
          <w:rFonts w:ascii="Arial" w:eastAsia="Times New Roman" w:hAnsi="Arial" w:cs="Arial"/>
        </w:rPr>
        <w:t>on–</w:t>
      </w:r>
      <w:proofErr w:type="spellStart"/>
      <w:r w:rsidRPr="003703DA">
        <w:rPr>
          <w:rFonts w:ascii="Arial" w:eastAsia="Times New Roman" w:hAnsi="Arial" w:cs="Arial"/>
        </w:rPr>
        <w:t>IgE</w:t>
      </w:r>
      <w:proofErr w:type="spellEnd"/>
      <w:r w:rsidRPr="003703DA">
        <w:rPr>
          <w:rFonts w:ascii="Arial" w:eastAsia="Times New Roman" w:hAnsi="Arial" w:cs="Arial"/>
        </w:rPr>
        <w:t xml:space="preserve">-mediated immunoreactivity against microorganisms and aeroallergens </w:t>
      </w:r>
      <w:r>
        <w:rPr>
          <w:rFonts w:ascii="Arial" w:eastAsia="Times New Roman" w:hAnsi="Arial" w:cs="Arial"/>
          <w:noProof/>
        </w:rPr>
        <w:t xml:space="preserve">(Fink </w:t>
      </w:r>
      <w:r w:rsidR="00BA632D" w:rsidRPr="00BA632D">
        <w:rPr>
          <w:rFonts w:ascii="Arial" w:eastAsia="Times New Roman" w:hAnsi="Arial" w:cs="Arial"/>
          <w:i/>
          <w:iCs/>
          <w:noProof/>
        </w:rPr>
        <w:t>et al</w:t>
      </w:r>
      <w:r>
        <w:rPr>
          <w:rFonts w:ascii="Arial" w:eastAsia="Times New Roman" w:hAnsi="Arial" w:cs="Arial"/>
          <w:noProof/>
        </w:rPr>
        <w:t>. 1987, Kallen and Nilsson 1979, Kuratsuji 1981, Thomson 1982)</w:t>
      </w:r>
      <w:r w:rsidRPr="003703DA">
        <w:rPr>
          <w:rFonts w:ascii="Arial" w:eastAsia="Times New Roman" w:hAnsi="Arial" w:cs="Arial"/>
        </w:rPr>
        <w:t xml:space="preserve">. The LAIT and the LMIT have also </w:t>
      </w:r>
      <w:r w:rsidR="008D5A42">
        <w:rPr>
          <w:rFonts w:ascii="Arial" w:eastAsia="Times New Roman" w:hAnsi="Arial" w:cs="Arial"/>
        </w:rPr>
        <w:t xml:space="preserve">been </w:t>
      </w:r>
      <w:r w:rsidRPr="003703DA">
        <w:rPr>
          <w:rFonts w:ascii="Arial" w:eastAsia="Times New Roman" w:hAnsi="Arial" w:cs="Arial"/>
        </w:rPr>
        <w:t xml:space="preserve">classically used to differentiate </w:t>
      </w:r>
      <w:r>
        <w:rPr>
          <w:rFonts w:ascii="Arial" w:eastAsia="Times New Roman" w:hAnsi="Arial" w:cs="Arial"/>
        </w:rPr>
        <w:t>n</w:t>
      </w:r>
      <w:r w:rsidRPr="003703DA">
        <w:rPr>
          <w:rFonts w:ascii="Arial" w:eastAsia="Times New Roman" w:hAnsi="Arial" w:cs="Arial"/>
        </w:rPr>
        <w:t>on–</w:t>
      </w:r>
      <w:proofErr w:type="spellStart"/>
      <w:r w:rsidRPr="003703DA">
        <w:rPr>
          <w:rFonts w:ascii="Arial" w:eastAsia="Times New Roman" w:hAnsi="Arial" w:cs="Arial"/>
        </w:rPr>
        <w:t>IgE</w:t>
      </w:r>
      <w:proofErr w:type="spellEnd"/>
      <w:r w:rsidRPr="003703DA">
        <w:rPr>
          <w:rFonts w:ascii="Arial" w:eastAsia="Times New Roman" w:hAnsi="Arial" w:cs="Arial"/>
        </w:rPr>
        <w:t xml:space="preserve">-mediated immunoreactivity against food allergens </w:t>
      </w:r>
      <w:r>
        <w:rPr>
          <w:rFonts w:ascii="Arial" w:eastAsia="Times New Roman" w:hAnsi="Arial" w:cs="Arial"/>
          <w:noProof/>
        </w:rPr>
        <w:t xml:space="preserve">(Allardyce and Shearman 1975, George and Vaughan 1962, Ashkenazi </w:t>
      </w:r>
      <w:r w:rsidR="00BA632D" w:rsidRPr="00BA632D">
        <w:rPr>
          <w:rFonts w:ascii="Arial" w:eastAsia="Times New Roman" w:hAnsi="Arial" w:cs="Arial"/>
          <w:i/>
          <w:iCs/>
          <w:noProof/>
        </w:rPr>
        <w:t>et al</w:t>
      </w:r>
      <w:r>
        <w:rPr>
          <w:rFonts w:ascii="Arial" w:eastAsia="Times New Roman" w:hAnsi="Arial" w:cs="Arial"/>
          <w:noProof/>
        </w:rPr>
        <w:t xml:space="preserve">. 1980, Butler </w:t>
      </w:r>
      <w:r w:rsidR="00BA632D" w:rsidRPr="00BA632D">
        <w:rPr>
          <w:rFonts w:ascii="Arial" w:eastAsia="Times New Roman" w:hAnsi="Arial" w:cs="Arial"/>
          <w:i/>
          <w:iCs/>
          <w:noProof/>
        </w:rPr>
        <w:t>et al</w:t>
      </w:r>
      <w:r>
        <w:rPr>
          <w:rFonts w:ascii="Arial" w:eastAsia="Times New Roman" w:hAnsi="Arial" w:cs="Arial"/>
          <w:noProof/>
        </w:rPr>
        <w:t xml:space="preserve">. 1981, Papageorgiou </w:t>
      </w:r>
      <w:r w:rsidR="00BA632D" w:rsidRPr="00BA632D">
        <w:rPr>
          <w:rFonts w:ascii="Arial" w:eastAsia="Times New Roman" w:hAnsi="Arial" w:cs="Arial"/>
          <w:i/>
          <w:iCs/>
          <w:noProof/>
        </w:rPr>
        <w:t>et al</w:t>
      </w:r>
      <w:r>
        <w:rPr>
          <w:rFonts w:ascii="Arial" w:eastAsia="Times New Roman" w:hAnsi="Arial" w:cs="Arial"/>
          <w:noProof/>
        </w:rPr>
        <w:t>. 1983)</w:t>
      </w:r>
      <w:r w:rsidRPr="003703DA">
        <w:rPr>
          <w:rFonts w:ascii="Arial" w:eastAsia="Times New Roman" w:hAnsi="Arial" w:cs="Arial"/>
        </w:rPr>
        <w:t xml:space="preserve">. </w:t>
      </w:r>
    </w:p>
    <w:p w14:paraId="18969827" w14:textId="7877E883" w:rsidR="00D53AFF" w:rsidRPr="003703DA" w:rsidRDefault="00D53AFF" w:rsidP="00AD6C1A">
      <w:pPr>
        <w:spacing w:after="0" w:line="240" w:lineRule="auto"/>
        <w:ind w:firstLine="708"/>
        <w:jc w:val="both"/>
        <w:rPr>
          <w:rFonts w:ascii="Arial" w:eastAsia="Times New Roman" w:hAnsi="Arial" w:cs="Arial"/>
          <w:iCs/>
        </w:rPr>
      </w:pPr>
      <w:r w:rsidRPr="003703DA">
        <w:rPr>
          <w:rFonts w:ascii="Arial" w:eastAsia="Times New Roman" w:hAnsi="Arial" w:cs="Arial"/>
        </w:rPr>
        <w:t xml:space="preserve"> Non–</w:t>
      </w:r>
      <w:proofErr w:type="spellStart"/>
      <w:r w:rsidRPr="003703DA">
        <w:rPr>
          <w:rFonts w:ascii="Arial" w:eastAsia="Times New Roman" w:hAnsi="Arial" w:cs="Arial"/>
        </w:rPr>
        <w:t>IgE</w:t>
      </w:r>
      <w:proofErr w:type="spellEnd"/>
      <w:r w:rsidRPr="003703DA">
        <w:rPr>
          <w:rFonts w:ascii="Arial" w:eastAsia="Times New Roman" w:hAnsi="Arial" w:cs="Arial"/>
        </w:rPr>
        <w:t xml:space="preserve">-mediated cellular immunoreactivity against food allergens had also been reported by our group </w:t>
      </w:r>
      <w:r w:rsidR="00975B0F">
        <w:rPr>
          <w:rFonts w:ascii="Arial" w:eastAsia="Times New Roman" w:hAnsi="Arial" w:cs="Arial"/>
        </w:rPr>
        <w:t>using</w:t>
      </w:r>
      <w:r w:rsidRPr="003703DA">
        <w:rPr>
          <w:rFonts w:ascii="Arial" w:eastAsia="Times New Roman" w:hAnsi="Arial" w:cs="Arial"/>
        </w:rPr>
        <w:t xml:space="preserve"> </w:t>
      </w:r>
      <w:r w:rsidRPr="003703DA">
        <w:rPr>
          <w:rFonts w:ascii="Arial" w:eastAsia="Times New Roman" w:hAnsi="Arial" w:cs="Arial"/>
          <w:iCs/>
        </w:rPr>
        <w:t xml:space="preserve">LAIT </w:t>
      </w:r>
      <w:r>
        <w:rPr>
          <w:rFonts w:ascii="Arial" w:eastAsia="Times New Roman" w:hAnsi="Arial" w:cs="Arial"/>
          <w:iCs/>
          <w:noProof/>
        </w:rPr>
        <w:t xml:space="preserve">(Olivier </w:t>
      </w:r>
      <w:r w:rsidR="00BA632D" w:rsidRPr="00BA632D">
        <w:rPr>
          <w:rFonts w:ascii="Arial" w:eastAsia="Times New Roman" w:hAnsi="Arial" w:cs="Arial"/>
          <w:i/>
          <w:iCs/>
          <w:noProof/>
        </w:rPr>
        <w:t>et al</w:t>
      </w:r>
      <w:r>
        <w:rPr>
          <w:rFonts w:ascii="Arial" w:eastAsia="Times New Roman" w:hAnsi="Arial" w:cs="Arial"/>
          <w:iCs/>
          <w:noProof/>
        </w:rPr>
        <w:t xml:space="preserve">. 2022b, Olivier </w:t>
      </w:r>
      <w:r w:rsidR="00BA632D" w:rsidRPr="00BA632D">
        <w:rPr>
          <w:rFonts w:ascii="Arial" w:eastAsia="Times New Roman" w:hAnsi="Arial" w:cs="Arial"/>
          <w:i/>
          <w:iCs/>
          <w:noProof/>
        </w:rPr>
        <w:t>et al</w:t>
      </w:r>
      <w:r>
        <w:rPr>
          <w:rFonts w:ascii="Arial" w:eastAsia="Times New Roman" w:hAnsi="Arial" w:cs="Arial"/>
          <w:iCs/>
          <w:noProof/>
        </w:rPr>
        <w:t xml:space="preserve">. 2022a, Olivier </w:t>
      </w:r>
      <w:r w:rsidR="00BA632D" w:rsidRPr="00BA632D">
        <w:rPr>
          <w:rFonts w:ascii="Arial" w:eastAsia="Times New Roman" w:hAnsi="Arial" w:cs="Arial"/>
          <w:i/>
          <w:iCs/>
          <w:noProof/>
        </w:rPr>
        <w:t>et al</w:t>
      </w:r>
      <w:r>
        <w:rPr>
          <w:rFonts w:ascii="Arial" w:eastAsia="Times New Roman" w:hAnsi="Arial" w:cs="Arial"/>
          <w:iCs/>
          <w:noProof/>
        </w:rPr>
        <w:t xml:space="preserve">. 2022c, Olivier </w:t>
      </w:r>
      <w:r w:rsidR="00BA632D" w:rsidRPr="00BA632D">
        <w:rPr>
          <w:rFonts w:ascii="Arial" w:eastAsia="Times New Roman" w:hAnsi="Arial" w:cs="Arial"/>
          <w:i/>
          <w:iCs/>
          <w:noProof/>
        </w:rPr>
        <w:t>et al</w:t>
      </w:r>
      <w:r>
        <w:rPr>
          <w:rFonts w:ascii="Arial" w:eastAsia="Times New Roman" w:hAnsi="Arial" w:cs="Arial"/>
          <w:iCs/>
          <w:noProof/>
        </w:rPr>
        <w:t>. 2023a)</w:t>
      </w:r>
      <w:r w:rsidRPr="003703DA">
        <w:rPr>
          <w:rFonts w:ascii="Arial" w:eastAsia="Times New Roman" w:hAnsi="Arial" w:cs="Arial"/>
          <w:iCs/>
        </w:rPr>
        <w:t xml:space="preserve">. </w:t>
      </w:r>
      <w:r w:rsidRPr="003703DA">
        <w:rPr>
          <w:rFonts w:ascii="Arial" w:eastAsia="Times New Roman" w:hAnsi="Arial" w:cs="Arial"/>
        </w:rPr>
        <w:t>Non–</w:t>
      </w:r>
      <w:proofErr w:type="spellStart"/>
      <w:r w:rsidRPr="003703DA">
        <w:rPr>
          <w:rFonts w:ascii="Arial" w:eastAsia="Times New Roman" w:hAnsi="Arial" w:cs="Arial"/>
        </w:rPr>
        <w:t>IgE</w:t>
      </w:r>
      <w:proofErr w:type="spellEnd"/>
      <w:r w:rsidRPr="003703DA">
        <w:rPr>
          <w:rFonts w:ascii="Arial" w:eastAsia="Times New Roman" w:hAnsi="Arial" w:cs="Arial"/>
        </w:rPr>
        <w:t xml:space="preserve">-mediated cellular immunoreactivity against aeroallergens and microorganisms had also been reported by our group with the help of the </w:t>
      </w:r>
      <w:r w:rsidRPr="003703DA">
        <w:rPr>
          <w:rFonts w:ascii="Arial" w:eastAsia="Times New Roman" w:hAnsi="Arial" w:cs="Arial"/>
          <w:iCs/>
        </w:rPr>
        <w:t xml:space="preserve">LAIT </w:t>
      </w:r>
      <w:r>
        <w:rPr>
          <w:rFonts w:ascii="Arial" w:eastAsia="Times New Roman" w:hAnsi="Arial" w:cs="Arial"/>
          <w:iCs/>
          <w:noProof/>
        </w:rPr>
        <w:t xml:space="preserve">(Olivier </w:t>
      </w:r>
      <w:r w:rsidR="00BA632D" w:rsidRPr="00BA632D">
        <w:rPr>
          <w:rFonts w:ascii="Arial" w:eastAsia="Times New Roman" w:hAnsi="Arial" w:cs="Arial"/>
          <w:i/>
          <w:iCs/>
          <w:noProof/>
        </w:rPr>
        <w:t>et al</w:t>
      </w:r>
      <w:r>
        <w:rPr>
          <w:rFonts w:ascii="Arial" w:eastAsia="Times New Roman" w:hAnsi="Arial" w:cs="Arial"/>
          <w:iCs/>
          <w:noProof/>
        </w:rPr>
        <w:t xml:space="preserve">. 2023d, Olivier </w:t>
      </w:r>
      <w:r w:rsidR="00BA632D" w:rsidRPr="00BA632D">
        <w:rPr>
          <w:rFonts w:ascii="Arial" w:eastAsia="Times New Roman" w:hAnsi="Arial" w:cs="Arial"/>
          <w:i/>
          <w:iCs/>
          <w:noProof/>
        </w:rPr>
        <w:t>et al</w:t>
      </w:r>
      <w:r>
        <w:rPr>
          <w:rFonts w:ascii="Arial" w:eastAsia="Times New Roman" w:hAnsi="Arial" w:cs="Arial"/>
          <w:iCs/>
          <w:noProof/>
        </w:rPr>
        <w:t xml:space="preserve">. 2023f, Olivier </w:t>
      </w:r>
      <w:r w:rsidR="00BA632D" w:rsidRPr="00BA632D">
        <w:rPr>
          <w:rFonts w:ascii="Arial" w:eastAsia="Times New Roman" w:hAnsi="Arial" w:cs="Arial"/>
          <w:i/>
          <w:iCs/>
          <w:noProof/>
        </w:rPr>
        <w:t>et al</w:t>
      </w:r>
      <w:r>
        <w:rPr>
          <w:rFonts w:ascii="Arial" w:eastAsia="Times New Roman" w:hAnsi="Arial" w:cs="Arial"/>
          <w:iCs/>
          <w:noProof/>
        </w:rPr>
        <w:t xml:space="preserve">. 2023b, Olivier </w:t>
      </w:r>
      <w:r w:rsidR="00BA632D" w:rsidRPr="00BA632D">
        <w:rPr>
          <w:rFonts w:ascii="Arial" w:eastAsia="Times New Roman" w:hAnsi="Arial" w:cs="Arial"/>
          <w:i/>
          <w:iCs/>
          <w:noProof/>
        </w:rPr>
        <w:t>et al</w:t>
      </w:r>
      <w:r>
        <w:rPr>
          <w:rFonts w:ascii="Arial" w:eastAsia="Times New Roman" w:hAnsi="Arial" w:cs="Arial"/>
          <w:iCs/>
          <w:noProof/>
        </w:rPr>
        <w:t xml:space="preserve">. 2023c, Olivier </w:t>
      </w:r>
      <w:r w:rsidR="00BA632D" w:rsidRPr="00BA632D">
        <w:rPr>
          <w:rFonts w:ascii="Arial" w:eastAsia="Times New Roman" w:hAnsi="Arial" w:cs="Arial"/>
          <w:i/>
          <w:iCs/>
          <w:noProof/>
        </w:rPr>
        <w:t>et al</w:t>
      </w:r>
      <w:r>
        <w:rPr>
          <w:rFonts w:ascii="Arial" w:eastAsia="Times New Roman" w:hAnsi="Arial" w:cs="Arial"/>
          <w:iCs/>
          <w:noProof/>
        </w:rPr>
        <w:t>. 2024f)</w:t>
      </w:r>
      <w:r w:rsidRPr="003703DA">
        <w:rPr>
          <w:rFonts w:ascii="Arial" w:eastAsia="Times New Roman" w:hAnsi="Arial" w:cs="Arial"/>
          <w:iCs/>
        </w:rPr>
        <w:t xml:space="preserve">. </w:t>
      </w:r>
      <w:r w:rsidRPr="003703DA">
        <w:rPr>
          <w:rFonts w:ascii="Arial" w:eastAsia="Times New Roman" w:hAnsi="Arial" w:cs="Arial"/>
        </w:rPr>
        <w:t>We</w:t>
      </w:r>
      <w:r w:rsidRPr="003703DA">
        <w:rPr>
          <w:rFonts w:ascii="Arial" w:eastAsia="Times New Roman" w:hAnsi="Arial" w:cs="Arial"/>
          <w:iCs/>
        </w:rPr>
        <w:t xml:space="preserve"> also routinely employ the LAIT and TTP to endotype cellular and humoral </w:t>
      </w:r>
      <w:r w:rsidRPr="003703DA">
        <w:rPr>
          <w:rFonts w:ascii="Arial" w:eastAsia="Times New Roman" w:hAnsi="Arial" w:cs="Arial"/>
        </w:rPr>
        <w:t>non–</w:t>
      </w:r>
      <w:proofErr w:type="spellStart"/>
      <w:r w:rsidRPr="003703DA">
        <w:rPr>
          <w:rFonts w:ascii="Arial" w:eastAsia="Times New Roman" w:hAnsi="Arial" w:cs="Arial"/>
        </w:rPr>
        <w:t>IgE</w:t>
      </w:r>
      <w:proofErr w:type="spellEnd"/>
      <w:r w:rsidRPr="003703DA">
        <w:rPr>
          <w:rFonts w:ascii="Arial" w:eastAsia="Times New Roman" w:hAnsi="Arial" w:cs="Arial"/>
        </w:rPr>
        <w:t xml:space="preserve">-mediated immunoreactivity against allergens </w:t>
      </w:r>
      <w:r>
        <w:rPr>
          <w:rFonts w:ascii="Arial" w:eastAsia="Times New Roman" w:hAnsi="Arial" w:cs="Arial"/>
        </w:rPr>
        <w:t xml:space="preserve">already </w:t>
      </w:r>
      <w:r w:rsidRPr="003703DA">
        <w:rPr>
          <w:rFonts w:ascii="Arial" w:eastAsia="Times New Roman" w:hAnsi="Arial" w:cs="Arial"/>
          <w:iCs/>
        </w:rPr>
        <w:t xml:space="preserve">proved to produce allergic symptoms by </w:t>
      </w:r>
      <w:r w:rsidRPr="003703DA">
        <w:rPr>
          <w:rFonts w:ascii="Arial" w:eastAsia="Times New Roman" w:hAnsi="Arial" w:cs="Arial"/>
          <w:i/>
        </w:rPr>
        <w:t>in vivo</w:t>
      </w:r>
      <w:r w:rsidRPr="003703DA">
        <w:rPr>
          <w:rFonts w:ascii="Arial" w:eastAsia="Times New Roman" w:hAnsi="Arial" w:cs="Arial"/>
          <w:iCs/>
        </w:rPr>
        <w:t xml:space="preserve"> provocation tests </w:t>
      </w:r>
      <w:r>
        <w:rPr>
          <w:rFonts w:ascii="Arial" w:eastAsia="Times New Roman" w:hAnsi="Arial" w:cs="Arial"/>
          <w:iCs/>
          <w:noProof/>
        </w:rPr>
        <w:t xml:space="preserve">(Olivier </w:t>
      </w:r>
      <w:r w:rsidR="00BA632D" w:rsidRPr="00BA632D">
        <w:rPr>
          <w:rFonts w:ascii="Arial" w:eastAsia="Times New Roman" w:hAnsi="Arial" w:cs="Arial"/>
          <w:i/>
          <w:iCs/>
          <w:noProof/>
        </w:rPr>
        <w:t>et al</w:t>
      </w:r>
      <w:r>
        <w:rPr>
          <w:rFonts w:ascii="Arial" w:eastAsia="Times New Roman" w:hAnsi="Arial" w:cs="Arial"/>
          <w:iCs/>
          <w:noProof/>
        </w:rPr>
        <w:t xml:space="preserve">. 2024b, Olivier </w:t>
      </w:r>
      <w:r w:rsidR="00BA632D" w:rsidRPr="00BA632D">
        <w:rPr>
          <w:rFonts w:ascii="Arial" w:eastAsia="Times New Roman" w:hAnsi="Arial" w:cs="Arial"/>
          <w:i/>
          <w:iCs/>
          <w:noProof/>
        </w:rPr>
        <w:t>et al</w:t>
      </w:r>
      <w:r>
        <w:rPr>
          <w:rFonts w:ascii="Arial" w:eastAsia="Times New Roman" w:hAnsi="Arial" w:cs="Arial"/>
          <w:iCs/>
          <w:noProof/>
        </w:rPr>
        <w:t xml:space="preserve">. 2024d, Olivier </w:t>
      </w:r>
      <w:r w:rsidR="00BA632D" w:rsidRPr="00BA632D">
        <w:rPr>
          <w:rFonts w:ascii="Arial" w:eastAsia="Times New Roman" w:hAnsi="Arial" w:cs="Arial"/>
          <w:i/>
          <w:iCs/>
          <w:noProof/>
        </w:rPr>
        <w:t>et al</w:t>
      </w:r>
      <w:r>
        <w:rPr>
          <w:rFonts w:ascii="Arial" w:eastAsia="Times New Roman" w:hAnsi="Arial" w:cs="Arial"/>
          <w:iCs/>
          <w:noProof/>
        </w:rPr>
        <w:t xml:space="preserve">. 2024g, Olivier </w:t>
      </w:r>
      <w:r w:rsidR="00BA632D" w:rsidRPr="00BA632D">
        <w:rPr>
          <w:rFonts w:ascii="Arial" w:eastAsia="Times New Roman" w:hAnsi="Arial" w:cs="Arial"/>
          <w:i/>
          <w:iCs/>
          <w:noProof/>
        </w:rPr>
        <w:t>et al</w:t>
      </w:r>
      <w:r>
        <w:rPr>
          <w:rFonts w:ascii="Arial" w:eastAsia="Times New Roman" w:hAnsi="Arial" w:cs="Arial"/>
          <w:iCs/>
          <w:noProof/>
        </w:rPr>
        <w:t>. 2025)</w:t>
      </w:r>
    </w:p>
    <w:p w14:paraId="6457D8D9" w14:textId="77777777" w:rsidR="00D53AFF" w:rsidRPr="003703DA" w:rsidRDefault="00D53AFF" w:rsidP="00706BE8">
      <w:pPr>
        <w:spacing w:after="0" w:line="240" w:lineRule="auto"/>
        <w:ind w:firstLine="708"/>
        <w:jc w:val="both"/>
        <w:rPr>
          <w:rFonts w:ascii="Arial" w:eastAsia="Times New Roman" w:hAnsi="Arial" w:cs="Arial"/>
        </w:rPr>
      </w:pPr>
      <w:r w:rsidRPr="003703DA">
        <w:rPr>
          <w:rFonts w:ascii="Arial" w:eastAsia="Calibri" w:hAnsi="Arial" w:cs="Arial"/>
          <w:bCs/>
        </w:rPr>
        <w:t xml:space="preserve">To evaluate the potential of the LAIT and TTP to </w:t>
      </w:r>
      <w:proofErr w:type="spellStart"/>
      <w:r w:rsidRPr="003703DA">
        <w:rPr>
          <w:rFonts w:ascii="Arial" w:eastAsia="Calibri" w:hAnsi="Arial" w:cs="Arial"/>
          <w:bCs/>
        </w:rPr>
        <w:t>endotyping</w:t>
      </w:r>
      <w:proofErr w:type="spellEnd"/>
      <w:r w:rsidRPr="003703DA">
        <w:rPr>
          <w:rFonts w:ascii="Arial" w:eastAsia="Calibri" w:hAnsi="Arial" w:cs="Arial"/>
          <w:bCs/>
        </w:rPr>
        <w:t xml:space="preserve"> </w:t>
      </w:r>
      <w:r>
        <w:rPr>
          <w:rFonts w:ascii="Arial" w:eastAsia="Calibri" w:hAnsi="Arial" w:cs="Arial"/>
          <w:bCs/>
        </w:rPr>
        <w:t>n</w:t>
      </w:r>
      <w:r w:rsidRPr="003703DA">
        <w:rPr>
          <w:rFonts w:ascii="Arial" w:eastAsia="Calibri" w:hAnsi="Arial" w:cs="Arial"/>
          <w:bCs/>
        </w:rPr>
        <w:t>on–</w:t>
      </w:r>
      <w:proofErr w:type="spellStart"/>
      <w:r w:rsidRPr="003703DA">
        <w:rPr>
          <w:rFonts w:ascii="Arial" w:eastAsia="Calibri" w:hAnsi="Arial" w:cs="Arial"/>
          <w:bCs/>
        </w:rPr>
        <w:t>IgE</w:t>
      </w:r>
      <w:proofErr w:type="spellEnd"/>
      <w:r w:rsidRPr="003703DA">
        <w:rPr>
          <w:rFonts w:ascii="Arial" w:eastAsia="Calibri" w:hAnsi="Arial" w:cs="Arial"/>
          <w:bCs/>
        </w:rPr>
        <w:t xml:space="preserve">-mediated cellular and humoral immunoreactivity against </w:t>
      </w:r>
      <w:proofErr w:type="spellStart"/>
      <w:r w:rsidRPr="003703DA">
        <w:rPr>
          <w:rFonts w:ascii="Arial" w:eastAsia="Calibri" w:hAnsi="Arial" w:cs="Arial"/>
          <w:bCs/>
          <w:i/>
          <w:iCs/>
        </w:rPr>
        <w:t>Blomia</w:t>
      </w:r>
      <w:proofErr w:type="spellEnd"/>
      <w:r w:rsidRPr="003703DA">
        <w:rPr>
          <w:rFonts w:ascii="Arial" w:eastAsia="Calibri" w:hAnsi="Arial" w:cs="Arial"/>
          <w:bCs/>
          <w:i/>
          <w:iCs/>
        </w:rPr>
        <w:t xml:space="preserve"> tropicalis</w:t>
      </w:r>
      <w:r w:rsidRPr="003703DA">
        <w:rPr>
          <w:rFonts w:ascii="Arial" w:eastAsia="Calibri" w:hAnsi="Arial" w:cs="Arial"/>
          <w:bCs/>
        </w:rPr>
        <w:t xml:space="preserve"> and </w:t>
      </w:r>
      <w:proofErr w:type="spellStart"/>
      <w:r w:rsidRPr="003703DA">
        <w:rPr>
          <w:rFonts w:ascii="Arial" w:eastAsia="Calibri" w:hAnsi="Arial" w:cs="Arial"/>
          <w:bCs/>
          <w:i/>
          <w:iCs/>
        </w:rPr>
        <w:t>Farfantepenaeus</w:t>
      </w:r>
      <w:proofErr w:type="spellEnd"/>
      <w:r w:rsidRPr="003703DA">
        <w:rPr>
          <w:rFonts w:ascii="Arial" w:eastAsia="Calibri" w:hAnsi="Arial" w:cs="Arial"/>
          <w:bCs/>
          <w:i/>
          <w:iCs/>
        </w:rPr>
        <w:t xml:space="preserve"> </w:t>
      </w:r>
      <w:proofErr w:type="spellStart"/>
      <w:r w:rsidRPr="003703DA">
        <w:rPr>
          <w:rFonts w:ascii="Arial" w:eastAsia="Calibri" w:hAnsi="Arial" w:cs="Arial"/>
          <w:bCs/>
          <w:i/>
          <w:iCs/>
        </w:rPr>
        <w:t>brasiliensis</w:t>
      </w:r>
      <w:proofErr w:type="spellEnd"/>
      <w:r w:rsidRPr="003703DA">
        <w:rPr>
          <w:rFonts w:ascii="Arial" w:eastAsia="Calibri" w:hAnsi="Arial" w:cs="Arial"/>
          <w:bCs/>
        </w:rPr>
        <w:t xml:space="preserve"> extract, w</w:t>
      </w:r>
      <w:r w:rsidRPr="003703DA">
        <w:rPr>
          <w:rFonts w:ascii="Arial" w:eastAsia="Times New Roman" w:hAnsi="Arial" w:cs="Arial"/>
        </w:rPr>
        <w:t>e retrospectively compiled the electronic medical charts of</w:t>
      </w:r>
      <w:r w:rsidRPr="003703DA">
        <w:rPr>
          <w:rFonts w:ascii="Arial" w:eastAsia="Calibri" w:hAnsi="Arial" w:cs="Arial"/>
          <w:bCs/>
        </w:rPr>
        <w:t xml:space="preserve"> patients diagnosed with </w:t>
      </w:r>
      <w:r w:rsidRPr="003703DA">
        <w:rPr>
          <w:rFonts w:ascii="Arial" w:eastAsia="Times New Roman" w:hAnsi="Arial" w:cs="Arial"/>
        </w:rPr>
        <w:t>non–</w:t>
      </w:r>
      <w:proofErr w:type="spellStart"/>
      <w:r w:rsidRPr="003703DA">
        <w:rPr>
          <w:rFonts w:ascii="Arial" w:eastAsia="Times New Roman" w:hAnsi="Arial" w:cs="Arial"/>
        </w:rPr>
        <w:t>IgE</w:t>
      </w:r>
      <w:proofErr w:type="spellEnd"/>
      <w:r w:rsidRPr="003703DA">
        <w:rPr>
          <w:rFonts w:ascii="Arial" w:eastAsia="Times New Roman" w:hAnsi="Arial" w:cs="Arial"/>
        </w:rPr>
        <w:t>-mediated Allergic Multimorbidity</w:t>
      </w:r>
      <w:r w:rsidRPr="003703DA">
        <w:rPr>
          <w:rFonts w:ascii="Arial" w:eastAsia="Calibri" w:hAnsi="Arial" w:cs="Arial"/>
          <w:bCs/>
        </w:rPr>
        <w:t xml:space="preserve"> </w:t>
      </w:r>
      <w:r w:rsidRPr="003703DA">
        <w:rPr>
          <w:rFonts w:ascii="Arial" w:eastAsia="Times New Roman" w:hAnsi="Arial" w:cs="Arial"/>
        </w:rPr>
        <w:t>who were investigated for immunoreactivity simultaneously by one of these assays.</w:t>
      </w:r>
    </w:p>
    <w:p w14:paraId="1926DE04" w14:textId="41FCFD43" w:rsidR="00D53AFF" w:rsidRPr="003703DA" w:rsidRDefault="00D53AFF" w:rsidP="009E4CE0">
      <w:pPr>
        <w:spacing w:after="0" w:line="240" w:lineRule="auto"/>
        <w:ind w:firstLine="709"/>
        <w:jc w:val="both"/>
        <w:rPr>
          <w:rFonts w:ascii="Arial" w:eastAsia="Times New Roman" w:hAnsi="Arial" w:cs="Arial"/>
        </w:rPr>
      </w:pPr>
      <w:r w:rsidRPr="003703DA">
        <w:rPr>
          <w:rFonts w:ascii="Arial" w:eastAsia="Times New Roman" w:hAnsi="Arial" w:cs="Arial"/>
        </w:rPr>
        <w:t xml:space="preserve">The present study </w:t>
      </w:r>
      <w:r w:rsidR="008D5A42">
        <w:rPr>
          <w:rFonts w:ascii="Arial" w:eastAsia="Times New Roman" w:hAnsi="Arial" w:cs="Arial"/>
        </w:rPr>
        <w:t>provides</w:t>
      </w:r>
      <w:r w:rsidRPr="003703DA">
        <w:rPr>
          <w:rFonts w:ascii="Arial" w:eastAsia="Times New Roman" w:hAnsi="Arial" w:cs="Arial"/>
        </w:rPr>
        <w:t xml:space="preserve"> </w:t>
      </w:r>
      <w:r w:rsidR="00995CDB">
        <w:rPr>
          <w:rFonts w:ascii="Arial" w:eastAsia="Times New Roman" w:hAnsi="Arial" w:cs="Arial"/>
        </w:rPr>
        <w:t xml:space="preserve">proof of concept that hypothesizes LAIT and the TTP may demonstrate cellular and/or humoral immunoreactivity against </w:t>
      </w:r>
      <w:proofErr w:type="spellStart"/>
      <w:r w:rsidR="00995CDB">
        <w:rPr>
          <w:rFonts w:ascii="Arial" w:eastAsia="Times New Roman" w:hAnsi="Arial" w:cs="Arial"/>
        </w:rPr>
        <w:t>Blomia</w:t>
      </w:r>
      <w:proofErr w:type="spellEnd"/>
      <w:r w:rsidR="00995CDB">
        <w:rPr>
          <w:rFonts w:ascii="Arial" w:eastAsia="Times New Roman" w:hAnsi="Arial" w:cs="Arial"/>
        </w:rPr>
        <w:t xml:space="preserve"> tropicalis and </w:t>
      </w:r>
      <w:proofErr w:type="spellStart"/>
      <w:r w:rsidR="00995CDB">
        <w:rPr>
          <w:rFonts w:ascii="Arial" w:eastAsia="Times New Roman" w:hAnsi="Arial" w:cs="Arial"/>
        </w:rPr>
        <w:t>Farfantepenaeus</w:t>
      </w:r>
      <w:proofErr w:type="spellEnd"/>
      <w:r w:rsidR="00995CDB">
        <w:rPr>
          <w:rFonts w:ascii="Arial" w:eastAsia="Times New Roman" w:hAnsi="Arial" w:cs="Arial"/>
        </w:rPr>
        <w:t xml:space="preserve"> </w:t>
      </w:r>
      <w:proofErr w:type="spellStart"/>
      <w:r w:rsidR="00995CDB">
        <w:rPr>
          <w:rFonts w:ascii="Arial" w:eastAsia="Times New Roman" w:hAnsi="Arial" w:cs="Arial"/>
        </w:rPr>
        <w:t>brasiliensis</w:t>
      </w:r>
      <w:proofErr w:type="spellEnd"/>
      <w:r w:rsidR="00995CDB">
        <w:rPr>
          <w:rFonts w:ascii="Arial" w:eastAsia="Times New Roman" w:hAnsi="Arial" w:cs="Arial"/>
        </w:rPr>
        <w:t xml:space="preserve"> proteins in patients suffering from non–</w:t>
      </w:r>
      <w:proofErr w:type="spellStart"/>
      <w:r w:rsidR="00995CDB">
        <w:rPr>
          <w:rFonts w:ascii="Arial" w:eastAsia="Times New Roman" w:hAnsi="Arial" w:cs="Arial"/>
        </w:rPr>
        <w:t>IgE</w:t>
      </w:r>
      <w:proofErr w:type="spellEnd"/>
      <w:r w:rsidR="00995CDB">
        <w:rPr>
          <w:rFonts w:ascii="Arial" w:eastAsia="Times New Roman" w:hAnsi="Arial" w:cs="Arial"/>
        </w:rPr>
        <w:t>–</w:t>
      </w:r>
      <w:r w:rsidRPr="003703DA">
        <w:rPr>
          <w:rFonts w:ascii="Arial" w:eastAsia="Times New Roman" w:hAnsi="Arial" w:cs="Arial"/>
        </w:rPr>
        <w:t>mediated Allergic Multimorbidity.</w:t>
      </w:r>
    </w:p>
    <w:p w14:paraId="0320097C" w14:textId="77777777" w:rsidR="00D53AFF" w:rsidRPr="003703DA" w:rsidRDefault="00D53AFF" w:rsidP="005207D9">
      <w:pPr>
        <w:spacing w:after="0" w:line="240" w:lineRule="auto"/>
        <w:ind w:firstLine="709"/>
        <w:jc w:val="both"/>
        <w:rPr>
          <w:rFonts w:ascii="Arial" w:eastAsia="Times New Roman" w:hAnsi="Arial" w:cs="Arial"/>
        </w:rPr>
      </w:pPr>
    </w:p>
    <w:bookmarkEnd w:id="1"/>
    <w:p w14:paraId="7F189F34" w14:textId="77777777" w:rsidR="00D53AFF" w:rsidRPr="003703DA" w:rsidRDefault="00D53AFF" w:rsidP="00FD0E60">
      <w:pPr>
        <w:pStyle w:val="Heading2"/>
        <w:jc w:val="both"/>
        <w:rPr>
          <w:szCs w:val="22"/>
        </w:rPr>
      </w:pPr>
      <w:r w:rsidRPr="003703DA">
        <w:rPr>
          <w:szCs w:val="22"/>
        </w:rPr>
        <w:t xml:space="preserve">2. MATERIALS AND METHODS </w:t>
      </w:r>
    </w:p>
    <w:p w14:paraId="6EA080D5" w14:textId="77777777" w:rsidR="00D53AFF" w:rsidRPr="003703DA" w:rsidRDefault="00D53AFF" w:rsidP="00FD0E60">
      <w:pPr>
        <w:spacing w:after="0" w:line="240" w:lineRule="auto"/>
        <w:jc w:val="both"/>
        <w:rPr>
          <w:rFonts w:ascii="Arial" w:eastAsia="Times New Roman" w:hAnsi="Arial" w:cs="Arial"/>
          <w:b/>
          <w:bCs/>
        </w:rPr>
      </w:pPr>
    </w:p>
    <w:p w14:paraId="1E7B4E5D" w14:textId="77777777" w:rsidR="00D53AFF" w:rsidRPr="003703DA" w:rsidRDefault="00D53AFF" w:rsidP="00FD0E60">
      <w:pPr>
        <w:pStyle w:val="Heading2"/>
        <w:jc w:val="both"/>
        <w:rPr>
          <w:rFonts w:eastAsia="Times New Roman"/>
          <w:szCs w:val="22"/>
        </w:rPr>
      </w:pPr>
      <w:r w:rsidRPr="003703DA">
        <w:rPr>
          <w:rFonts w:eastAsia="Times New Roman"/>
          <w:szCs w:val="22"/>
        </w:rPr>
        <w:t>2.1 Subjects</w:t>
      </w:r>
    </w:p>
    <w:p w14:paraId="7B79F74F" w14:textId="77777777" w:rsidR="00D53AFF" w:rsidRPr="003703DA" w:rsidRDefault="00D53AFF" w:rsidP="00FD0E60">
      <w:pPr>
        <w:spacing w:after="0" w:line="240" w:lineRule="auto"/>
        <w:jc w:val="both"/>
        <w:rPr>
          <w:rFonts w:ascii="Arial" w:eastAsia="Times New Roman" w:hAnsi="Arial" w:cs="Arial"/>
          <w:b/>
          <w:bCs/>
        </w:rPr>
      </w:pPr>
    </w:p>
    <w:p w14:paraId="11119461" w14:textId="7C58D9AA" w:rsidR="00D53AFF" w:rsidRPr="00917510" w:rsidRDefault="00D53AFF" w:rsidP="00917510">
      <w:pPr>
        <w:spacing w:after="0" w:line="240" w:lineRule="auto"/>
        <w:ind w:firstLine="708"/>
        <w:jc w:val="both"/>
        <w:rPr>
          <w:rFonts w:ascii="Arial" w:eastAsia="Times New Roman" w:hAnsi="Arial" w:cs="Arial"/>
        </w:rPr>
      </w:pPr>
      <w:r w:rsidRPr="003703DA">
        <w:rPr>
          <w:rFonts w:ascii="Arial" w:eastAsia="Times New Roman" w:hAnsi="Arial" w:cs="Arial"/>
        </w:rPr>
        <w:t>After receiving Institutional R</w:t>
      </w:r>
      <w:r w:rsidRPr="008C69ED">
        <w:rPr>
          <w:rFonts w:ascii="Arial" w:eastAsia="Times New Roman" w:hAnsi="Arial" w:cs="Arial"/>
        </w:rPr>
        <w:t xml:space="preserve">eview Board approval from the Instituto </w:t>
      </w:r>
      <w:proofErr w:type="spellStart"/>
      <w:r w:rsidRPr="008C69ED">
        <w:rPr>
          <w:rFonts w:ascii="Arial" w:eastAsia="Times New Roman" w:hAnsi="Arial" w:cs="Arial"/>
        </w:rPr>
        <w:t>Alergoimuno</w:t>
      </w:r>
      <w:proofErr w:type="spellEnd"/>
      <w:r w:rsidRPr="008C69ED">
        <w:rPr>
          <w:rFonts w:ascii="Arial" w:eastAsia="Times New Roman" w:hAnsi="Arial" w:cs="Arial"/>
        </w:rPr>
        <w:t xml:space="preserve"> de Americana (Brazil; 04/2025), we reviewed the electronic chart of 10,</w:t>
      </w:r>
      <w:r w:rsidR="00BA109A">
        <w:rPr>
          <w:rFonts w:ascii="Arial" w:eastAsia="Times New Roman" w:hAnsi="Arial" w:cs="Arial"/>
        </w:rPr>
        <w:t>5</w:t>
      </w:r>
      <w:r w:rsidRPr="008C69ED">
        <w:rPr>
          <w:rFonts w:ascii="Arial" w:eastAsia="Times New Roman" w:hAnsi="Arial" w:cs="Arial"/>
        </w:rPr>
        <w:t>00 outpatients who attended our facility from January 2018 to Ju</w:t>
      </w:r>
      <w:r w:rsidR="00FB0ADC">
        <w:rPr>
          <w:rFonts w:ascii="Arial" w:eastAsia="Times New Roman" w:hAnsi="Arial" w:cs="Arial"/>
        </w:rPr>
        <w:t>ne</w:t>
      </w:r>
      <w:r w:rsidRPr="008C69ED">
        <w:rPr>
          <w:rFonts w:ascii="Arial" w:eastAsia="Times New Roman" w:hAnsi="Arial" w:cs="Arial"/>
        </w:rPr>
        <w:t xml:space="preserve"> 2025 selecting patients diagnosed </w:t>
      </w:r>
      <w:r w:rsidRPr="008C69ED">
        <w:rPr>
          <w:rFonts w:ascii="Arial" w:eastAsia="Times New Roman" w:hAnsi="Arial" w:cs="Arial"/>
        </w:rPr>
        <w:lastRenderedPageBreak/>
        <w:t xml:space="preserve">with allergic multimorbidity who were evaluated simultaneously with LAIT or TTP against </w:t>
      </w:r>
      <w:proofErr w:type="spellStart"/>
      <w:r w:rsidRPr="00BA109A">
        <w:rPr>
          <w:rFonts w:ascii="Arial" w:eastAsia="Times New Roman" w:hAnsi="Arial" w:cs="Arial"/>
          <w:i/>
          <w:iCs/>
        </w:rPr>
        <w:t>Blomia</w:t>
      </w:r>
      <w:proofErr w:type="spellEnd"/>
      <w:r w:rsidRPr="00BA109A">
        <w:rPr>
          <w:rFonts w:ascii="Arial" w:eastAsia="Times New Roman" w:hAnsi="Arial" w:cs="Arial"/>
          <w:i/>
          <w:iCs/>
        </w:rPr>
        <w:t xml:space="preserve"> </w:t>
      </w:r>
      <w:r w:rsidR="00BA109A" w:rsidRPr="00BA109A">
        <w:rPr>
          <w:rFonts w:ascii="Arial" w:eastAsia="Times New Roman" w:hAnsi="Arial" w:cs="Arial"/>
          <w:i/>
          <w:iCs/>
        </w:rPr>
        <w:t>tropicalis</w:t>
      </w:r>
      <w:r w:rsidRPr="008C69ED">
        <w:rPr>
          <w:rFonts w:ascii="Arial" w:eastAsia="Times New Roman" w:hAnsi="Arial" w:cs="Arial"/>
        </w:rPr>
        <w:t xml:space="preserve"> or </w:t>
      </w:r>
      <w:proofErr w:type="spellStart"/>
      <w:r w:rsidRPr="00BA109A">
        <w:rPr>
          <w:rFonts w:ascii="Arial" w:eastAsia="Times New Roman" w:hAnsi="Arial" w:cs="Arial"/>
          <w:i/>
          <w:iCs/>
        </w:rPr>
        <w:t>Farfantepenaeus</w:t>
      </w:r>
      <w:proofErr w:type="spellEnd"/>
      <w:r w:rsidRPr="00BA109A">
        <w:rPr>
          <w:rFonts w:ascii="Arial" w:eastAsia="Times New Roman" w:hAnsi="Arial" w:cs="Arial"/>
          <w:i/>
          <w:iCs/>
        </w:rPr>
        <w:t xml:space="preserve"> </w:t>
      </w:r>
      <w:proofErr w:type="spellStart"/>
      <w:r w:rsidRPr="00BA109A">
        <w:rPr>
          <w:rFonts w:ascii="Arial" w:eastAsia="Times New Roman" w:hAnsi="Arial" w:cs="Arial"/>
          <w:i/>
          <w:iCs/>
        </w:rPr>
        <w:t>brasiliensis</w:t>
      </w:r>
      <w:proofErr w:type="spellEnd"/>
      <w:r w:rsidRPr="008C69ED">
        <w:rPr>
          <w:rFonts w:ascii="Arial" w:eastAsia="Times New Roman" w:hAnsi="Arial" w:cs="Arial"/>
        </w:rPr>
        <w:t xml:space="preserve"> extracts. </w:t>
      </w:r>
    </w:p>
    <w:p w14:paraId="6A75F852" w14:textId="77777777" w:rsidR="00D53AFF" w:rsidRPr="008C69ED" w:rsidRDefault="00D53AFF" w:rsidP="00FF405A">
      <w:pPr>
        <w:spacing w:after="0" w:line="240" w:lineRule="auto"/>
        <w:ind w:firstLine="708"/>
        <w:jc w:val="both"/>
        <w:rPr>
          <w:rFonts w:ascii="Arial" w:eastAsia="Calibri" w:hAnsi="Arial" w:cs="Arial"/>
          <w:bCs/>
          <w:color w:val="000000" w:themeColor="text1"/>
        </w:rPr>
      </w:pPr>
      <w:r w:rsidRPr="008C69ED">
        <w:rPr>
          <w:rFonts w:ascii="Arial" w:eastAsia="Times New Roman" w:hAnsi="Arial" w:cs="Arial"/>
          <w:color w:val="000000" w:themeColor="text1"/>
        </w:rPr>
        <w:t xml:space="preserve">A cohort of 100 consecutive outside patients (TTP cohort) had been submitted to TTP with </w:t>
      </w:r>
      <w:proofErr w:type="spellStart"/>
      <w:r w:rsidRPr="008C69ED">
        <w:rPr>
          <w:rFonts w:ascii="Arial" w:eastAsia="Times New Roman" w:hAnsi="Arial" w:cs="Arial"/>
          <w:i/>
          <w:iCs/>
          <w:color w:val="000000" w:themeColor="text1"/>
        </w:rPr>
        <w:t>Blomia</w:t>
      </w:r>
      <w:proofErr w:type="spellEnd"/>
      <w:r w:rsidRPr="008C69ED">
        <w:rPr>
          <w:rFonts w:ascii="Arial" w:eastAsia="Times New Roman" w:hAnsi="Arial" w:cs="Arial"/>
          <w:i/>
          <w:iCs/>
          <w:color w:val="000000" w:themeColor="text1"/>
        </w:rPr>
        <w:t xml:space="preserve"> tropicalis</w:t>
      </w:r>
      <w:r w:rsidRPr="008C69ED">
        <w:rPr>
          <w:rFonts w:ascii="Arial" w:eastAsia="Times New Roman" w:hAnsi="Arial" w:cs="Arial"/>
          <w:color w:val="000000" w:themeColor="text1"/>
        </w:rPr>
        <w:t xml:space="preserve"> extract and </w:t>
      </w:r>
      <w:proofErr w:type="spellStart"/>
      <w:r w:rsidRPr="008C69ED">
        <w:rPr>
          <w:rFonts w:ascii="Arial" w:eastAsia="Times New Roman" w:hAnsi="Arial" w:cs="Arial"/>
          <w:i/>
          <w:iCs/>
          <w:color w:val="000000" w:themeColor="text1"/>
        </w:rPr>
        <w:t>Farfantepenaeus</w:t>
      </w:r>
      <w:proofErr w:type="spellEnd"/>
      <w:r w:rsidRPr="008C69ED">
        <w:rPr>
          <w:rFonts w:ascii="Arial" w:eastAsia="Times New Roman" w:hAnsi="Arial" w:cs="Arial"/>
          <w:i/>
          <w:iCs/>
          <w:color w:val="000000" w:themeColor="text1"/>
        </w:rPr>
        <w:t xml:space="preserve"> </w:t>
      </w:r>
      <w:proofErr w:type="spellStart"/>
      <w:r w:rsidRPr="008C69ED">
        <w:rPr>
          <w:rFonts w:ascii="Arial" w:eastAsia="Times New Roman" w:hAnsi="Arial" w:cs="Arial"/>
          <w:i/>
          <w:iCs/>
          <w:color w:val="000000" w:themeColor="text1"/>
        </w:rPr>
        <w:t>brasiliensis</w:t>
      </w:r>
      <w:proofErr w:type="spellEnd"/>
      <w:r w:rsidRPr="008C69ED">
        <w:rPr>
          <w:rFonts w:ascii="Arial" w:eastAsia="Times New Roman" w:hAnsi="Arial" w:cs="Arial"/>
          <w:color w:val="000000" w:themeColor="text1"/>
        </w:rPr>
        <w:t xml:space="preserve"> extract for presenting </w:t>
      </w:r>
      <w:r w:rsidRPr="008C69ED">
        <w:rPr>
          <w:rFonts w:ascii="Arial" w:eastAsia="Calibri" w:hAnsi="Arial" w:cs="Arial"/>
          <w:bCs/>
          <w:color w:val="000000" w:themeColor="text1"/>
        </w:rPr>
        <w:t>non–</w:t>
      </w:r>
      <w:proofErr w:type="spellStart"/>
      <w:r w:rsidRPr="008C69ED">
        <w:rPr>
          <w:rFonts w:ascii="Arial" w:eastAsia="Calibri" w:hAnsi="Arial" w:cs="Arial"/>
          <w:bCs/>
          <w:color w:val="000000" w:themeColor="text1"/>
        </w:rPr>
        <w:t>IgE</w:t>
      </w:r>
      <w:proofErr w:type="spellEnd"/>
      <w:r w:rsidRPr="008C69ED">
        <w:rPr>
          <w:rFonts w:ascii="Arial" w:eastAsia="Calibri" w:hAnsi="Arial" w:cs="Arial"/>
          <w:bCs/>
          <w:color w:val="000000" w:themeColor="text1"/>
        </w:rPr>
        <w:t xml:space="preserve">-mediated Allergic Multimorbidity as defined by the concomitant or consecutive presence of at least two allergic phenotypes (allergic </w:t>
      </w:r>
      <w:proofErr w:type="spellStart"/>
      <w:r w:rsidRPr="008C69ED">
        <w:rPr>
          <w:rFonts w:ascii="Arial" w:eastAsia="Calibri" w:hAnsi="Arial" w:cs="Arial"/>
          <w:bCs/>
          <w:color w:val="000000" w:themeColor="text1"/>
        </w:rPr>
        <w:t>rhinoconjunctivitis</w:t>
      </w:r>
      <w:proofErr w:type="spellEnd"/>
      <w:r w:rsidRPr="008C69ED">
        <w:rPr>
          <w:rFonts w:ascii="Arial" w:eastAsia="Calibri" w:hAnsi="Arial" w:cs="Arial"/>
          <w:bCs/>
          <w:color w:val="000000" w:themeColor="text1"/>
        </w:rPr>
        <w:t xml:space="preserve">, allergic bronchitis, atopic dermatitis, urticaria, gastrointestinal hypersensitivity, and/or anaphylaxis). </w:t>
      </w:r>
      <w:r w:rsidRPr="008C69ED">
        <w:rPr>
          <w:rFonts w:ascii="Arial" w:eastAsia="Times New Roman" w:hAnsi="Arial" w:cs="Arial"/>
          <w:color w:val="000000" w:themeColor="text1"/>
        </w:rPr>
        <w:t>This cohort counted 42 males; mean age 41.2 years; SD 18.4 years; range 10 to 82 years; median 39 years; mode = 36 (appeared f</w:t>
      </w:r>
      <w:r>
        <w:rPr>
          <w:rFonts w:ascii="Arial" w:eastAsia="Times New Roman" w:hAnsi="Arial" w:cs="Arial"/>
          <w:color w:val="000000" w:themeColor="text1"/>
        </w:rPr>
        <w:t>i</w:t>
      </w:r>
      <w:r w:rsidRPr="008C69ED">
        <w:rPr>
          <w:rFonts w:ascii="Arial" w:eastAsia="Times New Roman" w:hAnsi="Arial" w:cs="Arial"/>
          <w:color w:val="000000" w:themeColor="text1"/>
        </w:rPr>
        <w:t xml:space="preserve">ve times); geometric mean = 36.5 years. </w:t>
      </w:r>
    </w:p>
    <w:p w14:paraId="4AC44CA3" w14:textId="77777777" w:rsidR="00D53AFF" w:rsidRPr="001157FE" w:rsidRDefault="00D53AFF" w:rsidP="001157FE">
      <w:pPr>
        <w:spacing w:after="0" w:line="240" w:lineRule="auto"/>
        <w:ind w:firstLine="708"/>
        <w:jc w:val="both"/>
        <w:rPr>
          <w:rFonts w:ascii="Arial" w:eastAsia="Calibri" w:hAnsi="Arial" w:cs="Arial"/>
          <w:bCs/>
        </w:rPr>
      </w:pPr>
      <w:r w:rsidRPr="008C69ED">
        <w:rPr>
          <w:rFonts w:ascii="Arial" w:eastAsia="Times New Roman" w:hAnsi="Arial" w:cs="Arial"/>
          <w:color w:val="000000" w:themeColor="text1"/>
        </w:rPr>
        <w:t>A cohort of 100 consecutive outside patients (LAIT cohort)</w:t>
      </w:r>
      <w:r>
        <w:rPr>
          <w:rFonts w:ascii="Arial" w:eastAsia="Times New Roman" w:hAnsi="Arial" w:cs="Arial"/>
          <w:color w:val="000000" w:themeColor="text1"/>
        </w:rPr>
        <w:t xml:space="preserve"> </w:t>
      </w:r>
      <w:r w:rsidRPr="008C69ED">
        <w:rPr>
          <w:rFonts w:ascii="Arial" w:eastAsia="Times New Roman" w:hAnsi="Arial" w:cs="Arial"/>
          <w:color w:val="000000" w:themeColor="text1"/>
        </w:rPr>
        <w:t xml:space="preserve">had been submitted to TTP with </w:t>
      </w:r>
      <w:proofErr w:type="spellStart"/>
      <w:r w:rsidRPr="008C69ED">
        <w:rPr>
          <w:rFonts w:ascii="Arial" w:eastAsia="Times New Roman" w:hAnsi="Arial" w:cs="Arial"/>
          <w:color w:val="000000" w:themeColor="text1"/>
        </w:rPr>
        <w:t>Blomia</w:t>
      </w:r>
      <w:proofErr w:type="spellEnd"/>
      <w:r w:rsidRPr="008C69ED">
        <w:rPr>
          <w:rFonts w:ascii="Arial" w:eastAsia="Times New Roman" w:hAnsi="Arial" w:cs="Arial"/>
          <w:color w:val="000000" w:themeColor="text1"/>
        </w:rPr>
        <w:t xml:space="preserve"> tropicalis extract and shrimp extract for presenting </w:t>
      </w:r>
      <w:r w:rsidRPr="008C69ED">
        <w:rPr>
          <w:rFonts w:ascii="Arial" w:eastAsia="Calibri" w:hAnsi="Arial" w:cs="Arial"/>
          <w:bCs/>
          <w:color w:val="000000" w:themeColor="text1"/>
        </w:rPr>
        <w:t>non–</w:t>
      </w:r>
      <w:proofErr w:type="spellStart"/>
      <w:r w:rsidRPr="008C69ED">
        <w:rPr>
          <w:rFonts w:ascii="Arial" w:eastAsia="Calibri" w:hAnsi="Arial" w:cs="Arial"/>
          <w:bCs/>
          <w:color w:val="000000" w:themeColor="text1"/>
        </w:rPr>
        <w:t>IgE</w:t>
      </w:r>
      <w:proofErr w:type="spellEnd"/>
      <w:r w:rsidRPr="008C69ED">
        <w:rPr>
          <w:rFonts w:ascii="Arial" w:eastAsia="Calibri" w:hAnsi="Arial" w:cs="Arial"/>
          <w:bCs/>
          <w:color w:val="000000" w:themeColor="text1"/>
        </w:rPr>
        <w:t xml:space="preserve">-mediated Allergic Multimorbidity as defined by the concomitant or consecutive presence of at least two allergic phenotypes (allergic </w:t>
      </w:r>
      <w:proofErr w:type="spellStart"/>
      <w:r w:rsidRPr="008C69ED">
        <w:rPr>
          <w:rFonts w:ascii="Arial" w:eastAsia="Calibri" w:hAnsi="Arial" w:cs="Arial"/>
          <w:bCs/>
          <w:color w:val="000000" w:themeColor="text1"/>
        </w:rPr>
        <w:t>rhinoconjunctivitis</w:t>
      </w:r>
      <w:proofErr w:type="spellEnd"/>
      <w:r w:rsidRPr="008C69ED">
        <w:rPr>
          <w:rFonts w:ascii="Arial" w:eastAsia="Calibri" w:hAnsi="Arial" w:cs="Arial"/>
          <w:bCs/>
          <w:color w:val="000000" w:themeColor="text1"/>
        </w:rPr>
        <w:t>, allergic b</w:t>
      </w:r>
      <w:r w:rsidRPr="001157FE">
        <w:rPr>
          <w:rFonts w:ascii="Arial" w:eastAsia="Calibri" w:hAnsi="Arial" w:cs="Arial"/>
          <w:bCs/>
        </w:rPr>
        <w:t xml:space="preserve">ronchitis, atopic dermatitis, urticaria, gastrointestinal hypersensitivity, and/or anaphylaxis). </w:t>
      </w:r>
      <w:r w:rsidRPr="001157FE">
        <w:rPr>
          <w:rFonts w:ascii="Arial" w:eastAsia="Times New Roman" w:hAnsi="Arial" w:cs="Arial"/>
        </w:rPr>
        <w:t xml:space="preserve">This cohort counted 30 males; mean age 36.4 years; SD 23.5 years; range 2 to 91 years; median 35 years; modes = 5 (appeared five times); geometric mean = 26.4 years. </w:t>
      </w:r>
    </w:p>
    <w:p w14:paraId="67BCE3CD" w14:textId="4BAB2660" w:rsidR="00D53AFF" w:rsidRPr="00D965C1" w:rsidRDefault="00D53AFF" w:rsidP="003A0C9E">
      <w:pPr>
        <w:spacing w:after="0" w:line="240" w:lineRule="auto"/>
        <w:ind w:firstLine="708"/>
        <w:jc w:val="both"/>
        <w:rPr>
          <w:rFonts w:ascii="Arial" w:eastAsia="Times New Roman" w:hAnsi="Arial" w:cs="Arial"/>
          <w:color w:val="000000" w:themeColor="text1"/>
        </w:rPr>
      </w:pPr>
      <w:r w:rsidRPr="008C69ED">
        <w:rPr>
          <w:rFonts w:ascii="Arial" w:eastAsia="Calibri" w:hAnsi="Arial" w:cs="Arial"/>
          <w:bCs/>
          <w:color w:val="000000" w:themeColor="text1"/>
        </w:rPr>
        <w:t>This study did not include patients unde</w:t>
      </w:r>
      <w:r w:rsidRPr="00D965C1">
        <w:rPr>
          <w:rFonts w:ascii="Arial" w:eastAsia="Calibri" w:hAnsi="Arial" w:cs="Arial"/>
          <w:bCs/>
          <w:color w:val="000000" w:themeColor="text1"/>
        </w:rPr>
        <w:t xml:space="preserve">r biological and/or systemic anti-inflammatory therapy. </w:t>
      </w:r>
      <w:r w:rsidRPr="00D965C1">
        <w:rPr>
          <w:rFonts w:ascii="Arial" w:eastAsia="Times New Roman" w:hAnsi="Arial" w:cs="Arial"/>
          <w:color w:val="000000" w:themeColor="text1"/>
        </w:rPr>
        <w:t>These procedures were offered to patients with allergen multimorbidity</w:t>
      </w:r>
      <w:r w:rsidR="005F2AB1">
        <w:rPr>
          <w:rFonts w:ascii="Arial" w:eastAsia="Times New Roman" w:hAnsi="Arial" w:cs="Arial"/>
          <w:color w:val="000000" w:themeColor="text1"/>
        </w:rPr>
        <w:t xml:space="preserve"> related to house dust and/or </w:t>
      </w:r>
      <w:r w:rsidR="00842971">
        <w:rPr>
          <w:rFonts w:ascii="Arial" w:eastAsia="Times New Roman" w:hAnsi="Arial" w:cs="Arial"/>
          <w:color w:val="000000" w:themeColor="text1"/>
        </w:rPr>
        <w:t xml:space="preserve">shrimp consumption who had indetectable specific </w:t>
      </w:r>
      <w:proofErr w:type="spellStart"/>
      <w:r w:rsidR="00842971">
        <w:rPr>
          <w:rFonts w:ascii="Arial" w:eastAsia="Times New Roman" w:hAnsi="Arial" w:cs="Arial"/>
          <w:color w:val="000000" w:themeColor="text1"/>
        </w:rPr>
        <w:t>IgE</w:t>
      </w:r>
      <w:proofErr w:type="spellEnd"/>
      <w:r w:rsidR="00842971">
        <w:rPr>
          <w:rFonts w:ascii="Arial" w:eastAsia="Times New Roman" w:hAnsi="Arial" w:cs="Arial"/>
          <w:color w:val="000000" w:themeColor="text1"/>
        </w:rPr>
        <w:t xml:space="preserve"> against these suspected agents and demonstrated</w:t>
      </w:r>
      <w:r w:rsidRPr="00D965C1">
        <w:rPr>
          <w:rFonts w:ascii="Arial" w:eastAsia="Times New Roman" w:hAnsi="Arial" w:cs="Arial"/>
          <w:color w:val="000000" w:themeColor="text1"/>
        </w:rPr>
        <w:t xml:space="preserve"> non-reactive or inconclusive skin test</w:t>
      </w:r>
      <w:r w:rsidR="005F2AB1">
        <w:rPr>
          <w:rFonts w:ascii="Arial" w:eastAsia="Times New Roman" w:hAnsi="Arial" w:cs="Arial"/>
          <w:color w:val="000000" w:themeColor="text1"/>
        </w:rPr>
        <w:t>s</w:t>
      </w:r>
      <w:r w:rsidRPr="00D965C1">
        <w:rPr>
          <w:rFonts w:ascii="Arial" w:eastAsia="Times New Roman" w:hAnsi="Arial" w:cs="Arial"/>
          <w:color w:val="000000" w:themeColor="text1"/>
        </w:rPr>
        <w:t xml:space="preserve"> against </w:t>
      </w:r>
      <w:proofErr w:type="spellStart"/>
      <w:r w:rsidRPr="005F2AB1">
        <w:rPr>
          <w:rFonts w:ascii="Arial" w:eastAsia="Times New Roman" w:hAnsi="Arial" w:cs="Arial"/>
          <w:i/>
          <w:iCs/>
          <w:color w:val="000000" w:themeColor="text1"/>
        </w:rPr>
        <w:t>Blomia</w:t>
      </w:r>
      <w:proofErr w:type="spellEnd"/>
      <w:r w:rsidRPr="005F2AB1">
        <w:rPr>
          <w:rFonts w:ascii="Arial" w:eastAsia="Times New Roman" w:hAnsi="Arial" w:cs="Arial"/>
          <w:i/>
          <w:iCs/>
          <w:color w:val="000000" w:themeColor="text1"/>
        </w:rPr>
        <w:t xml:space="preserve"> tropicalis</w:t>
      </w:r>
      <w:r w:rsidRPr="00D965C1">
        <w:rPr>
          <w:rFonts w:ascii="Arial" w:eastAsia="Times New Roman" w:hAnsi="Arial" w:cs="Arial"/>
          <w:color w:val="000000" w:themeColor="text1"/>
        </w:rPr>
        <w:t xml:space="preserve"> and </w:t>
      </w:r>
      <w:proofErr w:type="spellStart"/>
      <w:r w:rsidR="005F2AB1" w:rsidRPr="005F2AB1">
        <w:rPr>
          <w:rFonts w:ascii="Arial" w:eastAsia="Times New Roman" w:hAnsi="Arial" w:cs="Arial"/>
          <w:i/>
          <w:iCs/>
          <w:color w:val="000000" w:themeColor="text1"/>
        </w:rPr>
        <w:t>Farfantepenaeus</w:t>
      </w:r>
      <w:proofErr w:type="spellEnd"/>
      <w:r w:rsidR="005F2AB1" w:rsidRPr="005F2AB1">
        <w:rPr>
          <w:rFonts w:ascii="Arial" w:eastAsia="Times New Roman" w:hAnsi="Arial" w:cs="Arial"/>
          <w:i/>
          <w:iCs/>
          <w:color w:val="000000" w:themeColor="text1"/>
        </w:rPr>
        <w:t xml:space="preserve"> </w:t>
      </w:r>
      <w:proofErr w:type="spellStart"/>
      <w:r w:rsidR="005F2AB1" w:rsidRPr="005F2AB1">
        <w:rPr>
          <w:rFonts w:ascii="Arial" w:eastAsia="Times New Roman" w:hAnsi="Arial" w:cs="Arial"/>
          <w:i/>
          <w:iCs/>
          <w:color w:val="000000" w:themeColor="text1"/>
        </w:rPr>
        <w:t>brasiliensis</w:t>
      </w:r>
      <w:proofErr w:type="spellEnd"/>
      <w:r w:rsidRPr="00D965C1">
        <w:rPr>
          <w:rFonts w:ascii="Arial" w:eastAsia="Times New Roman" w:hAnsi="Arial" w:cs="Arial"/>
          <w:color w:val="000000" w:themeColor="text1"/>
        </w:rPr>
        <w:t xml:space="preserve"> extracts </w:t>
      </w:r>
      <w:r>
        <w:rPr>
          <w:rFonts w:ascii="Arial" w:eastAsia="Times New Roman" w:hAnsi="Arial" w:cs="Arial"/>
          <w:noProof/>
          <w:color w:val="000000" w:themeColor="text1"/>
        </w:rPr>
        <w:t xml:space="preserve">(Olivier </w:t>
      </w:r>
      <w:r w:rsidR="00BA632D" w:rsidRPr="00BA632D">
        <w:rPr>
          <w:rFonts w:ascii="Arial" w:eastAsia="Times New Roman" w:hAnsi="Arial" w:cs="Arial"/>
          <w:i/>
          <w:iCs/>
          <w:noProof/>
          <w:color w:val="000000" w:themeColor="text1"/>
        </w:rPr>
        <w:t>et al</w:t>
      </w:r>
      <w:r>
        <w:rPr>
          <w:rFonts w:ascii="Arial" w:eastAsia="Times New Roman" w:hAnsi="Arial" w:cs="Arial"/>
          <w:noProof/>
          <w:color w:val="000000" w:themeColor="text1"/>
        </w:rPr>
        <w:t>.</w:t>
      </w:r>
      <w:r w:rsidR="008D5A42">
        <w:rPr>
          <w:rFonts w:ascii="Arial" w:eastAsia="Times New Roman" w:hAnsi="Arial" w:cs="Arial"/>
          <w:noProof/>
          <w:color w:val="000000" w:themeColor="text1"/>
        </w:rPr>
        <w:t>,</w:t>
      </w:r>
      <w:r>
        <w:rPr>
          <w:rFonts w:ascii="Arial" w:eastAsia="Times New Roman" w:hAnsi="Arial" w:cs="Arial"/>
          <w:noProof/>
          <w:color w:val="000000" w:themeColor="text1"/>
        </w:rPr>
        <w:t xml:space="preserve"> 2013)</w:t>
      </w:r>
      <w:r w:rsidRPr="00D965C1">
        <w:rPr>
          <w:rFonts w:ascii="Arial" w:eastAsia="Times New Roman" w:hAnsi="Arial" w:cs="Arial"/>
          <w:color w:val="000000" w:themeColor="text1"/>
        </w:rPr>
        <w:t>.</w:t>
      </w:r>
    </w:p>
    <w:p w14:paraId="547C2077" w14:textId="77777777" w:rsidR="00D53AFF" w:rsidRPr="00D965C1" w:rsidRDefault="00D53AFF" w:rsidP="00326566">
      <w:pPr>
        <w:spacing w:after="0" w:line="240" w:lineRule="auto"/>
        <w:jc w:val="both"/>
        <w:rPr>
          <w:rFonts w:ascii="Arial" w:eastAsia="Times New Roman" w:hAnsi="Arial" w:cs="Arial"/>
          <w:color w:val="000000" w:themeColor="text1"/>
        </w:rPr>
      </w:pPr>
    </w:p>
    <w:p w14:paraId="38F64BC6" w14:textId="77777777" w:rsidR="00D53AFF" w:rsidRPr="00D965C1" w:rsidRDefault="00D53AFF" w:rsidP="00326566">
      <w:pPr>
        <w:spacing w:after="0" w:line="240" w:lineRule="auto"/>
        <w:jc w:val="both"/>
        <w:rPr>
          <w:rFonts w:ascii="Arial" w:eastAsia="Times New Roman" w:hAnsi="Arial" w:cs="Arial"/>
          <w:b/>
          <w:bCs/>
          <w:color w:val="000000" w:themeColor="text1"/>
        </w:rPr>
      </w:pPr>
      <w:r w:rsidRPr="00D965C1">
        <w:rPr>
          <w:rFonts w:ascii="Arial" w:eastAsia="Times New Roman" w:hAnsi="Arial" w:cs="Arial"/>
          <w:b/>
          <w:bCs/>
          <w:color w:val="000000" w:themeColor="text1"/>
        </w:rPr>
        <w:t xml:space="preserve">2.2 Preparation of the </w:t>
      </w:r>
      <w:proofErr w:type="spellStart"/>
      <w:r w:rsidRPr="00E2018B">
        <w:rPr>
          <w:rFonts w:ascii="Arial" w:eastAsia="Times New Roman" w:hAnsi="Arial" w:cs="Arial"/>
          <w:b/>
          <w:bCs/>
          <w:i/>
          <w:iCs/>
          <w:color w:val="000000" w:themeColor="text1"/>
        </w:rPr>
        <w:t>Blomia</w:t>
      </w:r>
      <w:proofErr w:type="spellEnd"/>
      <w:r w:rsidRPr="00E2018B">
        <w:rPr>
          <w:rFonts w:ascii="Arial" w:eastAsia="Times New Roman" w:hAnsi="Arial" w:cs="Arial"/>
          <w:b/>
          <w:bCs/>
          <w:i/>
          <w:iCs/>
          <w:color w:val="000000" w:themeColor="text1"/>
        </w:rPr>
        <w:t xml:space="preserve"> tropicalis</w:t>
      </w:r>
      <w:r w:rsidRPr="00D965C1">
        <w:rPr>
          <w:rFonts w:ascii="Arial" w:eastAsia="Times New Roman" w:hAnsi="Arial" w:cs="Arial"/>
          <w:b/>
          <w:bCs/>
          <w:color w:val="000000" w:themeColor="text1"/>
        </w:rPr>
        <w:t xml:space="preserve"> extract</w:t>
      </w:r>
    </w:p>
    <w:p w14:paraId="5BC5BCE6" w14:textId="77777777" w:rsidR="00D53AFF" w:rsidRDefault="00D53AFF" w:rsidP="00326566">
      <w:pPr>
        <w:spacing w:after="0" w:line="240" w:lineRule="auto"/>
        <w:jc w:val="both"/>
        <w:rPr>
          <w:rFonts w:ascii="Arial" w:hAnsi="Arial" w:cs="Arial"/>
          <w:color w:val="FF0000"/>
        </w:rPr>
      </w:pPr>
    </w:p>
    <w:p w14:paraId="4BECB8D1" w14:textId="77777777" w:rsidR="00D53AFF" w:rsidRPr="004B1F9C" w:rsidRDefault="00D53AFF" w:rsidP="004B1F9C">
      <w:pPr>
        <w:spacing w:after="0" w:line="240" w:lineRule="auto"/>
        <w:jc w:val="both"/>
        <w:rPr>
          <w:rFonts w:ascii="Arial" w:hAnsi="Arial" w:cs="Arial"/>
          <w:color w:val="FF0000"/>
        </w:rPr>
      </w:pPr>
      <w:r w:rsidRPr="00326566">
        <w:rPr>
          <w:rFonts w:ascii="Arial" w:eastAsia="Times New Roman" w:hAnsi="Arial" w:cs="Arial"/>
          <w:b/>
          <w:bCs/>
        </w:rPr>
        <w:t>2.2</w:t>
      </w:r>
      <w:r>
        <w:rPr>
          <w:rFonts w:ascii="Arial" w:eastAsia="Times New Roman" w:hAnsi="Arial" w:cs="Arial"/>
          <w:b/>
          <w:bCs/>
        </w:rPr>
        <w:t xml:space="preserve">.1 </w:t>
      </w:r>
      <w:r w:rsidRPr="00326566">
        <w:rPr>
          <w:rFonts w:ascii="Arial" w:eastAsia="Times New Roman" w:hAnsi="Arial" w:cs="Arial"/>
          <w:b/>
          <w:bCs/>
        </w:rPr>
        <w:t>Origen</w:t>
      </w:r>
      <w:r>
        <w:rPr>
          <w:rFonts w:ascii="Arial" w:eastAsia="Times New Roman" w:hAnsi="Arial" w:cs="Arial"/>
          <w:b/>
          <w:bCs/>
        </w:rPr>
        <w:t xml:space="preserve"> of the </w:t>
      </w:r>
      <w:proofErr w:type="spellStart"/>
      <w:r w:rsidRPr="00E2018B">
        <w:rPr>
          <w:rFonts w:ascii="Arial" w:eastAsia="Times New Roman" w:hAnsi="Arial" w:cs="Arial"/>
          <w:b/>
          <w:bCs/>
          <w:i/>
          <w:iCs/>
          <w:color w:val="000000" w:themeColor="text1"/>
        </w:rPr>
        <w:t>Blomia</w:t>
      </w:r>
      <w:proofErr w:type="spellEnd"/>
      <w:r w:rsidRPr="00E2018B">
        <w:rPr>
          <w:rFonts w:ascii="Arial" w:eastAsia="Times New Roman" w:hAnsi="Arial" w:cs="Arial"/>
          <w:b/>
          <w:bCs/>
          <w:i/>
          <w:iCs/>
          <w:color w:val="000000" w:themeColor="text1"/>
        </w:rPr>
        <w:t xml:space="preserve"> tropicalis</w:t>
      </w:r>
      <w:r>
        <w:rPr>
          <w:rFonts w:ascii="Arial" w:eastAsia="Times New Roman" w:hAnsi="Arial" w:cs="Arial"/>
          <w:b/>
          <w:bCs/>
          <w:i/>
          <w:iCs/>
          <w:color w:val="000000" w:themeColor="text1"/>
        </w:rPr>
        <w:t xml:space="preserve"> </w:t>
      </w:r>
      <w:r>
        <w:rPr>
          <w:rFonts w:ascii="Arial" w:eastAsia="Times New Roman" w:hAnsi="Arial" w:cs="Arial"/>
          <w:b/>
          <w:bCs/>
        </w:rPr>
        <w:t>strain</w:t>
      </w:r>
    </w:p>
    <w:p w14:paraId="537B0E07" w14:textId="2AB37ACD" w:rsidR="00D53AFF" w:rsidRDefault="00D53AFF" w:rsidP="004B1F9C">
      <w:pPr>
        <w:spacing w:after="0" w:line="240" w:lineRule="auto"/>
        <w:ind w:firstLine="720"/>
        <w:jc w:val="both"/>
        <w:rPr>
          <w:rFonts w:ascii="Arial" w:hAnsi="Arial" w:cs="Arial"/>
          <w:bCs/>
        </w:rPr>
      </w:pPr>
      <w:r w:rsidRPr="00326566">
        <w:rPr>
          <w:rFonts w:ascii="Arial" w:hAnsi="Arial" w:cs="Arial"/>
          <w:bCs/>
        </w:rPr>
        <w:t xml:space="preserve">The </w:t>
      </w:r>
      <w:r>
        <w:rPr>
          <w:rFonts w:ascii="Arial" w:hAnsi="Arial" w:cs="Arial"/>
          <w:bCs/>
        </w:rPr>
        <w:t>specimens</w:t>
      </w:r>
      <w:r w:rsidRPr="00326566">
        <w:rPr>
          <w:rFonts w:ascii="Arial" w:hAnsi="Arial" w:cs="Arial"/>
          <w:bCs/>
        </w:rPr>
        <w:t xml:space="preserve"> of </w:t>
      </w:r>
      <w:proofErr w:type="spellStart"/>
      <w:r w:rsidRPr="00326566">
        <w:rPr>
          <w:rFonts w:ascii="Arial" w:hAnsi="Arial" w:cs="Arial"/>
          <w:bCs/>
          <w:i/>
          <w:iCs/>
        </w:rPr>
        <w:t>Blomia</w:t>
      </w:r>
      <w:proofErr w:type="spellEnd"/>
      <w:r w:rsidRPr="00326566">
        <w:rPr>
          <w:rFonts w:ascii="Arial" w:hAnsi="Arial" w:cs="Arial"/>
          <w:bCs/>
          <w:i/>
          <w:iCs/>
        </w:rPr>
        <w:t xml:space="preserve"> tropicalis</w:t>
      </w:r>
      <w:r w:rsidRPr="00326566">
        <w:rPr>
          <w:rFonts w:ascii="Arial" w:hAnsi="Arial" w:cs="Arial"/>
          <w:bCs/>
        </w:rPr>
        <w:t xml:space="preserve"> were kindly provided by Prof. Dr. Jorge Mart</w:t>
      </w:r>
      <w:r w:rsidR="008D5A42">
        <w:rPr>
          <w:rFonts w:ascii="Arial" w:hAnsi="Arial" w:cs="Arial"/>
          <w:bCs/>
        </w:rPr>
        <w:t>ínez Quesada from the Faculty of Pharmacy</w:t>
      </w:r>
      <w:r w:rsidR="00975B0F">
        <w:rPr>
          <w:rFonts w:ascii="Arial" w:hAnsi="Arial" w:cs="Arial"/>
          <w:bCs/>
        </w:rPr>
        <w:t xml:space="preserve"> at the</w:t>
      </w:r>
      <w:r w:rsidR="008D5A42">
        <w:rPr>
          <w:rFonts w:ascii="Arial" w:hAnsi="Arial" w:cs="Arial"/>
          <w:bCs/>
        </w:rPr>
        <w:t xml:space="preserve"> University of the Basque Country,</w:t>
      </w:r>
      <w:r w:rsidRPr="00326566">
        <w:rPr>
          <w:rFonts w:ascii="Arial" w:hAnsi="Arial" w:cs="Arial"/>
          <w:bCs/>
        </w:rPr>
        <w:t xml:space="preserve"> Spain. The culture med</w:t>
      </w:r>
      <w:r w:rsidRPr="004B1F9C">
        <w:rPr>
          <w:rFonts w:ascii="Arial" w:hAnsi="Arial" w:cs="Arial"/>
          <w:bCs/>
        </w:rPr>
        <w:t xml:space="preserve">ium was placed in 50 mL </w:t>
      </w:r>
      <w:proofErr w:type="spellStart"/>
      <w:r w:rsidRPr="004B1F9C">
        <w:rPr>
          <w:rFonts w:ascii="Arial" w:hAnsi="Arial" w:cs="Arial"/>
          <w:bCs/>
        </w:rPr>
        <w:t>ThermoFisher</w:t>
      </w:r>
      <w:proofErr w:type="spellEnd"/>
      <w:r w:rsidRPr="004B1F9C">
        <w:rPr>
          <w:rFonts w:ascii="Arial" w:hAnsi="Arial" w:cs="Arial"/>
          <w:bCs/>
          <w:vertAlign w:val="superscript"/>
        </w:rPr>
        <w:t xml:space="preserve">® </w:t>
      </w:r>
      <w:r w:rsidRPr="004B1F9C">
        <w:rPr>
          <w:rFonts w:ascii="Arial" w:hAnsi="Arial" w:cs="Arial"/>
          <w:bCs/>
        </w:rPr>
        <w:t xml:space="preserve">cell culture flasks (15 g per flask) in </w:t>
      </w:r>
      <w:r w:rsidR="002A45C8">
        <w:rPr>
          <w:rFonts w:ascii="Arial" w:hAnsi="Arial" w:cs="Arial"/>
          <w:bCs/>
        </w:rPr>
        <w:t>a sterile</w:t>
      </w:r>
      <w:r w:rsidRPr="004B1F9C">
        <w:rPr>
          <w:rFonts w:ascii="Arial" w:hAnsi="Arial" w:cs="Arial"/>
          <w:bCs/>
        </w:rPr>
        <w:t xml:space="preserve"> environment</w:t>
      </w:r>
      <w:r w:rsidR="002A45C8">
        <w:rPr>
          <w:rFonts w:ascii="Arial" w:hAnsi="Arial" w:cs="Arial"/>
          <w:bCs/>
        </w:rPr>
        <w:t>.</w:t>
      </w:r>
      <w:r w:rsidR="00995CDB">
        <w:rPr>
          <w:rFonts w:ascii="Arial" w:hAnsi="Arial" w:cs="Arial"/>
          <w:bCs/>
        </w:rPr>
        <w:t xml:space="preserve"> T</w:t>
      </w:r>
      <w:r w:rsidRPr="004B1F9C">
        <w:rPr>
          <w:rFonts w:ascii="Arial" w:hAnsi="Arial" w:cs="Arial"/>
          <w:bCs/>
        </w:rPr>
        <w:t xml:space="preserve">hese flasks were placed in an airtight container containing a saturated solution of distilled water and sodium chloride for at least 24 hours to </w:t>
      </w:r>
      <w:r w:rsidR="0014043F">
        <w:rPr>
          <w:rFonts w:ascii="Arial" w:hAnsi="Arial" w:cs="Arial"/>
          <w:bCs/>
        </w:rPr>
        <w:t>maintain the humidity of</w:t>
      </w:r>
      <w:r w:rsidRPr="004B1F9C">
        <w:rPr>
          <w:rFonts w:ascii="Arial" w:hAnsi="Arial" w:cs="Arial"/>
          <w:bCs/>
        </w:rPr>
        <w:t xml:space="preserve"> the culture medium</w:t>
      </w:r>
      <w:r>
        <w:rPr>
          <w:rFonts w:ascii="Arial" w:hAnsi="Arial" w:cs="Arial"/>
          <w:bCs/>
        </w:rPr>
        <w:t>. They</w:t>
      </w:r>
      <w:r w:rsidRPr="004B1F9C">
        <w:rPr>
          <w:rFonts w:ascii="Arial" w:hAnsi="Arial" w:cs="Arial"/>
          <w:bCs/>
        </w:rPr>
        <w:t xml:space="preserve"> were brought to Brazil inside airtight bags containing cotton soaked in the saturated NaCl solution, thus maintaining humidity during the flight.</w:t>
      </w:r>
    </w:p>
    <w:p w14:paraId="32D61629" w14:textId="77777777" w:rsidR="00D53AFF" w:rsidRPr="004B1F9C" w:rsidRDefault="00D53AFF" w:rsidP="004B1F9C">
      <w:pPr>
        <w:spacing w:after="0" w:line="240" w:lineRule="auto"/>
        <w:ind w:firstLine="720"/>
        <w:jc w:val="both"/>
        <w:rPr>
          <w:rFonts w:ascii="Arial" w:hAnsi="Arial" w:cs="Arial"/>
          <w:bCs/>
        </w:rPr>
      </w:pPr>
    </w:p>
    <w:p w14:paraId="5A1CE0C9" w14:textId="77777777" w:rsidR="00D53AFF" w:rsidRPr="004B1F9C" w:rsidRDefault="00D53AFF" w:rsidP="004B1F9C">
      <w:pPr>
        <w:spacing w:after="0" w:line="240" w:lineRule="auto"/>
        <w:jc w:val="both"/>
        <w:rPr>
          <w:rFonts w:ascii="Arial" w:hAnsi="Arial" w:cs="Arial"/>
          <w:b/>
          <w:i/>
          <w:iCs/>
        </w:rPr>
      </w:pPr>
      <w:r w:rsidRPr="004B1F9C">
        <w:rPr>
          <w:rFonts w:ascii="Arial" w:hAnsi="Arial" w:cs="Arial"/>
          <w:b/>
          <w:i/>
          <w:iCs/>
        </w:rPr>
        <w:t>2.2.2. Preparation of the culture medium</w:t>
      </w:r>
    </w:p>
    <w:p w14:paraId="0CD97F45" w14:textId="09B952CA" w:rsidR="00D53AFF" w:rsidRPr="004B1F9C" w:rsidRDefault="008D5A42" w:rsidP="002F6376">
      <w:pPr>
        <w:spacing w:after="0" w:line="240" w:lineRule="auto"/>
        <w:ind w:firstLine="708"/>
        <w:jc w:val="both"/>
        <w:rPr>
          <w:rFonts w:ascii="Arial" w:hAnsi="Arial" w:cs="Arial"/>
          <w:bCs/>
        </w:rPr>
      </w:pPr>
      <w:r>
        <w:rPr>
          <w:rFonts w:ascii="Arial" w:hAnsi="Arial" w:cs="Arial"/>
          <w:bCs/>
        </w:rPr>
        <w:t xml:space="preserve">The culture and extraction of </w:t>
      </w:r>
      <w:proofErr w:type="spellStart"/>
      <w:r>
        <w:rPr>
          <w:rFonts w:ascii="Arial" w:hAnsi="Arial" w:cs="Arial"/>
          <w:bCs/>
        </w:rPr>
        <w:t>Blomia</w:t>
      </w:r>
      <w:proofErr w:type="spellEnd"/>
      <w:r>
        <w:rPr>
          <w:rFonts w:ascii="Arial" w:hAnsi="Arial" w:cs="Arial"/>
          <w:bCs/>
        </w:rPr>
        <w:t xml:space="preserve"> tropicalis proteins were performed at the </w:t>
      </w:r>
      <w:proofErr w:type="spellStart"/>
      <w:r>
        <w:rPr>
          <w:rFonts w:ascii="Arial" w:hAnsi="Arial" w:cs="Arial"/>
          <w:bCs/>
        </w:rPr>
        <w:t>BioAllergy</w:t>
      </w:r>
      <w:proofErr w:type="spellEnd"/>
      <w:r>
        <w:rPr>
          <w:rFonts w:ascii="Arial" w:hAnsi="Arial" w:cs="Arial"/>
          <w:bCs/>
        </w:rPr>
        <w:t xml:space="preserve"> laboratory (Álvaro de Carvalho, São Paulo,</w:t>
      </w:r>
      <w:r w:rsidR="00D53AFF">
        <w:rPr>
          <w:rFonts w:ascii="Arial" w:hAnsi="Arial" w:cs="Arial"/>
          <w:bCs/>
        </w:rPr>
        <w:t xml:space="preserve"> Brazil). </w:t>
      </w:r>
      <w:r w:rsidR="00D53AFF" w:rsidRPr="004B1F9C">
        <w:rPr>
          <w:rFonts w:ascii="Arial" w:hAnsi="Arial" w:cs="Arial"/>
          <w:bCs/>
        </w:rPr>
        <w:t>The culture media</w:t>
      </w:r>
      <w:r w:rsidR="00D53AFF">
        <w:rPr>
          <w:rFonts w:ascii="Arial" w:hAnsi="Arial" w:cs="Arial"/>
          <w:bCs/>
        </w:rPr>
        <w:t xml:space="preserve"> (</w:t>
      </w:r>
      <w:r w:rsidR="00D53AFF" w:rsidRPr="004B1F9C">
        <w:rPr>
          <w:rFonts w:ascii="Arial" w:hAnsi="Arial" w:cs="Arial"/>
          <w:bCs/>
        </w:rPr>
        <w:t xml:space="preserve">yeast extract and </w:t>
      </w:r>
      <w:proofErr w:type="spellStart"/>
      <w:r w:rsidR="00D53AFF" w:rsidRPr="004B1F9C">
        <w:rPr>
          <w:rFonts w:ascii="Arial" w:hAnsi="Arial" w:cs="Arial"/>
          <w:bCs/>
        </w:rPr>
        <w:t>Tetramin</w:t>
      </w:r>
      <w:proofErr w:type="spellEnd"/>
      <w:r w:rsidR="00D53AFF" w:rsidRPr="004B1F9C">
        <w:rPr>
          <w:rFonts w:ascii="Arial" w:hAnsi="Arial" w:cs="Arial"/>
          <w:bCs/>
          <w:vertAlign w:val="superscript"/>
        </w:rPr>
        <w:t>®</w:t>
      </w:r>
      <w:r w:rsidR="00D53AFF">
        <w:rPr>
          <w:rFonts w:ascii="Arial" w:hAnsi="Arial" w:cs="Arial"/>
          <w:bCs/>
        </w:rPr>
        <w:t xml:space="preserve">) </w:t>
      </w:r>
      <w:r w:rsidR="00D53AFF" w:rsidRPr="004B1F9C">
        <w:rPr>
          <w:rFonts w:ascii="Arial" w:hAnsi="Arial" w:cs="Arial"/>
          <w:bCs/>
        </w:rPr>
        <w:t>were weighed on Thermomix's built-in scale (Vorwerk, TM6</w:t>
      </w:r>
      <w:r w:rsidR="00D53AFF" w:rsidRPr="004B1F9C">
        <w:rPr>
          <w:rFonts w:ascii="Arial" w:hAnsi="Arial" w:cs="Arial"/>
          <w:bCs/>
          <w:vertAlign w:val="superscript"/>
        </w:rPr>
        <w:t>®</w:t>
      </w:r>
      <w:r w:rsidR="00D53AFF" w:rsidRPr="004B1F9C">
        <w:rPr>
          <w:rFonts w:ascii="Arial" w:hAnsi="Arial" w:cs="Arial"/>
          <w:bCs/>
        </w:rPr>
        <w:t>), then crushed using the device's primary function for 30 seconds at maximum speed (10), and this step was repeated three times until a fine, homogenized powder was obtained. After the grinding step in the Thermomix</w:t>
      </w:r>
      <w:r w:rsidR="00D53AFF" w:rsidRPr="004B1F9C">
        <w:rPr>
          <w:rFonts w:ascii="Arial" w:hAnsi="Arial" w:cs="Arial"/>
          <w:bCs/>
          <w:vertAlign w:val="superscript"/>
        </w:rPr>
        <w:t>®</w:t>
      </w:r>
      <w:r w:rsidR="00D53AFF" w:rsidRPr="004B1F9C">
        <w:rPr>
          <w:rFonts w:ascii="Arial" w:hAnsi="Arial" w:cs="Arial"/>
          <w:bCs/>
        </w:rPr>
        <w:t xml:space="preserve">, all culture media were sieved through a 60-mesh sieve (250 </w:t>
      </w:r>
      <w:proofErr w:type="spellStart"/>
      <w:r w:rsidR="00D53AFF" w:rsidRPr="004B1F9C">
        <w:rPr>
          <w:rFonts w:ascii="Arial" w:hAnsi="Arial" w:cs="Arial"/>
          <w:bCs/>
        </w:rPr>
        <w:t>μm</w:t>
      </w:r>
      <w:proofErr w:type="spellEnd"/>
      <w:r w:rsidR="00D53AFF" w:rsidRPr="004B1F9C">
        <w:rPr>
          <w:rFonts w:ascii="Arial" w:hAnsi="Arial" w:cs="Arial"/>
          <w:bCs/>
        </w:rPr>
        <w:t xml:space="preserve"> opening) to ensure standardization and granulometry of the medium. The sieved culture medium was then weighed (10 g) and placed in Erlenmeyer flasks with a cotton plug and gauze to be transferred to a sterilization and drying oven (</w:t>
      </w:r>
      <w:proofErr w:type="spellStart"/>
      <w:r w:rsidR="00D53AFF" w:rsidRPr="004B1F9C">
        <w:rPr>
          <w:rFonts w:ascii="Arial" w:hAnsi="Arial" w:cs="Arial"/>
          <w:bCs/>
        </w:rPr>
        <w:t>Ethik</w:t>
      </w:r>
      <w:proofErr w:type="spellEnd"/>
      <w:r w:rsidR="00D53AFF" w:rsidRPr="004B1F9C">
        <w:rPr>
          <w:rFonts w:ascii="Arial" w:hAnsi="Arial" w:cs="Arial"/>
          <w:bCs/>
        </w:rPr>
        <w:t xml:space="preserve"> Technology, 400D</w:t>
      </w:r>
      <w:r w:rsidR="00D53AFF" w:rsidRPr="004B1F9C">
        <w:rPr>
          <w:rFonts w:ascii="Arial" w:hAnsi="Arial" w:cs="Arial"/>
          <w:bCs/>
          <w:vertAlign w:val="superscript"/>
        </w:rPr>
        <w:t>®</w:t>
      </w:r>
      <w:r w:rsidR="00D53AFF" w:rsidRPr="004B1F9C">
        <w:rPr>
          <w:rFonts w:ascii="Arial" w:hAnsi="Arial" w:cs="Arial"/>
          <w:bCs/>
        </w:rPr>
        <w:t xml:space="preserve">), previously heated, where it remained for 1 hour at 110ºC. After cooling, </w:t>
      </w:r>
      <w:r w:rsidR="00975B0F">
        <w:rPr>
          <w:rFonts w:ascii="Arial" w:hAnsi="Arial" w:cs="Arial"/>
          <w:bCs/>
        </w:rPr>
        <w:t>the contents of the Erlenmeyer flasks were transferred to 50 mL cell culture flasks using a previously sterilized plastic funnel, which was performed under unidirectional airflow. The flasks</w:t>
      </w:r>
      <w:r>
        <w:rPr>
          <w:rFonts w:ascii="Arial" w:hAnsi="Arial" w:cs="Arial"/>
          <w:bCs/>
        </w:rPr>
        <w:t xml:space="preserve"> had been previously treated with ultraviolet light for 15 minutes to prevent contamination by microorganisms and other mite speci</w:t>
      </w:r>
      <w:r w:rsidR="00D53AFF" w:rsidRPr="004B1F9C">
        <w:rPr>
          <w:rFonts w:ascii="Arial" w:hAnsi="Arial" w:cs="Arial"/>
          <w:bCs/>
        </w:rPr>
        <w:t xml:space="preserve">es. The 50 mL culture flasks containing only the culture medium were kept in airtight boxes with a saturated sodium chloride solution and distilled water for at least 48 hours to humidify </w:t>
      </w:r>
      <w:r w:rsidR="00D53AFF" w:rsidRPr="004B1F9C">
        <w:rPr>
          <w:rFonts w:ascii="Arial" w:hAnsi="Arial" w:cs="Arial"/>
          <w:bCs/>
        </w:rPr>
        <w:lastRenderedPageBreak/>
        <w:t>them before inoculating the mites.</w:t>
      </w:r>
      <w:r w:rsidR="002F6376">
        <w:rPr>
          <w:rFonts w:ascii="Arial" w:hAnsi="Arial" w:cs="Arial"/>
          <w:bCs/>
        </w:rPr>
        <w:t xml:space="preserve"> </w:t>
      </w:r>
      <w:r w:rsidR="00D53AFF" w:rsidRPr="00F04847">
        <w:rPr>
          <w:rFonts w:ascii="Arial" w:hAnsi="Arial" w:cs="Arial"/>
          <w:bCs/>
        </w:rPr>
        <w:t xml:space="preserve">The </w:t>
      </w:r>
      <w:r w:rsidR="00D53AFF">
        <w:rPr>
          <w:rFonts w:ascii="Arial" w:hAnsi="Arial" w:cs="Arial"/>
          <w:bCs/>
        </w:rPr>
        <w:t>population peak</w:t>
      </w:r>
      <w:r w:rsidR="00D53AFF" w:rsidRPr="00F04847">
        <w:rPr>
          <w:rFonts w:ascii="Arial" w:hAnsi="Arial" w:cs="Arial"/>
          <w:bCs/>
        </w:rPr>
        <w:t xml:space="preserve"> </w:t>
      </w:r>
      <w:r w:rsidR="00D53AFF">
        <w:rPr>
          <w:rFonts w:ascii="Arial" w:hAnsi="Arial" w:cs="Arial"/>
          <w:bCs/>
        </w:rPr>
        <w:t>(</w:t>
      </w:r>
      <w:r w:rsidR="00D53AFF" w:rsidRPr="00F04847">
        <w:rPr>
          <w:rFonts w:ascii="Arial" w:hAnsi="Arial" w:cs="Arial"/>
          <w:bCs/>
        </w:rPr>
        <w:t xml:space="preserve">71,000 mites/g of culture) was reached after </w:t>
      </w:r>
      <w:r w:rsidR="00D53AFF">
        <w:rPr>
          <w:rFonts w:ascii="Arial" w:hAnsi="Arial" w:cs="Arial"/>
          <w:bCs/>
        </w:rPr>
        <w:t>90</w:t>
      </w:r>
      <w:r w:rsidR="00D53AFF" w:rsidRPr="00F04847">
        <w:rPr>
          <w:rFonts w:ascii="Arial" w:hAnsi="Arial" w:cs="Arial"/>
          <w:bCs/>
        </w:rPr>
        <w:t xml:space="preserve"> day</w:t>
      </w:r>
      <w:r w:rsidR="00D53AFF">
        <w:rPr>
          <w:rFonts w:ascii="Arial" w:hAnsi="Arial" w:cs="Arial"/>
          <w:bCs/>
        </w:rPr>
        <w:t xml:space="preserve">s </w:t>
      </w:r>
      <w:r w:rsidR="00D53AFF" w:rsidRPr="00F04847">
        <w:rPr>
          <w:rFonts w:ascii="Arial" w:hAnsi="Arial" w:cs="Arial"/>
          <w:bCs/>
        </w:rPr>
        <w:t xml:space="preserve">of culture. </w:t>
      </w:r>
    </w:p>
    <w:p w14:paraId="0EF42FA5" w14:textId="77777777" w:rsidR="00D53AFF" w:rsidRPr="004B1F9C" w:rsidRDefault="00D53AFF" w:rsidP="004B1F9C">
      <w:pPr>
        <w:spacing w:after="0" w:line="240" w:lineRule="auto"/>
        <w:ind w:firstLine="708"/>
        <w:jc w:val="both"/>
        <w:rPr>
          <w:rFonts w:ascii="Arial" w:hAnsi="Arial" w:cs="Arial"/>
          <w:bCs/>
        </w:rPr>
      </w:pPr>
    </w:p>
    <w:p w14:paraId="48D47B8C" w14:textId="77777777" w:rsidR="00D53AFF" w:rsidRPr="00A4048F" w:rsidRDefault="00D53AFF" w:rsidP="004B1F9C">
      <w:pPr>
        <w:spacing w:after="0" w:line="240" w:lineRule="auto"/>
        <w:jc w:val="both"/>
        <w:rPr>
          <w:rFonts w:ascii="Arial" w:hAnsi="Arial" w:cs="Arial"/>
          <w:b/>
        </w:rPr>
      </w:pPr>
      <w:r w:rsidRPr="004B1F9C">
        <w:rPr>
          <w:rFonts w:ascii="Arial" w:hAnsi="Arial" w:cs="Arial"/>
          <w:b/>
        </w:rPr>
        <w:t xml:space="preserve"> 2.2.3 </w:t>
      </w:r>
      <w:r w:rsidRPr="00A4048F">
        <w:rPr>
          <w:rFonts w:ascii="Arial" w:hAnsi="Arial" w:cs="Arial"/>
          <w:b/>
        </w:rPr>
        <w:t xml:space="preserve">Production of </w:t>
      </w:r>
      <w:proofErr w:type="spellStart"/>
      <w:r>
        <w:rPr>
          <w:rFonts w:ascii="Arial" w:hAnsi="Arial" w:cs="Arial"/>
          <w:b/>
        </w:rPr>
        <w:t>Blomia</w:t>
      </w:r>
      <w:proofErr w:type="spellEnd"/>
      <w:r>
        <w:rPr>
          <w:rFonts w:ascii="Arial" w:hAnsi="Arial" w:cs="Arial"/>
          <w:b/>
        </w:rPr>
        <w:t xml:space="preserve"> tropicalis</w:t>
      </w:r>
      <w:r w:rsidRPr="00A4048F">
        <w:rPr>
          <w:rFonts w:ascii="Arial" w:hAnsi="Arial" w:cs="Arial"/>
          <w:b/>
        </w:rPr>
        <w:t xml:space="preserve"> allergenic extract</w:t>
      </w:r>
    </w:p>
    <w:p w14:paraId="1A9482F4" w14:textId="16C59F04" w:rsidR="00D53AFF" w:rsidRPr="00A2117F" w:rsidRDefault="00D53AFF" w:rsidP="00A4048F">
      <w:pPr>
        <w:spacing w:after="0" w:line="240" w:lineRule="auto"/>
        <w:ind w:firstLine="720"/>
        <w:jc w:val="both"/>
        <w:rPr>
          <w:rFonts w:ascii="Arial" w:hAnsi="Arial" w:cs="Arial"/>
          <w:bCs/>
        </w:rPr>
      </w:pPr>
      <w:r>
        <w:rPr>
          <w:rFonts w:ascii="Arial" w:hAnsi="Arial" w:cs="Arial"/>
        </w:rPr>
        <w:t>T</w:t>
      </w:r>
      <w:r w:rsidRPr="00A4048F">
        <w:rPr>
          <w:rFonts w:ascii="Arial" w:hAnsi="Arial" w:cs="Arial"/>
        </w:rPr>
        <w:t>he samples of whole culture (mites and culture medium) underwent the grinding process to improve the exposure of allergens to the extraction buffer. Next, they were subjected to the defatting process (</w:t>
      </w:r>
      <w:r w:rsidR="008D5A42">
        <w:rPr>
          <w:rFonts w:ascii="Arial" w:hAnsi="Arial" w:cs="Arial"/>
        </w:rPr>
        <w:t>using ethyl ether), which favored</w:t>
      </w:r>
      <w:r w:rsidRPr="00A4048F">
        <w:rPr>
          <w:rFonts w:ascii="Arial" w:hAnsi="Arial" w:cs="Arial"/>
        </w:rPr>
        <w:t xml:space="preserve"> the loss of non-protein molecules. The material was sonicated to facilitate disruption.</w:t>
      </w:r>
      <w:r>
        <w:rPr>
          <w:rFonts w:ascii="Arial" w:hAnsi="Arial" w:cs="Arial"/>
        </w:rPr>
        <w:t xml:space="preserve"> </w:t>
      </w:r>
      <w:r w:rsidRPr="004B1F9C">
        <w:rPr>
          <w:rFonts w:ascii="Arial" w:hAnsi="Arial" w:cs="Arial"/>
          <w:bCs/>
        </w:rPr>
        <w:t xml:space="preserve">The </w:t>
      </w:r>
      <w:r>
        <w:rPr>
          <w:rFonts w:ascii="Arial" w:hAnsi="Arial" w:cs="Arial"/>
          <w:bCs/>
        </w:rPr>
        <w:t>sample</w:t>
      </w:r>
      <w:r w:rsidRPr="004B1F9C">
        <w:rPr>
          <w:rFonts w:ascii="Arial" w:hAnsi="Arial" w:cs="Arial"/>
          <w:bCs/>
        </w:rPr>
        <w:t xml:space="preserve"> </w:t>
      </w:r>
      <w:r>
        <w:rPr>
          <w:rFonts w:ascii="Arial" w:hAnsi="Arial" w:cs="Arial"/>
          <w:bCs/>
        </w:rPr>
        <w:t xml:space="preserve">was solubilized </w:t>
      </w:r>
      <w:r w:rsidR="008D5A42">
        <w:rPr>
          <w:rFonts w:ascii="Arial" w:hAnsi="Arial" w:cs="Arial"/>
          <w:bCs/>
        </w:rPr>
        <w:t>in Phosphate</w:t>
      </w:r>
      <w:r w:rsidR="00975B0F">
        <w:rPr>
          <w:rFonts w:ascii="Arial" w:hAnsi="Arial" w:cs="Arial"/>
          <w:bCs/>
        </w:rPr>
        <w:t>-Buffered Saline (pH 7.2; Sodium Chloride (NaCl) – 81.9 g/L; Potassium Chloride (</w:t>
      </w:r>
      <w:proofErr w:type="spellStart"/>
      <w:r w:rsidR="00975B0F">
        <w:rPr>
          <w:rFonts w:ascii="Arial" w:hAnsi="Arial" w:cs="Arial"/>
          <w:bCs/>
        </w:rPr>
        <w:t>KCl</w:t>
      </w:r>
      <w:proofErr w:type="spellEnd"/>
      <w:r w:rsidR="00975B0F">
        <w:rPr>
          <w:rFonts w:ascii="Arial" w:hAnsi="Arial" w:cs="Arial"/>
          <w:bCs/>
        </w:rPr>
        <w:t xml:space="preserve">) – 1.87 g/L; Dibasic Sodium Phosphate (Anhydrous Na2HPO4) – 14.19 g/L; Monobasic Potassium Phosphate (KH2PO4) </w:t>
      </w:r>
      <w:r w:rsidRPr="004B1F9C">
        <w:rPr>
          <w:rFonts w:ascii="Arial" w:hAnsi="Arial" w:cs="Arial"/>
          <w:bCs/>
        </w:rPr>
        <w:t>- 2.38 g/L)</w:t>
      </w:r>
      <w:r>
        <w:rPr>
          <w:rFonts w:ascii="Arial" w:hAnsi="Arial" w:cs="Arial"/>
          <w:bCs/>
        </w:rPr>
        <w:t xml:space="preserve">. </w:t>
      </w:r>
      <w:r w:rsidRPr="004B1F9C">
        <w:rPr>
          <w:rFonts w:ascii="Arial" w:hAnsi="Arial" w:cs="Arial"/>
          <w:bCs/>
        </w:rPr>
        <w:t>The extraction was performed at a rate of 10 mL of buffer per gram of raw material (10%), using gentle magnetic stirring (1</w:t>
      </w:r>
      <w:r>
        <w:rPr>
          <w:rFonts w:ascii="Arial" w:hAnsi="Arial" w:cs="Arial"/>
          <w:bCs/>
        </w:rPr>
        <w:t>,</w:t>
      </w:r>
      <w:r w:rsidRPr="004B1F9C">
        <w:rPr>
          <w:rFonts w:ascii="Arial" w:hAnsi="Arial" w:cs="Arial"/>
          <w:bCs/>
        </w:rPr>
        <w:t>000 rpm) for 4 hours at 4ºC. The material was centrifuged at 5,000 rpm (3,020g for 30 minutes, and the supernatant was preserved. The sediment was resuspended under the same conditions as in the first step and kept under stirring for 2 hours. The centrifugation was then repeated, and the supernatants were mixed.</w:t>
      </w:r>
      <w:r>
        <w:rPr>
          <w:rFonts w:ascii="Arial" w:hAnsi="Arial" w:cs="Arial"/>
          <w:bCs/>
        </w:rPr>
        <w:t xml:space="preserve"> </w:t>
      </w:r>
      <w:r w:rsidRPr="004B1F9C">
        <w:rPr>
          <w:rFonts w:ascii="Arial" w:hAnsi="Arial" w:cs="Arial"/>
          <w:bCs/>
        </w:rPr>
        <w:t xml:space="preserve">The final extract </w:t>
      </w:r>
      <w:r w:rsidR="008D5A42">
        <w:rPr>
          <w:rFonts w:ascii="Arial" w:hAnsi="Arial" w:cs="Arial"/>
          <w:bCs/>
        </w:rPr>
        <w:t xml:space="preserve">was dialyzed against </w:t>
      </w:r>
      <w:r w:rsidR="00975B0F">
        <w:rPr>
          <w:rFonts w:ascii="Arial" w:hAnsi="Arial" w:cs="Arial"/>
          <w:bCs/>
        </w:rPr>
        <w:t xml:space="preserve">the </w:t>
      </w:r>
      <w:r w:rsidR="008D5A42">
        <w:rPr>
          <w:rFonts w:ascii="Arial" w:hAnsi="Arial" w:cs="Arial"/>
          <w:bCs/>
        </w:rPr>
        <w:t>buffer to eliminate low</w:t>
      </w:r>
      <w:r w:rsidR="00975B0F">
        <w:rPr>
          <w:rFonts w:ascii="Arial" w:hAnsi="Arial" w:cs="Arial"/>
          <w:bCs/>
        </w:rPr>
        <w:t>-molecular-weight proteins (&lt;5,000 Da) for 24 hours, with three buffer changes and a 1:50 dilution</w:t>
      </w:r>
      <w:r w:rsidR="008D5A42">
        <w:rPr>
          <w:rFonts w:ascii="Arial" w:hAnsi="Arial" w:cs="Arial"/>
          <w:bCs/>
        </w:rPr>
        <w:t xml:space="preserve"> ratio</w:t>
      </w:r>
      <w:r w:rsidRPr="00A4048F">
        <w:rPr>
          <w:rFonts w:ascii="Arial" w:hAnsi="Arial" w:cs="Arial"/>
          <w:bCs/>
        </w:rPr>
        <w:t xml:space="preserve">. The process was continued </w:t>
      </w:r>
      <w:r w:rsidRPr="00A2117F">
        <w:rPr>
          <w:rFonts w:ascii="Arial" w:hAnsi="Arial" w:cs="Arial"/>
          <w:bCs/>
        </w:rPr>
        <w:t>by centrifugation at 10,000 rpm (12,100</w:t>
      </w:r>
      <w:r w:rsidR="008D5A42">
        <w:rPr>
          <w:rFonts w:ascii="Arial" w:hAnsi="Arial" w:cs="Arial"/>
          <w:bCs/>
        </w:rPr>
        <w:t xml:space="preserve"> g) for 30 minutes at 4 °C. Protein concentration was determined using the Bradford method (Bradford,</w:t>
      </w:r>
      <w:r>
        <w:rPr>
          <w:rFonts w:ascii="Arial" w:hAnsi="Arial" w:cs="Arial"/>
          <w:noProof/>
        </w:rPr>
        <w:t xml:space="preserve"> 1976)</w:t>
      </w:r>
      <w:r w:rsidR="008D5A42">
        <w:rPr>
          <w:rFonts w:ascii="Arial" w:hAnsi="Arial" w:cs="Arial"/>
          <w:noProof/>
        </w:rPr>
        <w:t>.</w:t>
      </w:r>
      <w:r>
        <w:rPr>
          <w:rFonts w:ascii="Arial" w:hAnsi="Arial" w:cs="Arial"/>
        </w:rPr>
        <w:t xml:space="preserve"> T</w:t>
      </w:r>
      <w:r w:rsidRPr="008C5273">
        <w:rPr>
          <w:rFonts w:ascii="Arial" w:hAnsi="Arial" w:cs="Arial"/>
        </w:rPr>
        <w:t>he solution was diluted in an</w:t>
      </w:r>
      <w:r w:rsidR="008D5A42">
        <w:rPr>
          <w:rFonts w:ascii="Arial" w:hAnsi="Arial" w:cs="Arial"/>
        </w:rPr>
        <w:t xml:space="preserve"> antigen dilution solution (NaCl</w:t>
      </w:r>
      <w:r w:rsidR="00975B0F">
        <w:rPr>
          <w:rFonts w:ascii="Arial" w:hAnsi="Arial" w:cs="Arial"/>
        </w:rPr>
        <w:t>, 10g; KH</w:t>
      </w:r>
      <w:r w:rsidR="00975B0F" w:rsidRPr="00F421CE">
        <w:rPr>
          <w:rFonts w:ascii="Arial" w:hAnsi="Arial" w:cs="Arial"/>
          <w:vertAlign w:val="subscript"/>
        </w:rPr>
        <w:t>2</w:t>
      </w:r>
      <w:r w:rsidR="00975B0F">
        <w:rPr>
          <w:rFonts w:ascii="Arial" w:hAnsi="Arial" w:cs="Arial"/>
        </w:rPr>
        <w:t>PO</w:t>
      </w:r>
      <w:r w:rsidR="00975B0F" w:rsidRPr="00F421CE">
        <w:rPr>
          <w:rFonts w:ascii="Arial" w:hAnsi="Arial" w:cs="Arial"/>
          <w:vertAlign w:val="subscript"/>
        </w:rPr>
        <w:t>4</w:t>
      </w:r>
      <w:r w:rsidR="00975B0F">
        <w:rPr>
          <w:rFonts w:ascii="Arial" w:hAnsi="Arial" w:cs="Arial"/>
        </w:rPr>
        <w:t>, 0.72g; Na</w:t>
      </w:r>
      <w:r w:rsidR="00975B0F" w:rsidRPr="00F421CE">
        <w:rPr>
          <w:rFonts w:ascii="Arial" w:hAnsi="Arial" w:cs="Arial"/>
          <w:vertAlign w:val="subscript"/>
        </w:rPr>
        <w:t>3</w:t>
      </w:r>
      <w:r w:rsidR="00975B0F">
        <w:rPr>
          <w:rFonts w:ascii="Arial" w:hAnsi="Arial" w:cs="Arial"/>
        </w:rPr>
        <w:t>PO</w:t>
      </w:r>
      <w:r w:rsidR="00975B0F" w:rsidRPr="00F421CE">
        <w:rPr>
          <w:rFonts w:ascii="Arial" w:hAnsi="Arial" w:cs="Arial"/>
          <w:vertAlign w:val="subscript"/>
        </w:rPr>
        <w:t>4</w:t>
      </w:r>
      <w:r w:rsidR="00975B0F">
        <w:rPr>
          <w:rFonts w:ascii="Arial" w:hAnsi="Arial" w:cs="Arial"/>
        </w:rPr>
        <w:t>, 2.86g; methylparaben, 1g; propylparaben, 0.5g; glycerin, 400mL; H</w:t>
      </w:r>
      <w:r w:rsidR="00975B0F" w:rsidRPr="00F421CE">
        <w:rPr>
          <w:rFonts w:ascii="Arial" w:hAnsi="Arial" w:cs="Arial"/>
          <w:vertAlign w:val="subscript"/>
        </w:rPr>
        <w:t>2</w:t>
      </w:r>
      <w:r w:rsidR="00975B0F">
        <w:rPr>
          <w:rFonts w:ascii="Arial" w:hAnsi="Arial" w:cs="Arial"/>
        </w:rPr>
        <w:t>O,</w:t>
      </w:r>
      <w:r w:rsidR="008D5A42">
        <w:rPr>
          <w:rFonts w:ascii="Arial" w:hAnsi="Arial" w:cs="Arial"/>
        </w:rPr>
        <w:t xml:space="preserve"> 600mL) to an estimated protein concentration of 1 mg/mL and stored at 4 °C in amber,</w:t>
      </w:r>
      <w:r w:rsidRPr="008C5273">
        <w:rPr>
          <w:rFonts w:ascii="Arial" w:hAnsi="Arial" w:cs="Arial"/>
        </w:rPr>
        <w:t xml:space="preserve"> opaque glass vials.</w:t>
      </w:r>
    </w:p>
    <w:p w14:paraId="4E707CFE" w14:textId="77777777" w:rsidR="00D53AFF" w:rsidRPr="00A2117F" w:rsidRDefault="00D53AFF" w:rsidP="00A4048F">
      <w:pPr>
        <w:spacing w:after="0" w:line="240" w:lineRule="auto"/>
        <w:jc w:val="both"/>
        <w:rPr>
          <w:rFonts w:ascii="Arial" w:eastAsia="Times New Roman" w:hAnsi="Arial" w:cs="Arial"/>
        </w:rPr>
      </w:pPr>
    </w:p>
    <w:p w14:paraId="4C77F882" w14:textId="77777777" w:rsidR="00D53AFF" w:rsidRPr="00A2117F" w:rsidRDefault="00D53AFF" w:rsidP="00A4048F">
      <w:pPr>
        <w:spacing w:after="0" w:line="240" w:lineRule="auto"/>
        <w:jc w:val="both"/>
        <w:rPr>
          <w:rFonts w:ascii="Arial" w:eastAsia="Times New Roman" w:hAnsi="Arial" w:cs="Arial"/>
          <w:b/>
          <w:bCs/>
        </w:rPr>
      </w:pPr>
      <w:r w:rsidRPr="00A2117F">
        <w:rPr>
          <w:rFonts w:ascii="Arial" w:eastAsia="Times New Roman" w:hAnsi="Arial" w:cs="Arial"/>
          <w:b/>
          <w:bCs/>
        </w:rPr>
        <w:t>2.3 Shrimp extract</w:t>
      </w:r>
    </w:p>
    <w:p w14:paraId="31858412" w14:textId="77777777" w:rsidR="00D53AFF" w:rsidRPr="00A2117F" w:rsidRDefault="00D53AFF" w:rsidP="00A4048F">
      <w:pPr>
        <w:spacing w:after="0" w:line="240" w:lineRule="auto"/>
        <w:jc w:val="both"/>
        <w:rPr>
          <w:rFonts w:ascii="Arial" w:eastAsia="Times New Roman" w:hAnsi="Arial" w:cs="Arial"/>
        </w:rPr>
      </w:pPr>
    </w:p>
    <w:p w14:paraId="6A286F24" w14:textId="4B83030C" w:rsidR="00D53AFF" w:rsidRPr="00A2117F" w:rsidRDefault="00D53AFF" w:rsidP="00A4048F">
      <w:pPr>
        <w:spacing w:after="0" w:line="240" w:lineRule="auto"/>
        <w:jc w:val="both"/>
        <w:rPr>
          <w:rFonts w:ascii="Arial" w:hAnsi="Arial" w:cs="Arial"/>
        </w:rPr>
      </w:pPr>
      <w:r w:rsidRPr="00A2117F">
        <w:rPr>
          <w:rFonts w:ascii="Arial" w:hAnsi="Arial" w:cs="Arial"/>
        </w:rPr>
        <w:tab/>
      </w:r>
      <w:proofErr w:type="spellStart"/>
      <w:r w:rsidRPr="00A2117F">
        <w:rPr>
          <w:rFonts w:ascii="Arial" w:hAnsi="Arial" w:cs="Arial"/>
          <w:i/>
          <w:iCs/>
        </w:rPr>
        <w:t>Farfantepenaeus</w:t>
      </w:r>
      <w:proofErr w:type="spellEnd"/>
      <w:r w:rsidRPr="00A2117F">
        <w:rPr>
          <w:rFonts w:ascii="Arial" w:hAnsi="Arial" w:cs="Arial"/>
          <w:i/>
          <w:iCs/>
        </w:rPr>
        <w:t xml:space="preserve"> </w:t>
      </w:r>
      <w:proofErr w:type="spellStart"/>
      <w:r w:rsidRPr="00A2117F">
        <w:rPr>
          <w:rFonts w:ascii="Arial" w:hAnsi="Arial" w:cs="Arial"/>
          <w:i/>
          <w:iCs/>
        </w:rPr>
        <w:t>brasiliensis</w:t>
      </w:r>
      <w:proofErr w:type="spellEnd"/>
      <w:r w:rsidRPr="00A2117F">
        <w:rPr>
          <w:rFonts w:ascii="Arial" w:hAnsi="Arial" w:cs="Arial"/>
        </w:rPr>
        <w:t xml:space="preserve"> was acquired from the local market and identified b</w:t>
      </w:r>
      <w:r w:rsidR="008D5A42">
        <w:rPr>
          <w:rFonts w:ascii="Arial" w:hAnsi="Arial" w:cs="Arial"/>
        </w:rPr>
        <w:t>ased on its morphological characteristics (Silveira et al.,</w:t>
      </w:r>
      <w:r>
        <w:rPr>
          <w:rFonts w:ascii="Arial" w:hAnsi="Arial" w:cs="Arial"/>
          <w:noProof/>
        </w:rPr>
        <w:t xml:space="preserve"> 2022)</w:t>
      </w:r>
      <w:r w:rsidRPr="00A2117F">
        <w:rPr>
          <w:rFonts w:ascii="Arial" w:hAnsi="Arial" w:cs="Arial"/>
        </w:rPr>
        <w:t>. The sample was grounded for 48 hours at 4 °C with a Coca-based extractor solution added to cover the amount of antigen. The sample was centrifuged (4,500 rpm for 10 min) and filtered. The protein concentration was estimated spectrophotometrically and diluted to 1 mg/mL in antigen dilution solution to perform allergic skin tests, TTP, and LAIT.</w:t>
      </w:r>
    </w:p>
    <w:p w14:paraId="2C3CB8A8" w14:textId="77777777" w:rsidR="00D53AFF" w:rsidRPr="00A2117F" w:rsidRDefault="00D53AFF" w:rsidP="00646870">
      <w:pPr>
        <w:spacing w:after="0" w:line="240" w:lineRule="auto"/>
        <w:jc w:val="both"/>
        <w:rPr>
          <w:rFonts w:ascii="Arial" w:eastAsia="Times New Roman" w:hAnsi="Arial" w:cs="Arial"/>
          <w:b/>
          <w:bCs/>
        </w:rPr>
      </w:pPr>
    </w:p>
    <w:p w14:paraId="3084D32F" w14:textId="77777777" w:rsidR="00D53AFF" w:rsidRPr="00A2117F" w:rsidRDefault="00D53AFF" w:rsidP="00646870">
      <w:pPr>
        <w:spacing w:after="0" w:line="240" w:lineRule="auto"/>
        <w:jc w:val="both"/>
        <w:rPr>
          <w:rFonts w:ascii="Arial" w:eastAsia="Times New Roman" w:hAnsi="Arial" w:cs="Arial"/>
          <w:b/>
          <w:bCs/>
        </w:rPr>
      </w:pPr>
    </w:p>
    <w:p w14:paraId="72A676DB" w14:textId="77777777" w:rsidR="00D53AFF" w:rsidRPr="00A2117F" w:rsidRDefault="00D53AFF" w:rsidP="00646870">
      <w:pPr>
        <w:spacing w:after="0" w:line="240" w:lineRule="auto"/>
        <w:jc w:val="both"/>
        <w:rPr>
          <w:rFonts w:ascii="Arial" w:eastAsia="Times New Roman" w:hAnsi="Arial" w:cs="Arial"/>
          <w:b/>
          <w:bCs/>
        </w:rPr>
      </w:pPr>
      <w:r w:rsidRPr="00A2117F">
        <w:rPr>
          <w:rFonts w:ascii="Arial" w:eastAsia="Times New Roman" w:hAnsi="Arial" w:cs="Arial"/>
          <w:b/>
          <w:bCs/>
        </w:rPr>
        <w:t xml:space="preserve">2.4. LAIT: </w:t>
      </w:r>
      <w:r w:rsidRPr="00A2117F">
        <w:rPr>
          <w:rFonts w:ascii="Arial" w:eastAsia="Times New Roman" w:hAnsi="Arial" w:cs="Arial"/>
          <w:b/>
          <w:bCs/>
          <w:i/>
          <w:iCs/>
        </w:rPr>
        <w:t>Ex vivo</w:t>
      </w:r>
      <w:r w:rsidRPr="00A2117F">
        <w:rPr>
          <w:rFonts w:ascii="Arial" w:eastAsia="Times New Roman" w:hAnsi="Arial" w:cs="Arial"/>
          <w:b/>
          <w:bCs/>
        </w:rPr>
        <w:t xml:space="preserve"> Investigation: Leukocyte Adherence Inhibition Test</w:t>
      </w:r>
      <w:r>
        <w:rPr>
          <w:rFonts w:ascii="Arial" w:eastAsia="Times New Roman" w:hAnsi="Arial" w:cs="Arial"/>
          <w:b/>
          <w:bCs/>
        </w:rPr>
        <w:t>.</w:t>
      </w:r>
    </w:p>
    <w:p w14:paraId="772AA604" w14:textId="77777777" w:rsidR="00D53AFF" w:rsidRPr="00A2117F" w:rsidRDefault="00D53AFF" w:rsidP="00646870">
      <w:pPr>
        <w:spacing w:after="0" w:line="240" w:lineRule="auto"/>
        <w:jc w:val="both"/>
        <w:rPr>
          <w:rFonts w:ascii="Arial" w:eastAsia="Times New Roman" w:hAnsi="Arial" w:cs="Arial"/>
          <w:b/>
          <w:bCs/>
        </w:rPr>
      </w:pPr>
    </w:p>
    <w:p w14:paraId="3A2FEE66" w14:textId="5B6167BC" w:rsidR="00D53AFF" w:rsidRPr="00A2117F" w:rsidRDefault="00D53AFF" w:rsidP="00403859">
      <w:pPr>
        <w:spacing w:after="0" w:line="240" w:lineRule="auto"/>
        <w:jc w:val="both"/>
        <w:rPr>
          <w:rFonts w:ascii="Arial" w:eastAsia="Times New Roman" w:hAnsi="Arial" w:cs="Arial"/>
        </w:rPr>
      </w:pPr>
      <w:r w:rsidRPr="00A2117F">
        <w:rPr>
          <w:rFonts w:ascii="Arial" w:eastAsia="Times New Roman" w:hAnsi="Arial" w:cs="Arial"/>
          <w:b/>
          <w:bCs/>
        </w:rPr>
        <w:t xml:space="preserve">2.4.1 LAIT: </w:t>
      </w:r>
      <w:r w:rsidRPr="00A2117F">
        <w:rPr>
          <w:rFonts w:ascii="Arial" w:hAnsi="Arial" w:cs="Arial"/>
          <w:b/>
          <w:bCs/>
        </w:rPr>
        <w:t xml:space="preserve">Procedure for </w:t>
      </w:r>
      <w:r w:rsidR="008D5A42">
        <w:rPr>
          <w:rFonts w:ascii="Arial" w:hAnsi="Arial" w:cs="Arial"/>
          <w:b/>
          <w:bCs/>
        </w:rPr>
        <w:t>Allergen Ex Vivo C</w:t>
      </w:r>
      <w:r w:rsidRPr="00A2117F">
        <w:rPr>
          <w:rFonts w:ascii="Arial" w:hAnsi="Arial" w:cs="Arial"/>
          <w:b/>
          <w:bCs/>
        </w:rPr>
        <w:t xml:space="preserve">hallenging. </w:t>
      </w:r>
    </w:p>
    <w:p w14:paraId="5BD99E23" w14:textId="3C06DA79" w:rsidR="00D53AFF" w:rsidRPr="008C69ED" w:rsidRDefault="00D53AFF" w:rsidP="00A22110">
      <w:pPr>
        <w:spacing w:after="0" w:line="240" w:lineRule="auto"/>
        <w:ind w:firstLine="708"/>
        <w:jc w:val="both"/>
        <w:rPr>
          <w:rFonts w:ascii="Arial" w:eastAsia="Times New Roman" w:hAnsi="Arial" w:cs="Arial"/>
        </w:rPr>
      </w:pPr>
      <w:r w:rsidRPr="00A2117F">
        <w:rPr>
          <w:rFonts w:ascii="Arial" w:eastAsia="Times New Roman" w:hAnsi="Arial" w:cs="Arial"/>
        </w:rPr>
        <w:t>We perform</w:t>
      </w:r>
      <w:r w:rsidRPr="008C69ED">
        <w:rPr>
          <w:rFonts w:ascii="Arial" w:eastAsia="Times New Roman" w:hAnsi="Arial" w:cs="Arial"/>
        </w:rPr>
        <w:t xml:space="preserve">ed the LAIT as previously described </w:t>
      </w:r>
      <w:r>
        <w:rPr>
          <w:rFonts w:ascii="Arial" w:eastAsia="Times New Roman" w:hAnsi="Arial" w:cs="Arial"/>
          <w:noProof/>
        </w:rPr>
        <w:t xml:space="preserve">(Olivier </w:t>
      </w:r>
      <w:r w:rsidR="00BA632D" w:rsidRPr="00BA632D">
        <w:rPr>
          <w:rFonts w:ascii="Arial" w:eastAsia="Times New Roman" w:hAnsi="Arial" w:cs="Arial"/>
          <w:i/>
          <w:iCs/>
          <w:noProof/>
        </w:rPr>
        <w:t>et al</w:t>
      </w:r>
      <w:r>
        <w:rPr>
          <w:rFonts w:ascii="Arial" w:eastAsia="Times New Roman" w:hAnsi="Arial" w:cs="Arial"/>
          <w:noProof/>
        </w:rPr>
        <w:t xml:space="preserve">. 2012, Olivier </w:t>
      </w:r>
      <w:r w:rsidR="00BA632D" w:rsidRPr="00BA632D">
        <w:rPr>
          <w:rFonts w:ascii="Arial" w:eastAsia="Times New Roman" w:hAnsi="Arial" w:cs="Arial"/>
          <w:i/>
          <w:iCs/>
          <w:noProof/>
        </w:rPr>
        <w:t>et al</w:t>
      </w:r>
      <w:r>
        <w:rPr>
          <w:rFonts w:ascii="Arial" w:eastAsia="Times New Roman" w:hAnsi="Arial" w:cs="Arial"/>
          <w:noProof/>
        </w:rPr>
        <w:t xml:space="preserve">. 2014, Olivier </w:t>
      </w:r>
      <w:r w:rsidR="00BA632D" w:rsidRPr="00BA632D">
        <w:rPr>
          <w:rFonts w:ascii="Arial" w:eastAsia="Times New Roman" w:hAnsi="Arial" w:cs="Arial"/>
          <w:i/>
          <w:iCs/>
          <w:noProof/>
        </w:rPr>
        <w:t>et al</w:t>
      </w:r>
      <w:r>
        <w:rPr>
          <w:rFonts w:ascii="Arial" w:eastAsia="Times New Roman" w:hAnsi="Arial" w:cs="Arial"/>
          <w:noProof/>
        </w:rPr>
        <w:t xml:space="preserve">. 2021a, Olivier </w:t>
      </w:r>
      <w:r w:rsidR="00BA632D" w:rsidRPr="00BA632D">
        <w:rPr>
          <w:rFonts w:ascii="Arial" w:eastAsia="Times New Roman" w:hAnsi="Arial" w:cs="Arial"/>
          <w:i/>
          <w:iCs/>
          <w:noProof/>
        </w:rPr>
        <w:t>et al</w:t>
      </w:r>
      <w:r>
        <w:rPr>
          <w:rFonts w:ascii="Arial" w:eastAsia="Times New Roman" w:hAnsi="Arial" w:cs="Arial"/>
          <w:noProof/>
        </w:rPr>
        <w:t xml:space="preserve">. 2021b, Olivier </w:t>
      </w:r>
      <w:r w:rsidR="00BA632D" w:rsidRPr="00BA632D">
        <w:rPr>
          <w:rFonts w:ascii="Arial" w:eastAsia="Times New Roman" w:hAnsi="Arial" w:cs="Arial"/>
          <w:i/>
          <w:iCs/>
          <w:noProof/>
        </w:rPr>
        <w:t>et al</w:t>
      </w:r>
      <w:r>
        <w:rPr>
          <w:rFonts w:ascii="Arial" w:eastAsia="Times New Roman" w:hAnsi="Arial" w:cs="Arial"/>
          <w:noProof/>
        </w:rPr>
        <w:t>. 2021c)</w:t>
      </w:r>
      <w:r w:rsidRPr="008C69ED">
        <w:rPr>
          <w:rFonts w:ascii="Arial" w:eastAsia="Times New Roman" w:hAnsi="Arial" w:cs="Arial"/>
        </w:rPr>
        <w:t xml:space="preserve">. Shortly, each donor's fresh plasma was divided into two parts and used in parallel </w:t>
      </w:r>
      <w:r w:rsidRPr="008C69ED">
        <w:rPr>
          <w:rFonts w:ascii="Arial" w:eastAsia="Times New Roman" w:hAnsi="Arial" w:cs="Arial"/>
          <w:i/>
          <w:iCs/>
        </w:rPr>
        <w:t>ex vivo</w:t>
      </w:r>
      <w:r w:rsidRPr="008C69ED">
        <w:rPr>
          <w:rFonts w:ascii="Arial" w:eastAsia="Times New Roman" w:hAnsi="Arial" w:cs="Arial"/>
        </w:rPr>
        <w:t xml:space="preserve"> challenging tests with the allergen extract and the unchallenged plasma (added with antigen dilution solution as a control). We collected plasma with high leukocyte content (buffy coat) from the heparinized tube after one hour of sedimentation at 37 °C. Then, we distributed aliquots of 100 </w:t>
      </w:r>
      <w:proofErr w:type="spellStart"/>
      <w:r w:rsidRPr="008C69ED">
        <w:rPr>
          <w:rFonts w:ascii="Arial" w:eastAsia="Times New Roman" w:hAnsi="Arial" w:cs="Arial"/>
        </w:rPr>
        <w:t>μL</w:t>
      </w:r>
      <w:proofErr w:type="spellEnd"/>
      <w:r w:rsidRPr="008C69ED">
        <w:rPr>
          <w:rFonts w:ascii="Arial" w:eastAsia="Times New Roman" w:hAnsi="Arial" w:cs="Arial"/>
        </w:rPr>
        <w:t xml:space="preserve"> into Eppendorf tubes with (or without) the challenging extract and kept them under agitation for 30 minutes (200 rpm at 37 °C).</w:t>
      </w:r>
    </w:p>
    <w:p w14:paraId="469491CF" w14:textId="77777777" w:rsidR="00D53AFF" w:rsidRPr="008C69ED" w:rsidRDefault="00D53AFF" w:rsidP="00A22110">
      <w:pPr>
        <w:spacing w:after="0" w:line="240" w:lineRule="auto"/>
        <w:ind w:firstLine="708"/>
        <w:jc w:val="both"/>
        <w:rPr>
          <w:rFonts w:ascii="Arial" w:eastAsia="Times New Roman" w:hAnsi="Arial" w:cs="Arial"/>
        </w:rPr>
      </w:pPr>
    </w:p>
    <w:p w14:paraId="4CAA9E05" w14:textId="77777777" w:rsidR="00D53AFF" w:rsidRPr="008C69ED" w:rsidRDefault="00D53AFF" w:rsidP="00403859">
      <w:pPr>
        <w:spacing w:after="0" w:line="240" w:lineRule="auto"/>
        <w:jc w:val="both"/>
        <w:rPr>
          <w:rFonts w:ascii="Arial" w:eastAsia="Times New Roman" w:hAnsi="Arial" w:cs="Arial"/>
        </w:rPr>
      </w:pPr>
      <w:r w:rsidRPr="008C69ED">
        <w:rPr>
          <w:rFonts w:ascii="Arial" w:eastAsia="Times New Roman" w:hAnsi="Arial" w:cs="Arial"/>
          <w:b/>
          <w:bCs/>
        </w:rPr>
        <w:t xml:space="preserve">2.4.2 LAIT: </w:t>
      </w:r>
      <w:r w:rsidRPr="008C69ED">
        <w:rPr>
          <w:rFonts w:ascii="Arial" w:hAnsi="Arial" w:cs="Arial"/>
          <w:b/>
          <w:bCs/>
        </w:rPr>
        <w:t>Procedure for adherence assay</w:t>
      </w:r>
      <w:r>
        <w:rPr>
          <w:rFonts w:ascii="Arial" w:hAnsi="Arial" w:cs="Arial"/>
          <w:b/>
          <w:bCs/>
        </w:rPr>
        <w:t>.</w:t>
      </w:r>
      <w:r w:rsidRPr="008C69ED">
        <w:rPr>
          <w:rFonts w:ascii="Arial" w:hAnsi="Arial" w:cs="Arial"/>
          <w:b/>
          <w:bCs/>
        </w:rPr>
        <w:t xml:space="preserve"> </w:t>
      </w:r>
    </w:p>
    <w:p w14:paraId="487D0E44" w14:textId="4C815165" w:rsidR="00D53AFF" w:rsidRPr="008C69ED" w:rsidRDefault="00D53AFF" w:rsidP="00A22110">
      <w:pPr>
        <w:spacing w:after="0" w:line="240" w:lineRule="auto"/>
        <w:ind w:firstLine="708"/>
        <w:jc w:val="both"/>
        <w:rPr>
          <w:rFonts w:ascii="Arial" w:eastAsia="Times New Roman" w:hAnsi="Arial" w:cs="Arial"/>
        </w:rPr>
      </w:pPr>
      <w:r w:rsidRPr="008C69ED">
        <w:rPr>
          <w:rFonts w:ascii="Arial" w:eastAsia="Times New Roman" w:hAnsi="Arial" w:cs="Arial"/>
        </w:rPr>
        <w:t xml:space="preserve"> After incubation, the challenged plasma was allocated into a standard Neubauer hemocytometer counting chamber with a plain, non-metallic glass surface and left to stand for 2 hours at 37 °C in </w:t>
      </w:r>
      <w:r w:rsidR="008D5A42">
        <w:rPr>
          <w:rFonts w:ascii="Arial" w:eastAsia="Times New Roman" w:hAnsi="Arial" w:cs="Arial"/>
        </w:rPr>
        <w:t>a humidified atmosphere of the covered water bath, allowing</w:t>
      </w:r>
      <w:r w:rsidRPr="008C69ED">
        <w:rPr>
          <w:rFonts w:ascii="Arial" w:eastAsia="Times New Roman" w:hAnsi="Arial" w:cs="Arial"/>
        </w:rPr>
        <w:t xml:space="preserve"> leukocytes to adhere to the glass. Next, we counted the leukocytes, removed the coverslip, and washed the chamber by immersi</w:t>
      </w:r>
      <w:r w:rsidR="008D5A42">
        <w:rPr>
          <w:rFonts w:ascii="Arial" w:eastAsia="Times New Roman" w:hAnsi="Arial" w:cs="Arial"/>
        </w:rPr>
        <w:t>ng it in a beaker containing phosphate-buffered</w:t>
      </w:r>
      <w:r w:rsidRPr="008C69ED">
        <w:rPr>
          <w:rFonts w:ascii="Arial" w:eastAsia="Times New Roman" w:hAnsi="Arial" w:cs="Arial"/>
        </w:rPr>
        <w:t xml:space="preserve"> saline (PBS) at 37 °C. Then, we added a drop of PBS to the hemocytometer's </w:t>
      </w:r>
      <w:r w:rsidRPr="008C69ED">
        <w:rPr>
          <w:rFonts w:ascii="Arial" w:eastAsia="Times New Roman" w:hAnsi="Arial" w:cs="Arial"/>
        </w:rPr>
        <w:lastRenderedPageBreak/>
        <w:t xml:space="preserve">chamber and allocated a clean coverslip over it. The remaining cells were counted in the same squares as previously examined. </w:t>
      </w:r>
    </w:p>
    <w:p w14:paraId="0099287D" w14:textId="77777777" w:rsidR="00D53AFF" w:rsidRPr="008C69ED" w:rsidRDefault="00D53AFF" w:rsidP="00A22110">
      <w:pPr>
        <w:spacing w:after="0" w:line="240" w:lineRule="auto"/>
        <w:ind w:firstLine="708"/>
        <w:jc w:val="both"/>
        <w:rPr>
          <w:rFonts w:ascii="Arial" w:eastAsia="Times New Roman" w:hAnsi="Arial" w:cs="Arial"/>
        </w:rPr>
      </w:pPr>
    </w:p>
    <w:p w14:paraId="0EB2F876" w14:textId="77777777" w:rsidR="00D53AFF" w:rsidRPr="008C69ED" w:rsidRDefault="00D53AFF" w:rsidP="00403859">
      <w:pPr>
        <w:spacing w:after="0" w:line="240" w:lineRule="auto"/>
        <w:jc w:val="both"/>
        <w:rPr>
          <w:rFonts w:ascii="Arial" w:eastAsia="Times New Roman" w:hAnsi="Arial" w:cs="Arial"/>
        </w:rPr>
      </w:pPr>
      <w:r w:rsidRPr="008C69ED">
        <w:rPr>
          <w:rFonts w:ascii="Arial" w:eastAsia="Times New Roman" w:hAnsi="Arial" w:cs="Arial"/>
          <w:b/>
          <w:bCs/>
        </w:rPr>
        <w:t xml:space="preserve">2.4.3 LAIT: </w:t>
      </w:r>
      <w:r w:rsidRPr="008C69ED">
        <w:rPr>
          <w:rFonts w:ascii="Arial" w:hAnsi="Arial" w:cs="Arial"/>
          <w:b/>
          <w:bCs/>
        </w:rPr>
        <w:t>Procedure for calculation</w:t>
      </w:r>
      <w:r>
        <w:rPr>
          <w:rFonts w:ascii="Arial" w:hAnsi="Arial" w:cs="Arial"/>
          <w:b/>
          <w:bCs/>
        </w:rPr>
        <w:t>.</w:t>
      </w:r>
      <w:r w:rsidRPr="008C69ED">
        <w:rPr>
          <w:rFonts w:ascii="Arial" w:hAnsi="Arial" w:cs="Arial"/>
          <w:b/>
          <w:bCs/>
        </w:rPr>
        <w:t xml:space="preserve"> </w:t>
      </w:r>
    </w:p>
    <w:p w14:paraId="02F2916D" w14:textId="6E6B5B59" w:rsidR="00D53AFF" w:rsidRPr="008C69ED" w:rsidRDefault="00D53AFF" w:rsidP="00A22110">
      <w:pPr>
        <w:spacing w:after="0" w:line="240" w:lineRule="auto"/>
        <w:ind w:firstLine="708"/>
        <w:jc w:val="both"/>
        <w:rPr>
          <w:rFonts w:ascii="Arial" w:eastAsia="Times New Roman" w:hAnsi="Arial" w:cs="Arial"/>
        </w:rPr>
      </w:pPr>
      <w:r w:rsidRPr="008C69ED">
        <w:rPr>
          <w:rFonts w:ascii="Arial" w:eastAsia="Times New Roman" w:hAnsi="Arial" w:cs="Arial"/>
        </w:rPr>
        <w:t>The percentage of Leukocyte Adherence (LA) of each assay was estimated as: (the number of leukocytes observed on the hemocytometry chamber after washing divided by the number of leukocytes observed on the hemocytometry chamber before washing) and multiplied by 100 (%). The Leukocyte Adherence Ratio (LAR) was estimated based on the ratio between the L</w:t>
      </w:r>
      <w:r w:rsidR="008D5A42">
        <w:rPr>
          <w:rFonts w:ascii="Arial" w:eastAsia="Times New Roman" w:hAnsi="Arial" w:cs="Arial"/>
        </w:rPr>
        <w:t>eukocyte Adherence (LA) from the antigen-specific challenged plasma and the LA from the unchallenged control plasma: LAR = LA of the challenged sample divided by LA of the unchallenged control plasma,</w:t>
      </w:r>
      <w:r w:rsidRPr="008C69ED">
        <w:rPr>
          <w:rFonts w:ascii="Arial" w:eastAsia="Times New Roman" w:hAnsi="Arial" w:cs="Arial"/>
        </w:rPr>
        <w:t xml:space="preserve"> multiplied by 100 (%). To further calculate the Leukocyte Adherence Inhibition (LAI), we subtracted the LAR from 100 (%). We </w:t>
      </w:r>
      <w:r w:rsidR="008D5A42">
        <w:rPr>
          <w:rFonts w:ascii="Arial" w:eastAsia="Times New Roman" w:hAnsi="Arial" w:cs="Arial"/>
        </w:rPr>
        <w:t>utilized the LAI results for the cascade distribution chart and the statistical calculations, both of which were performed using the Microsoft Excel</w:t>
      </w:r>
      <w:r w:rsidR="008D5A42" w:rsidRPr="008D5A42">
        <w:rPr>
          <w:rFonts w:ascii="Arial" w:eastAsia="Times New Roman" w:hAnsi="Arial" w:cs="Arial"/>
          <w:vertAlign w:val="superscript"/>
        </w:rPr>
        <w:t>®</w:t>
      </w:r>
      <w:r w:rsidRPr="008C69ED">
        <w:rPr>
          <w:rFonts w:ascii="Arial" w:eastAsia="Times New Roman" w:hAnsi="Arial" w:cs="Arial"/>
        </w:rPr>
        <w:t xml:space="preserve"> statistical package.</w:t>
      </w:r>
    </w:p>
    <w:p w14:paraId="2EC1B750" w14:textId="77777777" w:rsidR="00D53AFF" w:rsidRPr="008C69ED" w:rsidRDefault="00D53AFF" w:rsidP="00A22110">
      <w:pPr>
        <w:spacing w:after="0" w:line="240" w:lineRule="auto"/>
        <w:jc w:val="both"/>
        <w:rPr>
          <w:rFonts w:ascii="Arial" w:eastAsia="Times New Roman" w:hAnsi="Arial" w:cs="Arial"/>
        </w:rPr>
      </w:pPr>
    </w:p>
    <w:p w14:paraId="58A23671" w14:textId="77777777" w:rsidR="00D53AFF" w:rsidRPr="00D91C52" w:rsidRDefault="00D53AFF" w:rsidP="00DF582F">
      <w:pPr>
        <w:spacing w:after="0" w:line="240" w:lineRule="auto"/>
        <w:jc w:val="both"/>
        <w:rPr>
          <w:rFonts w:ascii="Arial" w:eastAsia="Times New Roman" w:hAnsi="Arial" w:cs="Arial"/>
          <w:b/>
          <w:bCs/>
        </w:rPr>
      </w:pPr>
      <w:r w:rsidRPr="008C69ED">
        <w:rPr>
          <w:rFonts w:ascii="Arial" w:eastAsia="Times New Roman" w:hAnsi="Arial" w:cs="Arial"/>
          <w:b/>
          <w:bCs/>
        </w:rPr>
        <w:t xml:space="preserve">2.5 TTP: </w:t>
      </w:r>
      <w:r w:rsidRPr="008C69ED">
        <w:rPr>
          <w:rFonts w:ascii="Arial" w:eastAsia="Times New Roman" w:hAnsi="Arial" w:cs="Arial"/>
          <w:b/>
          <w:bCs/>
          <w:i/>
          <w:iCs/>
        </w:rPr>
        <w:t>In vitro</w:t>
      </w:r>
      <w:r w:rsidRPr="008C69ED">
        <w:rPr>
          <w:rFonts w:ascii="Arial" w:eastAsia="Times New Roman" w:hAnsi="Arial" w:cs="Arial"/>
          <w:b/>
          <w:bCs/>
        </w:rPr>
        <w:t xml:space="preserve"> Investigation: Tube Titration of Precipitins</w:t>
      </w:r>
      <w:r>
        <w:rPr>
          <w:rFonts w:ascii="Arial" w:eastAsia="Times New Roman" w:hAnsi="Arial" w:cs="Arial"/>
          <w:b/>
          <w:bCs/>
        </w:rPr>
        <w:t>.</w:t>
      </w:r>
    </w:p>
    <w:p w14:paraId="52902BBF" w14:textId="0C4A7A1F" w:rsidR="00D53AFF" w:rsidRPr="000432EC" w:rsidRDefault="00D53AFF" w:rsidP="000432EC">
      <w:pPr>
        <w:spacing w:after="0" w:line="240" w:lineRule="auto"/>
        <w:ind w:firstLine="360"/>
        <w:jc w:val="both"/>
        <w:sectPr w:rsidR="00D53AFF" w:rsidRPr="000432EC" w:rsidSect="00D53AF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r w:rsidRPr="008C69ED">
        <w:rPr>
          <w:rFonts w:ascii="Arial" w:eastAsia="Times New Roman" w:hAnsi="Arial" w:cs="Arial"/>
        </w:rPr>
        <w:t xml:space="preserve">As previously reported, the semi-quantitative TTP was performed in a transparent vitreous tube array </w:t>
      </w:r>
      <w:r>
        <w:rPr>
          <w:rFonts w:ascii="Arial" w:eastAsia="Times New Roman" w:hAnsi="Arial" w:cs="Arial"/>
          <w:noProof/>
        </w:rPr>
        <w:t xml:space="preserve">(Olivier </w:t>
      </w:r>
      <w:r w:rsidR="00BA632D" w:rsidRPr="00BA632D">
        <w:rPr>
          <w:rFonts w:ascii="Arial" w:eastAsia="Times New Roman" w:hAnsi="Arial" w:cs="Arial"/>
          <w:i/>
          <w:iCs/>
          <w:noProof/>
        </w:rPr>
        <w:t>et al</w:t>
      </w:r>
      <w:r>
        <w:rPr>
          <w:rFonts w:ascii="Arial" w:eastAsia="Times New Roman" w:hAnsi="Arial" w:cs="Arial"/>
          <w:noProof/>
        </w:rPr>
        <w:t>. 2024a)</w:t>
      </w:r>
      <w:r w:rsidRPr="008C69ED">
        <w:rPr>
          <w:rFonts w:ascii="Arial" w:eastAsia="Times New Roman" w:hAnsi="Arial" w:cs="Arial"/>
        </w:rPr>
        <w:t>. Shortly, the patient</w:t>
      </w:r>
      <w:r w:rsidR="008D5A42">
        <w:rPr>
          <w:rFonts w:ascii="Arial" w:eastAsia="Times New Roman" w:hAnsi="Arial" w:cs="Arial"/>
        </w:rPr>
        <w:t>'</w:t>
      </w:r>
      <w:r w:rsidRPr="008C69ED">
        <w:rPr>
          <w:rFonts w:ascii="Arial" w:eastAsia="Times New Roman" w:hAnsi="Arial" w:cs="Arial"/>
        </w:rPr>
        <w:t>s blood was collected in a clot-activator collecting tube. After separation, the serum was centrifugated at 2,000 rpm for 10 minutes. Each allergen extract was allocated in sets of eleven glass tubes at progressive</w:t>
      </w:r>
      <w:r w:rsidR="008D5A42">
        <w:rPr>
          <w:rFonts w:ascii="Arial" w:eastAsia="Times New Roman" w:hAnsi="Arial" w:cs="Arial"/>
        </w:rPr>
        <w:t>ly diluted serum concentra</w:t>
      </w:r>
      <w:r w:rsidRPr="008C69ED">
        <w:rPr>
          <w:rFonts w:ascii="Arial" w:eastAsia="Times New Roman" w:hAnsi="Arial" w:cs="Arial"/>
        </w:rPr>
        <w:t xml:space="preserve">tions. The progressive dilutions were combined with separated aliquots of 15 </w:t>
      </w:r>
      <w:proofErr w:type="spellStart"/>
      <w:r w:rsidRPr="008C69ED">
        <w:rPr>
          <w:rFonts w:ascii="Arial" w:eastAsia="Times New Roman" w:hAnsi="Arial" w:cs="Arial"/>
        </w:rPr>
        <w:t>μL</w:t>
      </w:r>
      <w:proofErr w:type="spellEnd"/>
      <w:r w:rsidRPr="008C69ED">
        <w:rPr>
          <w:rFonts w:ascii="Arial" w:eastAsia="Times New Roman" w:hAnsi="Arial" w:cs="Arial"/>
        </w:rPr>
        <w:t xml:space="preserve"> of the allergen extract with 250 </w:t>
      </w:r>
      <w:proofErr w:type="spellStart"/>
      <w:r w:rsidRPr="008C69ED">
        <w:rPr>
          <w:rFonts w:ascii="Arial" w:eastAsia="Times New Roman" w:hAnsi="Arial" w:cs="Arial"/>
        </w:rPr>
        <w:t>μL</w:t>
      </w:r>
      <w:proofErr w:type="spellEnd"/>
      <w:r w:rsidRPr="008C69ED">
        <w:rPr>
          <w:rFonts w:ascii="Arial" w:eastAsia="Times New Roman" w:hAnsi="Arial" w:cs="Arial"/>
        </w:rPr>
        <w:t xml:space="preserve"> of the patient</w:t>
      </w:r>
      <w:r w:rsidR="008D5A42">
        <w:rPr>
          <w:rFonts w:ascii="Arial" w:eastAsia="Times New Roman" w:hAnsi="Arial" w:cs="Arial"/>
        </w:rPr>
        <w:t>'</w:t>
      </w:r>
      <w:r w:rsidRPr="008C69ED">
        <w:rPr>
          <w:rFonts w:ascii="Arial" w:eastAsia="Times New Roman" w:hAnsi="Arial" w:cs="Arial"/>
        </w:rPr>
        <w:t>s serum, progressively diluted into physiological saline solution (NaCl 0,9%) in the dilution ratios of 1:1; 1:2; 1:4; 1:8; 1:16; 1:32; 1:64; 1:128; 1:256; and 1:512. One tube was a blank control</w:t>
      </w:r>
      <w:r w:rsidR="008D5A42">
        <w:rPr>
          <w:rFonts w:ascii="Arial" w:eastAsia="Times New Roman" w:hAnsi="Arial" w:cs="Arial"/>
        </w:rPr>
        <w:t>, performed with water and serum,</w:t>
      </w:r>
      <w:r w:rsidRPr="008C69ED">
        <w:rPr>
          <w:rFonts w:ascii="Arial" w:eastAsia="Times New Roman" w:hAnsi="Arial" w:cs="Arial"/>
        </w:rPr>
        <w:t xml:space="preserve"> to observe occasional spontaneous precipitation (Sia Test). After 24 hours, the tubes were examined, and the titers (the highest dilution factor that yields a positive reading) were recorded </w:t>
      </w:r>
      <w:r>
        <w:rPr>
          <w:rFonts w:ascii="Arial" w:eastAsia="Times New Roman" w:hAnsi="Arial" w:cs="Arial"/>
          <w:noProof/>
        </w:rPr>
        <w:t>(Williams and Chase</w:t>
      </w:r>
      <w:r w:rsidR="008D5A42">
        <w:rPr>
          <w:rFonts w:ascii="Arial" w:eastAsia="Times New Roman" w:hAnsi="Arial" w:cs="Arial"/>
          <w:noProof/>
        </w:rPr>
        <w:t>,</w:t>
      </w:r>
      <w:r>
        <w:rPr>
          <w:rFonts w:ascii="Arial" w:eastAsia="Times New Roman" w:hAnsi="Arial" w:cs="Arial"/>
          <w:noProof/>
        </w:rPr>
        <w:t xml:space="preserve"> 1971)</w:t>
      </w:r>
      <w:r w:rsidRPr="008C69ED">
        <w:rPr>
          <w:rFonts w:ascii="Arial" w:eastAsia="Times New Roman" w:hAnsi="Arial" w:cs="Arial"/>
        </w:rPr>
        <w:t>.</w:t>
      </w:r>
    </w:p>
    <w:p w14:paraId="7FEB1107" w14:textId="77777777" w:rsidR="00D53AFF" w:rsidRPr="008C69ED" w:rsidRDefault="00D53AFF" w:rsidP="00646870">
      <w:pPr>
        <w:spacing w:after="0" w:line="240" w:lineRule="auto"/>
        <w:jc w:val="both"/>
        <w:rPr>
          <w:rFonts w:ascii="Arial" w:eastAsia="Times New Roman" w:hAnsi="Arial" w:cs="Arial"/>
          <w:b/>
          <w:bCs/>
        </w:rPr>
      </w:pPr>
      <w:r w:rsidRPr="008C69ED">
        <w:rPr>
          <w:rFonts w:ascii="Arial" w:eastAsia="Times New Roman" w:hAnsi="Arial" w:cs="Arial"/>
          <w:b/>
          <w:bCs/>
        </w:rPr>
        <w:lastRenderedPageBreak/>
        <w:t>3. RESULTS</w:t>
      </w:r>
    </w:p>
    <w:p w14:paraId="77F94728" w14:textId="77777777" w:rsidR="00D53AFF" w:rsidRPr="008C69ED" w:rsidRDefault="00D53AFF" w:rsidP="00646870">
      <w:pPr>
        <w:spacing w:after="0" w:line="240" w:lineRule="auto"/>
        <w:jc w:val="both"/>
        <w:rPr>
          <w:rFonts w:ascii="Arial" w:eastAsia="Times New Roman" w:hAnsi="Arial" w:cs="Arial"/>
          <w:color w:val="FF0000"/>
        </w:rPr>
      </w:pPr>
    </w:p>
    <w:p w14:paraId="312BAF0F" w14:textId="30DFD77A" w:rsidR="00D53AFF" w:rsidRPr="00EC549D" w:rsidRDefault="00D53AFF" w:rsidP="00EC549D">
      <w:pPr>
        <w:spacing w:after="0" w:line="240" w:lineRule="auto"/>
        <w:ind w:firstLine="708"/>
        <w:jc w:val="both"/>
        <w:rPr>
          <w:rFonts w:ascii="Arial" w:eastAsia="Times New Roman" w:hAnsi="Arial" w:cs="Arial"/>
        </w:rPr>
      </w:pPr>
      <w:r w:rsidRPr="008C69ED">
        <w:rPr>
          <w:rFonts w:ascii="Arial" w:eastAsia="Times New Roman" w:hAnsi="Arial" w:cs="Arial"/>
        </w:rPr>
        <w:t xml:space="preserve">As a retrospective survey, </w:t>
      </w:r>
      <w:r w:rsidR="008D5A42">
        <w:rPr>
          <w:rFonts w:ascii="Arial" w:eastAsia="Times New Roman" w:hAnsi="Arial" w:cs="Arial"/>
        </w:rPr>
        <w:t>no research protocol was in place; therefore, we report the incidental immune investigation as document</w:t>
      </w:r>
      <w:r w:rsidRPr="008C69ED">
        <w:rPr>
          <w:rFonts w:ascii="Arial" w:eastAsia="Times New Roman" w:hAnsi="Arial" w:cs="Arial"/>
        </w:rPr>
        <w:t xml:space="preserve">ed in the digital medical charts. </w:t>
      </w:r>
    </w:p>
    <w:p w14:paraId="73E7B115" w14:textId="77777777" w:rsidR="00D53AFF" w:rsidRPr="00EC549D" w:rsidRDefault="00D53AFF" w:rsidP="00EC549D">
      <w:pPr>
        <w:spacing w:after="0" w:line="240" w:lineRule="auto"/>
        <w:ind w:firstLine="708"/>
        <w:jc w:val="both"/>
        <w:rPr>
          <w:rFonts w:ascii="Arial" w:eastAsia="Times New Roman" w:hAnsi="Arial" w:cs="Arial"/>
        </w:rPr>
      </w:pPr>
      <w:r w:rsidRPr="008C69ED">
        <w:rPr>
          <w:rFonts w:ascii="Arial" w:eastAsia="Times New Roman" w:hAnsi="Arial" w:cs="Arial"/>
        </w:rPr>
        <w:t xml:space="preserve">The TTP for the </w:t>
      </w:r>
      <w:proofErr w:type="spellStart"/>
      <w:r w:rsidRPr="008C69ED">
        <w:rPr>
          <w:rFonts w:ascii="Arial" w:eastAsia="Times New Roman" w:hAnsi="Arial" w:cs="Arial"/>
          <w:i/>
          <w:iCs/>
        </w:rPr>
        <w:t>Blomia</w:t>
      </w:r>
      <w:proofErr w:type="spellEnd"/>
      <w:r w:rsidRPr="008C69ED">
        <w:rPr>
          <w:rFonts w:ascii="Arial" w:eastAsia="Times New Roman" w:hAnsi="Arial" w:cs="Arial"/>
          <w:i/>
          <w:iCs/>
        </w:rPr>
        <w:t xml:space="preserve"> tropicalis</w:t>
      </w:r>
      <w:r w:rsidRPr="008C69ED">
        <w:rPr>
          <w:rFonts w:ascii="Arial" w:eastAsia="Times New Roman" w:hAnsi="Arial" w:cs="Arial"/>
        </w:rPr>
        <w:t xml:space="preserve"> extract showed a distribution concentrated on the higher dilutions (Fig 1). There was no negative result. The mean was estimated at 1:353; the median was 1:256; the standard deviation was estimated at 1:163; the mode was 1:512 (appeared 49 times).  </w:t>
      </w:r>
    </w:p>
    <w:p w14:paraId="1A815C48" w14:textId="165A3F56" w:rsidR="00D53AFF" w:rsidRPr="00504F4C" w:rsidRDefault="00D53AFF" w:rsidP="006723FB">
      <w:pPr>
        <w:spacing w:after="0" w:line="240" w:lineRule="auto"/>
        <w:ind w:firstLine="708"/>
        <w:jc w:val="both"/>
        <w:rPr>
          <w:rFonts w:ascii="Arial" w:eastAsia="Times New Roman" w:hAnsi="Arial" w:cs="Arial"/>
        </w:rPr>
      </w:pPr>
      <w:r w:rsidRPr="008C69ED">
        <w:rPr>
          <w:rFonts w:ascii="Arial" w:eastAsia="Times New Roman" w:hAnsi="Arial" w:cs="Arial"/>
        </w:rPr>
        <w:t xml:space="preserve">The TTP for the </w:t>
      </w:r>
      <w:proofErr w:type="spellStart"/>
      <w:r w:rsidRPr="008C69ED">
        <w:rPr>
          <w:rFonts w:ascii="Arial" w:eastAsia="Times New Roman" w:hAnsi="Arial" w:cs="Arial"/>
          <w:i/>
          <w:iCs/>
        </w:rPr>
        <w:t>Farfantepenaeus</w:t>
      </w:r>
      <w:proofErr w:type="spellEnd"/>
      <w:r w:rsidRPr="008C69ED">
        <w:rPr>
          <w:rFonts w:ascii="Arial" w:eastAsia="Times New Roman" w:hAnsi="Arial" w:cs="Arial"/>
          <w:i/>
          <w:iCs/>
        </w:rPr>
        <w:t xml:space="preserve"> </w:t>
      </w:r>
      <w:proofErr w:type="spellStart"/>
      <w:r w:rsidRPr="008C69ED">
        <w:rPr>
          <w:rFonts w:ascii="Arial" w:eastAsia="Times New Roman" w:hAnsi="Arial" w:cs="Arial"/>
          <w:i/>
          <w:iCs/>
        </w:rPr>
        <w:t>brasiliensis</w:t>
      </w:r>
      <w:proofErr w:type="spellEnd"/>
      <w:r w:rsidRPr="008C69ED">
        <w:rPr>
          <w:rFonts w:ascii="Arial" w:eastAsia="Times New Roman" w:hAnsi="Arial" w:cs="Arial"/>
        </w:rPr>
        <w:t xml:space="preserve"> extract showed a distribution concentrated on the higher dilutions (Fig 1). There was no negative result. The mean was estimat</w:t>
      </w:r>
      <w:r w:rsidRPr="00504F4C">
        <w:rPr>
          <w:rFonts w:ascii="Arial" w:eastAsia="Times New Roman" w:hAnsi="Arial" w:cs="Arial"/>
        </w:rPr>
        <w:t>ed at 1:380; the median was 1:512; the standard deviation was estimated at 1:157; the mode was 1:512 (</w:t>
      </w:r>
      <w:r w:rsidR="008D5A42">
        <w:rPr>
          <w:rFonts w:ascii="Arial" w:eastAsia="Times New Roman" w:hAnsi="Arial" w:cs="Arial"/>
        </w:rPr>
        <w:t xml:space="preserve">which </w:t>
      </w:r>
      <w:r w:rsidRPr="00504F4C">
        <w:rPr>
          <w:rFonts w:ascii="Arial" w:eastAsia="Times New Roman" w:hAnsi="Arial" w:cs="Arial"/>
        </w:rPr>
        <w:t xml:space="preserve">appeared 57 times). </w:t>
      </w:r>
    </w:p>
    <w:p w14:paraId="6FBDEE20" w14:textId="3C00F021" w:rsidR="00D53AFF" w:rsidRPr="00504F4C" w:rsidRDefault="00D53AFF" w:rsidP="00504F4C">
      <w:pPr>
        <w:spacing w:after="0" w:line="240" w:lineRule="auto"/>
        <w:ind w:firstLine="708"/>
        <w:jc w:val="both"/>
        <w:rPr>
          <w:rFonts w:ascii="Arial" w:eastAsia="Times New Roman" w:hAnsi="Arial" w:cs="Arial"/>
        </w:rPr>
      </w:pPr>
      <w:r w:rsidRPr="00504F4C">
        <w:rPr>
          <w:rFonts w:ascii="Arial" w:eastAsia="Times New Roman" w:hAnsi="Arial" w:cs="Arial"/>
        </w:rPr>
        <w:t>Pearson</w:t>
      </w:r>
      <w:r w:rsidR="008D5A42">
        <w:rPr>
          <w:rFonts w:ascii="Arial" w:eastAsia="Times New Roman" w:hAnsi="Arial" w:cs="Arial"/>
        </w:rPr>
        <w:t>'</w:t>
      </w:r>
      <w:r w:rsidRPr="00504F4C">
        <w:rPr>
          <w:rFonts w:ascii="Arial" w:eastAsia="Times New Roman" w:hAnsi="Arial" w:cs="Arial"/>
        </w:rPr>
        <w:t xml:space="preserve">s correlation indicated </w:t>
      </w:r>
      <w:r w:rsidR="008D5A42">
        <w:rPr>
          <w:rFonts w:ascii="Arial" w:eastAsia="Times New Roman" w:hAnsi="Arial" w:cs="Arial"/>
        </w:rPr>
        <w:t xml:space="preserve">a non-significant, small positive relationship between TTP results for </w:t>
      </w:r>
      <w:proofErr w:type="spellStart"/>
      <w:r w:rsidR="008D5A42" w:rsidRPr="000432EC">
        <w:rPr>
          <w:rFonts w:ascii="Arial" w:eastAsia="Times New Roman" w:hAnsi="Arial" w:cs="Arial"/>
          <w:i/>
          <w:iCs/>
        </w:rPr>
        <w:t>B</w:t>
      </w:r>
      <w:r w:rsidR="000432EC" w:rsidRPr="000432EC">
        <w:rPr>
          <w:rFonts w:ascii="Arial" w:eastAsia="Times New Roman" w:hAnsi="Arial" w:cs="Arial"/>
          <w:i/>
          <w:iCs/>
        </w:rPr>
        <w:t>lomia</w:t>
      </w:r>
      <w:proofErr w:type="spellEnd"/>
      <w:r w:rsidR="008D5A42" w:rsidRPr="000432EC">
        <w:rPr>
          <w:rFonts w:ascii="Arial" w:eastAsia="Times New Roman" w:hAnsi="Arial" w:cs="Arial"/>
          <w:i/>
          <w:iCs/>
        </w:rPr>
        <w:t xml:space="preserve"> tropicalis</w:t>
      </w:r>
      <w:r w:rsidR="008D5A42">
        <w:rPr>
          <w:rFonts w:ascii="Arial" w:eastAsia="Times New Roman" w:hAnsi="Arial" w:cs="Arial"/>
        </w:rPr>
        <w:t xml:space="preserve"> and </w:t>
      </w:r>
      <w:proofErr w:type="spellStart"/>
      <w:r w:rsidR="008D5A42" w:rsidRPr="000432EC">
        <w:rPr>
          <w:rFonts w:ascii="Arial" w:eastAsia="Times New Roman" w:hAnsi="Arial" w:cs="Arial"/>
          <w:i/>
          <w:iCs/>
        </w:rPr>
        <w:t>F</w:t>
      </w:r>
      <w:r w:rsidR="000432EC" w:rsidRPr="000432EC">
        <w:rPr>
          <w:rFonts w:ascii="Arial" w:eastAsia="Times New Roman" w:hAnsi="Arial" w:cs="Arial"/>
          <w:i/>
          <w:iCs/>
        </w:rPr>
        <w:t>arfantepenaeus</w:t>
      </w:r>
      <w:proofErr w:type="spellEnd"/>
      <w:r w:rsidR="008D5A42" w:rsidRPr="000432EC">
        <w:rPr>
          <w:rFonts w:ascii="Arial" w:eastAsia="Times New Roman" w:hAnsi="Arial" w:cs="Arial"/>
          <w:i/>
          <w:iCs/>
        </w:rPr>
        <w:t xml:space="preserve"> </w:t>
      </w:r>
      <w:proofErr w:type="spellStart"/>
      <w:r w:rsidR="008D5A42" w:rsidRPr="000432EC">
        <w:rPr>
          <w:rFonts w:ascii="Arial" w:eastAsia="Times New Roman" w:hAnsi="Arial" w:cs="Arial"/>
          <w:i/>
          <w:iCs/>
        </w:rPr>
        <w:t>brasiliensis</w:t>
      </w:r>
      <w:proofErr w:type="spellEnd"/>
      <w:r w:rsidR="008D5A42">
        <w:rPr>
          <w:rFonts w:ascii="Arial" w:eastAsia="Times New Roman" w:hAnsi="Arial" w:cs="Arial"/>
        </w:rPr>
        <w:t xml:space="preserve">; </w:t>
      </w:r>
      <w:proofErr w:type="gramStart"/>
      <w:r w:rsidR="008D5A42">
        <w:rPr>
          <w:rFonts w:ascii="Arial" w:eastAsia="Times New Roman" w:hAnsi="Arial" w:cs="Arial"/>
        </w:rPr>
        <w:t>r(</w:t>
      </w:r>
      <w:proofErr w:type="gramEnd"/>
      <w:r w:rsidR="008D5A42">
        <w:rPr>
          <w:rFonts w:ascii="Arial" w:eastAsia="Times New Roman" w:hAnsi="Arial" w:cs="Arial"/>
        </w:rPr>
        <w:t xml:space="preserve">98) = 0.0629, p-value = 0.534 (see Fig. </w:t>
      </w:r>
      <w:r>
        <w:rPr>
          <w:rFonts w:ascii="Arial" w:eastAsia="Times New Roman" w:hAnsi="Arial" w:cs="Arial"/>
        </w:rPr>
        <w:t>3)</w:t>
      </w:r>
      <w:r w:rsidRPr="00504F4C">
        <w:rPr>
          <w:rFonts w:ascii="Arial" w:eastAsia="Times New Roman" w:hAnsi="Arial" w:cs="Arial"/>
        </w:rPr>
        <w:t>.</w:t>
      </w:r>
    </w:p>
    <w:p w14:paraId="19CC68A9" w14:textId="77777777" w:rsidR="00D53AFF" w:rsidRPr="008435AD" w:rsidRDefault="00D53AFF" w:rsidP="000432EC">
      <w:pPr>
        <w:spacing w:after="0" w:line="240" w:lineRule="auto"/>
        <w:ind w:firstLine="708"/>
        <w:jc w:val="both"/>
        <w:rPr>
          <w:rFonts w:ascii="Arial" w:eastAsia="Times New Roman" w:hAnsi="Arial" w:cs="Arial"/>
        </w:rPr>
      </w:pPr>
      <w:r w:rsidRPr="00504F4C">
        <w:rPr>
          <w:rFonts w:ascii="Arial" w:eastAsia="Times New Roman" w:hAnsi="Arial" w:cs="Arial"/>
        </w:rPr>
        <w:t xml:space="preserve">The LAIT for the </w:t>
      </w:r>
      <w:proofErr w:type="spellStart"/>
      <w:r w:rsidRPr="00504F4C">
        <w:rPr>
          <w:rFonts w:ascii="Arial" w:eastAsia="Times New Roman" w:hAnsi="Arial" w:cs="Arial"/>
          <w:i/>
          <w:iCs/>
        </w:rPr>
        <w:t>Blomia</w:t>
      </w:r>
      <w:proofErr w:type="spellEnd"/>
      <w:r w:rsidRPr="00504F4C">
        <w:rPr>
          <w:rFonts w:ascii="Arial" w:eastAsia="Times New Roman" w:hAnsi="Arial" w:cs="Arial"/>
          <w:i/>
          <w:iCs/>
        </w:rPr>
        <w:t xml:space="preserve"> tropicalis</w:t>
      </w:r>
      <w:r w:rsidRPr="00504F4C">
        <w:rPr>
          <w:rFonts w:ascii="Arial" w:eastAsia="Times New Roman" w:hAnsi="Arial" w:cs="Arial"/>
        </w:rPr>
        <w:t xml:space="preserve"> extract showed a wide distribution range of results. The LAI ranged from 0% to 100%. The mean was 49.8%; the median was 51.5%; the standard deviation was 30.0%; the mode was 0</w:t>
      </w:r>
      <w:r w:rsidRPr="00404F57">
        <w:rPr>
          <w:rFonts w:ascii="Arial" w:eastAsia="Times New Roman" w:hAnsi="Arial" w:cs="Arial"/>
        </w:rPr>
        <w:t xml:space="preserve">% (appeared eleven times). The cascade distribution demonstrates a wide range of LAI results (Fig. 4). Some patients showed low or moderate immunoreactivity during the ex vivo challenge test. In contrast, others displayed strong immunoreactivity, which could reflect the participation of </w:t>
      </w:r>
      <w:proofErr w:type="spellStart"/>
      <w:r w:rsidRPr="00404F57">
        <w:rPr>
          <w:rFonts w:ascii="Arial" w:eastAsia="Times New Roman" w:hAnsi="Arial" w:cs="Arial"/>
          <w:i/>
          <w:iCs/>
        </w:rPr>
        <w:t>Blomia</w:t>
      </w:r>
      <w:proofErr w:type="spellEnd"/>
      <w:r w:rsidRPr="00404F57">
        <w:rPr>
          <w:rFonts w:ascii="Arial" w:eastAsia="Times New Roman" w:hAnsi="Arial" w:cs="Arial"/>
          <w:i/>
          <w:iCs/>
        </w:rPr>
        <w:t xml:space="preserve"> tropicalis</w:t>
      </w:r>
      <w:r w:rsidRPr="00404F57">
        <w:rPr>
          <w:rFonts w:ascii="Arial" w:eastAsia="Times New Roman" w:hAnsi="Arial" w:cs="Arial"/>
        </w:rPr>
        <w:t xml:space="preserve"> allergens in a </w:t>
      </w:r>
      <w:r>
        <w:rPr>
          <w:rFonts w:ascii="Arial" w:eastAsia="Times New Roman" w:hAnsi="Arial" w:cs="Arial"/>
        </w:rPr>
        <w:t>n</w:t>
      </w:r>
      <w:r w:rsidRPr="00404F57">
        <w:rPr>
          <w:rFonts w:ascii="Arial" w:eastAsia="Times New Roman" w:hAnsi="Arial" w:cs="Arial"/>
        </w:rPr>
        <w:t>on–</w:t>
      </w:r>
      <w:proofErr w:type="spellStart"/>
      <w:r w:rsidRPr="00404F57">
        <w:rPr>
          <w:rFonts w:ascii="Arial" w:eastAsia="Times New Roman" w:hAnsi="Arial" w:cs="Arial"/>
        </w:rPr>
        <w:t>IgE</w:t>
      </w:r>
      <w:proofErr w:type="spellEnd"/>
      <w:r w:rsidRPr="00404F57">
        <w:rPr>
          <w:rFonts w:ascii="Arial" w:eastAsia="Times New Roman" w:hAnsi="Arial" w:cs="Arial"/>
        </w:rPr>
        <w:t>-mediated hypersensitivity condition in these patients</w:t>
      </w:r>
      <w:r>
        <w:rPr>
          <w:rFonts w:ascii="Arial" w:eastAsia="Times New Roman" w:hAnsi="Arial" w:cs="Arial"/>
        </w:rPr>
        <w:t xml:space="preserve"> (see Fig. 4)</w:t>
      </w:r>
    </w:p>
    <w:p w14:paraId="51D7E7AC" w14:textId="77777777" w:rsidR="00D53AFF" w:rsidRDefault="00D53AFF" w:rsidP="000966A6">
      <w:pPr>
        <w:spacing w:after="0" w:line="240" w:lineRule="auto"/>
        <w:ind w:firstLine="708"/>
        <w:jc w:val="both"/>
        <w:rPr>
          <w:rFonts w:ascii="Arial" w:eastAsia="Times New Roman" w:hAnsi="Arial" w:cs="Arial"/>
        </w:rPr>
      </w:pPr>
      <w:r w:rsidRPr="0072467B">
        <w:rPr>
          <w:rFonts w:ascii="Arial" w:eastAsia="Times New Roman" w:hAnsi="Arial" w:cs="Arial"/>
        </w:rPr>
        <w:t xml:space="preserve">The LAIT for the </w:t>
      </w:r>
      <w:proofErr w:type="spellStart"/>
      <w:r w:rsidRPr="0072467B">
        <w:rPr>
          <w:rFonts w:ascii="Arial" w:eastAsia="Times New Roman" w:hAnsi="Arial" w:cs="Arial"/>
          <w:i/>
          <w:iCs/>
        </w:rPr>
        <w:t>Farfantepenaeus</w:t>
      </w:r>
      <w:proofErr w:type="spellEnd"/>
      <w:r w:rsidRPr="0072467B">
        <w:rPr>
          <w:rFonts w:ascii="Arial" w:eastAsia="Times New Roman" w:hAnsi="Arial" w:cs="Arial"/>
          <w:i/>
          <w:iCs/>
        </w:rPr>
        <w:t xml:space="preserve"> </w:t>
      </w:r>
      <w:proofErr w:type="spellStart"/>
      <w:r w:rsidRPr="0072467B">
        <w:rPr>
          <w:rFonts w:ascii="Arial" w:eastAsia="Times New Roman" w:hAnsi="Arial" w:cs="Arial"/>
          <w:i/>
          <w:iCs/>
        </w:rPr>
        <w:t>brasiliensis</w:t>
      </w:r>
      <w:proofErr w:type="spellEnd"/>
      <w:r w:rsidRPr="0072467B">
        <w:rPr>
          <w:rFonts w:ascii="Arial" w:eastAsia="Times New Roman" w:hAnsi="Arial" w:cs="Arial"/>
        </w:rPr>
        <w:t xml:space="preserve"> extract showed a wide distribution range of results. The LAI ranged from 0% to 100%. The mean was 55%; the median was 56%; the standard deviation was 28.8%; the mode was 0% (appeared five times). The cascade distribution demonstrates a wide range of LAI results (Fig. 5). Some patients showed low or moderate immunoreactivity during the ex vivo challenge test. In contrast, others displayed strong immunoreactivity, which could reflect the participation of shrimp allergens in a non–</w:t>
      </w:r>
      <w:proofErr w:type="spellStart"/>
      <w:r w:rsidRPr="0072467B">
        <w:rPr>
          <w:rFonts w:ascii="Arial" w:eastAsia="Times New Roman" w:hAnsi="Arial" w:cs="Arial"/>
        </w:rPr>
        <w:t>IgE</w:t>
      </w:r>
      <w:proofErr w:type="spellEnd"/>
      <w:r w:rsidRPr="0072467B">
        <w:rPr>
          <w:rFonts w:ascii="Arial" w:eastAsia="Times New Roman" w:hAnsi="Arial" w:cs="Arial"/>
        </w:rPr>
        <w:t>-mediated hypersensitivity condition in these patients</w:t>
      </w:r>
      <w:r>
        <w:rPr>
          <w:rFonts w:ascii="Arial" w:eastAsia="Times New Roman" w:hAnsi="Arial" w:cs="Arial"/>
        </w:rPr>
        <w:t xml:space="preserve"> (see Figure 5)</w:t>
      </w:r>
      <w:r w:rsidRPr="0072467B">
        <w:rPr>
          <w:rFonts w:ascii="Arial" w:eastAsia="Times New Roman" w:hAnsi="Arial" w:cs="Arial"/>
        </w:rPr>
        <w:t>.</w:t>
      </w:r>
    </w:p>
    <w:p w14:paraId="62DF87E0" w14:textId="25D76522" w:rsidR="00D53AFF" w:rsidRPr="0072467B" w:rsidRDefault="00D53AFF" w:rsidP="000966A6">
      <w:pPr>
        <w:spacing w:after="0" w:line="240" w:lineRule="auto"/>
        <w:ind w:firstLine="708"/>
        <w:jc w:val="both"/>
        <w:rPr>
          <w:rFonts w:ascii="Arial" w:eastAsia="Times New Roman" w:hAnsi="Arial" w:cs="Arial"/>
        </w:rPr>
      </w:pPr>
      <w:r>
        <w:rPr>
          <w:rFonts w:ascii="Arial" w:eastAsia="Times New Roman" w:hAnsi="Arial" w:cs="Arial"/>
        </w:rPr>
        <w:t>P</w:t>
      </w:r>
      <w:r w:rsidRPr="00AD37ED">
        <w:rPr>
          <w:rFonts w:ascii="Arial" w:eastAsia="Times New Roman" w:hAnsi="Arial" w:cs="Arial"/>
        </w:rPr>
        <w:t>earson</w:t>
      </w:r>
      <w:r w:rsidR="008D5A42">
        <w:rPr>
          <w:rFonts w:ascii="Arial" w:eastAsia="Times New Roman" w:hAnsi="Arial" w:cs="Arial"/>
        </w:rPr>
        <w:t>'</w:t>
      </w:r>
      <w:r>
        <w:rPr>
          <w:rFonts w:ascii="Arial" w:eastAsia="Times New Roman" w:hAnsi="Arial" w:cs="Arial"/>
        </w:rPr>
        <w:t>s</w:t>
      </w:r>
      <w:r w:rsidRPr="00AD37ED">
        <w:rPr>
          <w:rFonts w:ascii="Arial" w:eastAsia="Times New Roman" w:hAnsi="Arial" w:cs="Arial"/>
        </w:rPr>
        <w:t xml:space="preserve"> correlation indicated </w:t>
      </w:r>
      <w:r>
        <w:rPr>
          <w:rFonts w:ascii="Arial" w:eastAsia="Times New Roman" w:hAnsi="Arial" w:cs="Arial"/>
        </w:rPr>
        <w:t>a non-significant,</w:t>
      </w:r>
      <w:r w:rsidRPr="00AD37ED">
        <w:rPr>
          <w:rFonts w:ascii="Arial" w:eastAsia="Times New Roman" w:hAnsi="Arial" w:cs="Arial"/>
        </w:rPr>
        <w:t xml:space="preserve"> small positive relationship between </w:t>
      </w:r>
      <w:r>
        <w:rPr>
          <w:rFonts w:ascii="Arial" w:eastAsia="Times New Roman" w:hAnsi="Arial" w:cs="Arial"/>
        </w:rPr>
        <w:t xml:space="preserve">LAIT results for </w:t>
      </w:r>
      <w:proofErr w:type="spellStart"/>
      <w:r w:rsidR="000569FF" w:rsidRPr="000569FF">
        <w:rPr>
          <w:rFonts w:ascii="Arial" w:eastAsia="Times New Roman" w:hAnsi="Arial" w:cs="Arial"/>
          <w:i/>
          <w:iCs/>
        </w:rPr>
        <w:t>Blomia</w:t>
      </w:r>
      <w:proofErr w:type="spellEnd"/>
      <w:r w:rsidR="000569FF" w:rsidRPr="000569FF">
        <w:rPr>
          <w:rFonts w:ascii="Arial" w:eastAsia="Times New Roman" w:hAnsi="Arial" w:cs="Arial"/>
          <w:i/>
          <w:iCs/>
        </w:rPr>
        <w:t xml:space="preserve"> tropicalis</w:t>
      </w:r>
      <w:r>
        <w:rPr>
          <w:rFonts w:ascii="Arial" w:eastAsia="Times New Roman" w:hAnsi="Arial" w:cs="Arial"/>
        </w:rPr>
        <w:t xml:space="preserve"> and </w:t>
      </w:r>
      <w:r w:rsidRPr="008435AD">
        <w:rPr>
          <w:rFonts w:ascii="Arial" w:eastAsia="Times New Roman" w:hAnsi="Arial" w:cs="Arial"/>
          <w:i/>
          <w:iCs/>
        </w:rPr>
        <w:t xml:space="preserve">F. </w:t>
      </w:r>
      <w:proofErr w:type="spellStart"/>
      <w:r w:rsidRPr="008435AD">
        <w:rPr>
          <w:rFonts w:ascii="Arial" w:eastAsia="Times New Roman" w:hAnsi="Arial" w:cs="Arial"/>
          <w:i/>
          <w:iCs/>
        </w:rPr>
        <w:t>brasiliensis</w:t>
      </w:r>
      <w:proofErr w:type="spellEnd"/>
      <w:r>
        <w:rPr>
          <w:rFonts w:ascii="Arial" w:eastAsia="Times New Roman" w:hAnsi="Arial" w:cs="Arial"/>
        </w:rPr>
        <w:t xml:space="preserve">; </w:t>
      </w:r>
      <w:proofErr w:type="gramStart"/>
      <w:r w:rsidRPr="00AD37ED">
        <w:rPr>
          <w:rFonts w:ascii="Arial" w:eastAsia="Times New Roman" w:hAnsi="Arial" w:cs="Arial"/>
        </w:rPr>
        <w:t>r(</w:t>
      </w:r>
      <w:proofErr w:type="gramEnd"/>
      <w:r w:rsidRPr="00AD37ED">
        <w:rPr>
          <w:rFonts w:ascii="Arial" w:eastAsia="Times New Roman" w:hAnsi="Arial" w:cs="Arial"/>
        </w:rPr>
        <w:t xml:space="preserve">98) = </w:t>
      </w:r>
      <w:r>
        <w:rPr>
          <w:rFonts w:ascii="Arial" w:eastAsia="Times New Roman" w:hAnsi="Arial" w:cs="Arial"/>
        </w:rPr>
        <w:t>0</w:t>
      </w:r>
      <w:r w:rsidRPr="00AD37ED">
        <w:rPr>
          <w:rFonts w:ascii="Arial" w:eastAsia="Times New Roman" w:hAnsi="Arial" w:cs="Arial"/>
        </w:rPr>
        <w:t>.0713, p</w:t>
      </w:r>
      <w:r>
        <w:rPr>
          <w:rFonts w:ascii="Arial" w:eastAsia="Times New Roman" w:hAnsi="Arial" w:cs="Arial"/>
        </w:rPr>
        <w:t>-value</w:t>
      </w:r>
      <w:r w:rsidRPr="00AD37ED">
        <w:rPr>
          <w:rFonts w:ascii="Arial" w:eastAsia="Times New Roman" w:hAnsi="Arial" w:cs="Arial"/>
        </w:rPr>
        <w:t xml:space="preserve"> = </w:t>
      </w:r>
      <w:r>
        <w:rPr>
          <w:rFonts w:ascii="Arial" w:eastAsia="Times New Roman" w:hAnsi="Arial" w:cs="Arial"/>
        </w:rPr>
        <w:t>0</w:t>
      </w:r>
      <w:r w:rsidRPr="00AD37ED">
        <w:rPr>
          <w:rFonts w:ascii="Arial" w:eastAsia="Times New Roman" w:hAnsi="Arial" w:cs="Arial"/>
        </w:rPr>
        <w:t>.481</w:t>
      </w:r>
      <w:r>
        <w:rPr>
          <w:rFonts w:ascii="Arial" w:eastAsia="Times New Roman" w:hAnsi="Arial" w:cs="Arial"/>
        </w:rPr>
        <w:t xml:space="preserve"> (see Figure 6)</w:t>
      </w:r>
      <w:r w:rsidRPr="00AD37ED">
        <w:rPr>
          <w:rFonts w:ascii="Arial" w:eastAsia="Times New Roman" w:hAnsi="Arial" w:cs="Arial"/>
        </w:rPr>
        <w:t>.</w:t>
      </w:r>
    </w:p>
    <w:p w14:paraId="346C86C6" w14:textId="77777777" w:rsidR="00D53AFF" w:rsidRPr="008C69ED" w:rsidRDefault="00D53AFF" w:rsidP="000966A6">
      <w:pPr>
        <w:spacing w:after="0" w:line="240" w:lineRule="auto"/>
        <w:ind w:firstLine="708"/>
        <w:jc w:val="both"/>
        <w:rPr>
          <w:rFonts w:ascii="Arial" w:eastAsia="Times New Roman" w:hAnsi="Arial" w:cs="Arial"/>
          <w:color w:val="FF0000"/>
        </w:rPr>
      </w:pPr>
    </w:p>
    <w:p w14:paraId="427B3112" w14:textId="77777777" w:rsidR="00D53AFF" w:rsidRPr="008C69ED" w:rsidRDefault="00D53AFF" w:rsidP="00A10BD6">
      <w:pPr>
        <w:pStyle w:val="NormalWeb"/>
        <w:rPr>
          <w:sz w:val="22"/>
          <w:szCs w:val="22"/>
        </w:rPr>
      </w:pPr>
      <w:r w:rsidRPr="008C69ED">
        <w:rPr>
          <w:noProof/>
          <w:sz w:val="22"/>
          <w:szCs w:val="22"/>
        </w:rPr>
        <w:drawing>
          <wp:inline distT="0" distB="0" distL="0" distR="0" wp14:anchorId="0F1277D5" wp14:editId="528BD0A3">
            <wp:extent cx="5746750" cy="3232785"/>
            <wp:effectExtent l="0" t="0" r="6350" b="5715"/>
            <wp:docPr id="2018067786" name="Imagem 4"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67786" name="Imagem 4" descr="Gráfico, Gráfico de cascata&#10;&#10;O conteúdo gerado por IA pode estar incorre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0B1662E6" w14:textId="77777777" w:rsidR="00D53AFF" w:rsidRPr="008C69ED" w:rsidRDefault="00D53AFF" w:rsidP="000966A6">
      <w:pPr>
        <w:spacing w:after="0" w:line="240" w:lineRule="auto"/>
        <w:ind w:firstLine="708"/>
        <w:jc w:val="both"/>
        <w:rPr>
          <w:rFonts w:ascii="Arial" w:eastAsia="Times New Roman" w:hAnsi="Arial" w:cs="Arial"/>
          <w:color w:val="FF0000"/>
        </w:rPr>
      </w:pPr>
    </w:p>
    <w:p w14:paraId="74DCBF7C" w14:textId="77777777" w:rsidR="00D53AFF" w:rsidRPr="008C69ED" w:rsidRDefault="00D53AFF" w:rsidP="00B2020B">
      <w:pPr>
        <w:spacing w:after="0" w:line="240" w:lineRule="auto"/>
        <w:jc w:val="both"/>
        <w:rPr>
          <w:rFonts w:ascii="Arial" w:eastAsia="Times New Roman" w:hAnsi="Arial" w:cs="Arial"/>
        </w:rPr>
      </w:pPr>
      <w:r w:rsidRPr="008C69ED">
        <w:rPr>
          <w:rFonts w:ascii="Arial" w:eastAsia="Times New Roman" w:hAnsi="Arial" w:cs="Arial"/>
        </w:rPr>
        <w:t xml:space="preserve">Fig. 1. Cascade distribution chart of the Tube Titration of Precipitins (x-axis %) resulting from the </w:t>
      </w:r>
      <w:proofErr w:type="spellStart"/>
      <w:r w:rsidRPr="008C69ED">
        <w:rPr>
          <w:rFonts w:ascii="Arial" w:eastAsia="Times New Roman" w:hAnsi="Arial" w:cs="Arial"/>
          <w:i/>
          <w:iCs/>
        </w:rPr>
        <w:t>Blomia</w:t>
      </w:r>
      <w:proofErr w:type="spellEnd"/>
      <w:r w:rsidRPr="008C69ED">
        <w:rPr>
          <w:rFonts w:ascii="Arial" w:eastAsia="Times New Roman" w:hAnsi="Arial" w:cs="Arial"/>
          <w:i/>
          <w:iCs/>
        </w:rPr>
        <w:t xml:space="preserve"> tropicalis</w:t>
      </w:r>
      <w:r w:rsidRPr="008C69ED">
        <w:rPr>
          <w:rFonts w:ascii="Arial" w:eastAsia="Times New Roman" w:hAnsi="Arial" w:cs="Arial"/>
        </w:rPr>
        <w:t xml:space="preserve"> extract </w:t>
      </w:r>
      <w:r w:rsidRPr="008C69ED">
        <w:rPr>
          <w:rFonts w:ascii="Arial" w:eastAsia="Calibri" w:hAnsi="Arial" w:cs="Arial"/>
          <w:bCs/>
        </w:rPr>
        <w:t>against the serum of</w:t>
      </w:r>
      <w:r w:rsidRPr="008C69ED">
        <w:rPr>
          <w:rFonts w:ascii="Arial" w:eastAsia="Times New Roman" w:hAnsi="Arial" w:cs="Arial"/>
        </w:rPr>
        <w:t xml:space="preserve"> the TTP cohort of 100 tests/subjects (y-axis).</w:t>
      </w:r>
    </w:p>
    <w:p w14:paraId="53AADF26" w14:textId="77777777" w:rsidR="00D53AFF" w:rsidRPr="008C69ED" w:rsidRDefault="00D53AFF" w:rsidP="00B2020B">
      <w:pPr>
        <w:spacing w:after="0" w:line="240" w:lineRule="auto"/>
        <w:jc w:val="both"/>
        <w:rPr>
          <w:rFonts w:ascii="Arial" w:eastAsia="Times New Roman" w:hAnsi="Arial" w:cs="Arial"/>
        </w:rPr>
      </w:pPr>
    </w:p>
    <w:p w14:paraId="5D3F8C3F" w14:textId="77777777" w:rsidR="00D53AFF" w:rsidRPr="008C69ED" w:rsidRDefault="00D53AFF" w:rsidP="00176A25">
      <w:pPr>
        <w:pStyle w:val="NormalWeb"/>
        <w:rPr>
          <w:rFonts w:ascii="Arial" w:hAnsi="Arial" w:cs="Arial"/>
          <w:sz w:val="22"/>
          <w:szCs w:val="22"/>
        </w:rPr>
      </w:pPr>
      <w:r w:rsidRPr="008C69ED">
        <w:rPr>
          <w:rFonts w:ascii="Arial" w:hAnsi="Arial" w:cs="Arial"/>
          <w:noProof/>
          <w:sz w:val="22"/>
          <w:szCs w:val="22"/>
        </w:rPr>
        <w:drawing>
          <wp:inline distT="0" distB="0" distL="0" distR="0" wp14:anchorId="58CFE823" wp14:editId="3B096846">
            <wp:extent cx="5746750" cy="3232785"/>
            <wp:effectExtent l="0" t="0" r="6350" b="5715"/>
            <wp:docPr id="2010300853" name="Imagem 5"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00853" name="Imagem 5" descr="Gráfico, Gráfico de cascata&#10;&#10;O conteúdo gerado por IA pode estar incorre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9F425C0" w14:textId="77777777" w:rsidR="00D53AFF" w:rsidRPr="008C69ED" w:rsidRDefault="00D53AFF" w:rsidP="00B2020B">
      <w:pPr>
        <w:spacing w:after="0" w:line="240" w:lineRule="auto"/>
        <w:jc w:val="both"/>
        <w:rPr>
          <w:rFonts w:ascii="Arial" w:eastAsia="Times New Roman" w:hAnsi="Arial" w:cs="Arial"/>
        </w:rPr>
      </w:pPr>
    </w:p>
    <w:p w14:paraId="565920EC" w14:textId="77777777" w:rsidR="00D53AFF" w:rsidRPr="008C69ED" w:rsidRDefault="00D53AFF" w:rsidP="00A85970">
      <w:pPr>
        <w:spacing w:after="0" w:line="240" w:lineRule="auto"/>
        <w:jc w:val="both"/>
        <w:rPr>
          <w:rFonts w:ascii="Arial" w:eastAsia="Times New Roman" w:hAnsi="Arial" w:cs="Arial"/>
        </w:rPr>
      </w:pPr>
      <w:r w:rsidRPr="008C69ED">
        <w:rPr>
          <w:rFonts w:ascii="Arial" w:eastAsia="Times New Roman" w:hAnsi="Arial" w:cs="Arial"/>
        </w:rPr>
        <w:t xml:space="preserve">Fig. 2. Cascade distribution chart of the Tube Titration of Precipitins (x-axis %) resulting from the </w:t>
      </w:r>
      <w:proofErr w:type="spellStart"/>
      <w:r w:rsidRPr="008C69ED">
        <w:rPr>
          <w:rFonts w:ascii="Arial" w:eastAsia="Times New Roman" w:hAnsi="Arial" w:cs="Arial"/>
          <w:i/>
          <w:iCs/>
        </w:rPr>
        <w:t>Farfantepenaeus</w:t>
      </w:r>
      <w:proofErr w:type="spellEnd"/>
      <w:r w:rsidRPr="008C69ED">
        <w:rPr>
          <w:rFonts w:ascii="Arial" w:eastAsia="Times New Roman" w:hAnsi="Arial" w:cs="Arial"/>
          <w:i/>
          <w:iCs/>
        </w:rPr>
        <w:t xml:space="preserve"> </w:t>
      </w:r>
      <w:proofErr w:type="spellStart"/>
      <w:r w:rsidRPr="008C69ED">
        <w:rPr>
          <w:rFonts w:ascii="Arial" w:eastAsia="Times New Roman" w:hAnsi="Arial" w:cs="Arial"/>
          <w:i/>
          <w:iCs/>
        </w:rPr>
        <w:t>brasiliensis</w:t>
      </w:r>
      <w:proofErr w:type="spellEnd"/>
      <w:r w:rsidRPr="008C69ED">
        <w:rPr>
          <w:rFonts w:ascii="Arial" w:eastAsia="Times New Roman" w:hAnsi="Arial" w:cs="Arial"/>
        </w:rPr>
        <w:t xml:space="preserve"> extract </w:t>
      </w:r>
      <w:r w:rsidRPr="008C69ED">
        <w:rPr>
          <w:rFonts w:ascii="Arial" w:eastAsia="Calibri" w:hAnsi="Arial" w:cs="Arial"/>
          <w:bCs/>
        </w:rPr>
        <w:t>against the serum of</w:t>
      </w:r>
      <w:r w:rsidRPr="008C69ED">
        <w:rPr>
          <w:rFonts w:ascii="Arial" w:eastAsia="Times New Roman" w:hAnsi="Arial" w:cs="Arial"/>
        </w:rPr>
        <w:t xml:space="preserve"> the TTP cohort of 100 tests/subjects (y-axis).</w:t>
      </w:r>
    </w:p>
    <w:p w14:paraId="3450E656" w14:textId="77777777" w:rsidR="00D53AFF" w:rsidRPr="008C69ED" w:rsidRDefault="00D53AFF" w:rsidP="00B2020B">
      <w:pPr>
        <w:spacing w:after="0" w:line="240" w:lineRule="auto"/>
        <w:jc w:val="both"/>
        <w:rPr>
          <w:rFonts w:ascii="Arial" w:eastAsia="Times New Roman" w:hAnsi="Arial" w:cs="Arial"/>
        </w:rPr>
      </w:pPr>
    </w:p>
    <w:p w14:paraId="1EA13A99" w14:textId="77777777" w:rsidR="00D53AFF" w:rsidRPr="008C69ED" w:rsidRDefault="00D53AFF" w:rsidP="00A36C38">
      <w:pPr>
        <w:spacing w:after="0" w:line="240" w:lineRule="auto"/>
        <w:jc w:val="both"/>
        <w:rPr>
          <w:rFonts w:ascii="Arial" w:eastAsia="Times New Roman" w:hAnsi="Arial" w:cs="Arial"/>
        </w:rPr>
      </w:pPr>
    </w:p>
    <w:p w14:paraId="200F016B" w14:textId="4AEA9E46" w:rsidR="00D53AFF" w:rsidRPr="004446B8" w:rsidRDefault="00D53AFF" w:rsidP="00111FE3">
      <w:pPr>
        <w:pStyle w:val="NormalWeb"/>
      </w:pPr>
      <w:r>
        <w:rPr>
          <w:noProof/>
        </w:rPr>
        <w:lastRenderedPageBreak/>
        <w:drawing>
          <wp:inline distT="0" distB="0" distL="0" distR="0" wp14:anchorId="72F20BEF" wp14:editId="4AC0CD1B">
            <wp:extent cx="5746750" cy="3232785"/>
            <wp:effectExtent l="0" t="0" r="6350" b="5715"/>
            <wp:docPr id="631261159" name="Imagem 4" descr="Calend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61159" name="Imagem 4" descr="Calendário&#10;&#10;O conteúdo gerado por IA pode estar incorre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3A1EF8AA" w14:textId="77777777" w:rsidR="00D53AFF" w:rsidRPr="008C69ED" w:rsidRDefault="00D53AFF" w:rsidP="00A36C38">
      <w:pPr>
        <w:spacing w:after="0" w:line="240" w:lineRule="auto"/>
        <w:jc w:val="both"/>
        <w:rPr>
          <w:rFonts w:ascii="Arial" w:eastAsia="Times New Roman" w:hAnsi="Arial" w:cs="Arial"/>
        </w:rPr>
      </w:pPr>
    </w:p>
    <w:p w14:paraId="5136641A" w14:textId="77777777" w:rsidR="00D53AFF" w:rsidRPr="008C69ED" w:rsidRDefault="00D53AFF" w:rsidP="00A36C38">
      <w:pPr>
        <w:spacing w:after="0" w:line="240" w:lineRule="auto"/>
        <w:jc w:val="both"/>
        <w:rPr>
          <w:rFonts w:ascii="Arial" w:eastAsia="Times New Roman" w:hAnsi="Arial" w:cs="Arial"/>
        </w:rPr>
      </w:pPr>
      <w:r w:rsidRPr="008C69ED">
        <w:rPr>
          <w:rFonts w:ascii="Arial" w:eastAsia="Times New Roman" w:hAnsi="Arial" w:cs="Arial"/>
        </w:rPr>
        <w:t xml:space="preserve">Fig. 3. Dispersion chart of the Tube Titration of Precipitins results of the </w:t>
      </w:r>
      <w:r w:rsidRPr="008C69ED">
        <w:rPr>
          <w:rFonts w:ascii="Arial" w:eastAsia="Times New Roman" w:hAnsi="Arial" w:cs="Arial"/>
          <w:i/>
          <w:iCs/>
        </w:rPr>
        <w:t>ex vivo</w:t>
      </w:r>
      <w:r w:rsidRPr="008C69ED">
        <w:rPr>
          <w:rFonts w:ascii="Arial" w:eastAsia="Times New Roman" w:hAnsi="Arial" w:cs="Arial"/>
        </w:rPr>
        <w:t xml:space="preserve"> challenge test against </w:t>
      </w:r>
      <w:proofErr w:type="spellStart"/>
      <w:r w:rsidRPr="008C69ED">
        <w:rPr>
          <w:rFonts w:ascii="Arial" w:eastAsia="Times New Roman" w:hAnsi="Arial" w:cs="Arial"/>
          <w:i/>
          <w:iCs/>
        </w:rPr>
        <w:t>Blomia</w:t>
      </w:r>
      <w:proofErr w:type="spellEnd"/>
      <w:r w:rsidRPr="008C69ED">
        <w:rPr>
          <w:rFonts w:ascii="Arial" w:eastAsia="Times New Roman" w:hAnsi="Arial" w:cs="Arial"/>
          <w:i/>
          <w:iCs/>
        </w:rPr>
        <w:t xml:space="preserve"> tropicalis</w:t>
      </w:r>
      <w:r w:rsidRPr="008C69ED">
        <w:rPr>
          <w:rFonts w:ascii="Arial" w:eastAsia="Times New Roman" w:hAnsi="Arial" w:cs="Arial"/>
        </w:rPr>
        <w:t xml:space="preserve"> extract (x-axis %), plotted against the Tube Titration of Precipitins results of the </w:t>
      </w:r>
      <w:r w:rsidRPr="008C69ED">
        <w:rPr>
          <w:rFonts w:ascii="Arial" w:eastAsia="Times New Roman" w:hAnsi="Arial" w:cs="Arial"/>
          <w:i/>
          <w:iCs/>
        </w:rPr>
        <w:t>ex vivo</w:t>
      </w:r>
      <w:r w:rsidRPr="008C69ED">
        <w:rPr>
          <w:rFonts w:ascii="Arial" w:eastAsia="Times New Roman" w:hAnsi="Arial" w:cs="Arial"/>
        </w:rPr>
        <w:t xml:space="preserve"> challenge test against </w:t>
      </w:r>
      <w:proofErr w:type="spellStart"/>
      <w:r w:rsidRPr="008C69ED">
        <w:rPr>
          <w:rFonts w:ascii="Arial" w:eastAsia="Times New Roman" w:hAnsi="Arial" w:cs="Arial"/>
          <w:i/>
          <w:iCs/>
        </w:rPr>
        <w:t>Farfantepenaeus</w:t>
      </w:r>
      <w:proofErr w:type="spellEnd"/>
      <w:r w:rsidRPr="008C69ED">
        <w:rPr>
          <w:rFonts w:ascii="Arial" w:eastAsia="Times New Roman" w:hAnsi="Arial" w:cs="Arial"/>
          <w:i/>
          <w:iCs/>
        </w:rPr>
        <w:t xml:space="preserve"> </w:t>
      </w:r>
      <w:proofErr w:type="spellStart"/>
      <w:r w:rsidRPr="008C69ED">
        <w:rPr>
          <w:rFonts w:ascii="Arial" w:eastAsia="Times New Roman" w:hAnsi="Arial" w:cs="Arial"/>
          <w:i/>
          <w:iCs/>
        </w:rPr>
        <w:t>brasiliensis</w:t>
      </w:r>
      <w:proofErr w:type="spellEnd"/>
      <w:r w:rsidRPr="008C69ED">
        <w:rPr>
          <w:rFonts w:ascii="Arial" w:eastAsia="Times New Roman" w:hAnsi="Arial" w:cs="Arial"/>
        </w:rPr>
        <w:t xml:space="preserve"> extract (y-axis %).</w:t>
      </w:r>
    </w:p>
    <w:p w14:paraId="2EAB2B30" w14:textId="77777777" w:rsidR="00D53AFF" w:rsidRPr="008C69ED" w:rsidRDefault="00D53AFF" w:rsidP="00646870">
      <w:pPr>
        <w:spacing w:after="0" w:line="240" w:lineRule="auto"/>
        <w:jc w:val="both"/>
        <w:rPr>
          <w:rFonts w:ascii="Arial" w:eastAsia="Times New Roman" w:hAnsi="Arial" w:cs="Arial"/>
        </w:rPr>
      </w:pPr>
    </w:p>
    <w:p w14:paraId="77A49FEF" w14:textId="77777777" w:rsidR="00D53AFF" w:rsidRDefault="00D53AFF" w:rsidP="00BE2DF1">
      <w:pPr>
        <w:pStyle w:val="NormalWeb"/>
      </w:pPr>
      <w:r>
        <w:rPr>
          <w:noProof/>
        </w:rPr>
        <w:drawing>
          <wp:inline distT="0" distB="0" distL="0" distR="0" wp14:anchorId="61895342" wp14:editId="6C4BEBA2">
            <wp:extent cx="5746750" cy="3232785"/>
            <wp:effectExtent l="0" t="0" r="6350" b="5715"/>
            <wp:docPr id="1700671931" name="Imagem 4"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71931" name="Imagem 4" descr="Gráfico, Gráfico de cascata&#10;&#10;O conteúdo gerado por IA pode estar incorre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01988951" w14:textId="77777777" w:rsidR="00D53AFF" w:rsidRPr="008C69ED" w:rsidRDefault="00D53AFF" w:rsidP="00646870">
      <w:pPr>
        <w:spacing w:after="0" w:line="240" w:lineRule="auto"/>
        <w:jc w:val="both"/>
        <w:rPr>
          <w:rFonts w:ascii="Arial" w:eastAsia="Times New Roman" w:hAnsi="Arial" w:cs="Arial"/>
        </w:rPr>
      </w:pPr>
    </w:p>
    <w:p w14:paraId="53D894B5" w14:textId="77777777" w:rsidR="00D53AFF" w:rsidRPr="008C69ED" w:rsidRDefault="00D53AFF" w:rsidP="00646870">
      <w:pPr>
        <w:spacing w:after="0" w:line="240" w:lineRule="auto"/>
        <w:jc w:val="both"/>
        <w:rPr>
          <w:rFonts w:ascii="Arial" w:eastAsia="Times New Roman" w:hAnsi="Arial" w:cs="Arial"/>
        </w:rPr>
      </w:pPr>
      <w:r w:rsidRPr="008C69ED">
        <w:rPr>
          <w:rFonts w:ascii="Arial" w:eastAsia="Times New Roman" w:hAnsi="Arial" w:cs="Arial"/>
        </w:rPr>
        <w:t xml:space="preserve">Fig. 4. Cascade distribution chart of the range groups of Leukocyte Adherence Inhibition (LAI) results (x-axis %) of the </w:t>
      </w:r>
      <w:r w:rsidRPr="008C69ED">
        <w:rPr>
          <w:rFonts w:ascii="Arial" w:eastAsia="Times New Roman" w:hAnsi="Arial" w:cs="Arial"/>
          <w:i/>
          <w:iCs/>
        </w:rPr>
        <w:t>ex vivo</w:t>
      </w:r>
      <w:r w:rsidRPr="008C69ED">
        <w:rPr>
          <w:rFonts w:ascii="Arial" w:eastAsia="Times New Roman" w:hAnsi="Arial" w:cs="Arial"/>
        </w:rPr>
        <w:t xml:space="preserve"> challenge test against the </w:t>
      </w:r>
      <w:proofErr w:type="spellStart"/>
      <w:r w:rsidRPr="008C69ED">
        <w:rPr>
          <w:rFonts w:ascii="Arial" w:eastAsia="Times New Roman" w:hAnsi="Arial" w:cs="Arial"/>
          <w:i/>
          <w:iCs/>
        </w:rPr>
        <w:t>Blomia</w:t>
      </w:r>
      <w:proofErr w:type="spellEnd"/>
      <w:r w:rsidRPr="008C69ED">
        <w:rPr>
          <w:rFonts w:ascii="Arial" w:eastAsia="Times New Roman" w:hAnsi="Arial" w:cs="Arial"/>
          <w:i/>
          <w:iCs/>
        </w:rPr>
        <w:t xml:space="preserve"> tropicalis</w:t>
      </w:r>
      <w:r w:rsidRPr="008C69ED">
        <w:rPr>
          <w:rFonts w:ascii="Arial" w:eastAsia="Times New Roman" w:hAnsi="Arial" w:cs="Arial"/>
        </w:rPr>
        <w:t xml:space="preserve"> extract monitored </w:t>
      </w:r>
      <w:r w:rsidRPr="008C69ED">
        <w:rPr>
          <w:rFonts w:ascii="Arial" w:eastAsia="Times New Roman" w:hAnsi="Arial" w:cs="Arial"/>
        </w:rPr>
        <w:lastRenderedPageBreak/>
        <w:t>by the Leukocyte Adherence Inhibition Test (LAIT), according to the respective number of outcomes over the LAIT cohort with 100 tests/subjects (y-axis).</w:t>
      </w:r>
    </w:p>
    <w:p w14:paraId="36CDCB02" w14:textId="77777777" w:rsidR="00D53AFF" w:rsidRDefault="00D53AFF" w:rsidP="00646870">
      <w:pPr>
        <w:spacing w:after="0" w:line="240" w:lineRule="auto"/>
        <w:jc w:val="both"/>
        <w:rPr>
          <w:rFonts w:ascii="Arial" w:eastAsia="Times New Roman" w:hAnsi="Arial" w:cs="Arial"/>
        </w:rPr>
      </w:pPr>
    </w:p>
    <w:p w14:paraId="0FF1D635" w14:textId="77777777" w:rsidR="00D53AFF" w:rsidRDefault="00D53AFF" w:rsidP="00FE0884">
      <w:pPr>
        <w:pStyle w:val="NormalWeb"/>
      </w:pPr>
      <w:r>
        <w:rPr>
          <w:noProof/>
        </w:rPr>
        <w:drawing>
          <wp:inline distT="0" distB="0" distL="0" distR="0" wp14:anchorId="379B8BD4" wp14:editId="65502618">
            <wp:extent cx="5746750" cy="3232785"/>
            <wp:effectExtent l="0" t="0" r="6350" b="5715"/>
            <wp:docPr id="195386288" name="Imagem 5"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6288" name="Imagem 5" descr="Gráfico, Gráfico de cascata&#10;&#10;O conteúdo gerado por IA pode estar incorre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4BB377DC" w14:textId="77777777" w:rsidR="00D53AFF" w:rsidRPr="008C69ED" w:rsidRDefault="00D53AFF" w:rsidP="00646870">
      <w:pPr>
        <w:spacing w:after="0" w:line="240" w:lineRule="auto"/>
        <w:jc w:val="both"/>
        <w:rPr>
          <w:rFonts w:ascii="Arial" w:eastAsia="Times New Roman" w:hAnsi="Arial" w:cs="Arial"/>
        </w:rPr>
      </w:pPr>
    </w:p>
    <w:p w14:paraId="3F0A0D23" w14:textId="77777777" w:rsidR="00D53AFF" w:rsidRPr="008C69ED" w:rsidRDefault="00D53AFF" w:rsidP="007943D1">
      <w:pPr>
        <w:spacing w:after="0" w:line="240" w:lineRule="auto"/>
        <w:jc w:val="both"/>
        <w:rPr>
          <w:rFonts w:ascii="Arial" w:eastAsia="Times New Roman" w:hAnsi="Arial" w:cs="Arial"/>
        </w:rPr>
      </w:pPr>
      <w:r w:rsidRPr="008C69ED">
        <w:rPr>
          <w:rFonts w:ascii="Arial" w:eastAsia="Times New Roman" w:hAnsi="Arial" w:cs="Arial"/>
        </w:rPr>
        <w:t xml:space="preserve">Fig. 5. Cascade distribution chart of the range groups of Leukocyte Adherence Inhibition (LAI) results (x-axis %) of the </w:t>
      </w:r>
      <w:r w:rsidRPr="008C69ED">
        <w:rPr>
          <w:rFonts w:ascii="Arial" w:eastAsia="Times New Roman" w:hAnsi="Arial" w:cs="Arial"/>
          <w:i/>
          <w:iCs/>
        </w:rPr>
        <w:t>ex vivo</w:t>
      </w:r>
      <w:r w:rsidRPr="008C69ED">
        <w:rPr>
          <w:rFonts w:ascii="Arial" w:eastAsia="Times New Roman" w:hAnsi="Arial" w:cs="Arial"/>
        </w:rPr>
        <w:t xml:space="preserve"> challenge test against the </w:t>
      </w:r>
      <w:proofErr w:type="spellStart"/>
      <w:r w:rsidRPr="008C69ED">
        <w:rPr>
          <w:rFonts w:ascii="Arial" w:eastAsia="Times New Roman" w:hAnsi="Arial" w:cs="Arial"/>
          <w:i/>
          <w:iCs/>
        </w:rPr>
        <w:t>Farfantepenaeus</w:t>
      </w:r>
      <w:proofErr w:type="spellEnd"/>
      <w:r w:rsidRPr="008C69ED">
        <w:rPr>
          <w:rFonts w:ascii="Arial" w:eastAsia="Times New Roman" w:hAnsi="Arial" w:cs="Arial"/>
          <w:i/>
          <w:iCs/>
        </w:rPr>
        <w:t xml:space="preserve"> </w:t>
      </w:r>
      <w:proofErr w:type="spellStart"/>
      <w:r w:rsidRPr="008C69ED">
        <w:rPr>
          <w:rFonts w:ascii="Arial" w:eastAsia="Times New Roman" w:hAnsi="Arial" w:cs="Arial"/>
          <w:i/>
          <w:iCs/>
        </w:rPr>
        <w:t>brasiliensis</w:t>
      </w:r>
      <w:proofErr w:type="spellEnd"/>
      <w:r w:rsidRPr="008C69ED">
        <w:rPr>
          <w:rFonts w:ascii="Arial" w:eastAsia="Times New Roman" w:hAnsi="Arial" w:cs="Arial"/>
        </w:rPr>
        <w:t xml:space="preserve"> extract monitored by the Leukocyte Adherence Inhibition Test (LAIT), according to the respective number of outcomes over the LAIT cohort with 100 tests/subjects (y-axis).</w:t>
      </w:r>
    </w:p>
    <w:p w14:paraId="7FA6C5DD" w14:textId="77777777" w:rsidR="00D53AFF" w:rsidRDefault="00D53AFF" w:rsidP="007943D1">
      <w:pPr>
        <w:spacing w:after="0" w:line="240" w:lineRule="auto"/>
        <w:jc w:val="both"/>
        <w:rPr>
          <w:rFonts w:ascii="Arial" w:eastAsia="Times New Roman" w:hAnsi="Arial" w:cs="Arial"/>
        </w:rPr>
      </w:pPr>
    </w:p>
    <w:p w14:paraId="3C019A6F" w14:textId="77777777" w:rsidR="00D53AFF" w:rsidRPr="00E1616A" w:rsidRDefault="00D53AFF" w:rsidP="00E1616A">
      <w:pPr>
        <w:pStyle w:val="NormalWeb"/>
      </w:pPr>
      <w:r>
        <w:rPr>
          <w:noProof/>
        </w:rPr>
        <w:drawing>
          <wp:inline distT="0" distB="0" distL="0" distR="0" wp14:anchorId="4ED25E01" wp14:editId="776D2CCB">
            <wp:extent cx="5746750" cy="3232785"/>
            <wp:effectExtent l="0" t="0" r="6350" b="5715"/>
            <wp:docPr id="34580506" name="Imagem 6" descr="Gráfico, Gráfico de dispersã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0506" name="Imagem 6" descr="Gráfico, Gráfico de dispersão&#10;&#10;O conteúdo gerado por IA pode estar incorre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248E6493" w14:textId="77777777" w:rsidR="00D53AFF" w:rsidRPr="008C69ED" w:rsidRDefault="00D53AFF" w:rsidP="00352A0C">
      <w:pPr>
        <w:spacing w:after="0" w:line="240" w:lineRule="auto"/>
        <w:jc w:val="both"/>
        <w:rPr>
          <w:rFonts w:ascii="Arial" w:eastAsia="Times New Roman" w:hAnsi="Arial" w:cs="Arial"/>
        </w:rPr>
      </w:pPr>
      <w:r w:rsidRPr="008C69ED">
        <w:rPr>
          <w:rFonts w:ascii="Arial" w:eastAsia="Times New Roman" w:hAnsi="Arial" w:cs="Arial"/>
        </w:rPr>
        <w:lastRenderedPageBreak/>
        <w:t xml:space="preserve">Fig. 6. Dispersion chart of the Leukocyte Adherence Inhibition (LAI) results of the </w:t>
      </w:r>
      <w:r w:rsidRPr="008C69ED">
        <w:rPr>
          <w:rFonts w:ascii="Arial" w:eastAsia="Times New Roman" w:hAnsi="Arial" w:cs="Arial"/>
          <w:i/>
          <w:iCs/>
        </w:rPr>
        <w:t>ex vivo</w:t>
      </w:r>
      <w:r w:rsidRPr="008C69ED">
        <w:rPr>
          <w:rFonts w:ascii="Arial" w:eastAsia="Times New Roman" w:hAnsi="Arial" w:cs="Arial"/>
        </w:rPr>
        <w:t xml:space="preserve"> challenge test against </w:t>
      </w:r>
      <w:proofErr w:type="spellStart"/>
      <w:r w:rsidRPr="008C69ED">
        <w:rPr>
          <w:rFonts w:ascii="Arial" w:eastAsia="Times New Roman" w:hAnsi="Arial" w:cs="Arial"/>
          <w:i/>
          <w:iCs/>
        </w:rPr>
        <w:t>Blomia</w:t>
      </w:r>
      <w:proofErr w:type="spellEnd"/>
      <w:r w:rsidRPr="008C69ED">
        <w:rPr>
          <w:rFonts w:ascii="Arial" w:eastAsia="Times New Roman" w:hAnsi="Arial" w:cs="Arial"/>
          <w:i/>
          <w:iCs/>
        </w:rPr>
        <w:t xml:space="preserve"> tropicalis</w:t>
      </w:r>
      <w:r w:rsidRPr="008C69ED">
        <w:rPr>
          <w:rFonts w:ascii="Arial" w:eastAsia="Times New Roman" w:hAnsi="Arial" w:cs="Arial"/>
        </w:rPr>
        <w:t xml:space="preserve"> extract (x-axis %), plotted against the LAI results of the </w:t>
      </w:r>
      <w:r w:rsidRPr="008C69ED">
        <w:rPr>
          <w:rFonts w:ascii="Arial" w:eastAsia="Times New Roman" w:hAnsi="Arial" w:cs="Arial"/>
          <w:i/>
          <w:iCs/>
        </w:rPr>
        <w:t>ex vivo</w:t>
      </w:r>
      <w:r w:rsidRPr="008C69ED">
        <w:rPr>
          <w:rFonts w:ascii="Arial" w:eastAsia="Times New Roman" w:hAnsi="Arial" w:cs="Arial"/>
        </w:rPr>
        <w:t xml:space="preserve"> challenge test against </w:t>
      </w:r>
      <w:proofErr w:type="spellStart"/>
      <w:r w:rsidRPr="008C69ED">
        <w:rPr>
          <w:rFonts w:ascii="Arial" w:eastAsia="Times New Roman" w:hAnsi="Arial" w:cs="Arial"/>
          <w:i/>
          <w:iCs/>
        </w:rPr>
        <w:t>Farfantepenaeus</w:t>
      </w:r>
      <w:proofErr w:type="spellEnd"/>
      <w:r w:rsidRPr="008C69ED">
        <w:rPr>
          <w:rFonts w:ascii="Arial" w:eastAsia="Times New Roman" w:hAnsi="Arial" w:cs="Arial"/>
          <w:i/>
          <w:iCs/>
        </w:rPr>
        <w:t xml:space="preserve"> </w:t>
      </w:r>
      <w:proofErr w:type="spellStart"/>
      <w:r w:rsidRPr="008C69ED">
        <w:rPr>
          <w:rFonts w:ascii="Arial" w:eastAsia="Times New Roman" w:hAnsi="Arial" w:cs="Arial"/>
          <w:i/>
          <w:iCs/>
        </w:rPr>
        <w:t>brasiliensis</w:t>
      </w:r>
      <w:proofErr w:type="spellEnd"/>
      <w:r w:rsidRPr="008C69ED">
        <w:rPr>
          <w:rFonts w:ascii="Arial" w:eastAsia="Times New Roman" w:hAnsi="Arial" w:cs="Arial"/>
        </w:rPr>
        <w:t xml:space="preserve"> extract (y-axis %).</w:t>
      </w:r>
    </w:p>
    <w:p w14:paraId="05B5237D" w14:textId="77777777" w:rsidR="00D53AFF" w:rsidRPr="008C69ED" w:rsidRDefault="00D53AFF" w:rsidP="00352A0C">
      <w:pPr>
        <w:spacing w:after="0" w:line="240" w:lineRule="auto"/>
        <w:jc w:val="both"/>
        <w:rPr>
          <w:rFonts w:ascii="Arial" w:eastAsia="Times New Roman" w:hAnsi="Arial" w:cs="Arial"/>
        </w:rPr>
      </w:pPr>
    </w:p>
    <w:p w14:paraId="111F1BD9" w14:textId="77777777" w:rsidR="00D53AFF" w:rsidRPr="008C69ED" w:rsidRDefault="00D53AFF" w:rsidP="005E6636">
      <w:pPr>
        <w:spacing w:after="0" w:line="240" w:lineRule="auto"/>
        <w:jc w:val="both"/>
        <w:rPr>
          <w:rFonts w:ascii="Arial" w:eastAsia="Times New Roman" w:hAnsi="Arial" w:cs="Arial"/>
          <w:color w:val="FF0000"/>
        </w:rPr>
      </w:pPr>
    </w:p>
    <w:p w14:paraId="717C1877" w14:textId="77777777" w:rsidR="00D53AFF" w:rsidRPr="008C69ED" w:rsidRDefault="00D53AFF" w:rsidP="0081416D">
      <w:pPr>
        <w:pStyle w:val="Heading2"/>
        <w:rPr>
          <w:rFonts w:eastAsia="Times New Roman" w:cs="Arial"/>
          <w:szCs w:val="22"/>
        </w:rPr>
      </w:pPr>
      <w:r w:rsidRPr="008C69ED">
        <w:rPr>
          <w:rFonts w:eastAsia="Times New Roman" w:cs="Arial"/>
          <w:szCs w:val="22"/>
        </w:rPr>
        <w:t>4. DISCUSSION</w:t>
      </w:r>
    </w:p>
    <w:p w14:paraId="40C375C1" w14:textId="77777777" w:rsidR="00D53AFF" w:rsidRPr="008C69ED" w:rsidRDefault="00D53AFF" w:rsidP="0001097B">
      <w:pPr>
        <w:spacing w:after="0" w:line="240" w:lineRule="auto"/>
        <w:jc w:val="both"/>
        <w:rPr>
          <w:rFonts w:ascii="Arial" w:eastAsia="Times New Roman" w:hAnsi="Arial" w:cs="Arial"/>
          <w:color w:val="FF0000"/>
        </w:rPr>
      </w:pPr>
    </w:p>
    <w:p w14:paraId="258955F1" w14:textId="4435FF28" w:rsidR="00D53AFF" w:rsidRPr="00C229DD" w:rsidRDefault="00D53AFF" w:rsidP="00C229DD">
      <w:pPr>
        <w:spacing w:after="0" w:line="240" w:lineRule="auto"/>
        <w:jc w:val="both"/>
        <w:rPr>
          <w:rFonts w:ascii="Arial" w:eastAsia="Times New Roman" w:hAnsi="Arial" w:cs="Arial"/>
        </w:rPr>
      </w:pPr>
      <w:r w:rsidRPr="008C69ED">
        <w:rPr>
          <w:rFonts w:ascii="Arial" w:eastAsia="Times New Roman" w:hAnsi="Arial" w:cs="Arial"/>
          <w:color w:val="FF0000"/>
        </w:rPr>
        <w:tab/>
      </w:r>
      <w:bookmarkStart w:id="3" w:name="_Hlk193438304"/>
      <w:r w:rsidRPr="008C69ED">
        <w:rPr>
          <w:rFonts w:ascii="Arial" w:eastAsia="Times New Roman" w:hAnsi="Arial" w:cs="Arial"/>
        </w:rPr>
        <w:t>Polysensitization and cross-reactivity are related phenomena frequently observed in patients</w:t>
      </w:r>
      <w:r>
        <w:rPr>
          <w:rFonts w:ascii="Arial" w:eastAsia="Times New Roman" w:hAnsi="Arial" w:cs="Arial"/>
        </w:rPr>
        <w:t xml:space="preserve"> with allergic multimorbidity</w:t>
      </w:r>
      <w:r w:rsidRPr="008C69ED">
        <w:rPr>
          <w:rFonts w:ascii="Arial" w:eastAsia="Times New Roman" w:hAnsi="Arial" w:cs="Arial"/>
        </w:rPr>
        <w:t xml:space="preserve"> </w:t>
      </w:r>
      <w:r>
        <w:rPr>
          <w:rFonts w:ascii="Arial" w:eastAsia="Times New Roman" w:hAnsi="Arial" w:cs="Arial"/>
          <w:noProof/>
        </w:rPr>
        <w:t xml:space="preserve">(Zhang </w:t>
      </w:r>
      <w:r w:rsidR="00BA632D" w:rsidRPr="00BA632D">
        <w:rPr>
          <w:rFonts w:ascii="Arial" w:eastAsia="Times New Roman" w:hAnsi="Arial" w:cs="Arial"/>
          <w:i/>
          <w:iCs/>
          <w:noProof/>
        </w:rPr>
        <w:t>et al</w:t>
      </w:r>
      <w:r>
        <w:rPr>
          <w:rFonts w:ascii="Arial" w:eastAsia="Times New Roman" w:hAnsi="Arial" w:cs="Arial"/>
          <w:noProof/>
        </w:rPr>
        <w:t>.</w:t>
      </w:r>
      <w:r w:rsidR="008D5A42">
        <w:rPr>
          <w:rFonts w:ascii="Arial" w:eastAsia="Times New Roman" w:hAnsi="Arial" w:cs="Arial"/>
          <w:noProof/>
        </w:rPr>
        <w:t>, 2025; Čelakovská et al., 2024; Hasnain, Alqassim, and Al-Frayl,</w:t>
      </w:r>
      <w:r>
        <w:rPr>
          <w:rFonts w:ascii="Arial" w:eastAsia="Times New Roman" w:hAnsi="Arial" w:cs="Arial"/>
          <w:noProof/>
        </w:rPr>
        <w:t xml:space="preserve"> 2017)</w:t>
      </w:r>
      <w:r w:rsidRPr="008C69ED">
        <w:rPr>
          <w:rFonts w:ascii="Arial" w:eastAsia="Times New Roman" w:hAnsi="Arial" w:cs="Arial"/>
        </w:rPr>
        <w:t xml:space="preserve">. </w:t>
      </w:r>
      <w:bookmarkEnd w:id="3"/>
      <w:r w:rsidRPr="008C69ED">
        <w:rPr>
          <w:rFonts w:ascii="Arial" w:eastAsia="Times New Roman" w:hAnsi="Arial" w:cs="Arial"/>
        </w:rPr>
        <w:t>When investigating the et</w:t>
      </w:r>
      <w:r>
        <w:rPr>
          <w:rFonts w:ascii="Arial" w:eastAsia="Times New Roman" w:hAnsi="Arial" w:cs="Arial"/>
        </w:rPr>
        <w:t xml:space="preserve">iology of allergic reactions, it is advisable to </w:t>
      </w:r>
      <w:r w:rsidR="008D5A42">
        <w:rPr>
          <w:rFonts w:ascii="Arial" w:eastAsia="Times New Roman" w:hAnsi="Arial" w:cs="Arial"/>
        </w:rPr>
        <w:t xml:space="preserve">maintain an open mind regarding cross-reactivity among </w:t>
      </w:r>
      <w:proofErr w:type="spellStart"/>
      <w:r w:rsidR="008D5A42">
        <w:rPr>
          <w:rFonts w:ascii="Arial" w:eastAsia="Times New Roman" w:hAnsi="Arial" w:cs="Arial"/>
        </w:rPr>
        <w:t>panallergens</w:t>
      </w:r>
      <w:proofErr w:type="spellEnd"/>
      <w:r w:rsidR="008D5A42">
        <w:rPr>
          <w:rFonts w:ascii="Arial" w:eastAsia="Times New Roman" w:hAnsi="Arial" w:cs="Arial"/>
        </w:rPr>
        <w:t>, especially in polysensitized patients presenting with Allergic Multimorbidity (Miltner et al.,</w:t>
      </w:r>
      <w:r>
        <w:rPr>
          <w:rFonts w:ascii="Arial" w:eastAsia="Times New Roman" w:hAnsi="Arial" w:cs="Arial"/>
          <w:noProof/>
        </w:rPr>
        <w:t xml:space="preserve"> 2024)</w:t>
      </w:r>
      <w:r>
        <w:rPr>
          <w:rFonts w:ascii="Arial" w:eastAsia="Times New Roman" w:hAnsi="Arial" w:cs="Arial"/>
        </w:rPr>
        <w:t xml:space="preserve">. The specificity and facility </w:t>
      </w:r>
      <w:r w:rsidR="008D5A42">
        <w:rPr>
          <w:rFonts w:ascii="Arial" w:eastAsia="Times New Roman" w:hAnsi="Arial" w:cs="Arial"/>
        </w:rPr>
        <w:t>for researching precipitins t</w:t>
      </w:r>
      <w:r w:rsidR="00975B0F">
        <w:rPr>
          <w:rFonts w:ascii="Arial" w:eastAsia="Times New Roman" w:hAnsi="Arial" w:cs="Arial"/>
        </w:rPr>
        <w:t>ransformed this immunoassay into a pioneering examination upon</w:t>
      </w:r>
      <w:r w:rsidR="008D5A42">
        <w:rPr>
          <w:rFonts w:ascii="Arial" w:eastAsia="Times New Roman" w:hAnsi="Arial" w:cs="Arial"/>
        </w:rPr>
        <w:t xml:space="preserve"> which the fundamentals of immunology were established</w:t>
      </w:r>
      <w:r>
        <w:rPr>
          <w:rFonts w:ascii="Arial" w:eastAsia="Times New Roman" w:hAnsi="Arial" w:cs="Arial"/>
        </w:rPr>
        <w:t xml:space="preserve"> </w:t>
      </w:r>
      <w:r>
        <w:rPr>
          <w:rFonts w:ascii="Arial" w:eastAsia="Times New Roman" w:hAnsi="Arial" w:cs="Arial"/>
          <w:noProof/>
        </w:rPr>
        <w:t>(Hunter 1905)</w:t>
      </w:r>
      <w:r>
        <w:rPr>
          <w:rFonts w:ascii="Arial" w:eastAsia="Times New Roman" w:hAnsi="Arial" w:cs="Arial"/>
        </w:rPr>
        <w:t xml:space="preserve">. Precipitins are yet used nowadays to monitor emerging diseases when more precise and sophisticated assays are inexistent or unavailable </w:t>
      </w:r>
      <w:r>
        <w:rPr>
          <w:rFonts w:ascii="Arial" w:eastAsia="Times New Roman" w:hAnsi="Arial" w:cs="Arial"/>
          <w:noProof/>
        </w:rPr>
        <w:t xml:space="preserve">(Bellanger </w:t>
      </w:r>
      <w:r w:rsidR="00BA632D" w:rsidRPr="00BA632D">
        <w:rPr>
          <w:rFonts w:ascii="Arial" w:eastAsia="Times New Roman" w:hAnsi="Arial" w:cs="Arial"/>
          <w:i/>
          <w:iCs/>
          <w:noProof/>
        </w:rPr>
        <w:t>et al</w:t>
      </w:r>
      <w:r>
        <w:rPr>
          <w:rFonts w:ascii="Arial" w:eastAsia="Times New Roman" w:hAnsi="Arial" w:cs="Arial"/>
          <w:noProof/>
        </w:rPr>
        <w:t>.</w:t>
      </w:r>
      <w:r w:rsidR="008D5A42">
        <w:rPr>
          <w:rFonts w:ascii="Arial" w:eastAsia="Times New Roman" w:hAnsi="Arial" w:cs="Arial"/>
          <w:noProof/>
        </w:rPr>
        <w:t>,</w:t>
      </w:r>
      <w:r>
        <w:rPr>
          <w:rFonts w:ascii="Arial" w:eastAsia="Times New Roman" w:hAnsi="Arial" w:cs="Arial"/>
          <w:noProof/>
        </w:rPr>
        <w:t xml:space="preserve"> 2022)</w:t>
      </w:r>
      <w:r>
        <w:rPr>
          <w:rFonts w:ascii="Arial" w:eastAsia="Times New Roman" w:hAnsi="Arial" w:cs="Arial"/>
        </w:rPr>
        <w:t xml:space="preserve">. </w:t>
      </w:r>
      <w:r w:rsidRPr="0003002D">
        <w:rPr>
          <w:rFonts w:ascii="Arial" w:eastAsia="Times New Roman" w:hAnsi="Arial" w:cs="Arial"/>
        </w:rPr>
        <w:t xml:space="preserve">Precipitating antibodies </w:t>
      </w:r>
      <w:r w:rsidR="008D5A42">
        <w:rPr>
          <w:rFonts w:ascii="Arial" w:eastAsia="Times New Roman" w:hAnsi="Arial" w:cs="Arial"/>
        </w:rPr>
        <w:t>indicate a humoral immune response against the tested antigens (Gell, Harington, and Rivers,</w:t>
      </w:r>
      <w:r>
        <w:rPr>
          <w:rFonts w:ascii="Arial" w:eastAsia="Times New Roman" w:hAnsi="Arial" w:cs="Arial"/>
          <w:noProof/>
        </w:rPr>
        <w:t xml:space="preserve"> 1946)</w:t>
      </w:r>
      <w:r w:rsidRPr="0003002D">
        <w:rPr>
          <w:rFonts w:ascii="Arial" w:eastAsia="Times New Roman" w:hAnsi="Arial" w:cs="Arial"/>
        </w:rPr>
        <w:t xml:space="preserve">. Before the discovery of </w:t>
      </w:r>
      <w:proofErr w:type="spellStart"/>
      <w:r w:rsidRPr="0003002D">
        <w:rPr>
          <w:rFonts w:ascii="Arial" w:eastAsia="Times New Roman" w:hAnsi="Arial" w:cs="Arial"/>
        </w:rPr>
        <w:t>IgE</w:t>
      </w:r>
      <w:proofErr w:type="spellEnd"/>
      <w:r w:rsidRPr="0003002D">
        <w:rPr>
          <w:rFonts w:ascii="Arial" w:eastAsia="Times New Roman" w:hAnsi="Arial" w:cs="Arial"/>
        </w:rPr>
        <w:t xml:space="preserve">, the research of precipitins was the only viable way to demonstrate immunoreactivity against allergenic agents </w:t>
      </w:r>
      <w:r>
        <w:rPr>
          <w:rFonts w:ascii="Arial" w:eastAsia="Times New Roman" w:hAnsi="Arial" w:cs="Arial"/>
          <w:noProof/>
        </w:rPr>
        <w:t>(Augustin and Hayward</w:t>
      </w:r>
      <w:r w:rsidR="008D5A42">
        <w:rPr>
          <w:rFonts w:ascii="Arial" w:eastAsia="Times New Roman" w:hAnsi="Arial" w:cs="Arial"/>
          <w:noProof/>
        </w:rPr>
        <w:t>,</w:t>
      </w:r>
      <w:r>
        <w:rPr>
          <w:rFonts w:ascii="Arial" w:eastAsia="Times New Roman" w:hAnsi="Arial" w:cs="Arial"/>
          <w:noProof/>
        </w:rPr>
        <w:t xml:space="preserve"> 1960)</w:t>
      </w:r>
      <w:r w:rsidRPr="0003002D">
        <w:rPr>
          <w:rFonts w:ascii="Arial" w:eastAsia="Times New Roman" w:hAnsi="Arial" w:cs="Arial"/>
        </w:rPr>
        <w:t xml:space="preserve"> </w:t>
      </w:r>
      <w:r>
        <w:rPr>
          <w:rFonts w:ascii="Arial" w:eastAsia="Times New Roman" w:hAnsi="Arial" w:cs="Arial"/>
          <w:noProof/>
        </w:rPr>
        <w:t>(Wells</w:t>
      </w:r>
      <w:r w:rsidR="008D5A42">
        <w:rPr>
          <w:rFonts w:ascii="Arial" w:eastAsia="Times New Roman" w:hAnsi="Arial" w:cs="Arial"/>
          <w:noProof/>
        </w:rPr>
        <w:t>,</w:t>
      </w:r>
      <w:r>
        <w:rPr>
          <w:rFonts w:ascii="Arial" w:eastAsia="Times New Roman" w:hAnsi="Arial" w:cs="Arial"/>
          <w:noProof/>
        </w:rPr>
        <w:t xml:space="preserve"> 1911)</w:t>
      </w:r>
      <w:r w:rsidRPr="0003002D">
        <w:rPr>
          <w:rFonts w:ascii="Arial" w:eastAsia="Times New Roman" w:hAnsi="Arial" w:cs="Arial"/>
        </w:rPr>
        <w:t>. Precipitin antibodies may belong to any Immunoglobulin class (except for IgG4), can mount immune complexes, and can participate in type II (antibody-dependent cell-</w:t>
      </w:r>
      <w:r w:rsidRPr="00C229DD">
        <w:rPr>
          <w:rFonts w:ascii="Arial" w:eastAsia="Times New Roman" w:hAnsi="Arial" w:cs="Arial"/>
        </w:rPr>
        <w:t>mediated) and type III (immune complexes disease) Gell and Coombs hypersensitivity reactions, which may (theoretically) be demonstrated by the LAIT and the TTP assays, respectively</w:t>
      </w:r>
      <w:r w:rsidR="004446B8">
        <w:rPr>
          <w:rFonts w:ascii="Arial" w:eastAsia="Times New Roman" w:hAnsi="Arial" w:cs="Arial"/>
        </w:rPr>
        <w:t xml:space="preserve"> (Gell and Coombs, 1968)</w:t>
      </w:r>
      <w:r w:rsidRPr="00C229DD">
        <w:rPr>
          <w:rFonts w:ascii="Arial" w:eastAsia="Times New Roman" w:hAnsi="Arial" w:cs="Arial"/>
        </w:rPr>
        <w:t xml:space="preserve">. </w:t>
      </w:r>
    </w:p>
    <w:p w14:paraId="20B2B673" w14:textId="78D864BE" w:rsidR="00D53AFF" w:rsidRPr="00C229DD" w:rsidRDefault="00D53AFF" w:rsidP="00D70667">
      <w:pPr>
        <w:spacing w:after="0" w:line="240" w:lineRule="auto"/>
        <w:ind w:firstLine="708"/>
        <w:jc w:val="both"/>
        <w:rPr>
          <w:rFonts w:ascii="Arial" w:eastAsia="Times New Roman" w:hAnsi="Arial" w:cs="Arial"/>
        </w:rPr>
      </w:pPr>
      <w:r w:rsidRPr="00C229DD">
        <w:rPr>
          <w:rFonts w:ascii="Arial" w:eastAsia="Times New Roman" w:hAnsi="Arial" w:cs="Arial"/>
        </w:rPr>
        <w:t xml:space="preserve">The LAIT is an </w:t>
      </w:r>
      <w:r w:rsidRPr="00C229DD">
        <w:rPr>
          <w:rFonts w:ascii="Arial" w:eastAsia="Times New Roman" w:hAnsi="Arial" w:cs="Arial"/>
          <w:i/>
          <w:iCs/>
        </w:rPr>
        <w:t>ex vivo</w:t>
      </w:r>
      <w:r w:rsidRPr="00C229DD">
        <w:rPr>
          <w:rFonts w:ascii="Arial" w:eastAsia="Times New Roman" w:hAnsi="Arial" w:cs="Arial"/>
        </w:rPr>
        <w:t xml:space="preserve"> challenge test performed with </w:t>
      </w:r>
      <w:r w:rsidR="008D5A42">
        <w:rPr>
          <w:rFonts w:ascii="Arial" w:eastAsia="Times New Roman" w:hAnsi="Arial" w:cs="Arial"/>
        </w:rPr>
        <w:t>live leukocytes, which allows the interaction of all immune-circulating cell</w:t>
      </w:r>
      <w:r w:rsidRPr="00C229DD">
        <w:rPr>
          <w:rFonts w:ascii="Arial" w:eastAsia="Times New Roman" w:hAnsi="Arial" w:cs="Arial"/>
        </w:rPr>
        <w:t xml:space="preserve">s with allergens. Several immune pathways can </w:t>
      </w:r>
      <w:r w:rsidR="008D5A42">
        <w:rPr>
          <w:rFonts w:ascii="Arial" w:eastAsia="Times New Roman" w:hAnsi="Arial" w:cs="Arial"/>
        </w:rPr>
        <w:t>inhibit leukocyte adherence (Tong et al.</w:t>
      </w:r>
      <w:r w:rsidR="00975B0F">
        <w:rPr>
          <w:rFonts w:ascii="Arial" w:eastAsia="Times New Roman" w:hAnsi="Arial" w:cs="Arial"/>
        </w:rPr>
        <w:t xml:space="preserve">, 1979; Halliday, </w:t>
      </w:r>
      <w:proofErr w:type="spellStart"/>
      <w:r w:rsidR="00975B0F">
        <w:rPr>
          <w:rFonts w:ascii="Arial" w:eastAsia="Times New Roman" w:hAnsi="Arial" w:cs="Arial"/>
        </w:rPr>
        <w:t>Maluish</w:t>
      </w:r>
      <w:proofErr w:type="spellEnd"/>
      <w:r w:rsidR="00975B0F">
        <w:rPr>
          <w:rFonts w:ascii="Arial" w:eastAsia="Times New Roman" w:hAnsi="Arial" w:cs="Arial"/>
        </w:rPr>
        <w:t>, and Miller,</w:t>
      </w:r>
      <w:r>
        <w:rPr>
          <w:rFonts w:ascii="Arial" w:eastAsia="Times New Roman" w:hAnsi="Arial" w:cs="Arial"/>
          <w:noProof/>
        </w:rPr>
        <w:t xml:space="preserve"> 1974)</w:t>
      </w:r>
      <w:r w:rsidRPr="00C229DD">
        <w:rPr>
          <w:rFonts w:ascii="Arial" w:eastAsia="Times New Roman" w:hAnsi="Arial" w:cs="Arial"/>
        </w:rPr>
        <w:t>.</w:t>
      </w:r>
    </w:p>
    <w:p w14:paraId="030E2097" w14:textId="13C795D2" w:rsidR="00D53AFF" w:rsidRPr="00A258BF" w:rsidRDefault="00D53AFF" w:rsidP="00C229DD">
      <w:pPr>
        <w:spacing w:after="0" w:line="240" w:lineRule="auto"/>
        <w:ind w:firstLine="708"/>
        <w:jc w:val="both"/>
        <w:rPr>
          <w:rFonts w:ascii="Arial" w:eastAsia="Times New Roman" w:hAnsi="Arial" w:cs="Arial"/>
        </w:rPr>
      </w:pPr>
      <w:r w:rsidRPr="00C229DD">
        <w:rPr>
          <w:rFonts w:ascii="Arial" w:eastAsia="Times New Roman" w:hAnsi="Arial" w:cs="Arial"/>
        </w:rPr>
        <w:t>The present study is a proof-of-concept that hypot</w:t>
      </w:r>
      <w:r w:rsidRPr="00A258BF">
        <w:rPr>
          <w:rFonts w:ascii="Arial" w:eastAsia="Times New Roman" w:hAnsi="Arial" w:cs="Arial"/>
        </w:rPr>
        <w:t xml:space="preserve">hesizes that LAIT and the TTP may differentiate diverse degrees of cellular and humoral immunoreactivity against </w:t>
      </w:r>
      <w:proofErr w:type="spellStart"/>
      <w:r w:rsidRPr="00A258BF">
        <w:rPr>
          <w:rFonts w:ascii="Arial" w:eastAsia="Calibri" w:hAnsi="Arial" w:cs="Arial"/>
          <w:bCs/>
          <w:i/>
          <w:iCs/>
        </w:rPr>
        <w:t>Blomia</w:t>
      </w:r>
      <w:proofErr w:type="spellEnd"/>
      <w:r w:rsidRPr="00A258BF">
        <w:rPr>
          <w:rFonts w:ascii="Arial" w:eastAsia="Calibri" w:hAnsi="Arial" w:cs="Arial"/>
          <w:bCs/>
          <w:i/>
          <w:iCs/>
        </w:rPr>
        <w:t xml:space="preserve"> tropicalis</w:t>
      </w:r>
      <w:r w:rsidRPr="00A258BF">
        <w:rPr>
          <w:rFonts w:ascii="Arial" w:eastAsia="Calibri" w:hAnsi="Arial" w:cs="Arial"/>
          <w:bCs/>
        </w:rPr>
        <w:t xml:space="preserve"> and </w:t>
      </w:r>
      <w:proofErr w:type="spellStart"/>
      <w:r w:rsidRPr="00A258BF">
        <w:rPr>
          <w:rFonts w:ascii="Arial" w:eastAsia="Calibri" w:hAnsi="Arial" w:cs="Arial"/>
          <w:bCs/>
          <w:i/>
          <w:iCs/>
        </w:rPr>
        <w:t>Farfantepenaeus</w:t>
      </w:r>
      <w:proofErr w:type="spellEnd"/>
      <w:r w:rsidRPr="00A258BF">
        <w:rPr>
          <w:rFonts w:ascii="Arial" w:eastAsia="Calibri" w:hAnsi="Arial" w:cs="Arial"/>
          <w:bCs/>
          <w:i/>
          <w:iCs/>
        </w:rPr>
        <w:t xml:space="preserve"> </w:t>
      </w:r>
      <w:proofErr w:type="spellStart"/>
      <w:r w:rsidRPr="00A258BF">
        <w:rPr>
          <w:rFonts w:ascii="Arial" w:eastAsia="Calibri" w:hAnsi="Arial" w:cs="Arial"/>
          <w:bCs/>
          <w:i/>
          <w:iCs/>
        </w:rPr>
        <w:t>brasiliensis</w:t>
      </w:r>
      <w:proofErr w:type="spellEnd"/>
      <w:r w:rsidRPr="00A258BF">
        <w:rPr>
          <w:rFonts w:ascii="Arial" w:eastAsia="Calibri" w:hAnsi="Arial" w:cs="Arial"/>
          <w:bCs/>
        </w:rPr>
        <w:t xml:space="preserve"> extracts</w:t>
      </w:r>
      <w:r w:rsidRPr="00A258BF">
        <w:rPr>
          <w:rFonts w:ascii="Arial" w:eastAsia="Times New Roman" w:hAnsi="Arial" w:cs="Arial"/>
        </w:rPr>
        <w:t xml:space="preserve"> among patients suffering from non–</w:t>
      </w:r>
      <w:proofErr w:type="spellStart"/>
      <w:r w:rsidRPr="00A258BF">
        <w:rPr>
          <w:rFonts w:ascii="Arial" w:eastAsia="Times New Roman" w:hAnsi="Arial" w:cs="Arial"/>
        </w:rPr>
        <w:t>IgE</w:t>
      </w:r>
      <w:proofErr w:type="spellEnd"/>
      <w:r w:rsidRPr="00A258BF">
        <w:rPr>
          <w:rFonts w:ascii="Arial" w:eastAsia="Times New Roman" w:hAnsi="Arial" w:cs="Arial"/>
        </w:rPr>
        <w:t xml:space="preserve">-mediated Allergic Multimorbidity. As the tests were performed simultaneously </w:t>
      </w:r>
      <w:r w:rsidR="008D5A42">
        <w:rPr>
          <w:rFonts w:ascii="Arial" w:eastAsia="Times New Roman" w:hAnsi="Arial" w:cs="Arial"/>
        </w:rPr>
        <w:t>using the same venous sample with both allergens, it was possible to calculate a correlation to distinguish any</w:t>
      </w:r>
      <w:r w:rsidRPr="00A258BF">
        <w:rPr>
          <w:rFonts w:ascii="Arial" w:eastAsia="Times New Roman" w:hAnsi="Arial" w:cs="Arial"/>
        </w:rPr>
        <w:t xml:space="preserve"> order of cross-reactivity between them. </w:t>
      </w:r>
    </w:p>
    <w:p w14:paraId="5004E6EB" w14:textId="5F0830B6" w:rsidR="00D53AFF" w:rsidRPr="00403DBE" w:rsidRDefault="00D53AFF" w:rsidP="00403DBE">
      <w:pPr>
        <w:spacing w:after="0" w:line="240" w:lineRule="auto"/>
        <w:ind w:firstLine="708"/>
        <w:jc w:val="both"/>
        <w:rPr>
          <w:rFonts w:ascii="Arial" w:eastAsia="Times New Roman" w:hAnsi="Arial" w:cs="Arial"/>
        </w:rPr>
      </w:pPr>
      <w:r w:rsidRPr="00A258BF">
        <w:rPr>
          <w:rFonts w:ascii="Arial" w:eastAsia="Times New Roman" w:hAnsi="Arial" w:cs="Arial"/>
        </w:rPr>
        <w:t xml:space="preserve">The retrospective compilation of our data </w:t>
      </w:r>
      <w:r w:rsidR="008D5A42">
        <w:rPr>
          <w:rFonts w:ascii="Arial" w:eastAsia="Times New Roman" w:hAnsi="Arial" w:cs="Arial"/>
        </w:rPr>
        <w:t>revealed a wide distribution of results when analyz</w:t>
      </w:r>
      <w:r>
        <w:rPr>
          <w:rFonts w:ascii="Arial" w:eastAsia="Times New Roman" w:hAnsi="Arial" w:cs="Arial"/>
        </w:rPr>
        <w:t>ing</w:t>
      </w:r>
      <w:r w:rsidRPr="00A258BF">
        <w:rPr>
          <w:rFonts w:ascii="Arial" w:eastAsia="Times New Roman" w:hAnsi="Arial" w:cs="Arial"/>
        </w:rPr>
        <w:t xml:space="preserve"> the </w:t>
      </w:r>
      <w:r w:rsidR="00975B0F">
        <w:rPr>
          <w:rFonts w:ascii="Arial" w:eastAsia="Times New Roman" w:hAnsi="Arial" w:cs="Arial"/>
        </w:rPr>
        <w:t>LAIT results</w:t>
      </w:r>
      <w:r w:rsidRPr="00A258BF">
        <w:rPr>
          <w:rFonts w:ascii="Arial" w:eastAsia="Times New Roman" w:hAnsi="Arial" w:cs="Arial"/>
        </w:rPr>
        <w:t xml:space="preserve"> to explore cellular immunoreactivity. On the contrary, there was no such variability in the results </w:t>
      </w:r>
      <w:r w:rsidR="008D5A42">
        <w:rPr>
          <w:rFonts w:ascii="Arial" w:eastAsia="Times New Roman" w:hAnsi="Arial" w:cs="Arial"/>
        </w:rPr>
        <w:t>of TTP, which demonstrated the presence of high titers of precipitin antibodies predominantly in the higher dilutions, suggesting the presence of humoral activity against these extracts in all selected patients, thereby</w:t>
      </w:r>
      <w:r w:rsidRPr="00FF7459">
        <w:rPr>
          <w:rFonts w:ascii="Arial" w:eastAsia="Times New Roman" w:hAnsi="Arial" w:cs="Arial"/>
        </w:rPr>
        <w:t xml:space="preserve"> limiting the analytical value of this immunoassay. Despite these immunoassays not precisely identifying the mechanisms responsible for the clinical condition, they provide general evidence about cellular and humoral immunoreactivity that may be involved in immune tolerance, sensitization, and clinical hypersensitivity.</w:t>
      </w:r>
    </w:p>
    <w:p w14:paraId="671BA9B3" w14:textId="59F6B045" w:rsidR="00D53AFF" w:rsidRDefault="00D53AFF" w:rsidP="00102055">
      <w:pPr>
        <w:spacing w:after="0" w:line="240" w:lineRule="auto"/>
        <w:ind w:firstLine="708"/>
        <w:jc w:val="both"/>
        <w:rPr>
          <w:rFonts w:ascii="Arial" w:eastAsia="Times New Roman" w:hAnsi="Arial" w:cs="Arial"/>
        </w:rPr>
      </w:pPr>
      <w:r w:rsidRPr="00F91B59">
        <w:rPr>
          <w:rFonts w:ascii="Arial" w:eastAsia="Times New Roman" w:hAnsi="Arial" w:cs="Arial"/>
        </w:rPr>
        <w:t xml:space="preserve">This preliminary retrospective survey </w:t>
      </w:r>
      <w:r w:rsidR="008D5A42">
        <w:rPr>
          <w:rFonts w:ascii="Arial" w:eastAsia="Times New Roman" w:hAnsi="Arial" w:cs="Arial"/>
        </w:rPr>
        <w:t xml:space="preserve">yielded diverse results from the TTP and the ex vivo challenge test, monitored by LAIT, against </w:t>
      </w:r>
      <w:proofErr w:type="spellStart"/>
      <w:r w:rsidR="008D5A42" w:rsidRPr="001261AF">
        <w:rPr>
          <w:rFonts w:ascii="Arial" w:eastAsia="Times New Roman" w:hAnsi="Arial" w:cs="Arial"/>
          <w:i/>
          <w:iCs/>
        </w:rPr>
        <w:t>Blomia</w:t>
      </w:r>
      <w:proofErr w:type="spellEnd"/>
      <w:r w:rsidR="008D5A42" w:rsidRPr="001261AF">
        <w:rPr>
          <w:rFonts w:ascii="Arial" w:eastAsia="Times New Roman" w:hAnsi="Arial" w:cs="Arial"/>
          <w:i/>
          <w:iCs/>
        </w:rPr>
        <w:t xml:space="preserve"> tropicalis</w:t>
      </w:r>
      <w:r w:rsidR="008D5A42">
        <w:rPr>
          <w:rFonts w:ascii="Arial" w:eastAsia="Times New Roman" w:hAnsi="Arial" w:cs="Arial"/>
        </w:rPr>
        <w:t xml:space="preserve"> and </w:t>
      </w:r>
      <w:proofErr w:type="spellStart"/>
      <w:r w:rsidR="008D5A42" w:rsidRPr="001261AF">
        <w:rPr>
          <w:rFonts w:ascii="Arial" w:eastAsia="Times New Roman" w:hAnsi="Arial" w:cs="Arial"/>
          <w:i/>
          <w:iCs/>
        </w:rPr>
        <w:t>Farfantepenaeus</w:t>
      </w:r>
      <w:proofErr w:type="spellEnd"/>
      <w:r w:rsidR="008D5A42">
        <w:rPr>
          <w:rFonts w:ascii="Arial" w:eastAsia="Times New Roman" w:hAnsi="Arial" w:cs="Arial"/>
        </w:rPr>
        <w:t xml:space="preserve"> </w:t>
      </w:r>
      <w:proofErr w:type="spellStart"/>
      <w:r w:rsidR="008D5A42" w:rsidRPr="001261AF">
        <w:rPr>
          <w:rFonts w:ascii="Arial" w:eastAsia="Times New Roman" w:hAnsi="Arial" w:cs="Arial"/>
          <w:i/>
          <w:iCs/>
        </w:rPr>
        <w:t>brasiliensis</w:t>
      </w:r>
      <w:proofErr w:type="spellEnd"/>
      <w:r w:rsidR="008D5A42">
        <w:rPr>
          <w:rFonts w:ascii="Arial" w:eastAsia="Times New Roman" w:hAnsi="Arial" w:cs="Arial"/>
        </w:rPr>
        <w:t xml:space="preserve"> extracts in two cohorts of patients diagnosed with non–</w:t>
      </w:r>
      <w:proofErr w:type="spellStart"/>
      <w:r w:rsidR="008D5A42">
        <w:rPr>
          <w:rFonts w:ascii="Arial" w:eastAsia="Times New Roman" w:hAnsi="Arial" w:cs="Arial"/>
        </w:rPr>
        <w:t>IgE</w:t>
      </w:r>
      <w:proofErr w:type="spellEnd"/>
      <w:r w:rsidR="008D5A42">
        <w:rPr>
          <w:rFonts w:ascii="Arial" w:eastAsia="Times New Roman" w:hAnsi="Arial" w:cs="Arial"/>
        </w:rPr>
        <w:t>–</w:t>
      </w:r>
      <w:r w:rsidRPr="00F91B59">
        <w:rPr>
          <w:rFonts w:ascii="Arial" w:eastAsia="Times New Roman" w:hAnsi="Arial" w:cs="Arial"/>
        </w:rPr>
        <w:t xml:space="preserve">mediated Allergic Multimorbidity. TTP and LAIT are complementary triage tests used at our facilities to select worthwhile antigens to proceed with more laborious </w:t>
      </w:r>
      <w:r w:rsidRPr="00F91B59">
        <w:rPr>
          <w:rFonts w:ascii="Arial" w:eastAsia="Times New Roman" w:hAnsi="Arial" w:cs="Arial"/>
          <w:i/>
          <w:iCs/>
        </w:rPr>
        <w:t>in vivo</w:t>
      </w:r>
      <w:r w:rsidRPr="00F91B59">
        <w:rPr>
          <w:rFonts w:ascii="Arial" w:eastAsia="Times New Roman" w:hAnsi="Arial" w:cs="Arial"/>
        </w:rPr>
        <w:t xml:space="preserve"> provocation tests when the specific </w:t>
      </w:r>
      <w:proofErr w:type="spellStart"/>
      <w:r w:rsidRPr="00F91B59">
        <w:rPr>
          <w:rFonts w:ascii="Arial" w:eastAsia="Times New Roman" w:hAnsi="Arial" w:cs="Arial"/>
        </w:rPr>
        <w:t>IgE</w:t>
      </w:r>
      <w:proofErr w:type="spellEnd"/>
      <w:r w:rsidRPr="00F91B59">
        <w:rPr>
          <w:rFonts w:ascii="Arial" w:eastAsia="Times New Roman" w:hAnsi="Arial" w:cs="Arial"/>
        </w:rPr>
        <w:t xml:space="preserve"> is undetectable. None of our patients presented an exclusive reaction to these allergens. Every patient was simultaneously evaluated for several chemical and biological allergens, demonstrating positive results for some of them. Our results suggest that patients with allerg</w:t>
      </w:r>
      <w:r>
        <w:rPr>
          <w:rFonts w:ascii="Arial" w:eastAsia="Times New Roman" w:hAnsi="Arial" w:cs="Arial"/>
        </w:rPr>
        <w:t>ies to HDM may exacerbate their symptoms by experiencing additional cross-immunoreactivity when consuming shrimp</w:t>
      </w:r>
      <w:r w:rsidRPr="00F91B59">
        <w:rPr>
          <w:rFonts w:ascii="Arial" w:eastAsia="Times New Roman" w:hAnsi="Arial" w:cs="Arial"/>
        </w:rPr>
        <w:t>.</w:t>
      </w:r>
    </w:p>
    <w:p w14:paraId="2B4A3130" w14:textId="69F3F0DE" w:rsidR="00D53AFF" w:rsidRPr="00A258BF" w:rsidRDefault="00D53AFF" w:rsidP="00C229DD">
      <w:pPr>
        <w:spacing w:after="0" w:line="240" w:lineRule="auto"/>
        <w:ind w:firstLine="708"/>
        <w:jc w:val="both"/>
        <w:rPr>
          <w:rFonts w:ascii="Arial" w:eastAsia="Times New Roman" w:hAnsi="Arial" w:cs="Arial"/>
        </w:rPr>
      </w:pPr>
      <w:r w:rsidRPr="00A258BF">
        <w:rPr>
          <w:rFonts w:ascii="Arial" w:eastAsia="Times New Roman" w:hAnsi="Arial" w:cs="Arial"/>
        </w:rPr>
        <w:lastRenderedPageBreak/>
        <w:t xml:space="preserve">Assessing diverse </w:t>
      </w:r>
      <w:r>
        <w:rPr>
          <w:rFonts w:ascii="Arial" w:eastAsia="Times New Roman" w:hAnsi="Arial" w:cs="Arial"/>
        </w:rPr>
        <w:t>path</w:t>
      </w:r>
      <w:r w:rsidRPr="00A258BF">
        <w:rPr>
          <w:rFonts w:ascii="Arial" w:eastAsia="Times New Roman" w:hAnsi="Arial" w:cs="Arial"/>
        </w:rPr>
        <w:t>ways of immunoreactivity and hypersensitivity through tools such as TIAL and TTP against the whole extract of suspected allergens</w:t>
      </w:r>
      <w:r w:rsidR="008D5A42">
        <w:rPr>
          <w:rFonts w:ascii="Arial" w:eastAsia="Times New Roman" w:hAnsi="Arial" w:cs="Arial"/>
        </w:rPr>
        <w:t>, as well as suspected molecular allergens, is a multi-omics approach t</w:t>
      </w:r>
      <w:r w:rsidR="00975B0F">
        <w:rPr>
          <w:rFonts w:ascii="Arial" w:eastAsia="Times New Roman" w:hAnsi="Arial" w:cs="Arial"/>
        </w:rPr>
        <w:t>hat evaluates both diagnosis and treatment effectiveness</w:t>
      </w:r>
      <w:r w:rsidR="008D5A42">
        <w:rPr>
          <w:rFonts w:ascii="Arial" w:eastAsia="Times New Roman" w:hAnsi="Arial" w:cs="Arial"/>
        </w:rPr>
        <w:t xml:space="preserve"> in allergic patients (Hubert et al.,</w:t>
      </w:r>
      <w:r>
        <w:rPr>
          <w:rFonts w:ascii="Arial" w:eastAsia="Times New Roman" w:hAnsi="Arial" w:cs="Arial"/>
          <w:noProof/>
        </w:rPr>
        <w:t xml:space="preserve"> 2023)</w:t>
      </w:r>
      <w:r w:rsidRPr="00A258BF">
        <w:rPr>
          <w:rFonts w:ascii="Arial" w:eastAsia="Times New Roman" w:hAnsi="Arial" w:cs="Arial"/>
        </w:rPr>
        <w:t>.</w:t>
      </w:r>
    </w:p>
    <w:p w14:paraId="584DCD43" w14:textId="77777777" w:rsidR="00D53AFF" w:rsidRPr="00F91B59" w:rsidRDefault="00D53AFF" w:rsidP="00102055">
      <w:pPr>
        <w:spacing w:after="0" w:line="240" w:lineRule="auto"/>
        <w:ind w:firstLine="708"/>
        <w:jc w:val="both"/>
        <w:rPr>
          <w:rFonts w:ascii="Arial" w:eastAsia="Times New Roman" w:hAnsi="Arial" w:cs="Arial"/>
        </w:rPr>
      </w:pPr>
    </w:p>
    <w:p w14:paraId="3BC8607A" w14:textId="77777777" w:rsidR="00D53AFF" w:rsidRPr="008C69ED" w:rsidRDefault="00D53AFF" w:rsidP="00102055">
      <w:pPr>
        <w:spacing w:after="0" w:line="240" w:lineRule="auto"/>
        <w:ind w:firstLine="708"/>
        <w:jc w:val="both"/>
        <w:rPr>
          <w:rFonts w:ascii="Arial" w:eastAsia="Times New Roman" w:hAnsi="Arial" w:cs="Arial"/>
          <w:color w:val="FF0000"/>
        </w:rPr>
      </w:pPr>
    </w:p>
    <w:p w14:paraId="1129F9B2" w14:textId="77777777" w:rsidR="00D53AFF" w:rsidRPr="008C69ED" w:rsidRDefault="00D53AFF" w:rsidP="002863D3">
      <w:pPr>
        <w:spacing w:after="0" w:line="240" w:lineRule="auto"/>
        <w:jc w:val="both"/>
        <w:rPr>
          <w:rFonts w:ascii="Arial" w:eastAsia="Times New Roman" w:hAnsi="Arial" w:cs="Arial"/>
          <w:b/>
          <w:bCs/>
        </w:rPr>
      </w:pPr>
      <w:r w:rsidRPr="008C69ED">
        <w:rPr>
          <w:rFonts w:ascii="Arial" w:eastAsia="Times New Roman" w:hAnsi="Arial" w:cs="Arial"/>
          <w:b/>
          <w:bCs/>
        </w:rPr>
        <w:t>5. LIMITATIONS</w:t>
      </w:r>
    </w:p>
    <w:p w14:paraId="125CDF2F" w14:textId="77777777" w:rsidR="00D53AFF" w:rsidRPr="008C69ED" w:rsidRDefault="00D53AFF" w:rsidP="002863D3">
      <w:pPr>
        <w:spacing w:after="0" w:line="240" w:lineRule="auto"/>
        <w:ind w:firstLine="708"/>
        <w:jc w:val="both"/>
        <w:rPr>
          <w:rFonts w:ascii="Arial" w:eastAsia="Times New Roman" w:hAnsi="Arial" w:cs="Arial"/>
        </w:rPr>
      </w:pPr>
      <w:r w:rsidRPr="008C69ED">
        <w:rPr>
          <w:rFonts w:ascii="Arial" w:eastAsia="Times New Roman" w:hAnsi="Arial" w:cs="Arial"/>
        </w:rPr>
        <w:tab/>
      </w:r>
      <w:r w:rsidRPr="008C69ED">
        <w:rPr>
          <w:rFonts w:ascii="Arial" w:eastAsia="Times New Roman" w:hAnsi="Arial" w:cs="Arial"/>
        </w:rPr>
        <w:tab/>
      </w:r>
    </w:p>
    <w:p w14:paraId="0FEAC66C" w14:textId="1970E138" w:rsidR="00D53AFF" w:rsidRPr="008C69ED" w:rsidRDefault="00D53AFF" w:rsidP="002863D3">
      <w:pPr>
        <w:spacing w:after="0" w:line="240" w:lineRule="auto"/>
        <w:ind w:firstLine="708"/>
        <w:jc w:val="both"/>
        <w:rPr>
          <w:rFonts w:ascii="Arial" w:eastAsia="Times New Roman" w:hAnsi="Arial" w:cs="Arial"/>
        </w:rPr>
      </w:pPr>
      <w:bookmarkStart w:id="4" w:name="_Hlk163286442"/>
      <w:r w:rsidRPr="008C69ED">
        <w:rPr>
          <w:rFonts w:ascii="Arial" w:eastAsia="Times New Roman" w:hAnsi="Arial" w:cs="Arial"/>
        </w:rPr>
        <w:t xml:space="preserve">This study is a retrospective analysis of data collected over </w:t>
      </w:r>
      <w:r w:rsidR="008D5A42">
        <w:rPr>
          <w:rFonts w:ascii="Arial" w:eastAsia="Times New Roman" w:hAnsi="Arial" w:cs="Arial"/>
        </w:rPr>
        <w:t>a seven-year period</w:t>
      </w:r>
      <w:r w:rsidRPr="008C69ED">
        <w:rPr>
          <w:rFonts w:ascii="Arial" w:eastAsia="Times New Roman" w:hAnsi="Arial" w:cs="Arial"/>
        </w:rPr>
        <w:t xml:space="preserve"> since our facility began employing laboratory immune assays. There was no protocol research, and the subject's data was limited to the essentials available on our electronic sheets. Therefore, we </w:t>
      </w:r>
      <w:r w:rsidR="008D5A42">
        <w:rPr>
          <w:rFonts w:ascii="Arial" w:eastAsia="Times New Roman" w:hAnsi="Arial" w:cs="Arial"/>
        </w:rPr>
        <w:t>were unable to establish a cross-comparison between the</w:t>
      </w:r>
      <w:r w:rsidRPr="008C69ED">
        <w:rPr>
          <w:rFonts w:ascii="Arial" w:eastAsia="Times New Roman" w:hAnsi="Arial" w:cs="Arial"/>
        </w:rPr>
        <w:t xml:space="preserve"> positive and negative controls to validate the results. The number of subjects is </w:t>
      </w:r>
      <w:r w:rsidR="008D5A42">
        <w:rPr>
          <w:rFonts w:ascii="Arial" w:eastAsia="Times New Roman" w:hAnsi="Arial" w:cs="Arial"/>
        </w:rPr>
        <w:t>suitable for a preliminary study; however, future studies should</w:t>
      </w:r>
      <w:r w:rsidRPr="008C69ED">
        <w:rPr>
          <w:rFonts w:ascii="Arial" w:eastAsia="Times New Roman" w:hAnsi="Arial" w:cs="Arial"/>
        </w:rPr>
        <w:t xml:space="preserve"> be more comprehensive. The lack of a research protocol implies the possibility of </w:t>
      </w:r>
      <w:r w:rsidR="008D5A42">
        <w:rPr>
          <w:rFonts w:ascii="Arial" w:eastAsia="Times New Roman" w:hAnsi="Arial" w:cs="Arial"/>
        </w:rPr>
        <w:t>bias introduced by the physician's point of view (CEO) based on a clinical suspicion driven sol</w:t>
      </w:r>
      <w:r w:rsidRPr="008C69ED">
        <w:rPr>
          <w:rFonts w:ascii="Arial" w:eastAsia="Times New Roman" w:hAnsi="Arial" w:cs="Arial"/>
        </w:rPr>
        <w:t xml:space="preserve">ely by the anamnesis and physical examination. The study lost many of these patients to follow-up, so </w:t>
      </w:r>
      <w:r w:rsidR="008D5A42">
        <w:rPr>
          <w:rFonts w:ascii="Arial" w:eastAsia="Times New Roman" w:hAnsi="Arial" w:cs="Arial"/>
        </w:rPr>
        <w:t>it is not yet possible to ensure the relationship between the immunoassay results and the patient's clinical outcome</w:t>
      </w:r>
      <w:r w:rsidRPr="008C69ED">
        <w:rPr>
          <w:rFonts w:ascii="Arial" w:eastAsia="Times New Roman" w:hAnsi="Arial" w:cs="Arial"/>
        </w:rPr>
        <w:t xml:space="preserve">. Unfortunately, it was impossible to compare the two procedures </w:t>
      </w:r>
      <w:r w:rsidR="008D5A42">
        <w:rPr>
          <w:rFonts w:ascii="Arial" w:eastAsia="Times New Roman" w:hAnsi="Arial" w:cs="Arial"/>
        </w:rPr>
        <w:t>using paired statistics methodologies because they were derived from two distinct patient group</w:t>
      </w:r>
      <w:r w:rsidRPr="008C69ED">
        <w:rPr>
          <w:rFonts w:ascii="Arial" w:eastAsia="Times New Roman" w:hAnsi="Arial" w:cs="Arial"/>
        </w:rPr>
        <w:t>s.</w:t>
      </w:r>
    </w:p>
    <w:p w14:paraId="3CCAE77D" w14:textId="77777777" w:rsidR="00D53AFF" w:rsidRPr="008C69ED" w:rsidRDefault="00D53AFF" w:rsidP="002863D3">
      <w:pPr>
        <w:spacing w:after="0" w:line="240" w:lineRule="auto"/>
        <w:ind w:firstLine="708"/>
        <w:jc w:val="both"/>
        <w:rPr>
          <w:rFonts w:ascii="Arial" w:eastAsia="Times New Roman" w:hAnsi="Arial" w:cs="Arial"/>
          <w:color w:val="FF0000"/>
        </w:rPr>
      </w:pPr>
    </w:p>
    <w:bookmarkEnd w:id="4"/>
    <w:p w14:paraId="4F1F8079" w14:textId="77777777" w:rsidR="00D53AFF" w:rsidRPr="008C69ED" w:rsidRDefault="00D53AFF" w:rsidP="00646870">
      <w:pPr>
        <w:spacing w:after="0" w:line="240" w:lineRule="auto"/>
        <w:jc w:val="both"/>
        <w:rPr>
          <w:rFonts w:ascii="Arial" w:eastAsia="Times New Roman" w:hAnsi="Arial" w:cs="Arial"/>
          <w:color w:val="FF0000"/>
        </w:rPr>
      </w:pPr>
    </w:p>
    <w:p w14:paraId="0690888A" w14:textId="77777777" w:rsidR="00D53AFF" w:rsidRPr="00F91B59" w:rsidRDefault="00D53AFF" w:rsidP="00646870">
      <w:pPr>
        <w:pStyle w:val="Heading2"/>
        <w:rPr>
          <w:rFonts w:eastAsia="Times New Roman" w:cs="Arial"/>
          <w:szCs w:val="22"/>
        </w:rPr>
      </w:pPr>
      <w:r w:rsidRPr="00F91B59">
        <w:rPr>
          <w:rFonts w:eastAsia="Times New Roman" w:cs="Arial"/>
          <w:szCs w:val="22"/>
        </w:rPr>
        <w:t>6. CONCLUSION</w:t>
      </w:r>
    </w:p>
    <w:p w14:paraId="71D2BCCB" w14:textId="77777777" w:rsidR="00D53AFF" w:rsidRPr="00F91B59" w:rsidRDefault="00D53AFF" w:rsidP="00646870">
      <w:pPr>
        <w:keepNext/>
        <w:spacing w:after="0" w:line="240" w:lineRule="auto"/>
        <w:jc w:val="both"/>
        <w:rPr>
          <w:rFonts w:ascii="Arial" w:eastAsia="Times New Roman" w:hAnsi="Arial" w:cs="Arial"/>
          <w:b/>
          <w:caps/>
        </w:rPr>
      </w:pPr>
    </w:p>
    <w:p w14:paraId="3CA1AD75" w14:textId="6184A8DA" w:rsidR="00D53AFF" w:rsidRPr="00F91B59" w:rsidRDefault="00D53AFF" w:rsidP="00794B03">
      <w:pPr>
        <w:spacing w:after="0" w:line="240" w:lineRule="auto"/>
        <w:ind w:firstLine="708"/>
        <w:jc w:val="both"/>
        <w:rPr>
          <w:rFonts w:ascii="Arial" w:eastAsia="Times New Roman" w:hAnsi="Arial" w:cs="Arial"/>
        </w:rPr>
      </w:pPr>
      <w:r w:rsidRPr="00F91B59">
        <w:rPr>
          <w:rFonts w:ascii="Arial" w:eastAsia="Calibri" w:hAnsi="Arial" w:cs="Arial"/>
          <w:bCs/>
        </w:rPr>
        <w:t xml:space="preserve">Our preliminary results </w:t>
      </w:r>
      <w:r w:rsidR="00975B0F">
        <w:rPr>
          <w:rFonts w:ascii="Arial" w:eastAsia="Calibri" w:hAnsi="Arial" w:cs="Arial"/>
          <w:bCs/>
        </w:rPr>
        <w:t>suggest that the LAIT and TTP may distinguish between varying</w:t>
      </w:r>
      <w:r w:rsidR="008D5A42">
        <w:rPr>
          <w:rFonts w:ascii="Arial" w:eastAsia="Calibri" w:hAnsi="Arial" w:cs="Arial"/>
          <w:bCs/>
        </w:rPr>
        <w:t xml:space="preserve"> degrees of immunoreactivity against </w:t>
      </w:r>
      <w:proofErr w:type="spellStart"/>
      <w:r w:rsidR="008D5A42" w:rsidRPr="001261AF">
        <w:rPr>
          <w:rFonts w:ascii="Arial" w:eastAsia="Calibri" w:hAnsi="Arial" w:cs="Arial"/>
          <w:bCs/>
          <w:i/>
          <w:iCs/>
        </w:rPr>
        <w:t>Blomia</w:t>
      </w:r>
      <w:proofErr w:type="spellEnd"/>
      <w:r w:rsidR="008D5A42" w:rsidRPr="001261AF">
        <w:rPr>
          <w:rFonts w:ascii="Arial" w:eastAsia="Calibri" w:hAnsi="Arial" w:cs="Arial"/>
          <w:bCs/>
          <w:i/>
          <w:iCs/>
        </w:rPr>
        <w:t xml:space="preserve"> tropicalis</w:t>
      </w:r>
      <w:r w:rsidR="008D5A42">
        <w:rPr>
          <w:rFonts w:ascii="Arial" w:eastAsia="Calibri" w:hAnsi="Arial" w:cs="Arial"/>
          <w:bCs/>
        </w:rPr>
        <w:t xml:space="preserve"> and </w:t>
      </w:r>
      <w:proofErr w:type="spellStart"/>
      <w:r w:rsidR="008D5A42" w:rsidRPr="001261AF">
        <w:rPr>
          <w:rFonts w:ascii="Arial" w:eastAsia="Calibri" w:hAnsi="Arial" w:cs="Arial"/>
          <w:bCs/>
          <w:i/>
          <w:iCs/>
        </w:rPr>
        <w:t>Farfantepenaeus</w:t>
      </w:r>
      <w:proofErr w:type="spellEnd"/>
      <w:r w:rsidR="008D5A42" w:rsidRPr="001261AF">
        <w:rPr>
          <w:rFonts w:ascii="Arial" w:eastAsia="Calibri" w:hAnsi="Arial" w:cs="Arial"/>
          <w:bCs/>
          <w:i/>
          <w:iCs/>
        </w:rPr>
        <w:t xml:space="preserve"> </w:t>
      </w:r>
      <w:proofErr w:type="spellStart"/>
      <w:r w:rsidR="008D5A42" w:rsidRPr="001261AF">
        <w:rPr>
          <w:rFonts w:ascii="Arial" w:eastAsia="Calibri" w:hAnsi="Arial" w:cs="Arial"/>
          <w:bCs/>
          <w:i/>
          <w:iCs/>
        </w:rPr>
        <w:t>brasiliensis</w:t>
      </w:r>
      <w:proofErr w:type="spellEnd"/>
      <w:r w:rsidR="008D5A42" w:rsidRPr="001261AF">
        <w:rPr>
          <w:rFonts w:ascii="Arial" w:eastAsia="Calibri" w:hAnsi="Arial" w:cs="Arial"/>
          <w:bCs/>
          <w:i/>
          <w:iCs/>
        </w:rPr>
        <w:t xml:space="preserve"> </w:t>
      </w:r>
      <w:r w:rsidR="008D5A42">
        <w:rPr>
          <w:rFonts w:ascii="Arial" w:eastAsia="Calibri" w:hAnsi="Arial" w:cs="Arial"/>
          <w:bCs/>
        </w:rPr>
        <w:t>extracts in patients clinically diagnosed with non–</w:t>
      </w:r>
      <w:proofErr w:type="spellStart"/>
      <w:r w:rsidR="008D5A42">
        <w:rPr>
          <w:rFonts w:ascii="Arial" w:eastAsia="Calibri" w:hAnsi="Arial" w:cs="Arial"/>
          <w:bCs/>
        </w:rPr>
        <w:t>IgE</w:t>
      </w:r>
      <w:proofErr w:type="spellEnd"/>
      <w:r w:rsidR="008D5A42">
        <w:rPr>
          <w:rFonts w:ascii="Arial" w:eastAsia="Calibri" w:hAnsi="Arial" w:cs="Arial"/>
          <w:bCs/>
        </w:rPr>
        <w:t>–</w:t>
      </w:r>
      <w:r w:rsidRPr="00F91B59">
        <w:rPr>
          <w:rFonts w:ascii="Arial" w:eastAsia="Times New Roman" w:hAnsi="Arial" w:cs="Arial"/>
        </w:rPr>
        <w:t>mediated Allergic</w:t>
      </w:r>
      <w:r w:rsidRPr="00F91B59">
        <w:rPr>
          <w:rFonts w:ascii="Arial" w:eastAsia="Calibri" w:hAnsi="Arial" w:cs="Arial"/>
          <w:bCs/>
        </w:rPr>
        <w:t xml:space="preserve"> Multimorbidity. </w:t>
      </w:r>
      <w:r>
        <w:rPr>
          <w:rFonts w:ascii="Arial" w:eastAsia="Calibri" w:hAnsi="Arial" w:cs="Arial"/>
          <w:bCs/>
        </w:rPr>
        <w:t xml:space="preserve">Despite requiring trained personnel </w:t>
      </w:r>
      <w:r w:rsidR="008D5A42">
        <w:rPr>
          <w:rFonts w:ascii="Arial" w:eastAsia="Calibri" w:hAnsi="Arial" w:cs="Arial"/>
          <w:bCs/>
        </w:rPr>
        <w:t>for execution, LAIT and TTP are inexpensive, can be performed with minimal laboratory equipment, and can be incorporated into strategies to address health disparities in diagnosing respiratory and food allergies (Anagnostou et al.,</w:t>
      </w:r>
      <w:r>
        <w:rPr>
          <w:rFonts w:ascii="Arial" w:eastAsia="Calibri" w:hAnsi="Arial" w:cs="Arial"/>
          <w:bCs/>
          <w:noProof/>
        </w:rPr>
        <w:t xml:space="preserve"> 2025)</w:t>
      </w:r>
      <w:r w:rsidRPr="00F91B59">
        <w:rPr>
          <w:rFonts w:ascii="Arial" w:eastAsia="Calibri" w:hAnsi="Arial" w:cs="Arial"/>
          <w:bCs/>
        </w:rPr>
        <w:t xml:space="preserve">. </w:t>
      </w:r>
      <w:r w:rsidRPr="00F91B59">
        <w:rPr>
          <w:rFonts w:ascii="Arial" w:eastAsia="Times New Roman" w:hAnsi="Arial" w:cs="Arial"/>
        </w:rPr>
        <w:t xml:space="preserve">As a preliminary report, the propaedeutic </w:t>
      </w:r>
      <w:r w:rsidR="00975B0F">
        <w:rPr>
          <w:rFonts w:ascii="Arial" w:eastAsia="Times New Roman" w:hAnsi="Arial" w:cs="Arial"/>
        </w:rPr>
        <w:t>significance of the presented results and the potential</w:t>
      </w:r>
      <w:r w:rsidRPr="00F91B59">
        <w:rPr>
          <w:rFonts w:ascii="Arial" w:eastAsia="Times New Roman" w:hAnsi="Arial" w:cs="Arial"/>
        </w:rPr>
        <w:t xml:space="preserve"> interfer</w:t>
      </w:r>
      <w:r w:rsidR="008D5A42">
        <w:rPr>
          <w:rFonts w:ascii="Arial" w:eastAsia="Times New Roman" w:hAnsi="Arial" w:cs="Arial"/>
        </w:rPr>
        <w:t>ing factors must be established (Anouar, Hazim,</w:t>
      </w:r>
      <w:r>
        <w:rPr>
          <w:rFonts w:ascii="Arial" w:eastAsia="Times New Roman" w:hAnsi="Arial" w:cs="Arial"/>
          <w:noProof/>
        </w:rPr>
        <w:t xml:space="preserve"> and Brahim 2024)</w:t>
      </w:r>
      <w:r w:rsidRPr="00F91B59">
        <w:rPr>
          <w:rFonts w:ascii="Arial" w:eastAsia="Times New Roman" w:hAnsi="Arial" w:cs="Arial"/>
        </w:rPr>
        <w:t xml:space="preserve">. More studies focused on the quality-by-design approach with </w:t>
      </w:r>
      <w:r w:rsidR="008D5A42">
        <w:rPr>
          <w:rFonts w:ascii="Arial" w:eastAsia="Times New Roman" w:hAnsi="Arial" w:cs="Arial"/>
        </w:rPr>
        <w:t xml:space="preserve">larger, prospective, double-blind cohorts are needed to evaluate the potential contribution of LAIT and TTP for </w:t>
      </w:r>
      <w:proofErr w:type="spellStart"/>
      <w:r w:rsidR="008D5A42">
        <w:rPr>
          <w:rFonts w:ascii="Arial" w:eastAsia="Times New Roman" w:hAnsi="Arial" w:cs="Arial"/>
        </w:rPr>
        <w:t>endotyping</w:t>
      </w:r>
      <w:proofErr w:type="spellEnd"/>
      <w:r w:rsidR="008D5A42">
        <w:rPr>
          <w:rFonts w:ascii="Arial" w:eastAsia="Times New Roman" w:hAnsi="Arial" w:cs="Arial"/>
        </w:rPr>
        <w:t xml:space="preserve"> cellular and humoral immunoreactivity in patients suspected of hypersensitivity to aeroallergens and food allergens (</w:t>
      </w:r>
      <w:proofErr w:type="spellStart"/>
      <w:r w:rsidR="008D5A42">
        <w:rPr>
          <w:rFonts w:ascii="Arial" w:eastAsia="Times New Roman" w:hAnsi="Arial" w:cs="Arial"/>
        </w:rPr>
        <w:t>Chiarentin</w:t>
      </w:r>
      <w:proofErr w:type="spellEnd"/>
      <w:r w:rsidR="008D5A42">
        <w:rPr>
          <w:rFonts w:ascii="Arial" w:eastAsia="Times New Roman" w:hAnsi="Arial" w:cs="Arial"/>
        </w:rPr>
        <w:t xml:space="preserve"> et al.,</w:t>
      </w:r>
      <w:r>
        <w:rPr>
          <w:rFonts w:ascii="Arial" w:eastAsia="Times New Roman" w:hAnsi="Arial" w:cs="Arial"/>
          <w:noProof/>
        </w:rPr>
        <w:t xml:space="preserve"> 2023)</w:t>
      </w:r>
      <w:r w:rsidRPr="00F91B59">
        <w:rPr>
          <w:rFonts w:ascii="Arial" w:eastAsia="Times New Roman" w:hAnsi="Arial" w:cs="Arial"/>
        </w:rPr>
        <w:t>.</w:t>
      </w:r>
    </w:p>
    <w:p w14:paraId="21884922" w14:textId="77777777" w:rsidR="00D53AFF" w:rsidRPr="008C69ED" w:rsidRDefault="00D53AFF" w:rsidP="003500B1">
      <w:pPr>
        <w:tabs>
          <w:tab w:val="left" w:pos="3794"/>
        </w:tabs>
        <w:spacing w:after="0" w:line="240" w:lineRule="auto"/>
        <w:ind w:firstLine="708"/>
        <w:jc w:val="both"/>
        <w:rPr>
          <w:rFonts w:ascii="Arial" w:eastAsia="Times New Roman" w:hAnsi="Arial" w:cs="Arial"/>
          <w:color w:val="FF0000"/>
        </w:rPr>
      </w:pPr>
      <w:r w:rsidRPr="008C69ED">
        <w:rPr>
          <w:rFonts w:ascii="Arial" w:eastAsia="Times New Roman" w:hAnsi="Arial" w:cs="Arial"/>
          <w:color w:val="FF0000"/>
        </w:rPr>
        <w:tab/>
      </w:r>
    </w:p>
    <w:p w14:paraId="046A58D9" w14:textId="77777777" w:rsidR="00D53AFF" w:rsidRPr="008C69ED" w:rsidRDefault="00D53AFF" w:rsidP="008E79BC">
      <w:pPr>
        <w:spacing w:after="0" w:line="240" w:lineRule="auto"/>
        <w:ind w:firstLine="708"/>
        <w:jc w:val="both"/>
        <w:rPr>
          <w:rFonts w:ascii="Arial" w:eastAsia="Times New Roman" w:hAnsi="Arial" w:cs="Arial"/>
          <w:color w:val="FF0000"/>
        </w:rPr>
      </w:pPr>
      <w:r w:rsidRPr="008C69ED">
        <w:rPr>
          <w:rFonts w:ascii="Arial" w:eastAsia="Times New Roman" w:hAnsi="Arial" w:cs="Arial"/>
          <w:color w:val="FF0000"/>
        </w:rPr>
        <w:tab/>
      </w:r>
    </w:p>
    <w:p w14:paraId="7EDF38D9" w14:textId="77777777" w:rsidR="00D53AFF" w:rsidRPr="00F91B59" w:rsidRDefault="00D53AFF" w:rsidP="008E79BC">
      <w:pPr>
        <w:rPr>
          <w:rFonts w:ascii="Arial" w:eastAsia="Times New Roman" w:hAnsi="Arial" w:cs="Arial"/>
          <w:b/>
          <w:bCs/>
        </w:rPr>
      </w:pPr>
      <w:bookmarkStart w:id="5" w:name="_Hlk182027939"/>
      <w:r w:rsidRPr="00F91B59">
        <w:rPr>
          <w:rFonts w:ascii="Arial" w:eastAsia="Times New Roman" w:hAnsi="Arial" w:cs="Arial"/>
          <w:b/>
          <w:bCs/>
        </w:rPr>
        <w:t>7. FUTURE DIRECTIONS AND RECOMMENDATIONS FOR CLINICAL PRACTICE</w:t>
      </w:r>
    </w:p>
    <w:p w14:paraId="5494C9A1" w14:textId="2EE5A79F" w:rsidR="00D53AFF" w:rsidRPr="00F91B59" w:rsidRDefault="00D53AFF" w:rsidP="00214F60">
      <w:pPr>
        <w:spacing w:after="0" w:line="240" w:lineRule="auto"/>
        <w:ind w:firstLine="708"/>
        <w:jc w:val="both"/>
        <w:rPr>
          <w:rFonts w:ascii="Arial" w:eastAsia="Times New Roman" w:hAnsi="Arial" w:cs="Arial"/>
        </w:rPr>
      </w:pPr>
      <w:r w:rsidRPr="00F91B59">
        <w:rPr>
          <w:rFonts w:ascii="Arial" w:eastAsia="Times New Roman" w:hAnsi="Arial" w:cs="Arial"/>
        </w:rPr>
        <w:t xml:space="preserve">The primary intended use of </w:t>
      </w:r>
      <w:r w:rsidRPr="00F91B59">
        <w:rPr>
          <w:rFonts w:ascii="Arial" w:eastAsia="Times New Roman" w:hAnsi="Arial" w:cs="Arial"/>
          <w:i/>
          <w:iCs/>
        </w:rPr>
        <w:t>in vitro</w:t>
      </w:r>
      <w:r w:rsidRPr="00F91B59">
        <w:rPr>
          <w:rFonts w:ascii="Arial" w:eastAsia="Times New Roman" w:hAnsi="Arial" w:cs="Arial"/>
        </w:rPr>
        <w:t xml:space="preserve"> or </w:t>
      </w:r>
      <w:r w:rsidRPr="00F91B59">
        <w:rPr>
          <w:rFonts w:ascii="Arial" w:eastAsia="Times New Roman" w:hAnsi="Arial" w:cs="Arial"/>
          <w:i/>
          <w:iCs/>
        </w:rPr>
        <w:t>ex vivo</w:t>
      </w:r>
      <w:r w:rsidRPr="00F91B59">
        <w:rPr>
          <w:rFonts w:ascii="Arial" w:eastAsia="Times New Roman" w:hAnsi="Arial" w:cs="Arial"/>
        </w:rPr>
        <w:t xml:space="preserve"> allergen challenge tests is to spare </w:t>
      </w:r>
      <w:r w:rsidR="008D5A42">
        <w:rPr>
          <w:rFonts w:ascii="Arial" w:eastAsia="Times New Roman" w:hAnsi="Arial" w:cs="Arial"/>
        </w:rPr>
        <w:t>patients from undergoing unnecessary, exhaustive, and potentially</w:t>
      </w:r>
      <w:r w:rsidRPr="00F91B59">
        <w:rPr>
          <w:rFonts w:ascii="Arial" w:eastAsia="Times New Roman" w:hAnsi="Arial" w:cs="Arial"/>
        </w:rPr>
        <w:t xml:space="preserve"> dangerous </w:t>
      </w:r>
      <w:r w:rsidRPr="00F91B59">
        <w:rPr>
          <w:rFonts w:ascii="Arial" w:eastAsia="Times New Roman" w:hAnsi="Arial" w:cs="Arial"/>
          <w:i/>
          <w:iCs/>
        </w:rPr>
        <w:t>in vivo</w:t>
      </w:r>
      <w:r w:rsidRPr="00F91B59">
        <w:rPr>
          <w:rFonts w:ascii="Arial" w:eastAsia="Times New Roman" w:hAnsi="Arial" w:cs="Arial"/>
        </w:rPr>
        <w:t xml:space="preserve"> challenge tests. Exploring the humoral and the cellular arms of immune systems, the TTP and LAIT alone or combined may represent, in the near future, a tool for allergists to construct an etiologic diagnosis from their patients, as well as determine the endotypes (mechanisms) of hypersensitivity, in order to choose more convenient and personalized therapies for them. Adding data provided by TTP and LAIT may also contribute to streamlining biomedical research and improving tools</w:t>
      </w:r>
      <w:r w:rsidR="008D5A42">
        <w:rPr>
          <w:rFonts w:ascii="Arial" w:eastAsia="Times New Roman" w:hAnsi="Arial" w:cs="Arial"/>
        </w:rPr>
        <w:t>, such as large language models, which clinicians often use as a decision support system to enhance diagnostic accuracy (Abers and Mathias,</w:t>
      </w:r>
      <w:r>
        <w:rPr>
          <w:rFonts w:ascii="Arial" w:eastAsia="Times New Roman" w:hAnsi="Arial" w:cs="Arial"/>
          <w:noProof/>
        </w:rPr>
        <w:t xml:space="preserve"> 2025)</w:t>
      </w:r>
      <w:r w:rsidRPr="00F91B59">
        <w:rPr>
          <w:rFonts w:ascii="Arial" w:eastAsia="Times New Roman" w:hAnsi="Arial" w:cs="Arial"/>
        </w:rPr>
        <w:t>.</w:t>
      </w:r>
    </w:p>
    <w:p w14:paraId="6B07F56F" w14:textId="77777777" w:rsidR="00D53AFF" w:rsidRPr="00F91B59" w:rsidRDefault="00D53AFF" w:rsidP="008E79BC">
      <w:pPr>
        <w:spacing w:after="0" w:line="240" w:lineRule="auto"/>
        <w:ind w:firstLine="708"/>
        <w:jc w:val="both"/>
        <w:rPr>
          <w:rFonts w:ascii="Arial" w:eastAsia="Times New Roman" w:hAnsi="Arial" w:cs="Arial"/>
        </w:rPr>
      </w:pPr>
    </w:p>
    <w:p w14:paraId="2B5F9C43" w14:textId="77777777" w:rsidR="00D53AFF" w:rsidRPr="00F91B59" w:rsidRDefault="00D53AFF" w:rsidP="008E79BC">
      <w:pPr>
        <w:spacing w:after="0" w:line="240" w:lineRule="auto"/>
        <w:ind w:firstLine="708"/>
        <w:jc w:val="both"/>
        <w:rPr>
          <w:rFonts w:ascii="Arial" w:eastAsia="Times New Roman" w:hAnsi="Arial" w:cs="Arial"/>
        </w:rPr>
      </w:pPr>
    </w:p>
    <w:p w14:paraId="0DFA706A" w14:textId="77777777" w:rsidR="00D53AFF" w:rsidRPr="008C69ED" w:rsidRDefault="00D53AFF" w:rsidP="008E79BC">
      <w:pPr>
        <w:pStyle w:val="Heading2"/>
        <w:rPr>
          <w:rFonts w:eastAsia="Times New Roman" w:cs="Arial"/>
          <w:szCs w:val="22"/>
        </w:rPr>
      </w:pPr>
      <w:r w:rsidRPr="008C69ED">
        <w:rPr>
          <w:rFonts w:eastAsia="Times New Roman" w:cs="Arial"/>
          <w:szCs w:val="22"/>
        </w:rPr>
        <w:t>CONSENT</w:t>
      </w:r>
    </w:p>
    <w:p w14:paraId="5BB73D37" w14:textId="77777777" w:rsidR="00D53AFF" w:rsidRPr="008C69ED" w:rsidRDefault="00D53AFF" w:rsidP="008E79BC">
      <w:pPr>
        <w:spacing w:after="0" w:line="240" w:lineRule="auto"/>
        <w:rPr>
          <w:rFonts w:ascii="Arial" w:hAnsi="Arial" w:cs="Arial"/>
        </w:rPr>
      </w:pPr>
    </w:p>
    <w:p w14:paraId="1FB4555A" w14:textId="625A8781" w:rsidR="00D53AFF" w:rsidRPr="00975B0F" w:rsidRDefault="00D53AFF" w:rsidP="008E79BC">
      <w:pPr>
        <w:spacing w:after="0" w:line="240" w:lineRule="auto"/>
        <w:rPr>
          <w:rFonts w:ascii="Arial" w:hAnsi="Arial" w:cs="Arial"/>
        </w:rPr>
      </w:pPr>
      <w:r w:rsidRPr="00975B0F">
        <w:rPr>
          <w:rFonts w:ascii="Arial" w:hAnsi="Arial" w:cs="Arial"/>
        </w:rPr>
        <w:lastRenderedPageBreak/>
        <w:t xml:space="preserve">As a retrospective survey of results recorded </w:t>
      </w:r>
      <w:r w:rsidRPr="001261AF">
        <w:rPr>
          <w:rFonts w:ascii="Arial" w:hAnsi="Arial" w:cs="Arial"/>
          <w:i/>
          <w:iCs/>
        </w:rPr>
        <w:t xml:space="preserve">in </w:t>
      </w:r>
      <w:proofErr w:type="spellStart"/>
      <w:r w:rsidR="001261AF" w:rsidRPr="001261AF">
        <w:rPr>
          <w:rFonts w:ascii="Arial" w:hAnsi="Arial" w:cs="Arial"/>
          <w:i/>
          <w:iCs/>
        </w:rPr>
        <w:t>c</w:t>
      </w:r>
      <w:r w:rsidR="008D5A42" w:rsidRPr="001261AF">
        <w:rPr>
          <w:rFonts w:ascii="Arial" w:hAnsi="Arial" w:cs="Arial"/>
          <w:i/>
          <w:iCs/>
        </w:rPr>
        <w:t>ognito</w:t>
      </w:r>
      <w:proofErr w:type="spellEnd"/>
      <w:r w:rsidR="008D5A42" w:rsidRPr="00975B0F">
        <w:rPr>
          <w:rFonts w:ascii="Arial" w:hAnsi="Arial" w:cs="Arial"/>
        </w:rPr>
        <w:t xml:space="preserve">, consent was </w:t>
      </w:r>
      <w:r w:rsidR="00975B0F" w:rsidRPr="00975B0F">
        <w:rPr>
          <w:rFonts w:ascii="Arial" w:hAnsi="Arial" w:cs="Arial"/>
        </w:rPr>
        <w:t>obtained collectively by the institution's ethics committee, following the principles outlined in</w:t>
      </w:r>
      <w:r w:rsidR="008D5A42" w:rsidRPr="00975B0F">
        <w:rPr>
          <w:rFonts w:ascii="Arial" w:hAnsi="Arial" w:cs="Arial"/>
        </w:rPr>
        <w:t xml:space="preserve"> the Declaration of Helsinki (W</w:t>
      </w:r>
      <w:r w:rsidR="00975B0F">
        <w:rPr>
          <w:rFonts w:ascii="Arial" w:hAnsi="Arial" w:cs="Arial"/>
        </w:rPr>
        <w:t>orld Medical Association,</w:t>
      </w:r>
      <w:r w:rsidRPr="00975B0F">
        <w:rPr>
          <w:rFonts w:ascii="Arial" w:hAnsi="Arial" w:cs="Arial"/>
          <w:noProof/>
        </w:rPr>
        <w:t xml:space="preserve"> 2013)</w:t>
      </w:r>
      <w:r w:rsidRPr="00975B0F">
        <w:rPr>
          <w:rFonts w:ascii="Arial" w:hAnsi="Arial" w:cs="Arial"/>
        </w:rPr>
        <w:t>.</w:t>
      </w:r>
    </w:p>
    <w:p w14:paraId="643B2686" w14:textId="77777777" w:rsidR="00D53AFF" w:rsidRPr="008C69ED" w:rsidRDefault="00D53AFF" w:rsidP="008E79BC">
      <w:pPr>
        <w:spacing w:after="0" w:line="240" w:lineRule="auto"/>
        <w:rPr>
          <w:rFonts w:ascii="Arial" w:hAnsi="Arial" w:cs="Arial"/>
          <w:color w:val="FF0000"/>
        </w:rPr>
      </w:pPr>
    </w:p>
    <w:p w14:paraId="4C41D1CC" w14:textId="77777777" w:rsidR="00D53AFF" w:rsidRPr="008C69ED" w:rsidRDefault="00D53AFF" w:rsidP="008E79BC">
      <w:pPr>
        <w:pStyle w:val="Heading2"/>
        <w:rPr>
          <w:rFonts w:cs="Arial"/>
          <w:szCs w:val="22"/>
        </w:rPr>
      </w:pPr>
      <w:r w:rsidRPr="008C69ED">
        <w:rPr>
          <w:rFonts w:cs="Arial"/>
          <w:szCs w:val="22"/>
        </w:rPr>
        <w:t>ETHICAL APPROVALS</w:t>
      </w:r>
    </w:p>
    <w:p w14:paraId="141A6743" w14:textId="77777777" w:rsidR="00D53AFF" w:rsidRPr="008C69ED" w:rsidRDefault="00D53AFF" w:rsidP="008E79BC">
      <w:pPr>
        <w:keepNext/>
        <w:keepLines/>
        <w:spacing w:after="0" w:line="240" w:lineRule="auto"/>
        <w:jc w:val="both"/>
        <w:outlineLvl w:val="0"/>
        <w:rPr>
          <w:rFonts w:ascii="Arial" w:eastAsiaTheme="majorEastAsia" w:hAnsi="Arial" w:cs="Arial"/>
          <w:b/>
          <w:bCs/>
        </w:rPr>
      </w:pPr>
    </w:p>
    <w:p w14:paraId="53F83B3F" w14:textId="45020330" w:rsidR="00D53AFF" w:rsidRPr="008C69ED" w:rsidRDefault="00D53AFF" w:rsidP="008E79BC">
      <w:pPr>
        <w:spacing w:after="0" w:line="240" w:lineRule="auto"/>
        <w:jc w:val="both"/>
        <w:rPr>
          <w:rFonts w:ascii="Arial" w:eastAsia="Times New Roman" w:hAnsi="Arial" w:cs="Arial"/>
        </w:rPr>
      </w:pPr>
      <w:r w:rsidRPr="008C69ED">
        <w:rPr>
          <w:rFonts w:ascii="Arial" w:eastAsia="Times New Roman" w:hAnsi="Arial" w:cs="Arial"/>
        </w:rPr>
        <w:t xml:space="preserve">The authors have </w:t>
      </w:r>
      <w:r w:rsidR="008D5A42">
        <w:rPr>
          <w:rFonts w:ascii="Arial" w:eastAsia="Times New Roman" w:hAnsi="Arial" w:cs="Arial"/>
        </w:rPr>
        <w:t>obtained and documented written ethical approval following</w:t>
      </w:r>
      <w:r w:rsidRPr="008C69ED">
        <w:rPr>
          <w:rFonts w:ascii="Arial" w:eastAsia="Times New Roman" w:hAnsi="Arial" w:cs="Arial"/>
        </w:rPr>
        <w:t xml:space="preserve"> international standards.</w:t>
      </w:r>
    </w:p>
    <w:p w14:paraId="7505CBC8" w14:textId="77777777" w:rsidR="00D53AFF" w:rsidRPr="008C69ED" w:rsidRDefault="00D53AFF" w:rsidP="008E79BC">
      <w:pPr>
        <w:spacing w:after="0" w:line="240" w:lineRule="auto"/>
        <w:jc w:val="both"/>
        <w:rPr>
          <w:rFonts w:ascii="Arial" w:eastAsia="Times New Roman" w:hAnsi="Arial" w:cs="Arial"/>
          <w:color w:val="FF0000"/>
        </w:rPr>
      </w:pPr>
    </w:p>
    <w:p w14:paraId="1C524E35" w14:textId="77777777" w:rsidR="00D53AFF" w:rsidRPr="008C69ED" w:rsidRDefault="00D53AFF" w:rsidP="008E79BC">
      <w:pPr>
        <w:spacing w:after="0" w:line="240" w:lineRule="auto"/>
        <w:jc w:val="both"/>
        <w:rPr>
          <w:rFonts w:ascii="Arial" w:eastAsia="Times New Roman" w:hAnsi="Arial" w:cs="Arial"/>
        </w:rPr>
      </w:pPr>
    </w:p>
    <w:p w14:paraId="1C8F06CC" w14:textId="77777777" w:rsidR="00D53AFF" w:rsidRPr="008C69ED" w:rsidRDefault="00D53AFF" w:rsidP="008E79BC">
      <w:pPr>
        <w:rPr>
          <w:rFonts w:ascii="Arial" w:eastAsia="Calibri" w:hAnsi="Arial" w:cs="Arial"/>
          <w:b/>
          <w:bCs/>
          <w:kern w:val="2"/>
          <w14:ligatures w14:val="standardContextual"/>
        </w:rPr>
      </w:pPr>
      <w:r w:rsidRPr="008C69ED">
        <w:rPr>
          <w:rFonts w:ascii="Arial" w:eastAsia="Calibri" w:hAnsi="Arial" w:cs="Arial"/>
          <w:b/>
          <w:bCs/>
          <w:kern w:val="2"/>
          <w14:ligatures w14:val="standardContextual"/>
        </w:rPr>
        <w:t>Disclaimer (artificial intelligence)</w:t>
      </w:r>
    </w:p>
    <w:p w14:paraId="360474C9" w14:textId="77777777" w:rsidR="00D53AFF" w:rsidRPr="008C69ED" w:rsidRDefault="00D53AFF" w:rsidP="008E79BC">
      <w:pPr>
        <w:jc w:val="both"/>
        <w:rPr>
          <w:rFonts w:ascii="Arial" w:eastAsia="Calibri" w:hAnsi="Arial" w:cs="Arial"/>
          <w:kern w:val="2"/>
          <w14:ligatures w14:val="standardContextual"/>
        </w:rPr>
      </w:pPr>
      <w:r w:rsidRPr="008C69ED">
        <w:rPr>
          <w:rFonts w:ascii="Arial" w:eastAsia="Calibri" w:hAnsi="Arial" w:cs="Arial"/>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bookmarkEnd w:id="5"/>
    <w:p w14:paraId="5E5DB0D3" w14:textId="77777777" w:rsidR="00D53AFF" w:rsidRDefault="00D53AFF" w:rsidP="00B45921">
      <w:pPr>
        <w:spacing w:after="0" w:line="240" w:lineRule="auto"/>
        <w:jc w:val="both"/>
        <w:rPr>
          <w:rFonts w:ascii="Arial" w:eastAsia="Times New Roman" w:hAnsi="Arial" w:cs="Arial"/>
          <w:color w:val="FF0000"/>
        </w:rPr>
      </w:pPr>
    </w:p>
    <w:p w14:paraId="2CA1CFC5" w14:textId="77777777" w:rsidR="00722FDB" w:rsidRDefault="00722FDB" w:rsidP="00B45921">
      <w:pPr>
        <w:spacing w:after="0" w:line="240" w:lineRule="auto"/>
        <w:jc w:val="both"/>
        <w:rPr>
          <w:rFonts w:ascii="Arial" w:eastAsia="Times New Roman" w:hAnsi="Arial" w:cs="Arial"/>
          <w:color w:val="FF0000"/>
        </w:rPr>
      </w:pPr>
    </w:p>
    <w:p w14:paraId="40390D60" w14:textId="77777777" w:rsidR="00722FDB" w:rsidRPr="00722FDB" w:rsidRDefault="00722FDB" w:rsidP="00722FDB">
      <w:pPr>
        <w:jc w:val="both"/>
        <w:outlineLvl w:val="0"/>
        <w:rPr>
          <w:rFonts w:ascii="Arial" w:eastAsia="Times New Roman" w:hAnsi="Arial" w:cs="Arial"/>
          <w:lang w:val="en-GB" w:eastAsia="en-GB"/>
        </w:rPr>
      </w:pPr>
      <w:r w:rsidRPr="00722FDB">
        <w:rPr>
          <w:rFonts w:ascii="Arial" w:eastAsia="Times New Roman" w:hAnsi="Arial" w:cs="Arial"/>
          <w:b/>
          <w:bCs/>
          <w:lang w:val="en-GB" w:eastAsia="en-GB"/>
        </w:rPr>
        <w:t>COMPETING INTERESTS DISCLAIMER:</w:t>
      </w:r>
    </w:p>
    <w:p w14:paraId="67C2E24E" w14:textId="77777777" w:rsidR="00722FDB" w:rsidRPr="00722FDB" w:rsidRDefault="00722FDB" w:rsidP="00722FDB">
      <w:pPr>
        <w:rPr>
          <w:rFonts w:ascii="Calibri" w:eastAsia="Times New Roman" w:hAnsi="Calibri" w:cs="Times New Roman"/>
          <w:lang w:val="en-GB" w:eastAsia="en-GB"/>
        </w:rPr>
      </w:pPr>
      <w:r w:rsidRPr="00722FDB">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64011118" w14:textId="77777777" w:rsidR="00722FDB" w:rsidRPr="008C69ED" w:rsidRDefault="00722FDB" w:rsidP="00B45921">
      <w:pPr>
        <w:spacing w:after="0" w:line="240" w:lineRule="auto"/>
        <w:jc w:val="both"/>
        <w:rPr>
          <w:rFonts w:ascii="Arial" w:eastAsia="Times New Roman" w:hAnsi="Arial" w:cs="Arial"/>
          <w:color w:val="FF0000"/>
        </w:rPr>
        <w:sectPr w:rsidR="00722FDB" w:rsidRPr="008C69ED" w:rsidSect="00D53AFF">
          <w:headerReference w:type="even" r:id="rId19"/>
          <w:headerReference w:type="default" r:id="rId20"/>
          <w:footerReference w:type="default" r:id="rId21"/>
          <w:headerReference w:type="first" r:id="rId22"/>
          <w:footerReference w:type="first" r:id="rId23"/>
          <w:type w:val="continuous"/>
          <w:pgSz w:w="11909" w:h="16834" w:code="9"/>
          <w:pgMar w:top="1440" w:right="1419" w:bottom="1440" w:left="1440" w:header="720" w:footer="864" w:gutter="0"/>
          <w:cols w:space="720"/>
          <w:titlePg/>
          <w:docGrid w:linePitch="360"/>
        </w:sectPr>
      </w:pPr>
    </w:p>
    <w:p w14:paraId="17F9A9E7" w14:textId="77777777" w:rsidR="00D53AFF" w:rsidRPr="008C69ED" w:rsidRDefault="00D53AFF" w:rsidP="00B45921">
      <w:pPr>
        <w:spacing w:after="0" w:line="240" w:lineRule="auto"/>
        <w:jc w:val="both"/>
        <w:rPr>
          <w:rFonts w:ascii="Arial" w:eastAsia="Times New Roman" w:hAnsi="Arial" w:cs="Arial"/>
          <w:color w:val="FF0000"/>
        </w:rPr>
        <w:sectPr w:rsidR="00D53AFF" w:rsidRPr="008C69ED" w:rsidSect="00D53AFF">
          <w:type w:val="continuous"/>
          <w:pgSz w:w="11909" w:h="16834" w:code="9"/>
          <w:pgMar w:top="1440" w:right="1419" w:bottom="1440" w:left="1440" w:header="720" w:footer="864" w:gutter="0"/>
          <w:cols w:space="720"/>
          <w:titlePg/>
          <w:docGrid w:linePitch="360"/>
        </w:sectPr>
      </w:pPr>
    </w:p>
    <w:p w14:paraId="5FF7B0C6" w14:textId="77777777" w:rsidR="00D53AFF" w:rsidRPr="005E2A7F" w:rsidRDefault="00D53AFF" w:rsidP="00B45921">
      <w:pPr>
        <w:spacing w:after="0" w:line="240" w:lineRule="auto"/>
        <w:jc w:val="right"/>
        <w:rPr>
          <w:rFonts w:ascii="Arial" w:hAnsi="Arial" w:cs="Arial"/>
          <w:color w:val="FF0000"/>
        </w:rPr>
      </w:pPr>
    </w:p>
    <w:p w14:paraId="3C457C10" w14:textId="77777777" w:rsidR="00D53AFF" w:rsidRPr="005E2A7F" w:rsidRDefault="00D53AFF" w:rsidP="00B45921">
      <w:pPr>
        <w:spacing w:after="0" w:line="240" w:lineRule="auto"/>
        <w:rPr>
          <w:rFonts w:ascii="Arial" w:hAnsi="Arial" w:cs="Arial"/>
        </w:rPr>
      </w:pPr>
    </w:p>
    <w:p w14:paraId="50B54D60" w14:textId="77777777" w:rsidR="00D53AFF" w:rsidRPr="000325BC" w:rsidRDefault="00D53AFF">
      <w:pPr>
        <w:rPr>
          <w:rFonts w:ascii="Arial" w:hAnsi="Arial" w:cs="Arial"/>
          <w:b/>
          <w:bCs/>
        </w:rPr>
      </w:pPr>
      <w:r w:rsidRPr="000325BC">
        <w:rPr>
          <w:rFonts w:ascii="Arial" w:hAnsi="Arial" w:cs="Arial"/>
          <w:b/>
          <w:bCs/>
        </w:rPr>
        <w:t>REFERENCES</w:t>
      </w:r>
    </w:p>
    <w:p w14:paraId="5666345D" w14:textId="77777777" w:rsidR="00D53AFF" w:rsidRPr="000325BC" w:rsidRDefault="00D53AFF">
      <w:pPr>
        <w:rPr>
          <w:rFonts w:ascii="Arial" w:hAnsi="Arial" w:cs="Arial"/>
        </w:rPr>
      </w:pPr>
    </w:p>
    <w:p w14:paraId="50D2EA5C" w14:textId="77777777" w:rsidR="00693F40" w:rsidRDefault="00693F40" w:rsidP="00693F40">
      <w:pPr>
        <w:pStyle w:val="EndNoteBibliography"/>
        <w:spacing w:after="0"/>
        <w:ind w:left="720" w:hanging="720"/>
        <w:jc w:val="both"/>
        <w:rPr>
          <w:lang w:val="pt-BR"/>
        </w:rPr>
        <w:sectPr w:rsidR="00693F40" w:rsidSect="00D53AFF">
          <w:type w:val="continuous"/>
          <w:pgSz w:w="11909" w:h="16834" w:code="9"/>
          <w:pgMar w:top="1440" w:right="1419" w:bottom="1440" w:left="1440" w:header="720" w:footer="864" w:gutter="0"/>
          <w:cols w:space="720"/>
          <w:titlePg/>
          <w:docGrid w:linePitch="360"/>
        </w:sectPr>
      </w:pPr>
    </w:p>
    <w:p w14:paraId="2955A1FD" w14:textId="215FF32D" w:rsidR="00832B7A" w:rsidRPr="00F005EB" w:rsidRDefault="00832B7A" w:rsidP="00693F40">
      <w:pPr>
        <w:pStyle w:val="EndNoteBibliography"/>
        <w:spacing w:after="0"/>
        <w:ind w:left="720" w:hanging="720"/>
        <w:jc w:val="both"/>
      </w:pPr>
      <w:r w:rsidRPr="00832B7A">
        <w:rPr>
          <w:lang w:val="pt-BR"/>
        </w:rPr>
        <w:t xml:space="preserve">Abers, M. S.,  Mathias, R. A. </w:t>
      </w:r>
      <w:r w:rsidR="002F2BD9">
        <w:rPr>
          <w:lang w:val="pt-BR"/>
        </w:rPr>
        <w:t>(</w:t>
      </w:r>
      <w:r w:rsidRPr="00832B7A">
        <w:rPr>
          <w:lang w:val="pt-BR"/>
        </w:rPr>
        <w:t>2025</w:t>
      </w:r>
      <w:r w:rsidR="002F2BD9">
        <w:rPr>
          <w:lang w:val="pt-BR"/>
        </w:rPr>
        <w:t>)</w:t>
      </w:r>
      <w:r w:rsidRPr="00832B7A">
        <w:rPr>
          <w:lang w:val="pt-BR"/>
        </w:rPr>
        <w:t xml:space="preserve">. </w:t>
      </w:r>
      <w:r w:rsidRPr="00F005EB">
        <w:t xml:space="preserve">Novel applications of large language models in clinical research. </w:t>
      </w:r>
      <w:r w:rsidRPr="00F005EB">
        <w:rPr>
          <w:b/>
          <w:i/>
        </w:rPr>
        <w:t>Journal of Allergy and Clinical Immunology</w:t>
      </w:r>
      <w:r w:rsidRPr="00F005EB">
        <w:t>, 155(3): 813-814.</w:t>
      </w:r>
    </w:p>
    <w:p w14:paraId="553421E1" w14:textId="031A5F00" w:rsidR="00832B7A" w:rsidRPr="00F005EB" w:rsidRDefault="00832B7A" w:rsidP="00693F40">
      <w:pPr>
        <w:pStyle w:val="EndNoteBibliography"/>
        <w:spacing w:after="0"/>
        <w:ind w:left="720" w:hanging="720"/>
        <w:jc w:val="both"/>
      </w:pPr>
      <w:r w:rsidRPr="00F005EB">
        <w:t xml:space="preserve">Allardyce, R. A.,  Shearman, D. J. </w:t>
      </w:r>
      <w:r w:rsidR="002F2BD9">
        <w:t>(</w:t>
      </w:r>
      <w:r w:rsidRPr="00F005EB">
        <w:t>1975</w:t>
      </w:r>
      <w:r w:rsidR="002F2BD9">
        <w:t>)</w:t>
      </w:r>
      <w:r w:rsidRPr="00F005EB">
        <w:t xml:space="preserve">. Leukocyte reactivity to alpha-gliadin in dermatitis herpetiformis and adult coeliac disease. </w:t>
      </w:r>
      <w:r w:rsidR="002F2BD9">
        <w:rPr>
          <w:b/>
          <w:i/>
        </w:rPr>
        <w:t>International Archives of Allergy and Applied Immunology</w:t>
      </w:r>
      <w:r w:rsidRPr="00F005EB">
        <w:t>, 48(3): 395-400.</w:t>
      </w:r>
    </w:p>
    <w:p w14:paraId="6596B8AB" w14:textId="637BDF54" w:rsidR="00832B7A" w:rsidRPr="00F005EB" w:rsidRDefault="00832B7A" w:rsidP="00693F40">
      <w:pPr>
        <w:pStyle w:val="EndNoteBibliography"/>
        <w:spacing w:after="0"/>
        <w:ind w:left="720" w:hanging="720"/>
        <w:jc w:val="both"/>
      </w:pPr>
      <w:r w:rsidRPr="00F005EB">
        <w:t>Anagnostou, A., Wang, J., Chinthrajah, S., Gupta, R., Davis, C. M., Parrish</w:t>
      </w:r>
      <w:r w:rsidR="002F2BD9">
        <w:t>, C.</w:t>
      </w:r>
      <w:r w:rsidRPr="00F005EB">
        <w:t xml:space="preserve">, </w:t>
      </w:r>
      <w:r w:rsidR="002F2BD9">
        <w:t>et al</w:t>
      </w:r>
      <w:r w:rsidRPr="00F005EB">
        <w:t xml:space="preserve">. </w:t>
      </w:r>
      <w:r w:rsidR="002F2BD9">
        <w:t>(</w:t>
      </w:r>
      <w:r w:rsidRPr="00F005EB">
        <w:t>2025</w:t>
      </w:r>
      <w:r w:rsidR="002F2BD9">
        <w:t>)</w:t>
      </w:r>
      <w:r w:rsidRPr="00F005EB">
        <w:t xml:space="preserve">. Addressing health disparities in food allergy: A Position Statement of the AAAAI Prior Authorization Task Force. </w:t>
      </w:r>
      <w:r w:rsidRPr="00F005EB">
        <w:rPr>
          <w:b/>
          <w:i/>
        </w:rPr>
        <w:t>Journal of Allergy and Clinical Immunology</w:t>
      </w:r>
      <w:r w:rsidRPr="00F005EB">
        <w:t>, 155(1): 53-61.</w:t>
      </w:r>
    </w:p>
    <w:p w14:paraId="62376BCF" w14:textId="30637C1A" w:rsidR="00832B7A" w:rsidRPr="00F005EB" w:rsidRDefault="00832B7A" w:rsidP="00693F40">
      <w:pPr>
        <w:pStyle w:val="EndNoteBibliography"/>
        <w:spacing w:after="0"/>
        <w:ind w:left="720" w:hanging="720"/>
        <w:jc w:val="both"/>
      </w:pPr>
      <w:r w:rsidRPr="004B623E">
        <w:rPr>
          <w:lang w:val="pt-BR"/>
        </w:rPr>
        <w:t xml:space="preserve">Anouar, S., Hazim, R.,  Brahim, A. </w:t>
      </w:r>
      <w:r w:rsidR="002F2BD9">
        <w:rPr>
          <w:lang w:val="pt-BR"/>
        </w:rPr>
        <w:t>(</w:t>
      </w:r>
      <w:r w:rsidRPr="004B623E">
        <w:rPr>
          <w:lang w:val="pt-BR"/>
        </w:rPr>
        <w:t>2024</w:t>
      </w:r>
      <w:r w:rsidR="002F2BD9">
        <w:rPr>
          <w:lang w:val="pt-BR"/>
        </w:rPr>
        <w:t>)</w:t>
      </w:r>
      <w:r w:rsidRPr="004B623E">
        <w:rPr>
          <w:lang w:val="pt-BR"/>
        </w:rPr>
        <w:t xml:space="preserve">. </w:t>
      </w:r>
      <w:r w:rsidRPr="00F005EB">
        <w:t xml:space="preserve">Interferences in Immunological </w:t>
      </w:r>
      <w:r w:rsidRPr="00F005EB">
        <w:t xml:space="preserve">Assays: Causes, Detection, and Prevention. </w:t>
      </w:r>
      <w:r w:rsidRPr="00F005EB">
        <w:rPr>
          <w:b/>
          <w:i/>
        </w:rPr>
        <w:t xml:space="preserve">Asian </w:t>
      </w:r>
      <w:r w:rsidR="004B623E">
        <w:rPr>
          <w:b/>
          <w:i/>
        </w:rPr>
        <w:t>Journal of Immunology</w:t>
      </w:r>
      <w:r w:rsidRPr="00F005EB">
        <w:rPr>
          <w:b/>
          <w:i/>
        </w:rPr>
        <w:t>.</w:t>
      </w:r>
      <w:r w:rsidRPr="00F005EB">
        <w:t>, 7(1): 71-78.</w:t>
      </w:r>
    </w:p>
    <w:p w14:paraId="032FCF6D" w14:textId="77172A37" w:rsidR="00832B7A" w:rsidRPr="00F005EB" w:rsidRDefault="00832B7A" w:rsidP="00693F40">
      <w:pPr>
        <w:pStyle w:val="EndNoteBibliography"/>
        <w:spacing w:after="0"/>
        <w:ind w:left="720" w:hanging="720"/>
        <w:jc w:val="both"/>
      </w:pPr>
      <w:r w:rsidRPr="00F005EB">
        <w:t xml:space="preserve">Ashkenazi, A., Levin, S., Idar, D., Or, A., Rosenberg, I.,  Handzel, Z. T. </w:t>
      </w:r>
      <w:r w:rsidR="002F2BD9">
        <w:t>(</w:t>
      </w:r>
      <w:r w:rsidRPr="00F005EB">
        <w:t>1980</w:t>
      </w:r>
      <w:r w:rsidR="002F2BD9">
        <w:t>)</w:t>
      </w:r>
      <w:r w:rsidRPr="00F005EB">
        <w:t xml:space="preserve">. In Vitro Cell-Mediated Immunologic Assay for Cow's Milk Allergy. </w:t>
      </w:r>
      <w:r w:rsidRPr="00F005EB">
        <w:rPr>
          <w:b/>
          <w:i/>
        </w:rPr>
        <w:t>Pediatrics</w:t>
      </w:r>
      <w:r w:rsidRPr="00F005EB">
        <w:t>, 66(3): 399-402.</w:t>
      </w:r>
    </w:p>
    <w:p w14:paraId="5C35394D" w14:textId="0B620F1E" w:rsidR="00832B7A" w:rsidRPr="00F005EB" w:rsidRDefault="00832B7A" w:rsidP="00693F40">
      <w:pPr>
        <w:pStyle w:val="EndNoteBibliography"/>
        <w:spacing w:after="0"/>
        <w:ind w:left="720" w:hanging="720"/>
        <w:jc w:val="both"/>
      </w:pPr>
      <w:r w:rsidRPr="00F005EB">
        <w:t xml:space="preserve">Augustin, R. </w:t>
      </w:r>
      <w:r w:rsidR="002F2BD9">
        <w:t>(</w:t>
      </w:r>
      <w:r w:rsidRPr="00F005EB">
        <w:t>1953</w:t>
      </w:r>
      <w:r w:rsidR="002F2BD9">
        <w:t>)</w:t>
      </w:r>
      <w:r w:rsidRPr="00F005EB">
        <w:t xml:space="preserve">. Precipitins to grass pollen proteins. </w:t>
      </w:r>
      <w:r w:rsidRPr="00F005EB">
        <w:rPr>
          <w:b/>
          <w:i/>
        </w:rPr>
        <w:t>Nature</w:t>
      </w:r>
      <w:r w:rsidRPr="00F005EB">
        <w:t>, 172(4372): 307.</w:t>
      </w:r>
    </w:p>
    <w:p w14:paraId="00E41B5E" w14:textId="029813E8" w:rsidR="00832B7A" w:rsidRPr="00F005EB" w:rsidRDefault="00832B7A" w:rsidP="00693F40">
      <w:pPr>
        <w:pStyle w:val="EndNoteBibliography"/>
        <w:spacing w:after="0"/>
        <w:ind w:left="720" w:hanging="720"/>
        <w:jc w:val="both"/>
      </w:pPr>
      <w:r w:rsidRPr="00F005EB">
        <w:t xml:space="preserve">Augustin, R.,  Hayward, B. J. </w:t>
      </w:r>
      <w:r w:rsidR="002F2BD9">
        <w:t>(</w:t>
      </w:r>
      <w:r w:rsidRPr="00F005EB">
        <w:t>1960</w:t>
      </w:r>
      <w:r w:rsidR="002F2BD9">
        <w:t>)</w:t>
      </w:r>
      <w:r w:rsidRPr="00F005EB">
        <w:t xml:space="preserve">. Human reagins to grass pollens and moulds: their purification and physico-chemical characterization. </w:t>
      </w:r>
      <w:r w:rsidRPr="00F005EB">
        <w:rPr>
          <w:b/>
          <w:i/>
        </w:rPr>
        <w:t>Immunology</w:t>
      </w:r>
      <w:r w:rsidRPr="00F005EB">
        <w:t>, 3(1): 45-73.</w:t>
      </w:r>
    </w:p>
    <w:p w14:paraId="49FA87D7" w14:textId="02FEAFF9" w:rsidR="00832B7A" w:rsidRPr="00F005EB" w:rsidRDefault="00832B7A" w:rsidP="00693F40">
      <w:pPr>
        <w:pStyle w:val="EndNoteBibliography"/>
        <w:spacing w:after="0"/>
        <w:ind w:left="720" w:hanging="720"/>
        <w:jc w:val="both"/>
      </w:pPr>
      <w:r w:rsidRPr="00F005EB">
        <w:t xml:space="preserve">Augustin, R., Hayward, B. J.,  Longbottom, J. L. </w:t>
      </w:r>
      <w:r w:rsidR="002F2BD9">
        <w:t>(</w:t>
      </w:r>
      <w:r w:rsidRPr="00F005EB">
        <w:t>1960</w:t>
      </w:r>
      <w:r w:rsidR="002F2BD9">
        <w:t>)</w:t>
      </w:r>
      <w:r w:rsidRPr="00F005EB">
        <w:t xml:space="preserve">. Isolation and physico-chemical characterization of reagins, blocking antibodies and precipitins to grass </w:t>
      </w:r>
      <w:r w:rsidRPr="00F005EB">
        <w:lastRenderedPageBreak/>
        <w:t xml:space="preserve">pollens. </w:t>
      </w:r>
      <w:r w:rsidRPr="00F005EB">
        <w:rPr>
          <w:b/>
          <w:i/>
        </w:rPr>
        <w:t>Clinical and Experimental Allergy (Copenhagen)</w:t>
      </w:r>
      <w:r w:rsidRPr="00F005EB">
        <w:t>, 7: 31-37.</w:t>
      </w:r>
    </w:p>
    <w:p w14:paraId="2B3A20C5" w14:textId="5D650490" w:rsidR="00832B7A" w:rsidRPr="00832B7A" w:rsidRDefault="00832B7A" w:rsidP="00693F40">
      <w:pPr>
        <w:pStyle w:val="EndNoteBibliography"/>
        <w:spacing w:after="0"/>
        <w:ind w:left="720" w:hanging="720"/>
        <w:jc w:val="both"/>
        <w:rPr>
          <w:lang w:val="pt-BR"/>
        </w:rPr>
      </w:pPr>
      <w:r w:rsidRPr="00F005EB">
        <w:t xml:space="preserve">Bailey, K. </w:t>
      </w:r>
      <w:r w:rsidR="002F2BD9">
        <w:t>(</w:t>
      </w:r>
      <w:r w:rsidRPr="00F005EB">
        <w:t>1946</w:t>
      </w:r>
      <w:r w:rsidR="002F2BD9">
        <w:t>)</w:t>
      </w:r>
      <w:r w:rsidRPr="00F005EB">
        <w:t xml:space="preserve">. Tropomyosin: a new asymmetric protein component of muscle. </w:t>
      </w:r>
      <w:r w:rsidRPr="00832B7A">
        <w:rPr>
          <w:b/>
          <w:i/>
          <w:lang w:val="pt-BR"/>
        </w:rPr>
        <w:t>Nature</w:t>
      </w:r>
      <w:r w:rsidRPr="00832B7A">
        <w:rPr>
          <w:lang w:val="pt-BR"/>
        </w:rPr>
        <w:t>, 157: 368.</w:t>
      </w:r>
    </w:p>
    <w:p w14:paraId="7007E674" w14:textId="07EB55CB" w:rsidR="00832B7A" w:rsidRPr="00832B7A" w:rsidRDefault="00832B7A" w:rsidP="00693F40">
      <w:pPr>
        <w:pStyle w:val="EndNoteBibliography"/>
        <w:spacing w:after="0"/>
        <w:ind w:left="720" w:hanging="720"/>
        <w:jc w:val="both"/>
        <w:rPr>
          <w:lang w:val="pt-BR"/>
        </w:rPr>
      </w:pPr>
      <w:r w:rsidRPr="00832B7A">
        <w:rPr>
          <w:lang w:val="pt-BR"/>
        </w:rPr>
        <w:t xml:space="preserve">Baqueiro, T., Carvalho, F. M., Rios, C. F., dos Santos, N. M.,  Alcântara-Neves, N. M. </w:t>
      </w:r>
      <w:r w:rsidR="002F2BD9">
        <w:rPr>
          <w:lang w:val="pt-BR"/>
        </w:rPr>
        <w:t>(</w:t>
      </w:r>
      <w:r w:rsidRPr="00832B7A">
        <w:rPr>
          <w:lang w:val="pt-BR"/>
        </w:rPr>
        <w:t>2006</w:t>
      </w:r>
      <w:r w:rsidR="002F2BD9">
        <w:rPr>
          <w:lang w:val="pt-BR"/>
        </w:rPr>
        <w:t>)</w:t>
      </w:r>
      <w:r w:rsidRPr="00832B7A">
        <w:rPr>
          <w:lang w:val="pt-BR"/>
        </w:rPr>
        <w:t xml:space="preserve">. </w:t>
      </w:r>
      <w:r w:rsidRPr="00F005EB">
        <w:t xml:space="preserve">Dust mite species and allergen concentrations in beds of individuals belonging to different urban socioeconomic groups in Brazil. </w:t>
      </w:r>
      <w:r w:rsidRPr="00832B7A">
        <w:rPr>
          <w:b/>
          <w:i/>
          <w:lang w:val="pt-BR"/>
        </w:rPr>
        <w:t>J</w:t>
      </w:r>
      <w:r w:rsidR="002F2BD9">
        <w:rPr>
          <w:b/>
          <w:i/>
          <w:lang w:val="pt-BR"/>
        </w:rPr>
        <w:t>ournal of</w:t>
      </w:r>
      <w:r w:rsidRPr="00832B7A">
        <w:rPr>
          <w:b/>
          <w:i/>
          <w:lang w:val="pt-BR"/>
        </w:rPr>
        <w:t xml:space="preserve"> Asthma</w:t>
      </w:r>
      <w:r w:rsidRPr="00832B7A">
        <w:rPr>
          <w:lang w:val="pt-BR"/>
        </w:rPr>
        <w:t>, 43(2): 101-105.</w:t>
      </w:r>
    </w:p>
    <w:p w14:paraId="7A20D584" w14:textId="3F620D94" w:rsidR="00832B7A" w:rsidRPr="00F005EB" w:rsidRDefault="00832B7A" w:rsidP="00693F40">
      <w:pPr>
        <w:pStyle w:val="EndNoteBibliography"/>
        <w:spacing w:after="0"/>
        <w:ind w:left="720" w:hanging="720"/>
        <w:jc w:val="both"/>
      </w:pPr>
      <w:r w:rsidRPr="00832B7A">
        <w:rPr>
          <w:lang w:val="pt-BR"/>
        </w:rPr>
        <w:t xml:space="preserve">Barrera-de-Pino, O. M., Murgas, I.,  Miranda, R. J. </w:t>
      </w:r>
      <w:r w:rsidR="002F2BD9">
        <w:rPr>
          <w:lang w:val="pt-BR"/>
        </w:rPr>
        <w:t>(</w:t>
      </w:r>
      <w:r w:rsidRPr="00832B7A">
        <w:rPr>
          <w:lang w:val="pt-BR"/>
        </w:rPr>
        <w:t>2012</w:t>
      </w:r>
      <w:r w:rsidR="002F2BD9">
        <w:rPr>
          <w:lang w:val="pt-BR"/>
        </w:rPr>
        <w:t>)</w:t>
      </w:r>
      <w:r w:rsidRPr="00832B7A">
        <w:rPr>
          <w:lang w:val="pt-BR"/>
        </w:rPr>
        <w:t xml:space="preserve">. </w:t>
      </w:r>
      <w:r w:rsidRPr="00F005EB">
        <w:t xml:space="preserve">First Report of Anaphylactic Shock Caused by the Ingestion of Mite-Infested Flour in Panama. </w:t>
      </w:r>
      <w:r w:rsidRPr="00F005EB">
        <w:rPr>
          <w:b/>
          <w:i/>
        </w:rPr>
        <w:t>Journal of the World Health Organization</w:t>
      </w:r>
      <w:r w:rsidRPr="00F005EB">
        <w:t>, 17(5): 104.</w:t>
      </w:r>
    </w:p>
    <w:p w14:paraId="58AC2003" w14:textId="613D5C29" w:rsidR="00832B7A" w:rsidRPr="00832B7A" w:rsidRDefault="00832B7A" w:rsidP="00693F40">
      <w:pPr>
        <w:pStyle w:val="EndNoteBibliography"/>
        <w:spacing w:after="0"/>
        <w:ind w:left="720" w:hanging="720"/>
        <w:jc w:val="both"/>
        <w:rPr>
          <w:lang w:val="pt-BR"/>
        </w:rPr>
      </w:pPr>
      <w:r w:rsidRPr="004B623E">
        <w:rPr>
          <w:lang w:val="fr-FR"/>
        </w:rPr>
        <w:t>Bellanger, A. P., Lallemand, S., Tumasyan</w:t>
      </w:r>
      <w:r w:rsidR="002F2BD9">
        <w:rPr>
          <w:lang w:val="fr-FR"/>
        </w:rPr>
        <w:t>, H.</w:t>
      </w:r>
      <w:r w:rsidRPr="004B623E">
        <w:rPr>
          <w:lang w:val="fr-FR"/>
        </w:rPr>
        <w:t xml:space="preserve"> A., Navellou, J. C., Barrera, C., Rouzet, A., </w:t>
      </w:r>
      <w:r w:rsidR="002F2BD9">
        <w:rPr>
          <w:lang w:val="fr-FR"/>
        </w:rPr>
        <w:t>et al. (</w:t>
      </w:r>
      <w:r w:rsidRPr="004B623E">
        <w:rPr>
          <w:lang w:val="fr-FR"/>
        </w:rPr>
        <w:t>2022</w:t>
      </w:r>
      <w:r w:rsidR="002F2BD9">
        <w:rPr>
          <w:lang w:val="fr-FR"/>
        </w:rPr>
        <w:t>)</w:t>
      </w:r>
      <w:r w:rsidRPr="004B623E">
        <w:rPr>
          <w:lang w:val="fr-FR"/>
        </w:rPr>
        <w:t xml:space="preserve">. </w:t>
      </w:r>
      <w:r w:rsidRPr="00F005EB">
        <w:t xml:space="preserve">Investigation of the value of precipitins in severe acute respiratory syndrome coronavirus 2 (SARS-CoV-2) patients with a positive marker for Aspergillus species. </w:t>
      </w:r>
      <w:r w:rsidRPr="00832B7A">
        <w:rPr>
          <w:b/>
          <w:i/>
          <w:lang w:val="pt-BR"/>
        </w:rPr>
        <w:t>Med</w:t>
      </w:r>
      <w:r w:rsidR="002F2BD9">
        <w:rPr>
          <w:b/>
          <w:i/>
          <w:lang w:val="pt-BR"/>
        </w:rPr>
        <w:t>ical</w:t>
      </w:r>
      <w:r w:rsidRPr="00832B7A">
        <w:rPr>
          <w:b/>
          <w:i/>
          <w:lang w:val="pt-BR"/>
        </w:rPr>
        <w:t xml:space="preserve"> Mycol</w:t>
      </w:r>
      <w:r w:rsidR="002F2BD9">
        <w:rPr>
          <w:b/>
          <w:i/>
          <w:lang w:val="pt-BR"/>
        </w:rPr>
        <w:t>ogy</w:t>
      </w:r>
      <w:r w:rsidRPr="00832B7A">
        <w:rPr>
          <w:lang w:val="pt-BR"/>
        </w:rPr>
        <w:t>, 60(5).</w:t>
      </w:r>
    </w:p>
    <w:p w14:paraId="5E55050E" w14:textId="10A25485" w:rsidR="00832B7A" w:rsidRPr="00F005EB" w:rsidRDefault="00832B7A" w:rsidP="00693F40">
      <w:pPr>
        <w:pStyle w:val="EndNoteBibliography"/>
        <w:spacing w:after="0"/>
        <w:ind w:left="720" w:hanging="720"/>
        <w:jc w:val="both"/>
      </w:pPr>
      <w:r w:rsidRPr="00832B7A">
        <w:rPr>
          <w:lang w:val="pt-BR"/>
        </w:rPr>
        <w:t xml:space="preserve">Bousquet, J., Anto, J. M., Haahtela, T., Sousa-Pinto, B.,  Morais-Almeida, M. </w:t>
      </w:r>
      <w:r w:rsidR="002F2BD9">
        <w:rPr>
          <w:lang w:val="pt-BR"/>
        </w:rPr>
        <w:t>(</w:t>
      </w:r>
      <w:r w:rsidRPr="00832B7A">
        <w:rPr>
          <w:lang w:val="pt-BR"/>
        </w:rPr>
        <w:t>2025</w:t>
      </w:r>
      <w:r w:rsidR="002F2BD9">
        <w:rPr>
          <w:lang w:val="pt-BR"/>
        </w:rPr>
        <w:t>)</w:t>
      </w:r>
      <w:r w:rsidRPr="00832B7A">
        <w:rPr>
          <w:lang w:val="pt-BR"/>
        </w:rPr>
        <w:t xml:space="preserve">. </w:t>
      </w:r>
      <w:r w:rsidRPr="00F005EB">
        <w:t xml:space="preserve">From "one airway, one disease" to "one airway, many diseases". </w:t>
      </w:r>
      <w:r w:rsidRPr="00F005EB">
        <w:rPr>
          <w:b/>
          <w:i/>
        </w:rPr>
        <w:t>Journal of Allergy and Clinical Immunology</w:t>
      </w:r>
      <w:r w:rsidRPr="00F005EB">
        <w:t>.</w:t>
      </w:r>
    </w:p>
    <w:p w14:paraId="7EAFCE7D" w14:textId="73B5062A" w:rsidR="00832B7A" w:rsidRPr="00F005EB" w:rsidRDefault="00832B7A" w:rsidP="00693F40">
      <w:pPr>
        <w:pStyle w:val="EndNoteBibliography"/>
        <w:spacing w:after="0"/>
        <w:ind w:left="720" w:hanging="720"/>
        <w:jc w:val="both"/>
      </w:pPr>
      <w:r w:rsidRPr="004B623E">
        <w:rPr>
          <w:lang w:val="fr-FR"/>
        </w:rPr>
        <w:t xml:space="preserve">Bousquet, J., Anto, J. M., Wickman, M., Keil, T., Valenta, R., Haahtela, T., </w:t>
      </w:r>
      <w:r w:rsidR="002F2BD9">
        <w:rPr>
          <w:lang w:val="fr-FR"/>
        </w:rPr>
        <w:t>et al</w:t>
      </w:r>
      <w:r w:rsidRPr="004B623E">
        <w:rPr>
          <w:lang w:val="fr-FR"/>
        </w:rPr>
        <w:t xml:space="preserve">. </w:t>
      </w:r>
      <w:r w:rsidR="002F2BD9">
        <w:rPr>
          <w:lang w:val="fr-FR"/>
        </w:rPr>
        <w:t>(</w:t>
      </w:r>
      <w:r w:rsidRPr="002F2BD9">
        <w:rPr>
          <w:lang w:val="fr-FR"/>
        </w:rPr>
        <w:t>2015</w:t>
      </w:r>
      <w:r w:rsidR="002F2BD9">
        <w:rPr>
          <w:lang w:val="fr-FR"/>
        </w:rPr>
        <w:t>)</w:t>
      </w:r>
      <w:r w:rsidRPr="002F2BD9">
        <w:rPr>
          <w:lang w:val="fr-FR"/>
        </w:rPr>
        <w:t xml:space="preserve">. </w:t>
      </w:r>
      <w:r w:rsidRPr="00F005EB">
        <w:t xml:space="preserve">Are allergic multimorbidities and IgE polysensitization associated with the persistence or re-occurrence of foetal type 2 signalling? The MeDALL hypothesis. </w:t>
      </w:r>
      <w:r w:rsidRPr="00F005EB">
        <w:rPr>
          <w:b/>
          <w:i/>
        </w:rPr>
        <w:t>Allergy</w:t>
      </w:r>
      <w:r w:rsidRPr="00F005EB">
        <w:t>, 70(9): 1062-1078.</w:t>
      </w:r>
    </w:p>
    <w:p w14:paraId="39917A89" w14:textId="44DE4C1E" w:rsidR="00832B7A" w:rsidRPr="00F005EB" w:rsidRDefault="00832B7A" w:rsidP="00693F40">
      <w:pPr>
        <w:pStyle w:val="EndNoteBibliography"/>
        <w:spacing w:after="0"/>
        <w:ind w:left="720" w:hanging="720"/>
        <w:jc w:val="both"/>
      </w:pPr>
      <w:r w:rsidRPr="00F005EB">
        <w:t xml:space="preserve">Bradford, M. M. </w:t>
      </w:r>
      <w:r w:rsidR="002F2BD9">
        <w:t>(</w:t>
      </w:r>
      <w:r w:rsidRPr="00F005EB">
        <w:t>1976</w:t>
      </w:r>
      <w:r w:rsidR="002F2BD9">
        <w:t>)</w:t>
      </w:r>
      <w:r w:rsidRPr="00F005EB">
        <w:t xml:space="preserve">. A rapid and sensitive method for the quantitation of microgram quantities of protein utilizing the principle of protein-dye binding. </w:t>
      </w:r>
      <w:r w:rsidRPr="00F005EB">
        <w:rPr>
          <w:b/>
          <w:i/>
        </w:rPr>
        <w:t>Analytical Biochemical</w:t>
      </w:r>
      <w:r w:rsidRPr="00F005EB">
        <w:t>, 72: 248-254.</w:t>
      </w:r>
    </w:p>
    <w:p w14:paraId="1D16AD9E" w14:textId="675FC884" w:rsidR="00832B7A" w:rsidRPr="00F005EB" w:rsidRDefault="00832B7A" w:rsidP="00693F40">
      <w:pPr>
        <w:pStyle w:val="EndNoteBibliography"/>
        <w:spacing w:after="0"/>
        <w:ind w:left="720" w:hanging="720"/>
        <w:jc w:val="both"/>
      </w:pPr>
      <w:r w:rsidRPr="00F005EB">
        <w:t xml:space="preserve">Butler, H. L., Byrne, W. J., Marmer, D. J., Euler, A. R.,  Steele, R. W. </w:t>
      </w:r>
      <w:r w:rsidR="002F2BD9">
        <w:t>(</w:t>
      </w:r>
      <w:r w:rsidRPr="00F005EB">
        <w:t>1981</w:t>
      </w:r>
      <w:r w:rsidR="002F2BD9">
        <w:t>)</w:t>
      </w:r>
      <w:r w:rsidRPr="00F005EB">
        <w:t xml:space="preserve">. Depressed Neutrophil Chemotaxis in Infants with Cow's Milk and/or Soy Protein </w:t>
      </w:r>
      <w:r w:rsidRPr="00F005EB">
        <w:t xml:space="preserve">Intolerance. </w:t>
      </w:r>
      <w:r w:rsidRPr="00F005EB">
        <w:rPr>
          <w:b/>
          <w:i/>
        </w:rPr>
        <w:t>Pediatrics</w:t>
      </w:r>
      <w:r w:rsidRPr="00F005EB">
        <w:t>, 67(2): 264-268.</w:t>
      </w:r>
    </w:p>
    <w:p w14:paraId="0A0F43B2" w14:textId="268CB169" w:rsidR="00832B7A" w:rsidRPr="00181077" w:rsidRDefault="00832B7A" w:rsidP="00693F40">
      <w:pPr>
        <w:pStyle w:val="EndNoteBibliography"/>
        <w:spacing w:after="0"/>
        <w:ind w:left="720" w:hanging="720"/>
        <w:jc w:val="both"/>
        <w:rPr>
          <w:lang w:val="pt-BR"/>
        </w:rPr>
      </w:pPr>
      <w:r w:rsidRPr="004B623E">
        <w:rPr>
          <w:lang w:val="pt-BR"/>
        </w:rPr>
        <w:t xml:space="preserve">Carvalho, C., Keunecke, K. A.,  Lavrado, H. P. </w:t>
      </w:r>
      <w:r w:rsidR="002F2BD9">
        <w:rPr>
          <w:lang w:val="pt-BR"/>
        </w:rPr>
        <w:t>(</w:t>
      </w:r>
      <w:r w:rsidRPr="004B623E">
        <w:rPr>
          <w:lang w:val="pt-BR"/>
        </w:rPr>
        <w:t>2019</w:t>
      </w:r>
      <w:r w:rsidR="002F2BD9">
        <w:rPr>
          <w:lang w:val="pt-BR"/>
        </w:rPr>
        <w:t>)</w:t>
      </w:r>
      <w:r w:rsidRPr="004B623E">
        <w:rPr>
          <w:lang w:val="pt-BR"/>
        </w:rPr>
        <w:t xml:space="preserve">. </w:t>
      </w:r>
      <w:r w:rsidRPr="00F005EB">
        <w:t xml:space="preserve">Morphometric variation in pink shrimp populations at Rio de Janeiro coast (SE Brazil): are they really similar in closer areas? </w:t>
      </w:r>
      <w:r w:rsidRPr="00181077">
        <w:rPr>
          <w:b/>
          <w:i/>
          <w:lang w:val="pt-BR"/>
        </w:rPr>
        <w:t>An</w:t>
      </w:r>
      <w:r w:rsidR="00181077" w:rsidRPr="00181077">
        <w:rPr>
          <w:b/>
          <w:i/>
          <w:lang w:val="pt-BR"/>
        </w:rPr>
        <w:t>ais da</w:t>
      </w:r>
      <w:r w:rsidRPr="00181077">
        <w:rPr>
          <w:b/>
          <w:i/>
          <w:lang w:val="pt-BR"/>
        </w:rPr>
        <w:t xml:space="preserve"> Acad</w:t>
      </w:r>
      <w:r w:rsidR="00181077" w:rsidRPr="00181077">
        <w:rPr>
          <w:b/>
          <w:i/>
          <w:lang w:val="pt-BR"/>
        </w:rPr>
        <w:t>emia</w:t>
      </w:r>
      <w:r w:rsidRPr="00181077">
        <w:rPr>
          <w:b/>
          <w:i/>
          <w:lang w:val="pt-BR"/>
        </w:rPr>
        <w:t xml:space="preserve"> Bras</w:t>
      </w:r>
      <w:r w:rsidR="00181077" w:rsidRPr="00181077">
        <w:rPr>
          <w:b/>
          <w:i/>
          <w:lang w:val="pt-BR"/>
        </w:rPr>
        <w:t>ileira de</w:t>
      </w:r>
      <w:r w:rsidRPr="00181077">
        <w:rPr>
          <w:b/>
          <w:i/>
          <w:lang w:val="pt-BR"/>
        </w:rPr>
        <w:t xml:space="preserve"> Ci</w:t>
      </w:r>
      <w:r w:rsidR="00181077" w:rsidRPr="00181077">
        <w:rPr>
          <w:b/>
          <w:i/>
          <w:lang w:val="pt-BR"/>
        </w:rPr>
        <w:t>ências</w:t>
      </w:r>
      <w:r w:rsidRPr="00181077">
        <w:rPr>
          <w:lang w:val="pt-BR"/>
        </w:rPr>
        <w:t>, 91(2): e20180252.</w:t>
      </w:r>
    </w:p>
    <w:p w14:paraId="06A4A71C" w14:textId="64A011AD" w:rsidR="00832B7A" w:rsidRPr="00F005EB" w:rsidRDefault="00832B7A" w:rsidP="00693F40">
      <w:pPr>
        <w:pStyle w:val="EndNoteBibliography"/>
        <w:spacing w:after="0"/>
        <w:ind w:left="720" w:hanging="720"/>
        <w:jc w:val="both"/>
      </w:pPr>
      <w:r w:rsidRPr="00181077">
        <w:rPr>
          <w:lang w:val="pt-BR"/>
        </w:rPr>
        <w:t xml:space="preserve">Čelakovská, J., Čermákova, E., Andrýs, C., Boudkova, P.,  Krejsek, J. </w:t>
      </w:r>
      <w:r w:rsidR="00181077" w:rsidRPr="00181077">
        <w:rPr>
          <w:lang w:val="pt-BR"/>
        </w:rPr>
        <w:t>(</w:t>
      </w:r>
      <w:r w:rsidRPr="00181077">
        <w:rPr>
          <w:lang w:val="pt-BR"/>
        </w:rPr>
        <w:t>2024</w:t>
      </w:r>
      <w:r w:rsidR="00181077" w:rsidRPr="00181077">
        <w:rPr>
          <w:lang w:val="pt-BR"/>
        </w:rPr>
        <w:t>)</w:t>
      </w:r>
      <w:r w:rsidRPr="00181077">
        <w:rPr>
          <w:lang w:val="pt-BR"/>
        </w:rPr>
        <w:t xml:space="preserve">. </w:t>
      </w:r>
      <w:r w:rsidRPr="00F005EB">
        <w:t xml:space="preserve">Sensitization to latex and food allergens in atopic dermatitis patients according to ALEX2 Allergy Xplorer test. </w:t>
      </w:r>
      <w:r w:rsidRPr="00F005EB">
        <w:rPr>
          <w:b/>
          <w:i/>
        </w:rPr>
        <w:t>Molecular Immunology</w:t>
      </w:r>
      <w:r w:rsidRPr="00F005EB">
        <w:t>, 175: 89-102.</w:t>
      </w:r>
    </w:p>
    <w:p w14:paraId="75AB8D6C" w14:textId="1709768B" w:rsidR="00832B7A" w:rsidRPr="00F005EB" w:rsidRDefault="00832B7A" w:rsidP="00693F40">
      <w:pPr>
        <w:pStyle w:val="EndNoteBibliography"/>
        <w:spacing w:after="0"/>
        <w:ind w:left="720" w:hanging="720"/>
        <w:jc w:val="both"/>
      </w:pPr>
      <w:r w:rsidRPr="00F005EB">
        <w:t xml:space="preserve">Chew, F. T., Zhang, L., Ho, T. M.,  Lee, B. W. </w:t>
      </w:r>
      <w:r w:rsidR="00181077">
        <w:t>(</w:t>
      </w:r>
      <w:r w:rsidRPr="00F005EB">
        <w:t>1999</w:t>
      </w:r>
      <w:r w:rsidR="00181077">
        <w:t>)</w:t>
      </w:r>
      <w:r w:rsidRPr="00F005EB">
        <w:t xml:space="preserve">. House </w:t>
      </w:r>
      <w:r w:rsidR="008D5A42">
        <w:t>Dust Mite Fauna of T</w:t>
      </w:r>
      <w:r w:rsidRPr="00F005EB">
        <w:t xml:space="preserve">ropical Singapore. </w:t>
      </w:r>
      <w:r w:rsidR="004B623E" w:rsidRPr="004B623E">
        <w:rPr>
          <w:b/>
        </w:rPr>
        <w:t>Clinical and Experimental Allergy</w:t>
      </w:r>
      <w:r w:rsidRPr="00F005EB">
        <w:t>, 29(2): 201-206.</w:t>
      </w:r>
    </w:p>
    <w:p w14:paraId="515D6789" w14:textId="79399DD9" w:rsidR="00832B7A" w:rsidRPr="00F005EB" w:rsidRDefault="00832B7A" w:rsidP="00693F40">
      <w:pPr>
        <w:pStyle w:val="EndNoteBibliography"/>
        <w:spacing w:after="0"/>
        <w:ind w:left="720" w:hanging="720"/>
        <w:jc w:val="both"/>
      </w:pPr>
      <w:r w:rsidRPr="00F005EB">
        <w:t xml:space="preserve">Chiarentin, L., Gonçalves, C., Augusto, C., Miranda, M., Cardoso, C.,  Vitorino, C. </w:t>
      </w:r>
      <w:r w:rsidR="00181077">
        <w:t>(</w:t>
      </w:r>
      <w:r w:rsidRPr="00F005EB">
        <w:t>2023</w:t>
      </w:r>
      <w:r w:rsidR="00181077">
        <w:t>)</w:t>
      </w:r>
      <w:r w:rsidRPr="00F005EB">
        <w:t xml:space="preserve">. Drilling into "Quality by Design" Approach for Analytical Methods. </w:t>
      </w:r>
      <w:r w:rsidRPr="00F005EB">
        <w:rPr>
          <w:b/>
          <w:i/>
        </w:rPr>
        <w:t>Critical  Reviews in Analytical Chemistry</w:t>
      </w:r>
      <w:r w:rsidRPr="00F005EB">
        <w:t>: 1-42.</w:t>
      </w:r>
    </w:p>
    <w:p w14:paraId="0759E3FD" w14:textId="68EA0D18" w:rsidR="00832B7A" w:rsidRPr="00F005EB" w:rsidRDefault="00832B7A" w:rsidP="00693F40">
      <w:pPr>
        <w:pStyle w:val="EndNoteBibliography"/>
        <w:spacing w:after="0"/>
        <w:ind w:left="720" w:hanging="720"/>
        <w:jc w:val="both"/>
      </w:pPr>
      <w:r w:rsidRPr="00181077">
        <w:rPr>
          <w:lang w:val="fr-FR"/>
        </w:rPr>
        <w:t xml:space="preserve">Chua, K. Y., Cheong, N., Kuo, I. C., Lee, B. W., Yi, F. C., Huang, C. H.,  </w:t>
      </w:r>
      <w:r w:rsidR="00181077" w:rsidRPr="00181077">
        <w:rPr>
          <w:lang w:val="fr-FR"/>
        </w:rPr>
        <w:t>et al.</w:t>
      </w:r>
      <w:r w:rsidR="00181077">
        <w:rPr>
          <w:lang w:val="fr-FR"/>
        </w:rPr>
        <w:t>,</w:t>
      </w:r>
      <w:r w:rsidRPr="00181077">
        <w:rPr>
          <w:lang w:val="fr-FR"/>
        </w:rPr>
        <w:t xml:space="preserve"> </w:t>
      </w:r>
      <w:r w:rsidR="00181077">
        <w:rPr>
          <w:lang w:val="fr-FR"/>
        </w:rPr>
        <w:t>(</w:t>
      </w:r>
      <w:r w:rsidRPr="00181077">
        <w:rPr>
          <w:lang w:val="fr-FR"/>
        </w:rPr>
        <w:t>2007</w:t>
      </w:r>
      <w:r w:rsidR="00181077">
        <w:rPr>
          <w:lang w:val="fr-FR"/>
        </w:rPr>
        <w:t>)</w:t>
      </w:r>
      <w:r w:rsidRPr="00181077">
        <w:rPr>
          <w:lang w:val="fr-FR"/>
        </w:rPr>
        <w:t xml:space="preserve">. </w:t>
      </w:r>
      <w:r w:rsidRPr="00F005EB">
        <w:t xml:space="preserve">The Blomia tropicalis allergens. </w:t>
      </w:r>
      <w:r w:rsidRPr="00F005EB">
        <w:rPr>
          <w:b/>
          <w:i/>
        </w:rPr>
        <w:t xml:space="preserve">Protein </w:t>
      </w:r>
      <w:r w:rsidR="00181077">
        <w:rPr>
          <w:b/>
          <w:i/>
        </w:rPr>
        <w:t xml:space="preserve">and </w:t>
      </w:r>
      <w:r w:rsidRPr="00F005EB">
        <w:rPr>
          <w:b/>
          <w:i/>
        </w:rPr>
        <w:t>Pept</w:t>
      </w:r>
      <w:r w:rsidR="00181077">
        <w:rPr>
          <w:b/>
          <w:i/>
        </w:rPr>
        <w:t>ide</w:t>
      </w:r>
      <w:r w:rsidRPr="00F005EB">
        <w:rPr>
          <w:b/>
          <w:i/>
        </w:rPr>
        <w:t xml:space="preserve"> Lett</w:t>
      </w:r>
      <w:r w:rsidR="00181077">
        <w:rPr>
          <w:b/>
          <w:i/>
        </w:rPr>
        <w:t>ers</w:t>
      </w:r>
      <w:r w:rsidRPr="00F005EB">
        <w:t>, 14(4): 325-333.</w:t>
      </w:r>
    </w:p>
    <w:p w14:paraId="1E8C25FF" w14:textId="4036B52E" w:rsidR="00832B7A" w:rsidRPr="00F005EB" w:rsidRDefault="00832B7A" w:rsidP="00693F40">
      <w:pPr>
        <w:pStyle w:val="EndNoteBibliography"/>
        <w:spacing w:after="0"/>
        <w:ind w:left="720" w:hanging="720"/>
        <w:jc w:val="both"/>
      </w:pPr>
      <w:r w:rsidRPr="00F005EB">
        <w:t xml:space="preserve">Cunningham-Rundles, C., Brandeis, W. E., Good, R. A.,  Day, N. K. </w:t>
      </w:r>
      <w:r w:rsidR="00181077">
        <w:t>(</w:t>
      </w:r>
      <w:r w:rsidRPr="00F005EB">
        <w:t>1978</w:t>
      </w:r>
      <w:r w:rsidR="00181077">
        <w:t>)</w:t>
      </w:r>
      <w:r w:rsidRPr="00F005EB">
        <w:t xml:space="preserve">. Milk precipitins, circulating immune complexes, and IgA deficiency. </w:t>
      </w:r>
      <w:r w:rsidRPr="00F005EB">
        <w:rPr>
          <w:b/>
          <w:i/>
        </w:rPr>
        <w:t>Proceedings of the National Academy of Sciences of the United States of America</w:t>
      </w:r>
      <w:r w:rsidRPr="00F005EB">
        <w:t>, 75(7): 3387-3389.</w:t>
      </w:r>
    </w:p>
    <w:p w14:paraId="019A6D40" w14:textId="7E04F59A" w:rsidR="00832B7A" w:rsidRPr="00F005EB" w:rsidRDefault="00832B7A" w:rsidP="00693F40">
      <w:pPr>
        <w:pStyle w:val="EndNoteBibliography"/>
        <w:spacing w:after="0"/>
        <w:ind w:left="720" w:hanging="720"/>
        <w:jc w:val="both"/>
      </w:pPr>
      <w:r w:rsidRPr="00F005EB">
        <w:t xml:space="preserve">Daul, C. B., Slattery, M., Reese, G.,  Lehrer, S. B. </w:t>
      </w:r>
      <w:r w:rsidR="00181077">
        <w:t>(</w:t>
      </w:r>
      <w:r w:rsidRPr="00F005EB">
        <w:t>1994</w:t>
      </w:r>
      <w:r w:rsidR="00181077">
        <w:t>)</w:t>
      </w:r>
      <w:r w:rsidRPr="00F005EB">
        <w:t xml:space="preserve">. Identification of the major brown shrimp (Penaeus aztecus) allergen as the muscle protein tropomyosin. </w:t>
      </w:r>
      <w:r w:rsidRPr="00F005EB">
        <w:rPr>
          <w:b/>
          <w:i/>
        </w:rPr>
        <w:t>Int</w:t>
      </w:r>
      <w:r w:rsidR="00181077">
        <w:rPr>
          <w:b/>
          <w:i/>
        </w:rPr>
        <w:t>ernational</w:t>
      </w:r>
      <w:r w:rsidRPr="00F005EB">
        <w:rPr>
          <w:b/>
          <w:i/>
        </w:rPr>
        <w:t xml:space="preserve"> Arch</w:t>
      </w:r>
      <w:r w:rsidR="00181077">
        <w:rPr>
          <w:b/>
          <w:i/>
        </w:rPr>
        <w:t>ives of</w:t>
      </w:r>
      <w:r w:rsidRPr="00F005EB">
        <w:rPr>
          <w:b/>
          <w:i/>
        </w:rPr>
        <w:t xml:space="preserve"> Allergy</w:t>
      </w:r>
      <w:r w:rsidR="00181077">
        <w:rPr>
          <w:b/>
          <w:i/>
        </w:rPr>
        <w:t xml:space="preserve"> and</w:t>
      </w:r>
      <w:r w:rsidRPr="00F005EB">
        <w:rPr>
          <w:b/>
          <w:i/>
        </w:rPr>
        <w:t xml:space="preserve"> Immunol</w:t>
      </w:r>
      <w:r w:rsidR="00181077">
        <w:rPr>
          <w:b/>
          <w:i/>
        </w:rPr>
        <w:t>ogy</w:t>
      </w:r>
      <w:r w:rsidRPr="00F005EB">
        <w:t>, 105(1): 49-55.</w:t>
      </w:r>
    </w:p>
    <w:p w14:paraId="1C5DD9EA" w14:textId="4FF20925" w:rsidR="00832B7A" w:rsidRPr="00F005EB" w:rsidRDefault="00832B7A" w:rsidP="00693F40">
      <w:pPr>
        <w:pStyle w:val="EndNoteBibliography"/>
        <w:spacing w:after="0"/>
        <w:ind w:left="720" w:hanging="720"/>
        <w:jc w:val="both"/>
      </w:pPr>
      <w:r w:rsidRPr="00F005EB">
        <w:t xml:space="preserve">Emran, H., Chieng, C. S. E., Taib, S.,  Cunningham, A. C. </w:t>
      </w:r>
      <w:r w:rsidR="00181077">
        <w:t>(</w:t>
      </w:r>
      <w:r w:rsidRPr="00F005EB">
        <w:t>2019</w:t>
      </w:r>
      <w:r w:rsidR="00181077">
        <w:t>)</w:t>
      </w:r>
      <w:r w:rsidRPr="00F005EB">
        <w:t xml:space="preserve">. House dust mite sensitisation and association with atopic dermatitis in Brunei: Allergen sensitization and allergic disease in </w:t>
      </w:r>
      <w:r w:rsidRPr="00F005EB">
        <w:lastRenderedPageBreak/>
        <w:t xml:space="preserve">Brunei. </w:t>
      </w:r>
      <w:r w:rsidRPr="00F005EB">
        <w:rPr>
          <w:b/>
          <w:i/>
        </w:rPr>
        <w:t>Clin</w:t>
      </w:r>
      <w:r w:rsidR="00181077">
        <w:rPr>
          <w:b/>
          <w:i/>
        </w:rPr>
        <w:t>ical and</w:t>
      </w:r>
      <w:r w:rsidRPr="00F005EB">
        <w:rPr>
          <w:b/>
          <w:i/>
        </w:rPr>
        <w:t xml:space="preserve"> Transl</w:t>
      </w:r>
      <w:r w:rsidR="00181077">
        <w:rPr>
          <w:b/>
          <w:i/>
        </w:rPr>
        <w:t>ational</w:t>
      </w:r>
      <w:r w:rsidRPr="00F005EB">
        <w:rPr>
          <w:b/>
          <w:i/>
        </w:rPr>
        <w:t xml:space="preserve"> Allergy</w:t>
      </w:r>
      <w:r w:rsidRPr="00F005EB">
        <w:t>, 9: 65.</w:t>
      </w:r>
    </w:p>
    <w:p w14:paraId="577D992F" w14:textId="58FF377D" w:rsidR="00832B7A" w:rsidRPr="00181077" w:rsidRDefault="00832B7A" w:rsidP="00693F40">
      <w:pPr>
        <w:pStyle w:val="EndNoteBibliography"/>
        <w:spacing w:after="0"/>
        <w:ind w:left="720" w:hanging="720"/>
        <w:jc w:val="both"/>
        <w:rPr>
          <w:lang w:val="fr-FR"/>
        </w:rPr>
      </w:pPr>
      <w:r w:rsidRPr="00F005EB">
        <w:t xml:space="preserve">Fain, A. </w:t>
      </w:r>
      <w:r w:rsidR="00181077">
        <w:t>(</w:t>
      </w:r>
      <w:r w:rsidRPr="00F005EB">
        <w:t>1966</w:t>
      </w:r>
      <w:r w:rsidR="00181077">
        <w:t>)</w:t>
      </w:r>
      <w:r w:rsidRPr="00F005EB">
        <w:t xml:space="preserve">. [Respiratory allergies caused by an acaridan (Dermatophagoides pteronyssinus) living in house dust]. </w:t>
      </w:r>
      <w:r w:rsidR="00181077" w:rsidRPr="00181077">
        <w:rPr>
          <w:b/>
          <w:i/>
          <w:lang w:val="fr-FR"/>
        </w:rPr>
        <w:t>Bulletin de l'Academie Royale de Medicine de Belgique</w:t>
      </w:r>
      <w:r w:rsidRPr="00181077">
        <w:rPr>
          <w:lang w:val="fr-FR"/>
        </w:rPr>
        <w:t>, 6(6): 479-500.</w:t>
      </w:r>
    </w:p>
    <w:p w14:paraId="086A87BE" w14:textId="7ED528F0" w:rsidR="00832B7A" w:rsidRPr="00F005EB" w:rsidRDefault="00832B7A" w:rsidP="00693F40">
      <w:pPr>
        <w:pStyle w:val="EndNoteBibliography"/>
        <w:spacing w:after="0"/>
        <w:ind w:left="720" w:hanging="720"/>
        <w:jc w:val="both"/>
      </w:pPr>
      <w:r w:rsidRPr="00181077">
        <w:rPr>
          <w:lang w:val="fr-FR"/>
        </w:rPr>
        <w:t xml:space="preserve">Ferguson, A.,  Carswell, F. </w:t>
      </w:r>
      <w:r w:rsidR="00181077" w:rsidRPr="00181077">
        <w:rPr>
          <w:lang w:val="fr-FR"/>
        </w:rPr>
        <w:t>(</w:t>
      </w:r>
      <w:r w:rsidRPr="00181077">
        <w:rPr>
          <w:lang w:val="fr-FR"/>
        </w:rPr>
        <w:t>1972</w:t>
      </w:r>
      <w:r w:rsidR="00181077" w:rsidRPr="00181077">
        <w:rPr>
          <w:lang w:val="fr-FR"/>
        </w:rPr>
        <w:t>)</w:t>
      </w:r>
      <w:r w:rsidRPr="00181077">
        <w:rPr>
          <w:lang w:val="fr-FR"/>
        </w:rPr>
        <w:t xml:space="preserve">. </w:t>
      </w:r>
      <w:r w:rsidRPr="00F005EB">
        <w:t xml:space="preserve">Precipitins to dietary proteins in serum and upper intestinal secretions of coeliac children. </w:t>
      </w:r>
      <w:r w:rsidR="00181077">
        <w:rPr>
          <w:b/>
          <w:i/>
        </w:rPr>
        <w:t>British Medical Journal</w:t>
      </w:r>
      <w:r w:rsidRPr="00F005EB">
        <w:t>, 1(5792): 75-77.</w:t>
      </w:r>
    </w:p>
    <w:p w14:paraId="79E62FC7" w14:textId="19AB4BA6" w:rsidR="00832B7A" w:rsidRPr="00832B7A" w:rsidRDefault="00832B7A" w:rsidP="00693F40">
      <w:pPr>
        <w:pStyle w:val="EndNoteBibliography"/>
        <w:spacing w:after="0"/>
        <w:ind w:left="720" w:hanging="720"/>
        <w:jc w:val="both"/>
        <w:rPr>
          <w:lang w:val="pt-BR"/>
        </w:rPr>
      </w:pPr>
      <w:r w:rsidRPr="00F005EB">
        <w:t xml:space="preserve">Fernández-Caldas, E., Fox, R. W., Bucholtz, G. A., Trudeau, W. L., Ledford, D. K.,  Lockey, R. F. </w:t>
      </w:r>
      <w:r w:rsidR="00181077">
        <w:t>(</w:t>
      </w:r>
      <w:r w:rsidRPr="00F005EB">
        <w:t>1990</w:t>
      </w:r>
      <w:r w:rsidR="00181077">
        <w:t>)</w:t>
      </w:r>
      <w:r w:rsidRPr="00F005EB">
        <w:t xml:space="preserve">. House dust mite allergy in Florida. Mite survey in households of mite-sensitive individuals in Tampa, Florida. </w:t>
      </w:r>
      <w:r w:rsidRPr="00832B7A">
        <w:rPr>
          <w:b/>
          <w:i/>
          <w:lang w:val="pt-BR"/>
        </w:rPr>
        <w:t>Allergy Proc</w:t>
      </w:r>
      <w:r w:rsidR="00181077">
        <w:rPr>
          <w:b/>
          <w:i/>
          <w:lang w:val="pt-BR"/>
        </w:rPr>
        <w:t>eedings</w:t>
      </w:r>
      <w:r w:rsidRPr="00832B7A">
        <w:rPr>
          <w:lang w:val="pt-BR"/>
        </w:rPr>
        <w:t>, 11(6): 263-267.</w:t>
      </w:r>
    </w:p>
    <w:p w14:paraId="0EC3E87F" w14:textId="6983768B" w:rsidR="00832B7A" w:rsidRPr="00F005EB" w:rsidRDefault="00832B7A" w:rsidP="00693F40">
      <w:pPr>
        <w:pStyle w:val="EndNoteBibliography"/>
        <w:spacing w:after="0"/>
        <w:ind w:left="720" w:hanging="720"/>
        <w:jc w:val="both"/>
      </w:pPr>
      <w:r w:rsidRPr="00832B7A">
        <w:rPr>
          <w:lang w:val="pt-BR"/>
        </w:rPr>
        <w:t xml:space="preserve">Fernández-Caldas, E., Puerta, L., Mercado, D., Lockey, R. F.,  Caraballo, L. R. </w:t>
      </w:r>
      <w:r w:rsidR="00181077">
        <w:rPr>
          <w:lang w:val="pt-BR"/>
        </w:rPr>
        <w:t>(</w:t>
      </w:r>
      <w:r w:rsidRPr="00832B7A">
        <w:rPr>
          <w:lang w:val="pt-BR"/>
        </w:rPr>
        <w:t>1993</w:t>
      </w:r>
      <w:r w:rsidR="00181077">
        <w:rPr>
          <w:lang w:val="pt-BR"/>
        </w:rPr>
        <w:t>)</w:t>
      </w:r>
      <w:r w:rsidRPr="00832B7A">
        <w:rPr>
          <w:lang w:val="pt-BR"/>
        </w:rPr>
        <w:t xml:space="preserve">. </w:t>
      </w:r>
      <w:r w:rsidRPr="00F005EB">
        <w:t xml:space="preserve">Mite fauna, Der p I, Der f I and Blomia tropicalis allergen levels in a tropical environment. </w:t>
      </w:r>
      <w:r w:rsidR="004B623E" w:rsidRPr="004B623E">
        <w:rPr>
          <w:b/>
        </w:rPr>
        <w:t>Clinical and Experimental Allergy</w:t>
      </w:r>
      <w:r w:rsidRPr="00F005EB">
        <w:t>, 23(4): 292-297.</w:t>
      </w:r>
    </w:p>
    <w:p w14:paraId="0CBB05B7" w14:textId="430D9C73" w:rsidR="00832B7A" w:rsidRDefault="00832B7A" w:rsidP="00693F40">
      <w:pPr>
        <w:pStyle w:val="EndNoteBibliography"/>
        <w:spacing w:after="0"/>
        <w:ind w:left="720" w:hanging="720"/>
        <w:jc w:val="both"/>
      </w:pPr>
      <w:r w:rsidRPr="00F005EB">
        <w:t xml:space="preserve">Fink, A., Heller, L., Eliraz, A., Weisman, Z., Miskin, A., Schlezinger, M., </w:t>
      </w:r>
      <w:r w:rsidR="00181077">
        <w:t>et al.</w:t>
      </w:r>
      <w:r w:rsidRPr="00F005EB">
        <w:t xml:space="preserve"> </w:t>
      </w:r>
      <w:r w:rsidR="00181077">
        <w:t>(</w:t>
      </w:r>
      <w:r w:rsidRPr="00F005EB">
        <w:t>1987</w:t>
      </w:r>
      <w:r w:rsidR="00181077">
        <w:t>)</w:t>
      </w:r>
      <w:r w:rsidRPr="00F005EB">
        <w:t xml:space="preserve">. Allergen-specific leukocyte adherence inhibition (LAI) assay: sensitivity, specificity and mechanism. </w:t>
      </w:r>
      <w:r w:rsidRPr="00F005EB">
        <w:rPr>
          <w:b/>
          <w:i/>
        </w:rPr>
        <w:t>Immunology Letters</w:t>
      </w:r>
      <w:r w:rsidRPr="00F005EB">
        <w:t>, 16(1): 65-70.</w:t>
      </w:r>
    </w:p>
    <w:p w14:paraId="3229FDB2" w14:textId="5717F533" w:rsidR="009B36C9" w:rsidRPr="00F005EB" w:rsidRDefault="009B36C9" w:rsidP="00693F40">
      <w:pPr>
        <w:pStyle w:val="EndNoteBibliography"/>
        <w:spacing w:after="0"/>
        <w:ind w:left="720" w:hanging="720"/>
        <w:jc w:val="both"/>
      </w:pPr>
      <w:r w:rsidRPr="00F005EB">
        <w:t xml:space="preserve">Gell, P. G. H.  </w:t>
      </w:r>
      <w:r w:rsidR="004B623E">
        <w:t xml:space="preserve">and </w:t>
      </w:r>
      <w:r w:rsidRPr="00F005EB">
        <w:t xml:space="preserve">Coombs, R. R. A. (1968). Classification of allergic reactions responsible for clinical hypersensitivity and disease. </w:t>
      </w:r>
      <w:r w:rsidR="008D5A42">
        <w:rPr>
          <w:i/>
        </w:rPr>
        <w:t>I</w:t>
      </w:r>
      <w:r w:rsidRPr="00F005EB">
        <w:rPr>
          <w:i/>
        </w:rPr>
        <w:t xml:space="preserve">n: </w:t>
      </w:r>
      <w:r w:rsidRPr="00181077">
        <w:rPr>
          <w:b/>
          <w:bCs/>
          <w:i/>
        </w:rPr>
        <w:t>Clinical Aspects of Immunology</w:t>
      </w:r>
      <w:r w:rsidRPr="00F005EB">
        <w:rPr>
          <w:i/>
        </w:rPr>
        <w:t xml:space="preserve"> </w:t>
      </w:r>
      <w:r w:rsidRPr="00F005EB">
        <w:t>(5th. ed., pp 576-596) Oxford Blackwell Scientific Publications.</w:t>
      </w:r>
    </w:p>
    <w:p w14:paraId="7DD6EC15" w14:textId="0136E5A5" w:rsidR="00832B7A" w:rsidRPr="00F005EB" w:rsidRDefault="00832B7A" w:rsidP="00693F40">
      <w:pPr>
        <w:pStyle w:val="EndNoteBibliography"/>
        <w:spacing w:after="0"/>
        <w:ind w:left="720" w:hanging="720"/>
        <w:jc w:val="both"/>
      </w:pPr>
      <w:r w:rsidRPr="00F005EB">
        <w:t xml:space="preserve">Gell, P. G. H., Harington, C. R.,  Rivers, R. P. </w:t>
      </w:r>
      <w:r w:rsidR="00181077">
        <w:t>(</w:t>
      </w:r>
      <w:r w:rsidRPr="00F005EB">
        <w:t>1946</w:t>
      </w:r>
      <w:r w:rsidR="00181077">
        <w:t>)</w:t>
      </w:r>
      <w:r w:rsidRPr="00F005EB">
        <w:t xml:space="preserve">. The antigenic function of simple chemical compounds; production of precipitins in rabbits. </w:t>
      </w:r>
      <w:r w:rsidRPr="00F005EB">
        <w:rPr>
          <w:b/>
          <w:i/>
        </w:rPr>
        <w:t>British Journal of Experimental Pathology</w:t>
      </w:r>
      <w:r w:rsidRPr="00F005EB">
        <w:t>, 27(5): 267-286.</w:t>
      </w:r>
    </w:p>
    <w:p w14:paraId="392BE115" w14:textId="5BB244AE" w:rsidR="00832B7A" w:rsidRPr="00F005EB" w:rsidRDefault="00832B7A" w:rsidP="00693F40">
      <w:pPr>
        <w:pStyle w:val="EndNoteBibliography"/>
        <w:spacing w:after="0"/>
        <w:ind w:left="720" w:hanging="720"/>
        <w:jc w:val="both"/>
      </w:pPr>
      <w:r w:rsidRPr="00F005EB">
        <w:t xml:space="preserve">George, M., Vaughan, J. H. </w:t>
      </w:r>
      <w:r w:rsidR="00181077">
        <w:t>(</w:t>
      </w:r>
      <w:r w:rsidRPr="00F005EB">
        <w:t>1962</w:t>
      </w:r>
      <w:r w:rsidR="00181077">
        <w:t>)</w:t>
      </w:r>
      <w:r w:rsidRPr="00F005EB">
        <w:t xml:space="preserve">. In vitro cell migration as a model for delayed hypersensitivity. </w:t>
      </w:r>
      <w:r w:rsidR="004B623E">
        <w:rPr>
          <w:b/>
          <w:i/>
        </w:rPr>
        <w:t>Proceedings of the Society of Experimental Biology and Medicine</w:t>
      </w:r>
      <w:r w:rsidRPr="00F005EB">
        <w:t>, 111: 514-521.</w:t>
      </w:r>
    </w:p>
    <w:p w14:paraId="6366BB6B" w14:textId="1AB82164" w:rsidR="00832B7A" w:rsidRPr="00F005EB" w:rsidRDefault="00832B7A" w:rsidP="00693F40">
      <w:pPr>
        <w:pStyle w:val="EndNoteBibliography"/>
        <w:spacing w:after="0"/>
        <w:ind w:left="720" w:hanging="720"/>
        <w:jc w:val="both"/>
      </w:pPr>
      <w:r w:rsidRPr="00F005EB">
        <w:t xml:space="preserve">Halliday, W. J., Maluish, A.,  Miller, S. </w:t>
      </w:r>
      <w:r w:rsidR="00181077">
        <w:t>(</w:t>
      </w:r>
      <w:r w:rsidRPr="00F005EB">
        <w:t>1974</w:t>
      </w:r>
      <w:r w:rsidR="00181077">
        <w:t>)</w:t>
      </w:r>
      <w:r w:rsidRPr="00F005EB">
        <w:t xml:space="preserve">. Blocking and unblocking of cell-mediated anti-tumor immunity in mice, as detected by the leucocyte adherence inhibition test. </w:t>
      </w:r>
      <w:r w:rsidRPr="00F005EB">
        <w:rPr>
          <w:b/>
          <w:i/>
        </w:rPr>
        <w:t>Cellular Immunology</w:t>
      </w:r>
      <w:r w:rsidRPr="00F005EB">
        <w:t>, 10(3): 467-475.</w:t>
      </w:r>
    </w:p>
    <w:p w14:paraId="7730DB13" w14:textId="1B202121" w:rsidR="00832B7A" w:rsidRPr="00F005EB" w:rsidRDefault="00832B7A" w:rsidP="00693F40">
      <w:pPr>
        <w:pStyle w:val="EndNoteBibliography"/>
        <w:spacing w:after="0"/>
        <w:ind w:left="720" w:hanging="720"/>
        <w:jc w:val="both"/>
      </w:pPr>
      <w:r w:rsidRPr="00F005EB">
        <w:t xml:space="preserve">Hasnain, S. M., Alqassim, A.,  Al-Frayl, A. </w:t>
      </w:r>
      <w:r w:rsidR="00181077">
        <w:t>(</w:t>
      </w:r>
      <w:r w:rsidRPr="00F005EB">
        <w:t>2017</w:t>
      </w:r>
      <w:r w:rsidR="00181077">
        <w:t>)</w:t>
      </w:r>
      <w:r w:rsidRPr="00F005EB">
        <w:t xml:space="preserve">. Diagnosis of allergy: IgE mediated cross-reactions amongst selected asthma elicitors. </w:t>
      </w:r>
      <w:r w:rsidRPr="00F005EB">
        <w:rPr>
          <w:b/>
          <w:i/>
        </w:rPr>
        <w:t>Journal of Disease and Global Health</w:t>
      </w:r>
      <w:r w:rsidRPr="00F005EB">
        <w:t>, 10(4): 111-122.</w:t>
      </w:r>
    </w:p>
    <w:p w14:paraId="285154A0" w14:textId="35B01D78" w:rsidR="00832B7A" w:rsidRPr="00F005EB" w:rsidRDefault="00832B7A" w:rsidP="00693F40">
      <w:pPr>
        <w:pStyle w:val="EndNoteBibliography"/>
        <w:spacing w:after="0"/>
        <w:ind w:left="720" w:hanging="720"/>
        <w:jc w:val="both"/>
      </w:pPr>
      <w:r w:rsidRPr="00F005EB">
        <w:t xml:space="preserve">Heiner, D. C., Sears, J. W.,  Kniker, W. T. </w:t>
      </w:r>
      <w:r w:rsidR="00181077">
        <w:t>(</w:t>
      </w:r>
      <w:r w:rsidRPr="00F005EB">
        <w:t>1962</w:t>
      </w:r>
      <w:r w:rsidR="00181077">
        <w:t>)</w:t>
      </w:r>
      <w:r w:rsidRPr="00F005EB">
        <w:t xml:space="preserve">. Multiple Precipitins to Cow's Milk in Chronic Respiratory Disease: A Syndrome Including Poor Growth, Gastrointestinal Symptoms, Evidence of Allergy, Iron Deficiency Anemia, and Pulmonary Hemosiderosis. </w:t>
      </w:r>
      <w:r w:rsidRPr="00F005EB">
        <w:rPr>
          <w:b/>
          <w:i/>
        </w:rPr>
        <w:t>American Journal of Diseases of Children</w:t>
      </w:r>
      <w:r w:rsidRPr="00F005EB">
        <w:t>, 103(5): 634-654.</w:t>
      </w:r>
    </w:p>
    <w:p w14:paraId="5328472E" w14:textId="1B5F94F0" w:rsidR="00832B7A" w:rsidRPr="00F005EB" w:rsidRDefault="00832B7A" w:rsidP="00693F40">
      <w:pPr>
        <w:pStyle w:val="EndNoteBibliography"/>
        <w:spacing w:after="0"/>
        <w:ind w:left="720" w:hanging="720"/>
        <w:jc w:val="both"/>
      </w:pPr>
      <w:r w:rsidRPr="00F005EB">
        <w:t xml:space="preserve">Hubert, J., Vrtala, S., Sopko, B., Dowd, S. E., He, Q., Klimov, P. B., </w:t>
      </w:r>
      <w:r w:rsidR="00181077">
        <w:t>et al</w:t>
      </w:r>
      <w:r w:rsidRPr="00F005EB">
        <w:t xml:space="preserve">. </w:t>
      </w:r>
      <w:r w:rsidR="00181077">
        <w:t>(</w:t>
      </w:r>
      <w:r w:rsidRPr="00F005EB">
        <w:t>2023</w:t>
      </w:r>
      <w:r w:rsidR="00181077">
        <w:t>)</w:t>
      </w:r>
      <w:r w:rsidRPr="00F005EB">
        <w:t>. Predicting Blomia tropicalis allergens using a multiomics approach. 13(10): e12302.</w:t>
      </w:r>
    </w:p>
    <w:p w14:paraId="4B3F8D5F" w14:textId="5CCB244E" w:rsidR="00832B7A" w:rsidRPr="00F005EB" w:rsidRDefault="00832B7A" w:rsidP="00693F40">
      <w:pPr>
        <w:pStyle w:val="EndNoteBibliography"/>
        <w:spacing w:after="0"/>
        <w:ind w:left="720" w:hanging="720"/>
        <w:jc w:val="both"/>
      </w:pPr>
      <w:r w:rsidRPr="00F005EB">
        <w:t xml:space="preserve">Hunter, A. </w:t>
      </w:r>
      <w:r w:rsidR="00181077">
        <w:t>(</w:t>
      </w:r>
      <w:r w:rsidRPr="00F005EB">
        <w:t>1905</w:t>
      </w:r>
      <w:r w:rsidR="00181077">
        <w:t>)</w:t>
      </w:r>
      <w:r w:rsidRPr="00F005EB">
        <w:t xml:space="preserve">. On the chemical specificity of precipitins. </w:t>
      </w:r>
      <w:r w:rsidR="00181077">
        <w:rPr>
          <w:b/>
          <w:i/>
        </w:rPr>
        <w:t>The Journal of Physiology</w:t>
      </w:r>
      <w:r w:rsidRPr="00F005EB">
        <w:t>, 32(5-6): 327-342.</w:t>
      </w:r>
    </w:p>
    <w:p w14:paraId="601F514C" w14:textId="20DE097B" w:rsidR="00832B7A" w:rsidRPr="00F005EB" w:rsidRDefault="00832B7A" w:rsidP="00693F40">
      <w:pPr>
        <w:pStyle w:val="EndNoteBibliography"/>
        <w:spacing w:after="0"/>
        <w:ind w:left="720" w:hanging="720"/>
        <w:jc w:val="both"/>
      </w:pPr>
      <w:r w:rsidRPr="00F005EB">
        <w:t xml:space="preserve">Jutel, M., Agache, I., Zemelka-Wiacek, M., Akdis, M., Chivato, T., Del Giacco, S., </w:t>
      </w:r>
      <w:r w:rsidR="00181077">
        <w:t>et al.</w:t>
      </w:r>
      <w:r w:rsidRPr="00F005EB">
        <w:t xml:space="preserve"> </w:t>
      </w:r>
      <w:r w:rsidR="00181077">
        <w:t>(</w:t>
      </w:r>
      <w:r w:rsidRPr="00F005EB">
        <w:t>2023</w:t>
      </w:r>
      <w:r w:rsidR="00181077">
        <w:t>)</w:t>
      </w:r>
      <w:r w:rsidRPr="00F005EB">
        <w:t xml:space="preserve">. Nomenclature of allergic diseases and hypersensitivity reactions: Adapted to modern needs: An EAACI position paper. </w:t>
      </w:r>
      <w:r w:rsidRPr="00F005EB">
        <w:rPr>
          <w:b/>
          <w:i/>
        </w:rPr>
        <w:t>Allergy</w:t>
      </w:r>
      <w:r w:rsidRPr="00F005EB">
        <w:t>, 78(11): 2851-2874.</w:t>
      </w:r>
    </w:p>
    <w:p w14:paraId="2C7EBE02" w14:textId="06D87C87" w:rsidR="00832B7A" w:rsidRPr="00F005EB" w:rsidRDefault="00832B7A" w:rsidP="00693F40">
      <w:pPr>
        <w:pStyle w:val="EndNoteBibliography"/>
        <w:spacing w:after="0"/>
        <w:ind w:left="720" w:hanging="720"/>
        <w:jc w:val="both"/>
      </w:pPr>
      <w:r w:rsidRPr="00F005EB">
        <w:t xml:space="preserve">Kallen, B.,  Nilsson, O. </w:t>
      </w:r>
      <w:r w:rsidR="00181077">
        <w:t>(</w:t>
      </w:r>
      <w:r w:rsidRPr="00F005EB">
        <w:t>1979</w:t>
      </w:r>
      <w:r w:rsidR="00181077">
        <w:t>)</w:t>
      </w:r>
      <w:r w:rsidRPr="00F005EB">
        <w:t>. Effect of enceph</w:t>
      </w:r>
      <w:r w:rsidR="008D5A42">
        <w:t>a</w:t>
      </w:r>
      <w:r w:rsidRPr="00F005EB">
        <w:t xml:space="preserve">litogenic protein. PPD and tetanus toxoid on leukocyte migration in agarose. A study of "cross-reactivity". </w:t>
      </w:r>
      <w:r w:rsidRPr="00F005EB">
        <w:rPr>
          <w:b/>
          <w:i/>
        </w:rPr>
        <w:t>Allergy</w:t>
      </w:r>
      <w:r w:rsidRPr="00F005EB">
        <w:t>, 34(2): 97-102.</w:t>
      </w:r>
    </w:p>
    <w:p w14:paraId="154C0DB3" w14:textId="0FC88AD0" w:rsidR="00832B7A" w:rsidRPr="00F005EB" w:rsidRDefault="00832B7A" w:rsidP="00693F40">
      <w:pPr>
        <w:pStyle w:val="EndNoteBibliography"/>
        <w:spacing w:after="0"/>
        <w:ind w:left="720" w:hanging="720"/>
        <w:jc w:val="both"/>
      </w:pPr>
      <w:r w:rsidRPr="00F005EB">
        <w:t xml:space="preserve">Kuratsuji, T. </w:t>
      </w:r>
      <w:r w:rsidR="00181077">
        <w:t>(</w:t>
      </w:r>
      <w:r w:rsidRPr="00F005EB">
        <w:t>1981</w:t>
      </w:r>
      <w:r w:rsidR="00181077">
        <w:t>)</w:t>
      </w:r>
      <w:r w:rsidRPr="00F005EB">
        <w:t xml:space="preserve">. Studies on leukocyte adherence inhibition test. Part II. Clinical applications of </w:t>
      </w:r>
      <w:r w:rsidR="008D5A42">
        <w:t>the LAI test to detect delayed-</w:t>
      </w:r>
      <w:r w:rsidRPr="00F005EB">
        <w:t xml:space="preserve">type hypersensitivity in infants and children. </w:t>
      </w:r>
      <w:r w:rsidRPr="00F005EB">
        <w:rPr>
          <w:b/>
          <w:i/>
        </w:rPr>
        <w:t>Keio Journal of Medicine</w:t>
      </w:r>
      <w:r w:rsidRPr="00F005EB">
        <w:t>, 30(2): 65-69.</w:t>
      </w:r>
    </w:p>
    <w:p w14:paraId="21B63DA2" w14:textId="67EFB176" w:rsidR="00832B7A" w:rsidRPr="00F005EB" w:rsidRDefault="00832B7A" w:rsidP="00693F40">
      <w:pPr>
        <w:pStyle w:val="EndNoteBibliography"/>
        <w:spacing w:after="0"/>
        <w:ind w:left="720" w:hanging="720"/>
        <w:jc w:val="both"/>
      </w:pPr>
      <w:r w:rsidRPr="004B623E">
        <w:rPr>
          <w:lang w:val="pt-BR"/>
        </w:rPr>
        <w:t xml:space="preserve">Martínez, D., Fang, L., Meza-Torres, C., Garavito, G., López-Lluch, G.,  Egea, E. </w:t>
      </w:r>
      <w:r w:rsidR="00181077">
        <w:rPr>
          <w:lang w:val="pt-BR"/>
        </w:rPr>
        <w:t>(</w:t>
      </w:r>
      <w:r w:rsidRPr="004B623E">
        <w:rPr>
          <w:lang w:val="pt-BR"/>
        </w:rPr>
        <w:t>2024</w:t>
      </w:r>
      <w:r w:rsidR="00181077">
        <w:rPr>
          <w:lang w:val="pt-BR"/>
        </w:rPr>
        <w:t>)</w:t>
      </w:r>
      <w:r w:rsidRPr="004B623E">
        <w:rPr>
          <w:lang w:val="pt-BR"/>
        </w:rPr>
        <w:t xml:space="preserve">. </w:t>
      </w:r>
      <w:r w:rsidRPr="00F005EB">
        <w:t xml:space="preserve">Toward Consensus Epitopes B </w:t>
      </w:r>
      <w:r w:rsidRPr="00F005EB">
        <w:lastRenderedPageBreak/>
        <w:t xml:space="preserve">and T of Tropomyosin Involved in Cross-Reactivity across Diverse Allergens: An In Silico Study. </w:t>
      </w:r>
      <w:r w:rsidRPr="00F005EB">
        <w:rPr>
          <w:b/>
          <w:i/>
        </w:rPr>
        <w:t>Biomedicines</w:t>
      </w:r>
      <w:r w:rsidRPr="00F005EB">
        <w:t>, 12(4).</w:t>
      </w:r>
    </w:p>
    <w:p w14:paraId="67672CC4" w14:textId="0B03F81E" w:rsidR="00832B7A" w:rsidRPr="00832B7A" w:rsidRDefault="00832B7A" w:rsidP="00693F40">
      <w:pPr>
        <w:pStyle w:val="EndNoteBibliography"/>
        <w:spacing w:after="0"/>
        <w:ind w:left="720" w:hanging="720"/>
        <w:jc w:val="both"/>
        <w:rPr>
          <w:lang w:val="pt-BR"/>
        </w:rPr>
      </w:pPr>
      <w:r w:rsidRPr="00F005EB">
        <w:t xml:space="preserve">Miltner, L. A., Vonk, J. M., van der Velde, J. L.,  Sprikkelman, A. B. </w:t>
      </w:r>
      <w:r w:rsidR="00181077">
        <w:t>(</w:t>
      </w:r>
      <w:r w:rsidRPr="00F005EB">
        <w:t>2024</w:t>
      </w:r>
      <w:r w:rsidR="00181077">
        <w:t>)</w:t>
      </w:r>
      <w:r w:rsidRPr="00F005EB">
        <w:t xml:space="preserve">. Eczema in early childhood increases the risk of allergic multimorbidity. </w:t>
      </w:r>
      <w:r w:rsidR="00181077" w:rsidRPr="00181077">
        <w:rPr>
          <w:b/>
          <w:i/>
          <w:lang w:val="pt-BR"/>
        </w:rPr>
        <w:t>Clinical and Translational Allergy</w:t>
      </w:r>
      <w:r w:rsidRPr="00832B7A">
        <w:rPr>
          <w:lang w:val="pt-BR"/>
        </w:rPr>
        <w:t>, 14(9): e12384.</w:t>
      </w:r>
    </w:p>
    <w:p w14:paraId="7C2D4EE4" w14:textId="0BC3185F" w:rsidR="00832B7A" w:rsidRPr="00F005EB" w:rsidRDefault="00832B7A" w:rsidP="00693F40">
      <w:pPr>
        <w:pStyle w:val="EndNoteBibliography"/>
        <w:spacing w:after="0"/>
        <w:ind w:left="720" w:hanging="720"/>
        <w:jc w:val="both"/>
      </w:pPr>
      <w:r w:rsidRPr="00832B7A">
        <w:rPr>
          <w:lang w:val="pt-BR"/>
        </w:rPr>
        <w:t xml:space="preserve">Miyamoto, T., Oshima, S., Mizuno, K., Sasa, M.,  Ishizaki, T. </w:t>
      </w:r>
      <w:r w:rsidR="00181077">
        <w:rPr>
          <w:lang w:val="pt-BR"/>
        </w:rPr>
        <w:t>(</w:t>
      </w:r>
      <w:r w:rsidRPr="00832B7A">
        <w:rPr>
          <w:lang w:val="pt-BR"/>
        </w:rPr>
        <w:t>1969</w:t>
      </w:r>
      <w:r w:rsidR="00181077">
        <w:rPr>
          <w:lang w:val="pt-BR"/>
        </w:rPr>
        <w:t>)</w:t>
      </w:r>
      <w:r w:rsidRPr="00832B7A">
        <w:rPr>
          <w:lang w:val="pt-BR"/>
        </w:rPr>
        <w:t xml:space="preserve">. </w:t>
      </w:r>
      <w:r w:rsidRPr="00F005EB">
        <w:t xml:space="preserve">Cross-antigenicity among six species of dust mites and house dust antigens. </w:t>
      </w:r>
      <w:r w:rsidR="00181077">
        <w:rPr>
          <w:b/>
          <w:i/>
        </w:rPr>
        <w:t>Journal of Allergy</w:t>
      </w:r>
      <w:r w:rsidRPr="00F005EB">
        <w:t>, 44(4): 228-238.</w:t>
      </w:r>
    </w:p>
    <w:p w14:paraId="71386C0C" w14:textId="1E365F49" w:rsidR="00832B7A" w:rsidRPr="00F005EB" w:rsidRDefault="00832B7A" w:rsidP="00693F40">
      <w:pPr>
        <w:pStyle w:val="EndNoteBibliography"/>
        <w:spacing w:after="0"/>
        <w:ind w:left="720" w:hanging="720"/>
        <w:jc w:val="both"/>
      </w:pPr>
      <w:r w:rsidRPr="00F005EB">
        <w:t xml:space="preserve">Morgan, J. E., O'Neil, C. E., Daul, C. B.,  Lehrer, S. B. </w:t>
      </w:r>
      <w:r w:rsidR="00181077">
        <w:t>(</w:t>
      </w:r>
      <w:r w:rsidRPr="00F005EB">
        <w:t>1989</w:t>
      </w:r>
      <w:r w:rsidR="00181077">
        <w:t>)</w:t>
      </w:r>
      <w:r w:rsidRPr="00F005EB">
        <w:t xml:space="preserve">. Species-specific shrimp allergens: RAST and RAST-inhibition studies. </w:t>
      </w:r>
      <w:r w:rsidR="004B623E">
        <w:rPr>
          <w:b/>
          <w:i/>
        </w:rPr>
        <w:t>Journal of Allergy and Clinical Immunology</w:t>
      </w:r>
      <w:r w:rsidRPr="00F005EB">
        <w:t>, 83(6): 1112-1117.</w:t>
      </w:r>
    </w:p>
    <w:p w14:paraId="1C9605DE" w14:textId="35B754D0" w:rsidR="00832B7A" w:rsidRPr="00F005EB" w:rsidRDefault="00832B7A" w:rsidP="00693F40">
      <w:pPr>
        <w:pStyle w:val="EndNoteBibliography"/>
        <w:spacing w:after="0"/>
        <w:ind w:left="720" w:hanging="720"/>
        <w:jc w:val="both"/>
      </w:pPr>
      <w:r w:rsidRPr="00181077">
        <w:t xml:space="preserve">Olivier, C. E., Argentão, D. G. P., Santos, R. A. P. G., Silva, M. D., Lima, R. P. S.,  Zollner, R. L. </w:t>
      </w:r>
      <w:r w:rsidR="00181077" w:rsidRPr="00181077">
        <w:t>(</w:t>
      </w:r>
      <w:r w:rsidRPr="00181077">
        <w:t>2013</w:t>
      </w:r>
      <w:r w:rsidR="00181077" w:rsidRPr="00181077">
        <w:t>)</w:t>
      </w:r>
      <w:r w:rsidRPr="00181077">
        <w:t xml:space="preserve">. </w:t>
      </w:r>
      <w:r w:rsidRPr="00F005EB">
        <w:t xml:space="preserve">Skin scrape test: an inexpensive and painless skin test for recognition of immediate hypersensitivity in children and adults. </w:t>
      </w:r>
      <w:r w:rsidRPr="00F005EB">
        <w:rPr>
          <w:b/>
          <w:i/>
        </w:rPr>
        <w:t>The Open Allergy Journal</w:t>
      </w:r>
      <w:r w:rsidRPr="00F005EB">
        <w:t>, 6: 9-17.</w:t>
      </w:r>
    </w:p>
    <w:p w14:paraId="426BD2B7" w14:textId="35C15B19" w:rsidR="00832B7A" w:rsidRPr="00F005EB" w:rsidRDefault="00832B7A" w:rsidP="00693F40">
      <w:pPr>
        <w:pStyle w:val="EndNoteBibliography"/>
        <w:spacing w:after="0"/>
        <w:ind w:left="720" w:hanging="720"/>
        <w:jc w:val="both"/>
      </w:pPr>
      <w:r w:rsidRPr="008D5A42">
        <w:rPr>
          <w:lang w:val="pt-BR"/>
        </w:rPr>
        <w:t xml:space="preserve">Olivier, C. E., Lima, R. P. S., Pinto, D. G.,  Santos, R. A. P. G. d. </w:t>
      </w:r>
      <w:r w:rsidR="00181077">
        <w:rPr>
          <w:lang w:val="pt-BR"/>
        </w:rPr>
        <w:t>(</w:t>
      </w:r>
      <w:r w:rsidRPr="008D5A42">
        <w:rPr>
          <w:lang w:val="pt-BR"/>
        </w:rPr>
        <w:t>2021a</w:t>
      </w:r>
      <w:r w:rsidR="00181077">
        <w:rPr>
          <w:lang w:val="pt-BR"/>
        </w:rPr>
        <w:t>)</w:t>
      </w:r>
      <w:r w:rsidRPr="008D5A42">
        <w:rPr>
          <w:lang w:val="pt-BR"/>
        </w:rPr>
        <w:t xml:space="preserve">. </w:t>
      </w:r>
      <w:r w:rsidRPr="00F005EB">
        <w:t xml:space="preserve">The Plasma Preincubation with Papain Before the Assay Suggests that a Gell and Coombs Type II Reaction is Been Demonstrated by the Leukocyte Adherence Inhibition Test. </w:t>
      </w:r>
      <w:r w:rsidRPr="00F005EB">
        <w:rPr>
          <w:b/>
          <w:i/>
        </w:rPr>
        <w:t xml:space="preserve">Biomedical Journal of Scientific </w:t>
      </w:r>
      <w:r w:rsidR="008D5A42">
        <w:rPr>
          <w:b/>
          <w:i/>
        </w:rPr>
        <w:t xml:space="preserve">and Technical Research, </w:t>
      </w:r>
      <w:r w:rsidR="008D5A42" w:rsidRPr="00181077">
        <w:rPr>
          <w:bCs/>
          <w:i/>
        </w:rPr>
        <w:t>36(3): 28647</w:t>
      </w:r>
      <w:r w:rsidR="008D5A42">
        <w:rPr>
          <w:b/>
          <w:i/>
        </w:rPr>
        <w:t>-</w:t>
      </w:r>
      <w:r w:rsidRPr="00F005EB">
        <w:t>28655.</w:t>
      </w:r>
    </w:p>
    <w:p w14:paraId="3D7F91BE" w14:textId="75C92FFD" w:rsidR="00832B7A" w:rsidRPr="00832B7A" w:rsidRDefault="00832B7A" w:rsidP="00693F40">
      <w:pPr>
        <w:pStyle w:val="EndNoteBibliography"/>
        <w:spacing w:after="0"/>
        <w:ind w:left="720" w:hanging="720"/>
        <w:jc w:val="both"/>
        <w:rPr>
          <w:lang w:val="pt-BR"/>
        </w:rPr>
      </w:pPr>
      <w:r w:rsidRPr="00181077">
        <w:rPr>
          <w:lang w:val="pt-BR"/>
        </w:rPr>
        <w:t xml:space="preserve">Olivier, C. E., Lima, R. P. S., Pinto, D. G., Santos, R. A. P. G., Silva, G. K. M., Lorena, S. L. S., </w:t>
      </w:r>
      <w:r w:rsidR="00181077" w:rsidRPr="00181077">
        <w:rPr>
          <w:lang w:val="pt-BR"/>
        </w:rPr>
        <w:t>et al.</w:t>
      </w:r>
      <w:r w:rsidRPr="00181077">
        <w:rPr>
          <w:lang w:val="pt-BR"/>
        </w:rPr>
        <w:t xml:space="preserve"> </w:t>
      </w:r>
      <w:r w:rsidR="00181077">
        <w:t>(</w:t>
      </w:r>
      <w:r w:rsidRPr="00F005EB">
        <w:t>2012</w:t>
      </w:r>
      <w:r w:rsidR="00181077">
        <w:t>)</w:t>
      </w:r>
      <w:r w:rsidRPr="00F005EB">
        <w:t xml:space="preserve">. In search of a tolerance-induction strategy for cow's milk allergies: significant reduction of beta-lactoglobulin allergenicity via transglutaminase/cysteine polymerization. </w:t>
      </w:r>
      <w:r w:rsidRPr="00832B7A">
        <w:rPr>
          <w:b/>
          <w:i/>
          <w:lang w:val="pt-BR"/>
        </w:rPr>
        <w:t>Clinics</w:t>
      </w:r>
      <w:r w:rsidRPr="00832B7A">
        <w:rPr>
          <w:lang w:val="pt-BR"/>
        </w:rPr>
        <w:t>, 67(10): 1171-1179.</w:t>
      </w:r>
    </w:p>
    <w:p w14:paraId="62070901" w14:textId="19C5CE99" w:rsidR="00832B7A" w:rsidRPr="00F005EB" w:rsidRDefault="00832B7A" w:rsidP="00693F40">
      <w:pPr>
        <w:pStyle w:val="EndNoteBibliography"/>
        <w:spacing w:after="0"/>
        <w:ind w:left="720" w:hanging="720"/>
        <w:jc w:val="both"/>
      </w:pPr>
      <w:r w:rsidRPr="00832B7A">
        <w:rPr>
          <w:lang w:val="pt-BR"/>
        </w:rPr>
        <w:t xml:space="preserve">Olivier, C. E., Pinto, D. G., Lima, R. P. S., Silva, M. D. d., Santos, R. A. P. G., Teixeira, A. P. M.,  </w:t>
      </w:r>
      <w:r w:rsidR="00181077">
        <w:rPr>
          <w:lang w:val="pt-BR"/>
        </w:rPr>
        <w:t>et al</w:t>
      </w:r>
      <w:r w:rsidRPr="00832B7A">
        <w:rPr>
          <w:lang w:val="pt-BR"/>
        </w:rPr>
        <w:t xml:space="preserve">. </w:t>
      </w:r>
      <w:r w:rsidR="00181077">
        <w:rPr>
          <w:lang w:val="pt-BR"/>
        </w:rPr>
        <w:t>(</w:t>
      </w:r>
      <w:r w:rsidRPr="00832B7A">
        <w:rPr>
          <w:lang w:val="pt-BR"/>
        </w:rPr>
        <w:t>2021b</w:t>
      </w:r>
      <w:r w:rsidR="00181077">
        <w:rPr>
          <w:lang w:val="pt-BR"/>
        </w:rPr>
        <w:t>)</w:t>
      </w:r>
      <w:r w:rsidRPr="00832B7A">
        <w:rPr>
          <w:lang w:val="pt-BR"/>
        </w:rPr>
        <w:t xml:space="preserve">. </w:t>
      </w:r>
      <w:r w:rsidRPr="00F005EB">
        <w:t xml:space="preserve">Assessment of Immunoreactivity against Therapeutic Options Employing the Leukocyte </w:t>
      </w:r>
      <w:r w:rsidRPr="00F005EB">
        <w:t xml:space="preserve">Adherence Inhibition Test as a Tool for Precision Medicine. </w:t>
      </w:r>
      <w:r w:rsidRPr="00F005EB">
        <w:rPr>
          <w:b/>
          <w:i/>
        </w:rPr>
        <w:t>European Journal of Clinical Medicine</w:t>
      </w:r>
      <w:r w:rsidRPr="00F005EB">
        <w:t>, 2(3): 40-45.</w:t>
      </w:r>
    </w:p>
    <w:p w14:paraId="42F1432E" w14:textId="3CF9F631" w:rsidR="00832B7A" w:rsidRPr="00F005EB" w:rsidRDefault="00832B7A" w:rsidP="00693F40">
      <w:pPr>
        <w:pStyle w:val="EndNoteBibliography"/>
        <w:spacing w:after="0"/>
        <w:ind w:left="720" w:hanging="720"/>
        <w:jc w:val="both"/>
      </w:pPr>
      <w:r w:rsidRPr="00181077">
        <w:rPr>
          <w:lang w:val="pt-BR"/>
        </w:rPr>
        <w:t xml:space="preserve">Olivier, C. E., Pinto, D. G., Santos, R. A. P. G.,  Lima, R. P. S. </w:t>
      </w:r>
      <w:r w:rsidR="00181077" w:rsidRPr="00181077">
        <w:rPr>
          <w:lang w:val="pt-BR"/>
        </w:rPr>
        <w:t>(</w:t>
      </w:r>
      <w:r w:rsidRPr="00181077">
        <w:rPr>
          <w:lang w:val="pt-BR"/>
        </w:rPr>
        <w:t>2021c</w:t>
      </w:r>
      <w:r w:rsidR="00181077" w:rsidRPr="00181077">
        <w:rPr>
          <w:lang w:val="pt-BR"/>
        </w:rPr>
        <w:t>)</w:t>
      </w:r>
      <w:r w:rsidRPr="00181077">
        <w:rPr>
          <w:lang w:val="pt-BR"/>
        </w:rPr>
        <w:t xml:space="preserve">. </w:t>
      </w:r>
      <w:r w:rsidRPr="00F005EB">
        <w:t>Dextran</w:t>
      </w:r>
      <w:r w:rsidR="008D5A42">
        <w:t>'</w:t>
      </w:r>
      <w:r w:rsidRPr="00F005EB">
        <w:t xml:space="preserve">s interference over the Leukocyte Adherence Inhibition Test. </w:t>
      </w:r>
      <w:r w:rsidRPr="00F005EB">
        <w:rPr>
          <w:b/>
          <w:i/>
        </w:rPr>
        <w:t>Academia Letter</w:t>
      </w:r>
      <w:r w:rsidRPr="00F005EB">
        <w:t>, Article (number): 3792.</w:t>
      </w:r>
    </w:p>
    <w:p w14:paraId="3CAB110E" w14:textId="66BDEB72"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Miguel, C. S., Santos, R. A. P. G., Rocha, N. S.,  Et-al. </w:t>
      </w:r>
      <w:r w:rsidR="00181077">
        <w:rPr>
          <w:lang w:val="pt-BR"/>
        </w:rPr>
        <w:t>(</w:t>
      </w:r>
      <w:r w:rsidRPr="00F005EB">
        <w:t>2025</w:t>
      </w:r>
      <w:r w:rsidR="00181077">
        <w:t>)</w:t>
      </w:r>
      <w:r w:rsidRPr="00F005EB">
        <w:t xml:space="preserve">. Endotyping Cellular and Humoral Immunoreactivity against Pollen and Citrus Fruits in Patients with </w:t>
      </w:r>
      <w:r w:rsidR="004B623E" w:rsidRPr="004B623E">
        <w:t>Non–IgE-mediated</w:t>
      </w:r>
      <w:r w:rsidRPr="00F005EB">
        <w:t xml:space="preserve"> Rhinoconjunctivitis. </w:t>
      </w:r>
      <w:r w:rsidRPr="00832B7A">
        <w:rPr>
          <w:b/>
          <w:i/>
          <w:lang w:val="pt-BR"/>
        </w:rPr>
        <w:t>Asian Journal of Immunology</w:t>
      </w:r>
      <w:r w:rsidRPr="00832B7A">
        <w:rPr>
          <w:lang w:val="pt-BR"/>
        </w:rPr>
        <w:t>, 8(1): 8-25.</w:t>
      </w:r>
    </w:p>
    <w:p w14:paraId="09BA1BA8" w14:textId="398EB69A"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Miguel, C. S., Santos, R. A. P. G., Santana, J. L. S., </w:t>
      </w:r>
      <w:r w:rsidR="00181077">
        <w:rPr>
          <w:lang w:val="pt-BR"/>
        </w:rPr>
        <w:t>et al.</w:t>
      </w:r>
      <w:r w:rsidRPr="00832B7A">
        <w:rPr>
          <w:lang w:val="pt-BR"/>
        </w:rPr>
        <w:t xml:space="preserve"> </w:t>
      </w:r>
      <w:r w:rsidR="00181077">
        <w:rPr>
          <w:lang w:val="pt-BR"/>
        </w:rPr>
        <w:t>(</w:t>
      </w:r>
      <w:r w:rsidRPr="00832B7A">
        <w:rPr>
          <w:lang w:val="pt-BR"/>
        </w:rPr>
        <w:t>2024a</w:t>
      </w:r>
      <w:r w:rsidR="00181077">
        <w:rPr>
          <w:lang w:val="pt-BR"/>
        </w:rPr>
        <w:t>)</w:t>
      </w:r>
      <w:r w:rsidRPr="00832B7A">
        <w:rPr>
          <w:lang w:val="pt-BR"/>
        </w:rPr>
        <w:t xml:space="preserve">. </w:t>
      </w:r>
      <w:r w:rsidRPr="00F005EB">
        <w:t>Cellular and Humoral Immunoreactivity against Hen</w:t>
      </w:r>
      <w:r w:rsidR="008D5A42">
        <w:t>'</w:t>
      </w:r>
      <w:r w:rsidRPr="00F005EB">
        <w:t xml:space="preserve">s Egg White: Relevance in Allergic Patients. </w:t>
      </w:r>
      <w:r w:rsidRPr="00832B7A">
        <w:rPr>
          <w:b/>
          <w:i/>
          <w:lang w:val="pt-BR"/>
        </w:rPr>
        <w:t>Asian Journal of Immunology</w:t>
      </w:r>
      <w:r w:rsidRPr="00832B7A">
        <w:rPr>
          <w:lang w:val="pt-BR"/>
        </w:rPr>
        <w:t>, 7(1): 274-284.</w:t>
      </w:r>
    </w:p>
    <w:p w14:paraId="43C3C024" w14:textId="731AB667"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Miguel, C. S., Santos, R. A. P. G., Santana, J. L. S.,  </w:t>
      </w:r>
      <w:r w:rsidR="00181077">
        <w:rPr>
          <w:lang w:val="pt-BR"/>
        </w:rPr>
        <w:t>et al.</w:t>
      </w:r>
      <w:r w:rsidRPr="00832B7A">
        <w:rPr>
          <w:lang w:val="pt-BR"/>
        </w:rPr>
        <w:t xml:space="preserve"> </w:t>
      </w:r>
      <w:r w:rsidR="00181077">
        <w:rPr>
          <w:lang w:val="pt-BR"/>
        </w:rPr>
        <w:t>(</w:t>
      </w:r>
      <w:r w:rsidRPr="00832B7A">
        <w:rPr>
          <w:lang w:val="pt-BR"/>
        </w:rPr>
        <w:t>2024b</w:t>
      </w:r>
      <w:r w:rsidR="00181077">
        <w:rPr>
          <w:lang w:val="pt-BR"/>
        </w:rPr>
        <w:t>)</w:t>
      </w:r>
      <w:r w:rsidRPr="00832B7A">
        <w:rPr>
          <w:lang w:val="pt-BR"/>
        </w:rPr>
        <w:t xml:space="preserve">. </w:t>
      </w:r>
      <w:r w:rsidRPr="00F005EB">
        <w:t xml:space="preserve">Endotyping Cellular and Humoral Immunoreactivity against Allium spices and Sulfites preservatives in Allergic Patients. </w:t>
      </w:r>
      <w:r w:rsidRPr="00832B7A">
        <w:rPr>
          <w:lang w:val="pt-BR"/>
        </w:rPr>
        <w:t xml:space="preserve">A Retrospective Study. </w:t>
      </w:r>
      <w:r w:rsidRPr="00832B7A">
        <w:rPr>
          <w:b/>
          <w:i/>
          <w:lang w:val="pt-BR"/>
        </w:rPr>
        <w:t>Asian Journal of Immunology</w:t>
      </w:r>
      <w:r w:rsidRPr="00832B7A">
        <w:rPr>
          <w:lang w:val="pt-BR"/>
        </w:rPr>
        <w:t>, 7(1): 185-200.</w:t>
      </w:r>
    </w:p>
    <w:p w14:paraId="47AF0330" w14:textId="5DE09A36"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Miguel, C. S., Santos, R. A. P. G., Santana, J. L. S.,  </w:t>
      </w:r>
      <w:r w:rsidR="00181077">
        <w:rPr>
          <w:lang w:val="pt-BR"/>
        </w:rPr>
        <w:t>et al. (</w:t>
      </w:r>
      <w:r w:rsidRPr="00832B7A">
        <w:rPr>
          <w:lang w:val="pt-BR"/>
        </w:rPr>
        <w:t>2024c</w:t>
      </w:r>
      <w:r w:rsidR="00181077">
        <w:rPr>
          <w:lang w:val="pt-BR"/>
        </w:rPr>
        <w:t>)</w:t>
      </w:r>
      <w:r w:rsidRPr="00832B7A">
        <w:rPr>
          <w:lang w:val="pt-BR"/>
        </w:rPr>
        <w:t xml:space="preserve">. </w:t>
      </w:r>
      <w:r w:rsidRPr="00F005EB">
        <w:t xml:space="preserve">Endotyping Cellular and Humoral Immunoreactivity Against Tartrazine in Allergic Patients: A Retrospective Study. </w:t>
      </w:r>
      <w:r w:rsidRPr="00832B7A">
        <w:rPr>
          <w:b/>
          <w:i/>
          <w:lang w:val="pt-BR"/>
        </w:rPr>
        <w:t>Asian Journal of Immunology</w:t>
      </w:r>
      <w:r w:rsidRPr="00832B7A">
        <w:rPr>
          <w:lang w:val="pt-BR"/>
        </w:rPr>
        <w:t>, 7(1): 217-227.</w:t>
      </w:r>
    </w:p>
    <w:p w14:paraId="201A27AC" w14:textId="7ED4DFC5"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w:t>
      </w:r>
      <w:r w:rsidRPr="00832B7A">
        <w:rPr>
          <w:lang w:val="pt-BR"/>
        </w:rPr>
        <w:t>2021d</w:t>
      </w:r>
      <w:r w:rsidR="00181077">
        <w:rPr>
          <w:lang w:val="pt-BR"/>
        </w:rPr>
        <w:t>)</w:t>
      </w:r>
      <w:r w:rsidRPr="00832B7A">
        <w:rPr>
          <w:lang w:val="pt-BR"/>
        </w:rPr>
        <w:t xml:space="preserve">. </w:t>
      </w:r>
      <w:r w:rsidRPr="00F005EB">
        <w:t xml:space="preserve">Self-imposed food restriction and oral food challenges are correlated with precipitin's accuracy in the diagnosis of non-IgE-mediated food-related adulthood acute episodes of urticaria. </w:t>
      </w:r>
      <w:r w:rsidRPr="00832B7A">
        <w:rPr>
          <w:b/>
          <w:i/>
          <w:lang w:val="pt-BR"/>
        </w:rPr>
        <w:t>Journal of Allergy  Therapy</w:t>
      </w:r>
      <w:r w:rsidRPr="00832B7A">
        <w:rPr>
          <w:lang w:val="pt-BR"/>
        </w:rPr>
        <w:t>, 12(8): 1-8.</w:t>
      </w:r>
    </w:p>
    <w:p w14:paraId="2670C628" w14:textId="67DBC26A" w:rsidR="00832B7A" w:rsidRPr="00832B7A" w:rsidRDefault="00832B7A" w:rsidP="00693F40">
      <w:pPr>
        <w:pStyle w:val="EndNoteBibliography"/>
        <w:spacing w:after="0"/>
        <w:ind w:left="720" w:hanging="720"/>
        <w:jc w:val="both"/>
        <w:rPr>
          <w:lang w:val="pt-BR"/>
        </w:rPr>
      </w:pPr>
      <w:r w:rsidRPr="00832B7A">
        <w:rPr>
          <w:lang w:val="pt-BR"/>
        </w:rPr>
        <w:lastRenderedPageBreak/>
        <w:t xml:space="preserve">Olivier, C. E., Pinto, D. G., Teixeira, A. P. M., Santana, J. L. S., Santos, R. A. P. G.,  Lima, R. P. S. </w:t>
      </w:r>
      <w:r w:rsidR="00181077">
        <w:rPr>
          <w:lang w:val="pt-BR"/>
        </w:rPr>
        <w:t>(</w:t>
      </w:r>
      <w:r w:rsidRPr="00832B7A">
        <w:rPr>
          <w:lang w:val="pt-BR"/>
        </w:rPr>
        <w:t>2023a</w:t>
      </w:r>
      <w:r w:rsidR="00181077">
        <w:rPr>
          <w:lang w:val="pt-BR"/>
        </w:rPr>
        <w:t>)</w:t>
      </w:r>
      <w:r w:rsidRPr="00832B7A">
        <w:rPr>
          <w:lang w:val="pt-BR"/>
        </w:rPr>
        <w:t xml:space="preserve">. </w:t>
      </w:r>
      <w:r w:rsidRPr="00F005EB">
        <w:t xml:space="preserve">Contribution of the Leukocyte Adherence Inhibition Test to the Diagnosis of Innate Non–IgE-mediated Immunoreactivity against </w:t>
      </w:r>
      <w:r w:rsidRPr="00F005EB">
        <w:rPr>
          <w:i/>
        </w:rPr>
        <w:t>Saccharomyces cerevisiae</w:t>
      </w:r>
      <w:r w:rsidRPr="00F005EB">
        <w:t xml:space="preserve">. </w:t>
      </w:r>
      <w:r w:rsidRPr="00832B7A">
        <w:rPr>
          <w:b/>
          <w:i/>
          <w:lang w:val="pt-BR"/>
        </w:rPr>
        <w:t>Asian Journal of Immunology</w:t>
      </w:r>
      <w:r w:rsidRPr="00832B7A">
        <w:rPr>
          <w:lang w:val="pt-BR"/>
        </w:rPr>
        <w:t>, 6(1): 234-241.</w:t>
      </w:r>
    </w:p>
    <w:p w14:paraId="4F6EA9BF" w14:textId="680696E6"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w:t>
      </w:r>
      <w:r w:rsidRPr="00832B7A">
        <w:rPr>
          <w:lang w:val="pt-BR"/>
        </w:rPr>
        <w:t>2024d</w:t>
      </w:r>
      <w:r w:rsidR="00181077">
        <w:rPr>
          <w:lang w:val="pt-BR"/>
        </w:rPr>
        <w:t>)</w:t>
      </w:r>
      <w:r w:rsidRPr="00832B7A">
        <w:rPr>
          <w:lang w:val="pt-BR"/>
        </w:rPr>
        <w:t xml:space="preserve">. </w:t>
      </w:r>
      <w:r w:rsidRPr="00F005EB">
        <w:t xml:space="preserve">Endotyping Cellular and Humoral Immunoreactivity against Aluminum in Allergic Patients: A Retrospective Study. </w:t>
      </w:r>
      <w:r w:rsidRPr="00832B7A">
        <w:rPr>
          <w:b/>
          <w:i/>
          <w:lang w:val="pt-BR"/>
        </w:rPr>
        <w:t>Asian Journal of Immunology</w:t>
      </w:r>
      <w:r w:rsidRPr="00832B7A">
        <w:rPr>
          <w:lang w:val="pt-BR"/>
        </w:rPr>
        <w:t>, 7(1): 149-158.</w:t>
      </w:r>
    </w:p>
    <w:p w14:paraId="6372ED96" w14:textId="76C315C6"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w:t>
      </w:r>
      <w:r w:rsidRPr="00832B7A">
        <w:rPr>
          <w:lang w:val="pt-BR"/>
        </w:rPr>
        <w:t>2024e</w:t>
      </w:r>
      <w:r w:rsidR="00181077">
        <w:rPr>
          <w:lang w:val="pt-BR"/>
        </w:rPr>
        <w:t>)</w:t>
      </w:r>
      <w:r w:rsidRPr="00832B7A">
        <w:rPr>
          <w:lang w:val="pt-BR"/>
        </w:rPr>
        <w:t xml:space="preserve">. </w:t>
      </w:r>
      <w:r w:rsidRPr="00F005EB">
        <w:t xml:space="preserve">Endotyping Non-IgE-mediated Immunoreactivity to Polyethylene Glycol: Implications for Allergic Patients. </w:t>
      </w:r>
      <w:r w:rsidRPr="00832B7A">
        <w:rPr>
          <w:b/>
          <w:i/>
          <w:lang w:val="pt-BR"/>
        </w:rPr>
        <w:t>Asian Journal of Immunology</w:t>
      </w:r>
      <w:r w:rsidRPr="00832B7A">
        <w:rPr>
          <w:lang w:val="pt-BR"/>
        </w:rPr>
        <w:t>, 7(1): 100-111.</w:t>
      </w:r>
    </w:p>
    <w:p w14:paraId="4B116E3B" w14:textId="7EC5A850"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et al.</w:t>
      </w:r>
      <w:r w:rsidRPr="00832B7A">
        <w:rPr>
          <w:lang w:val="pt-BR"/>
        </w:rPr>
        <w:t xml:space="preserve"> </w:t>
      </w:r>
      <w:r w:rsidR="00181077">
        <w:rPr>
          <w:lang w:val="pt-BR"/>
        </w:rPr>
        <w:t>(</w:t>
      </w:r>
      <w:r w:rsidRPr="00832B7A">
        <w:rPr>
          <w:lang w:val="pt-BR"/>
        </w:rPr>
        <w:t>2023b</w:t>
      </w:r>
      <w:r w:rsidR="00181077">
        <w:rPr>
          <w:lang w:val="pt-BR"/>
        </w:rPr>
        <w:t>)</w:t>
      </w:r>
      <w:r w:rsidRPr="00832B7A">
        <w:rPr>
          <w:lang w:val="pt-BR"/>
        </w:rPr>
        <w:t xml:space="preserve">. </w:t>
      </w:r>
      <w:r w:rsidRPr="00F005EB">
        <w:t xml:space="preserve">Contribution of the Leukocyte Adherence Inhibition Test to the Diagnosis of Innate Non–IgE-mediated Immunoreactivity against </w:t>
      </w:r>
      <w:r w:rsidRPr="00F005EB">
        <w:rPr>
          <w:i/>
        </w:rPr>
        <w:t>Alternaria alternata</w:t>
      </w:r>
      <w:r w:rsidRPr="00F005EB">
        <w:t xml:space="preserve">. </w:t>
      </w:r>
      <w:r w:rsidRPr="00832B7A">
        <w:rPr>
          <w:b/>
          <w:i/>
          <w:lang w:val="pt-BR"/>
        </w:rPr>
        <w:t>Asian Journal of Immunology</w:t>
      </w:r>
      <w:r w:rsidRPr="00832B7A">
        <w:rPr>
          <w:lang w:val="pt-BR"/>
        </w:rPr>
        <w:t>, 6(1): 243-251.</w:t>
      </w:r>
    </w:p>
    <w:p w14:paraId="76BEA5FF" w14:textId="17A346D0"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et al</w:t>
      </w:r>
      <w:r w:rsidRPr="00832B7A">
        <w:rPr>
          <w:lang w:val="pt-BR"/>
        </w:rPr>
        <w:t xml:space="preserve">. </w:t>
      </w:r>
      <w:r w:rsidR="00181077">
        <w:rPr>
          <w:lang w:val="pt-BR"/>
        </w:rPr>
        <w:t>(</w:t>
      </w:r>
      <w:r w:rsidRPr="00832B7A">
        <w:rPr>
          <w:lang w:val="pt-BR"/>
        </w:rPr>
        <w:t>2023c</w:t>
      </w:r>
      <w:r w:rsidR="00181077">
        <w:rPr>
          <w:lang w:val="pt-BR"/>
        </w:rPr>
        <w:t>)</w:t>
      </w:r>
      <w:r w:rsidRPr="00832B7A">
        <w:rPr>
          <w:lang w:val="pt-BR"/>
        </w:rPr>
        <w:t xml:space="preserve">. </w:t>
      </w:r>
      <w:r w:rsidRPr="00F005EB">
        <w:t xml:space="preserve">Contribution of the Leukocyte Adherence Inhibition Test to the Diagnosis of Non–IgE-mediated Immunoreactivity against </w:t>
      </w:r>
      <w:r w:rsidRPr="00181077">
        <w:rPr>
          <w:i/>
          <w:iCs/>
        </w:rPr>
        <w:t>Candida albicans</w:t>
      </w:r>
      <w:r w:rsidRPr="00F005EB">
        <w:t xml:space="preserve"> in Patients with Atopic Dermatitis. </w:t>
      </w:r>
      <w:r w:rsidRPr="00832B7A">
        <w:rPr>
          <w:b/>
          <w:i/>
          <w:lang w:val="pt-BR"/>
        </w:rPr>
        <w:t>Asian Journal of Immunology</w:t>
      </w:r>
      <w:r w:rsidRPr="00832B7A">
        <w:rPr>
          <w:lang w:val="pt-BR"/>
        </w:rPr>
        <w:t>, 6(1): 268-276.</w:t>
      </w:r>
    </w:p>
    <w:p w14:paraId="0AF31C4E" w14:textId="0B392168" w:rsidR="00832B7A" w:rsidRPr="00F005EB" w:rsidRDefault="00832B7A" w:rsidP="00693F40">
      <w:pPr>
        <w:pStyle w:val="EndNoteBibliography"/>
        <w:spacing w:after="0"/>
        <w:ind w:left="720" w:hanging="720"/>
        <w:jc w:val="both"/>
      </w:pPr>
      <w:r w:rsidRPr="00832B7A">
        <w:rPr>
          <w:lang w:val="pt-BR"/>
        </w:rPr>
        <w:t xml:space="preserve">Olivier, C. E., Pinto, D. G., Teixeira, A. P. M., Santana, J. L. S., Santos, R. A. P. G., Lima, R. P. S.,  </w:t>
      </w:r>
      <w:r w:rsidR="00181077">
        <w:rPr>
          <w:lang w:val="pt-BR"/>
        </w:rPr>
        <w:t>et al. (</w:t>
      </w:r>
      <w:r w:rsidRPr="00832B7A">
        <w:rPr>
          <w:lang w:val="pt-BR"/>
        </w:rPr>
        <w:t>2023d</w:t>
      </w:r>
      <w:r w:rsidR="00181077">
        <w:rPr>
          <w:lang w:val="pt-BR"/>
        </w:rPr>
        <w:t>)</w:t>
      </w:r>
      <w:r w:rsidRPr="00832B7A">
        <w:rPr>
          <w:lang w:val="pt-BR"/>
        </w:rPr>
        <w:t xml:space="preserve">. </w:t>
      </w:r>
      <w:r w:rsidRPr="00F005EB">
        <w:t>Evaluating Non-IgE-mediated Allergens</w:t>
      </w:r>
      <w:r w:rsidR="008D5A42">
        <w:t>'</w:t>
      </w:r>
      <w:r w:rsidRPr="00F005EB">
        <w:t xml:space="preserve"> Immunoreactivity in Patients with </w:t>
      </w:r>
      <w:r w:rsidR="008D5A42">
        <w:t>"</w:t>
      </w:r>
      <w:r w:rsidRPr="00F005EB">
        <w:t>Intrinsic</w:t>
      </w:r>
      <w:r w:rsidR="008D5A42">
        <w:t>"</w:t>
      </w:r>
      <w:r w:rsidRPr="00F005EB">
        <w:t xml:space="preserve"> Persistent Rhinitis with Help </w:t>
      </w:r>
      <w:r w:rsidRPr="00F005EB">
        <w:t xml:space="preserve">of the Leukocyte Adherence Inhibition Test. </w:t>
      </w:r>
      <w:r w:rsidRPr="00F005EB">
        <w:rPr>
          <w:b/>
          <w:i/>
        </w:rPr>
        <w:t>European Journal of Medical and Health Sciences</w:t>
      </w:r>
      <w:r w:rsidRPr="00F005EB">
        <w:t>, 5(1): 17-22.</w:t>
      </w:r>
    </w:p>
    <w:p w14:paraId="2B9188C5" w14:textId="26154971" w:rsidR="00832B7A" w:rsidRPr="00832B7A" w:rsidRDefault="00832B7A" w:rsidP="00693F40">
      <w:pPr>
        <w:pStyle w:val="EndNoteBibliography"/>
        <w:spacing w:after="0"/>
        <w:ind w:left="720" w:hanging="720"/>
        <w:jc w:val="both"/>
        <w:rPr>
          <w:lang w:val="pt-BR"/>
        </w:rPr>
      </w:pPr>
      <w:r w:rsidRPr="004B623E">
        <w:rPr>
          <w:lang w:val="pt-BR"/>
        </w:rPr>
        <w:t xml:space="preserve">Olivier, C. E., Pinto, D. G., Teixeira, A. P. M., Santana, J. L. S., Santos, R. A. P. G., Lima, R. P. S.,  </w:t>
      </w:r>
      <w:r w:rsidR="00181077">
        <w:rPr>
          <w:lang w:val="pt-BR"/>
        </w:rPr>
        <w:t>et al.</w:t>
      </w:r>
      <w:r w:rsidRPr="004B623E">
        <w:rPr>
          <w:lang w:val="pt-BR"/>
        </w:rPr>
        <w:t xml:space="preserve"> </w:t>
      </w:r>
      <w:r w:rsidR="00181077">
        <w:rPr>
          <w:lang w:val="pt-BR"/>
        </w:rPr>
        <w:t>(</w:t>
      </w:r>
      <w:r w:rsidRPr="004B623E">
        <w:rPr>
          <w:lang w:val="pt-BR"/>
        </w:rPr>
        <w:t>2024f</w:t>
      </w:r>
      <w:r w:rsidR="00181077">
        <w:rPr>
          <w:lang w:val="pt-BR"/>
        </w:rPr>
        <w:t>)</w:t>
      </w:r>
      <w:r w:rsidRPr="004B623E">
        <w:rPr>
          <w:lang w:val="pt-BR"/>
        </w:rPr>
        <w:t xml:space="preserve">. </w:t>
      </w:r>
      <w:r w:rsidRPr="00F005EB">
        <w:t xml:space="preserve">Contribution of the Leukocyte Adherence Inhibition Test in Diagnosing Non–IgE-Mediated Immunoreactivity against </w:t>
      </w:r>
      <w:r w:rsidRPr="00181077">
        <w:rPr>
          <w:i/>
          <w:iCs/>
        </w:rPr>
        <w:t>Aspergillus fumigatus</w:t>
      </w:r>
      <w:r w:rsidRPr="00F005EB">
        <w:t xml:space="preserve"> in Patients with Allergic Rhinitis and Asthma. </w:t>
      </w:r>
      <w:r w:rsidRPr="00832B7A">
        <w:rPr>
          <w:b/>
          <w:i/>
          <w:lang w:val="pt-BR"/>
        </w:rPr>
        <w:t>Asian Journal of Immunology</w:t>
      </w:r>
      <w:r w:rsidRPr="00832B7A">
        <w:rPr>
          <w:lang w:val="pt-BR"/>
        </w:rPr>
        <w:t>, 7(1): 12-20.</w:t>
      </w:r>
    </w:p>
    <w:p w14:paraId="0938BC65" w14:textId="0F28D5E4"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Lima, R. P. S.,  </w:t>
      </w:r>
      <w:r w:rsidR="00181077">
        <w:rPr>
          <w:lang w:val="pt-BR"/>
        </w:rPr>
        <w:t>et al</w:t>
      </w:r>
      <w:r w:rsidRPr="00832B7A">
        <w:rPr>
          <w:lang w:val="pt-BR"/>
        </w:rPr>
        <w:t xml:space="preserve">. </w:t>
      </w:r>
      <w:r w:rsidR="00181077">
        <w:rPr>
          <w:lang w:val="pt-BR"/>
        </w:rPr>
        <w:t>(</w:t>
      </w:r>
      <w:r w:rsidRPr="00832B7A">
        <w:rPr>
          <w:lang w:val="pt-BR"/>
        </w:rPr>
        <w:t>2024g</w:t>
      </w:r>
      <w:r w:rsidR="00181077">
        <w:rPr>
          <w:lang w:val="pt-BR"/>
        </w:rPr>
        <w:t>)</w:t>
      </w:r>
      <w:r w:rsidRPr="00832B7A">
        <w:rPr>
          <w:lang w:val="pt-BR"/>
        </w:rPr>
        <w:t xml:space="preserve">. </w:t>
      </w:r>
      <w:r w:rsidRPr="00F005EB">
        <w:t xml:space="preserve">Endotyping Non-IgE-Mediated Immunoreactivity to Dermatophagoides farinae: Implications for Allergic Patients. </w:t>
      </w:r>
      <w:r w:rsidRPr="00832B7A">
        <w:rPr>
          <w:b/>
          <w:i/>
          <w:lang w:val="pt-BR"/>
        </w:rPr>
        <w:t>Asian Journal of Immunology</w:t>
      </w:r>
      <w:r w:rsidRPr="00832B7A">
        <w:rPr>
          <w:lang w:val="pt-BR"/>
        </w:rPr>
        <w:t>, 7(1): 90-99.</w:t>
      </w:r>
    </w:p>
    <w:p w14:paraId="60A02576" w14:textId="65C577A1"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2021e</w:t>
      </w:r>
      <w:r w:rsidR="00181077">
        <w:rPr>
          <w:lang w:val="pt-BR"/>
        </w:rPr>
        <w:t>)</w:t>
      </w:r>
      <w:r w:rsidRPr="00832B7A">
        <w:rPr>
          <w:lang w:val="pt-BR"/>
        </w:rPr>
        <w:t xml:space="preserve">. </w:t>
      </w:r>
      <w:r w:rsidRPr="00F005EB">
        <w:t xml:space="preserve">Intrinsic Atopic Dermatitis: Titration of Precipitins in the Screening of Food Allergens for Prescription of Elimination Diets and Desensitization Strategies. </w:t>
      </w:r>
      <w:r w:rsidRPr="00832B7A">
        <w:rPr>
          <w:b/>
          <w:i/>
          <w:lang w:val="pt-BR"/>
        </w:rPr>
        <w:t>European Journal of Clinical Medicine</w:t>
      </w:r>
      <w:r w:rsidRPr="00832B7A">
        <w:rPr>
          <w:lang w:val="pt-BR"/>
        </w:rPr>
        <w:t>, 2(6): 1-9.</w:t>
      </w:r>
    </w:p>
    <w:p w14:paraId="7ACA1799" w14:textId="712A4AEC"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2022a</w:t>
      </w:r>
      <w:r w:rsidR="00181077">
        <w:rPr>
          <w:lang w:val="pt-BR"/>
        </w:rPr>
        <w:t>)</w:t>
      </w:r>
      <w:r w:rsidRPr="00832B7A">
        <w:rPr>
          <w:lang w:val="pt-BR"/>
        </w:rPr>
        <w:t xml:space="preserve">. </w:t>
      </w:r>
      <w:r w:rsidRPr="00F005EB">
        <w:t xml:space="preserve">Contribution of the Leukocyte Adherence Inhibition Test for the evaluation of immunoreactivity against gluten extracts in non—IgE-mediated / non-autoimmune Gluten-Related Disorders. </w:t>
      </w:r>
      <w:r w:rsidRPr="00832B7A">
        <w:rPr>
          <w:b/>
          <w:i/>
          <w:lang w:val="pt-BR"/>
        </w:rPr>
        <w:t>European Journal of Clinical Medicine</w:t>
      </w:r>
      <w:r w:rsidRPr="00832B7A">
        <w:rPr>
          <w:lang w:val="pt-BR"/>
        </w:rPr>
        <w:t>, 3(2): 1-7.</w:t>
      </w:r>
    </w:p>
    <w:p w14:paraId="35F852D3" w14:textId="41C22863"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2022b</w:t>
      </w:r>
      <w:r w:rsidR="00181077">
        <w:rPr>
          <w:lang w:val="pt-BR"/>
        </w:rPr>
        <w:t>)</w:t>
      </w:r>
      <w:r w:rsidRPr="00832B7A">
        <w:rPr>
          <w:lang w:val="pt-BR"/>
        </w:rPr>
        <w:t xml:space="preserve">. </w:t>
      </w:r>
      <w:r w:rsidRPr="00F005EB">
        <w:t xml:space="preserve">Contribution of the Leukocyte Adherence Inhibition Test to the Evaluation of Cellular Immunoreactivity against Latex Extracts for Non—IgE-Mediated Latex-Fruit-Pollen Syndrome in Allergic Candidates to Exclusion Diets and </w:t>
      </w:r>
      <w:r w:rsidRPr="00F005EB">
        <w:lastRenderedPageBreak/>
        <w:t xml:space="preserve">Allergic Desensitization. </w:t>
      </w:r>
      <w:r w:rsidRPr="00832B7A">
        <w:rPr>
          <w:b/>
          <w:i/>
          <w:lang w:val="pt-BR"/>
        </w:rPr>
        <w:t>European Journal of Clinical Medicine</w:t>
      </w:r>
      <w:r w:rsidRPr="00832B7A">
        <w:rPr>
          <w:lang w:val="pt-BR"/>
        </w:rPr>
        <w:t>, 3(1): 11-17.</w:t>
      </w:r>
    </w:p>
    <w:p w14:paraId="128E4771" w14:textId="088C6E50"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2022c</w:t>
      </w:r>
      <w:r w:rsidR="00181077">
        <w:rPr>
          <w:lang w:val="pt-BR"/>
        </w:rPr>
        <w:t>)</w:t>
      </w:r>
      <w:r w:rsidRPr="00832B7A">
        <w:rPr>
          <w:lang w:val="pt-BR"/>
        </w:rPr>
        <w:t xml:space="preserve">. </w:t>
      </w:r>
      <w:r w:rsidRPr="00F005EB">
        <w:t xml:space="preserve">Leukocyte Adherence Inhibition Test to the </w:t>
      </w:r>
      <w:r w:rsidR="004B623E">
        <w:t>A</w:t>
      </w:r>
      <w:r w:rsidRPr="00F005EB">
        <w:t>ssessment of Immunoreactivity Against Cow</w:t>
      </w:r>
      <w:r w:rsidR="008D5A42">
        <w:t>'</w:t>
      </w:r>
      <w:r w:rsidRPr="00F005EB">
        <w:t xml:space="preserve">s Milk Proteins in Non—IgE-Mediated Gastrointestinal Food Allergy. </w:t>
      </w:r>
      <w:r w:rsidRPr="00832B7A">
        <w:rPr>
          <w:b/>
          <w:i/>
          <w:lang w:val="pt-BR"/>
        </w:rPr>
        <w:t>European Journal of Clinical Medicine</w:t>
      </w:r>
      <w:r w:rsidRPr="00832B7A">
        <w:rPr>
          <w:lang w:val="pt-BR"/>
        </w:rPr>
        <w:t>, 3(2): 38-43.</w:t>
      </w:r>
    </w:p>
    <w:p w14:paraId="775764E8" w14:textId="148378DB"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w:t>
      </w:r>
      <w:r w:rsidRPr="00832B7A">
        <w:rPr>
          <w:lang w:val="pt-BR"/>
        </w:rPr>
        <w:t>2023e</w:t>
      </w:r>
      <w:r w:rsidR="00181077">
        <w:rPr>
          <w:lang w:val="pt-BR"/>
        </w:rPr>
        <w:t>)</w:t>
      </w:r>
      <w:r w:rsidRPr="00832B7A">
        <w:rPr>
          <w:lang w:val="pt-BR"/>
        </w:rPr>
        <w:t xml:space="preserve">. </w:t>
      </w:r>
      <w:r w:rsidRPr="00F005EB">
        <w:t xml:space="preserve">Anti-Saccharomyces cerevisiae antibodies (ASCA) researched by tube precipitins are elevated in patients with dermatologic and gastrointestinal non—IgE-mediated hypersensitivity. </w:t>
      </w:r>
      <w:r w:rsidRPr="00832B7A">
        <w:rPr>
          <w:b/>
          <w:i/>
          <w:lang w:val="pt-BR"/>
        </w:rPr>
        <w:t>European Journal of Clinical Medicine</w:t>
      </w:r>
      <w:r w:rsidRPr="00832B7A">
        <w:rPr>
          <w:lang w:val="pt-BR"/>
        </w:rPr>
        <w:t>, 4(2): 25-30.</w:t>
      </w:r>
    </w:p>
    <w:p w14:paraId="6EC71496" w14:textId="452A9719" w:rsidR="00832B7A" w:rsidRPr="00832B7A" w:rsidRDefault="00832B7A" w:rsidP="00693F40">
      <w:pPr>
        <w:pStyle w:val="EndNoteBibliography"/>
        <w:spacing w:after="0"/>
        <w:ind w:left="720" w:hanging="720"/>
        <w:jc w:val="both"/>
        <w:rPr>
          <w:lang w:val="pt-BR"/>
        </w:rPr>
      </w:pPr>
      <w:r w:rsidRPr="00832B7A">
        <w:rPr>
          <w:lang w:val="pt-BR"/>
        </w:rPr>
        <w:t xml:space="preserve">Olivier, C. E., Pinto, D. G., Teixeira, A. P. M., Santana, J. L. S., Santos, R. A. P. G. S., Lima, R. P. S.,  </w:t>
      </w:r>
      <w:r w:rsidR="00181077">
        <w:rPr>
          <w:lang w:val="pt-BR"/>
        </w:rPr>
        <w:t>et al.</w:t>
      </w:r>
      <w:r w:rsidRPr="00832B7A">
        <w:rPr>
          <w:lang w:val="pt-BR"/>
        </w:rPr>
        <w:t xml:space="preserve"> </w:t>
      </w:r>
      <w:r w:rsidR="00181077">
        <w:rPr>
          <w:lang w:val="pt-BR"/>
        </w:rPr>
        <w:t>(</w:t>
      </w:r>
      <w:r w:rsidRPr="00832B7A">
        <w:rPr>
          <w:lang w:val="pt-BR"/>
        </w:rPr>
        <w:t>2023f</w:t>
      </w:r>
      <w:r w:rsidR="00181077">
        <w:rPr>
          <w:lang w:val="pt-BR"/>
        </w:rPr>
        <w:t>)</w:t>
      </w:r>
      <w:r w:rsidRPr="00832B7A">
        <w:rPr>
          <w:lang w:val="pt-BR"/>
        </w:rPr>
        <w:t xml:space="preserve">. </w:t>
      </w:r>
      <w:r w:rsidRPr="00F005EB">
        <w:t>Evaluating Non-IgE-Mediated Allergens</w:t>
      </w:r>
      <w:r w:rsidR="008D5A42">
        <w:t>'</w:t>
      </w:r>
      <w:r w:rsidRPr="00F005EB">
        <w:t xml:space="preserve"> Immunoreactivity in Patients Formerly Classified as </w:t>
      </w:r>
      <w:r w:rsidR="008D5A42">
        <w:t>"</w:t>
      </w:r>
      <w:r w:rsidRPr="00F005EB">
        <w:t>Intrinsic</w:t>
      </w:r>
      <w:r w:rsidR="008D5A42">
        <w:t>"</w:t>
      </w:r>
      <w:r w:rsidRPr="00F005EB">
        <w:t xml:space="preserve"> Asthmatics with Help of the Leukocyte Adherence Inhibition Test. </w:t>
      </w:r>
      <w:r w:rsidRPr="00832B7A">
        <w:rPr>
          <w:b/>
          <w:i/>
          <w:lang w:val="pt-BR"/>
        </w:rPr>
        <w:t>European Journal of Clinical Medicine</w:t>
      </w:r>
      <w:r w:rsidRPr="00832B7A">
        <w:rPr>
          <w:lang w:val="pt-BR"/>
        </w:rPr>
        <w:t>, 4(2): 1-7.</w:t>
      </w:r>
    </w:p>
    <w:p w14:paraId="666DA584" w14:textId="512B8577" w:rsidR="00832B7A" w:rsidRPr="00F005EB" w:rsidRDefault="00832B7A" w:rsidP="00693F40">
      <w:pPr>
        <w:pStyle w:val="EndNoteBibliography"/>
        <w:spacing w:after="0"/>
        <w:ind w:left="720" w:hanging="720"/>
        <w:jc w:val="both"/>
      </w:pPr>
      <w:r w:rsidRPr="00832B7A">
        <w:rPr>
          <w:lang w:val="pt-BR"/>
        </w:rPr>
        <w:t xml:space="preserve">Olivier, C. E., Santos, R. A. P. G., Lima, R. P. S., Argentão, D. G. P., Silva, G. K. M.,  Silva, M. D. </w:t>
      </w:r>
      <w:r w:rsidR="00181077">
        <w:rPr>
          <w:lang w:val="pt-BR"/>
        </w:rPr>
        <w:t>(</w:t>
      </w:r>
      <w:r w:rsidRPr="00832B7A">
        <w:rPr>
          <w:lang w:val="pt-BR"/>
        </w:rPr>
        <w:t>2014</w:t>
      </w:r>
      <w:r w:rsidR="00181077">
        <w:rPr>
          <w:lang w:val="pt-BR"/>
        </w:rPr>
        <w:t>)</w:t>
      </w:r>
      <w:r w:rsidRPr="00832B7A">
        <w:rPr>
          <w:lang w:val="pt-BR"/>
        </w:rPr>
        <w:t xml:space="preserve">. </w:t>
      </w:r>
      <w:r w:rsidRPr="00F005EB">
        <w:t xml:space="preserve">A Novel Utility for an Old Method: The Leukocyte Adherence Inhibition Test Is an Easy Way to Detect the Immunoreactive Interference of the Collection Tube Anticoagulant on Cellular Immunoassays. </w:t>
      </w:r>
      <w:r w:rsidRPr="00F005EB">
        <w:rPr>
          <w:b/>
          <w:i/>
        </w:rPr>
        <w:t>Journal of Cell Adhesion</w:t>
      </w:r>
      <w:r w:rsidRPr="00F005EB">
        <w:t>, Article ID 860427(</w:t>
      </w:r>
      <w:r w:rsidRPr="0027244E">
        <w:t>http://dx.doi.org/10.1155/2014/860427</w:t>
      </w:r>
      <w:r w:rsidRPr="00F005EB">
        <w:t>): 1-6.</w:t>
      </w:r>
    </w:p>
    <w:p w14:paraId="1773AFDE" w14:textId="1A0FE9C6" w:rsidR="00832B7A" w:rsidRPr="00F005EB" w:rsidRDefault="00832B7A" w:rsidP="00693F40">
      <w:pPr>
        <w:pStyle w:val="EndNoteBibliography"/>
        <w:spacing w:after="0"/>
        <w:ind w:left="720" w:hanging="720"/>
        <w:jc w:val="both"/>
      </w:pPr>
      <w:r w:rsidRPr="00F005EB">
        <w:t xml:space="preserve">Papageorgiou, N., Lee, T. H., Nagakura, T., Cromwell, O., Wraith, D. G.,  Kay, A. B. </w:t>
      </w:r>
      <w:r w:rsidR="00181077">
        <w:t>(</w:t>
      </w:r>
      <w:r w:rsidRPr="00F005EB">
        <w:t>1983</w:t>
      </w:r>
      <w:r w:rsidR="00181077">
        <w:t>)</w:t>
      </w:r>
      <w:r w:rsidRPr="00F005EB">
        <w:t xml:space="preserve">. Neutrophil chemotactic activity in milk-induced asthma. </w:t>
      </w:r>
      <w:r w:rsidR="004B623E">
        <w:rPr>
          <w:b/>
          <w:i/>
        </w:rPr>
        <w:t>Journal of Allergy and Clinical Immunology</w:t>
      </w:r>
      <w:r w:rsidRPr="00F005EB">
        <w:t>, 72(1): 75-82.</w:t>
      </w:r>
    </w:p>
    <w:p w14:paraId="4C2E953D" w14:textId="5FBC0164" w:rsidR="00832B7A" w:rsidRPr="00181077" w:rsidRDefault="00832B7A" w:rsidP="00693F40">
      <w:pPr>
        <w:pStyle w:val="EndNoteBibliography"/>
        <w:spacing w:after="0"/>
        <w:ind w:left="720" w:hanging="720"/>
        <w:jc w:val="both"/>
      </w:pPr>
      <w:r w:rsidRPr="00F005EB">
        <w:t xml:space="preserve">Papia, F., Bellia, C.,  Uasuf, C. G. </w:t>
      </w:r>
      <w:r w:rsidR="00181077">
        <w:t>(</w:t>
      </w:r>
      <w:r w:rsidRPr="00F005EB">
        <w:t>2021</w:t>
      </w:r>
      <w:r w:rsidR="00181077">
        <w:t>)</w:t>
      </w:r>
      <w:r w:rsidRPr="00F005EB">
        <w:t xml:space="preserve">. Tropomyosin: A panallergen that causes a worldwide allergic problem. </w:t>
      </w:r>
      <w:r w:rsidR="004B623E" w:rsidRPr="00181077">
        <w:rPr>
          <w:b/>
          <w:i/>
        </w:rPr>
        <w:t>Allergy and Asthma Proceedings</w:t>
      </w:r>
      <w:r w:rsidRPr="00181077">
        <w:t>, 42(5): e145-e151.</w:t>
      </w:r>
    </w:p>
    <w:p w14:paraId="32202AD7" w14:textId="4DE5F7EE" w:rsidR="00832B7A" w:rsidRPr="00F005EB" w:rsidRDefault="00832B7A" w:rsidP="00693F40">
      <w:pPr>
        <w:pStyle w:val="EndNoteBibliography"/>
        <w:spacing w:after="0"/>
        <w:ind w:left="720" w:hanging="720"/>
        <w:jc w:val="both"/>
      </w:pPr>
      <w:r w:rsidRPr="00181077">
        <w:t xml:space="preserve">Reese, G., Ayuso, R.,  Lehrer, S. B. </w:t>
      </w:r>
      <w:r w:rsidR="00181077" w:rsidRPr="00181077">
        <w:t>(</w:t>
      </w:r>
      <w:r w:rsidRPr="00181077">
        <w:t>1999</w:t>
      </w:r>
      <w:r w:rsidR="00181077" w:rsidRPr="00181077">
        <w:t>)</w:t>
      </w:r>
      <w:r w:rsidRPr="00181077">
        <w:t xml:space="preserve">. </w:t>
      </w:r>
      <w:r w:rsidRPr="00F005EB">
        <w:t xml:space="preserve">Tropomyosin: an invertebrate pan-allergen. </w:t>
      </w:r>
      <w:r w:rsidR="00181077">
        <w:rPr>
          <w:b/>
          <w:i/>
        </w:rPr>
        <w:t>International Archives of Allergy and Immunology</w:t>
      </w:r>
      <w:r w:rsidRPr="00F005EB">
        <w:t>, 119(4): 247-258.</w:t>
      </w:r>
    </w:p>
    <w:p w14:paraId="1718403E" w14:textId="413DF04B" w:rsidR="00832B7A" w:rsidRPr="00F005EB" w:rsidRDefault="00832B7A" w:rsidP="00693F40">
      <w:pPr>
        <w:pStyle w:val="EndNoteBibliography"/>
        <w:spacing w:after="0"/>
        <w:ind w:left="720" w:hanging="720"/>
        <w:jc w:val="both"/>
      </w:pPr>
      <w:r w:rsidRPr="00F005EB">
        <w:t xml:space="preserve">Sánchez-Borges, M., Suárez Chacón, R., Capriles-Hulett, A., Caballero-Fonseca, F.,  Fernández-Caldas, E. 2013. Anaphylaxis from ingestion of mites: Pancake anaphylaxis. </w:t>
      </w:r>
      <w:r w:rsidRPr="00F005EB">
        <w:rPr>
          <w:b/>
          <w:i/>
        </w:rPr>
        <w:t>Journal of Allergy and Clinical Immunology</w:t>
      </w:r>
      <w:r w:rsidRPr="00F005EB">
        <w:t>, 131(1): 31-35.</w:t>
      </w:r>
    </w:p>
    <w:p w14:paraId="18653E9A" w14:textId="67B3503B" w:rsidR="00832B7A" w:rsidRPr="00F005EB" w:rsidRDefault="00832B7A" w:rsidP="00693F40">
      <w:pPr>
        <w:pStyle w:val="EndNoteBibliography"/>
        <w:spacing w:after="0"/>
        <w:ind w:left="720" w:hanging="720"/>
        <w:jc w:val="both"/>
      </w:pPr>
      <w:r w:rsidRPr="00832B7A">
        <w:rPr>
          <w:lang w:val="fr-FR"/>
        </w:rPr>
        <w:t xml:space="preserve">Schoch CL, </w:t>
      </w:r>
      <w:r w:rsidR="004B623E">
        <w:rPr>
          <w:lang w:val="fr-FR"/>
        </w:rPr>
        <w:t xml:space="preserve">et </w:t>
      </w:r>
      <w:r w:rsidRPr="00832B7A">
        <w:rPr>
          <w:lang w:val="fr-FR"/>
        </w:rPr>
        <w:t xml:space="preserve">al. </w:t>
      </w:r>
      <w:r w:rsidR="00181077">
        <w:rPr>
          <w:lang w:val="fr-FR"/>
        </w:rPr>
        <w:t>(</w:t>
      </w:r>
      <w:r w:rsidRPr="00832B7A">
        <w:rPr>
          <w:lang w:val="fr-FR"/>
        </w:rPr>
        <w:t>2020a</w:t>
      </w:r>
      <w:r w:rsidR="00181077">
        <w:rPr>
          <w:lang w:val="fr-FR"/>
        </w:rPr>
        <w:t>)</w:t>
      </w:r>
      <w:r w:rsidRPr="00832B7A">
        <w:rPr>
          <w:lang w:val="fr-FR"/>
        </w:rPr>
        <w:t xml:space="preserve">. </w:t>
      </w:r>
      <w:r w:rsidRPr="00F005EB">
        <w:t>NCBI Taxonomy: Blomia tropicalis. In</w:t>
      </w:r>
      <w:r w:rsidR="004B623E">
        <w:t>:</w:t>
      </w:r>
      <w:r w:rsidRPr="00F005EB">
        <w:t xml:space="preserve"> NCBI Taxonomy: a comprehensive update on curation (</w:t>
      </w:r>
      <w:r w:rsidR="004B623E" w:rsidRPr="004B623E">
        <w:t>https://www.ncbi.nlm.nih.gov/Taxonomy/Browser/wwwtax.cgi?lvl=0&amp;amp;id=40697</w:t>
      </w:r>
      <w:r w:rsidRPr="00F005EB">
        <w:t>).</w:t>
      </w:r>
    </w:p>
    <w:p w14:paraId="7F1F56A2" w14:textId="74969003" w:rsidR="00832B7A" w:rsidRPr="00F005EB" w:rsidRDefault="00832B7A" w:rsidP="00693F40">
      <w:pPr>
        <w:pStyle w:val="EndNoteBibliography"/>
        <w:spacing w:after="0"/>
        <w:ind w:left="720" w:hanging="720"/>
        <w:jc w:val="both"/>
      </w:pPr>
      <w:r w:rsidRPr="00832B7A">
        <w:rPr>
          <w:lang w:val="fr-FR"/>
        </w:rPr>
        <w:t xml:space="preserve">Schoch CL, </w:t>
      </w:r>
      <w:r w:rsidR="004B623E">
        <w:rPr>
          <w:lang w:val="fr-FR"/>
        </w:rPr>
        <w:t xml:space="preserve">et </w:t>
      </w:r>
      <w:r w:rsidRPr="00832B7A">
        <w:rPr>
          <w:lang w:val="fr-FR"/>
        </w:rPr>
        <w:t xml:space="preserve">al. </w:t>
      </w:r>
      <w:r w:rsidR="00181077">
        <w:rPr>
          <w:lang w:val="fr-FR"/>
        </w:rPr>
        <w:t>(</w:t>
      </w:r>
      <w:r w:rsidRPr="00832B7A">
        <w:rPr>
          <w:lang w:val="fr-FR"/>
        </w:rPr>
        <w:t>2020b</w:t>
      </w:r>
      <w:r w:rsidR="00181077">
        <w:rPr>
          <w:lang w:val="fr-FR"/>
        </w:rPr>
        <w:t>)</w:t>
      </w:r>
      <w:r w:rsidRPr="00832B7A">
        <w:rPr>
          <w:lang w:val="fr-FR"/>
        </w:rPr>
        <w:t xml:space="preserve">. </w:t>
      </w:r>
      <w:r w:rsidRPr="00F005EB">
        <w:t>NCBI Taxonomy: Farfantepenaeus brasiliensis. In</w:t>
      </w:r>
      <w:r w:rsidR="004B623E">
        <w:t xml:space="preserve">: </w:t>
      </w:r>
      <w:r w:rsidRPr="00F005EB">
        <w:t>NCBI Taxonomy: a comprehensive update on curation (</w:t>
      </w:r>
      <w:r w:rsidR="004B623E" w:rsidRPr="004B623E">
        <w:t>https://www.ncbi.nlm.nih.gov/Taxonomy/Browser/wwwtax.cgi</w:t>
      </w:r>
      <w:r w:rsidRPr="00F005EB">
        <w:t>).</w:t>
      </w:r>
    </w:p>
    <w:p w14:paraId="704B89FF" w14:textId="304283F6" w:rsidR="00832B7A" w:rsidRPr="004B623E" w:rsidRDefault="00832B7A" w:rsidP="00693F40">
      <w:pPr>
        <w:pStyle w:val="EndNoteBibliography"/>
        <w:spacing w:after="0"/>
        <w:ind w:left="720" w:hanging="720"/>
        <w:jc w:val="both"/>
      </w:pPr>
      <w:r w:rsidRPr="00F005EB">
        <w:t>Shanti, K. N., Martin, B. M., Nagpal, S., Metcalfe, D. D.,</w:t>
      </w:r>
      <w:r w:rsidR="004B623E">
        <w:t xml:space="preserve"> Rao, P. V. (1993)</w:t>
      </w:r>
      <w:r w:rsidRPr="00F005EB">
        <w:t xml:space="preserve">. Identification of </w:t>
      </w:r>
      <w:r w:rsidR="004B623E">
        <w:t>Tropomyosin as the Major Shrimp Allergen and Characterization of Its IgE-Binding Epitopes</w:t>
      </w:r>
      <w:r w:rsidRPr="00F005EB">
        <w:t xml:space="preserve"> </w:t>
      </w:r>
      <w:r w:rsidR="004B623E" w:rsidRPr="004B623E">
        <w:rPr>
          <w:b/>
          <w:i/>
        </w:rPr>
        <w:t>Journal of Immunology</w:t>
      </w:r>
      <w:r w:rsidRPr="004B623E">
        <w:t>, 151(10): 5354-5363.</w:t>
      </w:r>
    </w:p>
    <w:p w14:paraId="1CF9F34D" w14:textId="577F06B6" w:rsidR="00832B7A" w:rsidRPr="00F005EB" w:rsidRDefault="00832B7A" w:rsidP="00693F40">
      <w:pPr>
        <w:pStyle w:val="EndNoteBibliography"/>
        <w:spacing w:after="0"/>
        <w:ind w:left="720" w:hanging="720"/>
        <w:jc w:val="both"/>
      </w:pPr>
      <w:r w:rsidRPr="00832B7A">
        <w:rPr>
          <w:lang w:val="pt-BR"/>
        </w:rPr>
        <w:t xml:space="preserve">Silveira, S., Fabiano, G., Pereyra, I., Laporta, M., Scarabino, F., Santana, O., Márquez, A.,  Errico, E. </w:t>
      </w:r>
      <w:r w:rsidR="00181077">
        <w:rPr>
          <w:lang w:val="pt-BR"/>
        </w:rPr>
        <w:t>(</w:t>
      </w:r>
      <w:r w:rsidRPr="00832B7A">
        <w:rPr>
          <w:lang w:val="pt-BR"/>
        </w:rPr>
        <w:t>2022</w:t>
      </w:r>
      <w:r w:rsidR="00181077">
        <w:rPr>
          <w:lang w:val="pt-BR"/>
        </w:rPr>
        <w:t>)</w:t>
      </w:r>
      <w:r w:rsidRPr="00832B7A">
        <w:rPr>
          <w:lang w:val="pt-BR"/>
        </w:rPr>
        <w:t xml:space="preserve">. </w:t>
      </w:r>
      <w:r w:rsidRPr="00F005EB">
        <w:t>Presence of the Pink shrimp</w:t>
      </w:r>
      <w:r w:rsidR="00181077">
        <w:t xml:space="preserve"> </w:t>
      </w:r>
      <w:r w:rsidRPr="00181077">
        <w:rPr>
          <w:i/>
          <w:iCs/>
        </w:rPr>
        <w:t>Farfantepenaeus brasiliensis</w:t>
      </w:r>
      <w:r w:rsidRPr="00F005EB">
        <w:t xml:space="preserve"> (Latreille, 1817) in the coastal lagoons of Uruguay (Crustacea: Decapoda: Penaeoidea). </w:t>
      </w:r>
      <w:r w:rsidRPr="00F005EB">
        <w:rPr>
          <w:b/>
          <w:i/>
        </w:rPr>
        <w:t>Nauplius</w:t>
      </w:r>
      <w:r w:rsidRPr="00F005EB">
        <w:t>, 30.</w:t>
      </w:r>
    </w:p>
    <w:p w14:paraId="627D42B3" w14:textId="2791DE63" w:rsidR="0069239B" w:rsidRDefault="0069239B" w:rsidP="00693F40">
      <w:pPr>
        <w:pStyle w:val="EndNoteBibliography"/>
        <w:spacing w:after="0"/>
        <w:ind w:left="720" w:hanging="720"/>
        <w:jc w:val="both"/>
      </w:pPr>
      <w:r w:rsidRPr="00F005EB">
        <w:t>Sub-Committee</w:t>
      </w:r>
      <w:r>
        <w:t xml:space="preserve"> for </w:t>
      </w:r>
      <w:r w:rsidRPr="00F005EB">
        <w:t>Allergen</w:t>
      </w:r>
      <w:r>
        <w:t xml:space="preserve"> </w:t>
      </w:r>
      <w:r w:rsidRPr="00F005EB">
        <w:t xml:space="preserve">Nomenclature, </w:t>
      </w:r>
      <w:r>
        <w:t>(</w:t>
      </w:r>
      <w:r w:rsidRPr="00F005EB">
        <w:t>2025</w:t>
      </w:r>
      <w:r>
        <w:t>a)</w:t>
      </w:r>
      <w:r w:rsidRPr="00F005EB">
        <w:t xml:space="preserve">. The official list of allergens from </w:t>
      </w:r>
      <w:r w:rsidRPr="00181077">
        <w:rPr>
          <w:i/>
          <w:iCs/>
        </w:rPr>
        <w:t>Blomia tropicalis</w:t>
      </w:r>
      <w:r w:rsidRPr="00F005EB">
        <w:t xml:space="preserve"> </w:t>
      </w:r>
      <w:r>
        <w:t>as compiled by the W</w:t>
      </w:r>
      <w:r w:rsidR="00975B0F">
        <w:t>orld Health Organization (WHO)</w:t>
      </w:r>
      <w:r>
        <w:t xml:space="preserve"> and the </w:t>
      </w:r>
      <w:r w:rsidRPr="00F005EB">
        <w:t>International Union of Immunological Societies.</w:t>
      </w:r>
      <w:r>
        <w:t xml:space="preserve"> </w:t>
      </w:r>
      <w:r>
        <w:lastRenderedPageBreak/>
        <w:t>(</w:t>
      </w:r>
      <w:r w:rsidRPr="00181077">
        <w:t>https://allergen.org/search.php?allergenname=&amp;allergensource=Blomia+tropicalis&amp;TaxSource=&amp;TaxOrder=&amp;foodallerg=all&amp;bioname=</w:t>
      </w:r>
      <w:r>
        <w:t>).</w:t>
      </w:r>
    </w:p>
    <w:p w14:paraId="3A582481" w14:textId="09182932" w:rsidR="0069239B" w:rsidRDefault="0069239B" w:rsidP="00693F40">
      <w:pPr>
        <w:pStyle w:val="EndNoteBibliography"/>
        <w:spacing w:after="0"/>
        <w:ind w:left="720" w:hanging="720"/>
        <w:jc w:val="both"/>
      </w:pPr>
      <w:r w:rsidRPr="00F005EB">
        <w:t>Sub-Committee</w:t>
      </w:r>
      <w:r>
        <w:t xml:space="preserve"> for </w:t>
      </w:r>
      <w:r w:rsidRPr="00F005EB">
        <w:t>Allergen</w:t>
      </w:r>
      <w:r>
        <w:t xml:space="preserve"> </w:t>
      </w:r>
      <w:r w:rsidRPr="00F005EB">
        <w:t xml:space="preserve">Nomenclature </w:t>
      </w:r>
      <w:r>
        <w:t>(</w:t>
      </w:r>
      <w:r w:rsidRPr="00F005EB">
        <w:t>2025</w:t>
      </w:r>
      <w:r>
        <w:t>b)</w:t>
      </w:r>
      <w:r w:rsidRPr="00F005EB">
        <w:t xml:space="preserve">. </w:t>
      </w:r>
      <w:r>
        <w:t>The official l</w:t>
      </w:r>
      <w:r w:rsidRPr="00F005EB">
        <w:t>ist of allergens from shrimps</w:t>
      </w:r>
      <w:r>
        <w:t xml:space="preserve">, as compiled by the WHO and the </w:t>
      </w:r>
      <w:r w:rsidRPr="00F005EB">
        <w:t>International Union of Immunological Societies.</w:t>
      </w:r>
      <w:r>
        <w:t xml:space="preserve"> (</w:t>
      </w:r>
      <w:r w:rsidRPr="002F2BD9">
        <w:t>https://allergen.org/search.php?allergensource=shrimp&amp;searchsource=Search</w:t>
      </w:r>
      <w:r>
        <w:t>).</w:t>
      </w:r>
    </w:p>
    <w:p w14:paraId="2219BC05" w14:textId="79180560" w:rsidR="00832B7A" w:rsidRPr="00F005EB" w:rsidRDefault="00832B7A" w:rsidP="00693F40">
      <w:pPr>
        <w:pStyle w:val="EndNoteBibliography"/>
        <w:spacing w:after="0"/>
        <w:ind w:left="720" w:hanging="720"/>
        <w:jc w:val="both"/>
      </w:pPr>
      <w:r w:rsidRPr="00F005EB">
        <w:t xml:space="preserve">Thomson, D. M. P. </w:t>
      </w:r>
      <w:r w:rsidR="00B156CC">
        <w:t>(</w:t>
      </w:r>
      <w:r w:rsidRPr="00F005EB">
        <w:t>1982</w:t>
      </w:r>
      <w:r w:rsidR="00B156CC">
        <w:t>)</w:t>
      </w:r>
      <w:r w:rsidRPr="00F005EB">
        <w:t xml:space="preserve">. </w:t>
      </w:r>
      <w:r w:rsidRPr="00F005EB">
        <w:rPr>
          <w:b/>
          <w:i/>
        </w:rPr>
        <w:t>Assessment of immune status by the leukocyte adherence inhibition test</w:t>
      </w:r>
      <w:r w:rsidRPr="00F005EB">
        <w:t>. New York: Academic Press.</w:t>
      </w:r>
    </w:p>
    <w:p w14:paraId="504ED193" w14:textId="0ECEBA30" w:rsidR="00832B7A" w:rsidRPr="00F005EB" w:rsidRDefault="00832B7A" w:rsidP="00693F40">
      <w:pPr>
        <w:pStyle w:val="EndNoteBibliography"/>
        <w:spacing w:after="0"/>
        <w:ind w:left="720" w:hanging="720"/>
        <w:jc w:val="both"/>
      </w:pPr>
      <w:r w:rsidRPr="00F005EB">
        <w:t xml:space="preserve">Tong, A. W., Burger, D. R., Finke, P., Barney, C., Vandenbark, A. A.,  Vetto, R. M. </w:t>
      </w:r>
      <w:r w:rsidR="00B156CC">
        <w:t>(</w:t>
      </w:r>
      <w:r w:rsidRPr="00F005EB">
        <w:t>1979</w:t>
      </w:r>
      <w:r w:rsidR="00B156CC">
        <w:t>)</w:t>
      </w:r>
      <w:r w:rsidRPr="00F005EB">
        <w:t xml:space="preserve">. Assessment of the mechanism of the leukocyte adherence inhibition test. </w:t>
      </w:r>
      <w:r w:rsidRPr="00F005EB">
        <w:rPr>
          <w:b/>
          <w:i/>
        </w:rPr>
        <w:t>Cancer Research</w:t>
      </w:r>
      <w:r w:rsidRPr="00F005EB">
        <w:t>, 39(2 Pt 2): 597-603.</w:t>
      </w:r>
    </w:p>
    <w:p w14:paraId="7ACAD25C" w14:textId="6D92C1C5" w:rsidR="00832B7A" w:rsidRPr="00F005EB" w:rsidRDefault="00832B7A" w:rsidP="00693F40">
      <w:pPr>
        <w:pStyle w:val="EndNoteBibliography"/>
        <w:spacing w:after="0"/>
        <w:ind w:left="720" w:hanging="720"/>
        <w:jc w:val="both"/>
      </w:pPr>
      <w:r w:rsidRPr="00F005EB">
        <w:t xml:space="preserve">van Bronswijk, J. E., de Cock, A. W.,  Oshima, S. </w:t>
      </w:r>
      <w:r w:rsidR="00B156CC">
        <w:t>(</w:t>
      </w:r>
      <w:r w:rsidRPr="00F005EB">
        <w:t>1973</w:t>
      </w:r>
      <w:r w:rsidR="00B156CC">
        <w:t>)</w:t>
      </w:r>
      <w:r w:rsidRPr="00F005EB">
        <w:t xml:space="preserve">. The genus Blomia Oudemans (Acari: Glycyphagidae) I. Description of Blomia tropicalis sp. n. from house dust in tropical and sub-tropical regions. </w:t>
      </w:r>
      <w:r w:rsidRPr="00F005EB">
        <w:rPr>
          <w:b/>
          <w:i/>
        </w:rPr>
        <w:t>Acarologia</w:t>
      </w:r>
      <w:r w:rsidRPr="00F005EB">
        <w:t>, 15(3): 477-489.</w:t>
      </w:r>
    </w:p>
    <w:p w14:paraId="51F50B15" w14:textId="25203EA2" w:rsidR="00832B7A" w:rsidRPr="00F005EB" w:rsidRDefault="00832B7A" w:rsidP="00693F40">
      <w:pPr>
        <w:pStyle w:val="EndNoteBibliography"/>
        <w:spacing w:after="0"/>
        <w:ind w:left="720" w:hanging="720"/>
        <w:jc w:val="both"/>
      </w:pPr>
      <w:r w:rsidRPr="00F005EB">
        <w:t xml:space="preserve">Voorhorst, R., Spieksma-Boezeman, M. I.,  Spieksma, F. T. </w:t>
      </w:r>
      <w:r w:rsidR="00B156CC">
        <w:t>(</w:t>
      </w:r>
      <w:r w:rsidRPr="00F005EB">
        <w:t>1964</w:t>
      </w:r>
      <w:r w:rsidR="00B156CC">
        <w:t>)</w:t>
      </w:r>
      <w:r w:rsidRPr="00F005EB">
        <w:t>. Is a mite (Dermatophagoides sp) the producer of the house</w:t>
      </w:r>
      <w:r w:rsidR="004B623E">
        <w:t xml:space="preserve"> </w:t>
      </w:r>
      <w:r w:rsidRPr="00F005EB">
        <w:t xml:space="preserve">dust allergen? </w:t>
      </w:r>
      <w:r w:rsidRPr="00F005EB">
        <w:rPr>
          <w:b/>
          <w:i/>
        </w:rPr>
        <w:t>Allerg</w:t>
      </w:r>
      <w:r w:rsidR="004B623E">
        <w:rPr>
          <w:b/>
          <w:i/>
        </w:rPr>
        <w:t>ie und</w:t>
      </w:r>
      <w:r w:rsidRPr="00F005EB">
        <w:rPr>
          <w:b/>
          <w:i/>
        </w:rPr>
        <w:t xml:space="preserve"> Asthma (Leipz)</w:t>
      </w:r>
      <w:r w:rsidRPr="00F005EB">
        <w:t>, 10: 329-334.</w:t>
      </w:r>
    </w:p>
    <w:p w14:paraId="40B7019D" w14:textId="2EB75A47" w:rsidR="00832B7A" w:rsidRPr="00F005EB" w:rsidRDefault="00832B7A" w:rsidP="00693F40">
      <w:pPr>
        <w:pStyle w:val="EndNoteBibliography"/>
        <w:spacing w:after="0"/>
        <w:ind w:left="720" w:hanging="720"/>
        <w:jc w:val="both"/>
      </w:pPr>
      <w:r w:rsidRPr="00F005EB">
        <w:t xml:space="preserve">Waring, N. P., Daul, C. B., deShazo, R. D., McCants, M. L.,  Lehrer, S. B. </w:t>
      </w:r>
      <w:r w:rsidR="00B156CC">
        <w:t>(</w:t>
      </w:r>
      <w:r w:rsidRPr="00F005EB">
        <w:t>1985</w:t>
      </w:r>
      <w:r w:rsidR="00B156CC">
        <w:t>)</w:t>
      </w:r>
      <w:r w:rsidRPr="00F005EB">
        <w:t xml:space="preserve">. Hypersensitivity reactions to ingested crustacea: clinical evaluation and diagnostic studies in shrimp-sensitive individuals. </w:t>
      </w:r>
      <w:r w:rsidR="004B623E">
        <w:rPr>
          <w:b/>
          <w:i/>
        </w:rPr>
        <w:t>Journal of Allergy and Clinical Immunology</w:t>
      </w:r>
      <w:r w:rsidRPr="00F005EB">
        <w:t>, 76(3): 440-445.</w:t>
      </w:r>
    </w:p>
    <w:p w14:paraId="47C5CDD5" w14:textId="1FCB953A" w:rsidR="00832B7A" w:rsidRPr="00F005EB" w:rsidRDefault="00832B7A" w:rsidP="00693F40">
      <w:pPr>
        <w:pStyle w:val="EndNoteBibliography"/>
        <w:spacing w:after="0"/>
        <w:ind w:left="720" w:hanging="720"/>
        <w:jc w:val="both"/>
      </w:pPr>
      <w:r w:rsidRPr="00F005EB">
        <w:t xml:space="preserve">Wells, H. G. </w:t>
      </w:r>
      <w:r w:rsidR="00B156CC">
        <w:t>(</w:t>
      </w:r>
      <w:r w:rsidRPr="00F005EB">
        <w:t>1911</w:t>
      </w:r>
      <w:r w:rsidR="00B156CC">
        <w:t>)</w:t>
      </w:r>
      <w:r w:rsidRPr="00F005EB">
        <w:t xml:space="preserve">. Studies on the chemistry of anaphylaxis (III). Experiments with isolated proteins, especially those of the hen's egg. </w:t>
      </w:r>
      <w:r w:rsidRPr="00F005EB">
        <w:rPr>
          <w:b/>
          <w:i/>
        </w:rPr>
        <w:t>Journal of Infectious Diseases</w:t>
      </w:r>
      <w:r w:rsidRPr="00F005EB">
        <w:t>, 9: 147-171.</w:t>
      </w:r>
    </w:p>
    <w:p w14:paraId="0A765081" w14:textId="3FA7A2FA" w:rsidR="00832B7A" w:rsidRPr="00F005EB" w:rsidRDefault="00832B7A" w:rsidP="00693F40">
      <w:pPr>
        <w:pStyle w:val="EndNoteBibliography"/>
        <w:spacing w:after="0"/>
        <w:ind w:left="720" w:hanging="720"/>
        <w:jc w:val="both"/>
      </w:pPr>
      <w:r w:rsidRPr="00F005EB">
        <w:t xml:space="preserve">Williams, C. A.,  Chase, M. W. </w:t>
      </w:r>
      <w:r w:rsidR="00B156CC">
        <w:t>(</w:t>
      </w:r>
      <w:r w:rsidRPr="00F005EB">
        <w:t>1971</w:t>
      </w:r>
      <w:r w:rsidR="00B156CC">
        <w:t>)</w:t>
      </w:r>
      <w:r w:rsidRPr="00F005EB">
        <w:t>. C</w:t>
      </w:r>
      <w:r w:rsidR="00B156CC">
        <w:t>hapter</w:t>
      </w:r>
      <w:r w:rsidRPr="00F005EB">
        <w:t xml:space="preserve"> 13 - Precipitation Reactions, </w:t>
      </w:r>
      <w:r w:rsidRPr="00F005EB">
        <w:rPr>
          <w:b/>
          <w:i/>
        </w:rPr>
        <w:t>Reactions of Antibodies with Soluble Antigens</w:t>
      </w:r>
      <w:r w:rsidRPr="00F005EB">
        <w:t>, Vol. 3: 1-102: Academic Press.</w:t>
      </w:r>
    </w:p>
    <w:p w14:paraId="77FB1C75" w14:textId="22A3ADA9" w:rsidR="00832B7A" w:rsidRPr="00F005EB" w:rsidRDefault="00832B7A" w:rsidP="00693F40">
      <w:pPr>
        <w:pStyle w:val="EndNoteBibliography"/>
        <w:spacing w:after="0"/>
        <w:ind w:left="720" w:hanging="720"/>
        <w:jc w:val="both"/>
      </w:pPr>
      <w:r w:rsidRPr="00F005EB">
        <w:t xml:space="preserve">WMA. </w:t>
      </w:r>
      <w:r w:rsidR="000F336D">
        <w:t>(</w:t>
      </w:r>
      <w:r w:rsidRPr="00F005EB">
        <w:t>2013</w:t>
      </w:r>
      <w:r w:rsidR="000F336D">
        <w:t>)</w:t>
      </w:r>
      <w:r w:rsidRPr="00F005EB">
        <w:t xml:space="preserve">. World Medical Association Declaration of Helsinki: </w:t>
      </w:r>
      <w:r w:rsidR="004B623E">
        <w:t>Ethical Principles for Medical Research Involving Human S</w:t>
      </w:r>
      <w:r w:rsidRPr="00F005EB">
        <w:t xml:space="preserve">ubjects. </w:t>
      </w:r>
      <w:r w:rsidRPr="00F005EB">
        <w:rPr>
          <w:b/>
          <w:i/>
        </w:rPr>
        <w:t>JAMA</w:t>
      </w:r>
      <w:r w:rsidRPr="00F005EB">
        <w:t>, 310(20): 2191-2194.</w:t>
      </w:r>
    </w:p>
    <w:p w14:paraId="777FAC29" w14:textId="3AD04C28" w:rsidR="00832B7A" w:rsidRPr="00F005EB" w:rsidRDefault="00832B7A" w:rsidP="00693F40">
      <w:pPr>
        <w:pStyle w:val="EndNoteBibliography"/>
        <w:spacing w:after="0"/>
        <w:ind w:left="720" w:hanging="720"/>
        <w:jc w:val="both"/>
      </w:pPr>
      <w:r w:rsidRPr="00F005EB">
        <w:t xml:space="preserve">Wong, L., Huang, C. H.,  Lee, B. W. </w:t>
      </w:r>
      <w:r w:rsidR="000F336D">
        <w:t>(</w:t>
      </w:r>
      <w:r w:rsidRPr="00F005EB">
        <w:t>2016</w:t>
      </w:r>
      <w:r w:rsidR="000F336D">
        <w:t>)</w:t>
      </w:r>
      <w:r w:rsidRPr="00F005EB">
        <w:t xml:space="preserve">. Shellfish and House Dust Mite Allergies: Is the Link Tropomyosin? </w:t>
      </w:r>
      <w:r w:rsidRPr="00F005EB">
        <w:rPr>
          <w:b/>
          <w:i/>
        </w:rPr>
        <w:t>Allergy</w:t>
      </w:r>
      <w:r w:rsidR="004B623E">
        <w:rPr>
          <w:b/>
          <w:i/>
        </w:rPr>
        <w:t>,</w:t>
      </w:r>
      <w:r w:rsidRPr="00F005EB">
        <w:rPr>
          <w:b/>
          <w:i/>
        </w:rPr>
        <w:t xml:space="preserve"> Asthma</w:t>
      </w:r>
      <w:r w:rsidR="004B623E">
        <w:rPr>
          <w:b/>
          <w:i/>
        </w:rPr>
        <w:t xml:space="preserve"> and</w:t>
      </w:r>
      <w:r w:rsidRPr="00F005EB">
        <w:rPr>
          <w:b/>
          <w:i/>
        </w:rPr>
        <w:t xml:space="preserve"> Immunol</w:t>
      </w:r>
      <w:r w:rsidR="004B623E">
        <w:rPr>
          <w:b/>
          <w:i/>
        </w:rPr>
        <w:t>ogy</w:t>
      </w:r>
      <w:r w:rsidRPr="00F005EB">
        <w:rPr>
          <w:b/>
          <w:i/>
        </w:rPr>
        <w:t xml:space="preserve"> Res</w:t>
      </w:r>
      <w:r w:rsidR="004B623E">
        <w:rPr>
          <w:b/>
          <w:i/>
        </w:rPr>
        <w:t>earch</w:t>
      </w:r>
      <w:r w:rsidRPr="00F005EB">
        <w:t>, 8(2): 101-106.</w:t>
      </w:r>
    </w:p>
    <w:p w14:paraId="77FCA43E" w14:textId="2B3E0673" w:rsidR="00832B7A" w:rsidRPr="00F005EB" w:rsidRDefault="00832B7A" w:rsidP="00693F40">
      <w:pPr>
        <w:pStyle w:val="EndNoteBibliography"/>
        <w:spacing w:after="0"/>
        <w:ind w:left="720" w:hanging="720"/>
        <w:jc w:val="both"/>
      </w:pPr>
      <w:r w:rsidRPr="000F336D">
        <w:t xml:space="preserve">Yang, A. C., Arruda, L. K., Santos, A. B. R., Barbosa, M. C. R., Chapman, M. D., Kalil, J.,  </w:t>
      </w:r>
      <w:r w:rsidR="000F336D" w:rsidRPr="000F336D">
        <w:t xml:space="preserve">et al. </w:t>
      </w:r>
      <w:r w:rsidR="000F336D">
        <w:t>(</w:t>
      </w:r>
      <w:r w:rsidRPr="000F336D">
        <w:t>2010</w:t>
      </w:r>
      <w:r w:rsidR="000F336D">
        <w:t>)</w:t>
      </w:r>
      <w:r w:rsidRPr="000F336D">
        <w:t xml:space="preserve">. </w:t>
      </w:r>
      <w:r w:rsidRPr="00F005EB">
        <w:t xml:space="preserve">Cross-reactivity Between Mite And Shrimp: The Effect Of Immunotherapy With Dust Mite Extract. </w:t>
      </w:r>
      <w:r w:rsidRPr="00F005EB">
        <w:rPr>
          <w:b/>
          <w:i/>
        </w:rPr>
        <w:t>Journal of Allergy and Clinical Immunology</w:t>
      </w:r>
      <w:r w:rsidRPr="00F005EB">
        <w:t>, 125(2): AB35.</w:t>
      </w:r>
    </w:p>
    <w:p w14:paraId="3235C866" w14:textId="24A71231" w:rsidR="00832B7A" w:rsidRPr="00F005EB" w:rsidRDefault="00832B7A" w:rsidP="00693F40">
      <w:pPr>
        <w:pStyle w:val="EndNoteBibliography"/>
        <w:ind w:left="720" w:hanging="720"/>
        <w:jc w:val="both"/>
      </w:pPr>
      <w:r w:rsidRPr="004B623E">
        <w:rPr>
          <w:lang w:val="fr-FR"/>
        </w:rPr>
        <w:t xml:space="preserve">Zhang, J., Tang, Y., Yang, D.,  Yu, J. </w:t>
      </w:r>
      <w:r w:rsidR="000F336D">
        <w:rPr>
          <w:lang w:val="fr-FR"/>
        </w:rPr>
        <w:t>(</w:t>
      </w:r>
      <w:r w:rsidRPr="004B623E">
        <w:rPr>
          <w:lang w:val="fr-FR"/>
        </w:rPr>
        <w:t>2025</w:t>
      </w:r>
      <w:r w:rsidR="000F336D">
        <w:rPr>
          <w:lang w:val="fr-FR"/>
        </w:rPr>
        <w:t>)</w:t>
      </w:r>
      <w:r w:rsidRPr="004B623E">
        <w:rPr>
          <w:lang w:val="fr-FR"/>
        </w:rPr>
        <w:t xml:space="preserve">. </w:t>
      </w:r>
      <w:r w:rsidRPr="00F005EB">
        <w:t xml:space="preserve">Investigating allergen-specific IgE distribution and correlations in chronic urticaria: a retrospective study in Shanghai, China. </w:t>
      </w:r>
      <w:r w:rsidRPr="00F005EB">
        <w:rPr>
          <w:b/>
          <w:i/>
        </w:rPr>
        <w:t>European Journal of Medical Research</w:t>
      </w:r>
      <w:r w:rsidRPr="00F005EB">
        <w:t>, 30(1): 182.</w:t>
      </w:r>
    </w:p>
    <w:p w14:paraId="5455BDDB" w14:textId="77777777" w:rsidR="00832B7A" w:rsidRDefault="00832B7A" w:rsidP="00693F40">
      <w:pPr>
        <w:jc w:val="both"/>
      </w:pPr>
    </w:p>
    <w:p w14:paraId="78615B5D" w14:textId="77777777" w:rsidR="00832B7A" w:rsidRDefault="00832B7A" w:rsidP="00693F40">
      <w:pPr>
        <w:jc w:val="both"/>
      </w:pPr>
    </w:p>
    <w:p w14:paraId="003E355E" w14:textId="77777777" w:rsidR="00854DA7" w:rsidRDefault="00854DA7" w:rsidP="00693F40">
      <w:pPr>
        <w:pStyle w:val="EndNoteBibliography"/>
        <w:spacing w:after="0"/>
        <w:ind w:left="720" w:hanging="720"/>
        <w:jc w:val="both"/>
      </w:pPr>
    </w:p>
    <w:sectPr w:rsidR="00854DA7" w:rsidSect="00693F40">
      <w:type w:val="continuous"/>
      <w:pgSz w:w="11909" w:h="16834" w:code="9"/>
      <w:pgMar w:top="1440" w:right="1419" w:bottom="1440" w:left="1440" w:header="720" w:footer="864"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7911B" w14:textId="77777777" w:rsidR="003737D6" w:rsidRDefault="003737D6" w:rsidP="00BD0FC6">
      <w:pPr>
        <w:spacing w:after="0" w:line="240" w:lineRule="auto"/>
      </w:pPr>
      <w:r>
        <w:separator/>
      </w:r>
    </w:p>
  </w:endnote>
  <w:endnote w:type="continuationSeparator" w:id="0">
    <w:p w14:paraId="12FB130E" w14:textId="77777777" w:rsidR="003737D6" w:rsidRDefault="003737D6" w:rsidP="00BD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956E" w14:textId="77777777" w:rsidR="00515436" w:rsidRDefault="00515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4D41" w14:textId="77777777" w:rsidR="00515436" w:rsidRDefault="00515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1047" w14:textId="77777777" w:rsidR="00D53AFF" w:rsidRPr="005E2A7F" w:rsidRDefault="00D53AFF"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w:t>
    </w:r>
  </w:p>
  <w:p w14:paraId="5DA8216C" w14:textId="77777777" w:rsidR="00D53AFF" w:rsidRPr="005E2A7F" w:rsidRDefault="00D53AFF" w:rsidP="00B552F7">
    <w:pPr>
      <w:tabs>
        <w:tab w:val="center" w:pos="4320"/>
        <w:tab w:val="right" w:pos="8640"/>
      </w:tabs>
      <w:spacing w:after="0" w:line="240" w:lineRule="auto"/>
      <w:rPr>
        <w:rFonts w:ascii="Arial" w:eastAsia="Times New Roman" w:hAnsi="Arial" w:cs="Arial"/>
        <w:i/>
        <w:sz w:val="16"/>
        <w:szCs w:val="20"/>
      </w:rPr>
    </w:pPr>
  </w:p>
  <w:p w14:paraId="16171DD4"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p w14:paraId="0FE00F95"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p w14:paraId="21C27822"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p w14:paraId="3C878240"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2448" w14:textId="77777777" w:rsidR="00D53AFF" w:rsidRPr="005E2A7F" w:rsidRDefault="00D53AFF">
    <w:pPr>
      <w:pStyle w:val="Footer"/>
      <w:jc w:val="center"/>
      <w:rPr>
        <w:rFonts w:ascii="Arial" w:hAnsi="Arial" w:cs="Arial"/>
        <w:sz w:val="28"/>
      </w:rPr>
    </w:pPr>
  </w:p>
  <w:p w14:paraId="003DB8E6" w14:textId="77777777" w:rsidR="00D53AFF" w:rsidRPr="005E2A7F"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D53AFF" w:rsidRPr="005E2A7F">
          <w:rPr>
            <w:rFonts w:ascii="Arial" w:hAnsi="Arial" w:cs="Arial"/>
            <w:sz w:val="20"/>
          </w:rPr>
          <w:fldChar w:fldCharType="begin"/>
        </w:r>
        <w:r w:rsidR="00D53AFF" w:rsidRPr="005E2A7F">
          <w:rPr>
            <w:rFonts w:ascii="Arial" w:hAnsi="Arial" w:cs="Arial"/>
            <w:sz w:val="20"/>
          </w:rPr>
          <w:instrText xml:space="preserve"> PAGE   \* MERGEFORMAT </w:instrText>
        </w:r>
        <w:r w:rsidR="00D53AFF" w:rsidRPr="005E2A7F">
          <w:rPr>
            <w:rFonts w:ascii="Arial" w:hAnsi="Arial" w:cs="Arial"/>
            <w:sz w:val="20"/>
          </w:rPr>
          <w:fldChar w:fldCharType="separate"/>
        </w:r>
        <w:r w:rsidR="00D53AFF" w:rsidRPr="005E2A7F">
          <w:rPr>
            <w:rFonts w:ascii="Arial" w:hAnsi="Arial" w:cs="Arial"/>
            <w:sz w:val="20"/>
          </w:rPr>
          <w:t>2</w:t>
        </w:r>
        <w:r w:rsidR="00D53AFF" w:rsidRPr="005E2A7F">
          <w:rPr>
            <w:rFonts w:ascii="Arial" w:hAnsi="Arial" w:cs="Arial"/>
            <w:sz w:val="20"/>
          </w:rPr>
          <w:fldChar w:fldCharType="end"/>
        </w:r>
      </w:sdtContent>
    </w:sdt>
  </w:p>
  <w:p w14:paraId="5AEB0D38" w14:textId="77777777" w:rsidR="00D53AFF" w:rsidRPr="005E2A7F" w:rsidRDefault="00D53AFF">
    <w:pPr>
      <w:pStyle w:val="Footer"/>
      <w:jc w:val="cen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E17A" w14:textId="77777777" w:rsidR="00D53AFF" w:rsidRPr="005E2A7F" w:rsidRDefault="00D53AFF" w:rsidP="00B552F7">
    <w:pPr>
      <w:tabs>
        <w:tab w:val="center" w:pos="4320"/>
        <w:tab w:val="right" w:pos="8640"/>
      </w:tabs>
      <w:spacing w:after="0" w:line="240" w:lineRule="auto"/>
      <w:jc w:val="both"/>
      <w:rPr>
        <w:rFonts w:ascii="Arial" w:eastAsia="Times New Roman"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B432F" w14:textId="77777777" w:rsidR="003737D6" w:rsidRDefault="003737D6" w:rsidP="00BD0FC6">
      <w:pPr>
        <w:spacing w:after="0" w:line="240" w:lineRule="auto"/>
      </w:pPr>
      <w:r>
        <w:separator/>
      </w:r>
    </w:p>
  </w:footnote>
  <w:footnote w:type="continuationSeparator" w:id="0">
    <w:p w14:paraId="4E0D2B58" w14:textId="77777777" w:rsidR="003737D6" w:rsidRDefault="003737D6" w:rsidP="00BD0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563C" w14:textId="479A9C29" w:rsidR="00D53AFF" w:rsidRPr="005E2A7F" w:rsidRDefault="00515436">
    <w:pPr>
      <w:pStyle w:val="Header"/>
    </w:pPr>
    <w:r>
      <w:rPr>
        <w:noProof/>
      </w:rPr>
      <w:pict w14:anchorId="2EB3E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6" o:spid="_x0000_s1028" type="#_x0000_t136" style="position:absolute;margin-left:0;margin-top:0;width:537.2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r w:rsidR="00D53AFF" w:rsidRPr="005E2A7F">
      <w:rPr>
        <w:noProof/>
      </w:rPr>
      <mc:AlternateContent>
        <mc:Choice Requires="wps">
          <w:drawing>
            <wp:anchor distT="0" distB="0" distL="114300" distR="114300" simplePos="0" relativeHeight="251656704" behindDoc="1" locked="0" layoutInCell="0" allowOverlap="1" wp14:anchorId="2467867A" wp14:editId="329EC0E0">
              <wp:simplePos x="0" y="0"/>
              <wp:positionH relativeFrom="margin">
                <wp:align>center</wp:align>
              </wp:positionH>
              <wp:positionV relativeFrom="margin">
                <wp:align>center</wp:align>
              </wp:positionV>
              <wp:extent cx="6076950" cy="2025650"/>
              <wp:effectExtent l="0" t="1771650" r="0" b="1270000"/>
              <wp:wrapNone/>
              <wp:docPr id="79648028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695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20E9E5" w14:textId="77777777" w:rsidR="00D53AFF" w:rsidRPr="005E2A7F" w:rsidRDefault="00D53AFF"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67867A" id="_x0000_t202" coordsize="21600,21600" o:spt="202" path="m,l,21600r21600,l21600,xe">
              <v:stroke joinstyle="miter"/>
              <v:path gradientshapeok="t" o:connecttype="rect"/>
            </v:shapetype>
            <v:shape id="Caixa de Texto 1" o:spid="_x0000_s1026" type="#_x0000_t202" style="position:absolute;margin-left:0;margin-top:0;width:478.5pt;height:15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" o:allowincell="f" filled="f" stroked="f">
              <v:stroke joinstyle="round"/>
              <o:lock v:ext="edit" shapetype="t"/>
              <v:textbox style="mso-fit-shape-to-text:t">
                <w:txbxContent>
                  <w:p w14:paraId="3220E9E5" w14:textId="77777777" w:rsidR="00D53AFF" w:rsidRPr="005E2A7F" w:rsidRDefault="00D53AFF"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2352" w14:textId="55AF4258" w:rsidR="00D53AFF" w:rsidRPr="005E2A7F" w:rsidRDefault="00515436"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7AF2F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7" o:spid="_x0000_s1029" type="#_x0000_t136" style="position:absolute;left:0;text-align:left;margin-left:0;margin-top:0;width:537.2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9EDCE0B"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30639E4"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0E794A7"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rPr>
    </w:pPr>
  </w:p>
  <w:p w14:paraId="0F3EA6AF" w14:textId="77777777" w:rsidR="00D53AFF" w:rsidRPr="005E2A7F" w:rsidRDefault="00D53AFF"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2BB5" w14:textId="29B9786B" w:rsidR="00515436" w:rsidRDefault="00515436">
    <w:pPr>
      <w:pStyle w:val="Header"/>
    </w:pPr>
    <w:r>
      <w:rPr>
        <w:noProof/>
      </w:rPr>
      <w:pict w14:anchorId="5B5D6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5" o:spid="_x0000_s1027" type="#_x0000_t136" style="position:absolute;margin-left:0;margin-top:0;width:537.2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61EF" w14:textId="7B01C0A3" w:rsidR="00D53AFF" w:rsidRPr="005E2A7F" w:rsidRDefault="00515436">
    <w:pPr>
      <w:pStyle w:val="Header"/>
    </w:pPr>
    <w:r>
      <w:rPr>
        <w:noProof/>
      </w:rPr>
      <w:pict w14:anchorId="2C8EB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9" o:spid="_x0000_s1031" type="#_x0000_t136" style="position:absolute;margin-left:0;margin-top:0;width:537.2pt;height:100.7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AA96" w14:textId="18E96513" w:rsidR="00D53AFF" w:rsidRPr="005E2A7F" w:rsidRDefault="00515436"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2DE72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80" o:spid="_x0000_s1032" type="#_x0000_t136" style="position:absolute;left:0;text-align:left;margin-left:0;margin-top:0;width:537.2pt;height:100.7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54492C49"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634C6A9"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1B60895"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B323C36" w14:textId="77777777" w:rsidR="00D53AFF" w:rsidRPr="005E2A7F" w:rsidRDefault="00D53AFF" w:rsidP="006C56FD">
    <w:pPr>
      <w:tabs>
        <w:tab w:val="center" w:pos="4320"/>
        <w:tab w:val="right" w:pos="8640"/>
      </w:tabs>
      <w:spacing w:after="0" w:line="240" w:lineRule="auto"/>
      <w:jc w:val="right"/>
      <w:rPr>
        <w:rFonts w:ascii="Arial" w:eastAsia="Times New Roman" w:hAnsi="Arial" w:cs="Arial"/>
        <w:i/>
        <w:sz w:val="16"/>
        <w:szCs w:val="20"/>
      </w:rPr>
    </w:pPr>
  </w:p>
  <w:p w14:paraId="313CB84A" w14:textId="77777777" w:rsidR="00D53AFF" w:rsidRPr="005E2A7F" w:rsidRDefault="00D53AFF" w:rsidP="006C56FD">
    <w:pPr>
      <w:tabs>
        <w:tab w:val="center" w:pos="4320"/>
        <w:tab w:val="right" w:pos="8640"/>
      </w:tabs>
      <w:spacing w:after="0" w:line="240" w:lineRule="auto"/>
      <w:jc w:val="righ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1091" w14:textId="5FB33821" w:rsidR="00515436" w:rsidRDefault="00515436">
    <w:pPr>
      <w:pStyle w:val="Header"/>
    </w:pPr>
    <w:r>
      <w:rPr>
        <w:noProof/>
      </w:rPr>
      <w:pict w14:anchorId="6686E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82378" o:spid="_x0000_s1030" type="#_x0000_t136" style="position:absolute;margin-left:0;margin-top:0;width:537.2pt;height:100.7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145"/>
    <w:multiLevelType w:val="hybridMultilevel"/>
    <w:tmpl w:val="708652B8"/>
    <w:lvl w:ilvl="0" w:tplc="25BAC404">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1" w15:restartNumberingAfterBreak="0">
    <w:nsid w:val="159A632E"/>
    <w:multiLevelType w:val="hybridMultilevel"/>
    <w:tmpl w:val="09149ED2"/>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203307"/>
    <w:multiLevelType w:val="hybridMultilevel"/>
    <w:tmpl w:val="C832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E0679"/>
    <w:multiLevelType w:val="hybridMultilevel"/>
    <w:tmpl w:val="260C221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EB7A1C"/>
    <w:multiLevelType w:val="multilevel"/>
    <w:tmpl w:val="ABBE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07A52"/>
    <w:multiLevelType w:val="hybridMultilevel"/>
    <w:tmpl w:val="8BA6CA74"/>
    <w:lvl w:ilvl="0" w:tplc="B43634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80FCD"/>
    <w:multiLevelType w:val="hybridMultilevel"/>
    <w:tmpl w:val="4C561770"/>
    <w:lvl w:ilvl="0" w:tplc="20363B16">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5C2C80"/>
    <w:multiLevelType w:val="multilevel"/>
    <w:tmpl w:val="B40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011860">
    <w:abstractNumId w:val="8"/>
  </w:num>
  <w:num w:numId="2" w16cid:durableId="750931729">
    <w:abstractNumId w:val="3"/>
  </w:num>
  <w:num w:numId="3" w16cid:durableId="233593820">
    <w:abstractNumId w:val="2"/>
  </w:num>
  <w:num w:numId="4" w16cid:durableId="1630359031">
    <w:abstractNumId w:val="6"/>
  </w:num>
  <w:num w:numId="5" w16cid:durableId="369302539">
    <w:abstractNumId w:val="7"/>
  </w:num>
  <w:num w:numId="6" w16cid:durableId="294528175">
    <w:abstractNumId w:val="0"/>
  </w:num>
  <w:num w:numId="7" w16cid:durableId="652951155">
    <w:abstractNumId w:val="1"/>
  </w:num>
  <w:num w:numId="8" w16cid:durableId="811487884">
    <w:abstractNumId w:val="4"/>
  </w:num>
  <w:num w:numId="9" w16cid:durableId="538710253">
    <w:abstractNumId w:val="5"/>
  </w:num>
  <w:num w:numId="10" w16cid:durableId="595021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EwNjO1sDA1MDI3MDdU0lEKTi0uzszPAykwqgUA4mAcQiwAAAA="/>
    <w:docVar w:name="EN.InstantFormat" w:val="&lt;ENInstantFormat&gt;&lt;Enabled&gt;1&lt;/Enabled&gt;&lt;ScanUnformatted&gt;1&lt;/ScanUnformatted&gt;&lt;ScanChanges&gt;1&lt;/ScanChanges&gt;&lt;Suspended&gt;1&lt;/Suspended&gt;&lt;/ENInstantFormat&gt;"/>
  </w:docVars>
  <w:rsids>
    <w:rsidRoot w:val="00D53AFF"/>
    <w:rsid w:val="000432EC"/>
    <w:rsid w:val="000569FF"/>
    <w:rsid w:val="000E4D61"/>
    <w:rsid w:val="000F336D"/>
    <w:rsid w:val="00125A41"/>
    <w:rsid w:val="001261AF"/>
    <w:rsid w:val="0014043F"/>
    <w:rsid w:val="00181077"/>
    <w:rsid w:val="00243FA1"/>
    <w:rsid w:val="002A45C8"/>
    <w:rsid w:val="002F2BD9"/>
    <w:rsid w:val="002F6376"/>
    <w:rsid w:val="002F7E6D"/>
    <w:rsid w:val="00304FDF"/>
    <w:rsid w:val="003737D6"/>
    <w:rsid w:val="003D10C0"/>
    <w:rsid w:val="00425507"/>
    <w:rsid w:val="004446B8"/>
    <w:rsid w:val="004B4897"/>
    <w:rsid w:val="004B623E"/>
    <w:rsid w:val="00515436"/>
    <w:rsid w:val="0056777D"/>
    <w:rsid w:val="0058219C"/>
    <w:rsid w:val="005F2AB1"/>
    <w:rsid w:val="0069239B"/>
    <w:rsid w:val="00693F40"/>
    <w:rsid w:val="00722FDB"/>
    <w:rsid w:val="0074529A"/>
    <w:rsid w:val="00832B7A"/>
    <w:rsid w:val="00842971"/>
    <w:rsid w:val="00854DA7"/>
    <w:rsid w:val="008D5A42"/>
    <w:rsid w:val="00902A88"/>
    <w:rsid w:val="00975B0F"/>
    <w:rsid w:val="00995CDB"/>
    <w:rsid w:val="009B36C9"/>
    <w:rsid w:val="00A71B37"/>
    <w:rsid w:val="00A75312"/>
    <w:rsid w:val="00AE19BE"/>
    <w:rsid w:val="00B156CC"/>
    <w:rsid w:val="00BA109A"/>
    <w:rsid w:val="00BA632D"/>
    <w:rsid w:val="00BD0FC6"/>
    <w:rsid w:val="00C0356A"/>
    <w:rsid w:val="00C065DB"/>
    <w:rsid w:val="00C944F4"/>
    <w:rsid w:val="00CD3C06"/>
    <w:rsid w:val="00D53AFF"/>
    <w:rsid w:val="00E0188D"/>
    <w:rsid w:val="00E22355"/>
    <w:rsid w:val="00F421CE"/>
    <w:rsid w:val="00F43ABF"/>
    <w:rsid w:val="00F7314C"/>
    <w:rsid w:val="00FB0ADC"/>
    <w:rsid w:val="00FF2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A9FC0"/>
  <w15:chartTrackingRefBased/>
  <w15:docId w15:val="{EDD05152-E2C3-4CCC-BFA9-85D50BA3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AFF"/>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D53AFF"/>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D53AFF"/>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D53AFF"/>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D53AFF"/>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D53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FF"/>
    <w:rPr>
      <w:rFonts w:ascii="Arial" w:eastAsiaTheme="majorEastAsia" w:hAnsi="Arial" w:cstheme="majorBidi"/>
      <w:b/>
      <w:bCs/>
      <w:kern w:val="0"/>
      <w:sz w:val="36"/>
      <w:szCs w:val="28"/>
      <w:lang w:val="en-US"/>
      <w14:ligatures w14:val="none"/>
    </w:rPr>
  </w:style>
  <w:style w:type="character" w:customStyle="1" w:styleId="Heading2Char">
    <w:name w:val="Heading 2 Char"/>
    <w:basedOn w:val="DefaultParagraphFont"/>
    <w:link w:val="Heading2"/>
    <w:uiPriority w:val="9"/>
    <w:rsid w:val="00D53AFF"/>
    <w:rPr>
      <w:rFonts w:ascii="Arial" w:eastAsiaTheme="majorEastAsia" w:hAnsi="Arial" w:cstheme="majorBidi"/>
      <w:b/>
      <w:bCs/>
      <w:kern w:val="0"/>
      <w:szCs w:val="26"/>
      <w:lang w:val="en-US"/>
      <w14:ligatures w14:val="none"/>
    </w:rPr>
  </w:style>
  <w:style w:type="character" w:customStyle="1" w:styleId="Heading3Char">
    <w:name w:val="Heading 3 Char"/>
    <w:basedOn w:val="DefaultParagraphFont"/>
    <w:link w:val="Heading3"/>
    <w:uiPriority w:val="9"/>
    <w:rsid w:val="00D53AFF"/>
    <w:rPr>
      <w:rFonts w:ascii="Arial" w:eastAsiaTheme="majorEastAsia" w:hAnsi="Arial" w:cstheme="majorBidi"/>
      <w:b/>
      <w:bCs/>
      <w:i/>
      <w:kern w:val="0"/>
      <w:sz w:val="24"/>
      <w:lang w:val="en-US"/>
      <w14:ligatures w14:val="none"/>
    </w:rPr>
  </w:style>
  <w:style w:type="character" w:customStyle="1" w:styleId="Heading4Char">
    <w:name w:val="Heading 4 Char"/>
    <w:basedOn w:val="DefaultParagraphFont"/>
    <w:link w:val="Heading4"/>
    <w:uiPriority w:val="9"/>
    <w:rsid w:val="00D53AFF"/>
    <w:rPr>
      <w:rFonts w:ascii="Arial" w:eastAsiaTheme="majorEastAsia" w:hAnsi="Arial" w:cstheme="majorBidi"/>
      <w:b/>
      <w:bCs/>
      <w:i/>
      <w:iCs/>
      <w:kern w:val="0"/>
      <w:sz w:val="20"/>
      <w:lang w:val="en-US"/>
      <w14:ligatures w14:val="none"/>
    </w:rPr>
  </w:style>
  <w:style w:type="character" w:customStyle="1" w:styleId="Heading5Char">
    <w:name w:val="Heading 5 Char"/>
    <w:basedOn w:val="DefaultParagraphFont"/>
    <w:link w:val="Heading5"/>
    <w:uiPriority w:val="9"/>
    <w:semiHidden/>
    <w:rsid w:val="00D53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AFF"/>
    <w:rPr>
      <w:rFonts w:eastAsiaTheme="majorEastAsia" w:cstheme="majorBidi"/>
      <w:color w:val="272727" w:themeColor="text1" w:themeTint="D8"/>
    </w:rPr>
  </w:style>
  <w:style w:type="paragraph" w:styleId="Title">
    <w:name w:val="Title"/>
    <w:basedOn w:val="Normal"/>
    <w:next w:val="Normal"/>
    <w:link w:val="TitleChar"/>
    <w:uiPriority w:val="10"/>
    <w:qFormat/>
    <w:rsid w:val="00D53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AFF"/>
    <w:pPr>
      <w:spacing w:before="160"/>
      <w:jc w:val="center"/>
    </w:pPr>
    <w:rPr>
      <w:i/>
      <w:iCs/>
      <w:color w:val="404040" w:themeColor="text1" w:themeTint="BF"/>
    </w:rPr>
  </w:style>
  <w:style w:type="character" w:customStyle="1" w:styleId="QuoteChar">
    <w:name w:val="Quote Char"/>
    <w:basedOn w:val="DefaultParagraphFont"/>
    <w:link w:val="Quote"/>
    <w:uiPriority w:val="29"/>
    <w:rsid w:val="00D53AFF"/>
    <w:rPr>
      <w:i/>
      <w:iCs/>
      <w:color w:val="404040" w:themeColor="text1" w:themeTint="BF"/>
    </w:rPr>
  </w:style>
  <w:style w:type="paragraph" w:styleId="ListParagraph">
    <w:name w:val="List Paragraph"/>
    <w:basedOn w:val="Normal"/>
    <w:uiPriority w:val="34"/>
    <w:qFormat/>
    <w:rsid w:val="00D53AFF"/>
    <w:pPr>
      <w:ind w:left="720"/>
      <w:contextualSpacing/>
    </w:pPr>
  </w:style>
  <w:style w:type="character" w:styleId="IntenseEmphasis">
    <w:name w:val="Intense Emphasis"/>
    <w:basedOn w:val="DefaultParagraphFont"/>
    <w:uiPriority w:val="21"/>
    <w:qFormat/>
    <w:rsid w:val="00D53AFF"/>
    <w:rPr>
      <w:i/>
      <w:iCs/>
      <w:color w:val="0F4761" w:themeColor="accent1" w:themeShade="BF"/>
    </w:rPr>
  </w:style>
  <w:style w:type="paragraph" w:styleId="IntenseQuote">
    <w:name w:val="Intense Quote"/>
    <w:basedOn w:val="Normal"/>
    <w:next w:val="Normal"/>
    <w:link w:val="IntenseQuoteChar"/>
    <w:uiPriority w:val="30"/>
    <w:qFormat/>
    <w:rsid w:val="00D53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AFF"/>
    <w:rPr>
      <w:i/>
      <w:iCs/>
      <w:color w:val="0F4761" w:themeColor="accent1" w:themeShade="BF"/>
    </w:rPr>
  </w:style>
  <w:style w:type="character" w:styleId="IntenseReference">
    <w:name w:val="Intense Reference"/>
    <w:basedOn w:val="DefaultParagraphFont"/>
    <w:uiPriority w:val="32"/>
    <w:qFormat/>
    <w:rsid w:val="00D53AFF"/>
    <w:rPr>
      <w:b/>
      <w:bCs/>
      <w:smallCaps/>
      <w:color w:val="0F4761" w:themeColor="accent1" w:themeShade="BF"/>
      <w:spacing w:val="5"/>
    </w:rPr>
  </w:style>
  <w:style w:type="paragraph" w:styleId="Header">
    <w:name w:val="header"/>
    <w:basedOn w:val="Normal"/>
    <w:link w:val="HeaderChar"/>
    <w:uiPriority w:val="99"/>
    <w:unhideWhenUsed/>
    <w:rsid w:val="00D53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FF"/>
    <w:rPr>
      <w:rFonts w:eastAsiaTheme="minorEastAsia"/>
      <w:kern w:val="0"/>
      <w:lang w:val="en-US"/>
      <w14:ligatures w14:val="none"/>
    </w:rPr>
  </w:style>
  <w:style w:type="paragraph" w:styleId="Footer">
    <w:name w:val="footer"/>
    <w:basedOn w:val="Normal"/>
    <w:link w:val="FooterChar"/>
    <w:uiPriority w:val="99"/>
    <w:unhideWhenUsed/>
    <w:rsid w:val="00D53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FF"/>
    <w:rPr>
      <w:rFonts w:eastAsiaTheme="minorEastAsia"/>
      <w:kern w:val="0"/>
      <w:lang w:val="en-US"/>
      <w14:ligatures w14:val="none"/>
    </w:rPr>
  </w:style>
  <w:style w:type="table" w:styleId="TableGrid">
    <w:name w:val="Table Grid"/>
    <w:basedOn w:val="TableNormal"/>
    <w:uiPriority w:val="59"/>
    <w:rsid w:val="00D53AF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53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AFF"/>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D53AFF"/>
    <w:rPr>
      <w:color w:val="467886" w:themeColor="hyperlink"/>
      <w:u w:val="single"/>
    </w:rPr>
  </w:style>
  <w:style w:type="paragraph" w:customStyle="1" w:styleId="ReferHead">
    <w:name w:val="Refer Head"/>
    <w:basedOn w:val="Normal"/>
    <w:rsid w:val="00D53AFF"/>
    <w:pPr>
      <w:keepNext/>
      <w:spacing w:after="240" w:line="240" w:lineRule="auto"/>
    </w:pPr>
    <w:rPr>
      <w:rFonts w:ascii="Helvetica" w:eastAsia="Times New Roman" w:hAnsi="Helvetica" w:cs="Times New Roman"/>
      <w:b/>
      <w:caps/>
      <w:szCs w:val="20"/>
    </w:rPr>
  </w:style>
  <w:style w:type="paragraph" w:customStyle="1" w:styleId="EndNoteBibliographyTitle">
    <w:name w:val="EndNote Bibliography Title"/>
    <w:basedOn w:val="Normal"/>
    <w:link w:val="EndNoteBibliographyTitleChar"/>
    <w:rsid w:val="00D53AF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53AFF"/>
    <w:rPr>
      <w:rFonts w:ascii="Calibri" w:eastAsiaTheme="minorEastAsia" w:hAnsi="Calibri" w:cs="Calibri"/>
      <w:noProof/>
      <w:kern w:val="0"/>
      <w:lang w:val="en-US"/>
      <w14:ligatures w14:val="none"/>
    </w:rPr>
  </w:style>
  <w:style w:type="paragraph" w:customStyle="1" w:styleId="EndNoteBibliography">
    <w:name w:val="EndNote Bibliography"/>
    <w:basedOn w:val="Normal"/>
    <w:link w:val="EndNoteBibliographyChar"/>
    <w:rsid w:val="00D53AF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53AFF"/>
    <w:rPr>
      <w:rFonts w:ascii="Calibri" w:eastAsiaTheme="minorEastAsia" w:hAnsi="Calibri" w:cs="Calibri"/>
      <w:noProof/>
      <w:kern w:val="0"/>
      <w:lang w:val="en-US"/>
      <w14:ligatures w14:val="none"/>
    </w:rPr>
  </w:style>
  <w:style w:type="paragraph" w:styleId="NoSpacing">
    <w:name w:val="No Spacing"/>
    <w:uiPriority w:val="1"/>
    <w:qFormat/>
    <w:rsid w:val="00D53AFF"/>
    <w:pPr>
      <w:spacing w:after="0" w:line="240" w:lineRule="auto"/>
    </w:pPr>
    <w:rPr>
      <w:rFonts w:eastAsiaTheme="minorEastAsia"/>
      <w:kern w:val="0"/>
      <w:lang w:val="en-US"/>
      <w14:ligatures w14:val="none"/>
    </w:rPr>
  </w:style>
  <w:style w:type="character" w:styleId="UnresolvedMention">
    <w:name w:val="Unresolved Mention"/>
    <w:basedOn w:val="DefaultParagraphFont"/>
    <w:uiPriority w:val="99"/>
    <w:semiHidden/>
    <w:unhideWhenUsed/>
    <w:rsid w:val="00D53AFF"/>
    <w:rPr>
      <w:color w:val="605E5C"/>
      <w:shd w:val="clear" w:color="auto" w:fill="E1DFDD"/>
    </w:rPr>
  </w:style>
  <w:style w:type="character" w:styleId="FollowedHyperlink">
    <w:name w:val="FollowedHyperlink"/>
    <w:basedOn w:val="DefaultParagraphFont"/>
    <w:uiPriority w:val="99"/>
    <w:semiHidden/>
    <w:unhideWhenUsed/>
    <w:rsid w:val="00D53AFF"/>
    <w:rPr>
      <w:color w:val="96607D" w:themeColor="followedHyperlink"/>
      <w:u w:val="single"/>
    </w:rPr>
  </w:style>
  <w:style w:type="character" w:customStyle="1" w:styleId="position-number">
    <w:name w:val="position-number"/>
    <w:basedOn w:val="DefaultParagraphFont"/>
    <w:rsid w:val="00D53AFF"/>
  </w:style>
  <w:style w:type="character" w:customStyle="1" w:styleId="docsum-authors">
    <w:name w:val="docsum-authors"/>
    <w:basedOn w:val="DefaultParagraphFont"/>
    <w:rsid w:val="00D53AFF"/>
  </w:style>
  <w:style w:type="character" w:customStyle="1" w:styleId="docsum-journal-citation">
    <w:name w:val="docsum-journal-citation"/>
    <w:basedOn w:val="DefaultParagraphFont"/>
    <w:rsid w:val="00D53AFF"/>
  </w:style>
  <w:style w:type="character" w:customStyle="1" w:styleId="citation-part">
    <w:name w:val="citation-part"/>
    <w:basedOn w:val="DefaultParagraphFont"/>
    <w:rsid w:val="00D53AFF"/>
  </w:style>
  <w:style w:type="character" w:customStyle="1" w:styleId="docsum-pmid">
    <w:name w:val="docsum-pmid"/>
    <w:basedOn w:val="DefaultParagraphFont"/>
    <w:rsid w:val="00D53AFF"/>
  </w:style>
  <w:style w:type="character" w:customStyle="1" w:styleId="free-resources">
    <w:name w:val="free-resources"/>
    <w:basedOn w:val="DefaultParagraphFont"/>
    <w:rsid w:val="00D53AFF"/>
  </w:style>
  <w:style w:type="character" w:customStyle="1" w:styleId="publication-type">
    <w:name w:val="publication-type"/>
    <w:basedOn w:val="DefaultParagraphFont"/>
    <w:rsid w:val="00D53AFF"/>
  </w:style>
  <w:style w:type="character" w:styleId="Emphasis">
    <w:name w:val="Emphasis"/>
    <w:basedOn w:val="DefaultParagraphFont"/>
    <w:uiPriority w:val="20"/>
    <w:qFormat/>
    <w:rsid w:val="00D53AFF"/>
    <w:rPr>
      <w:i/>
      <w:iCs/>
    </w:rPr>
  </w:style>
  <w:style w:type="paragraph" w:styleId="NormalWeb">
    <w:name w:val="Normal (Web)"/>
    <w:basedOn w:val="Normal"/>
    <w:uiPriority w:val="99"/>
    <w:unhideWhenUsed/>
    <w:rsid w:val="00D53AFF"/>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bib-reference">
    <w:name w:val="bib-reference"/>
    <w:basedOn w:val="Normal"/>
    <w:rsid w:val="00D53AFF"/>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author">
    <w:name w:val="author"/>
    <w:basedOn w:val="DefaultParagraphFont"/>
    <w:rsid w:val="00D53AFF"/>
  </w:style>
  <w:style w:type="character" w:customStyle="1" w:styleId="anchor-text">
    <w:name w:val="anchor-text"/>
    <w:basedOn w:val="DefaultParagraphFont"/>
    <w:rsid w:val="00D5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8012</Words>
  <Characters>45672</Characters>
  <Application>Microsoft Office Word</Application>
  <DocSecurity>0</DocSecurity>
  <Lines>380</Lines>
  <Paragraphs>107</Paragraphs>
  <ScaleCrop>false</ScaleCrop>
  <Company/>
  <LinksUpToDate>false</LinksUpToDate>
  <CharactersWithSpaces>53577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Eduardo Olivier</dc:creator>
  <cp:keywords/>
  <dc:description/>
  <cp:lastModifiedBy>Editor-22</cp:lastModifiedBy>
  <cp:revision>20</cp:revision>
  <dcterms:created xsi:type="dcterms:W3CDTF">2025-06-21T10:58:00Z</dcterms:created>
  <dcterms:modified xsi:type="dcterms:W3CDTF">2025-06-21T13:19:00Z</dcterms:modified>
</cp:coreProperties>
</file>