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0A7DD" w14:textId="0FD6D0AA" w:rsidR="00B65C20" w:rsidRDefault="00B65C20" w:rsidP="004A76CF">
      <w:pPr>
        <w:jc w:val="both"/>
        <w:rPr>
          <w:b/>
          <w:bCs/>
          <w:sz w:val="28"/>
          <w:szCs w:val="28"/>
          <w:lang w:bidi="ar-EG"/>
        </w:rPr>
      </w:pPr>
      <w:r w:rsidRPr="00B65C20">
        <w:rPr>
          <w:b/>
          <w:bCs/>
          <w:i/>
          <w:iCs/>
          <w:sz w:val="28"/>
          <w:szCs w:val="28"/>
          <w:u w:val="single"/>
          <w:lang w:bidi="ar-EG"/>
        </w:rPr>
        <w:t>Original Research Article</w:t>
      </w:r>
    </w:p>
    <w:p w14:paraId="34B9DC40" w14:textId="6A6AB723" w:rsidR="00B262A2" w:rsidRPr="000E2D76" w:rsidRDefault="00B262A2" w:rsidP="004A76CF">
      <w:pPr>
        <w:jc w:val="both"/>
        <w:rPr>
          <w:b/>
          <w:bCs/>
          <w:sz w:val="28"/>
          <w:szCs w:val="28"/>
          <w:lang w:bidi="ar-EG"/>
        </w:rPr>
      </w:pPr>
      <w:r w:rsidRPr="000E2D76">
        <w:rPr>
          <w:b/>
          <w:bCs/>
          <w:sz w:val="28"/>
          <w:szCs w:val="28"/>
          <w:lang w:bidi="ar-EG"/>
        </w:rPr>
        <w:t xml:space="preserve">Physicochemical and Oxidative Stability of Sunflower Oil-Based </w:t>
      </w:r>
      <w:proofErr w:type="spellStart"/>
      <w:r w:rsidRPr="000E2D76">
        <w:rPr>
          <w:b/>
          <w:bCs/>
          <w:sz w:val="28"/>
          <w:szCs w:val="28"/>
          <w:lang w:bidi="ar-EG"/>
        </w:rPr>
        <w:t>Oleogels</w:t>
      </w:r>
      <w:proofErr w:type="spellEnd"/>
      <w:r w:rsidRPr="000E2D76">
        <w:rPr>
          <w:b/>
          <w:bCs/>
          <w:sz w:val="28"/>
          <w:szCs w:val="28"/>
          <w:lang w:bidi="ar-EG"/>
        </w:rPr>
        <w:t xml:space="preserve"> as Fat Replacers in Frankfurters</w:t>
      </w:r>
    </w:p>
    <w:p w14:paraId="1F4CC5E0" w14:textId="77777777" w:rsidR="00720487" w:rsidRDefault="00720487" w:rsidP="008A7244">
      <w:pPr>
        <w:jc w:val="both"/>
        <w:rPr>
          <w:b/>
          <w:bCs/>
          <w:sz w:val="28"/>
          <w:szCs w:val="28"/>
          <w:lang w:bidi="ar-EG"/>
        </w:rPr>
      </w:pPr>
    </w:p>
    <w:p w14:paraId="0B19EF9D" w14:textId="3DF29BB8" w:rsidR="008A7244" w:rsidRPr="000E2D76" w:rsidRDefault="008A7244" w:rsidP="008A7244">
      <w:pPr>
        <w:jc w:val="both"/>
        <w:rPr>
          <w:b/>
          <w:bCs/>
          <w:sz w:val="28"/>
          <w:szCs w:val="28"/>
          <w:lang w:bidi="ar-EG"/>
        </w:rPr>
      </w:pPr>
      <w:r w:rsidRPr="000E2D76">
        <w:rPr>
          <w:b/>
          <w:bCs/>
          <w:sz w:val="28"/>
          <w:szCs w:val="28"/>
          <w:lang w:bidi="ar-EG"/>
        </w:rPr>
        <w:t xml:space="preserve">Abstract </w:t>
      </w:r>
    </w:p>
    <w:p w14:paraId="7D0A227D" w14:textId="77777777" w:rsidR="00D42578" w:rsidRPr="000E2D76" w:rsidRDefault="008A7244" w:rsidP="000E2D76">
      <w:pPr>
        <w:jc w:val="both"/>
        <w:rPr>
          <w:sz w:val="28"/>
          <w:szCs w:val="28"/>
          <w:lang w:bidi="ar-EG"/>
        </w:rPr>
      </w:pPr>
      <w:r w:rsidRPr="000E2D76">
        <w:rPr>
          <w:sz w:val="28"/>
          <w:szCs w:val="28"/>
          <w:lang w:bidi="ar-EG"/>
        </w:rPr>
        <w:t xml:space="preserve">This study investigated the functional properties of sunflower oil-based </w:t>
      </w:r>
      <w:proofErr w:type="spellStart"/>
      <w:r w:rsidRPr="000E2D76">
        <w:rPr>
          <w:sz w:val="28"/>
          <w:szCs w:val="28"/>
          <w:lang w:bidi="ar-EG"/>
        </w:rPr>
        <w:t>oleogels</w:t>
      </w:r>
      <w:proofErr w:type="spellEnd"/>
      <w:r w:rsidRPr="000E2D76">
        <w:rPr>
          <w:sz w:val="28"/>
          <w:szCs w:val="28"/>
          <w:lang w:bidi="ar-EG"/>
        </w:rPr>
        <w:t xml:space="preserve"> structured with beeswax (BW) and sunflower wax (SW) at concentrations of 8% and 10%, respectively, and their impact on frankfurter reformulation. The </w:t>
      </w:r>
      <w:proofErr w:type="spellStart"/>
      <w:r w:rsidRPr="000E2D76">
        <w:rPr>
          <w:sz w:val="28"/>
          <w:szCs w:val="28"/>
          <w:lang w:bidi="ar-EG"/>
        </w:rPr>
        <w:t>oleogels</w:t>
      </w:r>
      <w:proofErr w:type="spellEnd"/>
      <w:r w:rsidRPr="000E2D76">
        <w:rPr>
          <w:sz w:val="28"/>
          <w:szCs w:val="28"/>
          <w:lang w:bidi="ar-EG"/>
        </w:rPr>
        <w:t xml:space="preserve"> exhibited high oil binding capacity (&gt;90%), with beeswax-based </w:t>
      </w:r>
      <w:proofErr w:type="spellStart"/>
      <w:r w:rsidRPr="000E2D76">
        <w:rPr>
          <w:sz w:val="28"/>
          <w:szCs w:val="28"/>
          <w:lang w:bidi="ar-EG"/>
        </w:rPr>
        <w:t>oleogels</w:t>
      </w:r>
      <w:proofErr w:type="spellEnd"/>
      <w:r w:rsidRPr="000E2D76">
        <w:rPr>
          <w:sz w:val="28"/>
          <w:szCs w:val="28"/>
          <w:lang w:bidi="ar-EG"/>
        </w:rPr>
        <w:t xml:space="preserve"> (99.28%) demonstrating superior oil retention compared to sunflower wax-based </w:t>
      </w:r>
      <w:proofErr w:type="spellStart"/>
      <w:r w:rsidRPr="000E2D76">
        <w:rPr>
          <w:sz w:val="28"/>
          <w:szCs w:val="28"/>
          <w:lang w:bidi="ar-EG"/>
        </w:rPr>
        <w:t>oleogels</w:t>
      </w:r>
      <w:proofErr w:type="spellEnd"/>
      <w:r w:rsidRPr="000E2D76">
        <w:rPr>
          <w:sz w:val="28"/>
          <w:szCs w:val="28"/>
          <w:lang w:bidi="ar-EG"/>
        </w:rPr>
        <w:t xml:space="preserve"> (92.65–97.68%). Firmness values increased with wax concentration, with 10% beeswax </w:t>
      </w:r>
      <w:proofErr w:type="spellStart"/>
      <w:r w:rsidRPr="000E2D76">
        <w:rPr>
          <w:sz w:val="28"/>
          <w:szCs w:val="28"/>
          <w:lang w:bidi="ar-EG"/>
        </w:rPr>
        <w:t>oleogel</w:t>
      </w:r>
      <w:proofErr w:type="spellEnd"/>
      <w:r w:rsidRPr="000E2D76">
        <w:rPr>
          <w:sz w:val="28"/>
          <w:szCs w:val="28"/>
          <w:lang w:bidi="ar-EG"/>
        </w:rPr>
        <w:t xml:space="preserve"> (4.15 N) showing the highest firmness, while sunflower wax </w:t>
      </w:r>
      <w:proofErr w:type="spellStart"/>
      <w:r w:rsidRPr="000E2D76">
        <w:rPr>
          <w:sz w:val="28"/>
          <w:szCs w:val="28"/>
          <w:lang w:bidi="ar-EG"/>
        </w:rPr>
        <w:t>oleogels</w:t>
      </w:r>
      <w:proofErr w:type="spellEnd"/>
      <w:r w:rsidRPr="000E2D76">
        <w:rPr>
          <w:sz w:val="28"/>
          <w:szCs w:val="28"/>
          <w:lang w:bidi="ar-EG"/>
        </w:rPr>
        <w:t xml:space="preserve"> exhibited a smoother texture. Sensory analysis revealed optimal consumer acceptability for 8% beeswax (9.47/10) and 10% sunflower wax (9.53/10) formulations, with sunflower wax contributing to better </w:t>
      </w:r>
      <w:proofErr w:type="spellStart"/>
      <w:r w:rsidRPr="000E2D76">
        <w:rPr>
          <w:sz w:val="28"/>
          <w:szCs w:val="28"/>
          <w:lang w:bidi="ar-EG"/>
        </w:rPr>
        <w:t>spreadability</w:t>
      </w:r>
      <w:proofErr w:type="spellEnd"/>
      <w:r w:rsidRPr="000E2D76">
        <w:rPr>
          <w:sz w:val="28"/>
          <w:szCs w:val="28"/>
          <w:lang w:bidi="ar-EG"/>
        </w:rPr>
        <w:t xml:space="preserve"> and neutral taste. In frankfurters, partial fat replacement (50% animal fat + 50% </w:t>
      </w:r>
      <w:proofErr w:type="spellStart"/>
      <w:r w:rsidRPr="000E2D76">
        <w:rPr>
          <w:sz w:val="28"/>
          <w:szCs w:val="28"/>
          <w:lang w:bidi="ar-EG"/>
        </w:rPr>
        <w:t>oleogel</w:t>
      </w:r>
      <w:proofErr w:type="spellEnd"/>
      <w:r w:rsidRPr="000E2D76">
        <w:rPr>
          <w:sz w:val="28"/>
          <w:szCs w:val="28"/>
          <w:lang w:bidi="ar-EG"/>
        </w:rPr>
        <w:t xml:space="preserve">) maintained desirable cooking yield (78.87–79.27%), whereas 100% </w:t>
      </w:r>
      <w:proofErr w:type="spellStart"/>
      <w:r w:rsidRPr="000E2D76">
        <w:rPr>
          <w:sz w:val="28"/>
          <w:szCs w:val="28"/>
          <w:lang w:bidi="ar-EG"/>
        </w:rPr>
        <w:t>oleogel</w:t>
      </w:r>
      <w:proofErr w:type="spellEnd"/>
      <w:r w:rsidRPr="000E2D76">
        <w:rPr>
          <w:sz w:val="28"/>
          <w:szCs w:val="28"/>
          <w:lang w:bidi="ar-EG"/>
        </w:rPr>
        <w:t xml:space="preserve"> substitution increased cooking loss (32.79–34.97%). Fat retention remained highest in the control (18.43%), while 100% </w:t>
      </w:r>
      <w:proofErr w:type="spellStart"/>
      <w:r w:rsidRPr="000E2D76">
        <w:rPr>
          <w:sz w:val="28"/>
          <w:szCs w:val="28"/>
          <w:lang w:bidi="ar-EG"/>
        </w:rPr>
        <w:t>oleogel</w:t>
      </w:r>
      <w:proofErr w:type="spellEnd"/>
      <w:r w:rsidRPr="000E2D76">
        <w:rPr>
          <w:sz w:val="28"/>
          <w:szCs w:val="28"/>
          <w:lang w:bidi="ar-EG"/>
        </w:rPr>
        <w:t xml:space="preserve">-based formulations exhibited lower values (8.46–9.19%), indicating higher fat migration. Beeswax-based formulations demonstrated superior oxidative stability, with lower TBA values (0.26–0.27 mg MDA/kg) compared to sunflower wax (0.32–0.34 mg MDA/kg) after 12 days of storage. Color analysis indicated higher L values in sunflower wax-based frankfurters (60.77 at Day 0), while beeswax formulations retained redness more effectively*. These findings highlight the potential of sunflower oil-based </w:t>
      </w:r>
      <w:proofErr w:type="spellStart"/>
      <w:r w:rsidRPr="000E2D76">
        <w:rPr>
          <w:sz w:val="28"/>
          <w:szCs w:val="28"/>
          <w:lang w:bidi="ar-EG"/>
        </w:rPr>
        <w:t>oleogels</w:t>
      </w:r>
      <w:proofErr w:type="spellEnd"/>
      <w:r w:rsidRPr="000E2D76">
        <w:rPr>
          <w:sz w:val="28"/>
          <w:szCs w:val="28"/>
          <w:lang w:bidi="ar-EG"/>
        </w:rPr>
        <w:t xml:space="preserve"> as functional fat replacers in processed meats, with 8% beeswax providing structural integrity and oxidative protection, and 10% sunflower wax enhancing </w:t>
      </w:r>
      <w:proofErr w:type="spellStart"/>
      <w:r w:rsidRPr="000E2D76">
        <w:rPr>
          <w:sz w:val="28"/>
          <w:szCs w:val="28"/>
          <w:lang w:bidi="ar-EG"/>
        </w:rPr>
        <w:t>spreadability</w:t>
      </w:r>
      <w:proofErr w:type="spellEnd"/>
      <w:r w:rsidRPr="000E2D76">
        <w:rPr>
          <w:sz w:val="28"/>
          <w:szCs w:val="28"/>
          <w:lang w:bidi="ar-EG"/>
        </w:rPr>
        <w:t xml:space="preserve"> and sensory appeal.</w:t>
      </w:r>
    </w:p>
    <w:p w14:paraId="08DA080E" w14:textId="77777777" w:rsidR="00B262A2" w:rsidRPr="000E2D76" w:rsidRDefault="00B262A2" w:rsidP="008A7244">
      <w:pPr>
        <w:jc w:val="both"/>
        <w:rPr>
          <w:b/>
          <w:bCs/>
          <w:sz w:val="28"/>
          <w:szCs w:val="28"/>
          <w:lang w:bidi="ar-EG"/>
        </w:rPr>
      </w:pPr>
      <w:r w:rsidRPr="000E2D76">
        <w:rPr>
          <w:b/>
          <w:bCs/>
          <w:sz w:val="28"/>
          <w:szCs w:val="28"/>
          <w:lang w:bidi="ar-EG"/>
        </w:rPr>
        <w:t>Keywords</w:t>
      </w:r>
    </w:p>
    <w:p w14:paraId="2F73B144" w14:textId="77777777" w:rsidR="00B262A2" w:rsidRPr="000E2D76" w:rsidRDefault="00B262A2" w:rsidP="00B262A2">
      <w:pPr>
        <w:jc w:val="both"/>
        <w:rPr>
          <w:sz w:val="28"/>
          <w:szCs w:val="28"/>
          <w:lang w:bidi="ar-EG"/>
        </w:rPr>
      </w:pPr>
      <w:r w:rsidRPr="000E2D76">
        <w:rPr>
          <w:sz w:val="28"/>
          <w:szCs w:val="28"/>
          <w:lang w:bidi="ar-EG"/>
        </w:rPr>
        <w:t xml:space="preserve">Sunflower oil-based </w:t>
      </w:r>
      <w:proofErr w:type="spellStart"/>
      <w:r w:rsidRPr="000E2D76">
        <w:rPr>
          <w:sz w:val="28"/>
          <w:szCs w:val="28"/>
          <w:lang w:bidi="ar-EG"/>
        </w:rPr>
        <w:t>oleogels</w:t>
      </w:r>
      <w:proofErr w:type="spellEnd"/>
      <w:r w:rsidRPr="000E2D76">
        <w:rPr>
          <w:sz w:val="28"/>
          <w:szCs w:val="28"/>
          <w:lang w:bidi="ar-EG"/>
        </w:rPr>
        <w:t>, Beeswax, Sunflower wax, Fat replacement, Frankfurters, Oxidative stability</w:t>
      </w:r>
    </w:p>
    <w:p w14:paraId="04644FAE" w14:textId="77777777" w:rsidR="000E2D76" w:rsidRDefault="000E2D76" w:rsidP="008A7244">
      <w:pPr>
        <w:jc w:val="both"/>
        <w:rPr>
          <w:b/>
          <w:bCs/>
          <w:sz w:val="28"/>
          <w:szCs w:val="28"/>
          <w:lang w:bidi="ar-EG"/>
        </w:rPr>
      </w:pPr>
    </w:p>
    <w:p w14:paraId="1C605E70" w14:textId="77777777" w:rsidR="008A7244" w:rsidRPr="000E2D76" w:rsidRDefault="008A7244" w:rsidP="008A7244">
      <w:pPr>
        <w:jc w:val="both"/>
        <w:rPr>
          <w:b/>
          <w:bCs/>
          <w:sz w:val="28"/>
          <w:szCs w:val="28"/>
          <w:lang w:bidi="ar-EG"/>
        </w:rPr>
      </w:pPr>
      <w:r w:rsidRPr="000E2D76">
        <w:rPr>
          <w:b/>
          <w:bCs/>
          <w:sz w:val="28"/>
          <w:szCs w:val="28"/>
          <w:lang w:bidi="ar-EG"/>
        </w:rPr>
        <w:lastRenderedPageBreak/>
        <w:t xml:space="preserve">Introduction </w:t>
      </w:r>
    </w:p>
    <w:p w14:paraId="3813A383" w14:textId="77777777" w:rsidR="00B262A2" w:rsidRPr="000E2D76" w:rsidRDefault="00B262A2" w:rsidP="001D796B">
      <w:pPr>
        <w:jc w:val="both"/>
        <w:rPr>
          <w:sz w:val="28"/>
          <w:szCs w:val="28"/>
          <w:lang w:bidi="ar-EG"/>
        </w:rPr>
      </w:pPr>
      <w:r w:rsidRPr="000E2D76">
        <w:rPr>
          <w:sz w:val="28"/>
          <w:szCs w:val="28"/>
          <w:lang w:bidi="ar-EG"/>
        </w:rPr>
        <w:t xml:space="preserve">The increasing awareness of the health risks associated with high saturated fat intake has driven significant research into healthier alternatives to animal fats in processed meat products </w:t>
      </w:r>
      <w:r w:rsidR="001D796B" w:rsidRPr="000E2D76">
        <w:rPr>
          <w:sz w:val="28"/>
          <w:szCs w:val="28"/>
          <w:lang w:bidi="ar-EG"/>
        </w:rPr>
        <w:fldChar w:fldCharType="begin"/>
      </w:r>
      <w:r w:rsidR="001D796B" w:rsidRPr="000E2D76">
        <w:rPr>
          <w:sz w:val="28"/>
          <w:szCs w:val="28"/>
          <w:lang w:bidi="ar-EG"/>
        </w:rPr>
        <w:instrText xml:space="preserve"> ADDIN EN.CITE &lt;EndNote&gt;&lt;Cite&gt;&lt;Author&gt;Domínguez&lt;/Author&gt;&lt;Year&gt;2021&lt;/Year&gt;&lt;RecNum&gt;289&lt;/RecNum&gt;&lt;DisplayText&gt;(Domínguez et al., 2021)&lt;/DisplayText&gt;&lt;record&gt;&lt;rec-number&gt;289&lt;/rec-number&gt;&lt;foreign-keys&gt;&lt;key app="EN" db-id="ap9s050v8w5t9de9ezpvz92if2wepzzer2e2" timestamp="1738570381"&gt;289&lt;/key&gt;&lt;/foreign-keys&gt;&lt;ref-type name="Journal Article"&gt;17&lt;/ref-type&gt;&lt;contributors&gt;&lt;authors&gt;&lt;author&gt;Domínguez, Rubén&lt;/author&gt;&lt;author&gt;Pateiro, Mirian&lt;/author&gt;&lt;author&gt;Munekata, Paulo ES&lt;/author&gt;&lt;author&gt;Zhang, Wangang&lt;/author&gt;&lt;author&gt;Garcia-Oliveira, Paula&lt;/author&gt;&lt;author&gt;Carpena, Maria&lt;/author&gt;&lt;author&gt;Prieto, Miguel A&lt;/author&gt;&lt;author&gt;Bohrer, Benjamin&lt;/author&gt;&lt;author&gt;Lorenzo, José M&lt;/author&gt;&lt;/authors&gt;&lt;/contributors&gt;&lt;titles&gt;&lt;title&gt;Protein oxidation in muscle foods: A comprehensive review&lt;/title&gt;&lt;secondary-title&gt;Antioxidants&lt;/secondary-title&gt;&lt;/titles&gt;&lt;periodical&gt;&lt;full-title&gt;Antioxidants&lt;/full-title&gt;&lt;/periodical&gt;&lt;pages&gt;60&lt;/pages&gt;&lt;volume&gt;11&lt;/volume&gt;&lt;number&gt;1&lt;/number&gt;&lt;dates&gt;&lt;year&gt;2021&lt;/year&gt;&lt;/dates&gt;&lt;isbn&gt;2076-3921&lt;/isbn&gt;&lt;urls&gt;&lt;/urls&gt;&lt;/record&gt;&lt;/Cite&gt;&lt;/EndNote&gt;</w:instrText>
      </w:r>
      <w:r w:rsidR="001D796B" w:rsidRPr="000E2D76">
        <w:rPr>
          <w:sz w:val="28"/>
          <w:szCs w:val="28"/>
          <w:lang w:bidi="ar-EG"/>
        </w:rPr>
        <w:fldChar w:fldCharType="separate"/>
      </w:r>
      <w:r w:rsidR="001D796B" w:rsidRPr="000E2D76">
        <w:rPr>
          <w:noProof/>
          <w:sz w:val="28"/>
          <w:szCs w:val="28"/>
          <w:lang w:bidi="ar-EG"/>
        </w:rPr>
        <w:t>(Domínguez et al., 2021)</w:t>
      </w:r>
      <w:r w:rsidR="001D796B" w:rsidRPr="000E2D76">
        <w:rPr>
          <w:sz w:val="28"/>
          <w:szCs w:val="28"/>
          <w:lang w:bidi="ar-EG"/>
        </w:rPr>
        <w:fldChar w:fldCharType="end"/>
      </w:r>
      <w:r w:rsidRPr="000E2D76">
        <w:rPr>
          <w:sz w:val="28"/>
          <w:szCs w:val="28"/>
          <w:lang w:bidi="ar-EG"/>
        </w:rPr>
        <w:t xml:space="preserve">. Saturated fats, primarily found in animal-derived lipids, contribute to increased risk of cardiovascular diseases, obesity, and metabolic disorders when consumed in excess </w:t>
      </w:r>
      <w:r w:rsidR="001D796B" w:rsidRPr="000E2D76">
        <w:rPr>
          <w:sz w:val="28"/>
          <w:szCs w:val="28"/>
          <w:lang w:bidi="ar-EG"/>
        </w:rPr>
        <w:fldChar w:fldCharType="begin"/>
      </w:r>
      <w:r w:rsidR="001D796B" w:rsidRPr="000E2D76">
        <w:rPr>
          <w:sz w:val="28"/>
          <w:szCs w:val="28"/>
          <w:lang w:bidi="ar-EG"/>
        </w:rPr>
        <w:instrText xml:space="preserve"> ADDIN EN.CITE &lt;EndNote&gt;&lt;Cite&gt;&lt;Author&gt;Selani&lt;/Author&gt;&lt;Year&gt;2022&lt;/Year&gt;&lt;RecNum&gt;290&lt;/RecNum&gt;&lt;DisplayText&gt;(Selani et al., 2022)&lt;/DisplayText&gt;&lt;record&gt;&lt;rec-number&gt;290&lt;/rec-number&gt;&lt;foreign-keys&gt;&lt;key app="EN" db-id="ap9s050v8w5t9de9ezpvz92if2wepzzer2e2" timestamp="1738570455"&gt;290&lt;/key&gt;&lt;/foreign-keys&gt;&lt;ref-type name="Journal Article"&gt;17&lt;/ref-type&gt;&lt;contributors&gt;&lt;authors&gt;&lt;author&gt;Selani, Miriam Mabel&lt;/author&gt;&lt;author&gt;Ramos, Paulo Henrique Bertucci&lt;/author&gt;&lt;author&gt;Patinho, Iliani&lt;/author&gt;&lt;author&gt;França, Fabiana&lt;/author&gt;&lt;author&gt;dos Santos Harada-Padermo, Samara&lt;/author&gt;&lt;author&gt;Contreras-Castillo, Carmen J&lt;/author&gt;&lt;author&gt;Saldaña, Erick&lt;/author&gt;&lt;/authors&gt;&lt;/contributors&gt;&lt;titles&gt;&lt;title&gt;Consumer&amp;apos;s perception and expected liking of labels of burgers with sodium reduction and addition of mushroom flavor enhancer&lt;/title&gt;&lt;secondary-title&gt;Meat Science&lt;/secondary-title&gt;&lt;/titles&gt;&lt;periodical&gt;&lt;full-title&gt;Meat science&lt;/full-title&gt;&lt;/periodical&gt;&lt;pages&gt;108720&lt;/pages&gt;&lt;volume&gt;185&lt;/volume&gt;&lt;dates&gt;&lt;year&gt;2022&lt;/year&gt;&lt;/dates&gt;&lt;isbn&gt;0309-1740&lt;/isbn&gt;&lt;urls&gt;&lt;/urls&gt;&lt;/record&gt;&lt;/Cite&gt;&lt;/EndNote&gt;</w:instrText>
      </w:r>
      <w:r w:rsidR="001D796B" w:rsidRPr="000E2D76">
        <w:rPr>
          <w:sz w:val="28"/>
          <w:szCs w:val="28"/>
          <w:lang w:bidi="ar-EG"/>
        </w:rPr>
        <w:fldChar w:fldCharType="separate"/>
      </w:r>
      <w:r w:rsidR="001D796B" w:rsidRPr="000E2D76">
        <w:rPr>
          <w:noProof/>
          <w:sz w:val="28"/>
          <w:szCs w:val="28"/>
          <w:lang w:bidi="ar-EG"/>
        </w:rPr>
        <w:t>(Selani et al., 2022)</w:t>
      </w:r>
      <w:r w:rsidR="001D796B" w:rsidRPr="000E2D76">
        <w:rPr>
          <w:sz w:val="28"/>
          <w:szCs w:val="28"/>
          <w:lang w:bidi="ar-EG"/>
        </w:rPr>
        <w:fldChar w:fldCharType="end"/>
      </w:r>
      <w:r w:rsidRPr="000E2D76">
        <w:rPr>
          <w:sz w:val="28"/>
          <w:szCs w:val="28"/>
          <w:lang w:bidi="ar-EG"/>
        </w:rPr>
        <w:t xml:space="preserve">. Despite these concerns, animal fat plays a crucial functional role in processed meats, providing structural integrity, mouthfeel, and flavor release </w:t>
      </w:r>
      <w:r w:rsidR="001D796B" w:rsidRPr="000E2D76">
        <w:rPr>
          <w:sz w:val="28"/>
          <w:szCs w:val="28"/>
          <w:lang w:bidi="ar-EG"/>
        </w:rPr>
        <w:fldChar w:fldCharType="begin"/>
      </w:r>
      <w:r w:rsidR="001D796B" w:rsidRPr="000E2D76">
        <w:rPr>
          <w:sz w:val="28"/>
          <w:szCs w:val="28"/>
          <w:lang w:bidi="ar-EG"/>
        </w:rPr>
        <w:instrText xml:space="preserve"> ADDIN EN.CITE &lt;EndNote&gt;&lt;Cite&gt;&lt;Author&gt;Hussain&lt;/Author&gt;&lt;Year&gt;2024&lt;/Year&gt;&lt;RecNum&gt;291&lt;/RecNum&gt;&lt;DisplayText&gt;(Hussain, Ahmad, Rashid, Fayaz, &amp;amp; Qureshi, 2024)&lt;/DisplayText&gt;&lt;record&gt;&lt;rec-number&gt;291&lt;/rec-number&gt;&lt;foreign-keys&gt;&lt;key app="EN" db-id="ap9s050v8w5t9de9ezpvz92if2wepzzer2e2" timestamp="1738570533"&gt;291&lt;/key&gt;&lt;/foreign-keys&gt;&lt;ref-type name="Book Section"&gt;5&lt;/ref-type&gt;&lt;contributors&gt;&lt;authors&gt;&lt;author&gt;Hussain, Syed Arshad&lt;/author&gt;&lt;author&gt;Ahmad, Sheikh Rafeh&lt;/author&gt;&lt;author&gt;Rashid, Shakir&lt;/author&gt;&lt;author&gt;Fayaz, Humaira&lt;/author&gt;&lt;author&gt;Qureshi, Asma Irshad&lt;/author&gt;&lt;/authors&gt;&lt;/contributors&gt;&lt;titles&gt;&lt;title&gt;Quality Requirements of Meat for Processing&lt;/title&gt;&lt;secondary-title&gt;Hand Book of Processed Functional Meat Products&lt;/secondary-title&gt;&lt;/titles&gt;&lt;pages&gt;53-80&lt;/pages&gt;&lt;dates&gt;&lt;year&gt;2024&lt;/year&gt;&lt;/dates&gt;&lt;publisher&gt;Springer&lt;/publisher&gt;&lt;urls&gt;&lt;/urls&gt;&lt;/record&gt;&lt;/Cite&gt;&lt;/EndNote&gt;</w:instrText>
      </w:r>
      <w:r w:rsidR="001D796B" w:rsidRPr="000E2D76">
        <w:rPr>
          <w:sz w:val="28"/>
          <w:szCs w:val="28"/>
          <w:lang w:bidi="ar-EG"/>
        </w:rPr>
        <w:fldChar w:fldCharType="separate"/>
      </w:r>
      <w:r w:rsidR="001D796B" w:rsidRPr="000E2D76">
        <w:rPr>
          <w:noProof/>
          <w:sz w:val="28"/>
          <w:szCs w:val="28"/>
          <w:lang w:bidi="ar-EG"/>
        </w:rPr>
        <w:t>(Hussain, Ahmad, Rashid, Fayaz, &amp; Qureshi, 2024)</w:t>
      </w:r>
      <w:r w:rsidR="001D796B" w:rsidRPr="000E2D76">
        <w:rPr>
          <w:sz w:val="28"/>
          <w:szCs w:val="28"/>
          <w:lang w:bidi="ar-EG"/>
        </w:rPr>
        <w:fldChar w:fldCharType="end"/>
      </w:r>
      <w:r w:rsidRPr="000E2D76">
        <w:rPr>
          <w:sz w:val="28"/>
          <w:szCs w:val="28"/>
          <w:lang w:bidi="ar-EG"/>
        </w:rPr>
        <w:t xml:space="preserve">. The challenge, therefore, lies in reducing saturated fat content while maintaining the sensory and physicochemical properties of meat products. In this context, </w:t>
      </w:r>
      <w:proofErr w:type="spellStart"/>
      <w:r w:rsidRPr="000E2D76">
        <w:rPr>
          <w:sz w:val="28"/>
          <w:szCs w:val="28"/>
          <w:lang w:bidi="ar-EG"/>
        </w:rPr>
        <w:t>oleogels</w:t>
      </w:r>
      <w:proofErr w:type="spellEnd"/>
      <w:r w:rsidRPr="000E2D76">
        <w:rPr>
          <w:sz w:val="28"/>
          <w:szCs w:val="28"/>
          <w:lang w:bidi="ar-EG"/>
        </w:rPr>
        <w:t xml:space="preserve"> have emerged as a promising alternative, as they allow liquid vegetable oils to be structured into solid-like matrices, mimicking the characteristics of traditional fats </w:t>
      </w:r>
      <w:r w:rsidR="001D796B" w:rsidRPr="000E2D76">
        <w:rPr>
          <w:sz w:val="28"/>
          <w:szCs w:val="28"/>
          <w:lang w:bidi="ar-EG"/>
        </w:rPr>
        <w:fldChar w:fldCharType="begin"/>
      </w:r>
      <w:r w:rsidR="001D796B" w:rsidRPr="000E2D76">
        <w:rPr>
          <w:sz w:val="28"/>
          <w:szCs w:val="28"/>
          <w:lang w:bidi="ar-EG"/>
        </w:rPr>
        <w:instrText xml:space="preserve"> ADDIN EN.CITE &lt;EndNote&gt;&lt;Cite&gt;&lt;Author&gt;Li&lt;/Author&gt;&lt;Year&gt;2024&lt;/Year&gt;&lt;RecNum&gt;292&lt;/RecNum&gt;&lt;DisplayText&gt;(Li, Xiao, Zhang, Bi, &amp;amp; Xu, 2024)&lt;/DisplayText&gt;&lt;record&gt;&lt;rec-number&gt;292&lt;/rec-number&gt;&lt;foreign-keys&gt;&lt;key app="EN" db-id="ap9s050v8w5t9de9ezpvz92if2wepzzer2e2" timestamp="1738570586"&gt;292&lt;/key&gt;&lt;/foreign-keys&gt;&lt;ref-type name="Journal Article"&gt;17&lt;/ref-type&gt;&lt;contributors&gt;&lt;authors&gt;&lt;author&gt;Li, Jiaxi&lt;/author&gt;&lt;author&gt;Xiao, Yahao&lt;/author&gt;&lt;author&gt;Zhang, Hong&lt;/author&gt;&lt;author&gt;Bi, Yanlan&lt;/author&gt;&lt;author&gt;Xu, Xuebing&lt;/author&gt;&lt;/authors&gt;&lt;/contributors&gt;&lt;titles&gt;&lt;title&gt;Edible oleogels as solid fat alternatives: A review from patent perspectives&lt;/title&gt;&lt;secondary-title&gt;Journal of the American Oil Chemists&amp;apos; Society&lt;/secondary-title&gt;&lt;/titles&gt;&lt;periodical&gt;&lt;full-title&gt;Journal of the American Oil Chemists&amp;apos; Society&lt;/full-title&gt;&lt;/periodical&gt;&lt;pages&gt;1145-1172&lt;/pages&gt;&lt;volume&gt;101&lt;/volume&gt;&lt;number&gt;11&lt;/number&gt;&lt;dates&gt;&lt;year&gt;2024&lt;/year&gt;&lt;/dates&gt;&lt;isbn&gt;0003-021X&lt;/isbn&gt;&lt;urls&gt;&lt;/urls&gt;&lt;/record&gt;&lt;/Cite&gt;&lt;/EndNote&gt;</w:instrText>
      </w:r>
      <w:r w:rsidR="001D796B" w:rsidRPr="000E2D76">
        <w:rPr>
          <w:sz w:val="28"/>
          <w:szCs w:val="28"/>
          <w:lang w:bidi="ar-EG"/>
        </w:rPr>
        <w:fldChar w:fldCharType="separate"/>
      </w:r>
      <w:r w:rsidR="001D796B" w:rsidRPr="000E2D76">
        <w:rPr>
          <w:noProof/>
          <w:sz w:val="28"/>
          <w:szCs w:val="28"/>
          <w:lang w:bidi="ar-EG"/>
        </w:rPr>
        <w:t>(Li, Xiao, Zhang, Bi, &amp; Xu, 2024)</w:t>
      </w:r>
      <w:r w:rsidR="001D796B" w:rsidRPr="000E2D76">
        <w:rPr>
          <w:sz w:val="28"/>
          <w:szCs w:val="28"/>
          <w:lang w:bidi="ar-EG"/>
        </w:rPr>
        <w:fldChar w:fldCharType="end"/>
      </w:r>
      <w:r w:rsidRPr="000E2D76">
        <w:rPr>
          <w:sz w:val="28"/>
          <w:szCs w:val="28"/>
          <w:lang w:bidi="ar-EG"/>
        </w:rPr>
        <w:t>.</w:t>
      </w:r>
    </w:p>
    <w:p w14:paraId="6474B49A" w14:textId="77777777" w:rsidR="00B262A2" w:rsidRPr="000E2D76" w:rsidRDefault="00B262A2" w:rsidP="000E2D76">
      <w:pPr>
        <w:jc w:val="both"/>
        <w:rPr>
          <w:sz w:val="28"/>
          <w:szCs w:val="28"/>
          <w:lang w:bidi="ar-EG"/>
        </w:rPr>
      </w:pPr>
      <w:proofErr w:type="spellStart"/>
      <w:r w:rsidRPr="000E2D76">
        <w:rPr>
          <w:sz w:val="28"/>
          <w:szCs w:val="28"/>
          <w:lang w:bidi="ar-EG"/>
        </w:rPr>
        <w:t>Oleogels</w:t>
      </w:r>
      <w:proofErr w:type="spellEnd"/>
      <w:r w:rsidRPr="000E2D76">
        <w:rPr>
          <w:sz w:val="28"/>
          <w:szCs w:val="28"/>
          <w:lang w:bidi="ar-EG"/>
        </w:rPr>
        <w:t xml:space="preserve"> are formed by </w:t>
      </w:r>
      <w:proofErr w:type="spellStart"/>
      <w:r w:rsidRPr="000E2D76">
        <w:rPr>
          <w:sz w:val="28"/>
          <w:szCs w:val="28"/>
          <w:lang w:bidi="ar-EG"/>
        </w:rPr>
        <w:t>gelators</w:t>
      </w:r>
      <w:proofErr w:type="spellEnd"/>
      <w:r w:rsidRPr="000E2D76">
        <w:rPr>
          <w:sz w:val="28"/>
          <w:szCs w:val="28"/>
          <w:lang w:bidi="ar-EG"/>
        </w:rPr>
        <w:t xml:space="preserve">, such as waxes, fatty acids, or monoglycerides, which entrap liquid oil in a three-dimensional network, resulting in a semi-solid fat replacer with tailored physicochemical and oxidative stability </w:t>
      </w:r>
      <w:r w:rsidR="000E2D76">
        <w:rPr>
          <w:sz w:val="28"/>
          <w:szCs w:val="28"/>
          <w:lang w:bidi="ar-EG"/>
        </w:rPr>
        <w:fldChar w:fldCharType="begin"/>
      </w:r>
      <w:r w:rsidR="000E2D76">
        <w:rPr>
          <w:sz w:val="28"/>
          <w:szCs w:val="28"/>
          <w:lang w:bidi="ar-EG"/>
        </w:rPr>
        <w:instrText xml:space="preserve"> ADDIN EN.CITE &lt;EndNote&gt;&lt;Cite&gt;&lt;Author&gt;Doan&lt;/Author&gt;&lt;Year&gt;2018&lt;/Year&gt;&lt;RecNum&gt;257&lt;/RecNum&gt;&lt;DisplayText&gt;(Doan, Tavernier, Okuro, &amp;amp; Dewettinck, 2018)&lt;/DisplayText&gt;&lt;record&gt;&lt;rec-number&gt;257&lt;/rec-number&gt;&lt;foreign-keys&gt;&lt;key app="EN" db-id="ap9s050v8w5t9de9ezpvz92if2wepzzer2e2" timestamp="1738521604"&gt;257&lt;/key&gt;&lt;/foreign-keys&gt;&lt;ref-type name="Journal Article"&gt;17&lt;/ref-type&gt;&lt;contributors&gt;&lt;authors&gt;&lt;author&gt;Doan, Chi Diem&lt;/author&gt;&lt;author&gt;Tavernier, Iris&lt;/author&gt;&lt;author&gt;Okuro, Paula Kiyomi&lt;/author&gt;&lt;author&gt;Dewettinck, Koen&lt;/author&gt;&lt;/authors&gt;&lt;/contributors&gt;&lt;titles&gt;&lt;title&gt;Internal and external factors affecting the crystallization, gelation and applicability of wax-based oleogels in food industry&lt;/title&gt;&lt;secondary-title&gt;Innovative Food Science &amp;amp; Emerging Technologies&lt;/secondary-title&gt;&lt;/titles&gt;&lt;periodical&gt;&lt;full-title&gt;Innovative Food Science &amp;amp; Emerging Technologies&lt;/full-title&gt;&lt;/periodical&gt;&lt;pages&gt;42-52&lt;/pages&gt;&lt;volume&gt;45&lt;/volume&gt;&lt;dates&gt;&lt;year&gt;2018&lt;/year&gt;&lt;/dates&gt;&lt;isbn&gt;1466-8564&lt;/isbn&gt;&lt;urls&gt;&lt;/urls&gt;&lt;/record&gt;&lt;/Cite&gt;&lt;/EndNote&gt;</w:instrText>
      </w:r>
      <w:r w:rsidR="000E2D76">
        <w:rPr>
          <w:sz w:val="28"/>
          <w:szCs w:val="28"/>
          <w:lang w:bidi="ar-EG"/>
        </w:rPr>
        <w:fldChar w:fldCharType="separate"/>
      </w:r>
      <w:r w:rsidR="000E2D76">
        <w:rPr>
          <w:noProof/>
          <w:sz w:val="28"/>
          <w:szCs w:val="28"/>
          <w:lang w:bidi="ar-EG"/>
        </w:rPr>
        <w:t>(Doan, Tavernier, Okuro, &amp; Dewettinck, 2018)</w:t>
      </w:r>
      <w:r w:rsidR="000E2D76">
        <w:rPr>
          <w:sz w:val="28"/>
          <w:szCs w:val="28"/>
          <w:lang w:bidi="ar-EG"/>
        </w:rPr>
        <w:fldChar w:fldCharType="end"/>
      </w:r>
      <w:r w:rsidR="000E2D76">
        <w:rPr>
          <w:sz w:val="28"/>
          <w:szCs w:val="28"/>
          <w:lang w:bidi="ar-EG"/>
        </w:rPr>
        <w:t>.</w:t>
      </w:r>
      <w:r w:rsidRPr="000E2D76">
        <w:rPr>
          <w:sz w:val="28"/>
          <w:szCs w:val="28"/>
          <w:lang w:bidi="ar-EG"/>
        </w:rPr>
        <w:t xml:space="preserve"> Among various structuring agents, plant-based waxes, including beeswax (BW) and sunflower wax (SW), have gained significant attention due to their natural origin, excellent structuring ability, and oxidative stability </w:t>
      </w:r>
      <w:r w:rsidR="000E2D76">
        <w:rPr>
          <w:sz w:val="28"/>
          <w:szCs w:val="28"/>
          <w:lang w:bidi="ar-EG"/>
        </w:rPr>
        <w:fldChar w:fldCharType="begin"/>
      </w:r>
      <w:r w:rsidR="000E2D76">
        <w:rPr>
          <w:sz w:val="28"/>
          <w:szCs w:val="28"/>
          <w:lang w:bidi="ar-EG"/>
        </w:rPr>
        <w:instrText xml:space="preserve"> ADDIN EN.CITE &lt;EndNote&gt;&lt;Cite&gt;&lt;Author&gt;Soleimanian&lt;/Author&gt;&lt;Year&gt;2020&lt;/Year&gt;&lt;RecNum&gt;294&lt;/RecNum&gt;&lt;DisplayText&gt;(Soleimanian, Goli, Shirvani, Elmizadeh, &amp;amp; Marangoni, 2020)&lt;/DisplayText&gt;&lt;record&gt;&lt;rec-number&gt;294&lt;/rec-number&gt;&lt;foreign-keys&gt;&lt;key app="EN" db-id="ap9s050v8w5t9de9ezpvz92if2wepzzer2e2" timestamp="1738601626"&gt;294&lt;/key&gt;&lt;/foreign-keys&gt;&lt;ref-type name="Journal Article"&gt;17&lt;/ref-type&gt;&lt;contributors&gt;&lt;authors&gt;&lt;author&gt;Soleimanian, Yasamin&lt;/author&gt;&lt;author&gt;Goli, Sayed Amir Hossein&lt;/author&gt;&lt;author&gt;Shirvani, Atefe&lt;/author&gt;&lt;author&gt;Elmizadeh, Ameneh&lt;/author&gt;&lt;author&gt;Marangoni, Alejandro G&lt;/author&gt;&lt;/authors&gt;&lt;/contributors&gt;&lt;titles&gt;&lt;title&gt;Wax‐based delivery systems: preparation, characterization, and food applications&lt;/title&gt;&lt;secondary-title&gt;Comprehensive Reviews in Food Science and Food Safety&lt;/secondary-title&gt;&lt;/titles&gt;&lt;periodical&gt;&lt;full-title&gt;Comprehensive Reviews in Food Science and Food Safety&lt;/full-title&gt;&lt;/periodical&gt;&lt;pages&gt;2994-3030&lt;/pages&gt;&lt;volume&gt;19&lt;/volume&gt;&lt;number&gt;6&lt;/number&gt;&lt;dates&gt;&lt;year&gt;2020&lt;/year&gt;&lt;/dates&gt;&lt;isbn&gt;1541-4337&lt;/isbn&gt;&lt;urls&gt;&lt;/urls&gt;&lt;/record&gt;&lt;/Cite&gt;&lt;/EndNote&gt;</w:instrText>
      </w:r>
      <w:r w:rsidR="000E2D76">
        <w:rPr>
          <w:sz w:val="28"/>
          <w:szCs w:val="28"/>
          <w:lang w:bidi="ar-EG"/>
        </w:rPr>
        <w:fldChar w:fldCharType="separate"/>
      </w:r>
      <w:r w:rsidR="000E2D76">
        <w:rPr>
          <w:noProof/>
          <w:sz w:val="28"/>
          <w:szCs w:val="28"/>
          <w:lang w:bidi="ar-EG"/>
        </w:rPr>
        <w:t>(Soleimanian, Goli, Shirvani, Elmizadeh, &amp; Marangoni, 2020)</w:t>
      </w:r>
      <w:r w:rsidR="000E2D76">
        <w:rPr>
          <w:sz w:val="28"/>
          <w:szCs w:val="28"/>
          <w:lang w:bidi="ar-EG"/>
        </w:rPr>
        <w:fldChar w:fldCharType="end"/>
      </w:r>
      <w:r w:rsidRPr="000E2D76">
        <w:rPr>
          <w:sz w:val="28"/>
          <w:szCs w:val="28"/>
          <w:lang w:bidi="ar-EG"/>
        </w:rPr>
        <w:t xml:space="preserve">. Beeswax is composed mainly of long-chain esters and hydrocarbons, forming a densely packed β' crystalline network, which enhances firmness, oil binding capacity, and thermal stability </w:t>
      </w:r>
      <w:r w:rsidR="000E2D76">
        <w:rPr>
          <w:sz w:val="28"/>
          <w:szCs w:val="28"/>
          <w:lang w:bidi="ar-EG"/>
        </w:rPr>
        <w:fldChar w:fldCharType="begin"/>
      </w:r>
      <w:r w:rsidR="000E2D76">
        <w:rPr>
          <w:sz w:val="28"/>
          <w:szCs w:val="28"/>
          <w:lang w:bidi="ar-EG"/>
        </w:rPr>
        <w:instrText xml:space="preserve"> ADDIN EN.CITE &lt;EndNote&gt;&lt;Cite&gt;&lt;Author&gt;Jana&lt;/Author&gt;&lt;Year&gt;2016&lt;/Year&gt;&lt;RecNum&gt;295&lt;/RecNum&gt;&lt;DisplayText&gt;(Jana &amp;amp; Martini, 2016)&lt;/DisplayText&gt;&lt;record&gt;&lt;rec-number&gt;295&lt;/rec-number&gt;&lt;foreign-keys&gt;&lt;key app="EN" db-id="ap9s050v8w5t9de9ezpvz92if2wepzzer2e2" timestamp="1738601691"&gt;295&lt;/key&gt;&lt;/foreign-keys&gt;&lt;ref-type name="Journal Article"&gt;17&lt;/ref-type&gt;&lt;contributors&gt;&lt;authors&gt;&lt;author&gt;Jana, Sarbojeet&lt;/author&gt;&lt;author&gt;Martini, Silvana&lt;/author&gt;&lt;/authors&gt;&lt;/contributors&gt;&lt;titles&gt;&lt;title&gt;Physical characterization of crystalline networks formed by binary blends of waxes in soybean oil&lt;/title&gt;&lt;secondary-title&gt;Food Research International&lt;/secondary-title&gt;&lt;/titles&gt;&lt;periodical&gt;&lt;full-title&gt;Food research international&lt;/full-title&gt;&lt;/periodical&gt;&lt;pages&gt;245-253&lt;/pages&gt;&lt;volume&gt;89&lt;/volume&gt;&lt;dates&gt;&lt;year&gt;2016&lt;/year&gt;&lt;/dates&gt;&lt;isbn&gt;0963-9969&lt;/isbn&gt;&lt;urls&gt;&lt;/urls&gt;&lt;/record&gt;&lt;/Cite&gt;&lt;/EndNote&gt;</w:instrText>
      </w:r>
      <w:r w:rsidR="000E2D76">
        <w:rPr>
          <w:sz w:val="28"/>
          <w:szCs w:val="28"/>
          <w:lang w:bidi="ar-EG"/>
        </w:rPr>
        <w:fldChar w:fldCharType="separate"/>
      </w:r>
      <w:r w:rsidR="000E2D76">
        <w:rPr>
          <w:noProof/>
          <w:sz w:val="28"/>
          <w:szCs w:val="28"/>
          <w:lang w:bidi="ar-EG"/>
        </w:rPr>
        <w:t>(Jana &amp; Martini, 2016)</w:t>
      </w:r>
      <w:r w:rsidR="000E2D76">
        <w:rPr>
          <w:sz w:val="28"/>
          <w:szCs w:val="28"/>
          <w:lang w:bidi="ar-EG"/>
        </w:rPr>
        <w:fldChar w:fldCharType="end"/>
      </w:r>
      <w:r w:rsidRPr="000E2D76">
        <w:rPr>
          <w:sz w:val="28"/>
          <w:szCs w:val="28"/>
          <w:lang w:bidi="ar-EG"/>
        </w:rPr>
        <w:t xml:space="preserve">. Sunflower wax, on the other hand, contains high concentrations of long-chain saturated fatty acids and alcohols, leading to a needle-like β-crystalline structure, which contributes to a smoother texture and improved </w:t>
      </w:r>
      <w:proofErr w:type="spellStart"/>
      <w:r w:rsidRPr="000E2D76">
        <w:rPr>
          <w:sz w:val="28"/>
          <w:szCs w:val="28"/>
          <w:lang w:bidi="ar-EG"/>
        </w:rPr>
        <w:t>spreadability</w:t>
      </w:r>
      <w:proofErr w:type="spellEnd"/>
      <w:r w:rsidRPr="000E2D76">
        <w:rPr>
          <w:sz w:val="28"/>
          <w:szCs w:val="28"/>
          <w:lang w:bidi="ar-EG"/>
        </w:rPr>
        <w:t xml:space="preserve"> </w:t>
      </w:r>
      <w:r w:rsidR="000E2D76">
        <w:rPr>
          <w:sz w:val="28"/>
          <w:szCs w:val="28"/>
          <w:lang w:bidi="ar-EG"/>
        </w:rPr>
        <w:fldChar w:fldCharType="begin"/>
      </w:r>
      <w:r w:rsidR="000E2D76">
        <w:rPr>
          <w:sz w:val="28"/>
          <w:szCs w:val="28"/>
          <w:lang w:bidi="ar-EG"/>
        </w:rPr>
        <w:instrText xml:space="preserve"> ADDIN EN.CITE &lt;EndNote&gt;&lt;Cite&gt;&lt;Author&gt;Bharti&lt;/Author&gt;&lt;Year&gt;2021&lt;/Year&gt;&lt;RecNum&gt;296&lt;/RecNum&gt;&lt;DisplayText&gt;(Bharti et al., 2021)&lt;/DisplayText&gt;&lt;record&gt;&lt;rec-number&gt;296&lt;/rec-number&gt;&lt;foreign-keys&gt;&lt;key app="EN" db-id="ap9s050v8w5t9de9ezpvz92if2wepzzer2e2" timestamp="1738601758"&gt;296&lt;/key&gt;&lt;/foreign-keys&gt;&lt;ref-type name="Journal Article"&gt;17&lt;/ref-type&gt;&lt;contributors&gt;&lt;authors&gt;&lt;author&gt;Bharti, Deepti&lt;/author&gt;&lt;author&gt;Kim, Doman&lt;/author&gt;&lt;author&gt;Cerqueira, Miguel Angelo&lt;/author&gt;&lt;author&gt;Mohanty, Biswaranjan&lt;/author&gt;&lt;author&gt;Habibullah, SK&lt;/author&gt;&lt;author&gt;Banerjee, Indranil&lt;/author&gt;&lt;author&gt;Pal, Kunal&lt;/author&gt;&lt;/authors&gt;&lt;/contributors&gt;&lt;titles&gt;&lt;title&gt;Effect of biodegradable hydrophilic and hydrophobic emulsifiers on the oleogels containing sunflower wax and sunflower oil&lt;/title&gt;&lt;secondary-title&gt;Gels&lt;/secondary-title&gt;&lt;/titles&gt;&lt;periodical&gt;&lt;full-title&gt;Gels&lt;/full-title&gt;&lt;/periodical&gt;&lt;pages&gt;133&lt;/pages&gt;&lt;volume&gt;7&lt;/volume&gt;&lt;number&gt;3&lt;/number&gt;&lt;dates&gt;&lt;year&gt;2021&lt;/year&gt;&lt;/dates&gt;&lt;isbn&gt;2310-2861&lt;/isbn&gt;&lt;urls&gt;&lt;/urls&gt;&lt;/record&gt;&lt;/Cite&gt;&lt;/EndNote&gt;</w:instrText>
      </w:r>
      <w:r w:rsidR="000E2D76">
        <w:rPr>
          <w:sz w:val="28"/>
          <w:szCs w:val="28"/>
          <w:lang w:bidi="ar-EG"/>
        </w:rPr>
        <w:fldChar w:fldCharType="separate"/>
      </w:r>
      <w:r w:rsidR="000E2D76">
        <w:rPr>
          <w:noProof/>
          <w:sz w:val="28"/>
          <w:szCs w:val="28"/>
          <w:lang w:bidi="ar-EG"/>
        </w:rPr>
        <w:t>(Bharti et al., 2021)</w:t>
      </w:r>
      <w:r w:rsidR="000E2D76">
        <w:rPr>
          <w:sz w:val="28"/>
          <w:szCs w:val="28"/>
          <w:lang w:bidi="ar-EG"/>
        </w:rPr>
        <w:fldChar w:fldCharType="end"/>
      </w:r>
      <w:r w:rsidRPr="000E2D76">
        <w:rPr>
          <w:sz w:val="28"/>
          <w:szCs w:val="28"/>
          <w:lang w:bidi="ar-EG"/>
        </w:rPr>
        <w:t xml:space="preserve">. These differences in crystallization behavior significantly affect the mechanical and functional properties of </w:t>
      </w:r>
      <w:proofErr w:type="spellStart"/>
      <w:r w:rsidRPr="000E2D76">
        <w:rPr>
          <w:sz w:val="28"/>
          <w:szCs w:val="28"/>
          <w:lang w:bidi="ar-EG"/>
        </w:rPr>
        <w:t>oleogels</w:t>
      </w:r>
      <w:proofErr w:type="spellEnd"/>
      <w:r w:rsidRPr="000E2D76">
        <w:rPr>
          <w:sz w:val="28"/>
          <w:szCs w:val="28"/>
          <w:lang w:bidi="ar-EG"/>
        </w:rPr>
        <w:t>, making them suitable for different food applications.</w:t>
      </w:r>
    </w:p>
    <w:p w14:paraId="6C4153E1" w14:textId="77777777" w:rsidR="00B262A2" w:rsidRPr="000E2D76" w:rsidRDefault="00B262A2" w:rsidP="00CF588E">
      <w:pPr>
        <w:jc w:val="both"/>
        <w:rPr>
          <w:sz w:val="28"/>
          <w:szCs w:val="28"/>
          <w:lang w:bidi="ar-EG"/>
        </w:rPr>
      </w:pPr>
      <w:r w:rsidRPr="000E2D76">
        <w:rPr>
          <w:sz w:val="28"/>
          <w:szCs w:val="28"/>
          <w:lang w:bidi="ar-EG"/>
        </w:rPr>
        <w:t xml:space="preserve">Despite their structural advantages, the incorporation of </w:t>
      </w:r>
      <w:proofErr w:type="spellStart"/>
      <w:r w:rsidRPr="000E2D76">
        <w:rPr>
          <w:sz w:val="28"/>
          <w:szCs w:val="28"/>
          <w:lang w:bidi="ar-EG"/>
        </w:rPr>
        <w:t>oleogels</w:t>
      </w:r>
      <w:proofErr w:type="spellEnd"/>
      <w:r w:rsidRPr="000E2D76">
        <w:rPr>
          <w:sz w:val="28"/>
          <w:szCs w:val="28"/>
          <w:lang w:bidi="ar-EG"/>
        </w:rPr>
        <w:t xml:space="preserve"> in processed meats remains challenging due to concerns about emulsion stability, oxidative resistance, and sensory acceptability </w:t>
      </w:r>
      <w:r w:rsidR="000E2D76">
        <w:rPr>
          <w:sz w:val="28"/>
          <w:szCs w:val="28"/>
          <w:lang w:bidi="ar-EG"/>
        </w:rPr>
        <w:fldChar w:fldCharType="begin"/>
      </w:r>
      <w:r w:rsidR="000E2D76">
        <w:rPr>
          <w:sz w:val="28"/>
          <w:szCs w:val="28"/>
          <w:lang w:bidi="ar-EG"/>
        </w:rPr>
        <w:instrText xml:space="preserve"> ADDIN EN.CITE &lt;EndNote&gt;&lt;Cite&gt;&lt;Author&gt;Manzoor&lt;/Author&gt;&lt;Year&gt;2022&lt;/Year&gt;&lt;RecNum&gt;297&lt;/RecNum&gt;&lt;DisplayText&gt;(Manzoor, Masoodi, Rashid, Naqash, &amp;amp; Ahmad, 2022)&lt;/DisplayText&gt;&lt;record&gt;&lt;rec-number&gt;297&lt;/rec-number&gt;&lt;foreign-keys&gt;&lt;key app="EN" db-id="ap9s050v8w5t9de9ezpvz92if2wepzzer2e2" timestamp="1738601856"&gt;297&lt;/key&gt;&lt;/foreign-keys&gt;&lt;ref-type name="Journal Article"&gt;17&lt;/ref-type&gt;&lt;contributors&gt;&lt;authors&gt;&lt;author&gt;Manzoor, Shaziya&lt;/author&gt;&lt;author&gt;Masoodi, FA&lt;/author&gt;&lt;author&gt;Rashid, Rubiya&lt;/author&gt;&lt;author&gt;Naqash, Farah&lt;/author&gt;&lt;author&gt;Ahmad, Mudasir&lt;/author&gt;&lt;/authors&gt;&lt;/contributors&gt;&lt;titles&gt;&lt;title&gt;Oleogels for the development of healthy meat products: A review&lt;/title&gt;&lt;secondary-title&gt;Applied Food Research&lt;/secondary-title&gt;&lt;/titles&gt;&lt;periodical&gt;&lt;full-title&gt;Applied Food Research&lt;/full-title&gt;&lt;/periodical&gt;&lt;pages&gt;100212&lt;/pages&gt;&lt;volume&gt;2&lt;/volume&gt;&lt;number&gt;2&lt;/number&gt;&lt;dates&gt;&lt;year&gt;2022&lt;/year&gt;&lt;/dates&gt;&lt;isbn&gt;2772-5022&lt;/isbn&gt;&lt;urls&gt;&lt;/urls&gt;&lt;/record&gt;&lt;/Cite&gt;&lt;/EndNote&gt;</w:instrText>
      </w:r>
      <w:r w:rsidR="000E2D76">
        <w:rPr>
          <w:sz w:val="28"/>
          <w:szCs w:val="28"/>
          <w:lang w:bidi="ar-EG"/>
        </w:rPr>
        <w:fldChar w:fldCharType="separate"/>
      </w:r>
      <w:r w:rsidR="000E2D76">
        <w:rPr>
          <w:noProof/>
          <w:sz w:val="28"/>
          <w:szCs w:val="28"/>
          <w:lang w:bidi="ar-EG"/>
        </w:rPr>
        <w:t>(Manzoor, Masoodi, Rashid, Naqash, &amp; Ahmad, 2022)</w:t>
      </w:r>
      <w:r w:rsidR="000E2D76">
        <w:rPr>
          <w:sz w:val="28"/>
          <w:szCs w:val="28"/>
          <w:lang w:bidi="ar-EG"/>
        </w:rPr>
        <w:fldChar w:fldCharType="end"/>
      </w:r>
      <w:r w:rsidRPr="000E2D76">
        <w:rPr>
          <w:sz w:val="28"/>
          <w:szCs w:val="28"/>
          <w:lang w:bidi="ar-EG"/>
        </w:rPr>
        <w:t xml:space="preserve">. When replacing traditional fats in frankfurters, the gelation time, </w:t>
      </w:r>
      <w:r w:rsidRPr="000E2D76">
        <w:rPr>
          <w:sz w:val="28"/>
          <w:szCs w:val="28"/>
          <w:lang w:bidi="ar-EG"/>
        </w:rPr>
        <w:lastRenderedPageBreak/>
        <w:t xml:space="preserve">firmness, and melting characteristics of </w:t>
      </w:r>
      <w:proofErr w:type="spellStart"/>
      <w:r w:rsidRPr="000E2D76">
        <w:rPr>
          <w:sz w:val="28"/>
          <w:szCs w:val="28"/>
          <w:lang w:bidi="ar-EG"/>
        </w:rPr>
        <w:t>oleogels</w:t>
      </w:r>
      <w:proofErr w:type="spellEnd"/>
      <w:r w:rsidRPr="000E2D76">
        <w:rPr>
          <w:sz w:val="28"/>
          <w:szCs w:val="28"/>
          <w:lang w:bidi="ar-EG"/>
        </w:rPr>
        <w:t xml:space="preserve"> influence the final product texture and processing behavior </w:t>
      </w:r>
      <w:r w:rsidR="000E2D76">
        <w:rPr>
          <w:sz w:val="28"/>
          <w:szCs w:val="28"/>
          <w:lang w:bidi="ar-EG"/>
        </w:rPr>
        <w:fldChar w:fldCharType="begin"/>
      </w:r>
      <w:r w:rsidR="000E2D76">
        <w:rPr>
          <w:sz w:val="28"/>
          <w:szCs w:val="28"/>
          <w:lang w:bidi="ar-EG"/>
        </w:rPr>
        <w:instrText xml:space="preserve"> ADDIN EN.CITE &lt;EndNote&gt;&lt;Cite&gt;&lt;Author&gt;Wolfer&lt;/Author&gt;&lt;Year&gt;2017&lt;/Year&gt;&lt;RecNum&gt;298&lt;/RecNum&gt;&lt;DisplayText&gt;(Wolfer, 2017)&lt;/DisplayText&gt;&lt;record&gt;&lt;rec-number&gt;298&lt;/rec-number&gt;&lt;foreign-keys&gt;&lt;key app="EN" db-id="ap9s050v8w5t9de9ezpvz92if2wepzzer2e2" timestamp="1738601970"&gt;298&lt;/key&gt;&lt;/foreign-keys&gt;&lt;ref-type name="Thesis"&gt;32&lt;/ref-type&gt;&lt;contributors&gt;&lt;authors&gt;&lt;author&gt;Wolfer, Taylor Lindsay&lt;/author&gt;&lt;/authors&gt;&lt;/contributors&gt;&lt;titles&gt;&lt;title&gt;Fats, oils, and oleogels: Their significance in and impacts on comminuted meat products&lt;/title&gt;&lt;/titles&gt;&lt;dates&gt;&lt;year&gt;2017&lt;/year&gt;&lt;/dates&gt;&lt;publisher&gt;Iowa State University&lt;/publisher&gt;&lt;isbn&gt;1369883730&lt;/isbn&gt;&lt;urls&gt;&lt;/urls&gt;&lt;/record&gt;&lt;/Cite&gt;&lt;/EndNote&gt;</w:instrText>
      </w:r>
      <w:r w:rsidR="000E2D76">
        <w:rPr>
          <w:sz w:val="28"/>
          <w:szCs w:val="28"/>
          <w:lang w:bidi="ar-EG"/>
        </w:rPr>
        <w:fldChar w:fldCharType="separate"/>
      </w:r>
      <w:r w:rsidR="000E2D76">
        <w:rPr>
          <w:noProof/>
          <w:sz w:val="28"/>
          <w:szCs w:val="28"/>
          <w:lang w:bidi="ar-EG"/>
        </w:rPr>
        <w:t>(Wolfer, 2017)</w:t>
      </w:r>
      <w:r w:rsidR="000E2D76">
        <w:rPr>
          <w:sz w:val="28"/>
          <w:szCs w:val="28"/>
          <w:lang w:bidi="ar-EG"/>
        </w:rPr>
        <w:fldChar w:fldCharType="end"/>
      </w:r>
      <w:r w:rsidRPr="000E2D76">
        <w:rPr>
          <w:sz w:val="28"/>
          <w:szCs w:val="28"/>
          <w:lang w:bidi="ar-EG"/>
        </w:rPr>
        <w:t xml:space="preserve">. Additionally, oxidative stability is a key factor, as liquid vegetable oils are more prone to lipid oxidation compared to animal fats, potentially leading to off-flavors, rancidity, and reduced shelf life </w:t>
      </w:r>
      <w:r w:rsidR="00CF588E">
        <w:rPr>
          <w:sz w:val="28"/>
          <w:szCs w:val="28"/>
          <w:lang w:bidi="ar-EG"/>
        </w:rPr>
        <w:fldChar w:fldCharType="begin"/>
      </w:r>
      <w:r w:rsidR="00CF588E">
        <w:rPr>
          <w:sz w:val="28"/>
          <w:szCs w:val="28"/>
          <w:lang w:bidi="ar-EG"/>
        </w:rPr>
        <w:instrText xml:space="preserve"> ADDIN EN.CITE &lt;EndNote&gt;&lt;Cite&gt;&lt;Author&gt;Machado&lt;/Author&gt;&lt;Year&gt;2023&lt;/Year&gt;&lt;RecNum&gt;299&lt;/RecNum&gt;&lt;DisplayText&gt;(Machado, Rodriguez-Alcalá, Gomes, &amp;amp; Pintado, 2023)&lt;/DisplayText&gt;&lt;record&gt;&lt;rec-number&gt;299&lt;/rec-number&gt;&lt;foreign-keys&gt;&lt;key app="EN" db-id="ap9s050v8w5t9de9ezpvz92if2wepzzer2e2" timestamp="1738602291"&gt;299&lt;/key&gt;&lt;/foreign-keys&gt;&lt;ref-type name="Journal Article"&gt;17&lt;/ref-type&gt;&lt;contributors&gt;&lt;authors&gt;&lt;author&gt;Machado, Manuela&lt;/author&gt;&lt;author&gt;Rodriguez-Alcalá, Luís M&lt;/author&gt;&lt;author&gt;Gomes, Ana M&lt;/author&gt;&lt;author&gt;Pintado, Manuela&lt;/author&gt;&lt;/authors&gt;&lt;/contributors&gt;&lt;titles&gt;&lt;title&gt;Vegetable oils oxidation: mechanisms, consequences and protective strategies&lt;/title&gt;&lt;secondary-title&gt;Food Reviews International&lt;/secondary-title&gt;&lt;/titles&gt;&lt;periodical&gt;&lt;full-title&gt;Food Reviews International&lt;/full-title&gt;&lt;/periodical&gt;&lt;pages&gt;4180-4197&lt;/pages&gt;&lt;volume&gt;39&lt;/volume&gt;&lt;number&gt;7&lt;/number&gt;&lt;dates&gt;&lt;year&gt;2023&lt;/year&gt;&lt;/dates&gt;&lt;isbn&gt;8755-9129&lt;/isbn&gt;&lt;urls&gt;&lt;/urls&gt;&lt;/record&gt;&lt;/Cite&gt;&lt;/EndNote&gt;</w:instrText>
      </w:r>
      <w:r w:rsidR="00CF588E">
        <w:rPr>
          <w:sz w:val="28"/>
          <w:szCs w:val="28"/>
          <w:lang w:bidi="ar-EG"/>
        </w:rPr>
        <w:fldChar w:fldCharType="separate"/>
      </w:r>
      <w:r w:rsidR="00CF588E">
        <w:rPr>
          <w:noProof/>
          <w:sz w:val="28"/>
          <w:szCs w:val="28"/>
          <w:lang w:bidi="ar-EG"/>
        </w:rPr>
        <w:t>(Machado, Rodriguez-Alcalá, Gomes, &amp; Pintado, 2023)</w:t>
      </w:r>
      <w:r w:rsidR="00CF588E">
        <w:rPr>
          <w:sz w:val="28"/>
          <w:szCs w:val="28"/>
          <w:lang w:bidi="ar-EG"/>
        </w:rPr>
        <w:fldChar w:fldCharType="end"/>
      </w:r>
      <w:r w:rsidRPr="000E2D76">
        <w:rPr>
          <w:sz w:val="28"/>
          <w:szCs w:val="28"/>
          <w:lang w:bidi="ar-EG"/>
        </w:rPr>
        <w:t xml:space="preserve">. The structuring ability of wax-based </w:t>
      </w:r>
      <w:proofErr w:type="spellStart"/>
      <w:r w:rsidRPr="000E2D76">
        <w:rPr>
          <w:sz w:val="28"/>
          <w:szCs w:val="28"/>
          <w:lang w:bidi="ar-EG"/>
        </w:rPr>
        <w:t>oleogels</w:t>
      </w:r>
      <w:proofErr w:type="spellEnd"/>
      <w:r w:rsidRPr="000E2D76">
        <w:rPr>
          <w:sz w:val="28"/>
          <w:szCs w:val="28"/>
          <w:lang w:bidi="ar-EG"/>
        </w:rPr>
        <w:t xml:space="preserve"> may help mitigate oxidation by restricting oxygen diffusion and reducing lipid hydrolysis, thereby improving the oxidative stability of reformulated frankfurters </w:t>
      </w:r>
      <w:r w:rsidR="00CF588E">
        <w:rPr>
          <w:sz w:val="28"/>
          <w:szCs w:val="28"/>
          <w:lang w:bidi="ar-EG"/>
        </w:rPr>
        <w:fldChar w:fldCharType="begin"/>
      </w:r>
      <w:r w:rsidR="00CF588E">
        <w:rPr>
          <w:sz w:val="28"/>
          <w:szCs w:val="28"/>
          <w:lang w:bidi="ar-EG"/>
        </w:rPr>
        <w:instrText xml:space="preserve"> ADDIN EN.CITE &lt;EndNote&gt;&lt;Cite&gt;&lt;Author&gt;Soleimanian&lt;/Author&gt;&lt;Year&gt;2020&lt;/Year&gt;&lt;RecNum&gt;235&lt;/RecNum&gt;&lt;DisplayText&gt;(Soleimanian et al., 2020)&lt;/DisplayText&gt;&lt;record&gt;&lt;rec-number&gt;235&lt;/rec-number&gt;&lt;foreign-keys&gt;&lt;key app="EN" db-id="ap9s050v8w5t9de9ezpvz92if2wepzzer2e2" timestamp="1738495648"&gt;235&lt;/key&gt;&lt;/foreign-keys&gt;&lt;ref-type name="Journal Article"&gt;17&lt;/ref-type&gt;&lt;contributors&gt;&lt;authors&gt;&lt;author&gt;Soleimanian, Yasamin&lt;/author&gt;&lt;author&gt;Goli, Sayed Amir Hossein&lt;/author&gt;&lt;author&gt;Shirvani, Atefe&lt;/author&gt;&lt;author&gt;Elmizadeh, Ameneh&lt;/author&gt;&lt;author&gt;Marangoni, Alejandro G&lt;/author&gt;&lt;/authors&gt;&lt;/contributors&gt;&lt;titles&gt;&lt;title&gt;Wax‐based delivery systems: preparation, characterization, and food applications&lt;/title&gt;&lt;secondary-title&gt;Comprehensive Reviews in Food Science and Food Safety&lt;/secondary-title&gt;&lt;/titles&gt;&lt;periodical&gt;&lt;full-title&gt;Comprehensive Reviews in Food Science and Food Safety&lt;/full-title&gt;&lt;/periodical&gt;&lt;pages&gt;2994-3030&lt;/pages&gt;&lt;volume&gt;19&lt;/volume&gt;&lt;number&gt;6&lt;/number&gt;&lt;dates&gt;&lt;year&gt;2020&lt;/year&gt;&lt;/dates&gt;&lt;isbn&gt;1541-4337&lt;/isbn&gt;&lt;urls&gt;&lt;/urls&gt;&lt;/record&gt;&lt;/Cite&gt;&lt;/EndNote&gt;</w:instrText>
      </w:r>
      <w:r w:rsidR="00CF588E">
        <w:rPr>
          <w:sz w:val="28"/>
          <w:szCs w:val="28"/>
          <w:lang w:bidi="ar-EG"/>
        </w:rPr>
        <w:fldChar w:fldCharType="separate"/>
      </w:r>
      <w:r w:rsidR="00CF588E">
        <w:rPr>
          <w:noProof/>
          <w:sz w:val="28"/>
          <w:szCs w:val="28"/>
          <w:lang w:bidi="ar-EG"/>
        </w:rPr>
        <w:t>(Soleimanian et al., 2020)</w:t>
      </w:r>
      <w:r w:rsidR="00CF588E">
        <w:rPr>
          <w:sz w:val="28"/>
          <w:szCs w:val="28"/>
          <w:lang w:bidi="ar-EG"/>
        </w:rPr>
        <w:fldChar w:fldCharType="end"/>
      </w:r>
      <w:r w:rsidRPr="000E2D76">
        <w:rPr>
          <w:sz w:val="28"/>
          <w:szCs w:val="28"/>
          <w:lang w:bidi="ar-EG"/>
        </w:rPr>
        <w:t>.</w:t>
      </w:r>
    </w:p>
    <w:p w14:paraId="213BDA13" w14:textId="77777777" w:rsidR="00B262A2" w:rsidRPr="000E2D76" w:rsidRDefault="00B262A2" w:rsidP="00CF588E">
      <w:pPr>
        <w:jc w:val="both"/>
        <w:rPr>
          <w:sz w:val="28"/>
          <w:szCs w:val="28"/>
          <w:lang w:bidi="ar-EG"/>
        </w:rPr>
      </w:pPr>
      <w:r w:rsidRPr="000E2D76">
        <w:rPr>
          <w:sz w:val="28"/>
          <w:szCs w:val="28"/>
          <w:lang w:bidi="ar-EG"/>
        </w:rPr>
        <w:t xml:space="preserve">Beeswax and sunflower wax have been shown to differentially influence oxidative stability and sensory perception in meat systems. Beeswax contains natural antioxidants, such as flavonoids and phenolic compounds, which enhance lipid stability and delay oxidation </w:t>
      </w:r>
      <w:r w:rsidR="00CF588E">
        <w:rPr>
          <w:sz w:val="28"/>
          <w:szCs w:val="28"/>
          <w:lang w:bidi="ar-EG"/>
        </w:rPr>
        <w:fldChar w:fldCharType="begin"/>
      </w:r>
      <w:r w:rsidR="00CF588E">
        <w:rPr>
          <w:sz w:val="28"/>
          <w:szCs w:val="28"/>
          <w:lang w:bidi="ar-EG"/>
        </w:rPr>
        <w:instrText xml:space="preserve"> ADDIN EN.CITE &lt;EndNote&gt;&lt;Cite&gt;&lt;Author&gt;Peron&lt;/Author&gt;&lt;Year&gt;2023&lt;/Year&gt;&lt;RecNum&gt;301&lt;/RecNum&gt;&lt;DisplayText&gt;(Peron et al., 2023)&lt;/DisplayText&gt;&lt;record&gt;&lt;rec-number&gt;301&lt;/rec-number&gt;&lt;foreign-keys&gt;&lt;key app="EN" db-id="ap9s050v8w5t9de9ezpvz92if2wepzzer2e2" timestamp="1738602410"&gt;301&lt;/key&gt;&lt;/foreign-keys&gt;&lt;ref-type name="Journal Article"&gt;17&lt;/ref-type&gt;&lt;contributors&gt;&lt;authors&gt;&lt;author&gt;Peron, Gregorio&lt;/author&gt;&lt;author&gt;Carmo dos Santos, Nádia Alessandra&lt;/author&gt;&lt;author&gt;Ferrarese, Irene&lt;/author&gt;&lt;author&gt;Rizzo, Filippo&lt;/author&gt;&lt;author&gt;Bernabè, Giulia&lt;/author&gt;&lt;author&gt;Paccagnella, Michela&lt;/author&gt;&lt;author&gt;Panozzo, Marina&lt;/author&gt;&lt;author&gt;Francescato, Stefano&lt;/author&gt;&lt;author&gt;Castagliuolo, Ignazio&lt;/author&gt;&lt;author&gt;Dall&amp;apos;Acqua, Stefano&lt;/author&gt;&lt;/authors&gt;&lt;/contributors&gt;&lt;titles&gt;&lt;title&gt;The beeswax processing by‐product: a potential antibacterial ingredient for food and nutraceutical applications&lt;/title&gt;&lt;secondary-title&gt;International Journal of Food Science &amp;amp; Technology&lt;/secondary-title&gt;&lt;/titles&gt;&lt;periodical&gt;&lt;full-title&gt;International Journal of Food Science &amp;amp; Technology&lt;/full-title&gt;&lt;/periodical&gt;&lt;pages&gt;5549-5556&lt;/pages&gt;&lt;volume&gt;58&lt;/volume&gt;&lt;number&gt;10&lt;/number&gt;&lt;dates&gt;&lt;year&gt;2023&lt;/year&gt;&lt;/dates&gt;&lt;isbn&gt;0950-5423&lt;/isbn&gt;&lt;urls&gt;&lt;/urls&gt;&lt;/record&gt;&lt;/Cite&gt;&lt;/EndNote&gt;</w:instrText>
      </w:r>
      <w:r w:rsidR="00CF588E">
        <w:rPr>
          <w:sz w:val="28"/>
          <w:szCs w:val="28"/>
          <w:lang w:bidi="ar-EG"/>
        </w:rPr>
        <w:fldChar w:fldCharType="separate"/>
      </w:r>
      <w:r w:rsidR="00CF588E">
        <w:rPr>
          <w:noProof/>
          <w:sz w:val="28"/>
          <w:szCs w:val="28"/>
          <w:lang w:bidi="ar-EG"/>
        </w:rPr>
        <w:t>(Peron et al., 2023)</w:t>
      </w:r>
      <w:r w:rsidR="00CF588E">
        <w:rPr>
          <w:sz w:val="28"/>
          <w:szCs w:val="28"/>
          <w:lang w:bidi="ar-EG"/>
        </w:rPr>
        <w:fldChar w:fldCharType="end"/>
      </w:r>
      <w:r w:rsidRPr="000E2D76">
        <w:rPr>
          <w:sz w:val="28"/>
          <w:szCs w:val="28"/>
          <w:lang w:bidi="ar-EG"/>
        </w:rPr>
        <w:t xml:space="preserve">. Sunflower wax, while providing a softer texture, may be less effective in preventing lipid oxidation, due to its lower phenolic content </w:t>
      </w:r>
      <w:r w:rsidR="00CF588E">
        <w:rPr>
          <w:sz w:val="28"/>
          <w:szCs w:val="28"/>
          <w:lang w:bidi="ar-EG"/>
        </w:rPr>
        <w:fldChar w:fldCharType="begin"/>
      </w:r>
      <w:r w:rsidR="00CF588E">
        <w:rPr>
          <w:sz w:val="28"/>
          <w:szCs w:val="28"/>
          <w:lang w:bidi="ar-EG"/>
        </w:rPr>
        <w:instrText xml:space="preserve"> ADDIN EN.CITE &lt;EndNote&gt;&lt;Cite&gt;&lt;Author&gt;Hwang&lt;/Author&gt;&lt;Year&gt;2020&lt;/Year&gt;&lt;RecNum&gt;302&lt;/RecNum&gt;&lt;DisplayText&gt;(Hwang, 2020)&lt;/DisplayText&gt;&lt;record&gt;&lt;rec-number&gt;302&lt;/rec-number&gt;&lt;foreign-keys&gt;&lt;key app="EN" db-id="ap9s050v8w5t9de9ezpvz92if2wepzzer2e2" timestamp="1738602471"&gt;302&lt;/key&gt;&lt;/foreign-keys&gt;&lt;ref-type name="Journal Article"&gt;17&lt;/ref-type&gt;&lt;contributors&gt;&lt;authors&gt;&lt;author&gt;Hwang, Hong-Sik&lt;/author&gt;&lt;/authors&gt;&lt;/contributors&gt;&lt;titles&gt;&lt;title&gt;A critical review on structures, health effects, oxidative stability, and sensory properties of oleogels&lt;/title&gt;&lt;secondary-title&gt;Biocatalysis and Agricultural Biotechnology&lt;/secondary-title&gt;&lt;/titles&gt;&lt;periodical&gt;&lt;full-title&gt;Biocatalysis and Agricultural Biotechnology&lt;/full-title&gt;&lt;/periodical&gt;&lt;pages&gt;101657&lt;/pages&gt;&lt;volume&gt;26&lt;/volume&gt;&lt;dates&gt;&lt;year&gt;2020&lt;/year&gt;&lt;/dates&gt;&lt;isbn&gt;1878-8181&lt;/isbn&gt;&lt;urls&gt;&lt;/urls&gt;&lt;/record&gt;&lt;/Cite&gt;&lt;/EndNote&gt;</w:instrText>
      </w:r>
      <w:r w:rsidR="00CF588E">
        <w:rPr>
          <w:sz w:val="28"/>
          <w:szCs w:val="28"/>
          <w:lang w:bidi="ar-EG"/>
        </w:rPr>
        <w:fldChar w:fldCharType="separate"/>
      </w:r>
      <w:r w:rsidR="00CF588E">
        <w:rPr>
          <w:noProof/>
          <w:sz w:val="28"/>
          <w:szCs w:val="28"/>
          <w:lang w:bidi="ar-EG"/>
        </w:rPr>
        <w:t>(Hwang, 2020)</w:t>
      </w:r>
      <w:r w:rsidR="00CF588E">
        <w:rPr>
          <w:sz w:val="28"/>
          <w:szCs w:val="28"/>
          <w:lang w:bidi="ar-EG"/>
        </w:rPr>
        <w:fldChar w:fldCharType="end"/>
      </w:r>
      <w:r w:rsidRPr="000E2D76">
        <w:rPr>
          <w:sz w:val="28"/>
          <w:szCs w:val="28"/>
          <w:lang w:bidi="ar-EG"/>
        </w:rPr>
        <w:t xml:space="preserve">. Furthermore, consumer perception of texture and mouthfeel is crucial when selecting fat replacers, as excessive firmness or waxy aftertaste can negatively impact sensory acceptability </w:t>
      </w:r>
      <w:r w:rsidR="00CF588E">
        <w:rPr>
          <w:sz w:val="28"/>
          <w:szCs w:val="28"/>
          <w:lang w:bidi="ar-EG"/>
        </w:rPr>
        <w:fldChar w:fldCharType="begin"/>
      </w:r>
      <w:r w:rsidR="00CF588E">
        <w:rPr>
          <w:sz w:val="28"/>
          <w:szCs w:val="28"/>
          <w:lang w:bidi="ar-EG"/>
        </w:rPr>
        <w:instrText xml:space="preserve"> ADDIN EN.CITE &lt;EndNote&gt;&lt;Cite&gt;&lt;Author&gt;Gao&lt;/Author&gt;&lt;Year&gt;2024&lt;/Year&gt;&lt;RecNum&gt;303&lt;/RecNum&gt;&lt;DisplayText&gt;(Gao et al., 2024)&lt;/DisplayText&gt;&lt;record&gt;&lt;rec-number&gt;303&lt;/rec-number&gt;&lt;foreign-keys&gt;&lt;key app="EN" db-id="ap9s050v8w5t9de9ezpvz92if2wepzzer2e2" timestamp="1738602519"&gt;303&lt;/key&gt;&lt;/foreign-keys&gt;&lt;ref-type name="Journal Article"&gt;17&lt;/ref-type&gt;&lt;contributors&gt;&lt;authors&gt;&lt;author&gt;Gao, Yuanxue&lt;/author&gt;&lt;author&gt;Zhao, Yan&lt;/author&gt;&lt;author&gt;Yao, Yao&lt;/author&gt;&lt;author&gt;Chen, Shuping&lt;/author&gt;&lt;author&gt;Xu, Lilan&lt;/author&gt;&lt;author&gt;Wu, Na&lt;/author&gt;&lt;author&gt;Tu, Yonggang&lt;/author&gt;&lt;/authors&gt;&lt;/contributors&gt;&lt;titles&gt;&lt;title&gt;Recent trends in design of healthier fat replacers: Type, replacement mechanism, sensory evaluation method and consumer acceptance&lt;/title&gt;&lt;secondary-title&gt;Food Chemistry&lt;/secondary-title&gt;&lt;/titles&gt;&lt;periodical&gt;&lt;full-title&gt;Food chemistry&lt;/full-title&gt;&lt;/periodical&gt;&lt;pages&gt;138982&lt;/pages&gt;&lt;dates&gt;&lt;year&gt;2024&lt;/year&gt;&lt;/dates&gt;&lt;isbn&gt;0308-8146&lt;/isbn&gt;&lt;urls&gt;&lt;/urls&gt;&lt;/record&gt;&lt;/Cite&gt;&lt;/EndNote&gt;</w:instrText>
      </w:r>
      <w:r w:rsidR="00CF588E">
        <w:rPr>
          <w:sz w:val="28"/>
          <w:szCs w:val="28"/>
          <w:lang w:bidi="ar-EG"/>
        </w:rPr>
        <w:fldChar w:fldCharType="separate"/>
      </w:r>
      <w:r w:rsidR="00CF588E">
        <w:rPr>
          <w:noProof/>
          <w:sz w:val="28"/>
          <w:szCs w:val="28"/>
          <w:lang w:bidi="ar-EG"/>
        </w:rPr>
        <w:t>(Gao et al., 2024)</w:t>
      </w:r>
      <w:r w:rsidR="00CF588E">
        <w:rPr>
          <w:sz w:val="28"/>
          <w:szCs w:val="28"/>
          <w:lang w:bidi="ar-EG"/>
        </w:rPr>
        <w:fldChar w:fldCharType="end"/>
      </w:r>
      <w:r w:rsidRPr="000E2D76">
        <w:rPr>
          <w:sz w:val="28"/>
          <w:szCs w:val="28"/>
          <w:lang w:bidi="ar-EG"/>
        </w:rPr>
        <w:t>. Studies suggest that optimizing the wax concentration is essential to achieving the ideal balance of firmness, oxidative resistance, and sensory attributes in meat products.</w:t>
      </w:r>
    </w:p>
    <w:p w14:paraId="1029BDC8" w14:textId="77777777" w:rsidR="00B262A2" w:rsidRPr="000E2D76" w:rsidRDefault="00B262A2" w:rsidP="00B262A2">
      <w:pPr>
        <w:jc w:val="both"/>
        <w:rPr>
          <w:sz w:val="28"/>
          <w:szCs w:val="28"/>
          <w:lang w:bidi="ar-EG"/>
        </w:rPr>
      </w:pPr>
      <w:r w:rsidRPr="000E2D76">
        <w:rPr>
          <w:sz w:val="28"/>
          <w:szCs w:val="28"/>
          <w:lang w:bidi="ar-EG"/>
        </w:rPr>
        <w:t xml:space="preserve">This study investigates the physicochemical and oxidative stability of sunflower oil-based </w:t>
      </w:r>
      <w:proofErr w:type="spellStart"/>
      <w:r w:rsidRPr="000E2D76">
        <w:rPr>
          <w:sz w:val="28"/>
          <w:szCs w:val="28"/>
          <w:lang w:bidi="ar-EG"/>
        </w:rPr>
        <w:t>oleogels</w:t>
      </w:r>
      <w:proofErr w:type="spellEnd"/>
      <w:r w:rsidRPr="000E2D76">
        <w:rPr>
          <w:sz w:val="28"/>
          <w:szCs w:val="28"/>
          <w:lang w:bidi="ar-EG"/>
        </w:rPr>
        <w:t xml:space="preserve"> structured with beeswax and sunflower wax as animal fat replacers in frankfurters. Specifically, it evaluates gelation time, oil binding capacity, firmness, thermal behavior, and lipid oxidation stability in order to assess the feasibility of using wax-based </w:t>
      </w:r>
      <w:proofErr w:type="spellStart"/>
      <w:r w:rsidRPr="000E2D76">
        <w:rPr>
          <w:sz w:val="28"/>
          <w:szCs w:val="28"/>
          <w:lang w:bidi="ar-EG"/>
        </w:rPr>
        <w:t>oleogels</w:t>
      </w:r>
      <w:proofErr w:type="spellEnd"/>
      <w:r w:rsidRPr="000E2D76">
        <w:rPr>
          <w:sz w:val="28"/>
          <w:szCs w:val="28"/>
          <w:lang w:bidi="ar-EG"/>
        </w:rPr>
        <w:t xml:space="preserve"> as functional fat replacers. We hypothesize that beeswax-based </w:t>
      </w:r>
      <w:proofErr w:type="spellStart"/>
      <w:r w:rsidRPr="000E2D76">
        <w:rPr>
          <w:sz w:val="28"/>
          <w:szCs w:val="28"/>
          <w:lang w:bidi="ar-EG"/>
        </w:rPr>
        <w:t>oleogels</w:t>
      </w:r>
      <w:proofErr w:type="spellEnd"/>
      <w:r w:rsidRPr="000E2D76">
        <w:rPr>
          <w:sz w:val="28"/>
          <w:szCs w:val="28"/>
          <w:lang w:bidi="ar-EG"/>
        </w:rPr>
        <w:t xml:space="preserve"> will exhibit superior structural integrity and oxidative resistance, while sunflower wax-based </w:t>
      </w:r>
      <w:proofErr w:type="spellStart"/>
      <w:r w:rsidRPr="000E2D76">
        <w:rPr>
          <w:sz w:val="28"/>
          <w:szCs w:val="28"/>
          <w:lang w:bidi="ar-EG"/>
        </w:rPr>
        <w:t>oleogels</w:t>
      </w:r>
      <w:proofErr w:type="spellEnd"/>
      <w:r w:rsidRPr="000E2D76">
        <w:rPr>
          <w:sz w:val="28"/>
          <w:szCs w:val="28"/>
          <w:lang w:bidi="ar-EG"/>
        </w:rPr>
        <w:t xml:space="preserve"> will improve </w:t>
      </w:r>
      <w:proofErr w:type="spellStart"/>
      <w:r w:rsidRPr="000E2D76">
        <w:rPr>
          <w:sz w:val="28"/>
          <w:szCs w:val="28"/>
          <w:lang w:bidi="ar-EG"/>
        </w:rPr>
        <w:t>spreadability</w:t>
      </w:r>
      <w:proofErr w:type="spellEnd"/>
      <w:r w:rsidRPr="000E2D76">
        <w:rPr>
          <w:sz w:val="28"/>
          <w:szCs w:val="28"/>
          <w:lang w:bidi="ar-EG"/>
        </w:rPr>
        <w:t xml:space="preserve"> and consumer acceptability. By understanding the impact of these </w:t>
      </w:r>
      <w:proofErr w:type="spellStart"/>
      <w:r w:rsidRPr="000E2D76">
        <w:rPr>
          <w:sz w:val="28"/>
          <w:szCs w:val="28"/>
          <w:lang w:bidi="ar-EG"/>
        </w:rPr>
        <w:t>oleogels</w:t>
      </w:r>
      <w:proofErr w:type="spellEnd"/>
      <w:r w:rsidRPr="000E2D76">
        <w:rPr>
          <w:sz w:val="28"/>
          <w:szCs w:val="28"/>
          <w:lang w:bidi="ar-EG"/>
        </w:rPr>
        <w:t xml:space="preserve"> on storage stability and sensory properties, this research aims to contribute to the development of healthier meat products with reduced saturated fat content, while maintaining desirable physicochemical characteristics.</w:t>
      </w:r>
    </w:p>
    <w:p w14:paraId="2C6261F2" w14:textId="77777777" w:rsidR="008A7244" w:rsidRPr="000E2D76" w:rsidRDefault="00B262A2" w:rsidP="00B262A2">
      <w:pPr>
        <w:jc w:val="both"/>
        <w:rPr>
          <w:sz w:val="28"/>
          <w:szCs w:val="28"/>
          <w:lang w:bidi="ar-EG"/>
        </w:rPr>
      </w:pPr>
      <w:r w:rsidRPr="000E2D76">
        <w:rPr>
          <w:sz w:val="28"/>
          <w:szCs w:val="28"/>
          <w:lang w:bidi="ar-EG"/>
        </w:rPr>
        <w:t xml:space="preserve">The findings of this study will provide valuable insights into the application of </w:t>
      </w:r>
      <w:proofErr w:type="spellStart"/>
      <w:r w:rsidRPr="000E2D76">
        <w:rPr>
          <w:sz w:val="28"/>
          <w:szCs w:val="28"/>
          <w:lang w:bidi="ar-EG"/>
        </w:rPr>
        <w:t>oleogels</w:t>
      </w:r>
      <w:proofErr w:type="spellEnd"/>
      <w:r w:rsidRPr="000E2D76">
        <w:rPr>
          <w:sz w:val="28"/>
          <w:szCs w:val="28"/>
          <w:lang w:bidi="ar-EG"/>
        </w:rPr>
        <w:t xml:space="preserve"> as innovative fat replacers in processed meats, bridging the gap between healthier formulations and industry requirements. If successful, these wax-structured </w:t>
      </w:r>
      <w:proofErr w:type="spellStart"/>
      <w:r w:rsidRPr="000E2D76">
        <w:rPr>
          <w:sz w:val="28"/>
          <w:szCs w:val="28"/>
          <w:lang w:bidi="ar-EG"/>
        </w:rPr>
        <w:t>oleogels</w:t>
      </w:r>
      <w:proofErr w:type="spellEnd"/>
      <w:r w:rsidRPr="000E2D76">
        <w:rPr>
          <w:sz w:val="28"/>
          <w:szCs w:val="28"/>
          <w:lang w:bidi="ar-EG"/>
        </w:rPr>
        <w:t xml:space="preserve"> could offer a viable strategy for reducing saturated fat in </w:t>
      </w:r>
      <w:r w:rsidRPr="000E2D76">
        <w:rPr>
          <w:sz w:val="28"/>
          <w:szCs w:val="28"/>
          <w:lang w:bidi="ar-EG"/>
        </w:rPr>
        <w:lastRenderedPageBreak/>
        <w:t xml:space="preserve">processed meats, addressing consumer demand for nutritionally improved, stable, and high-quality meat products. Future research may explore combinations of different structuring agents to further optimize </w:t>
      </w:r>
      <w:proofErr w:type="spellStart"/>
      <w:r w:rsidRPr="000E2D76">
        <w:rPr>
          <w:sz w:val="28"/>
          <w:szCs w:val="28"/>
          <w:lang w:bidi="ar-EG"/>
        </w:rPr>
        <w:t>oleogel</w:t>
      </w:r>
      <w:proofErr w:type="spellEnd"/>
      <w:r w:rsidRPr="000E2D76">
        <w:rPr>
          <w:sz w:val="28"/>
          <w:szCs w:val="28"/>
          <w:lang w:bidi="ar-EG"/>
        </w:rPr>
        <w:t xml:space="preserve"> functionality and expand their application in various food formulations.</w:t>
      </w:r>
    </w:p>
    <w:p w14:paraId="555454E8" w14:textId="77777777" w:rsidR="008A7244" w:rsidRPr="000E2D76" w:rsidRDefault="001D675B" w:rsidP="008A7244">
      <w:pPr>
        <w:jc w:val="both"/>
        <w:rPr>
          <w:b/>
          <w:bCs/>
          <w:sz w:val="28"/>
          <w:szCs w:val="28"/>
          <w:lang w:bidi="ar-EG"/>
        </w:rPr>
      </w:pPr>
      <w:r w:rsidRPr="000E2D76">
        <w:rPr>
          <w:b/>
          <w:bCs/>
          <w:sz w:val="28"/>
          <w:szCs w:val="28"/>
          <w:lang w:bidi="ar-EG"/>
        </w:rPr>
        <w:t xml:space="preserve">Materials and methods </w:t>
      </w:r>
    </w:p>
    <w:p w14:paraId="1F4A39E0" w14:textId="77777777" w:rsidR="001D675B" w:rsidRPr="000E2D76" w:rsidRDefault="001D675B" w:rsidP="008A7244">
      <w:pPr>
        <w:jc w:val="both"/>
        <w:rPr>
          <w:b/>
          <w:bCs/>
          <w:sz w:val="28"/>
          <w:szCs w:val="28"/>
          <w:lang w:bidi="ar-EG"/>
        </w:rPr>
      </w:pPr>
      <w:r w:rsidRPr="000E2D76">
        <w:rPr>
          <w:b/>
          <w:bCs/>
          <w:sz w:val="28"/>
          <w:szCs w:val="28"/>
          <w:lang w:bidi="ar-EG"/>
        </w:rPr>
        <w:t xml:space="preserve">Materials </w:t>
      </w:r>
    </w:p>
    <w:p w14:paraId="7D9B07EF" w14:textId="77777777" w:rsidR="001D675B" w:rsidRPr="000E2D76" w:rsidRDefault="001D675B" w:rsidP="001D675B">
      <w:pPr>
        <w:jc w:val="both"/>
        <w:rPr>
          <w:sz w:val="28"/>
          <w:szCs w:val="28"/>
          <w:lang w:bidi="ar-EG"/>
        </w:rPr>
      </w:pPr>
      <w:r w:rsidRPr="000E2D76">
        <w:rPr>
          <w:sz w:val="28"/>
          <w:szCs w:val="28"/>
          <w:lang w:bidi="ar-EG"/>
        </w:rPr>
        <w:t xml:space="preserve">The sunflower oil was obtained from Tanta Company of Oils and Soaps in Tanta City, Egypt. Beeswax and sunflower wax were provided by </w:t>
      </w:r>
      <w:proofErr w:type="spellStart"/>
      <w:r w:rsidRPr="000E2D76">
        <w:rPr>
          <w:sz w:val="28"/>
          <w:szCs w:val="28"/>
          <w:lang w:bidi="ar-EG"/>
        </w:rPr>
        <w:t>Kahlwax</w:t>
      </w:r>
      <w:proofErr w:type="spellEnd"/>
      <w:r w:rsidRPr="000E2D76">
        <w:rPr>
          <w:sz w:val="28"/>
          <w:szCs w:val="28"/>
          <w:lang w:bidi="ar-EG"/>
        </w:rPr>
        <w:t xml:space="preserve"> Co. (Kalh GmbH &amp; Co., Trittau, Germany). All standards, chemicals, and solvents used were of analytical grade and purchased from Sigma Chem. Co. (St. Louis, MO, USA) and Merck (Darmstadt, Germany).</w:t>
      </w:r>
      <w:r w:rsidR="0078445E" w:rsidRPr="000E2D76">
        <w:rPr>
          <w:sz w:val="28"/>
          <w:szCs w:val="28"/>
          <w:lang w:bidi="ar-EG"/>
        </w:rPr>
        <w:t xml:space="preserve"> Fresh meat, sheep fat and spices were optioned from local market at Tanta city </w:t>
      </w:r>
      <w:proofErr w:type="spellStart"/>
      <w:r w:rsidR="0078445E" w:rsidRPr="000E2D76">
        <w:rPr>
          <w:sz w:val="28"/>
          <w:szCs w:val="28"/>
          <w:lang w:bidi="ar-EG"/>
        </w:rPr>
        <w:t>ALGharbia</w:t>
      </w:r>
      <w:proofErr w:type="spellEnd"/>
      <w:r w:rsidR="0078445E" w:rsidRPr="000E2D76">
        <w:rPr>
          <w:sz w:val="28"/>
          <w:szCs w:val="28"/>
          <w:lang w:bidi="ar-EG"/>
        </w:rPr>
        <w:t xml:space="preserve"> government- Egypt.</w:t>
      </w:r>
    </w:p>
    <w:p w14:paraId="3F8C598E" w14:textId="77777777" w:rsidR="001D675B" w:rsidRPr="000E2D76" w:rsidRDefault="001D675B" w:rsidP="001D675B">
      <w:pPr>
        <w:jc w:val="both"/>
        <w:rPr>
          <w:b/>
          <w:bCs/>
          <w:sz w:val="28"/>
          <w:szCs w:val="28"/>
          <w:lang w:bidi="ar-EG"/>
        </w:rPr>
      </w:pPr>
      <w:r w:rsidRPr="000E2D76">
        <w:rPr>
          <w:b/>
          <w:bCs/>
          <w:sz w:val="28"/>
          <w:szCs w:val="28"/>
          <w:lang w:bidi="ar-EG"/>
        </w:rPr>
        <w:t xml:space="preserve">Methods </w:t>
      </w:r>
    </w:p>
    <w:p w14:paraId="06546EA3" w14:textId="77777777" w:rsidR="001D675B" w:rsidRPr="000E2D76" w:rsidRDefault="001D675B" w:rsidP="001D675B">
      <w:pPr>
        <w:rPr>
          <w:b/>
          <w:bCs/>
          <w:sz w:val="28"/>
          <w:szCs w:val="28"/>
          <w:lang w:bidi="ar-EG"/>
        </w:rPr>
      </w:pPr>
      <w:proofErr w:type="spellStart"/>
      <w:r w:rsidRPr="000E2D76">
        <w:rPr>
          <w:b/>
          <w:bCs/>
          <w:sz w:val="28"/>
          <w:szCs w:val="28"/>
          <w:lang w:bidi="ar-EG"/>
        </w:rPr>
        <w:t>Oleogel</w:t>
      </w:r>
      <w:proofErr w:type="spellEnd"/>
      <w:r w:rsidRPr="000E2D76">
        <w:rPr>
          <w:b/>
          <w:bCs/>
          <w:sz w:val="28"/>
          <w:szCs w:val="28"/>
          <w:lang w:bidi="ar-EG"/>
        </w:rPr>
        <w:t xml:space="preserve"> preparation</w:t>
      </w:r>
    </w:p>
    <w:p w14:paraId="702512B7" w14:textId="77777777" w:rsidR="0078445E" w:rsidRPr="000E2D76" w:rsidRDefault="00DF1E8A" w:rsidP="00DF1E8A">
      <w:pPr>
        <w:jc w:val="both"/>
        <w:rPr>
          <w:sz w:val="28"/>
          <w:szCs w:val="28"/>
          <w:lang w:bidi="ar-EG"/>
        </w:rPr>
      </w:pPr>
      <w:proofErr w:type="spellStart"/>
      <w:r w:rsidRPr="00DF1E8A">
        <w:rPr>
          <w:sz w:val="28"/>
          <w:szCs w:val="28"/>
          <w:lang w:bidi="ar-EG"/>
        </w:rPr>
        <w:t>Oleogel</w:t>
      </w:r>
      <w:proofErr w:type="spellEnd"/>
      <w:r w:rsidRPr="00DF1E8A">
        <w:rPr>
          <w:sz w:val="28"/>
          <w:szCs w:val="28"/>
          <w:lang w:bidi="ar-EG"/>
        </w:rPr>
        <w:t xml:space="preserve"> was prepared using </w:t>
      </w:r>
      <w:r>
        <w:rPr>
          <w:sz w:val="28"/>
          <w:szCs w:val="28"/>
          <w:lang w:bidi="ar-EG"/>
        </w:rPr>
        <w:t>bees and sunflower</w:t>
      </w:r>
      <w:r w:rsidRPr="00DF1E8A">
        <w:rPr>
          <w:sz w:val="28"/>
          <w:szCs w:val="28"/>
          <w:lang w:bidi="ar-EG"/>
        </w:rPr>
        <w:t xml:space="preserve"> waxes at concentrations of 6%, 8%, and 10% (based on the oil weight). To prepare the </w:t>
      </w:r>
      <w:proofErr w:type="spellStart"/>
      <w:r w:rsidRPr="00DF1E8A">
        <w:rPr>
          <w:sz w:val="28"/>
          <w:szCs w:val="28"/>
          <w:lang w:bidi="ar-EG"/>
        </w:rPr>
        <w:t>oleogel</w:t>
      </w:r>
      <w:proofErr w:type="spellEnd"/>
      <w:r w:rsidRPr="00DF1E8A">
        <w:rPr>
          <w:sz w:val="28"/>
          <w:szCs w:val="28"/>
          <w:lang w:bidi="ar-EG"/>
        </w:rPr>
        <w:t>, waxes were first melted separately in a glass beaker at 70˚C for 300 seconds in a water bath to ensure complete dissolution and uniform dispersion, avoiding issues such as clumping or incomplete incorporation that could lead to uneven gelation. The appropriate amount of oil was then added to the melted beeswax, and the mixture was heated to 70˚C and stirred at 900 rpm on a magnetic stirrer for 15 minutes to ensure thorough homogenization and interaction between the wax and oil molecules. This step promotes the formation of nucleation sites essential for crystallization during gelation</w:t>
      </w:r>
      <w:r>
        <w:rPr>
          <w:sz w:val="28"/>
          <w:szCs w:val="28"/>
          <w:lang w:bidi="ar-EG"/>
        </w:rPr>
        <w:t xml:space="preserve"> </w:t>
      </w:r>
      <w:r>
        <w:rPr>
          <w:sz w:val="28"/>
          <w:szCs w:val="28"/>
          <w:lang w:bidi="ar-EG"/>
        </w:rPr>
        <w:fldChar w:fldCharType="begin"/>
      </w:r>
      <w:r>
        <w:rPr>
          <w:sz w:val="28"/>
          <w:szCs w:val="28"/>
          <w:lang w:bidi="ar-EG"/>
        </w:rPr>
        <w:instrText xml:space="preserve"> ADDIN EN.CITE &lt;EndNote&gt;&lt;Cite&gt;&lt;Author&gt;Salama&lt;/Author&gt;&lt;Year&gt;2024&lt;/Year&gt;&lt;RecNum&gt;236&lt;/RecNum&gt;&lt;DisplayText&gt;(Salama et al., 2024)&lt;/DisplayText&gt;&lt;record&gt;&lt;rec-number&gt;236&lt;/rec-number&gt;&lt;foreign-keys&gt;&lt;key app="EN" db-id="ap9s050v8w5t9de9ezpvz92if2wepzzer2e2" timestamp="1738497441"&gt;236&lt;/key&gt;&lt;/foreign-keys&gt;&lt;ref-type name="Journal Article"&gt;17&lt;/ref-type&gt;&lt;contributors&gt;&lt;authors&gt;&lt;author&gt;Salama, Mohamed Abdelbaset&lt;/author&gt;&lt;author&gt;Abdin, Mohamed&lt;/author&gt;&lt;author&gt;Saleh, Mohamed N&lt;/author&gt;&lt;author&gt;El-Baset, Abd&lt;/author&gt;&lt;author&gt;Walid, S&lt;/author&gt;&lt;author&gt;Hendawy, Elsayed&lt;/author&gt;&lt;author&gt;Ibrahim, Awatif&lt;/author&gt;&lt;/authors&gt;&lt;/contributors&gt;&lt;titles&gt;&lt;title&gt;Preparation and Evaluation of Oleogels Incorporated with Moringa oleifera Leaves Extract in Biscuits Production&lt;/title&gt;&lt;secondary-title&gt;Food Technology Research Journal&lt;/secondary-title&gt;&lt;/titles&gt;&lt;periodical&gt;&lt;full-title&gt;Food Technology Research Journal&lt;/full-title&gt;&lt;/periodical&gt;&lt;pages&gt;1-15&lt;/pages&gt;&lt;volume&gt;4&lt;/volume&gt;&lt;number&gt;1&lt;/number&gt;&lt;dates&gt;&lt;year&gt;2024&lt;/year&gt;&lt;/dates&gt;&lt;isbn&gt;2974-3990&lt;/isbn&gt;&lt;urls&gt;&lt;/urls&gt;&lt;/record&gt;&lt;/Cite&gt;&lt;/EndNote&gt;</w:instrText>
      </w:r>
      <w:r>
        <w:rPr>
          <w:sz w:val="28"/>
          <w:szCs w:val="28"/>
          <w:lang w:bidi="ar-EG"/>
        </w:rPr>
        <w:fldChar w:fldCharType="separate"/>
      </w:r>
      <w:r>
        <w:rPr>
          <w:noProof/>
          <w:sz w:val="28"/>
          <w:szCs w:val="28"/>
          <w:lang w:bidi="ar-EG"/>
        </w:rPr>
        <w:t>(Salama et al., 2024)</w:t>
      </w:r>
      <w:r>
        <w:rPr>
          <w:sz w:val="28"/>
          <w:szCs w:val="28"/>
          <w:lang w:bidi="ar-EG"/>
        </w:rPr>
        <w:fldChar w:fldCharType="end"/>
      </w:r>
      <w:r w:rsidRPr="00DF1E8A">
        <w:rPr>
          <w:sz w:val="28"/>
          <w:szCs w:val="28"/>
          <w:lang w:bidi="ar-EG"/>
        </w:rPr>
        <w:t>. Finally, the mixture was left at 20±2˚C overnight for gelation and subsequently stored in the refrigerator at 4˚C to stabilize the structure.</w:t>
      </w:r>
    </w:p>
    <w:p w14:paraId="594BFCD3" w14:textId="77777777" w:rsidR="001D675B" w:rsidRPr="000E2D76" w:rsidRDefault="001D675B" w:rsidP="001D675B">
      <w:pPr>
        <w:jc w:val="both"/>
        <w:rPr>
          <w:b/>
          <w:bCs/>
          <w:sz w:val="28"/>
          <w:szCs w:val="28"/>
          <w:lang w:bidi="ar-EG"/>
        </w:rPr>
      </w:pPr>
      <w:proofErr w:type="spellStart"/>
      <w:r w:rsidRPr="000E2D76">
        <w:rPr>
          <w:b/>
          <w:bCs/>
          <w:sz w:val="28"/>
          <w:szCs w:val="28"/>
          <w:lang w:bidi="ar-EG"/>
        </w:rPr>
        <w:t>Physico</w:t>
      </w:r>
      <w:proofErr w:type="spellEnd"/>
      <w:r w:rsidRPr="000E2D76">
        <w:rPr>
          <w:b/>
          <w:bCs/>
          <w:sz w:val="28"/>
          <w:szCs w:val="28"/>
          <w:lang w:bidi="ar-EG"/>
        </w:rPr>
        <w:t xml:space="preserve">-Chemical properties of the prepared </w:t>
      </w:r>
      <w:proofErr w:type="spellStart"/>
      <w:r w:rsidRPr="000E2D76">
        <w:rPr>
          <w:b/>
          <w:bCs/>
          <w:sz w:val="28"/>
          <w:szCs w:val="28"/>
          <w:lang w:bidi="ar-EG"/>
        </w:rPr>
        <w:t>oleogels</w:t>
      </w:r>
      <w:proofErr w:type="spellEnd"/>
    </w:p>
    <w:p w14:paraId="532F1EB7" w14:textId="77777777" w:rsidR="001D675B" w:rsidRPr="000E2D76" w:rsidRDefault="001D675B" w:rsidP="001D675B">
      <w:pPr>
        <w:jc w:val="both"/>
        <w:rPr>
          <w:b/>
          <w:bCs/>
          <w:sz w:val="28"/>
          <w:szCs w:val="28"/>
          <w:lang w:bidi="ar-EG"/>
        </w:rPr>
      </w:pPr>
      <w:r w:rsidRPr="000E2D76">
        <w:rPr>
          <w:b/>
          <w:bCs/>
          <w:sz w:val="28"/>
          <w:szCs w:val="28"/>
          <w:lang w:bidi="ar-EG"/>
        </w:rPr>
        <w:t>Gelation time:</w:t>
      </w:r>
    </w:p>
    <w:p w14:paraId="51BA3A2E" w14:textId="77777777" w:rsidR="001D675B" w:rsidRPr="000E2D76" w:rsidRDefault="001D675B" w:rsidP="00DF1E8A">
      <w:pPr>
        <w:jc w:val="both"/>
        <w:rPr>
          <w:sz w:val="28"/>
          <w:szCs w:val="28"/>
          <w:lang w:bidi="ar-EG"/>
        </w:rPr>
      </w:pPr>
      <w:r w:rsidRPr="000E2D76">
        <w:rPr>
          <w:sz w:val="28"/>
          <w:szCs w:val="28"/>
          <w:lang w:bidi="ar-EG"/>
        </w:rPr>
        <w:t xml:space="preserve">The </w:t>
      </w:r>
      <w:proofErr w:type="spellStart"/>
      <w:r w:rsidRPr="000E2D76">
        <w:rPr>
          <w:sz w:val="28"/>
          <w:szCs w:val="28"/>
          <w:lang w:bidi="ar-EG"/>
        </w:rPr>
        <w:t>organogels</w:t>
      </w:r>
      <w:proofErr w:type="spellEnd"/>
      <w:r w:rsidRPr="000E2D76">
        <w:rPr>
          <w:sz w:val="28"/>
          <w:szCs w:val="28"/>
          <w:lang w:bidi="ar-EG"/>
        </w:rPr>
        <w:t xml:space="preserve"> in the filled glass tubes were melted completely in a water bath (90 °C) and kept 2 h for isothermal setting, then the tubes were taken out of the water bath into room temperature, and meantime a timer was started. When the tubes </w:t>
      </w:r>
      <w:r w:rsidRPr="000E2D76">
        <w:rPr>
          <w:sz w:val="28"/>
          <w:szCs w:val="28"/>
          <w:lang w:bidi="ar-EG"/>
        </w:rPr>
        <w:lastRenderedPageBreak/>
        <w:t xml:space="preserve">were turned 90° and no flow was observed, the time was recorded as the gelation time </w:t>
      </w:r>
      <w:r w:rsidR="00DF1E8A">
        <w:rPr>
          <w:sz w:val="28"/>
          <w:szCs w:val="28"/>
          <w:lang w:bidi="ar-EG"/>
        </w:rPr>
        <w:fldChar w:fldCharType="begin"/>
      </w:r>
      <w:r w:rsidR="00DF1E8A">
        <w:rPr>
          <w:sz w:val="28"/>
          <w:szCs w:val="28"/>
          <w:lang w:bidi="ar-EG"/>
        </w:rPr>
        <w:instrText xml:space="preserve"> ADDIN EN.CITE &lt;EndNote&gt;&lt;Cite&gt;&lt;Author&gt;Yılmaz&lt;/Author&gt;&lt;Year&gt;2015&lt;/Year&gt;&lt;RecNum&gt;304&lt;/RecNum&gt;&lt;DisplayText&gt;(Yılmaz &amp;amp; Öğütcü, 2015)&lt;/DisplayText&gt;&lt;record&gt;&lt;rec-number&gt;304&lt;/rec-number&gt;&lt;foreign-keys&gt;&lt;key app="EN" db-id="ap9s050v8w5t9de9ezpvz92if2wepzzer2e2" timestamp="1738602767"&gt;304&lt;/key&gt;&lt;/foreign-keys&gt;&lt;ref-type name="Journal Article"&gt;17&lt;/ref-type&gt;&lt;contributors&gt;&lt;authors&gt;&lt;author&gt;Yılmaz, Emin&lt;/author&gt;&lt;author&gt;Öğütcü, Mustafa&lt;/author&gt;&lt;/authors&gt;&lt;/contributors&gt;&lt;titles&gt;&lt;title&gt;The texture, sensory properties and stability of cookies prepared with wax oleogels&lt;/title&gt;&lt;secondary-title&gt;Food &amp;amp; function&lt;/secondary-title&gt;&lt;/titles&gt;&lt;periodical&gt;&lt;full-title&gt;Food &amp;amp; function&lt;/full-title&gt;&lt;/periodical&gt;&lt;pages&gt;1194-1204&lt;/pages&gt;&lt;volume&gt;6&lt;/volume&gt;&lt;number&gt;4&lt;/number&gt;&lt;dates&gt;&lt;year&gt;2015&lt;/year&gt;&lt;/dates&gt;&lt;urls&gt;&lt;/urls&gt;&lt;/record&gt;&lt;/Cite&gt;&lt;/EndNote&gt;</w:instrText>
      </w:r>
      <w:r w:rsidR="00DF1E8A">
        <w:rPr>
          <w:sz w:val="28"/>
          <w:szCs w:val="28"/>
          <w:lang w:bidi="ar-EG"/>
        </w:rPr>
        <w:fldChar w:fldCharType="separate"/>
      </w:r>
      <w:r w:rsidR="00DF1E8A">
        <w:rPr>
          <w:noProof/>
          <w:sz w:val="28"/>
          <w:szCs w:val="28"/>
          <w:lang w:bidi="ar-EG"/>
        </w:rPr>
        <w:t>(Yılmaz &amp; Öğütcü, 2015)</w:t>
      </w:r>
      <w:r w:rsidR="00DF1E8A">
        <w:rPr>
          <w:sz w:val="28"/>
          <w:szCs w:val="28"/>
          <w:lang w:bidi="ar-EG"/>
        </w:rPr>
        <w:fldChar w:fldCharType="end"/>
      </w:r>
      <w:r w:rsidRPr="000E2D76">
        <w:rPr>
          <w:sz w:val="28"/>
          <w:szCs w:val="28"/>
          <w:lang w:bidi="ar-EG"/>
        </w:rPr>
        <w:t>.</w:t>
      </w:r>
    </w:p>
    <w:p w14:paraId="7056DF88" w14:textId="77777777" w:rsidR="001D675B" w:rsidRPr="000E2D76" w:rsidRDefault="001D675B" w:rsidP="001D675B">
      <w:pPr>
        <w:jc w:val="both"/>
        <w:rPr>
          <w:b/>
          <w:bCs/>
          <w:sz w:val="28"/>
          <w:szCs w:val="28"/>
          <w:lang w:bidi="ar-EG"/>
        </w:rPr>
      </w:pPr>
      <w:r w:rsidRPr="000E2D76">
        <w:rPr>
          <w:b/>
          <w:bCs/>
          <w:sz w:val="28"/>
          <w:szCs w:val="28"/>
          <w:lang w:bidi="ar-EG"/>
        </w:rPr>
        <w:t>Oil binding capacity (OBC):</w:t>
      </w:r>
    </w:p>
    <w:p w14:paraId="4FCA6907" w14:textId="77777777" w:rsidR="001D675B" w:rsidRPr="000E2D76" w:rsidRDefault="001D675B" w:rsidP="00DF1E8A">
      <w:pPr>
        <w:jc w:val="both"/>
        <w:rPr>
          <w:sz w:val="28"/>
          <w:szCs w:val="28"/>
          <w:lang w:bidi="ar-EG"/>
        </w:rPr>
      </w:pPr>
      <w:r w:rsidRPr="000E2D76">
        <w:rPr>
          <w:sz w:val="28"/>
          <w:szCs w:val="28"/>
          <w:lang w:bidi="ar-EG"/>
        </w:rPr>
        <w:t xml:space="preserve">1 ml of the melted </w:t>
      </w:r>
      <w:proofErr w:type="spellStart"/>
      <w:r w:rsidRPr="000E2D76">
        <w:rPr>
          <w:sz w:val="28"/>
          <w:szCs w:val="28"/>
          <w:lang w:bidi="ar-EG"/>
        </w:rPr>
        <w:t>organogel</w:t>
      </w:r>
      <w:proofErr w:type="spellEnd"/>
      <w:r w:rsidRPr="000E2D76">
        <w:rPr>
          <w:sz w:val="28"/>
          <w:szCs w:val="28"/>
          <w:lang w:bidi="ar-EG"/>
        </w:rPr>
        <w:t xml:space="preserve"> was transferred into a pre-weighed Eppendorf tube (a) and then placed in a refrigerator at 4 </w:t>
      </w:r>
      <w:r w:rsidRPr="000E2D76">
        <w:rPr>
          <w:rFonts w:ascii="Cambria Math" w:hAnsi="Cambria Math" w:cs="Cambria Math"/>
          <w:sz w:val="28"/>
          <w:szCs w:val="28"/>
          <w:lang w:bidi="ar-EG"/>
        </w:rPr>
        <w:t>℃</w:t>
      </w:r>
      <w:r w:rsidRPr="000E2D76">
        <w:rPr>
          <w:sz w:val="28"/>
          <w:szCs w:val="28"/>
          <w:lang w:bidi="ar-EG"/>
        </w:rPr>
        <w:t xml:space="preserve"> for 1 hour. After refrigeration, the tube was weighed again (b). The tube was then centrifuged at 9,167 g for 15 minutes at room temperature (25 </w:t>
      </w:r>
      <w:r w:rsidRPr="000E2D76">
        <w:rPr>
          <w:rFonts w:ascii="Cambria Math" w:hAnsi="Cambria Math" w:cs="Cambria Math"/>
          <w:sz w:val="28"/>
          <w:szCs w:val="28"/>
          <w:lang w:bidi="ar-EG"/>
        </w:rPr>
        <w:t>℃</w:t>
      </w:r>
      <w:r w:rsidRPr="000E2D76">
        <w:rPr>
          <w:sz w:val="28"/>
          <w:szCs w:val="28"/>
          <w:lang w:bidi="ar-EG"/>
        </w:rPr>
        <w:t xml:space="preserve">). Following centrifugation, the tube was inverted onto a paper cloth to drain any excess liquid oil. After the drainage process, the tube was weighed once more (c) </w:t>
      </w:r>
      <w:r w:rsidR="00DF1E8A">
        <w:rPr>
          <w:sz w:val="28"/>
          <w:szCs w:val="28"/>
          <w:lang w:bidi="ar-EG"/>
        </w:rPr>
        <w:fldChar w:fldCharType="begin"/>
      </w:r>
      <w:r w:rsidR="00DF1E8A">
        <w:rPr>
          <w:sz w:val="28"/>
          <w:szCs w:val="28"/>
          <w:lang w:bidi="ar-EG"/>
        </w:rPr>
        <w:instrText xml:space="preserve"> ADDIN EN.CITE &lt;EndNote&gt;&lt;Cite&gt;&lt;Author&gt;Yılmaz&lt;/Author&gt;&lt;Year&gt;2015&lt;/Year&gt;&lt;RecNum&gt;304&lt;/RecNum&gt;&lt;DisplayText&gt;(Yılmaz &amp;amp; Öğütcü, 2015)&lt;/DisplayText&gt;&lt;record&gt;&lt;rec-number&gt;304&lt;/rec-number&gt;&lt;foreign-keys&gt;&lt;key app="EN" db-id="ap9s050v8w5t9de9ezpvz92if2wepzzer2e2" timestamp="1738602767"&gt;304&lt;/key&gt;&lt;/foreign-keys&gt;&lt;ref-type name="Journal Article"&gt;17&lt;/ref-type&gt;&lt;contributors&gt;&lt;authors&gt;&lt;author&gt;Yılmaz, Emin&lt;/author&gt;&lt;author&gt;Öğütcü, Mustafa&lt;/author&gt;&lt;/authors&gt;&lt;/contributors&gt;&lt;titles&gt;&lt;title&gt;The texture, sensory properties and stability of cookies prepared with wax oleogels&lt;/title&gt;&lt;secondary-title&gt;Food &amp;amp; function&lt;/secondary-title&gt;&lt;/titles&gt;&lt;periodical&gt;&lt;full-title&gt;Food &amp;amp; function&lt;/full-title&gt;&lt;/periodical&gt;&lt;pages&gt;1194-1204&lt;/pages&gt;&lt;volume&gt;6&lt;/volume&gt;&lt;number&gt;4&lt;/number&gt;&lt;dates&gt;&lt;year&gt;2015&lt;/year&gt;&lt;/dates&gt;&lt;urls&gt;&lt;/urls&gt;&lt;/record&gt;&lt;/Cite&gt;&lt;/EndNote&gt;</w:instrText>
      </w:r>
      <w:r w:rsidR="00DF1E8A">
        <w:rPr>
          <w:sz w:val="28"/>
          <w:szCs w:val="28"/>
          <w:lang w:bidi="ar-EG"/>
        </w:rPr>
        <w:fldChar w:fldCharType="separate"/>
      </w:r>
      <w:r w:rsidR="00DF1E8A">
        <w:rPr>
          <w:noProof/>
          <w:sz w:val="28"/>
          <w:szCs w:val="28"/>
          <w:lang w:bidi="ar-EG"/>
        </w:rPr>
        <w:t>(Yılmaz &amp; Öğütcü, 2015)</w:t>
      </w:r>
      <w:r w:rsidR="00DF1E8A">
        <w:rPr>
          <w:sz w:val="28"/>
          <w:szCs w:val="28"/>
          <w:lang w:bidi="ar-EG"/>
        </w:rPr>
        <w:fldChar w:fldCharType="end"/>
      </w:r>
      <w:r w:rsidRPr="000E2D76">
        <w:rPr>
          <w:sz w:val="28"/>
          <w:szCs w:val="28"/>
          <w:lang w:bidi="ar-EG"/>
        </w:rPr>
        <w:t>. The oil binding capacity (OBC) values were subsequently calculated using the specified equation.</w:t>
      </w:r>
    </w:p>
    <w:p w14:paraId="232C1EDE" w14:textId="77777777" w:rsidR="001D675B" w:rsidRPr="000E2D76" w:rsidRDefault="001D675B" w:rsidP="001D675B">
      <w:pPr>
        <w:jc w:val="both"/>
        <w:rPr>
          <w:sz w:val="28"/>
          <w:szCs w:val="28"/>
          <w:lang w:bidi="ar-EG"/>
        </w:rPr>
      </w:pPr>
      <w:r w:rsidRPr="000E2D76">
        <w:rPr>
          <w:sz w:val="28"/>
          <w:szCs w:val="28"/>
          <w:lang w:bidi="ar-EG"/>
        </w:rPr>
        <w:t>% Released oil = ((b-</w:t>
      </w:r>
      <w:proofErr w:type="gramStart"/>
      <w:r w:rsidRPr="000E2D76">
        <w:rPr>
          <w:sz w:val="28"/>
          <w:szCs w:val="28"/>
          <w:lang w:bidi="ar-EG"/>
        </w:rPr>
        <w:t>a)-(</w:t>
      </w:r>
      <w:proofErr w:type="gramEnd"/>
      <w:r w:rsidRPr="000E2D76">
        <w:rPr>
          <w:sz w:val="28"/>
          <w:szCs w:val="28"/>
          <w:lang w:bidi="ar-EG"/>
        </w:rPr>
        <w:t>c-a))/((b-a</w:t>
      </w:r>
      <w:proofErr w:type="gramStart"/>
      <w:r w:rsidRPr="000E2D76">
        <w:rPr>
          <w:sz w:val="28"/>
          <w:szCs w:val="28"/>
          <w:lang w:bidi="ar-EG"/>
        </w:rPr>
        <w:t>))  ×</w:t>
      </w:r>
      <w:proofErr w:type="gramEnd"/>
      <w:r w:rsidRPr="000E2D76">
        <w:rPr>
          <w:sz w:val="28"/>
          <w:szCs w:val="28"/>
          <w:lang w:bidi="ar-EG"/>
        </w:rPr>
        <w:t>100</w:t>
      </w:r>
    </w:p>
    <w:p w14:paraId="6EA8DEA5" w14:textId="77777777" w:rsidR="001D675B" w:rsidRPr="000E2D76" w:rsidRDefault="001D675B" w:rsidP="001D675B">
      <w:pPr>
        <w:jc w:val="both"/>
        <w:rPr>
          <w:sz w:val="28"/>
          <w:szCs w:val="28"/>
          <w:lang w:bidi="ar-EG"/>
        </w:rPr>
      </w:pPr>
      <w:r w:rsidRPr="000E2D76">
        <w:rPr>
          <w:sz w:val="28"/>
          <w:szCs w:val="28"/>
          <w:lang w:bidi="ar-EG"/>
        </w:rPr>
        <w:t>% OBC = 100 - % Released oil</w:t>
      </w:r>
    </w:p>
    <w:p w14:paraId="5F726264" w14:textId="77777777" w:rsidR="001D675B" w:rsidRPr="000E2D76" w:rsidRDefault="001D675B" w:rsidP="001D675B">
      <w:pPr>
        <w:rPr>
          <w:b/>
          <w:bCs/>
          <w:sz w:val="28"/>
          <w:szCs w:val="28"/>
          <w:lang w:bidi="ar-EG"/>
        </w:rPr>
      </w:pPr>
      <w:r w:rsidRPr="000E2D76">
        <w:rPr>
          <w:b/>
          <w:bCs/>
          <w:sz w:val="28"/>
          <w:szCs w:val="28"/>
          <w:lang w:bidi="ar-EG"/>
        </w:rPr>
        <w:t xml:space="preserve">Melting point: </w:t>
      </w:r>
    </w:p>
    <w:p w14:paraId="4235794F" w14:textId="77777777" w:rsidR="001D675B" w:rsidRPr="000E2D76" w:rsidRDefault="001D675B" w:rsidP="00DF1E8A">
      <w:pPr>
        <w:jc w:val="both"/>
        <w:rPr>
          <w:sz w:val="28"/>
          <w:szCs w:val="28"/>
          <w:lang w:bidi="ar-EG"/>
        </w:rPr>
      </w:pPr>
      <w:r w:rsidRPr="000E2D76">
        <w:rPr>
          <w:sz w:val="28"/>
          <w:szCs w:val="28"/>
          <w:lang w:bidi="ar-EG"/>
        </w:rPr>
        <w:t xml:space="preserve">Determination of the melting point of the </w:t>
      </w:r>
      <w:proofErr w:type="spellStart"/>
      <w:r w:rsidRPr="000E2D76">
        <w:rPr>
          <w:sz w:val="28"/>
          <w:szCs w:val="28"/>
          <w:lang w:bidi="ar-EG"/>
        </w:rPr>
        <w:t>oleogels</w:t>
      </w:r>
      <w:proofErr w:type="spellEnd"/>
      <w:r w:rsidRPr="000E2D76">
        <w:rPr>
          <w:sz w:val="28"/>
          <w:szCs w:val="28"/>
          <w:lang w:bidi="ar-EG"/>
        </w:rPr>
        <w:t xml:space="preserve"> was carried out following the method described by </w:t>
      </w:r>
      <w:r w:rsidR="00DF1E8A">
        <w:rPr>
          <w:sz w:val="28"/>
          <w:szCs w:val="28"/>
          <w:lang w:bidi="ar-EG"/>
        </w:rPr>
        <w:fldChar w:fldCharType="begin"/>
      </w:r>
      <w:r w:rsidR="00DF1E8A">
        <w:rPr>
          <w:sz w:val="28"/>
          <w:szCs w:val="28"/>
          <w:lang w:bidi="ar-EG"/>
        </w:rPr>
        <w:instrText xml:space="preserve"> ADDIN EN.CITE &lt;EndNote&gt;&lt;Cite AuthorYear="1"&gt;&lt;Author&gt;Zampouni&lt;/Author&gt;&lt;Year&gt;2022&lt;/Year&gt;&lt;RecNum&gt;305&lt;/RecNum&gt;&lt;DisplayText&gt;Zampouni et al. (2022)&lt;/DisplayText&gt;&lt;record&gt;&lt;rec-number&gt;305&lt;/rec-number&gt;&lt;foreign-keys&gt;&lt;key app="EN" db-id="ap9s050v8w5t9de9ezpvz92if2wepzzer2e2" timestamp="1738602869"&gt;305&lt;/key&gt;&lt;/foreign-keys&gt;&lt;ref-type name="Journal Article"&gt;17&lt;/ref-type&gt;&lt;contributors&gt;&lt;authors&gt;&lt;author&gt;Zampouni, K&lt;/author&gt;&lt;author&gt;Soniadis, A&lt;/author&gt;&lt;author&gt;Dimakopoulou-Papazoglou, D&lt;/author&gt;&lt;author&gt;Moschakis, T&lt;/author&gt;&lt;author&gt;Biliaderis, CG&lt;/author&gt;&lt;author&gt;Katsanidis, E&lt;/author&gt;&lt;/authors&gt;&lt;/contributors&gt;&lt;titles&gt;&lt;title&gt;Modified fermented sausages with olive oil oleogel and NaCl–KCl substitution for improved nutritional quality&lt;/title&gt;&lt;secondary-title&gt;Lwt&lt;/secondary-title&gt;&lt;/titles&gt;&lt;periodical&gt;&lt;full-title&gt;LWT&lt;/full-title&gt;&lt;/periodical&gt;&lt;pages&gt;113172&lt;/pages&gt;&lt;volume&gt;158&lt;/volume&gt;&lt;dates&gt;&lt;year&gt;2022&lt;/year&gt;&lt;/dates&gt;&lt;isbn&gt;0023-6438&lt;/isbn&gt;&lt;urls&gt;&lt;/urls&gt;&lt;/record&gt;&lt;/Cite&gt;&lt;/EndNote&gt;</w:instrText>
      </w:r>
      <w:r w:rsidR="00DF1E8A">
        <w:rPr>
          <w:sz w:val="28"/>
          <w:szCs w:val="28"/>
          <w:lang w:bidi="ar-EG"/>
        </w:rPr>
        <w:fldChar w:fldCharType="separate"/>
      </w:r>
      <w:r w:rsidR="00DF1E8A">
        <w:rPr>
          <w:noProof/>
          <w:sz w:val="28"/>
          <w:szCs w:val="28"/>
          <w:lang w:bidi="ar-EG"/>
        </w:rPr>
        <w:t>Zampouni et al. (2022)</w:t>
      </w:r>
      <w:r w:rsidR="00DF1E8A">
        <w:rPr>
          <w:sz w:val="28"/>
          <w:szCs w:val="28"/>
          <w:lang w:bidi="ar-EG"/>
        </w:rPr>
        <w:fldChar w:fldCharType="end"/>
      </w:r>
      <w:r w:rsidRPr="000E2D76">
        <w:rPr>
          <w:sz w:val="28"/>
          <w:szCs w:val="28"/>
          <w:lang w:bidi="ar-EG"/>
        </w:rPr>
        <w:t xml:space="preserve">. In brief, aliquots of molten </w:t>
      </w:r>
      <w:proofErr w:type="spellStart"/>
      <w:r w:rsidRPr="000E2D76">
        <w:rPr>
          <w:sz w:val="28"/>
          <w:szCs w:val="28"/>
          <w:lang w:bidi="ar-EG"/>
        </w:rPr>
        <w:t>oleogels</w:t>
      </w:r>
      <w:proofErr w:type="spellEnd"/>
      <w:r w:rsidRPr="000E2D76">
        <w:rPr>
          <w:sz w:val="28"/>
          <w:szCs w:val="28"/>
          <w:lang w:bidi="ar-EG"/>
        </w:rPr>
        <w:t xml:space="preserve"> (7 g) were transferred into glass tubes (10 mm diameter), and the same storage procedure was followed as in the rest of the analyses. The glass tubes were placed in a water bath at 38 °C and were heated at a constant rate of 1 °C/3 min until the samples were totally melted and were converted into a transparent liquid. During the heating process, two temperature readings were recorded: the softening point (when the sample began to soften) and the clearing point (when the sample became entirely clear and liquid-like). The melting point of the </w:t>
      </w:r>
      <w:proofErr w:type="spellStart"/>
      <w:r w:rsidRPr="000E2D76">
        <w:rPr>
          <w:sz w:val="28"/>
          <w:szCs w:val="28"/>
          <w:lang w:bidi="ar-EG"/>
        </w:rPr>
        <w:t>oleogels</w:t>
      </w:r>
      <w:proofErr w:type="spellEnd"/>
      <w:r w:rsidRPr="000E2D76">
        <w:rPr>
          <w:sz w:val="28"/>
          <w:szCs w:val="28"/>
          <w:lang w:bidi="ar-EG"/>
        </w:rPr>
        <w:t xml:space="preserve"> was reported as the average of the two temperature readings. </w:t>
      </w:r>
    </w:p>
    <w:p w14:paraId="187BA385" w14:textId="77777777" w:rsidR="001D675B" w:rsidRPr="000E2D76" w:rsidRDefault="001D675B" w:rsidP="001D675B">
      <w:pPr>
        <w:rPr>
          <w:b/>
          <w:bCs/>
          <w:sz w:val="28"/>
          <w:szCs w:val="28"/>
          <w:lang w:bidi="ar-EG"/>
        </w:rPr>
      </w:pPr>
      <w:r w:rsidRPr="000E2D76">
        <w:rPr>
          <w:b/>
          <w:bCs/>
          <w:sz w:val="28"/>
          <w:szCs w:val="28"/>
          <w:lang w:bidi="ar-EG"/>
        </w:rPr>
        <w:t xml:space="preserve">Firmness: </w:t>
      </w:r>
    </w:p>
    <w:p w14:paraId="5A3CD44C" w14:textId="77777777" w:rsidR="001D675B" w:rsidRPr="000E2D76" w:rsidRDefault="001D675B" w:rsidP="00DF1E8A">
      <w:pPr>
        <w:jc w:val="both"/>
        <w:rPr>
          <w:sz w:val="28"/>
          <w:szCs w:val="28"/>
          <w:lang w:bidi="ar-EG"/>
        </w:rPr>
      </w:pPr>
      <w:r w:rsidRPr="000E2D76">
        <w:rPr>
          <w:sz w:val="28"/>
          <w:szCs w:val="28"/>
          <w:lang w:bidi="ar-EG"/>
        </w:rPr>
        <w:t xml:space="preserve">The firmness of the </w:t>
      </w:r>
      <w:proofErr w:type="spellStart"/>
      <w:r w:rsidRPr="000E2D76">
        <w:rPr>
          <w:sz w:val="28"/>
          <w:szCs w:val="28"/>
          <w:lang w:bidi="ar-EG"/>
        </w:rPr>
        <w:t>oleogel</w:t>
      </w:r>
      <w:proofErr w:type="spellEnd"/>
      <w:r w:rsidRPr="000E2D76">
        <w:rPr>
          <w:sz w:val="28"/>
          <w:szCs w:val="28"/>
          <w:lang w:bidi="ar-EG"/>
        </w:rPr>
        <w:t xml:space="preserve"> samples was measured using a Texture </w:t>
      </w:r>
      <w:proofErr w:type="spellStart"/>
      <w:r w:rsidRPr="000E2D76">
        <w:rPr>
          <w:sz w:val="28"/>
          <w:szCs w:val="28"/>
          <w:lang w:bidi="ar-EG"/>
        </w:rPr>
        <w:t>Analyser</w:t>
      </w:r>
      <w:proofErr w:type="spellEnd"/>
      <w:r w:rsidRPr="000E2D76">
        <w:rPr>
          <w:sz w:val="28"/>
          <w:szCs w:val="28"/>
          <w:lang w:bidi="ar-EG"/>
        </w:rPr>
        <w:t xml:space="preserve"> (CT3 4500, Brookfield, USA) with a 12.7 mm diameter cylindrical probe at ambient temperature (~28 °C). The </w:t>
      </w:r>
      <w:proofErr w:type="spellStart"/>
      <w:r w:rsidRPr="000E2D76">
        <w:rPr>
          <w:sz w:val="28"/>
          <w:szCs w:val="28"/>
          <w:lang w:bidi="ar-EG"/>
        </w:rPr>
        <w:t>oleogel</w:t>
      </w:r>
      <w:proofErr w:type="spellEnd"/>
      <w:r w:rsidRPr="000E2D76">
        <w:rPr>
          <w:sz w:val="28"/>
          <w:szCs w:val="28"/>
          <w:lang w:bidi="ar-EG"/>
        </w:rPr>
        <w:t xml:space="preserve"> samples (30 g) were placed in a 50 mL glass beaker and stored in a fridge at 5 ºC for 24 h and then were directly taken one by one, penetrated at probe speed of 0.2 mm/s and penetration depth of 5 mm. The firmness was calculated as the maximum penetration force. All measurements were performed in triplicate </w:t>
      </w:r>
      <w:r w:rsidR="00DF1E8A">
        <w:rPr>
          <w:sz w:val="28"/>
          <w:szCs w:val="28"/>
          <w:lang w:bidi="ar-EG"/>
        </w:rPr>
        <w:fldChar w:fldCharType="begin"/>
      </w:r>
      <w:r w:rsidR="00DF1E8A">
        <w:rPr>
          <w:sz w:val="28"/>
          <w:szCs w:val="28"/>
          <w:lang w:bidi="ar-EG"/>
        </w:rPr>
        <w:instrText xml:space="preserve"> ADDIN EN.CITE &lt;EndNote&gt;&lt;Cite&gt;&lt;Author&gt;Yılmaz&lt;/Author&gt;&lt;Year&gt;2014&lt;/Year&gt;&lt;RecNum&gt;306&lt;/RecNum&gt;&lt;DisplayText&gt;(Yılmaz &amp;amp; Öğütcü, 2014)&lt;/DisplayText&gt;&lt;record&gt;&lt;rec-number&gt;306&lt;/rec-number&gt;&lt;foreign-keys&gt;&lt;key app="EN" db-id="ap9s050v8w5t9de9ezpvz92if2wepzzer2e2" timestamp="1738602927"&gt;306&lt;/key&gt;&lt;/foreign-keys&gt;&lt;ref-type name="Journal Article"&gt;17&lt;/ref-type&gt;&lt;contributors&gt;&lt;authors&gt;&lt;author&gt;Yılmaz, Emin&lt;/author&gt;&lt;author&gt;Öğütcü, Mustafa&lt;/author&gt;&lt;/authors&gt;&lt;/contributors&gt;&lt;titles&gt;&lt;title&gt;Properties and stability of hazelnut oil organogels with beeswax and monoglyceride&lt;/title&gt;&lt;secondary-title&gt;Journal of the American Oil Chemists&amp;apos; Society&lt;/secondary-title&gt;&lt;/titles&gt;&lt;periodical&gt;&lt;full-title&gt;Journal of the American Oil Chemists&amp;apos; Society&lt;/full-title&gt;&lt;/periodical&gt;&lt;pages&gt;1007-1017&lt;/pages&gt;&lt;volume&gt;91&lt;/volume&gt;&lt;number&gt;6&lt;/number&gt;&lt;dates&gt;&lt;year&gt;2014&lt;/year&gt;&lt;/dates&gt;&lt;isbn&gt;0003-021X&lt;/isbn&gt;&lt;urls&gt;&lt;/urls&gt;&lt;/record&gt;&lt;/Cite&gt;&lt;/EndNote&gt;</w:instrText>
      </w:r>
      <w:r w:rsidR="00DF1E8A">
        <w:rPr>
          <w:sz w:val="28"/>
          <w:szCs w:val="28"/>
          <w:lang w:bidi="ar-EG"/>
        </w:rPr>
        <w:fldChar w:fldCharType="separate"/>
      </w:r>
      <w:r w:rsidR="00DF1E8A">
        <w:rPr>
          <w:noProof/>
          <w:sz w:val="28"/>
          <w:szCs w:val="28"/>
          <w:lang w:bidi="ar-EG"/>
        </w:rPr>
        <w:t>(Yılmaz &amp; Öğütcü, 2014)</w:t>
      </w:r>
      <w:r w:rsidR="00DF1E8A">
        <w:rPr>
          <w:sz w:val="28"/>
          <w:szCs w:val="28"/>
          <w:lang w:bidi="ar-EG"/>
        </w:rPr>
        <w:fldChar w:fldCharType="end"/>
      </w:r>
      <w:r w:rsidRPr="000E2D76">
        <w:rPr>
          <w:sz w:val="28"/>
          <w:szCs w:val="28"/>
          <w:lang w:bidi="ar-EG"/>
        </w:rPr>
        <w:t>.</w:t>
      </w:r>
    </w:p>
    <w:p w14:paraId="6AA93D2D" w14:textId="77777777" w:rsidR="001D675B" w:rsidRPr="000E2D76" w:rsidRDefault="001D675B" w:rsidP="001D675B">
      <w:pPr>
        <w:rPr>
          <w:b/>
          <w:bCs/>
          <w:sz w:val="28"/>
          <w:szCs w:val="28"/>
          <w:lang w:bidi="ar-EG"/>
        </w:rPr>
      </w:pPr>
      <w:r w:rsidRPr="000E2D76">
        <w:rPr>
          <w:b/>
          <w:bCs/>
          <w:sz w:val="28"/>
          <w:szCs w:val="28"/>
          <w:lang w:bidi="ar-EG"/>
        </w:rPr>
        <w:lastRenderedPageBreak/>
        <w:t xml:space="preserve">Viscosity of </w:t>
      </w:r>
      <w:proofErr w:type="spellStart"/>
      <w:r w:rsidRPr="000E2D76">
        <w:rPr>
          <w:b/>
          <w:bCs/>
          <w:sz w:val="28"/>
          <w:szCs w:val="28"/>
          <w:lang w:bidi="ar-EG"/>
        </w:rPr>
        <w:t>oleogels</w:t>
      </w:r>
      <w:proofErr w:type="spellEnd"/>
    </w:p>
    <w:p w14:paraId="799CD1D1" w14:textId="77777777" w:rsidR="001D675B" w:rsidRPr="000E2D76" w:rsidRDefault="001D675B" w:rsidP="00DF1E8A">
      <w:pPr>
        <w:jc w:val="both"/>
        <w:rPr>
          <w:sz w:val="28"/>
          <w:szCs w:val="28"/>
          <w:lang w:bidi="ar-EG"/>
        </w:rPr>
      </w:pPr>
      <w:r w:rsidRPr="000E2D76">
        <w:rPr>
          <w:sz w:val="28"/>
          <w:szCs w:val="28"/>
          <w:lang w:bidi="ar-EG"/>
        </w:rPr>
        <w:t xml:space="preserve">The viscosity of the samples (gel A and gel B) was determined using a Viscometer (LR Lamy Rheology instrument). The samples were first melted in a water bath at 80 °C. Once fully melted, the </w:t>
      </w:r>
      <w:proofErr w:type="spellStart"/>
      <w:r w:rsidRPr="000E2D76">
        <w:rPr>
          <w:sz w:val="28"/>
          <w:szCs w:val="28"/>
          <w:lang w:bidi="ar-EG"/>
        </w:rPr>
        <w:t>oleogel</w:t>
      </w:r>
      <w:proofErr w:type="spellEnd"/>
      <w:r w:rsidRPr="000E2D76">
        <w:rPr>
          <w:sz w:val="28"/>
          <w:szCs w:val="28"/>
          <w:lang w:bidi="ar-EG"/>
        </w:rPr>
        <w:t xml:space="preserve"> samples were transferred to the viscometer’s sample cell, and their viscosity was recorded as the temperature gradually decreased from 80 °C to 20 °C at a rate of approximately 1 °C per minute. The viscosity values were then plotted against the corresponding temperatures </w:t>
      </w:r>
      <w:r w:rsidR="00DF1E8A">
        <w:rPr>
          <w:sz w:val="28"/>
          <w:szCs w:val="28"/>
          <w:lang w:bidi="ar-EG"/>
        </w:rPr>
        <w:fldChar w:fldCharType="begin"/>
      </w:r>
      <w:r w:rsidR="00DF1E8A">
        <w:rPr>
          <w:sz w:val="28"/>
          <w:szCs w:val="28"/>
          <w:lang w:bidi="ar-EG"/>
        </w:rPr>
        <w:instrText xml:space="preserve"> ADDIN EN.CITE &lt;EndNote&gt;&lt;Cite&gt;&lt;Author&gt;Sahu&lt;/Author&gt;&lt;Year&gt;2020&lt;/Year&gt;&lt;RecNum&gt;307&lt;/RecNum&gt;&lt;DisplayText&gt;(Sahu, Ghosh, &amp;amp; Bhattacharyya, 2020)&lt;/DisplayText&gt;&lt;record&gt;&lt;rec-number&gt;307&lt;/rec-number&gt;&lt;foreign-keys&gt;&lt;key app="EN" db-id="ap9s050v8w5t9de9ezpvz92if2wepzzer2e2" timestamp="1738603042"&gt;307&lt;/key&gt;&lt;/foreign-keys&gt;&lt;ref-type name="Journal Article"&gt;17&lt;/ref-type&gt;&lt;contributors&gt;&lt;authors&gt;&lt;author&gt;Sahu, S&lt;/author&gt;&lt;author&gt;Ghosh, M&lt;/author&gt;&lt;author&gt;Bhattacharyya, DK&lt;/author&gt;&lt;/authors&gt;&lt;/contributors&gt;&lt;titles&gt;&lt;title&gt;Utilization of unsaponifiable matter from rice bran oil fatty acid distillate for preparing an antioxidant-rich oleogel and evaluation of its properties&lt;/title&gt;&lt;secondary-title&gt;Grasas y Aceites&lt;/secondary-title&gt;&lt;/titles&gt;&lt;periodical&gt;&lt;full-title&gt;Grasas Y Aceites&lt;/full-title&gt;&lt;/periodical&gt;&lt;pages&gt;a336-a336&lt;/pages&gt;&lt;volume&gt;71&lt;/volume&gt;&lt;number&gt;1&lt;/number&gt;&lt;dates&gt;&lt;year&gt;2020&lt;/year&gt;&lt;/dates&gt;&lt;isbn&gt;1988-4214&lt;/isbn&gt;&lt;urls&gt;&lt;/urls&gt;&lt;/record&gt;&lt;/Cite&gt;&lt;/EndNote&gt;</w:instrText>
      </w:r>
      <w:r w:rsidR="00DF1E8A">
        <w:rPr>
          <w:sz w:val="28"/>
          <w:szCs w:val="28"/>
          <w:lang w:bidi="ar-EG"/>
        </w:rPr>
        <w:fldChar w:fldCharType="separate"/>
      </w:r>
      <w:r w:rsidR="00DF1E8A">
        <w:rPr>
          <w:noProof/>
          <w:sz w:val="28"/>
          <w:szCs w:val="28"/>
          <w:lang w:bidi="ar-EG"/>
        </w:rPr>
        <w:t>(Sahu, Ghosh, &amp; Bhattacharyya, 2020)</w:t>
      </w:r>
      <w:r w:rsidR="00DF1E8A">
        <w:rPr>
          <w:sz w:val="28"/>
          <w:szCs w:val="28"/>
          <w:lang w:bidi="ar-EG"/>
        </w:rPr>
        <w:fldChar w:fldCharType="end"/>
      </w:r>
      <w:r w:rsidRPr="000E2D76">
        <w:rPr>
          <w:sz w:val="28"/>
          <w:szCs w:val="28"/>
          <w:lang w:bidi="ar-EG"/>
        </w:rPr>
        <w:t>.</w:t>
      </w:r>
    </w:p>
    <w:p w14:paraId="102A4367" w14:textId="77777777" w:rsidR="001D675B" w:rsidRPr="000E2D76" w:rsidRDefault="00F463BE" w:rsidP="00F463BE">
      <w:pPr>
        <w:jc w:val="both"/>
        <w:rPr>
          <w:b/>
          <w:bCs/>
          <w:sz w:val="28"/>
          <w:szCs w:val="28"/>
          <w:lang w:bidi="ar-EG"/>
        </w:rPr>
      </w:pPr>
      <w:r>
        <w:rPr>
          <w:b/>
          <w:bCs/>
          <w:sz w:val="28"/>
          <w:szCs w:val="28"/>
          <w:lang w:bidi="ar-EG"/>
        </w:rPr>
        <w:t xml:space="preserve">Determination of </w:t>
      </w:r>
      <w:r w:rsidR="001D675B" w:rsidRPr="000E2D76">
        <w:rPr>
          <w:b/>
          <w:bCs/>
          <w:sz w:val="28"/>
          <w:szCs w:val="28"/>
          <w:lang w:bidi="ar-EG"/>
        </w:rPr>
        <w:t>Colors:</w:t>
      </w:r>
    </w:p>
    <w:p w14:paraId="40687F4A" w14:textId="77777777" w:rsidR="001D675B" w:rsidRPr="000E2D76" w:rsidRDefault="001D675B" w:rsidP="0022634F">
      <w:pPr>
        <w:jc w:val="both"/>
        <w:rPr>
          <w:sz w:val="28"/>
          <w:szCs w:val="28"/>
          <w:lang w:bidi="ar-EG"/>
        </w:rPr>
      </w:pPr>
      <w:r w:rsidRPr="000E2D76">
        <w:rPr>
          <w:sz w:val="28"/>
          <w:szCs w:val="28"/>
          <w:lang w:bidi="ar-EG"/>
        </w:rPr>
        <w:t>Colors were measured with Minolta CR-400 (Konica Minolta Sensing, Osaka, Japan) colorimeter according to CIE standards, and the L, a*, and b* values were recorded.</w:t>
      </w:r>
    </w:p>
    <w:p w14:paraId="03E80E8E" w14:textId="77777777" w:rsidR="001D675B" w:rsidRPr="000E2D76" w:rsidRDefault="001D675B" w:rsidP="001D675B">
      <w:pPr>
        <w:rPr>
          <w:b/>
          <w:bCs/>
          <w:sz w:val="28"/>
          <w:szCs w:val="28"/>
          <w:lang w:bidi="ar-EG"/>
        </w:rPr>
      </w:pPr>
      <w:r w:rsidRPr="000E2D76">
        <w:rPr>
          <w:b/>
          <w:bCs/>
          <w:sz w:val="28"/>
          <w:szCs w:val="28"/>
          <w:lang w:bidi="ar-EG"/>
        </w:rPr>
        <w:t>Fatty acids composition:</w:t>
      </w:r>
    </w:p>
    <w:p w14:paraId="78831ACD" w14:textId="77777777" w:rsidR="001D675B" w:rsidRPr="000E2D76" w:rsidRDefault="001D675B" w:rsidP="0022634F">
      <w:pPr>
        <w:jc w:val="both"/>
        <w:rPr>
          <w:sz w:val="28"/>
          <w:szCs w:val="28"/>
          <w:lang w:bidi="ar-EG"/>
        </w:rPr>
      </w:pPr>
      <w:r w:rsidRPr="000E2D76">
        <w:rPr>
          <w:sz w:val="28"/>
          <w:szCs w:val="28"/>
          <w:lang w:bidi="ar-EG"/>
        </w:rPr>
        <w:t xml:space="preserve">Fatty acids profiling was conducted by analyzing their corresponding methyl esters through gas chromatography. A </w:t>
      </w:r>
      <w:proofErr w:type="spellStart"/>
      <w:r w:rsidRPr="000E2D76">
        <w:rPr>
          <w:sz w:val="28"/>
          <w:szCs w:val="28"/>
          <w:lang w:bidi="ar-EG"/>
        </w:rPr>
        <w:t>CPWax</w:t>
      </w:r>
      <w:proofErr w:type="spellEnd"/>
      <w:r w:rsidRPr="000E2D76">
        <w:rPr>
          <w:sz w:val="28"/>
          <w:szCs w:val="28"/>
          <w:lang w:bidi="ar-EG"/>
        </w:rPr>
        <w:t xml:space="preserve"> 52CB column, measuring 30 meters in length with an inner diameter of 0.25 millimeters and a film thickness of 0.25 µm, was employed for this purpose. Helium served as the carrier gas, flowing at a rate of 1 mL per minute. The temperature settings for the oven, injector, and detector were established at 170 °C, 200 °C, and 230 °C, respectively. Each analysis involved the injection of 1 µL of the sample in a split mode with a split ratio of 1:50 </w:t>
      </w:r>
      <w:r w:rsidR="0022634F">
        <w:rPr>
          <w:sz w:val="28"/>
          <w:szCs w:val="28"/>
          <w:lang w:bidi="ar-EG"/>
        </w:rPr>
        <w:fldChar w:fldCharType="begin"/>
      </w:r>
      <w:r w:rsidR="0022634F">
        <w:rPr>
          <w:sz w:val="28"/>
          <w:szCs w:val="28"/>
          <w:lang w:bidi="ar-EG"/>
        </w:rPr>
        <w:instrText xml:space="preserve"> ADDIN EN.CITE &lt;EndNote&gt;&lt;Cite&gt;&lt;Author&gt;Besbes&lt;/Author&gt;&lt;Year&gt;2004&lt;/Year&gt;&lt;RecNum&gt;308&lt;/RecNum&gt;&lt;DisplayText&gt;(Besbes et al., 2004)&lt;/DisplayText&gt;&lt;record&gt;&lt;rec-number&gt;308&lt;/rec-number&gt;&lt;foreign-keys&gt;&lt;key app="EN" db-id="ap9s050v8w5t9de9ezpvz92if2wepzzer2e2" timestamp="1738604264"&gt;308&lt;/key&gt;&lt;/foreign-keys&gt;&lt;ref-type name="Journal Article"&gt;17&lt;/ref-type&gt;&lt;contributors&gt;&lt;authors&gt;&lt;author&gt;Besbes, Souhail&lt;/author&gt;&lt;author&gt;Blecker, Christophe&lt;/author&gt;&lt;author&gt;Deroanne, Claude&lt;/author&gt;&lt;author&gt;Lognay, Georges&lt;/author&gt;&lt;author&gt;Drira, NE&lt;/author&gt;&lt;author&gt;Attia, H&lt;/author&gt;&lt;/authors&gt;&lt;/contributors&gt;&lt;titles&gt;&lt;title&gt;Quality characteristics and oxidative stability of date seed oil during storage&lt;/title&gt;&lt;secondary-title&gt;Food science and technology international&lt;/secondary-title&gt;&lt;/titles&gt;&lt;periodical&gt;&lt;full-title&gt;Food science and technology international&lt;/full-title&gt;&lt;/periodical&gt;&lt;pages&gt;333-338&lt;/pages&gt;&lt;volume&gt;10&lt;/volume&gt;&lt;number&gt;5&lt;/number&gt;&lt;dates&gt;&lt;year&gt;2004&lt;/year&gt;&lt;/dates&gt;&lt;isbn&gt;1082-0132&lt;/isbn&gt;&lt;urls&gt;&lt;/urls&gt;&lt;/record&gt;&lt;/Cite&gt;&lt;/EndNote&gt;</w:instrText>
      </w:r>
      <w:r w:rsidR="0022634F">
        <w:rPr>
          <w:sz w:val="28"/>
          <w:szCs w:val="28"/>
          <w:lang w:bidi="ar-EG"/>
        </w:rPr>
        <w:fldChar w:fldCharType="separate"/>
      </w:r>
      <w:r w:rsidR="0022634F">
        <w:rPr>
          <w:noProof/>
          <w:sz w:val="28"/>
          <w:szCs w:val="28"/>
          <w:lang w:bidi="ar-EG"/>
        </w:rPr>
        <w:t>(Besbes et al., 2004)</w:t>
      </w:r>
      <w:r w:rsidR="0022634F">
        <w:rPr>
          <w:sz w:val="28"/>
          <w:szCs w:val="28"/>
          <w:lang w:bidi="ar-EG"/>
        </w:rPr>
        <w:fldChar w:fldCharType="end"/>
      </w:r>
      <w:r w:rsidRPr="000E2D76">
        <w:rPr>
          <w:sz w:val="28"/>
          <w:szCs w:val="28"/>
          <w:lang w:bidi="ar-EG"/>
        </w:rPr>
        <w:t>.</w:t>
      </w:r>
    </w:p>
    <w:p w14:paraId="58A813AC" w14:textId="77777777" w:rsidR="001D675B" w:rsidRPr="000E2D76" w:rsidRDefault="001D675B" w:rsidP="001D675B">
      <w:pPr>
        <w:rPr>
          <w:b/>
          <w:bCs/>
          <w:sz w:val="28"/>
          <w:szCs w:val="28"/>
          <w:lang w:bidi="ar-EG"/>
        </w:rPr>
      </w:pPr>
      <w:r w:rsidRPr="000E2D76">
        <w:rPr>
          <w:b/>
          <w:bCs/>
          <w:sz w:val="28"/>
          <w:szCs w:val="28"/>
          <w:lang w:bidi="ar-EG"/>
        </w:rPr>
        <w:t xml:space="preserve">Phenolics extraction from </w:t>
      </w:r>
      <w:proofErr w:type="spellStart"/>
      <w:r w:rsidRPr="000E2D76">
        <w:rPr>
          <w:b/>
          <w:bCs/>
          <w:sz w:val="28"/>
          <w:szCs w:val="28"/>
          <w:lang w:bidi="ar-EG"/>
        </w:rPr>
        <w:t>oleogel</w:t>
      </w:r>
      <w:proofErr w:type="spellEnd"/>
      <w:r w:rsidRPr="000E2D76">
        <w:rPr>
          <w:b/>
          <w:bCs/>
          <w:sz w:val="28"/>
          <w:szCs w:val="28"/>
          <w:lang w:bidi="ar-EG"/>
        </w:rPr>
        <w:t>:</w:t>
      </w:r>
    </w:p>
    <w:p w14:paraId="43078839" w14:textId="77777777" w:rsidR="001D675B" w:rsidRPr="000E2D76" w:rsidRDefault="001D675B" w:rsidP="0022634F">
      <w:pPr>
        <w:jc w:val="both"/>
        <w:rPr>
          <w:sz w:val="28"/>
          <w:szCs w:val="28"/>
          <w:lang w:bidi="ar-EG"/>
        </w:rPr>
      </w:pPr>
      <w:r w:rsidRPr="000E2D76">
        <w:rPr>
          <w:sz w:val="28"/>
          <w:szCs w:val="28"/>
          <w:lang w:bidi="ar-EG"/>
        </w:rPr>
        <w:t xml:space="preserve">In this extraction procedure, 50 g of </w:t>
      </w:r>
      <w:proofErr w:type="spellStart"/>
      <w:r w:rsidRPr="000E2D76">
        <w:rPr>
          <w:sz w:val="28"/>
          <w:szCs w:val="28"/>
          <w:lang w:bidi="ar-EG"/>
        </w:rPr>
        <w:t>oleogel</w:t>
      </w:r>
      <w:proofErr w:type="spellEnd"/>
      <w:r w:rsidRPr="000E2D76">
        <w:rPr>
          <w:sz w:val="28"/>
          <w:szCs w:val="28"/>
          <w:lang w:bidi="ar-EG"/>
        </w:rPr>
        <w:t xml:space="preserve"> were processed through a glass column packed with silica gel (60-Å pore diameter) following </w:t>
      </w:r>
      <w:r w:rsidR="0022634F">
        <w:rPr>
          <w:sz w:val="28"/>
          <w:szCs w:val="28"/>
          <w:lang w:bidi="ar-EG"/>
        </w:rPr>
        <w:fldChar w:fldCharType="begin"/>
      </w:r>
      <w:r w:rsidR="0022634F">
        <w:rPr>
          <w:sz w:val="28"/>
          <w:szCs w:val="28"/>
          <w:lang w:bidi="ar-EG"/>
        </w:rPr>
        <w:instrText xml:space="preserve"> ADDIN EN.CITE &lt;EndNote&gt;&lt;Cite AuthorYear="1"&gt;&lt;Author&gt;Steel&lt;/Author&gt;&lt;Year&gt;2005&lt;/Year&gt;&lt;RecNum&gt;238&lt;/RecNum&gt;&lt;DisplayText&gt;Steel, Dobarganes, and Barrera-Arellano (2005)&lt;/DisplayText&gt;&lt;record&gt;&lt;rec-number&gt;238&lt;/rec-number&gt;&lt;foreign-keys&gt;&lt;key app="EN" db-id="ap9s050v8w5t9de9ezpvz92if2wepzzer2e2" timestamp="1738512236"&gt;238&lt;/key&gt;&lt;/foreign-keys&gt;&lt;ref-type name="Journal Article"&gt;17&lt;/ref-type&gt;&lt;contributors&gt;&lt;authors&gt;&lt;author&gt;Steel, Caroline J&lt;/author&gt;&lt;author&gt;Dobarganes, M Carmen&lt;/author&gt;&lt;author&gt;Barrera-Arellano, Daniel&lt;/author&gt;&lt;/authors&gt;&lt;/contributors&gt;&lt;titles&gt;&lt;title&gt;The influence of natural tocopherols during thermal oxidation of refined and partially hydrogenated soybean oils&lt;/title&gt;&lt;secondary-title&gt;Grasas y Aceites&lt;/secondary-title&gt;&lt;/titles&gt;&lt;periodical&gt;&lt;full-title&gt;Grasas Y Aceites&lt;/full-title&gt;&lt;/periodical&gt;&lt;pages&gt;46-52&lt;/pages&gt;&lt;volume&gt;56&lt;/volume&gt;&lt;number&gt;1&lt;/number&gt;&lt;dates&gt;&lt;year&gt;2005&lt;/year&gt;&lt;/dates&gt;&lt;isbn&gt;1988-4214&lt;/isbn&gt;&lt;urls&gt;&lt;/urls&gt;&lt;/record&gt;&lt;/Cite&gt;&lt;/EndNote&gt;</w:instrText>
      </w:r>
      <w:r w:rsidR="0022634F">
        <w:rPr>
          <w:sz w:val="28"/>
          <w:szCs w:val="28"/>
          <w:lang w:bidi="ar-EG"/>
        </w:rPr>
        <w:fldChar w:fldCharType="separate"/>
      </w:r>
      <w:r w:rsidR="0022634F">
        <w:rPr>
          <w:noProof/>
          <w:sz w:val="28"/>
          <w:szCs w:val="28"/>
          <w:lang w:bidi="ar-EG"/>
        </w:rPr>
        <w:t>Steel, Dobarganes, and Barrera-Arellano (2005)</w:t>
      </w:r>
      <w:r w:rsidR="0022634F">
        <w:rPr>
          <w:sz w:val="28"/>
          <w:szCs w:val="28"/>
          <w:lang w:bidi="ar-EG"/>
        </w:rPr>
        <w:fldChar w:fldCharType="end"/>
      </w:r>
      <w:r w:rsidRPr="000E2D76">
        <w:rPr>
          <w:sz w:val="28"/>
          <w:szCs w:val="28"/>
          <w:lang w:bidi="ar-EG"/>
        </w:rPr>
        <w:t xml:space="preserve"> method. The column is initially conditioned with a hexane and methanol (1:1 </w:t>
      </w:r>
      <w:proofErr w:type="gramStart"/>
      <w:r w:rsidRPr="000E2D76">
        <w:rPr>
          <w:sz w:val="28"/>
          <w:szCs w:val="28"/>
          <w:lang w:bidi="ar-EG"/>
        </w:rPr>
        <w:t>V:V</w:t>
      </w:r>
      <w:proofErr w:type="gramEnd"/>
      <w:r w:rsidRPr="000E2D76">
        <w:rPr>
          <w:sz w:val="28"/>
          <w:szCs w:val="28"/>
          <w:lang w:bidi="ar-EG"/>
        </w:rPr>
        <w:t xml:space="preserve">) mixture and subsequently washed with hexane and ethyl acetate (9:1 </w:t>
      </w:r>
      <w:proofErr w:type="gramStart"/>
      <w:r w:rsidRPr="000E2D76">
        <w:rPr>
          <w:sz w:val="28"/>
          <w:szCs w:val="28"/>
          <w:lang w:bidi="ar-EG"/>
        </w:rPr>
        <w:t>V:V</w:t>
      </w:r>
      <w:proofErr w:type="gramEnd"/>
      <w:r w:rsidRPr="000E2D76">
        <w:rPr>
          <w:sz w:val="28"/>
          <w:szCs w:val="28"/>
          <w:lang w:bidi="ar-EG"/>
        </w:rPr>
        <w:t>) to prepare it for sample introduction. The oil sample, dissolved in hexane, is introduced into the column, where the phenolic fraction is extracted into methanol. After passing through the column, the extract is collected and the solvent is removed under vacuum at 40 ⁰C to yield a concentrated extract. These extracts are stored at -20 ⁰C after flushing with nitrogen to prevent oxidation.</w:t>
      </w:r>
    </w:p>
    <w:p w14:paraId="1301CB46" w14:textId="77777777" w:rsidR="001D675B" w:rsidRPr="000E2D76" w:rsidRDefault="001D675B" w:rsidP="001D675B">
      <w:pPr>
        <w:rPr>
          <w:b/>
          <w:bCs/>
          <w:sz w:val="28"/>
          <w:szCs w:val="28"/>
          <w:lang w:bidi="ar-EG"/>
        </w:rPr>
      </w:pPr>
      <w:r w:rsidRPr="000E2D76">
        <w:rPr>
          <w:b/>
          <w:bCs/>
          <w:sz w:val="28"/>
          <w:szCs w:val="28"/>
          <w:lang w:bidi="ar-EG"/>
        </w:rPr>
        <w:t xml:space="preserve">Total phenolics content: </w:t>
      </w:r>
    </w:p>
    <w:p w14:paraId="46E00ABB" w14:textId="77777777" w:rsidR="001D675B" w:rsidRPr="000E2D76" w:rsidRDefault="001D675B" w:rsidP="0022634F">
      <w:pPr>
        <w:jc w:val="both"/>
        <w:rPr>
          <w:sz w:val="28"/>
          <w:szCs w:val="28"/>
          <w:lang w:bidi="ar-EG"/>
        </w:rPr>
      </w:pPr>
      <w:r w:rsidRPr="000E2D76">
        <w:rPr>
          <w:sz w:val="28"/>
          <w:szCs w:val="28"/>
          <w:lang w:bidi="ar-EG"/>
        </w:rPr>
        <w:lastRenderedPageBreak/>
        <w:t>100 µL of samples and standards (gallic acid) were added to 750 µL of Folin’s reagent and 750 µL of 7% Na2CO3 and incubated for 45 min at room temperature in dark. The absorbance was then read at 765 nm using spectrophotometer (</w:t>
      </w:r>
      <w:proofErr w:type="spellStart"/>
      <w:r w:rsidRPr="000E2D76">
        <w:rPr>
          <w:sz w:val="28"/>
          <w:szCs w:val="28"/>
          <w:lang w:bidi="ar-EG"/>
        </w:rPr>
        <w:t>Analytik</w:t>
      </w:r>
      <w:proofErr w:type="spellEnd"/>
      <w:r w:rsidRPr="000E2D76">
        <w:rPr>
          <w:sz w:val="28"/>
          <w:szCs w:val="28"/>
          <w:lang w:bidi="ar-EG"/>
        </w:rPr>
        <w:t xml:space="preserve"> Jena </w:t>
      </w:r>
      <w:proofErr w:type="spellStart"/>
      <w:r w:rsidRPr="000E2D76">
        <w:rPr>
          <w:sz w:val="28"/>
          <w:szCs w:val="28"/>
          <w:lang w:bidi="ar-EG"/>
        </w:rPr>
        <w:t>Specord</w:t>
      </w:r>
      <w:proofErr w:type="spellEnd"/>
      <w:r w:rsidRPr="000E2D76">
        <w:rPr>
          <w:sz w:val="28"/>
          <w:szCs w:val="28"/>
          <w:lang w:bidi="ar-EG"/>
        </w:rPr>
        <w:t xml:space="preserve"> 250). The concentration was measured using gallic acid as standard and the results were expressed as mL gallic acid equivalents (GAE)/g sample </w:t>
      </w:r>
      <w:r w:rsidR="0022634F">
        <w:rPr>
          <w:sz w:val="28"/>
          <w:szCs w:val="28"/>
          <w:lang w:bidi="ar-EG"/>
        </w:rPr>
        <w:fldChar w:fldCharType="begin"/>
      </w:r>
      <w:r w:rsidR="0022634F">
        <w:rPr>
          <w:sz w:val="28"/>
          <w:szCs w:val="28"/>
          <w:lang w:bidi="ar-EG"/>
        </w:rPr>
        <w:instrText xml:space="preserve"> ADDIN EN.CITE &lt;EndNote&gt;&lt;Cite&gt;&lt;Author&gt;Attard&lt;/Author&gt;&lt;Year&gt;2013&lt;/Year&gt;&lt;RecNum&gt;239&lt;/RecNum&gt;&lt;DisplayText&gt;(Attard, 2013)&lt;/DisplayText&gt;&lt;record&gt;&lt;rec-number&gt;239&lt;/rec-number&gt;&lt;foreign-keys&gt;&lt;key app="EN" db-id="ap9s050v8w5t9de9ezpvz92if2wepzzer2e2" timestamp="1738512320"&gt;239&lt;/key&gt;&lt;/foreign-keys&gt;&lt;ref-type name="Journal Article"&gt;17&lt;/ref-type&gt;&lt;contributors&gt;&lt;authors&gt;&lt;author&gt;Attard, Everaldo&lt;/author&gt;&lt;/authors&gt;&lt;/contributors&gt;&lt;titles&gt;&lt;title&gt;A rapid microtitre plate Folin-Ciocalteu method for the assessment of polyphenols&lt;/title&gt;&lt;secondary-title&gt;Open Life Sciences&lt;/secondary-title&gt;&lt;/titles&gt;&lt;periodical&gt;&lt;full-title&gt;Open Life Sciences&lt;/full-title&gt;&lt;/periodical&gt;&lt;pages&gt;48-53&lt;/pages&gt;&lt;volume&gt;8&lt;/volume&gt;&lt;number&gt;1&lt;/number&gt;&lt;dates&gt;&lt;year&gt;2013&lt;/year&gt;&lt;/dates&gt;&lt;isbn&gt;2391-5412&lt;/isbn&gt;&lt;urls&gt;&lt;/urls&gt;&lt;/record&gt;&lt;/Cite&gt;&lt;/EndNote&gt;</w:instrText>
      </w:r>
      <w:r w:rsidR="0022634F">
        <w:rPr>
          <w:sz w:val="28"/>
          <w:szCs w:val="28"/>
          <w:lang w:bidi="ar-EG"/>
        </w:rPr>
        <w:fldChar w:fldCharType="separate"/>
      </w:r>
      <w:r w:rsidR="0022634F">
        <w:rPr>
          <w:noProof/>
          <w:sz w:val="28"/>
          <w:szCs w:val="28"/>
          <w:lang w:bidi="ar-EG"/>
        </w:rPr>
        <w:t>(Attard, 2013)</w:t>
      </w:r>
      <w:r w:rsidR="0022634F">
        <w:rPr>
          <w:sz w:val="28"/>
          <w:szCs w:val="28"/>
          <w:lang w:bidi="ar-EG"/>
        </w:rPr>
        <w:fldChar w:fldCharType="end"/>
      </w:r>
      <w:r w:rsidRPr="000E2D76">
        <w:rPr>
          <w:sz w:val="28"/>
          <w:szCs w:val="28"/>
          <w:lang w:bidi="ar-EG"/>
        </w:rPr>
        <w:t>.</w:t>
      </w:r>
    </w:p>
    <w:p w14:paraId="1C087AA8" w14:textId="77777777" w:rsidR="001D675B" w:rsidRPr="000E2D76" w:rsidRDefault="001D675B" w:rsidP="001D675B">
      <w:pPr>
        <w:rPr>
          <w:b/>
          <w:bCs/>
          <w:sz w:val="28"/>
          <w:szCs w:val="28"/>
          <w:lang w:bidi="ar-EG"/>
        </w:rPr>
      </w:pPr>
      <w:r w:rsidRPr="000E2D76">
        <w:rPr>
          <w:b/>
          <w:bCs/>
          <w:sz w:val="28"/>
          <w:szCs w:val="28"/>
          <w:lang w:bidi="ar-EG"/>
        </w:rPr>
        <w:t xml:space="preserve">Antioxidant activity using DPPH assay: </w:t>
      </w:r>
    </w:p>
    <w:p w14:paraId="0C5646E4" w14:textId="77777777" w:rsidR="001D675B" w:rsidRPr="000E2D76" w:rsidRDefault="001D675B" w:rsidP="0022634F">
      <w:pPr>
        <w:jc w:val="both"/>
        <w:rPr>
          <w:sz w:val="28"/>
          <w:szCs w:val="28"/>
          <w:lang w:bidi="ar-EG"/>
        </w:rPr>
      </w:pPr>
      <w:r w:rsidRPr="000E2D76">
        <w:rPr>
          <w:sz w:val="28"/>
          <w:szCs w:val="28"/>
          <w:lang w:bidi="ar-EG"/>
        </w:rPr>
        <w:t>0.1 mL of samples were mixture with 0.2 mM DPPH solution (2 mL). A control was also performed simultaneously. In the dark, the samples were kept for 1/2 h. After that, at 517 nm the absorbance was measured using a spectrophotometer (</w:t>
      </w:r>
      <w:proofErr w:type="spellStart"/>
      <w:r w:rsidRPr="000E2D76">
        <w:rPr>
          <w:sz w:val="28"/>
          <w:szCs w:val="28"/>
          <w:lang w:bidi="ar-EG"/>
        </w:rPr>
        <w:t>Analytik</w:t>
      </w:r>
      <w:proofErr w:type="spellEnd"/>
      <w:r w:rsidRPr="000E2D76">
        <w:rPr>
          <w:sz w:val="28"/>
          <w:szCs w:val="28"/>
          <w:lang w:bidi="ar-EG"/>
        </w:rPr>
        <w:t xml:space="preserve"> Jena </w:t>
      </w:r>
      <w:proofErr w:type="spellStart"/>
      <w:r w:rsidRPr="000E2D76">
        <w:rPr>
          <w:sz w:val="28"/>
          <w:szCs w:val="28"/>
          <w:lang w:bidi="ar-EG"/>
        </w:rPr>
        <w:t>Specord</w:t>
      </w:r>
      <w:proofErr w:type="spellEnd"/>
      <w:r w:rsidRPr="000E2D76">
        <w:rPr>
          <w:sz w:val="28"/>
          <w:szCs w:val="28"/>
          <w:lang w:bidi="ar-EG"/>
        </w:rPr>
        <w:t xml:space="preserve"> 250)</w:t>
      </w:r>
      <w:r w:rsidR="0022634F">
        <w:rPr>
          <w:sz w:val="28"/>
          <w:szCs w:val="28"/>
          <w:lang w:bidi="ar-EG"/>
        </w:rPr>
        <w:t xml:space="preserve"> </w:t>
      </w:r>
      <w:r w:rsidR="0022634F">
        <w:rPr>
          <w:sz w:val="28"/>
          <w:szCs w:val="28"/>
          <w:lang w:bidi="ar-EG"/>
        </w:rPr>
        <w:fldChar w:fldCharType="begin"/>
      </w:r>
      <w:r w:rsidR="0022634F">
        <w:rPr>
          <w:sz w:val="28"/>
          <w:szCs w:val="28"/>
          <w:lang w:bidi="ar-EG"/>
        </w:rPr>
        <w:instrText xml:space="preserve"> ADDIN EN.CITE &lt;EndNote&gt;&lt;Cite&gt;&lt;Author&gt;Boly&lt;/Author&gt;&lt;Year&gt;2016&lt;/Year&gt;&lt;RecNum&gt;310&lt;/RecNum&gt;&lt;DisplayText&gt;(Boly, Lamkami, Lompo, Dubois, &amp;amp; Guissou, 2016)&lt;/DisplayText&gt;&lt;record&gt;&lt;rec-number&gt;310&lt;/rec-number&gt;&lt;foreign-keys&gt;&lt;key app="EN" db-id="ap9s050v8w5t9de9ezpvz92if2wepzzer2e2" timestamp="1738604546"&gt;310&lt;/key&gt;&lt;/foreign-keys&gt;&lt;ref-type name="Journal Article"&gt;17&lt;/ref-type&gt;&lt;contributors&gt;&lt;authors&gt;&lt;author&gt;Boly, Raïnatou&lt;/author&gt;&lt;author&gt;Lamkami, Touria&lt;/author&gt;&lt;author&gt;Lompo, Marius&lt;/author&gt;&lt;author&gt;Dubois, Jacques&lt;/author&gt;&lt;author&gt;Guissou, Innocent&lt;/author&gt;&lt;/authors&gt;&lt;/contributors&gt;&lt;titles&gt;&lt;title&gt;DPPH free radical scavenging activity of two extracts from Agelanthus dodoneifolius (Loranthaceae) leaves&lt;/title&gt;&lt;secondary-title&gt;International Journal of Toxicological and Pharmacological Research&lt;/secondary-title&gt;&lt;/titles&gt;&lt;periodical&gt;&lt;full-title&gt;International Journal of Toxicological and Pharmacological Research&lt;/full-title&gt;&lt;/periodical&gt;&lt;pages&gt;29-34&lt;/pages&gt;&lt;volume&gt;8&lt;/volume&gt;&lt;number&gt;1&lt;/number&gt;&lt;dates&gt;&lt;year&gt;2016&lt;/year&gt;&lt;/dates&gt;&lt;isbn&gt;0975-5160&lt;/isbn&gt;&lt;urls&gt;&lt;/urls&gt;&lt;/record&gt;&lt;/Cite&gt;&lt;/EndNote&gt;</w:instrText>
      </w:r>
      <w:r w:rsidR="0022634F">
        <w:rPr>
          <w:sz w:val="28"/>
          <w:szCs w:val="28"/>
          <w:lang w:bidi="ar-EG"/>
        </w:rPr>
        <w:fldChar w:fldCharType="separate"/>
      </w:r>
      <w:r w:rsidR="0022634F">
        <w:rPr>
          <w:noProof/>
          <w:sz w:val="28"/>
          <w:szCs w:val="28"/>
          <w:lang w:bidi="ar-EG"/>
        </w:rPr>
        <w:t>(Boly, Lamkami, Lompo, Dubois, &amp; Guissou, 2016)</w:t>
      </w:r>
      <w:r w:rsidR="0022634F">
        <w:rPr>
          <w:sz w:val="28"/>
          <w:szCs w:val="28"/>
          <w:lang w:bidi="ar-EG"/>
        </w:rPr>
        <w:fldChar w:fldCharType="end"/>
      </w:r>
      <w:r w:rsidRPr="000E2D76">
        <w:rPr>
          <w:sz w:val="28"/>
          <w:szCs w:val="28"/>
          <w:lang w:bidi="ar-EG"/>
        </w:rPr>
        <w:t xml:space="preserve">. The DPPH radical scavenging activity was determined using the provided equation. </w:t>
      </w:r>
    </w:p>
    <w:p w14:paraId="64EA53B8" w14:textId="77777777" w:rsidR="001D675B" w:rsidRPr="000E2D76" w:rsidRDefault="001D675B" w:rsidP="001D675B">
      <w:pPr>
        <w:jc w:val="both"/>
        <w:rPr>
          <w:sz w:val="28"/>
          <w:szCs w:val="28"/>
          <w:lang w:bidi="ar-EG"/>
        </w:rPr>
      </w:pPr>
      <w:r w:rsidRPr="000E2D76">
        <w:rPr>
          <w:sz w:val="28"/>
          <w:szCs w:val="28"/>
          <w:lang w:bidi="ar-EG"/>
        </w:rPr>
        <w:t>DPPH antioxidant activity (%) = ((control ab- sample ab) / (control ab</w:t>
      </w:r>
      <w:proofErr w:type="gramStart"/>
      <w:r w:rsidRPr="000E2D76">
        <w:rPr>
          <w:sz w:val="28"/>
          <w:szCs w:val="28"/>
          <w:lang w:bidi="ar-EG"/>
        </w:rPr>
        <w:t>))×</w:t>
      </w:r>
      <w:proofErr w:type="gramEnd"/>
      <w:r w:rsidRPr="000E2D76">
        <w:rPr>
          <w:sz w:val="28"/>
          <w:szCs w:val="28"/>
          <w:lang w:bidi="ar-EG"/>
        </w:rPr>
        <w:t>100</w:t>
      </w:r>
    </w:p>
    <w:p w14:paraId="0C9AB135" w14:textId="77777777" w:rsidR="001D675B" w:rsidRPr="000E2D76" w:rsidRDefault="001D675B" w:rsidP="001D675B">
      <w:pPr>
        <w:jc w:val="both"/>
        <w:rPr>
          <w:sz w:val="28"/>
          <w:szCs w:val="28"/>
          <w:lang w:bidi="ar-EG"/>
        </w:rPr>
      </w:pPr>
      <w:r w:rsidRPr="000E2D76">
        <w:rPr>
          <w:sz w:val="28"/>
          <w:szCs w:val="28"/>
          <w:lang w:bidi="ar-EG"/>
        </w:rPr>
        <w:t>Where: control ab represented the absorbance of the DPPH working solution without the sample, and sample ab corresponded to the absorbance of the DPPH working solution when mixed with samples.</w:t>
      </w:r>
    </w:p>
    <w:p w14:paraId="258CFF4B" w14:textId="77777777" w:rsidR="001D675B" w:rsidRPr="000E2D76" w:rsidRDefault="001D675B" w:rsidP="001D675B">
      <w:pPr>
        <w:rPr>
          <w:b/>
          <w:bCs/>
          <w:sz w:val="28"/>
          <w:szCs w:val="28"/>
          <w:lang w:bidi="ar-EG"/>
        </w:rPr>
      </w:pPr>
      <w:r w:rsidRPr="000E2D76">
        <w:rPr>
          <w:b/>
          <w:bCs/>
          <w:sz w:val="28"/>
          <w:szCs w:val="28"/>
          <w:lang w:bidi="ar-EG"/>
        </w:rPr>
        <w:t xml:space="preserve">Induction period (INP) by </w:t>
      </w:r>
      <w:proofErr w:type="spellStart"/>
      <w:r w:rsidRPr="000E2D76">
        <w:rPr>
          <w:b/>
          <w:bCs/>
          <w:sz w:val="28"/>
          <w:szCs w:val="28"/>
          <w:lang w:bidi="ar-EG"/>
        </w:rPr>
        <w:t>rancimat</w:t>
      </w:r>
      <w:proofErr w:type="spellEnd"/>
    </w:p>
    <w:p w14:paraId="2D2AAD33" w14:textId="77777777" w:rsidR="001D675B" w:rsidRPr="000E2D76" w:rsidRDefault="001D675B" w:rsidP="0022634F">
      <w:pPr>
        <w:jc w:val="both"/>
        <w:rPr>
          <w:sz w:val="28"/>
          <w:szCs w:val="28"/>
          <w:lang w:bidi="ar-EG"/>
        </w:rPr>
      </w:pPr>
      <w:r w:rsidRPr="000E2D76">
        <w:rPr>
          <w:sz w:val="28"/>
          <w:szCs w:val="28"/>
          <w:lang w:bidi="ar-EG"/>
        </w:rPr>
        <w:t xml:space="preserve">Induction period is a test designed to assess the relative stability of an oil sample. In this analysis, the </w:t>
      </w:r>
      <w:proofErr w:type="spellStart"/>
      <w:r w:rsidRPr="000E2D76">
        <w:rPr>
          <w:sz w:val="28"/>
          <w:szCs w:val="28"/>
          <w:lang w:bidi="ar-EG"/>
        </w:rPr>
        <w:t>Metrohm</w:t>
      </w:r>
      <w:proofErr w:type="spellEnd"/>
      <w:r w:rsidRPr="000E2D76">
        <w:rPr>
          <w:sz w:val="28"/>
          <w:szCs w:val="28"/>
          <w:lang w:bidi="ar-EG"/>
        </w:rPr>
        <w:t xml:space="preserve">® 743 </w:t>
      </w:r>
      <w:proofErr w:type="spellStart"/>
      <w:r w:rsidRPr="000E2D76">
        <w:rPr>
          <w:sz w:val="28"/>
          <w:szCs w:val="28"/>
          <w:lang w:bidi="ar-EG"/>
        </w:rPr>
        <w:t>Rancimat</w:t>
      </w:r>
      <w:proofErr w:type="spellEnd"/>
      <w:r w:rsidRPr="000E2D76">
        <w:rPr>
          <w:sz w:val="28"/>
          <w:szCs w:val="28"/>
          <w:lang w:bidi="ar-EG"/>
        </w:rPr>
        <w:t xml:space="preserve"> apparatus was employed. Initially, 3600 mg of oil was weighed and placed in a block (110 °C). A continuous flow of air, at a rate of 20 liters per hour, was passed through the sample </w:t>
      </w:r>
      <w:r w:rsidR="0022634F">
        <w:rPr>
          <w:sz w:val="28"/>
          <w:szCs w:val="28"/>
          <w:lang w:bidi="ar-EG"/>
        </w:rPr>
        <w:fldChar w:fldCharType="begin"/>
      </w:r>
      <w:r w:rsidR="0022634F">
        <w:rPr>
          <w:sz w:val="28"/>
          <w:szCs w:val="28"/>
          <w:lang w:bidi="ar-EG"/>
        </w:rPr>
        <w:instrText xml:space="preserve"> ADDIN EN.CITE &lt;EndNote&gt;&lt;Cite&gt;&lt;Author&gt;Salama&lt;/Author&gt;&lt;Year&gt;2020&lt;/Year&gt;&lt;RecNum&gt;149&lt;/RecNum&gt;&lt;DisplayText&gt;(Salama et al., 2020)&lt;/DisplayText&gt;&lt;record&gt;&lt;rec-number&gt;149&lt;/rec-number&gt;&lt;foreign-keys&gt;&lt;key app="EN" db-id="ap9s050v8w5t9de9ezpvz92if2wepzzer2e2" timestamp="1691246350"&gt;149&lt;/key&gt;&lt;/foreign-keys&gt;&lt;ref-type name="Journal Article"&gt;17&lt;/ref-type&gt;&lt;contributors&gt;&lt;authors&gt;&lt;author&gt;Salama, Mohamed Abdelbaset&lt;/author&gt;&lt;author&gt;El Harkaoui, Said&lt;/author&gt;&lt;author&gt;Nounah, Issmail&lt;/author&gt;&lt;author&gt;Sakr, Hazem&lt;/author&gt;&lt;author&gt;Abdin, Mohamed&lt;/author&gt;&lt;author&gt;Owon, Mostafa&lt;/author&gt;&lt;author&gt;Osman, Mohamed&lt;/author&gt;&lt;author&gt;Ibrahim, Awatif&lt;/author&gt;&lt;author&gt;Charrouf, Zoubida&lt;/author&gt;&lt;author&gt;Matthäus, Bertrand&lt;/author&gt;&lt;/authors&gt;&lt;/contributors&gt;&lt;titles&gt;&lt;title&gt;Oxidative stability of Opuntia ficus-indica seeds oil blending with Moringa oleifera seeds oil</w:instrText>
      </w:r>
      <w:r w:rsidR="0022634F">
        <w:rPr>
          <w:rFonts w:ascii="Segoe UI Symbol" w:hAnsi="Segoe UI Symbol" w:cs="Segoe UI Symbol"/>
          <w:sz w:val="28"/>
          <w:szCs w:val="28"/>
          <w:lang w:bidi="ar-EG"/>
        </w:rPr>
        <w:instrText>☆</w:instrText>
      </w:r>
      <w:r w:rsidR="0022634F">
        <w:rPr>
          <w:sz w:val="28"/>
          <w:szCs w:val="28"/>
          <w:lang w:bidi="ar-EG"/>
        </w:rPr>
        <w:instrText>&lt;/title&gt;&lt;secondary-title&gt;OCL&lt;/secondary-title&gt;&lt;/titles&gt;&lt;periodical&gt;&lt;full-title&gt;OCL&lt;/full-title&gt;&lt;/periodical&gt;&lt;pages&gt;53&lt;/pages&gt;&lt;volume&gt;27&lt;/volume&gt;&lt;dates&gt;&lt;year&gt;2020&lt;/year&gt;&lt;/dates&gt;&lt;isbn&gt;2272-6977&lt;/isbn&gt;&lt;urls&gt;&lt;/urls&gt;&lt;/record&gt;&lt;/Cite&gt;&lt;/EndNote&gt;</w:instrText>
      </w:r>
      <w:r w:rsidR="0022634F">
        <w:rPr>
          <w:sz w:val="28"/>
          <w:szCs w:val="28"/>
          <w:lang w:bidi="ar-EG"/>
        </w:rPr>
        <w:fldChar w:fldCharType="separate"/>
      </w:r>
      <w:r w:rsidR="0022634F">
        <w:rPr>
          <w:noProof/>
          <w:sz w:val="28"/>
          <w:szCs w:val="28"/>
          <w:lang w:bidi="ar-EG"/>
        </w:rPr>
        <w:t>(Salama et al., 2020)</w:t>
      </w:r>
      <w:r w:rsidR="0022634F">
        <w:rPr>
          <w:sz w:val="28"/>
          <w:szCs w:val="28"/>
          <w:lang w:bidi="ar-EG"/>
        </w:rPr>
        <w:fldChar w:fldCharType="end"/>
      </w:r>
      <w:r w:rsidRPr="000E2D76">
        <w:rPr>
          <w:sz w:val="28"/>
          <w:szCs w:val="28"/>
          <w:lang w:bidi="ar-EG"/>
        </w:rPr>
        <w:t>.</w:t>
      </w:r>
    </w:p>
    <w:p w14:paraId="594345E8" w14:textId="77777777" w:rsidR="001D675B" w:rsidRPr="000E2D76" w:rsidRDefault="001D675B" w:rsidP="001D675B">
      <w:pPr>
        <w:rPr>
          <w:b/>
          <w:bCs/>
          <w:sz w:val="28"/>
          <w:szCs w:val="28"/>
          <w:lang w:bidi="ar-EG"/>
        </w:rPr>
      </w:pPr>
      <w:r w:rsidRPr="000E2D76">
        <w:rPr>
          <w:b/>
          <w:bCs/>
          <w:sz w:val="28"/>
          <w:szCs w:val="28"/>
          <w:lang w:bidi="ar-EG"/>
        </w:rPr>
        <w:t xml:space="preserve">Acid and peroxide values: </w:t>
      </w:r>
    </w:p>
    <w:p w14:paraId="04DDC0F5" w14:textId="77777777" w:rsidR="001D675B" w:rsidRPr="000E2D76" w:rsidRDefault="001D675B" w:rsidP="001D675B">
      <w:pPr>
        <w:jc w:val="both"/>
        <w:rPr>
          <w:sz w:val="28"/>
          <w:szCs w:val="28"/>
          <w:lang w:bidi="ar-EG"/>
        </w:rPr>
      </w:pPr>
      <w:r w:rsidRPr="000E2D76">
        <w:rPr>
          <w:sz w:val="28"/>
          <w:szCs w:val="28"/>
          <w:lang w:bidi="ar-EG"/>
        </w:rPr>
        <w:t>The acid value (AV) and peroxide value (PV) were determined according to method Cd 3d-63 and Cd 8b-90, respectively (AOCS, 2017).</w:t>
      </w:r>
    </w:p>
    <w:p w14:paraId="4A402B27" w14:textId="77777777" w:rsidR="001D675B" w:rsidRPr="000E2D76" w:rsidRDefault="001D675B" w:rsidP="001D675B">
      <w:pPr>
        <w:rPr>
          <w:b/>
          <w:bCs/>
          <w:sz w:val="28"/>
          <w:szCs w:val="28"/>
          <w:lang w:bidi="ar-EG"/>
        </w:rPr>
      </w:pPr>
      <w:r w:rsidRPr="000E2D76">
        <w:rPr>
          <w:b/>
          <w:bCs/>
          <w:sz w:val="28"/>
          <w:szCs w:val="28"/>
          <w:lang w:bidi="ar-EG"/>
        </w:rPr>
        <w:t xml:space="preserve">Sensory evaluation: </w:t>
      </w:r>
    </w:p>
    <w:p w14:paraId="1AC46132" w14:textId="77777777" w:rsidR="001D675B" w:rsidRPr="000E2D76" w:rsidRDefault="001D675B" w:rsidP="0022634F">
      <w:pPr>
        <w:jc w:val="both"/>
        <w:rPr>
          <w:sz w:val="28"/>
          <w:szCs w:val="28"/>
          <w:lang w:bidi="ar-EG"/>
        </w:rPr>
      </w:pPr>
      <w:r w:rsidRPr="000E2D76">
        <w:rPr>
          <w:sz w:val="28"/>
          <w:szCs w:val="28"/>
          <w:lang w:bidi="ar-EG"/>
        </w:rPr>
        <w:t xml:space="preserve">The sensory evaluation of the </w:t>
      </w:r>
      <w:proofErr w:type="spellStart"/>
      <w:r w:rsidRPr="000E2D76">
        <w:rPr>
          <w:sz w:val="28"/>
          <w:szCs w:val="28"/>
          <w:lang w:bidi="ar-EG"/>
        </w:rPr>
        <w:t>oleogel</w:t>
      </w:r>
      <w:proofErr w:type="spellEnd"/>
      <w:r w:rsidRPr="000E2D76">
        <w:rPr>
          <w:sz w:val="28"/>
          <w:szCs w:val="28"/>
          <w:lang w:bidi="ar-EG"/>
        </w:rPr>
        <w:t xml:space="preserve"> and biscuit samples were done by 20 panelists from the Staff of Food Technology Research Institute, Sakha Station, </w:t>
      </w:r>
      <w:proofErr w:type="spellStart"/>
      <w:r w:rsidRPr="000E2D76">
        <w:rPr>
          <w:sz w:val="28"/>
          <w:szCs w:val="28"/>
          <w:lang w:bidi="ar-EG"/>
        </w:rPr>
        <w:t>Kafrelsheikh</w:t>
      </w:r>
      <w:proofErr w:type="spellEnd"/>
      <w:r w:rsidRPr="000E2D76">
        <w:rPr>
          <w:sz w:val="28"/>
          <w:szCs w:val="28"/>
          <w:lang w:bidi="ar-EG"/>
        </w:rPr>
        <w:t xml:space="preserve">, Egypt </w:t>
      </w:r>
      <w:r w:rsidR="0022634F">
        <w:rPr>
          <w:sz w:val="28"/>
          <w:szCs w:val="28"/>
          <w:lang w:bidi="ar-EG"/>
        </w:rPr>
        <w:fldChar w:fldCharType="begin"/>
      </w:r>
      <w:r w:rsidR="0022634F">
        <w:rPr>
          <w:sz w:val="28"/>
          <w:szCs w:val="28"/>
          <w:lang w:bidi="ar-EG"/>
        </w:rPr>
        <w:instrText xml:space="preserve"> ADDIN EN.CITE &lt;EndNote&gt;&lt;Cite&gt;&lt;Author&gt;Yılmaz&lt;/Author&gt;&lt;Year&gt;2015&lt;/Year&gt;&lt;RecNum&gt;304&lt;/RecNum&gt;&lt;DisplayText&gt;(Yılmaz &amp;amp; Öğütcü, 2015)&lt;/DisplayText&gt;&lt;record&gt;&lt;rec-number&gt;304&lt;/rec-number&gt;&lt;foreign-keys&gt;&lt;key app="EN" db-id="ap9s050v8w5t9de9ezpvz92if2wepzzer2e2" timestamp="1738602767"&gt;304&lt;/key&gt;&lt;/foreign-keys&gt;&lt;ref-type name="Journal Article"&gt;17&lt;/ref-type&gt;&lt;contributors&gt;&lt;authors&gt;&lt;author&gt;Yılmaz, Emin&lt;/author&gt;&lt;author&gt;Öğütcü, Mustafa&lt;/author&gt;&lt;/authors&gt;&lt;/contributors&gt;&lt;titles&gt;&lt;title&gt;The texture, sensory properties and stability of cookies prepared with wax oleogels&lt;/title&gt;&lt;secondary-title&gt;Food &amp;amp; function&lt;/secondary-title&gt;&lt;/titles&gt;&lt;periodical&gt;&lt;full-title&gt;Food &amp;amp; function&lt;/full-title&gt;&lt;/periodical&gt;&lt;pages&gt;1194-1204&lt;/pages&gt;&lt;volume&gt;6&lt;/volume&gt;&lt;number&gt;4&lt;/number&gt;&lt;dates&gt;&lt;year&gt;2015&lt;/year&gt;&lt;/dates&gt;&lt;urls&gt;&lt;/urls&gt;&lt;/record&gt;&lt;/Cite&gt;&lt;/EndNote&gt;</w:instrText>
      </w:r>
      <w:r w:rsidR="0022634F">
        <w:rPr>
          <w:sz w:val="28"/>
          <w:szCs w:val="28"/>
          <w:lang w:bidi="ar-EG"/>
        </w:rPr>
        <w:fldChar w:fldCharType="separate"/>
      </w:r>
      <w:r w:rsidR="0022634F">
        <w:rPr>
          <w:noProof/>
          <w:sz w:val="28"/>
          <w:szCs w:val="28"/>
          <w:lang w:bidi="ar-EG"/>
        </w:rPr>
        <w:t>(Yılmaz &amp; Öğütcü, 2015)</w:t>
      </w:r>
      <w:r w:rsidR="0022634F">
        <w:rPr>
          <w:sz w:val="28"/>
          <w:szCs w:val="28"/>
          <w:lang w:bidi="ar-EG"/>
        </w:rPr>
        <w:fldChar w:fldCharType="end"/>
      </w:r>
      <w:r w:rsidRPr="000E2D76">
        <w:rPr>
          <w:sz w:val="28"/>
          <w:szCs w:val="28"/>
          <w:lang w:bidi="ar-EG"/>
        </w:rPr>
        <w:t>.</w:t>
      </w:r>
    </w:p>
    <w:p w14:paraId="7AD16F76" w14:textId="77777777" w:rsidR="001D675B" w:rsidRPr="000E2D76" w:rsidRDefault="001D675B" w:rsidP="001D675B">
      <w:pPr>
        <w:jc w:val="both"/>
        <w:rPr>
          <w:b/>
          <w:bCs/>
          <w:sz w:val="28"/>
          <w:szCs w:val="28"/>
          <w:lang w:bidi="ar-EG"/>
        </w:rPr>
      </w:pPr>
      <w:r w:rsidRPr="000E2D76">
        <w:rPr>
          <w:b/>
          <w:bCs/>
          <w:sz w:val="28"/>
          <w:szCs w:val="28"/>
          <w:lang w:bidi="ar-EG"/>
        </w:rPr>
        <w:t>Thermal characterization</w:t>
      </w:r>
    </w:p>
    <w:p w14:paraId="4FADF9D4" w14:textId="4B5B9E87" w:rsidR="001D675B" w:rsidRPr="000E2D76" w:rsidRDefault="001D675B" w:rsidP="0022634F">
      <w:pPr>
        <w:jc w:val="both"/>
        <w:rPr>
          <w:sz w:val="28"/>
          <w:szCs w:val="28"/>
          <w:lang w:bidi="ar-EG"/>
        </w:rPr>
      </w:pPr>
      <w:r w:rsidRPr="000E2D76">
        <w:rPr>
          <w:sz w:val="28"/>
          <w:szCs w:val="28"/>
          <w:lang w:bidi="ar-EG"/>
        </w:rPr>
        <w:lastRenderedPageBreak/>
        <w:t xml:space="preserve">The onset temperature, peak temperature and enthalpy of the samples for both crystallization and melting were measured by a Perkin-Elmer 4000 Series Differential Scanning Calorimetry (DSC) (Groningen, The Netherlands) equipped with </w:t>
      </w:r>
      <w:proofErr w:type="spellStart"/>
      <w:r w:rsidRPr="000E2D76">
        <w:rPr>
          <w:sz w:val="28"/>
          <w:szCs w:val="28"/>
          <w:lang w:bidi="ar-EG"/>
        </w:rPr>
        <w:t>Pyris</w:t>
      </w:r>
      <w:proofErr w:type="spellEnd"/>
      <w:r w:rsidRPr="000E2D76">
        <w:rPr>
          <w:sz w:val="28"/>
          <w:szCs w:val="28"/>
          <w:lang w:bidi="ar-EG"/>
        </w:rPr>
        <w:t xml:space="preserve"> 1 Manager Software according to a previously described technique </w:t>
      </w:r>
      <w:r w:rsidR="0022634F">
        <w:rPr>
          <w:sz w:val="28"/>
          <w:szCs w:val="28"/>
          <w:lang w:bidi="ar-EG"/>
        </w:rPr>
        <w:fldChar w:fldCharType="begin"/>
      </w:r>
      <w:r w:rsidR="0022634F">
        <w:rPr>
          <w:sz w:val="28"/>
          <w:szCs w:val="28"/>
          <w:lang w:bidi="ar-EG"/>
        </w:rPr>
        <w:instrText xml:space="preserve"> ADDIN EN.CITE &lt;EndNote&gt;&lt;Cite&gt;&lt;Author&gt;Öğütcü&lt;/Author&gt;&lt;Year&gt;2015&lt;/Year&gt;&lt;RecNum&gt;242&lt;/RecNum&gt;&lt;DisplayText&gt;(Öğütcü &amp;amp; Yılmaz, 2015)&lt;/DisplayText&gt;&lt;record&gt;&lt;rec-number&gt;242&lt;/rec-number&gt;&lt;foreign-keys&gt;&lt;key app="EN" db-id="ap9s050v8w5t9de9ezpvz92if2wepzzer2e2" timestamp="1738514206"&gt;242&lt;/key&gt;&lt;/foreign-keys&gt;&lt;ref-type name="Journal Article"&gt;17&lt;/ref-type&gt;&lt;contributors&gt;&lt;authors&gt;&lt;author&gt;Öğütcü, Mustafa&lt;/author&gt;&lt;author&gt;Yılmaz, Emin&lt;/author&gt;&lt;/authors&gt;&lt;/contributors&gt;&lt;titles&gt;&lt;title&gt;Characterization of hazelnut oil oleogels prepared with sunflower and carnauba waxes&lt;/title&gt;&lt;secondary-title&gt;International Journal of Food Properties&lt;/secondary-title&gt;&lt;/titles&gt;&lt;periodical&gt;&lt;full-title&gt;International Journal of Food Properties&lt;/full-title&gt;&lt;/periodical&gt;&lt;pages&gt;1741-1755&lt;/pages&gt;&lt;volume&gt;18&lt;/volume&gt;&lt;number&gt;8&lt;/number&gt;&lt;dates&gt;&lt;year&gt;2015&lt;/year&gt;&lt;/dates&gt;&lt;isbn&gt;1094-2912&lt;/isbn&gt;&lt;urls&gt;&lt;/urls&gt;&lt;/record&gt;&lt;/Cite&gt;&lt;/EndNote&gt;</w:instrText>
      </w:r>
      <w:r w:rsidR="0022634F">
        <w:rPr>
          <w:sz w:val="28"/>
          <w:szCs w:val="28"/>
          <w:lang w:bidi="ar-EG"/>
        </w:rPr>
        <w:fldChar w:fldCharType="separate"/>
      </w:r>
      <w:r w:rsidR="0022634F">
        <w:rPr>
          <w:noProof/>
          <w:sz w:val="28"/>
          <w:szCs w:val="28"/>
          <w:lang w:bidi="ar-EG"/>
        </w:rPr>
        <w:t>(Öğütcü &amp; Yılmaz, 2015)</w:t>
      </w:r>
      <w:r w:rsidR="0022634F">
        <w:rPr>
          <w:sz w:val="28"/>
          <w:szCs w:val="28"/>
          <w:lang w:bidi="ar-EG"/>
        </w:rPr>
        <w:fldChar w:fldCharType="end"/>
      </w:r>
      <w:r w:rsidRPr="000E2D76">
        <w:rPr>
          <w:sz w:val="28"/>
          <w:szCs w:val="28"/>
          <w:lang w:bidi="ar-EG"/>
        </w:rPr>
        <w:t xml:space="preserve">. Briefly, a hermetically sealed </w:t>
      </w:r>
      <w:proofErr w:type="spellStart"/>
      <w:r w:rsidRPr="000E2D76">
        <w:rPr>
          <w:sz w:val="28"/>
          <w:szCs w:val="28"/>
          <w:lang w:bidi="ar-EG"/>
        </w:rPr>
        <w:t>oleogel</w:t>
      </w:r>
      <w:proofErr w:type="spellEnd"/>
      <w:r w:rsidRPr="000E2D76">
        <w:rPr>
          <w:sz w:val="28"/>
          <w:szCs w:val="28"/>
          <w:lang w:bidi="ar-EG"/>
        </w:rPr>
        <w:t xml:space="preserve"> sample was first heated from room temperature to 140 °C at a 10 °C•min-1 heating rate and then cooled to </w:t>
      </w:r>
      <w:proofErr w:type="spellStart"/>
      <w:r w:rsidRPr="000E2D76">
        <w:rPr>
          <w:sz w:val="28"/>
          <w:szCs w:val="28"/>
          <w:lang w:bidi="ar-EG"/>
        </w:rPr>
        <w:t>to</w:t>
      </w:r>
      <w:proofErr w:type="spellEnd"/>
      <w:r w:rsidRPr="000E2D76">
        <w:rPr>
          <w:sz w:val="28"/>
          <w:szCs w:val="28"/>
          <w:lang w:bidi="ar-EG"/>
        </w:rPr>
        <w:t xml:space="preserve"> -20 °C at a 10 °C•min-1 cooling rate and kept at that temperature for 3 min for full crystallization. Finally the sample was heated again to 100 °C at a 5°C•min-1 heating rate. A sample DSC curve is shown in Fig. </w:t>
      </w:r>
      <w:r w:rsidR="000E6D5C">
        <w:rPr>
          <w:sz w:val="28"/>
          <w:szCs w:val="28"/>
          <w:lang w:bidi="ar-EG"/>
        </w:rPr>
        <w:t>1</w:t>
      </w:r>
    </w:p>
    <w:p w14:paraId="60560C83" w14:textId="77777777" w:rsidR="0078445E" w:rsidRPr="000E2D76" w:rsidRDefault="0078445E" w:rsidP="0078445E">
      <w:pPr>
        <w:rPr>
          <w:b/>
          <w:bCs/>
          <w:sz w:val="28"/>
          <w:szCs w:val="28"/>
          <w:lang w:bidi="ar-EG"/>
        </w:rPr>
      </w:pPr>
      <w:r w:rsidRPr="000E2D76">
        <w:rPr>
          <w:b/>
          <w:bCs/>
          <w:sz w:val="28"/>
          <w:szCs w:val="28"/>
          <w:lang w:bidi="ar-EG"/>
        </w:rPr>
        <w:t>Frankfurter preparation:</w:t>
      </w:r>
    </w:p>
    <w:p w14:paraId="602AD6E7" w14:textId="77777777" w:rsidR="0078445E" w:rsidRPr="000E2D76" w:rsidRDefault="0078445E" w:rsidP="0078445E">
      <w:pPr>
        <w:jc w:val="both"/>
        <w:rPr>
          <w:sz w:val="28"/>
          <w:szCs w:val="28"/>
          <w:lang w:bidi="ar-EG"/>
        </w:rPr>
      </w:pPr>
      <w:r w:rsidRPr="000E2D76">
        <w:rPr>
          <w:sz w:val="28"/>
          <w:szCs w:val="28"/>
          <w:lang w:bidi="ar-EG"/>
        </w:rPr>
        <w:t>The meat was trimmed of fat and connective tissue and the sheep fat was passed Briefly, for the preparation of the Frankfurter style sausages the following ingredients were used: beef meat 800 g, sheep fat 200 g, sodium chloride 17.5 g, sugar 2.2 g, starch 44, paprika 2 g, white pepper 1 g, coriander 0.5 g, cardamom 0.5 g, nutmeg 1 g and ice water 200 g. The ingredients whose supplier is not stated were bought from the local market.  The ingredients were added gradually Into (</w:t>
      </w:r>
      <w:proofErr w:type="spellStart"/>
      <w:r w:rsidRPr="000E2D76">
        <w:rPr>
          <w:sz w:val="28"/>
          <w:szCs w:val="28"/>
          <w:lang w:bidi="ar-EG"/>
        </w:rPr>
        <w:t>Moulinex</w:t>
      </w:r>
      <w:proofErr w:type="spellEnd"/>
      <w:r w:rsidRPr="000E2D76">
        <w:rPr>
          <w:sz w:val="28"/>
          <w:szCs w:val="28"/>
          <w:lang w:bidi="ar-EG"/>
        </w:rPr>
        <w:t xml:space="preserve"> XXL Chopper, 1.5L, 500W,  DJ4705EG) where the meat batter was formed, according to the method described by </w:t>
      </w:r>
      <w:r w:rsidRPr="000E2D76">
        <w:rPr>
          <w:sz w:val="28"/>
          <w:szCs w:val="28"/>
          <w:lang w:bidi="ar-EG"/>
        </w:rPr>
        <w:fldChar w:fldCharType="begin"/>
      </w:r>
      <w:r w:rsidRPr="000E2D76">
        <w:rPr>
          <w:sz w:val="28"/>
          <w:szCs w:val="28"/>
          <w:lang w:bidi="ar-EG"/>
        </w:rPr>
        <w:instrText xml:space="preserve"> ADDIN EN.CITE &lt;EndNote&gt;&lt;Cite AuthorYear="1"&gt;&lt;Author&gt;Pappa&lt;/Author&gt;&lt;Year&gt;2000&lt;/Year&gt;&lt;RecNum&gt;282&lt;/RecNum&gt;&lt;DisplayText&gt;Pappa, Bloukas, and Arvanitoyannis (2000)&lt;/DisplayText&gt;&lt;record&gt;&lt;rec-number&gt;282&lt;/rec-number&gt;&lt;foreign-keys&gt;&lt;key app="EN" db-id="ap9s050v8w5t9de9ezpvz92if2wepzzer2e2" timestamp="1738569595"&gt;282&lt;/key&gt;&lt;/foreign-keys&gt;&lt;ref-type name="Journal Article"&gt;17&lt;/ref-type&gt;&lt;contributors&gt;&lt;authors&gt;&lt;author&gt;Pappa, IC&lt;/author&gt;&lt;author&gt;Bloukas, JG&lt;/author&gt;&lt;author&gt;Arvanitoyannis, IS&lt;/author&gt;&lt;/authors&gt;&lt;/contributors&gt;&lt;titles&gt;&lt;title&gt;Optimization of salt, olive oil and pectin level for low-fat frankfurters produced by replacing pork backfat with olive oil&lt;/title&gt;&lt;secondary-title&gt;Meat science&lt;/secondary-title&gt;&lt;/titles&gt;&lt;periodical&gt;&lt;full-title&gt;Meat science&lt;/full-title&gt;&lt;/periodical&gt;&lt;pages&gt;81-88&lt;/pages&gt;&lt;volume&gt;56&lt;/volume&gt;&lt;number&gt;1&lt;/number&gt;&lt;dates&gt;&lt;year&gt;2000&lt;/year&gt;&lt;/dates&gt;&lt;isbn&gt;0309-1740&lt;/isbn&gt;&lt;urls&gt;&lt;/urls&gt;&lt;/record&gt;&lt;/Cite&gt;&lt;/EndNote&gt;</w:instrText>
      </w:r>
      <w:r w:rsidRPr="000E2D76">
        <w:rPr>
          <w:sz w:val="28"/>
          <w:szCs w:val="28"/>
          <w:lang w:bidi="ar-EG"/>
        </w:rPr>
        <w:fldChar w:fldCharType="separate"/>
      </w:r>
      <w:r w:rsidRPr="000E2D76">
        <w:rPr>
          <w:noProof/>
          <w:sz w:val="28"/>
          <w:szCs w:val="28"/>
          <w:lang w:bidi="ar-EG"/>
        </w:rPr>
        <w:t>Pappa, Bloukas, and Arvanitoyannis (2000)</w:t>
      </w:r>
      <w:r w:rsidRPr="000E2D76">
        <w:rPr>
          <w:sz w:val="28"/>
          <w:szCs w:val="28"/>
          <w:lang w:bidi="ar-EG"/>
        </w:rPr>
        <w:fldChar w:fldCharType="end"/>
      </w:r>
      <w:r w:rsidR="00EB7272" w:rsidRPr="000E2D76">
        <w:rPr>
          <w:sz w:val="28"/>
          <w:szCs w:val="28"/>
          <w:lang w:bidi="ar-EG"/>
        </w:rPr>
        <w:t xml:space="preserve"> </w:t>
      </w:r>
      <w:r w:rsidRPr="000E2D76">
        <w:rPr>
          <w:sz w:val="28"/>
          <w:szCs w:val="28"/>
          <w:lang w:bidi="ar-EG"/>
        </w:rPr>
        <w:t xml:space="preserve">with some modification  half - hydraulic stuffer was used to stuff the meat paste into natural casings, which were hand-twisted and separated at equal lengths of about 10 cm. The samples were then suspended on steam bath heated for 60 min. The samples were then cooled in cold water (15 °C) for 15 min. The cooled samples were hung on shelves for the adhering water to drain and vacuum packaged in low-density polyethylene laminated transparent nylon pouches and then stored in a refrigerator at a temperature of 4 °C. Then frankfurters were divided into three groups: the first was a control group containing sheep fat (C), the second group had 50% of the goat fat replaced with </w:t>
      </w:r>
      <w:proofErr w:type="spellStart"/>
      <w:r w:rsidRPr="000E2D76">
        <w:rPr>
          <w:sz w:val="28"/>
          <w:szCs w:val="28"/>
          <w:lang w:bidi="ar-EG"/>
        </w:rPr>
        <w:t>Ol</w:t>
      </w:r>
      <w:r w:rsidR="00EB7272" w:rsidRPr="000E2D76">
        <w:rPr>
          <w:sz w:val="28"/>
          <w:szCs w:val="28"/>
          <w:lang w:bidi="ar-EG"/>
        </w:rPr>
        <w:t>e</w:t>
      </w:r>
      <w:r w:rsidRPr="000E2D76">
        <w:rPr>
          <w:sz w:val="28"/>
          <w:szCs w:val="28"/>
          <w:lang w:bidi="ar-EG"/>
        </w:rPr>
        <w:t>ogel</w:t>
      </w:r>
      <w:proofErr w:type="spellEnd"/>
      <w:r w:rsidRPr="000E2D76">
        <w:rPr>
          <w:sz w:val="28"/>
          <w:szCs w:val="28"/>
          <w:lang w:bidi="ar-EG"/>
        </w:rPr>
        <w:t xml:space="preserve"> (SG and BG), and the third group had 100% of the goat fat replaced with </w:t>
      </w:r>
      <w:proofErr w:type="spellStart"/>
      <w:r w:rsidRPr="000E2D76">
        <w:rPr>
          <w:sz w:val="28"/>
          <w:szCs w:val="28"/>
          <w:lang w:bidi="ar-EG"/>
        </w:rPr>
        <w:t>Ologel</w:t>
      </w:r>
      <w:proofErr w:type="spellEnd"/>
      <w:r w:rsidRPr="000E2D76">
        <w:rPr>
          <w:sz w:val="28"/>
          <w:szCs w:val="28"/>
          <w:lang w:bidi="ar-EG"/>
        </w:rPr>
        <w:t xml:space="preserve"> (SG and BG).</w:t>
      </w:r>
    </w:p>
    <w:p w14:paraId="66834989" w14:textId="77777777" w:rsidR="001D675B" w:rsidRPr="000E2D76" w:rsidRDefault="00A66F8B" w:rsidP="001D675B">
      <w:pPr>
        <w:jc w:val="both"/>
        <w:rPr>
          <w:b/>
          <w:bCs/>
          <w:sz w:val="28"/>
          <w:szCs w:val="28"/>
          <w:lang w:bidi="ar-EG"/>
        </w:rPr>
      </w:pPr>
      <w:r w:rsidRPr="000E2D76">
        <w:rPr>
          <w:b/>
          <w:bCs/>
          <w:sz w:val="28"/>
          <w:szCs w:val="28"/>
          <w:lang w:bidi="ar-EG"/>
        </w:rPr>
        <w:t xml:space="preserve">Effect of using prepared </w:t>
      </w:r>
      <w:proofErr w:type="spellStart"/>
      <w:r w:rsidRPr="000E2D76">
        <w:rPr>
          <w:b/>
          <w:bCs/>
          <w:sz w:val="28"/>
          <w:szCs w:val="28"/>
          <w:lang w:bidi="ar-EG"/>
        </w:rPr>
        <w:t>oleogels</w:t>
      </w:r>
      <w:proofErr w:type="spellEnd"/>
      <w:r w:rsidRPr="000E2D76">
        <w:rPr>
          <w:b/>
          <w:bCs/>
          <w:sz w:val="28"/>
          <w:szCs w:val="28"/>
          <w:lang w:bidi="ar-EG"/>
        </w:rPr>
        <w:t xml:space="preserve"> as a fat replacer in frankfurter</w:t>
      </w:r>
    </w:p>
    <w:p w14:paraId="55A90301" w14:textId="77777777" w:rsidR="00A66F8B" w:rsidRPr="000E2D76" w:rsidRDefault="00A66F8B" w:rsidP="001D675B">
      <w:pPr>
        <w:jc w:val="both"/>
        <w:rPr>
          <w:b/>
          <w:bCs/>
          <w:sz w:val="28"/>
          <w:szCs w:val="28"/>
          <w:lang w:bidi="ar-EG"/>
        </w:rPr>
      </w:pPr>
      <w:r w:rsidRPr="000E2D76">
        <w:rPr>
          <w:b/>
          <w:bCs/>
          <w:sz w:val="28"/>
          <w:szCs w:val="28"/>
          <w:lang w:bidi="ar-EG"/>
        </w:rPr>
        <w:t xml:space="preserve">pH </w:t>
      </w:r>
    </w:p>
    <w:p w14:paraId="4FE52F54" w14:textId="77777777" w:rsidR="00A66F8B" w:rsidRPr="000E2D76" w:rsidRDefault="00EB7272" w:rsidP="00EB7272">
      <w:pPr>
        <w:jc w:val="both"/>
        <w:rPr>
          <w:sz w:val="28"/>
          <w:szCs w:val="28"/>
          <w:lang w:bidi="ar-EG"/>
        </w:rPr>
      </w:pPr>
      <w:r w:rsidRPr="000E2D76">
        <w:rPr>
          <w:sz w:val="28"/>
          <w:szCs w:val="28"/>
          <w:lang w:bidi="ar-EG"/>
        </w:rPr>
        <w:t xml:space="preserve">pH values were determined using the method  described by </w:t>
      </w:r>
      <w:r w:rsidRPr="000E2D76">
        <w:rPr>
          <w:sz w:val="28"/>
          <w:szCs w:val="28"/>
          <w:lang w:bidi="ar-EG"/>
        </w:rPr>
        <w:fldChar w:fldCharType="begin"/>
      </w:r>
      <w:r w:rsidRPr="000E2D76">
        <w:rPr>
          <w:sz w:val="28"/>
          <w:szCs w:val="28"/>
          <w:lang w:bidi="ar-EG"/>
        </w:rPr>
        <w:instrText xml:space="preserve"> ADDIN EN.CITE &lt;EndNote&gt;&lt;Cite AuthorYear="1"&gt;&lt;Author&gt;Yetim&lt;/Author&gt;&lt;Year&gt;2011&lt;/Year&gt;&lt;RecNum&gt;283&lt;/RecNum&gt;&lt;DisplayText&gt;Yetim, Sarioglu, Ekici, Ozturk, and Sagdic (2011)&lt;/DisplayText&gt;&lt;record&gt;&lt;rec-number&gt;283&lt;/rec-number&gt;&lt;foreign-keys&gt;&lt;key app="EN" db-id="ap9s050v8w5t9de9ezpvz92if2wepzzer2e2" timestamp="1738569775"&gt;283&lt;/key&gt;&lt;/foreign-keys&gt;&lt;ref-type name="Journal Article"&gt;17&lt;/ref-type&gt;&lt;contributors&gt;&lt;authors&gt;&lt;author&gt;Yetim, Hasan&lt;/author&gt;&lt;author&gt;Sarioglu, Kemal&lt;/author&gt;&lt;author&gt;Ekici, Lutfiye&lt;/author&gt;&lt;author&gt;Ozturk, Ismet&lt;/author&gt;&lt;author&gt;Sagdic, Osman&lt;/author&gt;&lt;/authors&gt;&lt;/contributors&gt;&lt;titles&gt;&lt;title&gt;Some characteristics of meats from the chickens fed with Lamiaceae spices: proximate composition, lipid oxidation, color and sensory properties&lt;/title&gt;&lt;/titles&gt;&lt;dates&gt;&lt;year&gt;2011&lt;/year&gt;&lt;/dates&gt;&lt;urls&gt;&lt;/urls&gt;&lt;/record&gt;&lt;/Cite&gt;&lt;/EndNote&gt;</w:instrText>
      </w:r>
      <w:r w:rsidRPr="000E2D76">
        <w:rPr>
          <w:sz w:val="28"/>
          <w:szCs w:val="28"/>
          <w:lang w:bidi="ar-EG"/>
        </w:rPr>
        <w:fldChar w:fldCharType="separate"/>
      </w:r>
      <w:r w:rsidRPr="000E2D76">
        <w:rPr>
          <w:noProof/>
          <w:sz w:val="28"/>
          <w:szCs w:val="28"/>
          <w:lang w:bidi="ar-EG"/>
        </w:rPr>
        <w:t>Yetim, Sarioglu, Ekici, Ozturk, and Sagdic (2011)</w:t>
      </w:r>
      <w:r w:rsidRPr="000E2D76">
        <w:rPr>
          <w:sz w:val="28"/>
          <w:szCs w:val="28"/>
          <w:lang w:bidi="ar-EG"/>
        </w:rPr>
        <w:fldChar w:fldCharType="end"/>
      </w:r>
      <w:r w:rsidRPr="000E2D76">
        <w:rPr>
          <w:sz w:val="28"/>
          <w:szCs w:val="28"/>
          <w:lang w:bidi="ar-EG"/>
        </w:rPr>
        <w:t>. The pH was determined on  digital pH meter (Hanna Instruments, Milano, Ita-</w:t>
      </w:r>
      <w:proofErr w:type="spellStart"/>
      <w:r w:rsidRPr="000E2D76">
        <w:rPr>
          <w:sz w:val="28"/>
          <w:szCs w:val="28"/>
          <w:lang w:bidi="ar-EG"/>
        </w:rPr>
        <w:t>ly</w:t>
      </w:r>
      <w:proofErr w:type="spellEnd"/>
      <w:r w:rsidRPr="000E2D76">
        <w:rPr>
          <w:sz w:val="28"/>
          <w:szCs w:val="28"/>
          <w:lang w:bidi="ar-EG"/>
        </w:rPr>
        <w:t xml:space="preserve">) at room temperature on homogenates of frankfurters  </w:t>
      </w:r>
      <w:r w:rsidRPr="000E2D76">
        <w:rPr>
          <w:sz w:val="28"/>
          <w:szCs w:val="28"/>
          <w:lang w:bidi="ar-EG"/>
        </w:rPr>
        <w:lastRenderedPageBreak/>
        <w:t>in water in a ratio 1:10 (w/v). Three determinations were performed for each formulation.</w:t>
      </w:r>
    </w:p>
    <w:p w14:paraId="26558DEC" w14:textId="77777777" w:rsidR="00EB7272" w:rsidRPr="000E2D76" w:rsidRDefault="00EB7272" w:rsidP="00EB7272">
      <w:pPr>
        <w:jc w:val="both"/>
        <w:rPr>
          <w:b/>
          <w:bCs/>
          <w:sz w:val="28"/>
          <w:szCs w:val="28"/>
          <w:lang w:bidi="ar-EG"/>
        </w:rPr>
      </w:pPr>
      <w:r w:rsidRPr="000E2D76">
        <w:rPr>
          <w:b/>
          <w:bCs/>
          <w:sz w:val="28"/>
          <w:szCs w:val="28"/>
          <w:lang w:bidi="ar-EG"/>
        </w:rPr>
        <w:t>Lipid oxidation</w:t>
      </w:r>
    </w:p>
    <w:p w14:paraId="3B32597F" w14:textId="77777777" w:rsidR="00A66F8B" w:rsidRPr="000E2D76" w:rsidRDefault="00EB7272" w:rsidP="00EB7272">
      <w:pPr>
        <w:jc w:val="both"/>
        <w:rPr>
          <w:sz w:val="28"/>
          <w:szCs w:val="28"/>
          <w:lang w:bidi="ar-EG"/>
        </w:rPr>
      </w:pPr>
      <w:proofErr w:type="spellStart"/>
      <w:r w:rsidRPr="000E2D76">
        <w:rPr>
          <w:sz w:val="28"/>
          <w:szCs w:val="28"/>
          <w:lang w:bidi="ar-EG"/>
        </w:rPr>
        <w:t>Thiobartiburic</w:t>
      </w:r>
      <w:proofErr w:type="spellEnd"/>
      <w:r w:rsidRPr="000E2D76">
        <w:rPr>
          <w:sz w:val="28"/>
          <w:szCs w:val="28"/>
          <w:lang w:bidi="ar-EG"/>
        </w:rPr>
        <w:t xml:space="preserve"> acid reactive substances (TBARs) were determined in triplicate in frankfurter using the method described by </w:t>
      </w:r>
      <w:r w:rsidRPr="000E2D76">
        <w:rPr>
          <w:sz w:val="28"/>
          <w:szCs w:val="28"/>
          <w:lang w:bidi="ar-EG"/>
        </w:rPr>
        <w:fldChar w:fldCharType="begin"/>
      </w:r>
      <w:r w:rsidRPr="000E2D76">
        <w:rPr>
          <w:sz w:val="28"/>
          <w:szCs w:val="28"/>
          <w:lang w:bidi="ar-EG"/>
        </w:rPr>
        <w:instrText xml:space="preserve"> ADDIN EN.CITE &lt;EndNote&gt;&lt;Cite AuthorYear="1"&gt;&lt;Author&gt;Delgado-Pando&lt;/Author&gt;&lt;Year&gt;2012&lt;/Year&gt;&lt;RecNum&gt;284&lt;/RecNum&gt;&lt;DisplayText&gt;Delgado-Pando, Cofrades, Ruiz-Capillas, Triki, and Jiménez-Colmenero (2012)&lt;/DisplayText&gt;&lt;record&gt;&lt;rec-number&gt;284&lt;/rec-number&gt;&lt;foreign-keys&gt;&lt;key app="EN" db-id="ap9s050v8w5t9de9ezpvz92if2wepzzer2e2" timestamp="1738569866"&gt;284&lt;/key&gt;&lt;/foreign-keys&gt;&lt;ref-type name="Journal Article"&gt;17&lt;/ref-type&gt;&lt;contributors&gt;&lt;authors&gt;&lt;author&gt;Delgado-Pando, Gonzalo&lt;/author&gt;&lt;author&gt;Cofrades, Susana&lt;/author&gt;&lt;author&gt;Ruiz-Capillas, Claudia&lt;/author&gt;&lt;author&gt;Triki, M&lt;/author&gt;&lt;author&gt;Jiménez-Colmenero, Francisco&lt;/author&gt;&lt;/authors&gt;&lt;/contributors&gt;&lt;titles&gt;&lt;title&gt;Enriched n− 3 PUFA/konjac gel low-fat pork liver pâté: Lipid oxidation, microbiological properties and biogenic amine formation during chilling storage&lt;/title&gt;&lt;secondary-title&gt;Meat Science&lt;/secondary-title&gt;&lt;/titles&gt;&lt;periodical&gt;&lt;full-title&gt;Meat science&lt;/full-title&gt;&lt;/periodical&gt;&lt;pages&gt;762-767&lt;/pages&gt;&lt;volume&gt;92&lt;/volume&gt;&lt;number&gt;4&lt;/number&gt;&lt;dates&gt;&lt;year&gt;2012&lt;/year&gt;&lt;/dates&gt;&lt;isbn&gt;0309-1740&lt;/isbn&gt;&lt;urls&gt;&lt;/urls&gt;&lt;/record&gt;&lt;/Cite&gt;&lt;/EndNote&gt;</w:instrText>
      </w:r>
      <w:r w:rsidRPr="000E2D76">
        <w:rPr>
          <w:sz w:val="28"/>
          <w:szCs w:val="28"/>
          <w:lang w:bidi="ar-EG"/>
        </w:rPr>
        <w:fldChar w:fldCharType="separate"/>
      </w:r>
      <w:r w:rsidRPr="000E2D76">
        <w:rPr>
          <w:noProof/>
          <w:sz w:val="28"/>
          <w:szCs w:val="28"/>
          <w:lang w:bidi="ar-EG"/>
        </w:rPr>
        <w:t>Delgado-Pando, Cofrades, Ruiz-Capillas, Triki, and Jiménez-Colmenero (2012)</w:t>
      </w:r>
      <w:r w:rsidRPr="000E2D76">
        <w:rPr>
          <w:sz w:val="28"/>
          <w:szCs w:val="28"/>
          <w:lang w:bidi="ar-EG"/>
        </w:rPr>
        <w:fldChar w:fldCharType="end"/>
      </w:r>
      <w:r w:rsidRPr="000E2D76">
        <w:rPr>
          <w:sz w:val="28"/>
          <w:szCs w:val="28"/>
          <w:lang w:bidi="ar-EG"/>
        </w:rPr>
        <w:t xml:space="preserve">. Results were expressed as mg malonaldehyde (MDA)/kg burger, based on a standard curve prepared from 1,1,3,3- </w:t>
      </w:r>
      <w:proofErr w:type="spellStart"/>
      <w:r w:rsidRPr="000E2D76">
        <w:rPr>
          <w:sz w:val="28"/>
          <w:szCs w:val="28"/>
          <w:lang w:bidi="ar-EG"/>
        </w:rPr>
        <w:t>tetraethoxypropane</w:t>
      </w:r>
      <w:proofErr w:type="spellEnd"/>
      <w:r w:rsidRPr="000E2D76">
        <w:rPr>
          <w:sz w:val="28"/>
          <w:szCs w:val="28"/>
          <w:lang w:bidi="ar-EG"/>
        </w:rPr>
        <w:t xml:space="preserve"> in advance.</w:t>
      </w:r>
    </w:p>
    <w:p w14:paraId="15A030E9" w14:textId="77777777" w:rsidR="00EB7272" w:rsidRPr="000E2D76" w:rsidRDefault="00EB7272" w:rsidP="00EB7272">
      <w:pPr>
        <w:jc w:val="both"/>
        <w:rPr>
          <w:b/>
          <w:bCs/>
          <w:sz w:val="28"/>
          <w:szCs w:val="28"/>
          <w:lang w:bidi="ar-EG"/>
        </w:rPr>
      </w:pPr>
      <w:r w:rsidRPr="000E2D76">
        <w:rPr>
          <w:b/>
          <w:bCs/>
          <w:sz w:val="28"/>
          <w:szCs w:val="28"/>
          <w:lang w:bidi="ar-EG"/>
        </w:rPr>
        <w:t xml:space="preserve">Determination of cooking loss (CL) </w:t>
      </w:r>
    </w:p>
    <w:p w14:paraId="3D8110F8" w14:textId="77777777" w:rsidR="00EB7272" w:rsidRPr="000E2D76" w:rsidRDefault="00EB7272" w:rsidP="00EB7272">
      <w:pPr>
        <w:jc w:val="both"/>
        <w:rPr>
          <w:sz w:val="28"/>
          <w:szCs w:val="28"/>
          <w:lang w:bidi="ar-EG"/>
        </w:rPr>
      </w:pPr>
      <w:r w:rsidRPr="000E2D76">
        <w:rPr>
          <w:sz w:val="28"/>
          <w:szCs w:val="28"/>
          <w:lang w:bidi="ar-EG"/>
        </w:rPr>
        <w:t xml:space="preserve">Cooking loss of frankfurter was calculated as described by </w:t>
      </w:r>
      <w:r w:rsidRPr="000E2D76">
        <w:rPr>
          <w:sz w:val="28"/>
          <w:szCs w:val="28"/>
          <w:lang w:bidi="ar-EG"/>
        </w:rPr>
        <w:fldChar w:fldCharType="begin"/>
      </w:r>
      <w:r w:rsidRPr="000E2D76">
        <w:rPr>
          <w:sz w:val="28"/>
          <w:szCs w:val="28"/>
          <w:lang w:bidi="ar-EG"/>
        </w:rPr>
        <w:instrText xml:space="preserve"> ADDIN EN.CITE &lt;EndNote&gt;&lt;Cite AuthorYear="1"&gt;&lt;Author&gt;Erdogdu&lt;/Author&gt;&lt;Year&gt;2007&lt;/Year&gt;&lt;RecNum&gt;285&lt;/RecNum&gt;&lt;DisplayText&gt;Erdogdu, Erdogdu, and Ekiz (2007)&lt;/DisplayText&gt;&lt;record&gt;&lt;rec-number&gt;285&lt;/rec-number&gt;&lt;foreign-keys&gt;&lt;key app="EN" db-id="ap9s050v8w5t9de9ezpvz92if2wepzzer2e2" timestamp="1738570023"&gt;285&lt;/key&gt;&lt;/foreign-keys&gt;&lt;ref-type name="Journal Article"&gt;17&lt;/ref-type&gt;&lt;contributors&gt;&lt;authors&gt;&lt;author&gt;Erdogdu, S Belgin&lt;/author&gt;&lt;author&gt;Erdogdu, Ferruh&lt;/author&gt;&lt;author&gt;Ekiz, H Ibrahim&lt;/author&gt;&lt;/authors&gt;&lt;/contributors&gt;&lt;titles&gt;&lt;title&gt;Influence of sodium tripolyphosphate (STP) treatment and cooking time on cook losses and textural properties of red meats&lt;/title&gt;&lt;secondary-title&gt;Journal of Food Process Engineering&lt;/secondary-title&gt;&lt;/titles&gt;&lt;periodical&gt;&lt;full-title&gt;Journal of Food Process Engineering&lt;/full-title&gt;&lt;/periodical&gt;&lt;pages&gt;685-700&lt;/pages&gt;&lt;volume&gt;30&lt;/volume&gt;&lt;number&gt;6&lt;/number&gt;&lt;dates&gt;&lt;year&gt;2007&lt;/year&gt;&lt;/dates&gt;&lt;isbn&gt;0145-8876&lt;/isbn&gt;&lt;urls&gt;&lt;/urls&gt;&lt;/record&gt;&lt;/Cite&gt;&lt;/EndNote&gt;</w:instrText>
      </w:r>
      <w:r w:rsidRPr="000E2D76">
        <w:rPr>
          <w:sz w:val="28"/>
          <w:szCs w:val="28"/>
          <w:lang w:bidi="ar-EG"/>
        </w:rPr>
        <w:fldChar w:fldCharType="separate"/>
      </w:r>
      <w:r w:rsidRPr="000E2D76">
        <w:rPr>
          <w:noProof/>
          <w:sz w:val="28"/>
          <w:szCs w:val="28"/>
          <w:lang w:bidi="ar-EG"/>
        </w:rPr>
        <w:t>Erdogdu, Erdogdu, and Ekiz (2007)</w:t>
      </w:r>
      <w:r w:rsidRPr="000E2D76">
        <w:rPr>
          <w:sz w:val="28"/>
          <w:szCs w:val="28"/>
          <w:lang w:bidi="ar-EG"/>
        </w:rPr>
        <w:fldChar w:fldCharType="end"/>
      </w:r>
      <w:r w:rsidRPr="000E2D76">
        <w:rPr>
          <w:sz w:val="28"/>
          <w:szCs w:val="28"/>
          <w:lang w:bidi="ar-EG"/>
        </w:rPr>
        <w:t xml:space="preserve"> following the formula: </w:t>
      </w:r>
    </w:p>
    <w:p w14:paraId="1B74C806" w14:textId="77777777" w:rsidR="00EB7272" w:rsidRPr="000E2D76" w:rsidRDefault="00EB7272" w:rsidP="00EB7272">
      <w:pPr>
        <w:jc w:val="both"/>
        <w:rPr>
          <w:sz w:val="28"/>
          <w:szCs w:val="28"/>
          <w:lang w:bidi="ar-EG"/>
        </w:rPr>
      </w:pPr>
      <w:r w:rsidRPr="000E2D76">
        <w:rPr>
          <w:sz w:val="28"/>
          <w:szCs w:val="28"/>
          <w:lang w:bidi="ar-EG"/>
        </w:rPr>
        <w:t xml:space="preserve">Cooking Loss (CL </w:t>
      </w:r>
      <w:proofErr w:type="gramStart"/>
      <w:r w:rsidRPr="000E2D76">
        <w:rPr>
          <w:sz w:val="28"/>
          <w:szCs w:val="28"/>
          <w:lang w:bidi="ar-EG"/>
        </w:rPr>
        <w:t>%)=</w:t>
      </w:r>
      <w:proofErr w:type="gramEnd"/>
      <w:r w:rsidRPr="000E2D76">
        <w:rPr>
          <w:sz w:val="28"/>
          <w:szCs w:val="28"/>
          <w:lang w:bidi="ar-EG"/>
        </w:rPr>
        <w:t xml:space="preserve"> (Mi - </w:t>
      </w:r>
      <w:proofErr w:type="spellStart"/>
      <w:r w:rsidRPr="000E2D76">
        <w:rPr>
          <w:sz w:val="28"/>
          <w:szCs w:val="28"/>
          <w:lang w:bidi="ar-EG"/>
        </w:rPr>
        <w:t>Mf</w:t>
      </w:r>
      <w:proofErr w:type="spellEnd"/>
      <w:r w:rsidRPr="000E2D76">
        <w:rPr>
          <w:sz w:val="28"/>
          <w:szCs w:val="28"/>
          <w:lang w:bidi="ar-EG"/>
        </w:rPr>
        <w:t>) / Mi × 100</w:t>
      </w:r>
    </w:p>
    <w:p w14:paraId="6A2A3E0E" w14:textId="77777777" w:rsidR="00EB7272" w:rsidRPr="000E2D76" w:rsidRDefault="00EB7272" w:rsidP="00EB7272">
      <w:pPr>
        <w:jc w:val="both"/>
        <w:rPr>
          <w:sz w:val="28"/>
          <w:szCs w:val="28"/>
          <w:lang w:bidi="ar-EG"/>
        </w:rPr>
      </w:pPr>
      <w:r w:rsidRPr="000E2D76">
        <w:rPr>
          <w:sz w:val="28"/>
          <w:szCs w:val="28"/>
          <w:lang w:bidi="ar-EG"/>
        </w:rPr>
        <w:t xml:space="preserve">Where: Mi = Initial mass of the raw frankfurter in gram, Mf = Final mass of the cooked frankfurter in grams </w:t>
      </w:r>
    </w:p>
    <w:p w14:paraId="719BA1E8" w14:textId="77777777" w:rsidR="00EB7272" w:rsidRPr="000E2D76" w:rsidRDefault="00EB7272" w:rsidP="00EB7272">
      <w:pPr>
        <w:jc w:val="both"/>
        <w:rPr>
          <w:b/>
          <w:bCs/>
          <w:sz w:val="28"/>
          <w:szCs w:val="28"/>
          <w:lang w:bidi="ar-EG"/>
        </w:rPr>
      </w:pPr>
      <w:r w:rsidRPr="000E2D76">
        <w:rPr>
          <w:b/>
          <w:bCs/>
          <w:sz w:val="28"/>
          <w:szCs w:val="28"/>
          <w:lang w:bidi="ar-EG"/>
        </w:rPr>
        <w:t xml:space="preserve">Determination of cooking yield </w:t>
      </w:r>
    </w:p>
    <w:p w14:paraId="7A9F4706" w14:textId="77777777" w:rsidR="00EB7272" w:rsidRPr="000E2D76" w:rsidRDefault="00EB7272" w:rsidP="00EB7272">
      <w:pPr>
        <w:jc w:val="both"/>
        <w:rPr>
          <w:sz w:val="28"/>
          <w:szCs w:val="28"/>
          <w:lang w:bidi="ar-EG"/>
        </w:rPr>
      </w:pPr>
      <w:r w:rsidRPr="000E2D76">
        <w:rPr>
          <w:sz w:val="28"/>
          <w:szCs w:val="28"/>
          <w:lang w:bidi="ar-EG"/>
        </w:rPr>
        <w:t xml:space="preserve">Cooking yield was determined and calculated according to </w:t>
      </w:r>
      <w:r w:rsidRPr="000E2D76">
        <w:rPr>
          <w:sz w:val="28"/>
          <w:szCs w:val="28"/>
          <w:lang w:bidi="ar-EG"/>
        </w:rPr>
        <w:fldChar w:fldCharType="begin"/>
      </w:r>
      <w:r w:rsidRPr="000E2D76">
        <w:rPr>
          <w:sz w:val="28"/>
          <w:szCs w:val="28"/>
          <w:lang w:bidi="ar-EG"/>
        </w:rPr>
        <w:instrText xml:space="preserve"> ADDIN EN.CITE &lt;EndNote&gt;&lt;Cite AuthorYear="1"&gt;&lt;Author&gt;Murphy&lt;/Author&gt;&lt;Year&gt;1975&lt;/Year&gt;&lt;RecNum&gt;286&lt;/RecNum&gt;&lt;DisplayText&gt;Murphy, Criner, and Gray (1975)&lt;/DisplayText&gt;&lt;record&gt;&lt;rec-number&gt;286&lt;/rec-number&gt;&lt;foreign-keys&gt;&lt;key app="EN" db-id="ap9s050v8w5t9de9ezpvz92if2wepzzer2e2" timestamp="1738570047"&gt;286&lt;/key&gt;&lt;/foreign-keys&gt;&lt;ref-type name="Journal Article"&gt;17&lt;/ref-type&gt;&lt;contributors&gt;&lt;authors&gt;&lt;author&gt;Murphy, Elizabeth W&lt;/author&gt;&lt;author&gt;Criner, Patricia E&lt;/author&gt;&lt;author&gt;Gray, Brucy C&lt;/author&gt;&lt;/authors&gt;&lt;/contributors&gt;&lt;titles&gt;&lt;title&gt;Comparisons of methods for calculating retentions of nutrients in cooked foods&lt;/title&gt;&lt;secondary-title&gt;Journal of agricultural and food chemistry&lt;/secondary-title&gt;&lt;/titles&gt;&lt;periodical&gt;&lt;full-title&gt;Journal of agricultural and food chemistry&lt;/full-title&gt;&lt;/periodical&gt;&lt;pages&gt;1153-1157&lt;/pages&gt;&lt;volume&gt;23&lt;/volume&gt;&lt;number&gt;6&lt;/number&gt;&lt;dates&gt;&lt;year&gt;1975&lt;/year&gt;&lt;/dates&gt;&lt;isbn&gt;0021-8561&lt;/isbn&gt;&lt;urls&gt;&lt;/urls&gt;&lt;/record&gt;&lt;/Cite&gt;&lt;/EndNote&gt;</w:instrText>
      </w:r>
      <w:r w:rsidRPr="000E2D76">
        <w:rPr>
          <w:sz w:val="28"/>
          <w:szCs w:val="28"/>
          <w:lang w:bidi="ar-EG"/>
        </w:rPr>
        <w:fldChar w:fldCharType="separate"/>
      </w:r>
      <w:r w:rsidRPr="000E2D76">
        <w:rPr>
          <w:noProof/>
          <w:sz w:val="28"/>
          <w:szCs w:val="28"/>
          <w:lang w:bidi="ar-EG"/>
        </w:rPr>
        <w:t>Murphy, Criner, and Gray (1975)</w:t>
      </w:r>
      <w:r w:rsidRPr="000E2D76">
        <w:rPr>
          <w:sz w:val="28"/>
          <w:szCs w:val="28"/>
          <w:lang w:bidi="ar-EG"/>
        </w:rPr>
        <w:fldChar w:fldCharType="end"/>
      </w:r>
      <w:r w:rsidRPr="000E2D76">
        <w:rPr>
          <w:sz w:val="28"/>
          <w:szCs w:val="28"/>
          <w:lang w:bidi="ar-EG"/>
        </w:rPr>
        <w:t xml:space="preserve">: </w:t>
      </w:r>
    </w:p>
    <w:p w14:paraId="4B74BA39" w14:textId="77777777" w:rsidR="00EB7272" w:rsidRPr="000E2D76" w:rsidRDefault="00EB7272" w:rsidP="00EB7272">
      <w:pPr>
        <w:jc w:val="both"/>
        <w:rPr>
          <w:sz w:val="28"/>
          <w:szCs w:val="28"/>
          <w:lang w:bidi="ar-EG"/>
        </w:rPr>
      </w:pPr>
      <w:r w:rsidRPr="000E2D76">
        <w:rPr>
          <w:sz w:val="28"/>
          <w:szCs w:val="28"/>
          <w:lang w:bidi="ar-EG"/>
        </w:rPr>
        <w:t>Cook yields</w:t>
      </w:r>
      <w:proofErr w:type="gramStart"/>
      <w:r w:rsidRPr="000E2D76">
        <w:rPr>
          <w:sz w:val="28"/>
          <w:szCs w:val="28"/>
          <w:lang w:bidi="ar-EG"/>
        </w:rPr>
        <w:t>=(</w:t>
      </w:r>
      <w:proofErr w:type="gramEnd"/>
      <w:r w:rsidRPr="000E2D76">
        <w:rPr>
          <w:sz w:val="28"/>
          <w:szCs w:val="28"/>
          <w:lang w:bidi="ar-EG"/>
        </w:rPr>
        <w:t>Weight of cooked frankfurter)/ (Weight of raw frankfurter) ×100</w:t>
      </w:r>
    </w:p>
    <w:p w14:paraId="5818FF16" w14:textId="77777777" w:rsidR="00EB7272" w:rsidRPr="000E2D76" w:rsidRDefault="00EB7272" w:rsidP="00EB7272">
      <w:pPr>
        <w:jc w:val="both"/>
        <w:rPr>
          <w:b/>
          <w:bCs/>
          <w:sz w:val="28"/>
          <w:szCs w:val="28"/>
          <w:lang w:bidi="ar-EG"/>
        </w:rPr>
      </w:pPr>
      <w:r w:rsidRPr="000E2D76">
        <w:rPr>
          <w:b/>
          <w:bCs/>
          <w:sz w:val="28"/>
          <w:szCs w:val="28"/>
          <w:lang w:bidi="ar-EG"/>
        </w:rPr>
        <w:t xml:space="preserve">Determination of Fat retention %: </w:t>
      </w:r>
    </w:p>
    <w:p w14:paraId="51FEDBCA" w14:textId="77777777" w:rsidR="00EB7272" w:rsidRPr="000E2D76" w:rsidRDefault="00EB7272" w:rsidP="00EB7272">
      <w:pPr>
        <w:jc w:val="both"/>
        <w:rPr>
          <w:sz w:val="28"/>
          <w:szCs w:val="28"/>
          <w:lang w:bidi="ar-EG"/>
        </w:rPr>
      </w:pPr>
      <w:r w:rsidRPr="000E2D76">
        <w:rPr>
          <w:sz w:val="28"/>
          <w:szCs w:val="28"/>
          <w:lang w:bidi="ar-EG"/>
        </w:rPr>
        <w:t xml:space="preserve">Fat retention of frankfurter was calculated as described by </w:t>
      </w:r>
      <w:r w:rsidRPr="000E2D76">
        <w:rPr>
          <w:sz w:val="28"/>
          <w:szCs w:val="28"/>
          <w:lang w:bidi="ar-EG"/>
        </w:rPr>
        <w:fldChar w:fldCharType="begin"/>
      </w:r>
      <w:r w:rsidRPr="000E2D76">
        <w:rPr>
          <w:sz w:val="28"/>
          <w:szCs w:val="28"/>
          <w:lang w:bidi="ar-EG"/>
        </w:rPr>
        <w:instrText xml:space="preserve"> ADDIN EN.CITE &lt;EndNote&gt;&lt;Cite AuthorYear="1"&gt;&lt;Author&gt;Serdaroğlu&lt;/Author&gt;&lt;Year&gt;2004&lt;/Year&gt;&lt;RecNum&gt;287&lt;/RecNum&gt;&lt;DisplayText&gt;Serdaroğlu and Değırmencioğlu (2004)&lt;/DisplayText&gt;&lt;record&gt;&lt;rec-number&gt;287&lt;/rec-number&gt;&lt;foreign-keys&gt;&lt;key app="EN" db-id="ap9s050v8w5t9de9ezpvz92if2wepzzer2e2" timestamp="1738570071"&gt;287&lt;/key&gt;&lt;/foreign-keys&gt;&lt;ref-type name="Journal Article"&gt;17&lt;/ref-type&gt;&lt;contributors&gt;&lt;authors&gt;&lt;author&gt;Serdaroğlu, Meltem&lt;/author&gt;&lt;author&gt;Değırmencioğlu, Özlem&lt;/author&gt;&lt;/authors&gt;&lt;/contributors&gt;&lt;titles&gt;&lt;title&gt;Effects of fat level (5%, 10%, 20%) and corn flour (0%, 2%, 4%) on some properties of Turkish type meatballs (koefte)&lt;/title&gt;&lt;secondary-title&gt;Meat Science&lt;/secondary-title&gt;&lt;/titles&gt;&lt;periodical&gt;&lt;full-title&gt;Meat science&lt;/full-title&gt;&lt;/periodical&gt;&lt;pages&gt;291-296&lt;/pages&gt;&lt;volume&gt;68&lt;/volume&gt;&lt;number&gt;2&lt;/number&gt;&lt;dates&gt;&lt;year&gt;2004&lt;/year&gt;&lt;/dates&gt;&lt;isbn&gt;0309-1740&lt;/isbn&gt;&lt;urls&gt;&lt;/urls&gt;&lt;/record&gt;&lt;/Cite&gt;&lt;/EndNote&gt;</w:instrText>
      </w:r>
      <w:r w:rsidRPr="000E2D76">
        <w:rPr>
          <w:sz w:val="28"/>
          <w:szCs w:val="28"/>
          <w:lang w:bidi="ar-EG"/>
        </w:rPr>
        <w:fldChar w:fldCharType="separate"/>
      </w:r>
      <w:r w:rsidRPr="000E2D76">
        <w:rPr>
          <w:noProof/>
          <w:sz w:val="28"/>
          <w:szCs w:val="28"/>
          <w:lang w:bidi="ar-EG"/>
        </w:rPr>
        <w:t>Serdaroğlu and Değırmencioğlu (2004)</w:t>
      </w:r>
      <w:r w:rsidRPr="000E2D76">
        <w:rPr>
          <w:sz w:val="28"/>
          <w:szCs w:val="28"/>
          <w:lang w:bidi="ar-EG"/>
        </w:rPr>
        <w:fldChar w:fldCharType="end"/>
      </w:r>
      <w:r w:rsidRPr="000E2D76">
        <w:rPr>
          <w:sz w:val="28"/>
          <w:szCs w:val="28"/>
          <w:lang w:bidi="ar-EG"/>
        </w:rPr>
        <w:t xml:space="preserve"> following the formula:</w:t>
      </w:r>
    </w:p>
    <w:p w14:paraId="3942A455" w14:textId="77777777" w:rsidR="00A66F8B" w:rsidRPr="000E2D76" w:rsidRDefault="00EB7272" w:rsidP="00EB7272">
      <w:pPr>
        <w:jc w:val="both"/>
        <w:rPr>
          <w:sz w:val="28"/>
          <w:szCs w:val="28"/>
          <w:lang w:bidi="ar-EG"/>
        </w:rPr>
      </w:pPr>
      <w:r w:rsidRPr="000E2D76">
        <w:rPr>
          <w:sz w:val="28"/>
          <w:szCs w:val="28"/>
          <w:lang w:bidi="ar-EG"/>
        </w:rPr>
        <w:t xml:space="preserve">Fat </w:t>
      </w:r>
      <w:proofErr w:type="gramStart"/>
      <w:r w:rsidRPr="000E2D76">
        <w:rPr>
          <w:sz w:val="28"/>
          <w:szCs w:val="28"/>
          <w:lang w:bidi="ar-EG"/>
        </w:rPr>
        <w:t>retention(%)=</w:t>
      </w:r>
      <w:proofErr w:type="gramEnd"/>
      <w:r w:rsidRPr="000E2D76">
        <w:rPr>
          <w:sz w:val="28"/>
          <w:szCs w:val="28"/>
          <w:lang w:bidi="ar-EG"/>
        </w:rPr>
        <w:t xml:space="preserve">  (cook weight ×fat in cook frankfurter%)</w:t>
      </w:r>
      <w:proofErr w:type="gramStart"/>
      <w:r w:rsidRPr="000E2D76">
        <w:rPr>
          <w:sz w:val="28"/>
          <w:szCs w:val="28"/>
          <w:lang w:bidi="ar-EG"/>
        </w:rPr>
        <w:t>/(</w:t>
      </w:r>
      <w:proofErr w:type="gramEnd"/>
      <w:r w:rsidRPr="000E2D76">
        <w:rPr>
          <w:sz w:val="28"/>
          <w:szCs w:val="28"/>
          <w:lang w:bidi="ar-EG"/>
        </w:rPr>
        <w:t xml:space="preserve">Row weight ×fat in </w:t>
      </w:r>
      <w:proofErr w:type="spellStart"/>
      <w:r w:rsidRPr="000E2D76">
        <w:rPr>
          <w:sz w:val="28"/>
          <w:szCs w:val="28"/>
          <w:lang w:bidi="ar-EG"/>
        </w:rPr>
        <w:t>uncook</w:t>
      </w:r>
      <w:proofErr w:type="spellEnd"/>
      <w:r w:rsidRPr="000E2D76">
        <w:rPr>
          <w:sz w:val="28"/>
          <w:szCs w:val="28"/>
          <w:lang w:bidi="ar-EG"/>
        </w:rPr>
        <w:t xml:space="preserve"> frankfurter</w:t>
      </w:r>
      <w:proofErr w:type="gramStart"/>
      <w:r w:rsidRPr="000E2D76">
        <w:rPr>
          <w:sz w:val="28"/>
          <w:szCs w:val="28"/>
          <w:lang w:bidi="ar-EG"/>
        </w:rPr>
        <w:t>% )</w:t>
      </w:r>
      <w:proofErr w:type="gramEnd"/>
      <w:r w:rsidRPr="000E2D76">
        <w:rPr>
          <w:sz w:val="28"/>
          <w:szCs w:val="28"/>
          <w:lang w:bidi="ar-EG"/>
        </w:rPr>
        <w:t>×100</w:t>
      </w:r>
    </w:p>
    <w:p w14:paraId="4CA72373" w14:textId="77777777" w:rsidR="001D675B" w:rsidRPr="000E2D76" w:rsidRDefault="001D675B" w:rsidP="001D675B">
      <w:pPr>
        <w:jc w:val="both"/>
        <w:rPr>
          <w:b/>
          <w:bCs/>
          <w:sz w:val="28"/>
          <w:szCs w:val="28"/>
          <w:lang w:bidi="ar-EG"/>
        </w:rPr>
      </w:pPr>
      <w:r w:rsidRPr="000E2D76">
        <w:rPr>
          <w:b/>
          <w:bCs/>
          <w:sz w:val="28"/>
          <w:szCs w:val="28"/>
          <w:lang w:bidi="ar-EG"/>
        </w:rPr>
        <w:t>Statistical analysis</w:t>
      </w:r>
    </w:p>
    <w:p w14:paraId="4307D30F" w14:textId="77777777" w:rsidR="001D675B" w:rsidRPr="000E2D76" w:rsidRDefault="001D675B" w:rsidP="001D675B">
      <w:pPr>
        <w:jc w:val="both"/>
        <w:rPr>
          <w:sz w:val="28"/>
          <w:szCs w:val="28"/>
          <w:lang w:bidi="ar-EG"/>
        </w:rPr>
      </w:pPr>
      <w:r w:rsidRPr="000E2D76">
        <w:rPr>
          <w:sz w:val="28"/>
          <w:szCs w:val="28"/>
          <w:lang w:bidi="ar-EG"/>
        </w:rPr>
        <w:t>The data were analyzed using SPSS software (16.0) to assess variance through the one-way analysis of variance (ANOVA) method. Samples were computed based on three repetitions.</w:t>
      </w:r>
    </w:p>
    <w:p w14:paraId="1E38CFF3" w14:textId="77777777" w:rsidR="007770FB" w:rsidRDefault="007770FB">
      <w:pPr>
        <w:rPr>
          <w:b/>
          <w:bCs/>
          <w:sz w:val="28"/>
          <w:szCs w:val="28"/>
          <w:lang w:bidi="ar-EG"/>
        </w:rPr>
      </w:pPr>
    </w:p>
    <w:p w14:paraId="048E6D88" w14:textId="77777777" w:rsidR="008615A3" w:rsidRPr="000E2D76" w:rsidRDefault="008615A3">
      <w:pPr>
        <w:rPr>
          <w:b/>
          <w:bCs/>
          <w:sz w:val="28"/>
          <w:szCs w:val="28"/>
          <w:lang w:bidi="ar-EG"/>
        </w:rPr>
      </w:pPr>
      <w:r w:rsidRPr="000E2D76">
        <w:rPr>
          <w:b/>
          <w:bCs/>
          <w:sz w:val="28"/>
          <w:szCs w:val="28"/>
          <w:lang w:bidi="ar-EG"/>
        </w:rPr>
        <w:lastRenderedPageBreak/>
        <w:t xml:space="preserve">Results and discussion </w:t>
      </w:r>
    </w:p>
    <w:p w14:paraId="670C9C1F" w14:textId="77777777" w:rsidR="008615A3" w:rsidRPr="000E2D76" w:rsidRDefault="008615A3" w:rsidP="008615A3">
      <w:pPr>
        <w:jc w:val="both"/>
        <w:rPr>
          <w:b/>
          <w:bCs/>
          <w:sz w:val="28"/>
          <w:szCs w:val="28"/>
          <w:lang w:bidi="ar-EG"/>
        </w:rPr>
      </w:pPr>
      <w:r w:rsidRPr="000E2D76">
        <w:rPr>
          <w:b/>
          <w:bCs/>
          <w:sz w:val="28"/>
          <w:szCs w:val="28"/>
          <w:lang w:bidi="ar-EG"/>
        </w:rPr>
        <w:t xml:space="preserve">Physical Characterization of Sunflower Oil-Based </w:t>
      </w:r>
      <w:proofErr w:type="spellStart"/>
      <w:r w:rsidRPr="000E2D76">
        <w:rPr>
          <w:b/>
          <w:bCs/>
          <w:sz w:val="28"/>
          <w:szCs w:val="28"/>
          <w:lang w:bidi="ar-EG"/>
        </w:rPr>
        <w:t>Oleogels</w:t>
      </w:r>
      <w:proofErr w:type="spellEnd"/>
      <w:r w:rsidRPr="000E2D76">
        <w:rPr>
          <w:b/>
          <w:bCs/>
          <w:sz w:val="28"/>
          <w:szCs w:val="28"/>
          <w:lang w:bidi="ar-EG"/>
        </w:rPr>
        <w:t xml:space="preserve"> Structured with Beeswax and Sunflower Wax</w:t>
      </w:r>
    </w:p>
    <w:p w14:paraId="69CE476C" w14:textId="77777777" w:rsidR="008615A3" w:rsidRPr="000E2D76" w:rsidRDefault="008615A3" w:rsidP="008615A3">
      <w:pPr>
        <w:jc w:val="both"/>
        <w:rPr>
          <w:sz w:val="28"/>
          <w:szCs w:val="28"/>
          <w:lang w:bidi="ar-EG"/>
        </w:rPr>
      </w:pPr>
      <w:r w:rsidRPr="000E2D76">
        <w:rPr>
          <w:sz w:val="28"/>
          <w:szCs w:val="28"/>
          <w:lang w:bidi="ar-EG"/>
        </w:rPr>
        <w:t xml:space="preserve">The physical properties of </w:t>
      </w:r>
      <w:proofErr w:type="spellStart"/>
      <w:r w:rsidRPr="000E2D76">
        <w:rPr>
          <w:sz w:val="28"/>
          <w:szCs w:val="28"/>
          <w:lang w:bidi="ar-EG"/>
        </w:rPr>
        <w:t>oleogels</w:t>
      </w:r>
      <w:proofErr w:type="spellEnd"/>
      <w:r w:rsidRPr="000E2D76">
        <w:rPr>
          <w:sz w:val="28"/>
          <w:szCs w:val="28"/>
          <w:lang w:bidi="ar-EG"/>
        </w:rPr>
        <w:t xml:space="preserve">, including gelation time, oil binding capacity, firmness, and melting point, are critical for their functional performance in food applications. Gelation time results showed that sunflower wax achieved faster gelation than beeswax at the same concentration, likely due to its high content of long-chain saturated fatty acids and esters, which promote rapid nucleation and crystallization (Doan et al., 2022). Beeswax, on the other hand, exhibited longer gelation times due to its complex mixture of fatty acids, esters, and hydrocarbons, which require more time to structure the </w:t>
      </w:r>
      <w:proofErr w:type="spellStart"/>
      <w:r w:rsidRPr="000E2D76">
        <w:rPr>
          <w:sz w:val="28"/>
          <w:szCs w:val="28"/>
          <w:lang w:bidi="ar-EG"/>
        </w:rPr>
        <w:t>oleogel</w:t>
      </w:r>
      <w:proofErr w:type="spellEnd"/>
      <w:r w:rsidRPr="000E2D76">
        <w:rPr>
          <w:sz w:val="28"/>
          <w:szCs w:val="28"/>
          <w:lang w:bidi="ar-EG"/>
        </w:rPr>
        <w:t xml:space="preserve"> network (Patel et al., 2015). Oil binding capacity (OBC) was generally high (&gt;90%) across all samples, with beeswax </w:t>
      </w:r>
      <w:proofErr w:type="spellStart"/>
      <w:r w:rsidRPr="000E2D76">
        <w:rPr>
          <w:sz w:val="28"/>
          <w:szCs w:val="28"/>
          <w:lang w:bidi="ar-EG"/>
        </w:rPr>
        <w:t>oleogels</w:t>
      </w:r>
      <w:proofErr w:type="spellEnd"/>
      <w:r w:rsidRPr="000E2D76">
        <w:rPr>
          <w:sz w:val="28"/>
          <w:szCs w:val="28"/>
          <w:lang w:bidi="ar-EG"/>
        </w:rPr>
        <w:t xml:space="preserve"> showing slightly superior oil retention compared to sunflower wax </w:t>
      </w:r>
      <w:proofErr w:type="spellStart"/>
      <w:r w:rsidRPr="000E2D76">
        <w:rPr>
          <w:sz w:val="28"/>
          <w:szCs w:val="28"/>
          <w:lang w:bidi="ar-EG"/>
        </w:rPr>
        <w:t>oleogels</w:t>
      </w:r>
      <w:proofErr w:type="spellEnd"/>
      <w:r w:rsidRPr="000E2D76">
        <w:rPr>
          <w:sz w:val="28"/>
          <w:szCs w:val="28"/>
          <w:lang w:bidi="ar-EG"/>
        </w:rPr>
        <w:t xml:space="preserve">. The highest OBC (99.28%) was recorded for the 10% beeswax </w:t>
      </w:r>
      <w:proofErr w:type="spellStart"/>
      <w:r w:rsidRPr="000E2D76">
        <w:rPr>
          <w:sz w:val="28"/>
          <w:szCs w:val="28"/>
          <w:lang w:bidi="ar-EG"/>
        </w:rPr>
        <w:t>oleogel</w:t>
      </w:r>
      <w:proofErr w:type="spellEnd"/>
      <w:r w:rsidRPr="000E2D76">
        <w:rPr>
          <w:sz w:val="28"/>
          <w:szCs w:val="28"/>
          <w:lang w:bidi="ar-EG"/>
        </w:rPr>
        <w:t xml:space="preserve">, suggesting a denser gel network at higher wax concentrations, preventing oil migration. In contrast, sunflower wax </w:t>
      </w:r>
      <w:proofErr w:type="spellStart"/>
      <w:r w:rsidRPr="000E2D76">
        <w:rPr>
          <w:sz w:val="28"/>
          <w:szCs w:val="28"/>
          <w:lang w:bidi="ar-EG"/>
        </w:rPr>
        <w:t>oleogels</w:t>
      </w:r>
      <w:proofErr w:type="spellEnd"/>
      <w:r w:rsidRPr="000E2D76">
        <w:rPr>
          <w:sz w:val="28"/>
          <w:szCs w:val="28"/>
          <w:lang w:bidi="ar-EG"/>
        </w:rPr>
        <w:t xml:space="preserve"> exhibited slightly lower OBC values (92.65–97.68%) due to their larger crystal structures, which may allow minimal oil release (</w:t>
      </w:r>
      <w:proofErr w:type="spellStart"/>
      <w:r w:rsidRPr="000E2D76">
        <w:rPr>
          <w:sz w:val="28"/>
          <w:szCs w:val="28"/>
          <w:lang w:bidi="ar-EG"/>
        </w:rPr>
        <w:t>Zulim</w:t>
      </w:r>
      <w:proofErr w:type="spellEnd"/>
      <w:r w:rsidRPr="000E2D76">
        <w:rPr>
          <w:sz w:val="28"/>
          <w:szCs w:val="28"/>
          <w:lang w:bidi="ar-EG"/>
        </w:rPr>
        <w:t xml:space="preserve"> et al., 2020).</w:t>
      </w:r>
    </w:p>
    <w:p w14:paraId="2996E53C" w14:textId="77777777" w:rsidR="008615A3" w:rsidRPr="000E2D76" w:rsidRDefault="008615A3" w:rsidP="008615A3">
      <w:pPr>
        <w:jc w:val="both"/>
        <w:rPr>
          <w:sz w:val="28"/>
          <w:szCs w:val="28"/>
          <w:lang w:bidi="ar-EG"/>
        </w:rPr>
      </w:pPr>
      <w:r w:rsidRPr="000E2D76">
        <w:rPr>
          <w:sz w:val="28"/>
          <w:szCs w:val="28"/>
          <w:lang w:bidi="ar-EG"/>
        </w:rPr>
        <w:t xml:space="preserve">Firmness values increased with higher wax concentrations in both types of </w:t>
      </w:r>
      <w:proofErr w:type="spellStart"/>
      <w:r w:rsidRPr="000E2D76">
        <w:rPr>
          <w:sz w:val="28"/>
          <w:szCs w:val="28"/>
          <w:lang w:bidi="ar-EG"/>
        </w:rPr>
        <w:t>oleogels</w:t>
      </w:r>
      <w:proofErr w:type="spellEnd"/>
      <w:r w:rsidRPr="000E2D76">
        <w:rPr>
          <w:sz w:val="28"/>
          <w:szCs w:val="28"/>
          <w:lang w:bidi="ar-EG"/>
        </w:rPr>
        <w:t xml:space="preserve">, with the highest firmness (4.15 N) recorded for the 10% beeswax </w:t>
      </w:r>
      <w:proofErr w:type="spellStart"/>
      <w:r w:rsidRPr="000E2D76">
        <w:rPr>
          <w:sz w:val="28"/>
          <w:szCs w:val="28"/>
          <w:lang w:bidi="ar-EG"/>
        </w:rPr>
        <w:t>oleogel</w:t>
      </w:r>
      <w:proofErr w:type="spellEnd"/>
      <w:r w:rsidRPr="000E2D76">
        <w:rPr>
          <w:sz w:val="28"/>
          <w:szCs w:val="28"/>
          <w:lang w:bidi="ar-EG"/>
        </w:rPr>
        <w:t xml:space="preserve">, followed by the 10% sunflower wax </w:t>
      </w:r>
      <w:proofErr w:type="spellStart"/>
      <w:r w:rsidRPr="000E2D76">
        <w:rPr>
          <w:sz w:val="28"/>
          <w:szCs w:val="28"/>
          <w:lang w:bidi="ar-EG"/>
        </w:rPr>
        <w:t>oleogel</w:t>
      </w:r>
      <w:proofErr w:type="spellEnd"/>
      <w:r w:rsidRPr="000E2D76">
        <w:rPr>
          <w:sz w:val="28"/>
          <w:szCs w:val="28"/>
          <w:lang w:bidi="ar-EG"/>
        </w:rPr>
        <w:t xml:space="preserve"> (3.57 N). The greater firmness of beeswax </w:t>
      </w:r>
      <w:proofErr w:type="spellStart"/>
      <w:r w:rsidRPr="000E2D76">
        <w:rPr>
          <w:sz w:val="28"/>
          <w:szCs w:val="28"/>
          <w:lang w:bidi="ar-EG"/>
        </w:rPr>
        <w:t>oleogels</w:t>
      </w:r>
      <w:proofErr w:type="spellEnd"/>
      <w:r w:rsidRPr="000E2D76">
        <w:rPr>
          <w:sz w:val="28"/>
          <w:szCs w:val="28"/>
          <w:lang w:bidi="ar-EG"/>
        </w:rPr>
        <w:t xml:space="preserve"> can be attributed to their β' crystalline structure, which forms a denser network compared to the needle-like β-crystals of sunflower wax (Toro-Vazquez et al., 2013). Previous studies have confirmed that increasing wax concentrations leads to stronger </w:t>
      </w:r>
      <w:proofErr w:type="spellStart"/>
      <w:r w:rsidRPr="000E2D76">
        <w:rPr>
          <w:sz w:val="28"/>
          <w:szCs w:val="28"/>
          <w:lang w:bidi="ar-EG"/>
        </w:rPr>
        <w:t>oleogels</w:t>
      </w:r>
      <w:proofErr w:type="spellEnd"/>
      <w:r w:rsidRPr="000E2D76">
        <w:rPr>
          <w:sz w:val="28"/>
          <w:szCs w:val="28"/>
          <w:lang w:bidi="ar-EG"/>
        </w:rPr>
        <w:t xml:space="preserve"> due to the formation of a more compact crystalline network (Davidovich-Pinhas et al., 2016). Regarding thermal stability, the melting point of </w:t>
      </w:r>
      <w:proofErr w:type="spellStart"/>
      <w:r w:rsidRPr="000E2D76">
        <w:rPr>
          <w:sz w:val="28"/>
          <w:szCs w:val="28"/>
          <w:lang w:bidi="ar-EG"/>
        </w:rPr>
        <w:t>oleogels</w:t>
      </w:r>
      <w:proofErr w:type="spellEnd"/>
      <w:r w:rsidRPr="000E2D76">
        <w:rPr>
          <w:sz w:val="28"/>
          <w:szCs w:val="28"/>
          <w:lang w:bidi="ar-EG"/>
        </w:rPr>
        <w:t xml:space="preserve"> increased with higher wax concentrations, with beeswax-based </w:t>
      </w:r>
      <w:proofErr w:type="spellStart"/>
      <w:r w:rsidRPr="000E2D76">
        <w:rPr>
          <w:sz w:val="28"/>
          <w:szCs w:val="28"/>
          <w:lang w:bidi="ar-EG"/>
        </w:rPr>
        <w:t>oleogels</w:t>
      </w:r>
      <w:proofErr w:type="spellEnd"/>
      <w:r w:rsidRPr="000E2D76">
        <w:rPr>
          <w:sz w:val="28"/>
          <w:szCs w:val="28"/>
          <w:lang w:bidi="ar-EG"/>
        </w:rPr>
        <w:t xml:space="preserve"> showing slightly higher values (53.29–56.97°C) compared to sunflower wax-based </w:t>
      </w:r>
      <w:proofErr w:type="spellStart"/>
      <w:r w:rsidRPr="000E2D76">
        <w:rPr>
          <w:sz w:val="28"/>
          <w:szCs w:val="28"/>
          <w:lang w:bidi="ar-EG"/>
        </w:rPr>
        <w:t>oleogels</w:t>
      </w:r>
      <w:proofErr w:type="spellEnd"/>
      <w:r w:rsidRPr="000E2D76">
        <w:rPr>
          <w:sz w:val="28"/>
          <w:szCs w:val="28"/>
          <w:lang w:bidi="ar-EG"/>
        </w:rPr>
        <w:t xml:space="preserve"> (50.24–55.28°C). This difference is likely due to the presence of long-chain saturated fatty acids and esters in beeswax, which require higher energy to disrupt their crystalline structure (Lupi et al., 2020). Sunflower wax </w:t>
      </w:r>
      <w:proofErr w:type="spellStart"/>
      <w:r w:rsidRPr="000E2D76">
        <w:rPr>
          <w:sz w:val="28"/>
          <w:szCs w:val="28"/>
          <w:lang w:bidi="ar-EG"/>
        </w:rPr>
        <w:t>oleogels</w:t>
      </w:r>
      <w:proofErr w:type="spellEnd"/>
      <w:r w:rsidRPr="000E2D76">
        <w:rPr>
          <w:sz w:val="28"/>
          <w:szCs w:val="28"/>
          <w:lang w:bidi="ar-EG"/>
        </w:rPr>
        <w:t xml:space="preserve"> had lower melting points due to their relatively higher </w:t>
      </w:r>
      <w:r w:rsidRPr="000E2D76">
        <w:rPr>
          <w:sz w:val="28"/>
          <w:szCs w:val="28"/>
          <w:lang w:bidi="ar-EG"/>
        </w:rPr>
        <w:lastRenderedPageBreak/>
        <w:t>unsaturated fatty acid content, making them less thermally stable (Blake et al., 2014).</w:t>
      </w:r>
    </w:p>
    <w:p w14:paraId="1CE4F0F6" w14:textId="77777777" w:rsidR="008615A3" w:rsidRPr="000E2D76" w:rsidRDefault="008615A3" w:rsidP="008615A3">
      <w:pPr>
        <w:jc w:val="both"/>
        <w:rPr>
          <w:sz w:val="28"/>
          <w:szCs w:val="28"/>
          <w:lang w:bidi="ar-EG"/>
        </w:rPr>
      </w:pPr>
      <w:r w:rsidRPr="000E2D76">
        <w:rPr>
          <w:sz w:val="28"/>
          <w:szCs w:val="28"/>
          <w:lang w:bidi="ar-EG"/>
        </w:rPr>
        <w:t xml:space="preserve">These findings indicate that both beeswax and sunflower wax effectively structured sunflower oil into stable </w:t>
      </w:r>
      <w:proofErr w:type="spellStart"/>
      <w:r w:rsidRPr="000E2D76">
        <w:rPr>
          <w:sz w:val="28"/>
          <w:szCs w:val="28"/>
          <w:lang w:bidi="ar-EG"/>
        </w:rPr>
        <w:t>oleogels</w:t>
      </w:r>
      <w:proofErr w:type="spellEnd"/>
      <w:r w:rsidRPr="000E2D76">
        <w:rPr>
          <w:sz w:val="28"/>
          <w:szCs w:val="28"/>
          <w:lang w:bidi="ar-EG"/>
        </w:rPr>
        <w:t xml:space="preserve">, with key differences in their functional properties. Sunflower wax formed </w:t>
      </w:r>
      <w:proofErr w:type="spellStart"/>
      <w:r w:rsidRPr="000E2D76">
        <w:rPr>
          <w:sz w:val="28"/>
          <w:szCs w:val="28"/>
          <w:lang w:bidi="ar-EG"/>
        </w:rPr>
        <w:t>oleogels</w:t>
      </w:r>
      <w:proofErr w:type="spellEnd"/>
      <w:r w:rsidRPr="000E2D76">
        <w:rPr>
          <w:sz w:val="28"/>
          <w:szCs w:val="28"/>
          <w:lang w:bidi="ar-EG"/>
        </w:rPr>
        <w:t xml:space="preserve"> more rapidly than beeswax, whereas beeswax exhibited superior oil retention and higher firmness, making it more suitable for applications requiring structural integrity and oil stabilization. Additionally, beeswax-based </w:t>
      </w:r>
      <w:proofErr w:type="spellStart"/>
      <w:r w:rsidRPr="000E2D76">
        <w:rPr>
          <w:sz w:val="28"/>
          <w:szCs w:val="28"/>
          <w:lang w:bidi="ar-EG"/>
        </w:rPr>
        <w:t>oleogels</w:t>
      </w:r>
      <w:proofErr w:type="spellEnd"/>
      <w:r w:rsidRPr="000E2D76">
        <w:rPr>
          <w:sz w:val="28"/>
          <w:szCs w:val="28"/>
          <w:lang w:bidi="ar-EG"/>
        </w:rPr>
        <w:t xml:space="preserve"> demonstrated slightly higher melting points, enhancing their thermal stability. The choice between these two waxes depends on the specific application requirements—beeswax may be preferable for applications needing higher mechanical strength and oil retention, while sunflower wax could be beneficial in products requiring faster gelation and moderate firmness.</w:t>
      </w:r>
    </w:p>
    <w:p w14:paraId="15FCCFC2" w14:textId="77777777" w:rsidR="008615A3" w:rsidRPr="000E2D76" w:rsidRDefault="008615A3" w:rsidP="008615A3">
      <w:pPr>
        <w:jc w:val="both"/>
        <w:rPr>
          <w:b/>
          <w:bCs/>
          <w:sz w:val="28"/>
          <w:szCs w:val="28"/>
          <w:lang w:bidi="ar-EG"/>
        </w:rPr>
      </w:pPr>
      <w:r w:rsidRPr="000E2D76">
        <w:rPr>
          <w:b/>
          <w:bCs/>
          <w:sz w:val="28"/>
          <w:szCs w:val="28"/>
          <w:lang w:bidi="ar-EG"/>
        </w:rPr>
        <w:t xml:space="preserve">Color Characteristics of Sunflower Oil-Based </w:t>
      </w:r>
      <w:proofErr w:type="spellStart"/>
      <w:r w:rsidRPr="000E2D76">
        <w:rPr>
          <w:b/>
          <w:bCs/>
          <w:sz w:val="28"/>
          <w:szCs w:val="28"/>
          <w:lang w:bidi="ar-EG"/>
        </w:rPr>
        <w:t>Oleogels</w:t>
      </w:r>
      <w:proofErr w:type="spellEnd"/>
    </w:p>
    <w:p w14:paraId="1EBAF668" w14:textId="77777777" w:rsidR="008615A3" w:rsidRPr="000E2D76" w:rsidRDefault="008615A3" w:rsidP="008615A3">
      <w:pPr>
        <w:jc w:val="both"/>
        <w:rPr>
          <w:sz w:val="28"/>
          <w:szCs w:val="28"/>
          <w:lang w:bidi="ar-EG"/>
        </w:rPr>
      </w:pPr>
      <w:r w:rsidRPr="000E2D76">
        <w:rPr>
          <w:sz w:val="28"/>
          <w:szCs w:val="28"/>
          <w:lang w:bidi="ar-EG"/>
        </w:rPr>
        <w:t xml:space="preserve">The incorporation of structuring agents (beeswax and sunflower wax) influenced the color of sunflower oil-based </w:t>
      </w:r>
      <w:proofErr w:type="spellStart"/>
      <w:r w:rsidRPr="000E2D76">
        <w:rPr>
          <w:sz w:val="28"/>
          <w:szCs w:val="28"/>
          <w:lang w:bidi="ar-EG"/>
        </w:rPr>
        <w:t>oleogels</w:t>
      </w:r>
      <w:proofErr w:type="spellEnd"/>
      <w:r w:rsidRPr="000E2D76">
        <w:rPr>
          <w:sz w:val="28"/>
          <w:szCs w:val="28"/>
          <w:lang w:bidi="ar-EG"/>
        </w:rPr>
        <w:t xml:space="preserve">, as seen in the L* (lightness), a* (red-green axis), and b* (yellow-blue axis) values. The L* values increased with the addition of both waxes, indicating a lighter appearance compared to pure sunflower oil. This effect was more pronounced at higher wax concentrations, with the highest L* value observed in the 10% sunflower wax </w:t>
      </w:r>
      <w:proofErr w:type="spellStart"/>
      <w:r w:rsidRPr="000E2D76">
        <w:rPr>
          <w:sz w:val="28"/>
          <w:szCs w:val="28"/>
          <w:lang w:bidi="ar-EG"/>
        </w:rPr>
        <w:t>oleogel</w:t>
      </w:r>
      <w:proofErr w:type="spellEnd"/>
      <w:r w:rsidRPr="000E2D76">
        <w:rPr>
          <w:sz w:val="28"/>
          <w:szCs w:val="28"/>
          <w:lang w:bidi="ar-EG"/>
        </w:rPr>
        <w:t xml:space="preserve"> (57.80). The increase in lightness is attributed to the crystalline structure of waxes, which scatter light more effectively, enhancing the brightness of the </w:t>
      </w:r>
      <w:proofErr w:type="spellStart"/>
      <w:r w:rsidRPr="000E2D76">
        <w:rPr>
          <w:sz w:val="28"/>
          <w:szCs w:val="28"/>
          <w:lang w:bidi="ar-EG"/>
        </w:rPr>
        <w:t>oleogels</w:t>
      </w:r>
      <w:proofErr w:type="spellEnd"/>
      <w:r w:rsidRPr="000E2D76">
        <w:rPr>
          <w:sz w:val="28"/>
          <w:szCs w:val="28"/>
          <w:lang w:bidi="ar-EG"/>
        </w:rPr>
        <w:t xml:space="preserve"> (Marangoni &amp; Garti, 2018). Additionally, sunflower wax </w:t>
      </w:r>
      <w:proofErr w:type="spellStart"/>
      <w:r w:rsidRPr="000E2D76">
        <w:rPr>
          <w:sz w:val="28"/>
          <w:szCs w:val="28"/>
          <w:lang w:bidi="ar-EG"/>
        </w:rPr>
        <w:t>oleogels</w:t>
      </w:r>
      <w:proofErr w:type="spellEnd"/>
      <w:r w:rsidRPr="000E2D76">
        <w:rPr>
          <w:sz w:val="28"/>
          <w:szCs w:val="28"/>
          <w:lang w:bidi="ar-EG"/>
        </w:rPr>
        <w:t xml:space="preserve"> were slightly lighter than beeswax </w:t>
      </w:r>
      <w:proofErr w:type="spellStart"/>
      <w:r w:rsidRPr="000E2D76">
        <w:rPr>
          <w:sz w:val="28"/>
          <w:szCs w:val="28"/>
          <w:lang w:bidi="ar-EG"/>
        </w:rPr>
        <w:t>oleogels</w:t>
      </w:r>
      <w:proofErr w:type="spellEnd"/>
      <w:r w:rsidRPr="000E2D76">
        <w:rPr>
          <w:sz w:val="28"/>
          <w:szCs w:val="28"/>
          <w:lang w:bidi="ar-EG"/>
        </w:rPr>
        <w:t>, likely due to their smaller needle-like β-crystal formation, which improves light reflection (</w:t>
      </w:r>
      <w:proofErr w:type="spellStart"/>
      <w:r w:rsidRPr="000E2D76">
        <w:rPr>
          <w:sz w:val="28"/>
          <w:szCs w:val="28"/>
          <w:lang w:bidi="ar-EG"/>
        </w:rPr>
        <w:t>Zulim</w:t>
      </w:r>
      <w:proofErr w:type="spellEnd"/>
      <w:r w:rsidRPr="000E2D76">
        <w:rPr>
          <w:sz w:val="28"/>
          <w:szCs w:val="28"/>
          <w:lang w:bidi="ar-EG"/>
        </w:rPr>
        <w:t xml:space="preserve"> et al., 2020).</w:t>
      </w:r>
    </w:p>
    <w:p w14:paraId="058BBEB7" w14:textId="77777777" w:rsidR="008615A3" w:rsidRPr="000E2D76" w:rsidRDefault="008615A3" w:rsidP="008615A3">
      <w:pPr>
        <w:jc w:val="both"/>
        <w:rPr>
          <w:sz w:val="28"/>
          <w:szCs w:val="28"/>
          <w:lang w:bidi="ar-EG"/>
        </w:rPr>
      </w:pPr>
      <w:r w:rsidRPr="000E2D76">
        <w:rPr>
          <w:sz w:val="28"/>
          <w:szCs w:val="28"/>
          <w:lang w:bidi="ar-EG"/>
        </w:rPr>
        <w:t xml:space="preserve">The a* values were negative for all samples, indicating a greenish tint, which became more pronounced with increasing wax concentration. The most negative a* values were recorded in the 10% beeswax (-1.20) and 10% sunflower wax (-1.18) </w:t>
      </w:r>
      <w:proofErr w:type="spellStart"/>
      <w:r w:rsidRPr="000E2D76">
        <w:rPr>
          <w:sz w:val="28"/>
          <w:szCs w:val="28"/>
          <w:lang w:bidi="ar-EG"/>
        </w:rPr>
        <w:t>oleogels</w:t>
      </w:r>
      <w:proofErr w:type="spellEnd"/>
      <w:r w:rsidRPr="000E2D76">
        <w:rPr>
          <w:sz w:val="28"/>
          <w:szCs w:val="28"/>
          <w:lang w:bidi="ar-EG"/>
        </w:rPr>
        <w:t xml:space="preserve">. This trend can be attributed to the dilution of natural pigments present in sunflower oil, such as carotenoids, by the added waxes (Zhang et al., 2021). Beeswax </w:t>
      </w:r>
      <w:proofErr w:type="spellStart"/>
      <w:r w:rsidRPr="000E2D76">
        <w:rPr>
          <w:sz w:val="28"/>
          <w:szCs w:val="28"/>
          <w:lang w:bidi="ar-EG"/>
        </w:rPr>
        <w:t>oleogels</w:t>
      </w:r>
      <w:proofErr w:type="spellEnd"/>
      <w:r w:rsidRPr="000E2D76">
        <w:rPr>
          <w:sz w:val="28"/>
          <w:szCs w:val="28"/>
          <w:lang w:bidi="ar-EG"/>
        </w:rPr>
        <w:t xml:space="preserve"> exhibited slightly more negative a* values than sunflower wax </w:t>
      </w:r>
      <w:proofErr w:type="spellStart"/>
      <w:r w:rsidRPr="000E2D76">
        <w:rPr>
          <w:sz w:val="28"/>
          <w:szCs w:val="28"/>
          <w:lang w:bidi="ar-EG"/>
        </w:rPr>
        <w:t>oleogels</w:t>
      </w:r>
      <w:proofErr w:type="spellEnd"/>
      <w:r w:rsidRPr="000E2D76">
        <w:rPr>
          <w:sz w:val="28"/>
          <w:szCs w:val="28"/>
          <w:lang w:bidi="ar-EG"/>
        </w:rPr>
        <w:t xml:space="preserve">, possibly due to minor variations in the wax composition and oxidative interactions that affect color perception (Blake et al., 2014). These findings align </w:t>
      </w:r>
      <w:r w:rsidRPr="000E2D76">
        <w:rPr>
          <w:sz w:val="28"/>
          <w:szCs w:val="28"/>
          <w:lang w:bidi="ar-EG"/>
        </w:rPr>
        <w:lastRenderedPageBreak/>
        <w:t>with previous research showing that structuring agents can alter the color balance of oils by reducing pigment concentration and modifying optical properties (Hwang et al., 2016).</w:t>
      </w:r>
    </w:p>
    <w:p w14:paraId="5D20182B" w14:textId="77777777" w:rsidR="008615A3" w:rsidRPr="000E2D76" w:rsidRDefault="008615A3" w:rsidP="008615A3">
      <w:pPr>
        <w:jc w:val="both"/>
        <w:rPr>
          <w:sz w:val="28"/>
          <w:szCs w:val="28"/>
          <w:lang w:bidi="ar-EG"/>
        </w:rPr>
      </w:pPr>
      <w:r w:rsidRPr="000E2D76">
        <w:rPr>
          <w:sz w:val="28"/>
          <w:szCs w:val="28"/>
          <w:lang w:bidi="ar-EG"/>
        </w:rPr>
        <w:t xml:space="preserve">The b* values increased with wax addition, indicating an enhancement in the yellow hue of the </w:t>
      </w:r>
      <w:proofErr w:type="spellStart"/>
      <w:r w:rsidRPr="000E2D76">
        <w:rPr>
          <w:sz w:val="28"/>
          <w:szCs w:val="28"/>
          <w:lang w:bidi="ar-EG"/>
        </w:rPr>
        <w:t>oleogels</w:t>
      </w:r>
      <w:proofErr w:type="spellEnd"/>
      <w:r w:rsidRPr="000E2D76">
        <w:rPr>
          <w:sz w:val="28"/>
          <w:szCs w:val="28"/>
          <w:lang w:bidi="ar-EG"/>
        </w:rPr>
        <w:t xml:space="preserve">. The highest b* value was recorded in the 10% beeswax sample (11.50), followed by the 10% sunflower wax sample (11.40). This increase suggests that waxes helped retain the natural yellowish color of sunflower oil, possibly by reducing oxidative degradation of carotenoids (Hwang et al., 2016). Beeswax </w:t>
      </w:r>
      <w:proofErr w:type="spellStart"/>
      <w:r w:rsidRPr="000E2D76">
        <w:rPr>
          <w:sz w:val="28"/>
          <w:szCs w:val="28"/>
          <w:lang w:bidi="ar-EG"/>
        </w:rPr>
        <w:t>oleogels</w:t>
      </w:r>
      <w:proofErr w:type="spellEnd"/>
      <w:r w:rsidRPr="000E2D76">
        <w:rPr>
          <w:sz w:val="28"/>
          <w:szCs w:val="28"/>
          <w:lang w:bidi="ar-EG"/>
        </w:rPr>
        <w:t xml:space="preserve"> had slightly higher b* values, likely due to the presence of trace yellowish compounds such as flavonoids and pollen residues naturally occurring in beeswax (Patel et al., 2015). The differences in color intensity between the two waxes may also be related to variations in crystallization patterns, as certain crystal structures scatter light differently and impact visual perception (Doan et al., 2022). These findings suggest that wax concentration and type must be carefully considered in </w:t>
      </w:r>
      <w:proofErr w:type="spellStart"/>
      <w:r w:rsidRPr="000E2D76">
        <w:rPr>
          <w:sz w:val="28"/>
          <w:szCs w:val="28"/>
          <w:lang w:bidi="ar-EG"/>
        </w:rPr>
        <w:t>oleogel</w:t>
      </w:r>
      <w:proofErr w:type="spellEnd"/>
      <w:r w:rsidRPr="000E2D76">
        <w:rPr>
          <w:sz w:val="28"/>
          <w:szCs w:val="28"/>
          <w:lang w:bidi="ar-EG"/>
        </w:rPr>
        <w:t xml:space="preserve"> formulations to achieve the desired color characteristics for specific food applications.</w:t>
      </w:r>
    </w:p>
    <w:p w14:paraId="334C1179" w14:textId="77777777" w:rsidR="008615A3" w:rsidRPr="000E2D76" w:rsidRDefault="00D35DCA" w:rsidP="00D35DCA">
      <w:pPr>
        <w:rPr>
          <w:b/>
          <w:bCs/>
          <w:sz w:val="28"/>
          <w:szCs w:val="28"/>
          <w:lang w:bidi="ar-EG"/>
        </w:rPr>
      </w:pPr>
      <w:r w:rsidRPr="000E2D76">
        <w:rPr>
          <w:b/>
          <w:bCs/>
          <w:sz w:val="28"/>
          <w:szCs w:val="28"/>
          <w:lang w:bidi="ar-EG"/>
        </w:rPr>
        <w:t xml:space="preserve">Oxidative Stability, Phenolic Content, and Antioxidant Properties of Sunflower Oil-Based </w:t>
      </w:r>
      <w:proofErr w:type="spellStart"/>
      <w:r w:rsidRPr="000E2D76">
        <w:rPr>
          <w:b/>
          <w:bCs/>
          <w:sz w:val="28"/>
          <w:szCs w:val="28"/>
          <w:lang w:bidi="ar-EG"/>
        </w:rPr>
        <w:t>Oleogels</w:t>
      </w:r>
      <w:proofErr w:type="spellEnd"/>
    </w:p>
    <w:p w14:paraId="08471F5C" w14:textId="77777777" w:rsidR="008615A3" w:rsidRPr="000E2D76" w:rsidRDefault="008615A3" w:rsidP="00D35DCA">
      <w:pPr>
        <w:jc w:val="both"/>
        <w:rPr>
          <w:sz w:val="28"/>
          <w:szCs w:val="28"/>
          <w:lang w:bidi="ar-EG"/>
        </w:rPr>
      </w:pPr>
      <w:r w:rsidRPr="000E2D76">
        <w:rPr>
          <w:sz w:val="28"/>
          <w:szCs w:val="28"/>
          <w:lang w:bidi="ar-EG"/>
        </w:rPr>
        <w:t xml:space="preserve">The incorporation of beeswax and sunflower wax significantly influenced the oxidative stability of sunflower oil-based </w:t>
      </w:r>
      <w:proofErr w:type="spellStart"/>
      <w:r w:rsidRPr="000E2D76">
        <w:rPr>
          <w:sz w:val="28"/>
          <w:szCs w:val="28"/>
          <w:lang w:bidi="ar-EG"/>
        </w:rPr>
        <w:t>oleogels</w:t>
      </w:r>
      <w:proofErr w:type="spellEnd"/>
      <w:r w:rsidRPr="000E2D76">
        <w:rPr>
          <w:sz w:val="28"/>
          <w:szCs w:val="28"/>
          <w:lang w:bidi="ar-EG"/>
        </w:rPr>
        <w:t xml:space="preserve">, as reflected in the acid value (AV) and peroxide value (PV). Both waxes contributed to lowering AV and PV, with the 10% beeswax and sunflower wax </w:t>
      </w:r>
      <w:proofErr w:type="spellStart"/>
      <w:r w:rsidRPr="000E2D76">
        <w:rPr>
          <w:sz w:val="28"/>
          <w:szCs w:val="28"/>
          <w:lang w:bidi="ar-EG"/>
        </w:rPr>
        <w:t>oleogels</w:t>
      </w:r>
      <w:proofErr w:type="spellEnd"/>
      <w:r w:rsidRPr="000E2D76">
        <w:rPr>
          <w:sz w:val="28"/>
          <w:szCs w:val="28"/>
          <w:lang w:bidi="ar-EG"/>
        </w:rPr>
        <w:t xml:space="preserve"> exhibiting the lowest values (0.22 AV, 4.20–4.30 PV). The reduction in these oxidation indicators is attributed to the structured gel network formed by waxes, which restricts oxygen diffusion and limits lipid hydrolysis and oxidation (Hwang et al., 2016). Beeswax provided slightly better oxidative protection than sunflower wax, likely due to its richer composition of natural antioxidants, including flavonoids and phenolic compounds (Blake et al., 2014). These results align with studies on wax-based </w:t>
      </w:r>
      <w:proofErr w:type="spellStart"/>
      <w:r w:rsidRPr="000E2D76">
        <w:rPr>
          <w:sz w:val="28"/>
          <w:szCs w:val="28"/>
          <w:lang w:bidi="ar-EG"/>
        </w:rPr>
        <w:t>oleogels</w:t>
      </w:r>
      <w:proofErr w:type="spellEnd"/>
      <w:r w:rsidRPr="000E2D76">
        <w:rPr>
          <w:sz w:val="28"/>
          <w:szCs w:val="28"/>
          <w:lang w:bidi="ar-EG"/>
        </w:rPr>
        <w:t>, confirming that structuring agents enhance lipid stability by minimizing oxidative deterioration (Patel et al., 2015).</w:t>
      </w:r>
    </w:p>
    <w:p w14:paraId="2B8ABC14" w14:textId="77777777" w:rsidR="008615A3" w:rsidRPr="000E2D76" w:rsidRDefault="008615A3" w:rsidP="00D35DCA">
      <w:pPr>
        <w:jc w:val="both"/>
        <w:rPr>
          <w:sz w:val="28"/>
          <w:szCs w:val="28"/>
          <w:lang w:bidi="ar-EG"/>
        </w:rPr>
      </w:pPr>
      <w:r w:rsidRPr="000E2D76">
        <w:rPr>
          <w:sz w:val="28"/>
          <w:szCs w:val="28"/>
          <w:lang w:bidi="ar-EG"/>
        </w:rPr>
        <w:t xml:space="preserve">The total phenolic content (TPC) increased substantially with the addition of waxes, with the highest TPC recorded in the 10% beeswax </w:t>
      </w:r>
      <w:proofErr w:type="spellStart"/>
      <w:r w:rsidRPr="000E2D76">
        <w:rPr>
          <w:sz w:val="28"/>
          <w:szCs w:val="28"/>
          <w:lang w:bidi="ar-EG"/>
        </w:rPr>
        <w:t>oleogel</w:t>
      </w:r>
      <w:proofErr w:type="spellEnd"/>
      <w:r w:rsidRPr="000E2D76">
        <w:rPr>
          <w:sz w:val="28"/>
          <w:szCs w:val="28"/>
          <w:lang w:bidi="ar-EG"/>
        </w:rPr>
        <w:t xml:space="preserve"> (0.30 mg GAE/g). This enhancement is linked to the presence of bioactive compounds naturally present </w:t>
      </w:r>
      <w:r w:rsidRPr="000E2D76">
        <w:rPr>
          <w:sz w:val="28"/>
          <w:szCs w:val="28"/>
          <w:lang w:bidi="ar-EG"/>
        </w:rPr>
        <w:lastRenderedPageBreak/>
        <w:t xml:space="preserve">in beeswax and sunflower wax, which contribute to the antioxidant potential of the </w:t>
      </w:r>
      <w:proofErr w:type="spellStart"/>
      <w:r w:rsidRPr="000E2D76">
        <w:rPr>
          <w:sz w:val="28"/>
          <w:szCs w:val="28"/>
          <w:lang w:bidi="ar-EG"/>
        </w:rPr>
        <w:t>oleogels</w:t>
      </w:r>
      <w:proofErr w:type="spellEnd"/>
      <w:r w:rsidRPr="000E2D76">
        <w:rPr>
          <w:sz w:val="28"/>
          <w:szCs w:val="28"/>
          <w:lang w:bidi="ar-EG"/>
        </w:rPr>
        <w:t xml:space="preserve"> (Doan et al., 2022). Beeswax </w:t>
      </w:r>
      <w:proofErr w:type="spellStart"/>
      <w:r w:rsidRPr="000E2D76">
        <w:rPr>
          <w:sz w:val="28"/>
          <w:szCs w:val="28"/>
          <w:lang w:bidi="ar-EG"/>
        </w:rPr>
        <w:t>oleogels</w:t>
      </w:r>
      <w:proofErr w:type="spellEnd"/>
      <w:r w:rsidRPr="000E2D76">
        <w:rPr>
          <w:sz w:val="28"/>
          <w:szCs w:val="28"/>
          <w:lang w:bidi="ar-EG"/>
        </w:rPr>
        <w:t xml:space="preserve"> exhibited higher TPC values than sunflower wax </w:t>
      </w:r>
      <w:proofErr w:type="spellStart"/>
      <w:r w:rsidRPr="000E2D76">
        <w:rPr>
          <w:sz w:val="28"/>
          <w:szCs w:val="28"/>
          <w:lang w:bidi="ar-EG"/>
        </w:rPr>
        <w:t>oleogels</w:t>
      </w:r>
      <w:proofErr w:type="spellEnd"/>
      <w:r w:rsidRPr="000E2D76">
        <w:rPr>
          <w:sz w:val="28"/>
          <w:szCs w:val="28"/>
          <w:lang w:bidi="ar-EG"/>
        </w:rPr>
        <w:t xml:space="preserve">, suggesting that beeswax contains a greater variety of polyphenols and tocopherols that integrate into the lipid matrix (Lupi et al., 2020). The increase in TPC directly correlates with the antioxidant properties of the </w:t>
      </w:r>
      <w:proofErr w:type="spellStart"/>
      <w:r w:rsidRPr="000E2D76">
        <w:rPr>
          <w:sz w:val="28"/>
          <w:szCs w:val="28"/>
          <w:lang w:bidi="ar-EG"/>
        </w:rPr>
        <w:t>oleogels</w:t>
      </w:r>
      <w:proofErr w:type="spellEnd"/>
      <w:r w:rsidRPr="000E2D76">
        <w:rPr>
          <w:sz w:val="28"/>
          <w:szCs w:val="28"/>
          <w:lang w:bidi="ar-EG"/>
        </w:rPr>
        <w:t>, as phenolic compounds are known to neutralize free radicals and delay oxidation, thereby improving product stability.</w:t>
      </w:r>
    </w:p>
    <w:p w14:paraId="045E12D3" w14:textId="77777777" w:rsidR="008615A3" w:rsidRPr="000E2D76" w:rsidRDefault="008615A3" w:rsidP="008615A3">
      <w:pPr>
        <w:jc w:val="both"/>
        <w:rPr>
          <w:sz w:val="28"/>
          <w:szCs w:val="28"/>
          <w:lang w:bidi="ar-EG"/>
        </w:rPr>
      </w:pPr>
      <w:r w:rsidRPr="000E2D76">
        <w:rPr>
          <w:sz w:val="28"/>
          <w:szCs w:val="28"/>
          <w:lang w:bidi="ar-EG"/>
        </w:rPr>
        <w:t xml:space="preserve">The antioxidant activity, measured by DPPH radical scavenging, followed a similar trend, significantly increasing with wax incorporation. Sunflower oil alone showed low antioxidant activity (10.5%), while </w:t>
      </w:r>
      <w:proofErr w:type="spellStart"/>
      <w:r w:rsidRPr="000E2D76">
        <w:rPr>
          <w:sz w:val="28"/>
          <w:szCs w:val="28"/>
          <w:lang w:bidi="ar-EG"/>
        </w:rPr>
        <w:t>oleogels</w:t>
      </w:r>
      <w:proofErr w:type="spellEnd"/>
      <w:r w:rsidRPr="000E2D76">
        <w:rPr>
          <w:sz w:val="28"/>
          <w:szCs w:val="28"/>
          <w:lang w:bidi="ar-EG"/>
        </w:rPr>
        <w:t xml:space="preserve"> structured with 10% beeswax and sunflower wax reached 42.3% and 39.5%, respectively. This enhancement is due to the contribution of naturally occurring antioxidant molecules in the waxes, which strengthen the oxidative resistance of the oil (Hwang et al., 2016). Beeswax-based </w:t>
      </w:r>
      <w:proofErr w:type="spellStart"/>
      <w:r w:rsidRPr="000E2D76">
        <w:rPr>
          <w:sz w:val="28"/>
          <w:szCs w:val="28"/>
          <w:lang w:bidi="ar-EG"/>
        </w:rPr>
        <w:t>oleogels</w:t>
      </w:r>
      <w:proofErr w:type="spellEnd"/>
      <w:r w:rsidRPr="000E2D76">
        <w:rPr>
          <w:sz w:val="28"/>
          <w:szCs w:val="28"/>
          <w:lang w:bidi="ar-EG"/>
        </w:rPr>
        <w:t xml:space="preserve"> demonstrated superior antioxidant activity compared to sunflower wax-based </w:t>
      </w:r>
      <w:proofErr w:type="spellStart"/>
      <w:r w:rsidRPr="000E2D76">
        <w:rPr>
          <w:sz w:val="28"/>
          <w:szCs w:val="28"/>
          <w:lang w:bidi="ar-EG"/>
        </w:rPr>
        <w:t>oleogels</w:t>
      </w:r>
      <w:proofErr w:type="spellEnd"/>
      <w:r w:rsidRPr="000E2D76">
        <w:rPr>
          <w:sz w:val="28"/>
          <w:szCs w:val="28"/>
          <w:lang w:bidi="ar-EG"/>
        </w:rPr>
        <w:t xml:space="preserve">, reinforcing the role of wax type in determining oxidative stability. These findings suggest that incorporating wax-based </w:t>
      </w:r>
      <w:proofErr w:type="spellStart"/>
      <w:r w:rsidRPr="000E2D76">
        <w:rPr>
          <w:sz w:val="28"/>
          <w:szCs w:val="28"/>
          <w:lang w:bidi="ar-EG"/>
        </w:rPr>
        <w:t>oleogels</w:t>
      </w:r>
      <w:proofErr w:type="spellEnd"/>
      <w:r w:rsidRPr="000E2D76">
        <w:rPr>
          <w:sz w:val="28"/>
          <w:szCs w:val="28"/>
          <w:lang w:bidi="ar-EG"/>
        </w:rPr>
        <w:t xml:space="preserve"> in lipid systems not only provides structuring properties but also enhances the shelf life, oxidative stability, and nutritional value of functional food formulations.</w:t>
      </w:r>
    </w:p>
    <w:p w14:paraId="2804EE0A" w14:textId="77777777" w:rsidR="00D35DCA" w:rsidRPr="000E2D76" w:rsidRDefault="00D35DCA" w:rsidP="008615A3">
      <w:pPr>
        <w:jc w:val="both"/>
        <w:rPr>
          <w:b/>
          <w:bCs/>
          <w:sz w:val="28"/>
          <w:szCs w:val="28"/>
          <w:lang w:bidi="ar-EG"/>
        </w:rPr>
      </w:pPr>
      <w:r w:rsidRPr="000E2D76">
        <w:rPr>
          <w:b/>
          <w:bCs/>
          <w:sz w:val="28"/>
          <w:szCs w:val="28"/>
          <w:lang w:bidi="ar-EG"/>
        </w:rPr>
        <w:t xml:space="preserve">Sensory Properties and Consumer Acceptability of Sunflower Oil-Based </w:t>
      </w:r>
      <w:proofErr w:type="spellStart"/>
      <w:r w:rsidRPr="000E2D76">
        <w:rPr>
          <w:b/>
          <w:bCs/>
          <w:sz w:val="28"/>
          <w:szCs w:val="28"/>
          <w:lang w:bidi="ar-EG"/>
        </w:rPr>
        <w:t>Oleogels</w:t>
      </w:r>
      <w:proofErr w:type="spellEnd"/>
    </w:p>
    <w:p w14:paraId="602CB0C0" w14:textId="77777777" w:rsidR="00D35DCA" w:rsidRPr="000E2D76" w:rsidRDefault="00D35DCA" w:rsidP="00D35DCA">
      <w:pPr>
        <w:jc w:val="both"/>
        <w:rPr>
          <w:sz w:val="28"/>
          <w:szCs w:val="28"/>
          <w:lang w:bidi="ar-EG"/>
        </w:rPr>
      </w:pPr>
      <w:r w:rsidRPr="000E2D76">
        <w:rPr>
          <w:sz w:val="28"/>
          <w:szCs w:val="28"/>
          <w:lang w:bidi="ar-EG"/>
        </w:rPr>
        <w:t xml:space="preserve">The sensory evaluation results indicate that the type and concentration of structuring agents significantly influenced the appearance, </w:t>
      </w:r>
      <w:proofErr w:type="spellStart"/>
      <w:r w:rsidRPr="000E2D76">
        <w:rPr>
          <w:sz w:val="28"/>
          <w:szCs w:val="28"/>
          <w:lang w:bidi="ar-EG"/>
        </w:rPr>
        <w:t>spreadability</w:t>
      </w:r>
      <w:proofErr w:type="spellEnd"/>
      <w:r w:rsidRPr="000E2D76">
        <w:rPr>
          <w:sz w:val="28"/>
          <w:szCs w:val="28"/>
          <w:lang w:bidi="ar-EG"/>
        </w:rPr>
        <w:t xml:space="preserve">, taste, odor, and overall acceptability of sunflower oil-based </w:t>
      </w:r>
      <w:proofErr w:type="spellStart"/>
      <w:r w:rsidRPr="000E2D76">
        <w:rPr>
          <w:sz w:val="28"/>
          <w:szCs w:val="28"/>
          <w:lang w:bidi="ar-EG"/>
        </w:rPr>
        <w:t>oleogels</w:t>
      </w:r>
      <w:proofErr w:type="spellEnd"/>
      <w:r w:rsidRPr="000E2D76">
        <w:rPr>
          <w:sz w:val="28"/>
          <w:szCs w:val="28"/>
          <w:lang w:bidi="ar-EG"/>
        </w:rPr>
        <w:t xml:space="preserve">. The highest appearance scores were observed in Sunflower Oil + Sunflower Wax 10% (9.52) and Sunflower Oil + Beeswax 8% (9.27), suggesting that sunflower wax at higher concentrations contributed to a more visually appealing gel structure. The </w:t>
      </w:r>
      <w:proofErr w:type="spellStart"/>
      <w:r w:rsidRPr="000E2D76">
        <w:rPr>
          <w:sz w:val="28"/>
          <w:szCs w:val="28"/>
          <w:lang w:bidi="ar-EG"/>
        </w:rPr>
        <w:t>spreadability</w:t>
      </w:r>
      <w:proofErr w:type="spellEnd"/>
      <w:r w:rsidRPr="000E2D76">
        <w:rPr>
          <w:sz w:val="28"/>
          <w:szCs w:val="28"/>
          <w:lang w:bidi="ar-EG"/>
        </w:rPr>
        <w:t xml:space="preserve"> scores followed a similar trend, with higher wax concentrations improving </w:t>
      </w:r>
      <w:proofErr w:type="spellStart"/>
      <w:r w:rsidRPr="000E2D76">
        <w:rPr>
          <w:sz w:val="28"/>
          <w:szCs w:val="28"/>
          <w:lang w:bidi="ar-EG"/>
        </w:rPr>
        <w:t>spreadability</w:t>
      </w:r>
      <w:proofErr w:type="spellEnd"/>
      <w:r w:rsidRPr="000E2D76">
        <w:rPr>
          <w:sz w:val="28"/>
          <w:szCs w:val="28"/>
          <w:lang w:bidi="ar-EG"/>
        </w:rPr>
        <w:t xml:space="preserve">, particularly for Sunflower Oil + Sunflower Wax 10% (9.73). This may be due to sunflower wax forming a more uniform gel matrix, resulting in smoother consistency, while beeswax at higher concentrations may have led to a slightly firmer texture, reducing </w:t>
      </w:r>
      <w:proofErr w:type="spellStart"/>
      <w:r w:rsidRPr="000E2D76">
        <w:rPr>
          <w:sz w:val="28"/>
          <w:szCs w:val="28"/>
          <w:lang w:bidi="ar-EG"/>
        </w:rPr>
        <w:t>spreadability</w:t>
      </w:r>
      <w:proofErr w:type="spellEnd"/>
      <w:r w:rsidRPr="000E2D76">
        <w:rPr>
          <w:sz w:val="28"/>
          <w:szCs w:val="28"/>
          <w:lang w:bidi="ar-EG"/>
        </w:rPr>
        <w:t xml:space="preserve"> (Doan et al., 2022).</w:t>
      </w:r>
    </w:p>
    <w:p w14:paraId="2D859BA7" w14:textId="77777777" w:rsidR="00D35DCA" w:rsidRPr="000E2D76" w:rsidRDefault="00D35DCA" w:rsidP="00D35DCA">
      <w:pPr>
        <w:jc w:val="both"/>
        <w:rPr>
          <w:sz w:val="28"/>
          <w:szCs w:val="28"/>
          <w:lang w:bidi="ar-EG"/>
        </w:rPr>
      </w:pPr>
      <w:r w:rsidRPr="000E2D76">
        <w:rPr>
          <w:sz w:val="28"/>
          <w:szCs w:val="28"/>
          <w:lang w:bidi="ar-EG"/>
        </w:rPr>
        <w:t xml:space="preserve">The taste and odor scores were highest for Sunflower Oil + Sunflower Wax 10% (9.45 and 9.67, respectively) and Sunflower Oil + Beeswax 8% (9.35 and 9.44, respectively). This suggests that sunflower wax at higher concentrations had a </w:t>
      </w:r>
      <w:r w:rsidRPr="000E2D76">
        <w:rPr>
          <w:sz w:val="28"/>
          <w:szCs w:val="28"/>
          <w:lang w:bidi="ar-EG"/>
        </w:rPr>
        <w:lastRenderedPageBreak/>
        <w:t xml:space="preserve">more neutral or pleasant taste compared to beeswax, which might impart a mild waxy or honey-like note at higher concentrations. The 8% beeswax formulation performed better than the 10% beeswax formulation in sensory attributes, possibly because excessive wax content might introduce a slightly undesirable aftertaste or influence mouthfeel (Patel et al., 2015). The odor acceptability was also slightly better in sunflower wax-based </w:t>
      </w:r>
      <w:proofErr w:type="spellStart"/>
      <w:r w:rsidRPr="000E2D76">
        <w:rPr>
          <w:sz w:val="28"/>
          <w:szCs w:val="28"/>
          <w:lang w:bidi="ar-EG"/>
        </w:rPr>
        <w:t>oleogels</w:t>
      </w:r>
      <w:proofErr w:type="spellEnd"/>
      <w:r w:rsidRPr="000E2D76">
        <w:rPr>
          <w:sz w:val="28"/>
          <w:szCs w:val="28"/>
          <w:lang w:bidi="ar-EG"/>
        </w:rPr>
        <w:t xml:space="preserve">, indicating that the neutral sensory properties of sunflower wax make it a preferable structuring agent for </w:t>
      </w:r>
      <w:proofErr w:type="spellStart"/>
      <w:r w:rsidRPr="000E2D76">
        <w:rPr>
          <w:sz w:val="28"/>
          <w:szCs w:val="28"/>
          <w:lang w:bidi="ar-EG"/>
        </w:rPr>
        <w:t>oleogel</w:t>
      </w:r>
      <w:proofErr w:type="spellEnd"/>
      <w:r w:rsidRPr="000E2D76">
        <w:rPr>
          <w:sz w:val="28"/>
          <w:szCs w:val="28"/>
          <w:lang w:bidi="ar-EG"/>
        </w:rPr>
        <w:t>-based formulations where flavor neutrality is desired (Hwang et al., 2016).</w:t>
      </w:r>
    </w:p>
    <w:p w14:paraId="79B130B4" w14:textId="77777777" w:rsidR="00D35DCA" w:rsidRPr="000E2D76" w:rsidRDefault="00D35DCA" w:rsidP="00D35DCA">
      <w:pPr>
        <w:jc w:val="both"/>
        <w:rPr>
          <w:sz w:val="28"/>
          <w:szCs w:val="28"/>
          <w:lang w:bidi="ar-EG"/>
        </w:rPr>
      </w:pPr>
      <w:r w:rsidRPr="000E2D76">
        <w:rPr>
          <w:sz w:val="28"/>
          <w:szCs w:val="28"/>
          <w:lang w:bidi="ar-EG"/>
        </w:rPr>
        <w:t xml:space="preserve">Overall acceptability scores were highest for Sunflower Oil + Sunflower Wax 10% (9.53) and Sunflower Oil + Beeswax 8% (9.47), indicating that sunflower wax at 10% and beeswax at 8% created </w:t>
      </w:r>
      <w:proofErr w:type="spellStart"/>
      <w:r w:rsidRPr="000E2D76">
        <w:rPr>
          <w:sz w:val="28"/>
          <w:szCs w:val="28"/>
          <w:lang w:bidi="ar-EG"/>
        </w:rPr>
        <w:t>oleogels</w:t>
      </w:r>
      <w:proofErr w:type="spellEnd"/>
      <w:r w:rsidRPr="000E2D76">
        <w:rPr>
          <w:sz w:val="28"/>
          <w:szCs w:val="28"/>
          <w:lang w:bidi="ar-EG"/>
        </w:rPr>
        <w:t xml:space="preserve"> that consumers preferred. The slightly lower acceptability of the 10% beeswax formulation (8.75) compared to its 8% counterpart (9.47) suggests that excessive beeswax may lead to changes in mouthfeel and texture, reducing consumer preference (Blake et al., 2014). These results highlight the importance of selecting the appropriate type and concentration of structuring agents to optimize sensory properties, making sunflower wax a strong candidate for applications requiring smooth </w:t>
      </w:r>
      <w:proofErr w:type="spellStart"/>
      <w:r w:rsidRPr="000E2D76">
        <w:rPr>
          <w:sz w:val="28"/>
          <w:szCs w:val="28"/>
          <w:lang w:bidi="ar-EG"/>
        </w:rPr>
        <w:t>spreadability</w:t>
      </w:r>
      <w:proofErr w:type="spellEnd"/>
      <w:r w:rsidRPr="000E2D76">
        <w:rPr>
          <w:sz w:val="28"/>
          <w:szCs w:val="28"/>
          <w:lang w:bidi="ar-EG"/>
        </w:rPr>
        <w:t xml:space="preserve"> and neutral flavor, while beeswax at 8% provides a balance between texture and sensory attributes for consumer-friendly </w:t>
      </w:r>
      <w:proofErr w:type="spellStart"/>
      <w:r w:rsidRPr="000E2D76">
        <w:rPr>
          <w:sz w:val="28"/>
          <w:szCs w:val="28"/>
          <w:lang w:bidi="ar-EG"/>
        </w:rPr>
        <w:t>oleogel</w:t>
      </w:r>
      <w:proofErr w:type="spellEnd"/>
      <w:r w:rsidRPr="000E2D76">
        <w:rPr>
          <w:sz w:val="28"/>
          <w:szCs w:val="28"/>
          <w:lang w:bidi="ar-EG"/>
        </w:rPr>
        <w:t xml:space="preserve"> formulations.</w:t>
      </w:r>
    </w:p>
    <w:p w14:paraId="1DA65DD5" w14:textId="77777777" w:rsidR="00D35DCA" w:rsidRPr="000E2D76" w:rsidRDefault="00D35DCA" w:rsidP="00D35DCA">
      <w:pPr>
        <w:jc w:val="both"/>
        <w:rPr>
          <w:b/>
          <w:bCs/>
          <w:sz w:val="28"/>
          <w:szCs w:val="28"/>
          <w:lang w:bidi="ar-EG"/>
        </w:rPr>
      </w:pPr>
      <w:r w:rsidRPr="000E2D76">
        <w:rPr>
          <w:b/>
          <w:bCs/>
          <w:sz w:val="28"/>
          <w:szCs w:val="28"/>
          <w:lang w:bidi="ar-EG"/>
        </w:rPr>
        <w:t xml:space="preserve">Rheological Properties and Thermal Stability of Sunflower Oil-Based </w:t>
      </w:r>
      <w:proofErr w:type="spellStart"/>
      <w:r w:rsidRPr="000E2D76">
        <w:rPr>
          <w:b/>
          <w:bCs/>
          <w:sz w:val="28"/>
          <w:szCs w:val="28"/>
          <w:lang w:bidi="ar-EG"/>
        </w:rPr>
        <w:t>Oleogels</w:t>
      </w:r>
      <w:proofErr w:type="spellEnd"/>
    </w:p>
    <w:p w14:paraId="126A7259" w14:textId="77777777" w:rsidR="00D35DCA" w:rsidRPr="000E2D76" w:rsidRDefault="00D35DCA" w:rsidP="00D35DCA">
      <w:pPr>
        <w:jc w:val="both"/>
        <w:rPr>
          <w:sz w:val="28"/>
          <w:szCs w:val="28"/>
          <w:lang w:bidi="ar-EG"/>
        </w:rPr>
      </w:pPr>
      <w:r w:rsidRPr="000E2D76">
        <w:rPr>
          <w:sz w:val="28"/>
          <w:szCs w:val="28"/>
          <w:lang w:bidi="ar-EG"/>
        </w:rPr>
        <w:t xml:space="preserve">The viscosity of the prepared </w:t>
      </w:r>
      <w:proofErr w:type="spellStart"/>
      <w:r w:rsidRPr="000E2D76">
        <w:rPr>
          <w:sz w:val="28"/>
          <w:szCs w:val="28"/>
          <w:lang w:bidi="ar-EG"/>
        </w:rPr>
        <w:t>oleogels</w:t>
      </w:r>
      <w:proofErr w:type="spellEnd"/>
      <w:r w:rsidRPr="000E2D76">
        <w:rPr>
          <w:sz w:val="28"/>
          <w:szCs w:val="28"/>
          <w:lang w:bidi="ar-EG"/>
        </w:rPr>
        <w:t xml:space="preserve"> was influenced by both the type and concentration of the structuring agent, as well as temperature variations. At 20°C, viscosity was highest in Sunflower Oil + Beeswax 10% (150.26 </w:t>
      </w:r>
      <w:proofErr w:type="spellStart"/>
      <w:r w:rsidRPr="000E2D76">
        <w:rPr>
          <w:sz w:val="28"/>
          <w:szCs w:val="28"/>
          <w:lang w:bidi="ar-EG"/>
        </w:rPr>
        <w:t>Pa•s</w:t>
      </w:r>
      <w:proofErr w:type="spellEnd"/>
      <w:r w:rsidRPr="000E2D76">
        <w:rPr>
          <w:sz w:val="28"/>
          <w:szCs w:val="28"/>
          <w:lang w:bidi="ar-EG"/>
        </w:rPr>
        <w:t xml:space="preserve">), followed by Sunflower Oil + Sunflower Wax 10% (145.98 </w:t>
      </w:r>
      <w:proofErr w:type="spellStart"/>
      <w:r w:rsidRPr="000E2D76">
        <w:rPr>
          <w:sz w:val="28"/>
          <w:szCs w:val="28"/>
          <w:lang w:bidi="ar-EG"/>
        </w:rPr>
        <w:t>Pa•s</w:t>
      </w:r>
      <w:proofErr w:type="spellEnd"/>
      <w:r w:rsidRPr="000E2D76">
        <w:rPr>
          <w:sz w:val="28"/>
          <w:szCs w:val="28"/>
          <w:lang w:bidi="ar-EG"/>
        </w:rPr>
        <w:t xml:space="preserve">), indicating that higher wax concentrations led to stronger gel networks. This increase in viscosity is due to greater wax crystallization and denser network formation, which enhances oil immobilization (Patel et al., 2015). Beeswax-based </w:t>
      </w:r>
      <w:proofErr w:type="spellStart"/>
      <w:r w:rsidRPr="000E2D76">
        <w:rPr>
          <w:sz w:val="28"/>
          <w:szCs w:val="28"/>
          <w:lang w:bidi="ar-EG"/>
        </w:rPr>
        <w:t>oleogels</w:t>
      </w:r>
      <w:proofErr w:type="spellEnd"/>
      <w:r w:rsidRPr="000E2D76">
        <w:rPr>
          <w:sz w:val="28"/>
          <w:szCs w:val="28"/>
          <w:lang w:bidi="ar-EG"/>
        </w:rPr>
        <w:t xml:space="preserve"> exhibited slightly higher viscosity than sunflower wax-based </w:t>
      </w:r>
      <w:proofErr w:type="spellStart"/>
      <w:r w:rsidRPr="000E2D76">
        <w:rPr>
          <w:sz w:val="28"/>
          <w:szCs w:val="28"/>
          <w:lang w:bidi="ar-EG"/>
        </w:rPr>
        <w:t>oleogels</w:t>
      </w:r>
      <w:proofErr w:type="spellEnd"/>
      <w:r w:rsidRPr="000E2D76">
        <w:rPr>
          <w:sz w:val="28"/>
          <w:szCs w:val="28"/>
          <w:lang w:bidi="ar-EG"/>
        </w:rPr>
        <w:t xml:space="preserve"> at the same concentration, likely due to differences in their crystalline structures. Beeswax forms a compact β' crystal network, which provides a more rigid structure, while sunflower wax tends to form needle-like β-crystals, which result in a slightly less dense network (Doan et al., 2022).</w:t>
      </w:r>
    </w:p>
    <w:p w14:paraId="18B17C21" w14:textId="77777777" w:rsidR="00D35DCA" w:rsidRPr="000E2D76" w:rsidRDefault="00D35DCA" w:rsidP="00D35DCA">
      <w:pPr>
        <w:jc w:val="both"/>
        <w:rPr>
          <w:sz w:val="28"/>
          <w:szCs w:val="28"/>
          <w:lang w:bidi="ar-EG"/>
        </w:rPr>
      </w:pPr>
      <w:r w:rsidRPr="000E2D76">
        <w:rPr>
          <w:sz w:val="28"/>
          <w:szCs w:val="28"/>
          <w:lang w:bidi="ar-EG"/>
        </w:rPr>
        <w:lastRenderedPageBreak/>
        <w:t xml:space="preserve">As temperature increased, viscosity decreased in all samples, with the lowest viscosity values recorded at 80°C. This reduction in viscosity is due to partial melting of the wax network, leading to a breakdown of the structured </w:t>
      </w:r>
      <w:proofErr w:type="spellStart"/>
      <w:r w:rsidRPr="000E2D76">
        <w:rPr>
          <w:sz w:val="28"/>
          <w:szCs w:val="28"/>
          <w:lang w:bidi="ar-EG"/>
        </w:rPr>
        <w:t>oleogel</w:t>
      </w:r>
      <w:proofErr w:type="spellEnd"/>
      <w:r w:rsidRPr="000E2D76">
        <w:rPr>
          <w:sz w:val="28"/>
          <w:szCs w:val="28"/>
          <w:lang w:bidi="ar-EG"/>
        </w:rPr>
        <w:t xml:space="preserve"> matrix and increased molecular mobility of the oil phase (Hwang et al., 2016). At 40°C and 60°C, the viscosity drop was more pronounced in sunflower wax-based </w:t>
      </w:r>
      <w:proofErr w:type="spellStart"/>
      <w:r w:rsidRPr="000E2D76">
        <w:rPr>
          <w:sz w:val="28"/>
          <w:szCs w:val="28"/>
          <w:lang w:bidi="ar-EG"/>
        </w:rPr>
        <w:t>oleogels</w:t>
      </w:r>
      <w:proofErr w:type="spellEnd"/>
      <w:r w:rsidRPr="000E2D76">
        <w:rPr>
          <w:sz w:val="28"/>
          <w:szCs w:val="28"/>
          <w:lang w:bidi="ar-EG"/>
        </w:rPr>
        <w:t xml:space="preserve"> compared to beeswax-based </w:t>
      </w:r>
      <w:proofErr w:type="spellStart"/>
      <w:r w:rsidRPr="000E2D76">
        <w:rPr>
          <w:sz w:val="28"/>
          <w:szCs w:val="28"/>
          <w:lang w:bidi="ar-EG"/>
        </w:rPr>
        <w:t>oleogels</w:t>
      </w:r>
      <w:proofErr w:type="spellEnd"/>
      <w:r w:rsidRPr="000E2D76">
        <w:rPr>
          <w:sz w:val="28"/>
          <w:szCs w:val="28"/>
          <w:lang w:bidi="ar-EG"/>
        </w:rPr>
        <w:t xml:space="preserve">, indicating that beeswax provided better thermal stability due to its higher melting components (Lupi et al., 2020). This is consistent with findings that wax type and composition significantly impact </w:t>
      </w:r>
      <w:proofErr w:type="spellStart"/>
      <w:r w:rsidRPr="000E2D76">
        <w:rPr>
          <w:sz w:val="28"/>
          <w:szCs w:val="28"/>
          <w:lang w:bidi="ar-EG"/>
        </w:rPr>
        <w:t>oleogel</w:t>
      </w:r>
      <w:proofErr w:type="spellEnd"/>
      <w:r w:rsidRPr="000E2D76">
        <w:rPr>
          <w:sz w:val="28"/>
          <w:szCs w:val="28"/>
          <w:lang w:bidi="ar-EG"/>
        </w:rPr>
        <w:t xml:space="preserve"> rheology, with some waxes providing stronger thermal resistance depending on their lipid composition and crystal morphology (</w:t>
      </w:r>
      <w:proofErr w:type="spellStart"/>
      <w:r w:rsidRPr="000E2D76">
        <w:rPr>
          <w:sz w:val="28"/>
          <w:szCs w:val="28"/>
          <w:lang w:bidi="ar-EG"/>
        </w:rPr>
        <w:t>Zulim</w:t>
      </w:r>
      <w:proofErr w:type="spellEnd"/>
      <w:r w:rsidRPr="000E2D76">
        <w:rPr>
          <w:sz w:val="28"/>
          <w:szCs w:val="28"/>
          <w:lang w:bidi="ar-EG"/>
        </w:rPr>
        <w:t xml:space="preserve"> et al., 2020).</w:t>
      </w:r>
    </w:p>
    <w:p w14:paraId="6BF3AF83" w14:textId="77777777" w:rsidR="00D35DCA" w:rsidRPr="000E2D76" w:rsidRDefault="00D35DCA" w:rsidP="00D35DCA">
      <w:pPr>
        <w:jc w:val="both"/>
        <w:rPr>
          <w:sz w:val="28"/>
          <w:szCs w:val="28"/>
          <w:lang w:bidi="ar-EG"/>
        </w:rPr>
      </w:pPr>
      <w:r w:rsidRPr="000E2D76">
        <w:rPr>
          <w:sz w:val="28"/>
          <w:szCs w:val="28"/>
          <w:lang w:bidi="ar-EG"/>
        </w:rPr>
        <w:t xml:space="preserve">At 80°C, viscosity values were lowest across all formulations, with Sunflower Oil + Beeswax 10% (65.48 </w:t>
      </w:r>
      <w:proofErr w:type="spellStart"/>
      <w:r w:rsidRPr="000E2D76">
        <w:rPr>
          <w:sz w:val="28"/>
          <w:szCs w:val="28"/>
          <w:lang w:bidi="ar-EG"/>
        </w:rPr>
        <w:t>Pa•s</w:t>
      </w:r>
      <w:proofErr w:type="spellEnd"/>
      <w:r w:rsidRPr="000E2D76">
        <w:rPr>
          <w:sz w:val="28"/>
          <w:szCs w:val="28"/>
          <w:lang w:bidi="ar-EG"/>
        </w:rPr>
        <w:t xml:space="preserve">) and Sunflower Oil + Sunflower Wax 10% (60.72 </w:t>
      </w:r>
      <w:proofErr w:type="spellStart"/>
      <w:r w:rsidRPr="000E2D76">
        <w:rPr>
          <w:sz w:val="28"/>
          <w:szCs w:val="28"/>
          <w:lang w:bidi="ar-EG"/>
        </w:rPr>
        <w:t>Pa•s</w:t>
      </w:r>
      <w:proofErr w:type="spellEnd"/>
      <w:r w:rsidRPr="000E2D76">
        <w:rPr>
          <w:sz w:val="28"/>
          <w:szCs w:val="28"/>
          <w:lang w:bidi="ar-EG"/>
        </w:rPr>
        <w:t xml:space="preserve">) maintaining higher viscosity than their lower-concentration counterparts. The ability of these </w:t>
      </w:r>
      <w:proofErr w:type="spellStart"/>
      <w:r w:rsidRPr="000E2D76">
        <w:rPr>
          <w:sz w:val="28"/>
          <w:szCs w:val="28"/>
          <w:lang w:bidi="ar-EG"/>
        </w:rPr>
        <w:t>oleogels</w:t>
      </w:r>
      <w:proofErr w:type="spellEnd"/>
      <w:r w:rsidRPr="000E2D76">
        <w:rPr>
          <w:sz w:val="28"/>
          <w:szCs w:val="28"/>
          <w:lang w:bidi="ar-EG"/>
        </w:rPr>
        <w:t xml:space="preserve"> to retain some viscosity at high temperatures suggests potential applications in heat-resistant food formulations, such as bakery products or frying applications where structured lipids are needed (Blake et al., 2014). These results indicate that both beeswax and sunflower wax effectively structure sunflower oil, with beeswax providing slightly superior viscosity retention and thermal stability, making it a stronger candidate for applications requiring enhanced textural properties and heat stability.</w:t>
      </w:r>
    </w:p>
    <w:p w14:paraId="7EA13743" w14:textId="77777777" w:rsidR="00D35DCA" w:rsidRPr="000E2D76" w:rsidRDefault="00142C99" w:rsidP="00D35DCA">
      <w:pPr>
        <w:jc w:val="both"/>
        <w:rPr>
          <w:b/>
          <w:bCs/>
          <w:sz w:val="28"/>
          <w:szCs w:val="28"/>
          <w:lang w:bidi="ar-EG"/>
        </w:rPr>
      </w:pPr>
      <w:r w:rsidRPr="000E2D76">
        <w:rPr>
          <w:b/>
          <w:bCs/>
          <w:sz w:val="28"/>
          <w:szCs w:val="28"/>
          <w:lang w:bidi="ar-EG"/>
        </w:rPr>
        <w:t xml:space="preserve">Thermal Behavior and Crystallization Characteristics of Sunflower Oil-Based </w:t>
      </w:r>
      <w:proofErr w:type="spellStart"/>
      <w:r w:rsidRPr="000E2D76">
        <w:rPr>
          <w:b/>
          <w:bCs/>
          <w:sz w:val="28"/>
          <w:szCs w:val="28"/>
          <w:lang w:bidi="ar-EG"/>
        </w:rPr>
        <w:t>Oleogels</w:t>
      </w:r>
      <w:proofErr w:type="spellEnd"/>
    </w:p>
    <w:p w14:paraId="09D1FD27" w14:textId="77777777" w:rsidR="0046260C" w:rsidRPr="000E2D76" w:rsidRDefault="0046260C" w:rsidP="0046260C">
      <w:pPr>
        <w:jc w:val="both"/>
        <w:rPr>
          <w:sz w:val="28"/>
          <w:szCs w:val="28"/>
          <w:lang w:bidi="ar-EG"/>
        </w:rPr>
      </w:pPr>
      <w:r w:rsidRPr="000E2D76">
        <w:rPr>
          <w:sz w:val="28"/>
          <w:szCs w:val="28"/>
          <w:lang w:bidi="ar-EG"/>
        </w:rPr>
        <w:t>The onset temperature (To), peak temperature (</w:t>
      </w:r>
      <w:proofErr w:type="spellStart"/>
      <w:r w:rsidRPr="000E2D76">
        <w:rPr>
          <w:sz w:val="28"/>
          <w:szCs w:val="28"/>
          <w:lang w:bidi="ar-EG"/>
        </w:rPr>
        <w:t>Tp</w:t>
      </w:r>
      <w:proofErr w:type="spellEnd"/>
      <w:r w:rsidRPr="000E2D76">
        <w:rPr>
          <w:sz w:val="28"/>
          <w:szCs w:val="28"/>
          <w:lang w:bidi="ar-EG"/>
        </w:rPr>
        <w:t xml:space="preserve">), and </w:t>
      </w:r>
      <w:proofErr w:type="spellStart"/>
      <w:r w:rsidRPr="000E2D76">
        <w:rPr>
          <w:sz w:val="28"/>
          <w:szCs w:val="28"/>
          <w:lang w:bidi="ar-EG"/>
        </w:rPr>
        <w:t>endset</w:t>
      </w:r>
      <w:proofErr w:type="spellEnd"/>
      <w:r w:rsidRPr="000E2D76">
        <w:rPr>
          <w:sz w:val="28"/>
          <w:szCs w:val="28"/>
          <w:lang w:bidi="ar-EG"/>
        </w:rPr>
        <w:t xml:space="preserve"> temperature (</w:t>
      </w:r>
      <w:proofErr w:type="spellStart"/>
      <w:r w:rsidRPr="000E2D76">
        <w:rPr>
          <w:sz w:val="28"/>
          <w:szCs w:val="28"/>
          <w:lang w:bidi="ar-EG"/>
        </w:rPr>
        <w:t>Te</w:t>
      </w:r>
      <w:proofErr w:type="spellEnd"/>
      <w:r w:rsidRPr="000E2D76">
        <w:rPr>
          <w:sz w:val="28"/>
          <w:szCs w:val="28"/>
          <w:lang w:bidi="ar-EG"/>
        </w:rPr>
        <w:t xml:space="preserve">) of the prepared </w:t>
      </w:r>
      <w:proofErr w:type="spellStart"/>
      <w:r w:rsidRPr="000E2D76">
        <w:rPr>
          <w:sz w:val="28"/>
          <w:szCs w:val="28"/>
          <w:lang w:bidi="ar-EG"/>
        </w:rPr>
        <w:t>oleogels</w:t>
      </w:r>
      <w:proofErr w:type="spellEnd"/>
      <w:r w:rsidRPr="000E2D76">
        <w:rPr>
          <w:sz w:val="28"/>
          <w:szCs w:val="28"/>
          <w:lang w:bidi="ar-EG"/>
        </w:rPr>
        <w:t xml:space="preserve"> increased with higher wax concentrations, indicating that increasing the structuring agent content enhances thermal stability. The 10% beeswax </w:t>
      </w:r>
      <w:proofErr w:type="spellStart"/>
      <w:r w:rsidRPr="000E2D76">
        <w:rPr>
          <w:sz w:val="28"/>
          <w:szCs w:val="28"/>
          <w:lang w:bidi="ar-EG"/>
        </w:rPr>
        <w:t>oleogel</w:t>
      </w:r>
      <w:proofErr w:type="spellEnd"/>
      <w:r w:rsidRPr="000E2D76">
        <w:rPr>
          <w:sz w:val="28"/>
          <w:szCs w:val="28"/>
          <w:lang w:bidi="ar-EG"/>
        </w:rPr>
        <w:t xml:space="preserve"> exhibited the highest onset temperature (50.14°C), peak temperature (54.57°C), and </w:t>
      </w:r>
      <w:proofErr w:type="spellStart"/>
      <w:r w:rsidRPr="000E2D76">
        <w:rPr>
          <w:sz w:val="28"/>
          <w:szCs w:val="28"/>
          <w:lang w:bidi="ar-EG"/>
        </w:rPr>
        <w:t>endset</w:t>
      </w:r>
      <w:proofErr w:type="spellEnd"/>
      <w:r w:rsidRPr="000E2D76">
        <w:rPr>
          <w:sz w:val="28"/>
          <w:szCs w:val="28"/>
          <w:lang w:bidi="ar-EG"/>
        </w:rPr>
        <w:t xml:space="preserve"> temperature (60.25°C), followed closely by the 10% sunflower wax </w:t>
      </w:r>
      <w:proofErr w:type="spellStart"/>
      <w:r w:rsidRPr="000E2D76">
        <w:rPr>
          <w:sz w:val="28"/>
          <w:szCs w:val="28"/>
          <w:lang w:bidi="ar-EG"/>
        </w:rPr>
        <w:t>oleogel</w:t>
      </w:r>
      <w:proofErr w:type="spellEnd"/>
      <w:r w:rsidRPr="000E2D76">
        <w:rPr>
          <w:sz w:val="28"/>
          <w:szCs w:val="28"/>
          <w:lang w:bidi="ar-EG"/>
        </w:rPr>
        <w:t xml:space="preserve"> with values of 49.87°C, 53.84°C, and 58.85°C, respectively. This suggests that a stronger crystalline network was formed at higher wax concentrations, requiring more thermal energy for melting (Doan et al., 2022). The slightly higher thermal stability of beeswax-based </w:t>
      </w:r>
      <w:proofErr w:type="spellStart"/>
      <w:r w:rsidRPr="000E2D76">
        <w:rPr>
          <w:sz w:val="28"/>
          <w:szCs w:val="28"/>
          <w:lang w:bidi="ar-EG"/>
        </w:rPr>
        <w:t>oleogels</w:t>
      </w:r>
      <w:proofErr w:type="spellEnd"/>
      <w:r w:rsidRPr="000E2D76">
        <w:rPr>
          <w:sz w:val="28"/>
          <w:szCs w:val="28"/>
          <w:lang w:bidi="ar-EG"/>
        </w:rPr>
        <w:t xml:space="preserve"> compared to sunflower wax-based </w:t>
      </w:r>
      <w:proofErr w:type="spellStart"/>
      <w:r w:rsidRPr="000E2D76">
        <w:rPr>
          <w:sz w:val="28"/>
          <w:szCs w:val="28"/>
          <w:lang w:bidi="ar-EG"/>
        </w:rPr>
        <w:t>oleogels</w:t>
      </w:r>
      <w:proofErr w:type="spellEnd"/>
      <w:r w:rsidRPr="000E2D76">
        <w:rPr>
          <w:sz w:val="28"/>
          <w:szCs w:val="28"/>
          <w:lang w:bidi="ar-EG"/>
        </w:rPr>
        <w:t xml:space="preserve"> can be attributed to the compact β' crystal structure of beeswax, which promotes a denser and more stable gel matrix, while sunflower </w:t>
      </w:r>
      <w:r w:rsidRPr="000E2D76">
        <w:rPr>
          <w:sz w:val="28"/>
          <w:szCs w:val="28"/>
          <w:lang w:bidi="ar-EG"/>
        </w:rPr>
        <w:lastRenderedPageBreak/>
        <w:t>wax forms elongated needle-like β-crystals, which have slightly lower melting stability (Lupi et al., 2020).</w:t>
      </w:r>
    </w:p>
    <w:p w14:paraId="57E985BA" w14:textId="77777777" w:rsidR="0046260C" w:rsidRPr="000E2D76" w:rsidRDefault="0046260C" w:rsidP="0046260C">
      <w:pPr>
        <w:jc w:val="both"/>
        <w:rPr>
          <w:sz w:val="28"/>
          <w:szCs w:val="28"/>
          <w:lang w:bidi="ar-EG"/>
        </w:rPr>
      </w:pPr>
      <w:r w:rsidRPr="000E2D76">
        <w:rPr>
          <w:sz w:val="28"/>
          <w:szCs w:val="28"/>
          <w:lang w:bidi="ar-EG"/>
        </w:rPr>
        <w:t xml:space="preserve">The enthalpy change (ΔH), representing the energy required for melting, increased with higher wax concentrations, indicating a more structured gel network. The highest enthalpy change was observed in the 10% beeswax </w:t>
      </w:r>
      <w:proofErr w:type="spellStart"/>
      <w:r w:rsidRPr="000E2D76">
        <w:rPr>
          <w:sz w:val="28"/>
          <w:szCs w:val="28"/>
          <w:lang w:bidi="ar-EG"/>
        </w:rPr>
        <w:t>oleogel</w:t>
      </w:r>
      <w:proofErr w:type="spellEnd"/>
      <w:r w:rsidRPr="000E2D76">
        <w:rPr>
          <w:sz w:val="28"/>
          <w:szCs w:val="28"/>
          <w:lang w:bidi="ar-EG"/>
        </w:rPr>
        <w:t xml:space="preserve"> (14.87 J/g), followed by the 10% sunflower wax </w:t>
      </w:r>
      <w:proofErr w:type="spellStart"/>
      <w:r w:rsidRPr="000E2D76">
        <w:rPr>
          <w:sz w:val="28"/>
          <w:szCs w:val="28"/>
          <w:lang w:bidi="ar-EG"/>
        </w:rPr>
        <w:t>oleogel</w:t>
      </w:r>
      <w:proofErr w:type="spellEnd"/>
      <w:r w:rsidRPr="000E2D76">
        <w:rPr>
          <w:sz w:val="28"/>
          <w:szCs w:val="28"/>
          <w:lang w:bidi="ar-EG"/>
        </w:rPr>
        <w:t xml:space="preserve"> (13.25 J/g), suggesting that beeswax-based </w:t>
      </w:r>
      <w:proofErr w:type="spellStart"/>
      <w:r w:rsidRPr="000E2D76">
        <w:rPr>
          <w:sz w:val="28"/>
          <w:szCs w:val="28"/>
          <w:lang w:bidi="ar-EG"/>
        </w:rPr>
        <w:t>oleogels</w:t>
      </w:r>
      <w:proofErr w:type="spellEnd"/>
      <w:r w:rsidRPr="000E2D76">
        <w:rPr>
          <w:sz w:val="28"/>
          <w:szCs w:val="28"/>
          <w:lang w:bidi="ar-EG"/>
        </w:rPr>
        <w:t xml:space="preserve"> require more energy for complete phase transition. This is due to the increased number of crystalline domains and stronger interactions within the lipid network at higher wax concentrations (</w:t>
      </w:r>
      <w:proofErr w:type="spellStart"/>
      <w:r w:rsidRPr="000E2D76">
        <w:rPr>
          <w:sz w:val="28"/>
          <w:szCs w:val="28"/>
          <w:lang w:bidi="ar-EG"/>
        </w:rPr>
        <w:t>Zulim</w:t>
      </w:r>
      <w:proofErr w:type="spellEnd"/>
      <w:r w:rsidRPr="000E2D76">
        <w:rPr>
          <w:sz w:val="28"/>
          <w:szCs w:val="28"/>
          <w:lang w:bidi="ar-EG"/>
        </w:rPr>
        <w:t xml:space="preserve"> et al., 2020). Additionally, beeswax </w:t>
      </w:r>
      <w:proofErr w:type="spellStart"/>
      <w:r w:rsidRPr="000E2D76">
        <w:rPr>
          <w:sz w:val="28"/>
          <w:szCs w:val="28"/>
          <w:lang w:bidi="ar-EG"/>
        </w:rPr>
        <w:t>oleogels</w:t>
      </w:r>
      <w:proofErr w:type="spellEnd"/>
      <w:r w:rsidRPr="000E2D76">
        <w:rPr>
          <w:sz w:val="28"/>
          <w:szCs w:val="28"/>
          <w:lang w:bidi="ar-EG"/>
        </w:rPr>
        <w:t xml:space="preserve"> consistently displayed slightly higher enthalpy changes than sunflower wax </w:t>
      </w:r>
      <w:proofErr w:type="spellStart"/>
      <w:r w:rsidRPr="000E2D76">
        <w:rPr>
          <w:sz w:val="28"/>
          <w:szCs w:val="28"/>
          <w:lang w:bidi="ar-EG"/>
        </w:rPr>
        <w:t>oleogels</w:t>
      </w:r>
      <w:proofErr w:type="spellEnd"/>
      <w:r w:rsidRPr="000E2D76">
        <w:rPr>
          <w:sz w:val="28"/>
          <w:szCs w:val="28"/>
          <w:lang w:bidi="ar-EG"/>
        </w:rPr>
        <w:t xml:space="preserve"> at the same concentration, reinforcing that beeswax forms a more rigid and stable gel structure, contributing to improved thermal resistance (Patel et al., 2015).</w:t>
      </w:r>
    </w:p>
    <w:p w14:paraId="34BC1221" w14:textId="77777777" w:rsidR="0046260C" w:rsidRPr="000E2D76" w:rsidRDefault="0046260C" w:rsidP="007770FB">
      <w:pPr>
        <w:jc w:val="both"/>
        <w:rPr>
          <w:sz w:val="28"/>
          <w:szCs w:val="28"/>
          <w:lang w:bidi="ar-EG"/>
        </w:rPr>
      </w:pPr>
      <w:r w:rsidRPr="000E2D76">
        <w:rPr>
          <w:sz w:val="28"/>
          <w:szCs w:val="28"/>
          <w:lang w:bidi="ar-EG"/>
        </w:rPr>
        <w:t xml:space="preserve">Overall, these findings indicate that both beeswax and sunflower wax effectively enhance the thermal stability of sunflower oil by forming structured </w:t>
      </w:r>
      <w:proofErr w:type="spellStart"/>
      <w:r w:rsidRPr="000E2D76">
        <w:rPr>
          <w:sz w:val="28"/>
          <w:szCs w:val="28"/>
          <w:lang w:bidi="ar-EG"/>
        </w:rPr>
        <w:t>oleogels</w:t>
      </w:r>
      <w:proofErr w:type="spellEnd"/>
      <w:r w:rsidRPr="000E2D76">
        <w:rPr>
          <w:sz w:val="28"/>
          <w:szCs w:val="28"/>
          <w:lang w:bidi="ar-EG"/>
        </w:rPr>
        <w:t xml:space="preserve"> with defined crystalline properties. Beeswax at 10% concentration provided the most thermally stable </w:t>
      </w:r>
      <w:proofErr w:type="spellStart"/>
      <w:r w:rsidRPr="000E2D76">
        <w:rPr>
          <w:sz w:val="28"/>
          <w:szCs w:val="28"/>
          <w:lang w:bidi="ar-EG"/>
        </w:rPr>
        <w:t>oleogel</w:t>
      </w:r>
      <w:proofErr w:type="spellEnd"/>
      <w:r w:rsidRPr="000E2D76">
        <w:rPr>
          <w:sz w:val="28"/>
          <w:szCs w:val="28"/>
          <w:lang w:bidi="ar-EG"/>
        </w:rPr>
        <w:t xml:space="preserve">, suggesting its suitability for applications requiring heat resistance, such as bakery fillings and frying applications (Hwang et al., 2016). Meanwhile, sunflower wax-based </w:t>
      </w:r>
      <w:proofErr w:type="spellStart"/>
      <w:r w:rsidRPr="000E2D76">
        <w:rPr>
          <w:sz w:val="28"/>
          <w:szCs w:val="28"/>
          <w:lang w:bidi="ar-EG"/>
        </w:rPr>
        <w:t>oleogels</w:t>
      </w:r>
      <w:proofErr w:type="spellEnd"/>
      <w:r w:rsidRPr="000E2D76">
        <w:rPr>
          <w:sz w:val="28"/>
          <w:szCs w:val="28"/>
          <w:lang w:bidi="ar-EG"/>
        </w:rPr>
        <w:t xml:space="preserve"> also showed significant structuring capacity, making them an alternative for products where a smoother, less rigid texture is desired. The results confirm that wax type and concentration play a crucial role in determining the thermal behavior and melting properties of </w:t>
      </w:r>
      <w:proofErr w:type="spellStart"/>
      <w:r w:rsidRPr="000E2D76">
        <w:rPr>
          <w:sz w:val="28"/>
          <w:szCs w:val="28"/>
          <w:lang w:bidi="ar-EG"/>
        </w:rPr>
        <w:t>oleogels</w:t>
      </w:r>
      <w:proofErr w:type="spellEnd"/>
      <w:r w:rsidRPr="000E2D76">
        <w:rPr>
          <w:sz w:val="28"/>
          <w:szCs w:val="28"/>
          <w:lang w:bidi="ar-EG"/>
        </w:rPr>
        <w:t>, which are critical for their functionality in food formulations.</w:t>
      </w:r>
    </w:p>
    <w:p w14:paraId="2E10427F" w14:textId="77777777" w:rsidR="0046260C" w:rsidRPr="00F3087F" w:rsidRDefault="0046260C" w:rsidP="0046260C">
      <w:pPr>
        <w:jc w:val="both"/>
        <w:rPr>
          <w:sz w:val="28"/>
          <w:szCs w:val="28"/>
          <w:lang w:bidi="ar-EG"/>
        </w:rPr>
      </w:pPr>
      <w:r w:rsidRPr="00F3087F">
        <w:rPr>
          <w:sz w:val="28"/>
          <w:szCs w:val="28"/>
          <w:lang w:bidi="ar-EG"/>
        </w:rPr>
        <w:t xml:space="preserve">The optimal beeswax concentration was 8%, providing a balance of firmness (3.59 N), high oil binding capacity (98.68%), oxidative stability (DPPH: 38.7%), and superior sensory acceptability (9.47/10) without excessive rigidity, making it ideal for structured food applications. In contrast, the 10% sunflower wax concentration was the best, offering the highest </w:t>
      </w:r>
      <w:proofErr w:type="spellStart"/>
      <w:r w:rsidRPr="00F3087F">
        <w:rPr>
          <w:sz w:val="28"/>
          <w:szCs w:val="28"/>
          <w:lang w:bidi="ar-EG"/>
        </w:rPr>
        <w:t>spreadability</w:t>
      </w:r>
      <w:proofErr w:type="spellEnd"/>
      <w:r w:rsidRPr="00F3087F">
        <w:rPr>
          <w:sz w:val="28"/>
          <w:szCs w:val="28"/>
          <w:lang w:bidi="ar-EG"/>
        </w:rPr>
        <w:t xml:space="preserve"> (9.73/10), smooth texture, and strong thermal stability (melting point: 55.28°C, enthalpy: 13.25 J/g) while maintaining a firm but consumer-friendly consistency (3.57 N). Beeswax is better suited for applications requiring higher oxidative stability and structural integrity, whereas sunflower wax is more appropriate for spreadable formulations and softer textures, such as bakery fillings and emulsified products.</w:t>
      </w:r>
    </w:p>
    <w:p w14:paraId="40D3D90E" w14:textId="77777777" w:rsidR="0046260C" w:rsidRPr="000E2D76" w:rsidRDefault="0046260C" w:rsidP="0046260C">
      <w:pPr>
        <w:jc w:val="both"/>
        <w:rPr>
          <w:b/>
          <w:bCs/>
          <w:color w:val="000000" w:themeColor="text1"/>
          <w:sz w:val="28"/>
          <w:szCs w:val="28"/>
          <w:lang w:bidi="ar-EG"/>
        </w:rPr>
      </w:pPr>
      <w:r w:rsidRPr="000E2D76">
        <w:rPr>
          <w:b/>
          <w:bCs/>
          <w:color w:val="000000" w:themeColor="text1"/>
          <w:sz w:val="28"/>
          <w:szCs w:val="28"/>
          <w:lang w:bidi="ar-EG"/>
        </w:rPr>
        <w:lastRenderedPageBreak/>
        <w:t xml:space="preserve">Impact of Beeswax and Sunflower Wax on the Fatty Acid Composition of Sunflower Oil-Based </w:t>
      </w:r>
      <w:proofErr w:type="spellStart"/>
      <w:r w:rsidRPr="000E2D76">
        <w:rPr>
          <w:b/>
          <w:bCs/>
          <w:color w:val="000000" w:themeColor="text1"/>
          <w:sz w:val="28"/>
          <w:szCs w:val="28"/>
          <w:lang w:bidi="ar-EG"/>
        </w:rPr>
        <w:t>Oleogels</w:t>
      </w:r>
      <w:proofErr w:type="spellEnd"/>
    </w:p>
    <w:p w14:paraId="1A3ABC8A" w14:textId="77777777" w:rsidR="00360375" w:rsidRPr="000E2D76" w:rsidRDefault="00360375" w:rsidP="00360375">
      <w:pPr>
        <w:jc w:val="both"/>
        <w:rPr>
          <w:color w:val="000000" w:themeColor="text1"/>
          <w:sz w:val="28"/>
          <w:szCs w:val="28"/>
          <w:lang w:bidi="ar-EG"/>
        </w:rPr>
      </w:pPr>
      <w:r w:rsidRPr="000E2D76">
        <w:rPr>
          <w:color w:val="000000" w:themeColor="text1"/>
          <w:sz w:val="28"/>
          <w:szCs w:val="28"/>
          <w:lang w:bidi="ar-EG"/>
        </w:rPr>
        <w:t xml:space="preserve">The incorporation of 8% beeswax and 10% sunflower wax into sunflower oil led to notable changes in fatty acid composition, particularly in saturated (SFA), monounsaturated (MUFA), and polyunsaturated fatty acids (PUFA). The palmitic acid (C16:0) content increased in both wax-structured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rising from 5.80% in pure sunflower oil to 7.24% in the beeswax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and 6.19% in the sunflower wax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This increase is expected, as beeswax and sunflower wax contain higher amounts of saturated fatty acids, contributing to improved oxidative stability and gel network formation (Patel et al., 2015). Additionally, minor increases in stearic acid (C18:0) and arachidic acid (C20:0) were observed, with higher levels in beeswax-based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reflecting the wax’s inherent fatty acid composition (</w:t>
      </w:r>
      <w:proofErr w:type="spellStart"/>
      <w:r w:rsidRPr="000E2D76">
        <w:rPr>
          <w:color w:val="000000" w:themeColor="text1"/>
          <w:sz w:val="28"/>
          <w:szCs w:val="28"/>
          <w:lang w:bidi="ar-EG"/>
        </w:rPr>
        <w:t>Zulim</w:t>
      </w:r>
      <w:proofErr w:type="spellEnd"/>
      <w:r w:rsidRPr="000E2D76">
        <w:rPr>
          <w:color w:val="000000" w:themeColor="text1"/>
          <w:sz w:val="28"/>
          <w:szCs w:val="28"/>
          <w:lang w:bidi="ar-EG"/>
        </w:rPr>
        <w:t xml:space="preserve"> et al., 2020).</w:t>
      </w:r>
    </w:p>
    <w:p w14:paraId="5A5FB46D" w14:textId="77777777" w:rsidR="00360375" w:rsidRPr="000E2D76" w:rsidRDefault="00360375" w:rsidP="00360375">
      <w:pPr>
        <w:jc w:val="both"/>
        <w:rPr>
          <w:color w:val="000000" w:themeColor="text1"/>
          <w:sz w:val="28"/>
          <w:szCs w:val="28"/>
          <w:lang w:bidi="ar-EG"/>
        </w:rPr>
      </w:pPr>
      <w:r w:rsidRPr="000E2D76">
        <w:rPr>
          <w:color w:val="000000" w:themeColor="text1"/>
          <w:sz w:val="28"/>
          <w:szCs w:val="28"/>
          <w:lang w:bidi="ar-EG"/>
        </w:rPr>
        <w:t xml:space="preserve">Regarding monounsaturated fatty acids (MUFA), the oleic acid (C18:1) content increased from 27.27% in sunflower oil to 30.92% in the beeswax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and 31.50% in the sunflower wax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The palmitoleic acid (C16:1) and gondoic acid (C20:1) levels also increased, which suggests that wax components contributed additional monounsaturated fatty acids, possibly from long-chain wax esters breaking down into free fatty acids during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preparation (Doan et al., 2022). These increases in MUFA enhance oil stability and nutritional benefits, as oleic acid is associated with improved lipid metabolism and cardiovascular health (Lupi et al., 2020). The slightly higher MUFA content in the sunflower wax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compared to the beeswax-based formulation suggests differences in wax composition and the degree of wax-lipid interactions during structuring.</w:t>
      </w:r>
    </w:p>
    <w:p w14:paraId="24999F94" w14:textId="77777777" w:rsidR="0046260C" w:rsidRPr="000E2D76" w:rsidRDefault="00360375" w:rsidP="00360375">
      <w:pPr>
        <w:jc w:val="both"/>
        <w:rPr>
          <w:color w:val="000000" w:themeColor="text1"/>
          <w:sz w:val="28"/>
          <w:szCs w:val="28"/>
          <w:lang w:bidi="ar-EG"/>
        </w:rPr>
      </w:pPr>
      <w:r w:rsidRPr="000E2D76">
        <w:rPr>
          <w:color w:val="000000" w:themeColor="text1"/>
          <w:sz w:val="28"/>
          <w:szCs w:val="28"/>
          <w:lang w:bidi="ar-EG"/>
        </w:rPr>
        <w:t xml:space="preserve">The polyunsaturated fatty acid (PUFA) content decreased with wax incorporation, particularly linoleic acid (C18:2), which dropped from 63.59% in sunflower oil to 55.74% in the beeswax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and 57.14% in the sunflower wax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This reduction is likely due to wax components contributing more saturated and monounsaturated fatty acids, thereby reducing the relative proportion of PUFAs (Hwang et al., 2016). Despite this decrease, linolenic acid (C18:3) increased, particularly in sunflower 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(0.53%), which may be attributed to minor bioactive lipid components in sunflower wax (Blake et al., 2014). The overall shift in fatty acid composition highlights that wax structuring enhances oxidative </w:t>
      </w:r>
      <w:r w:rsidRPr="000E2D76">
        <w:rPr>
          <w:color w:val="000000" w:themeColor="text1"/>
          <w:sz w:val="28"/>
          <w:szCs w:val="28"/>
          <w:lang w:bidi="ar-EG"/>
        </w:rPr>
        <w:lastRenderedPageBreak/>
        <w:t xml:space="preserve">stability by lowering PUFA content while increasing SFA and MUFA, making the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more resistant to lipid oxidation while retaining essential fatty acids.</w:t>
      </w:r>
    </w:p>
    <w:p w14:paraId="348BAC69" w14:textId="77777777" w:rsidR="00596069" w:rsidRPr="000E2D76" w:rsidRDefault="00596069" w:rsidP="00360375">
      <w:pPr>
        <w:jc w:val="both"/>
        <w:rPr>
          <w:b/>
          <w:bCs/>
          <w:color w:val="000000" w:themeColor="text1"/>
          <w:sz w:val="28"/>
          <w:szCs w:val="28"/>
          <w:lang w:bidi="ar-EG"/>
        </w:rPr>
      </w:pPr>
      <w:r w:rsidRPr="000E2D76">
        <w:rPr>
          <w:b/>
          <w:bCs/>
          <w:color w:val="000000" w:themeColor="text1"/>
          <w:sz w:val="28"/>
          <w:szCs w:val="28"/>
          <w:lang w:bidi="ar-EG"/>
        </w:rPr>
        <w:t xml:space="preserve">Effect of Sunflower Oil-Based </w:t>
      </w:r>
      <w:proofErr w:type="spellStart"/>
      <w:r w:rsidRPr="000E2D76">
        <w:rPr>
          <w:b/>
          <w:bCs/>
          <w:color w:val="000000" w:themeColor="text1"/>
          <w:sz w:val="28"/>
          <w:szCs w:val="28"/>
          <w:lang w:bidi="ar-EG"/>
        </w:rPr>
        <w:t>Oleogels</w:t>
      </w:r>
      <w:proofErr w:type="spellEnd"/>
      <w:r w:rsidRPr="000E2D76">
        <w:rPr>
          <w:b/>
          <w:bCs/>
          <w:color w:val="000000" w:themeColor="text1"/>
          <w:sz w:val="28"/>
          <w:szCs w:val="28"/>
          <w:lang w:bidi="ar-EG"/>
        </w:rPr>
        <w:t xml:space="preserve"> on the pH Stability of Frankfurters During Storage</w:t>
      </w:r>
    </w:p>
    <w:p w14:paraId="6D620219" w14:textId="77777777" w:rsidR="00596069" w:rsidRPr="000E2D76" w:rsidRDefault="00596069" w:rsidP="00596069">
      <w:pPr>
        <w:jc w:val="both"/>
        <w:rPr>
          <w:color w:val="000000" w:themeColor="text1"/>
          <w:sz w:val="28"/>
          <w:szCs w:val="28"/>
          <w:lang w:bidi="ar-EG"/>
        </w:rPr>
      </w:pPr>
      <w:r w:rsidRPr="000E2D76">
        <w:rPr>
          <w:color w:val="000000" w:themeColor="text1"/>
          <w:sz w:val="28"/>
          <w:szCs w:val="28"/>
          <w:lang w:bidi="ar-EG"/>
        </w:rPr>
        <w:t xml:space="preserve">The initial pH values (Day 0) were similar across all samples, ranging from 5.44 to 5.45, with no significant differences between the control (100% animal fat) and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-based frankfurters. This indicates that replacing animal fat with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did not significantly alter the initial acidity of the product, which is essential for maintaining quality and sensory attributes (Hwang et al., 2016). The pH values of meat products are typically influenced by protein content, fat composition, and interactions with added structuring agents (</w:t>
      </w:r>
      <w:proofErr w:type="spellStart"/>
      <w:r w:rsidRPr="000E2D76">
        <w:rPr>
          <w:color w:val="000000" w:themeColor="text1"/>
          <w:sz w:val="28"/>
          <w:szCs w:val="28"/>
          <w:lang w:bidi="ar-EG"/>
        </w:rPr>
        <w:t>Patinho</w:t>
      </w:r>
      <w:proofErr w:type="spellEnd"/>
      <w:r w:rsidRPr="000E2D76">
        <w:rPr>
          <w:color w:val="000000" w:themeColor="text1"/>
          <w:sz w:val="28"/>
          <w:szCs w:val="28"/>
          <w:lang w:bidi="ar-EG"/>
        </w:rPr>
        <w:t xml:space="preserve"> et al., 2022). Since beeswax and sunflower wax are neutral compounds, their presence did not immediately impact pH levels at the beginning of storage.</w:t>
      </w:r>
    </w:p>
    <w:p w14:paraId="63F75DA2" w14:textId="77777777" w:rsidR="00596069" w:rsidRPr="000E2D76" w:rsidRDefault="00596069" w:rsidP="00596069">
      <w:pPr>
        <w:jc w:val="both"/>
        <w:rPr>
          <w:color w:val="000000" w:themeColor="text1"/>
          <w:sz w:val="28"/>
          <w:szCs w:val="28"/>
          <w:lang w:bidi="ar-EG"/>
        </w:rPr>
      </w:pPr>
      <w:r w:rsidRPr="000E2D76">
        <w:rPr>
          <w:color w:val="000000" w:themeColor="text1"/>
          <w:sz w:val="28"/>
          <w:szCs w:val="28"/>
          <w:lang w:bidi="ar-EG"/>
        </w:rPr>
        <w:t xml:space="preserve">As storage progressed (Day 6 and Day 12), a notable increase in pH was observed in all samples, with the control frankfurter (100% animal fat) reaching the highest pH (6.83) by Day 12. In contrast, frankfurters containing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exhibited significantly lower pH values (5.68–5.80 on Day 12), suggesting that the inclusion of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delayed the alkalization process. The lower pH in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-based formulations is likely due to a reduced formation of alkaline nitrogenous compounds, such as ammonia and biogenic amines, which are produced by microbial activity and lipid oxidation in traditional high-fat meat products (Lorenzo et al., 2018). The better pH stability of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-formulated frankfurters may be attributed to the antioxidant properties of sunflower oil and the waxes, which slow down oxidative and microbial degradation, thereby maintaining a more stable acidic environment (Doan et al., 2022).</w:t>
      </w:r>
    </w:p>
    <w:p w14:paraId="23D00711" w14:textId="77777777" w:rsidR="00596069" w:rsidRPr="000E2D76" w:rsidRDefault="00596069" w:rsidP="00596069">
      <w:pPr>
        <w:jc w:val="both"/>
        <w:rPr>
          <w:color w:val="000000" w:themeColor="text1"/>
          <w:sz w:val="28"/>
          <w:szCs w:val="28"/>
          <w:rtl/>
          <w:lang w:bidi="ar-EG"/>
        </w:rPr>
      </w:pPr>
      <w:r w:rsidRPr="000E2D76">
        <w:rPr>
          <w:color w:val="000000" w:themeColor="text1"/>
          <w:sz w:val="28"/>
          <w:szCs w:val="28"/>
          <w:lang w:bidi="ar-EG"/>
        </w:rPr>
        <w:t xml:space="preserve">Among the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-based formulations, frankfurters containing sunflower wax exhibited slightly higher pH values than those containing beeswax by Day 12. This may be due to differences in antioxidant activity between beeswax and sunflower wax, as beeswax is known to contain flavonoids and phenolic compounds, which provide superior oxidative stability (Blake et al., 2014). The 100% sunflower oil + beeswax 8% formulation maintained the lowest pH (5.73), indicating its greater effectiveness in stabilizing the product against pH fluctuations. These findings suggest that substituting animal fat with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not only </w:t>
      </w:r>
      <w:r w:rsidRPr="000E2D76">
        <w:rPr>
          <w:color w:val="000000" w:themeColor="text1"/>
          <w:sz w:val="28"/>
          <w:szCs w:val="28"/>
          <w:lang w:bidi="ar-EG"/>
        </w:rPr>
        <w:lastRenderedPageBreak/>
        <w:t>improves the nutritional profile of frankfurters but also enhances their pH stability, potentially extending shelf life and maintaining quality during storage (</w:t>
      </w:r>
      <w:proofErr w:type="spellStart"/>
      <w:r w:rsidRPr="000E2D76">
        <w:rPr>
          <w:color w:val="000000" w:themeColor="text1"/>
          <w:sz w:val="28"/>
          <w:szCs w:val="28"/>
          <w:lang w:bidi="ar-EG"/>
        </w:rPr>
        <w:t>Zulim</w:t>
      </w:r>
      <w:proofErr w:type="spellEnd"/>
      <w:r w:rsidRPr="000E2D76">
        <w:rPr>
          <w:color w:val="000000" w:themeColor="text1"/>
          <w:sz w:val="28"/>
          <w:szCs w:val="28"/>
          <w:lang w:bidi="ar-EG"/>
        </w:rPr>
        <w:t xml:space="preserve"> et al., 2020).</w:t>
      </w:r>
    </w:p>
    <w:p w14:paraId="7EABCA46" w14:textId="77777777" w:rsidR="0001012F" w:rsidRPr="000E2D76" w:rsidRDefault="0001012F" w:rsidP="00596069">
      <w:pPr>
        <w:jc w:val="both"/>
        <w:rPr>
          <w:b/>
          <w:bCs/>
          <w:color w:val="000000" w:themeColor="text1"/>
          <w:sz w:val="28"/>
          <w:szCs w:val="28"/>
          <w:lang w:bidi="ar-EG"/>
        </w:rPr>
      </w:pPr>
      <w:r w:rsidRPr="000E2D76">
        <w:rPr>
          <w:b/>
          <w:bCs/>
          <w:color w:val="000000" w:themeColor="text1"/>
          <w:sz w:val="28"/>
          <w:szCs w:val="28"/>
          <w:lang w:bidi="ar-EG"/>
        </w:rPr>
        <w:t xml:space="preserve">Lipid Oxidation and Oxidative Stability of Frankfurters Formulated with Sunflower Oil-Based </w:t>
      </w:r>
      <w:proofErr w:type="spellStart"/>
      <w:r w:rsidRPr="000E2D76">
        <w:rPr>
          <w:b/>
          <w:bCs/>
          <w:color w:val="000000" w:themeColor="text1"/>
          <w:sz w:val="28"/>
          <w:szCs w:val="28"/>
          <w:lang w:bidi="ar-EG"/>
        </w:rPr>
        <w:t>Oleogels</w:t>
      </w:r>
      <w:proofErr w:type="spellEnd"/>
    </w:p>
    <w:p w14:paraId="1F7BDAFD" w14:textId="77777777" w:rsidR="0001012F" w:rsidRPr="000E2D76" w:rsidRDefault="0001012F" w:rsidP="0001012F">
      <w:pPr>
        <w:jc w:val="both"/>
        <w:rPr>
          <w:color w:val="000000" w:themeColor="text1"/>
          <w:sz w:val="28"/>
          <w:szCs w:val="28"/>
          <w:lang w:bidi="ar-EG"/>
        </w:rPr>
      </w:pPr>
      <w:r w:rsidRPr="000E2D76">
        <w:rPr>
          <w:color w:val="000000" w:themeColor="text1"/>
          <w:sz w:val="28"/>
          <w:szCs w:val="28"/>
          <w:lang w:bidi="ar-EG"/>
        </w:rPr>
        <w:t xml:space="preserve">The TBA values, expressed as mg of malondialdehyde (MDA) per kg, measure lipid oxidation in frankfurters over 12 days of storage. At Day 0, the control frankfurter (100% animal fat) exhibited the highest TBA value (0.26 mg MDA/kg), while samples containing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had significantly lower values (0.14–0.18 mg MDA/kg). This indicates that the replacement of animal fat with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enhanced oxidative stability from the beginning of storage, likely due to the higher antioxidant potential of sunflower oil and structuring waxes, which help limit the formation of oxidative by-products (Hwang et al., 2016). The 100% BG (100% Sunflower Oil + Beeswax 8%) sample exhibited the lowest initial TBA value (0.14 mg MDA/kg), suggesting that beeswax may have contributed more effectively to reducing oxidation compared to sunflower wax due to its natural phenolic compounds and flavonoids, which act as antioxidants (Doan et al., 2022).</w:t>
      </w:r>
    </w:p>
    <w:p w14:paraId="6D8CE39D" w14:textId="77777777" w:rsidR="0001012F" w:rsidRPr="000E2D76" w:rsidRDefault="0001012F" w:rsidP="0001012F">
      <w:pPr>
        <w:jc w:val="both"/>
        <w:rPr>
          <w:color w:val="000000" w:themeColor="text1"/>
          <w:sz w:val="28"/>
          <w:szCs w:val="28"/>
          <w:lang w:bidi="ar-EG"/>
        </w:rPr>
      </w:pPr>
      <w:r w:rsidRPr="000E2D76">
        <w:rPr>
          <w:color w:val="000000" w:themeColor="text1"/>
          <w:sz w:val="28"/>
          <w:szCs w:val="28"/>
          <w:lang w:bidi="ar-EG"/>
        </w:rPr>
        <w:t xml:space="preserve">By Day 6, the control sample showed a sharp increase in oxidation (0.85 mg MDA/kg), whereas frankfurters containing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exhibited significantly lower TBA values (0.25–0.32 mg MDA/kg). The 50% BG (50% animal fat + 50% Sunflower Oil + Beeswax 8%) and 100% BG (100% Sunflower Oil + Beeswax 8%) samples maintained the lowest oxidation levels, followed by sunflower wax-based formulations (50% SG and 100% SG). The reduction in lipid oxidation in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-based frankfurters can be attributed to the gel network formation by waxes, which limit oxygen diffusion and reduce oxidative degradation (</w:t>
      </w:r>
      <w:proofErr w:type="spellStart"/>
      <w:r w:rsidRPr="000E2D76">
        <w:rPr>
          <w:color w:val="000000" w:themeColor="text1"/>
          <w:sz w:val="28"/>
          <w:szCs w:val="28"/>
          <w:lang w:bidi="ar-EG"/>
        </w:rPr>
        <w:t>Patinho</w:t>
      </w:r>
      <w:proofErr w:type="spellEnd"/>
      <w:r w:rsidRPr="000E2D76">
        <w:rPr>
          <w:color w:val="000000" w:themeColor="text1"/>
          <w:sz w:val="28"/>
          <w:szCs w:val="28"/>
          <w:lang w:bidi="ar-EG"/>
        </w:rPr>
        <w:t xml:space="preserve"> et al., 2022). Furthermore, beeswax and sunflower wax act as stabilizers, forming a protective barrier around lipid molecules, preventing oxidation reactions that commonly occur in traditional high-fat meat products (Lupi et al., 2020).</w:t>
      </w:r>
    </w:p>
    <w:p w14:paraId="5104F7B8" w14:textId="77777777" w:rsidR="0001012F" w:rsidRPr="000E2D76" w:rsidRDefault="0001012F" w:rsidP="0001012F">
      <w:pPr>
        <w:jc w:val="both"/>
        <w:rPr>
          <w:color w:val="000000" w:themeColor="text1"/>
          <w:sz w:val="28"/>
          <w:szCs w:val="28"/>
          <w:lang w:bidi="ar-EG"/>
        </w:rPr>
      </w:pPr>
      <w:r w:rsidRPr="000E2D76">
        <w:rPr>
          <w:color w:val="000000" w:themeColor="text1"/>
          <w:sz w:val="28"/>
          <w:szCs w:val="28"/>
          <w:lang w:bidi="ar-EG"/>
        </w:rPr>
        <w:t xml:space="preserve">At Day 12, oxidative deterioration in the control frankfurter continued to increase sharply (1.28 mg MDA/kg), surpassing the acceptable threshold for lipid oxidation in processed meats. However, all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-based formulations maintained significantly lower TBA values (0.26–0.34 mg MDA/kg), demonstrating that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effectively delayed lipid oxidation throughout </w:t>
      </w:r>
      <w:r w:rsidRPr="000E2D76">
        <w:rPr>
          <w:color w:val="000000" w:themeColor="text1"/>
          <w:sz w:val="28"/>
          <w:szCs w:val="28"/>
          <w:lang w:bidi="ar-EG"/>
        </w:rPr>
        <w:lastRenderedPageBreak/>
        <w:t xml:space="preserve">storage. The beeswax-based formulations (50% BG and 100% BG) exhibited the lowest TBA values (0.26–0.27 mg MDA/kg), reinforcing beeswax's superior antioxidant potential compared to sunflower wax (Blake et al., 2014). These findings suggest that substituting animal fat with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not only improves the nutritional profile of frankfurters but also enhances their shelf life and oxidative stability, making them a viable alternative for reducing saturated fat content in processed meats while preserving quality.</w:t>
      </w:r>
    </w:p>
    <w:p w14:paraId="46A02715" w14:textId="77777777" w:rsidR="00596069" w:rsidRPr="000E2D76" w:rsidRDefault="0001012F" w:rsidP="00596069">
      <w:pPr>
        <w:jc w:val="both"/>
        <w:rPr>
          <w:b/>
          <w:bCs/>
          <w:color w:val="000000" w:themeColor="text1"/>
          <w:sz w:val="28"/>
          <w:szCs w:val="28"/>
          <w:lang w:bidi="ar-EG"/>
        </w:rPr>
      </w:pPr>
      <w:r w:rsidRPr="000E2D76">
        <w:rPr>
          <w:b/>
          <w:bCs/>
          <w:color w:val="000000" w:themeColor="text1"/>
          <w:sz w:val="28"/>
          <w:szCs w:val="28"/>
          <w:lang w:bidi="ar-EG"/>
        </w:rPr>
        <w:t xml:space="preserve">Effect of Sunflower Oil-Based </w:t>
      </w:r>
      <w:proofErr w:type="spellStart"/>
      <w:r w:rsidRPr="000E2D76">
        <w:rPr>
          <w:b/>
          <w:bCs/>
          <w:color w:val="000000" w:themeColor="text1"/>
          <w:sz w:val="28"/>
          <w:szCs w:val="28"/>
          <w:lang w:bidi="ar-EG"/>
        </w:rPr>
        <w:t>Oleogels</w:t>
      </w:r>
      <w:proofErr w:type="spellEnd"/>
      <w:r w:rsidRPr="000E2D76">
        <w:rPr>
          <w:b/>
          <w:bCs/>
          <w:color w:val="000000" w:themeColor="text1"/>
          <w:sz w:val="28"/>
          <w:szCs w:val="28"/>
          <w:lang w:bidi="ar-EG"/>
        </w:rPr>
        <w:t xml:space="preserve"> on Cooking Loss in Frankfurters During Storage</w:t>
      </w:r>
    </w:p>
    <w:p w14:paraId="09083749" w14:textId="77777777" w:rsidR="0001012F" w:rsidRPr="000E2D76" w:rsidRDefault="0001012F" w:rsidP="00760904">
      <w:pPr>
        <w:jc w:val="both"/>
        <w:rPr>
          <w:color w:val="000000" w:themeColor="text1"/>
          <w:sz w:val="28"/>
          <w:szCs w:val="28"/>
          <w:lang w:bidi="ar-EG"/>
        </w:rPr>
      </w:pPr>
      <w:r w:rsidRPr="000E2D76">
        <w:rPr>
          <w:color w:val="000000" w:themeColor="text1"/>
          <w:sz w:val="28"/>
          <w:szCs w:val="28"/>
          <w:lang w:bidi="ar-EG"/>
        </w:rPr>
        <w:t xml:space="preserve">Cooking loss refers to the percentage of weight loss during heat processing, primarily due to moisture and fat loss, which affects product yield, texture, and juiciness. At Day 0, frankfurters containing 100%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(100% SG and 100% BG) exhibited significantly higher cook loss (32.54–33.77%) compared to the control (20.26%) and mixed formulations (50% SG and 50% BG). The increased cook loss in 100%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formulations may be due to the lower solid fat content and weaker fat-protein interactions, as traditional animal fat contributes to emulsion stability by retaining water and fat more efficiently (</w:t>
      </w:r>
      <w:proofErr w:type="spellStart"/>
      <w:r w:rsidRPr="000E2D76">
        <w:rPr>
          <w:color w:val="000000" w:themeColor="text1"/>
          <w:sz w:val="28"/>
          <w:szCs w:val="28"/>
          <w:lang w:bidi="ar-EG"/>
        </w:rPr>
        <w:t>Patinho</w:t>
      </w:r>
      <w:proofErr w:type="spellEnd"/>
      <w:r w:rsidRPr="000E2D76">
        <w:rPr>
          <w:color w:val="000000" w:themeColor="text1"/>
          <w:sz w:val="28"/>
          <w:szCs w:val="28"/>
          <w:lang w:bidi="ar-EG"/>
        </w:rPr>
        <w:t xml:space="preserve"> et al., 2022). However, beeswax-based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(100% BG) exhibited slightly lower cook loss (32.54%) compared to sunflower 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(33.77%), suggesting that beeswax provides better structural stability in meat matrices, potentially due to its higher viscosity and gel network strength (Doan et al., 2022).</w:t>
      </w:r>
    </w:p>
    <w:p w14:paraId="1B3D9927" w14:textId="77777777" w:rsidR="0001012F" w:rsidRPr="000E2D76" w:rsidRDefault="0001012F" w:rsidP="00760904">
      <w:pPr>
        <w:jc w:val="both"/>
        <w:rPr>
          <w:color w:val="000000" w:themeColor="text1"/>
          <w:sz w:val="28"/>
          <w:szCs w:val="28"/>
          <w:lang w:bidi="ar-EG"/>
        </w:rPr>
      </w:pPr>
      <w:r w:rsidRPr="000E2D76">
        <w:rPr>
          <w:color w:val="000000" w:themeColor="text1"/>
          <w:sz w:val="28"/>
          <w:szCs w:val="28"/>
          <w:lang w:bidi="ar-EG"/>
        </w:rPr>
        <w:t xml:space="preserve">As storage progressed (Day 6), a slight increase in cook loss was observed across all samples, but the 100% sunflower oil-based formulations continued to exhibit significantly higher values (33.33%) compared to the control and 50% fat-replacement samples (21.26–22.37%). The 50%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formulations (50% SG and 50% BG) demonstrated similar cook loss values to the control frankfurter, indicating that partial replacement of animal fat with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maintains acceptable cooking stability. The higher cook loss in 100% sunflower oil-based formulations is likely due to reduced emulsion stability, as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may not fully mimic the structural properties of animal fat, leading to increased water and oil separation during cooking (Lorenzo et al., 2018). The slightly better performance of beeswax-based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(50% BG and 100% BG) over sunflower wax-based </w:t>
      </w:r>
      <w:proofErr w:type="spellStart"/>
      <w:r w:rsidRPr="000E2D76">
        <w:rPr>
          <w:color w:val="000000" w:themeColor="text1"/>
          <w:sz w:val="28"/>
          <w:szCs w:val="28"/>
          <w:lang w:bidi="ar-EG"/>
        </w:rPr>
        <w:lastRenderedPageBreak/>
        <w:t>oleogels</w:t>
      </w:r>
      <w:proofErr w:type="spellEnd"/>
      <w:r w:rsidRPr="000E2D76">
        <w:rPr>
          <w:color w:val="000000" w:themeColor="text1"/>
          <w:sz w:val="28"/>
          <w:szCs w:val="28"/>
          <w:lang w:bidi="ar-EG"/>
        </w:rPr>
        <w:t xml:space="preserve"> suggests that beeswax forms a more cohesive gel network, improving water retention and reducing moisture loss (Blake et al., 2014).</w:t>
      </w:r>
    </w:p>
    <w:p w14:paraId="25293866" w14:textId="77777777" w:rsidR="0001012F" w:rsidRPr="000E2D76" w:rsidRDefault="0001012F" w:rsidP="0001012F">
      <w:pPr>
        <w:jc w:val="both"/>
        <w:rPr>
          <w:color w:val="000000" w:themeColor="text1"/>
          <w:sz w:val="28"/>
          <w:szCs w:val="28"/>
          <w:lang w:bidi="ar-EG"/>
        </w:rPr>
      </w:pPr>
      <w:r w:rsidRPr="000E2D76">
        <w:rPr>
          <w:color w:val="000000" w:themeColor="text1"/>
          <w:sz w:val="28"/>
          <w:szCs w:val="28"/>
          <w:lang w:bidi="ar-EG"/>
        </w:rPr>
        <w:t xml:space="preserve">By Day 12, cooking loss in the control and 50%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formulations remained stable (20.73–21.13%), whereas the 100% sunflower oil-based formulations continued to show significantly higher cook loss (32.79–34.97%). The increase in cook loss over time may be due to protein denaturation, emulsion destabilization, and structural weakening as storage progresses (Hwang et al., 2016). The 100% sunflower wax formulation (100% SG) exhibited the highest cook loss (34.97%), reinforcing that sunflower 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may not retain moisture as effectively as beeswax-based formulations. These findings indicate that partial fat replacement (50% animal fat + 50%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is optimal for maintaining cooking stability, while 100% fat replacement leads to higher moisture loss, particularly in sunflower wax-based formulations. Overall, beeswax-based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performed better in retaining moisture and minimizing cook loss compared to sunflower 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making them a preferable choice for improving the textural and cooking properties of reformulated meat products.</w:t>
      </w:r>
    </w:p>
    <w:p w14:paraId="3965629E" w14:textId="77777777" w:rsidR="00760904" w:rsidRPr="000E2D76" w:rsidRDefault="00760904" w:rsidP="0001012F">
      <w:pPr>
        <w:jc w:val="both"/>
        <w:rPr>
          <w:b/>
          <w:bCs/>
          <w:color w:val="000000" w:themeColor="text1"/>
          <w:sz w:val="28"/>
          <w:szCs w:val="28"/>
          <w:lang w:bidi="ar-EG"/>
        </w:rPr>
      </w:pPr>
      <w:r w:rsidRPr="000E2D76">
        <w:rPr>
          <w:b/>
          <w:bCs/>
          <w:color w:val="000000" w:themeColor="text1"/>
          <w:sz w:val="28"/>
          <w:szCs w:val="28"/>
          <w:lang w:bidi="ar-EG"/>
        </w:rPr>
        <w:t xml:space="preserve">Effect of Sunflower Oil-Based </w:t>
      </w:r>
      <w:proofErr w:type="spellStart"/>
      <w:r w:rsidRPr="000E2D76">
        <w:rPr>
          <w:b/>
          <w:bCs/>
          <w:color w:val="000000" w:themeColor="text1"/>
          <w:sz w:val="28"/>
          <w:szCs w:val="28"/>
          <w:lang w:bidi="ar-EG"/>
        </w:rPr>
        <w:t>Oleogels</w:t>
      </w:r>
      <w:proofErr w:type="spellEnd"/>
      <w:r w:rsidRPr="000E2D76">
        <w:rPr>
          <w:b/>
          <w:bCs/>
          <w:color w:val="000000" w:themeColor="text1"/>
          <w:sz w:val="28"/>
          <w:szCs w:val="28"/>
          <w:lang w:bidi="ar-EG"/>
        </w:rPr>
        <w:t xml:space="preserve"> on Cooking Yield of Frankfurters During Storage</w:t>
      </w:r>
    </w:p>
    <w:p w14:paraId="01851EC5" w14:textId="77777777" w:rsidR="00760904" w:rsidRPr="000E2D76" w:rsidRDefault="00760904" w:rsidP="00760904">
      <w:pPr>
        <w:jc w:val="both"/>
        <w:rPr>
          <w:color w:val="000000" w:themeColor="text1"/>
          <w:sz w:val="28"/>
          <w:szCs w:val="28"/>
          <w:lang w:bidi="ar-EG"/>
        </w:rPr>
      </w:pPr>
      <w:r w:rsidRPr="000E2D76">
        <w:rPr>
          <w:color w:val="000000" w:themeColor="text1"/>
          <w:sz w:val="28"/>
          <w:szCs w:val="28"/>
          <w:lang w:bidi="ar-EG"/>
        </w:rPr>
        <w:t xml:space="preserve">Cooking yield is an essential parameter that reflects the ability of meat products to retain moisture and fat during heat processing, influencing product texture, juiciness, and overall quality. At Day 0, the control frankfurter (100% animal fat) exhibited the highest cooking yield (79.74%), while samples containing 100%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(100% SG and 100% BG) exhibited significantly lower yields (66.23–67.46%). This reduction in cook yield is expected, as animal fat forms a more stable emulsion matrix, contributing to improved moisture and fat retention during heat treatment (</w:t>
      </w:r>
      <w:proofErr w:type="spellStart"/>
      <w:r w:rsidRPr="000E2D76">
        <w:rPr>
          <w:color w:val="000000" w:themeColor="text1"/>
          <w:sz w:val="28"/>
          <w:szCs w:val="28"/>
          <w:lang w:bidi="ar-EG"/>
        </w:rPr>
        <w:t>Patinho</w:t>
      </w:r>
      <w:proofErr w:type="spellEnd"/>
      <w:r w:rsidRPr="000E2D76">
        <w:rPr>
          <w:color w:val="000000" w:themeColor="text1"/>
          <w:sz w:val="28"/>
          <w:szCs w:val="28"/>
          <w:lang w:bidi="ar-EG"/>
        </w:rPr>
        <w:t xml:space="preserve"> et al., 2022). The 50% fat-replacement formulations (50% SG and 50% BG) exhibited similar cook yield values (78.70–78.86%) to the control, suggesting that partial substitution of animal fat with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does not significantly affect water and fat retention.</w:t>
      </w:r>
    </w:p>
    <w:p w14:paraId="6AFA1719" w14:textId="77777777" w:rsidR="00760904" w:rsidRPr="000E2D76" w:rsidRDefault="00760904" w:rsidP="00760904">
      <w:pPr>
        <w:jc w:val="both"/>
        <w:rPr>
          <w:color w:val="000000" w:themeColor="text1"/>
          <w:sz w:val="28"/>
          <w:szCs w:val="28"/>
          <w:lang w:bidi="ar-EG"/>
        </w:rPr>
      </w:pPr>
      <w:r w:rsidRPr="000E2D76">
        <w:rPr>
          <w:color w:val="000000" w:themeColor="text1"/>
          <w:sz w:val="28"/>
          <w:szCs w:val="28"/>
          <w:lang w:bidi="ar-EG"/>
        </w:rPr>
        <w:t xml:space="preserve">By Day 6, a slight decrease in cook yield was observed across all samples, with the 100% sunflower oil-based formulations maintaining the lowest yields (66.23–66.67%). The 50% SG and 50% BG formulations continued to demonstrate similar retention capacity to the control (77.63–78.74%), reinforcing the stability of </w:t>
      </w:r>
      <w:r w:rsidRPr="000E2D76">
        <w:rPr>
          <w:color w:val="000000" w:themeColor="text1"/>
          <w:sz w:val="28"/>
          <w:szCs w:val="28"/>
          <w:lang w:bidi="ar-EG"/>
        </w:rPr>
        <w:lastRenderedPageBreak/>
        <w:t xml:space="preserve">partially replaced formulations in maintaining desirable cooking properties. The higher cooking loss observed in 100%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-based formulations (previously noted in cook loss data) likely contributed to the lower cook yield, as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do not form the same fat-protein interactions as animal fat, leading to higher moisture loss during heating (Lupi et al., 2020). The slightly higher cook yield in 100% BG (67.46–67.21%) compared to 100% SG (66.23–65.03%) suggests that beeswax-based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provide better emulsion stability, possibly due to their denser gel network and higher viscosity, which aid in water retention (Doan et al., 2022).</w:t>
      </w:r>
    </w:p>
    <w:p w14:paraId="17550861" w14:textId="77777777" w:rsidR="00760904" w:rsidRPr="000E2D76" w:rsidRDefault="00760904" w:rsidP="00760904">
      <w:pPr>
        <w:jc w:val="both"/>
        <w:rPr>
          <w:color w:val="000000" w:themeColor="text1"/>
          <w:sz w:val="28"/>
          <w:szCs w:val="28"/>
          <w:lang w:bidi="ar-EG"/>
        </w:rPr>
      </w:pPr>
      <w:r w:rsidRPr="000E2D76">
        <w:rPr>
          <w:color w:val="000000" w:themeColor="text1"/>
          <w:sz w:val="28"/>
          <w:szCs w:val="28"/>
          <w:lang w:bidi="ar-EG"/>
        </w:rPr>
        <w:t xml:space="preserve">By Day 12, cooking yield values remained stable for the control and 50%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formulations (78.87–79.27%), while 100% sunflower oil-based formulations continued to show significantly lower yields (65.03–67.21%). The higher reduction in cook yield observed in 100% SG (65.03%) compared to 100% BG (67.21%) reinforces previous findings that beeswax may enhance moisture retention better than sunflower wax, likely due to its stronger lipid structuring ability (Hwang et al., 2016). These findings suggest that partial fat replacement (50% animal fat + 50%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is the optimal formulation for maintaining cook yield, while 100% fat replacement results in higher moisture and fat loss, particularly in sunflower wax-based formulations. Overall, beeswax-based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performed better in retaining cooking yield than sunflower 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making them more suitable for fat-reduced frankfurter formulations.</w:t>
      </w:r>
    </w:p>
    <w:p w14:paraId="342F3EA4" w14:textId="77777777" w:rsidR="00760904" w:rsidRPr="000E2D76" w:rsidRDefault="00760904" w:rsidP="00760904">
      <w:pPr>
        <w:jc w:val="both"/>
        <w:rPr>
          <w:b/>
          <w:bCs/>
          <w:color w:val="000000" w:themeColor="text1"/>
          <w:sz w:val="28"/>
          <w:szCs w:val="28"/>
          <w:lang w:bidi="ar-EG"/>
        </w:rPr>
      </w:pPr>
      <w:r w:rsidRPr="000E2D76">
        <w:rPr>
          <w:b/>
          <w:bCs/>
          <w:color w:val="000000" w:themeColor="text1"/>
          <w:sz w:val="28"/>
          <w:szCs w:val="28"/>
          <w:lang w:bidi="ar-EG"/>
        </w:rPr>
        <w:t xml:space="preserve">Effect of Sunflower Oil-Based </w:t>
      </w:r>
      <w:proofErr w:type="spellStart"/>
      <w:r w:rsidRPr="000E2D76">
        <w:rPr>
          <w:b/>
          <w:bCs/>
          <w:color w:val="000000" w:themeColor="text1"/>
          <w:sz w:val="28"/>
          <w:szCs w:val="28"/>
          <w:lang w:bidi="ar-EG"/>
        </w:rPr>
        <w:t>Oleogels</w:t>
      </w:r>
      <w:proofErr w:type="spellEnd"/>
      <w:r w:rsidRPr="000E2D76">
        <w:rPr>
          <w:b/>
          <w:bCs/>
          <w:color w:val="000000" w:themeColor="text1"/>
          <w:sz w:val="28"/>
          <w:szCs w:val="28"/>
          <w:lang w:bidi="ar-EG"/>
        </w:rPr>
        <w:t xml:space="preserve"> on Fat Retention in Frankfurters During Storage</w:t>
      </w:r>
    </w:p>
    <w:p w14:paraId="1382E569" w14:textId="77777777" w:rsidR="00760904" w:rsidRPr="000E2D76" w:rsidRDefault="00760904" w:rsidP="00760904">
      <w:pPr>
        <w:jc w:val="both"/>
        <w:rPr>
          <w:color w:val="000000" w:themeColor="text1"/>
          <w:sz w:val="28"/>
          <w:szCs w:val="28"/>
          <w:lang w:bidi="ar-EG"/>
        </w:rPr>
      </w:pPr>
      <w:r w:rsidRPr="000E2D76">
        <w:rPr>
          <w:color w:val="000000" w:themeColor="text1"/>
          <w:sz w:val="28"/>
          <w:szCs w:val="28"/>
          <w:lang w:bidi="ar-EG"/>
        </w:rPr>
        <w:t xml:space="preserve">Fat retention is a critical quality parameter in meat products, as it influences juiciness, texture, and mouthfeel. At Day 0, the control frankfurter (100% animal fat) exhibited the highest fat retention (18.52%), whereas frankfurters containing 100%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showed significantly lower fat retention (8.74–9.38%). This reduction is expected, as animal fat forms a more stable emulsion matrix with proteins, which helps retain lipids during processing and cooking (</w:t>
      </w:r>
      <w:proofErr w:type="spellStart"/>
      <w:r w:rsidRPr="000E2D76">
        <w:rPr>
          <w:color w:val="000000" w:themeColor="text1"/>
          <w:sz w:val="28"/>
          <w:szCs w:val="28"/>
          <w:lang w:bidi="ar-EG"/>
        </w:rPr>
        <w:t>Patinho</w:t>
      </w:r>
      <w:proofErr w:type="spellEnd"/>
      <w:r w:rsidRPr="000E2D76">
        <w:rPr>
          <w:color w:val="000000" w:themeColor="text1"/>
          <w:sz w:val="28"/>
          <w:szCs w:val="28"/>
          <w:lang w:bidi="ar-EG"/>
        </w:rPr>
        <w:t xml:space="preserve"> et al., 2022). In contrast,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have a weaker interaction with muscle proteins, leading to a higher release of fat during cooking (Doan et al., 2022). Among the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-based formulations, beeswax-based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(50% BG and 100% BG) exhibited slightly higher fat retention than sunflower wax-based </w:t>
      </w:r>
      <w:proofErr w:type="spellStart"/>
      <w:r w:rsidRPr="000E2D76">
        <w:rPr>
          <w:color w:val="000000" w:themeColor="text1"/>
          <w:sz w:val="28"/>
          <w:szCs w:val="28"/>
          <w:lang w:bidi="ar-EG"/>
        </w:rPr>
        <w:lastRenderedPageBreak/>
        <w:t>oleogels</w:t>
      </w:r>
      <w:proofErr w:type="spellEnd"/>
      <w:r w:rsidRPr="000E2D76">
        <w:rPr>
          <w:color w:val="000000" w:themeColor="text1"/>
          <w:sz w:val="28"/>
          <w:szCs w:val="28"/>
          <w:lang w:bidi="ar-EG"/>
        </w:rPr>
        <w:t>, suggesting that beeswax provides a more cohesive lipid network, which limits fat release during processing (Blake et al., 2014).</w:t>
      </w:r>
    </w:p>
    <w:p w14:paraId="1FA799BB" w14:textId="77777777" w:rsidR="00760904" w:rsidRPr="000E2D76" w:rsidRDefault="00760904" w:rsidP="00760904">
      <w:pPr>
        <w:jc w:val="both"/>
        <w:rPr>
          <w:color w:val="000000" w:themeColor="text1"/>
          <w:sz w:val="28"/>
          <w:szCs w:val="28"/>
          <w:lang w:bidi="ar-EG"/>
        </w:rPr>
      </w:pPr>
      <w:r w:rsidRPr="000E2D76">
        <w:rPr>
          <w:color w:val="000000" w:themeColor="text1"/>
          <w:sz w:val="28"/>
          <w:szCs w:val="28"/>
          <w:lang w:bidi="ar-EG"/>
        </w:rPr>
        <w:t xml:space="preserve">By Day 6, fat retention values remained relatively stable in all formulations, with minor changes due to protein-lipid interactions and gradual moisture loss. The control sample retained the highest fat content (18.40%), while 100% sunflower oil-based formulations (100% SG and 100% BG) showed the lowest fat retention (9.30% and 8.66%, respectively). The slightly higher fat retention in 50% BG (11.43%) compared to 50% SG (12.36%) suggests that beeswax provided better structural integrity than sunflower wax, which aligns with findings that beeswax-based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exhibit stronger gel networks, reducing fat migration (Lupi et al., 2020). Despite the differences, partial fat replacement (50% animal fat + 50%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maintained fat retention closer to the control, indicating that a balanced fat replacement strategy can preserve fat-holding capacity in reformulated frankfurters.</w:t>
      </w:r>
    </w:p>
    <w:p w14:paraId="7BC15154" w14:textId="77777777" w:rsidR="00760904" w:rsidRPr="000E2D76" w:rsidRDefault="00760904" w:rsidP="00760904">
      <w:pPr>
        <w:jc w:val="both"/>
        <w:rPr>
          <w:color w:val="000000" w:themeColor="text1"/>
          <w:sz w:val="28"/>
          <w:szCs w:val="28"/>
          <w:rtl/>
          <w:lang w:bidi="ar-EG"/>
        </w:rPr>
      </w:pPr>
      <w:r w:rsidRPr="000E2D76">
        <w:rPr>
          <w:color w:val="000000" w:themeColor="text1"/>
          <w:sz w:val="28"/>
          <w:szCs w:val="28"/>
          <w:lang w:bidi="ar-EG"/>
        </w:rPr>
        <w:t xml:space="preserve">By Day 12, fat retention remained highest in the control frankfurter (18.43%), while 100%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-based formulations continued to exhibit lower values (9.19% in 100% SG and 8.46% in 100% BG). The gradual decline in fat retention over time may be attributed to oxidative degradation and structural weakening of the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matrix, leading to increased fat release (Hwang et al., 2016). The slightly better fat retention in 100% SG compared to 100% BG suggests that sunflower wax, despite its higher cook loss, may form a more oil-entrapping network at later storage stages. However, beeswax-based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(50% BG and 100% BG) still showed greater stability in fat retention compared to sunflower 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reinforcing their suitability for fat replacement applications in processed meat products. These results indicate that partial fat replacement (50% animal fat + 50%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is optimal for maintaining fat retention, while 100% replacement leads to significant fat loss, particularly in beeswax-based formulations.</w:t>
      </w:r>
    </w:p>
    <w:p w14:paraId="4259FEC6" w14:textId="77777777" w:rsidR="008D3112" w:rsidRPr="000E2D76" w:rsidRDefault="008D3112" w:rsidP="00760904">
      <w:pPr>
        <w:jc w:val="both"/>
        <w:rPr>
          <w:color w:val="000000" w:themeColor="text1"/>
          <w:sz w:val="28"/>
          <w:szCs w:val="28"/>
          <w:rtl/>
          <w:lang w:bidi="ar-EG"/>
        </w:rPr>
      </w:pPr>
    </w:p>
    <w:p w14:paraId="118FC421" w14:textId="77777777" w:rsidR="008D3112" w:rsidRPr="000E2D76" w:rsidRDefault="008D3112" w:rsidP="00760904">
      <w:pPr>
        <w:jc w:val="both"/>
        <w:rPr>
          <w:b/>
          <w:bCs/>
          <w:color w:val="000000" w:themeColor="text1"/>
          <w:sz w:val="28"/>
          <w:szCs w:val="28"/>
          <w:rtl/>
          <w:lang w:bidi="ar-EG"/>
        </w:rPr>
      </w:pPr>
      <w:r w:rsidRPr="000E2D76">
        <w:rPr>
          <w:b/>
          <w:bCs/>
          <w:color w:val="000000" w:themeColor="text1"/>
          <w:sz w:val="28"/>
          <w:szCs w:val="28"/>
          <w:lang w:bidi="ar-EG"/>
        </w:rPr>
        <w:t xml:space="preserve">Effect of Sunflower Oil-Based </w:t>
      </w:r>
      <w:proofErr w:type="spellStart"/>
      <w:r w:rsidRPr="000E2D76">
        <w:rPr>
          <w:b/>
          <w:bCs/>
          <w:color w:val="000000" w:themeColor="text1"/>
          <w:sz w:val="28"/>
          <w:szCs w:val="28"/>
          <w:lang w:bidi="ar-EG"/>
        </w:rPr>
        <w:t>Oleogels</w:t>
      </w:r>
      <w:proofErr w:type="spellEnd"/>
      <w:r w:rsidRPr="000E2D76">
        <w:rPr>
          <w:b/>
          <w:bCs/>
          <w:color w:val="000000" w:themeColor="text1"/>
          <w:sz w:val="28"/>
          <w:szCs w:val="28"/>
          <w:lang w:bidi="ar-EG"/>
        </w:rPr>
        <w:t xml:space="preserve"> on the Color Stability of Frankfurters During Storage</w:t>
      </w:r>
    </w:p>
    <w:p w14:paraId="5363E36E" w14:textId="77777777" w:rsidR="008D3112" w:rsidRPr="000E2D76" w:rsidRDefault="008D3112" w:rsidP="008D3112">
      <w:pPr>
        <w:jc w:val="both"/>
        <w:rPr>
          <w:color w:val="000000" w:themeColor="text1"/>
          <w:sz w:val="28"/>
          <w:szCs w:val="28"/>
          <w:lang w:bidi="ar-EG"/>
        </w:rPr>
      </w:pPr>
      <w:r w:rsidRPr="000E2D76">
        <w:rPr>
          <w:color w:val="000000" w:themeColor="text1"/>
          <w:sz w:val="28"/>
          <w:szCs w:val="28"/>
          <w:lang w:bidi="ar-EG"/>
        </w:rPr>
        <w:t xml:space="preserve">Color is a crucial sensory attribute in meat products, influenced by fat composition, oxidation, and pigment stability. The lightness (L) values* varied significantly among formulations, with 100% SG (100% Sunflower Wax + Sunflower Oil) </w:t>
      </w:r>
      <w:r w:rsidRPr="000E2D76">
        <w:rPr>
          <w:color w:val="000000" w:themeColor="text1"/>
          <w:sz w:val="28"/>
          <w:szCs w:val="28"/>
          <w:lang w:bidi="ar-EG"/>
        </w:rPr>
        <w:lastRenderedPageBreak/>
        <w:t>exhibiting the highest L (60.77) at Day 0*, indicating a brighter and lighter appearance compared to other formulations. This could be due to the lower opacity of sunflower oil compared to animal fat, leading to a more translucent effect (</w:t>
      </w:r>
      <w:proofErr w:type="spellStart"/>
      <w:r w:rsidRPr="000E2D76">
        <w:rPr>
          <w:color w:val="000000" w:themeColor="text1"/>
          <w:sz w:val="28"/>
          <w:szCs w:val="28"/>
          <w:lang w:bidi="ar-EG"/>
        </w:rPr>
        <w:t>Patinho</w:t>
      </w:r>
      <w:proofErr w:type="spellEnd"/>
      <w:r w:rsidRPr="000E2D76">
        <w:rPr>
          <w:color w:val="000000" w:themeColor="text1"/>
          <w:sz w:val="28"/>
          <w:szCs w:val="28"/>
          <w:lang w:bidi="ar-EG"/>
        </w:rPr>
        <w:t xml:space="preserve"> et al., 2022). However, by Day 6 and Day 12, the L values of 100% SG significantly decreased (46.18),* suggesting oxidative discoloration and structural breakdown of the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network, leading to light scattering changes (Doan et al., 2022). The control sample (100% animal fat) maintained the highest L (62.40) by Day 12*, demonstrating better color stability, likely due to the protective effects of saturated fat in limiting oxidation.</w:t>
      </w:r>
    </w:p>
    <w:p w14:paraId="3A18CAB4" w14:textId="77777777" w:rsidR="008D3112" w:rsidRPr="000E2D76" w:rsidRDefault="008D3112" w:rsidP="008D3112">
      <w:pPr>
        <w:jc w:val="both"/>
        <w:rPr>
          <w:color w:val="000000" w:themeColor="text1"/>
          <w:sz w:val="28"/>
          <w:szCs w:val="28"/>
          <w:lang w:bidi="ar-EG"/>
        </w:rPr>
      </w:pPr>
      <w:r w:rsidRPr="000E2D76">
        <w:rPr>
          <w:color w:val="000000" w:themeColor="text1"/>
          <w:sz w:val="28"/>
          <w:szCs w:val="28"/>
          <w:lang w:bidi="ar-EG"/>
        </w:rPr>
        <w:t xml:space="preserve">The redness (a) values* were highest in the 50% SG formulation (11.89) at Day 0, suggesting that partial fat replacement with sunflower 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initially enhanced red color intensity. However, by Day 6 and 12, the 100% SG formulation exhibited the highest a values (11.33),* while the control and beeswax-based samples showed lower redness values (8.14–9.88). This could indicate a greater oxidation effect in 100% SG, where lipid oxidation byproducts interacted with meat pigments, leading to shifts in red intensity (Lorenzo et al., 2018). In contrast, beeswax-based formulations (50% BG and 100% BG) maintained more stable a values*, suggesting that beeswax offers better oxidative protection to color pigments than sunflower wax (Hwang et al., 2016). The decline in a values over storage* is commonly associated with metmyoglobin formation and oxidation of heme pigments, which are influenced by fat composition and antioxidant capacity (Blake et al., 2014).</w:t>
      </w:r>
    </w:p>
    <w:p w14:paraId="642529C4" w14:textId="77777777" w:rsidR="008D3112" w:rsidRPr="000E2D76" w:rsidRDefault="008D3112" w:rsidP="008D3112">
      <w:pPr>
        <w:jc w:val="both"/>
        <w:rPr>
          <w:color w:val="000000" w:themeColor="text1"/>
          <w:sz w:val="28"/>
          <w:szCs w:val="28"/>
          <w:lang w:bidi="ar-EG"/>
        </w:rPr>
      </w:pPr>
      <w:r w:rsidRPr="000E2D76">
        <w:rPr>
          <w:color w:val="000000" w:themeColor="text1"/>
          <w:sz w:val="28"/>
          <w:szCs w:val="28"/>
          <w:lang w:bidi="ar-EG"/>
        </w:rPr>
        <w:t xml:space="preserve">Regarding yellowness (b) </w:t>
      </w:r>
      <w:proofErr w:type="gramStart"/>
      <w:r w:rsidRPr="000E2D76">
        <w:rPr>
          <w:color w:val="000000" w:themeColor="text1"/>
          <w:sz w:val="28"/>
          <w:szCs w:val="28"/>
          <w:lang w:bidi="ar-EG"/>
        </w:rPr>
        <w:t>values,*</w:t>
      </w:r>
      <w:proofErr w:type="gramEnd"/>
      <w:r w:rsidRPr="000E2D76">
        <w:rPr>
          <w:color w:val="000000" w:themeColor="text1"/>
          <w:sz w:val="28"/>
          <w:szCs w:val="28"/>
          <w:lang w:bidi="ar-EG"/>
        </w:rPr>
        <w:t xml:space="preserve"> all formulations exhibited relatively stable b values throughout storage, with minor </w:t>
      </w:r>
      <w:proofErr w:type="gramStart"/>
      <w:r w:rsidRPr="000E2D76">
        <w:rPr>
          <w:color w:val="000000" w:themeColor="text1"/>
          <w:sz w:val="28"/>
          <w:szCs w:val="28"/>
          <w:lang w:bidi="ar-EG"/>
        </w:rPr>
        <w:t>fluctuations.*</w:t>
      </w:r>
      <w:proofErr w:type="gramEnd"/>
      <w:r w:rsidRPr="000E2D76">
        <w:rPr>
          <w:color w:val="000000" w:themeColor="text1"/>
          <w:sz w:val="28"/>
          <w:szCs w:val="28"/>
          <w:lang w:bidi="ar-EG"/>
        </w:rPr>
        <w:t xml:space="preserve"> The control sample, 50% SG, and 50% BG maintained the highest b values (~19.05–21.45</w:t>
      </w:r>
      <w:proofErr w:type="gramStart"/>
      <w:r w:rsidRPr="000E2D76">
        <w:rPr>
          <w:color w:val="000000" w:themeColor="text1"/>
          <w:sz w:val="28"/>
          <w:szCs w:val="28"/>
          <w:lang w:bidi="ar-EG"/>
        </w:rPr>
        <w:t>),*</w:t>
      </w:r>
      <w:proofErr w:type="gramEnd"/>
      <w:r w:rsidRPr="000E2D76">
        <w:rPr>
          <w:color w:val="000000" w:themeColor="text1"/>
          <w:sz w:val="28"/>
          <w:szCs w:val="28"/>
          <w:lang w:bidi="ar-EG"/>
        </w:rPr>
        <w:t xml:space="preserve"> while 100% SG and 100% BG showed slightly lower values over time. This could be due to differences in pigment retention and lipid stability in formulations containing higher proportions of sunflower oil, which lacks the natural yellow hue of animal fat (Doan et al., 2022). By Day 12, the highest b values were observed in the 100% SG sample (20.41),* which may be due to oxidative changes leading to the formation of secondary yellow-pigmented compounds. These findings suggest that partial replacement (50% SG and 50% BG) better preserves color characteristics, whereas full replacement (100% SG and 100% BG) may lead to increased oxidative discoloration over time.</w:t>
      </w:r>
    </w:p>
    <w:p w14:paraId="00C01DE5" w14:textId="77777777" w:rsidR="008A7244" w:rsidRPr="000E2D76" w:rsidRDefault="008A7244" w:rsidP="008D3112">
      <w:pPr>
        <w:jc w:val="both"/>
        <w:rPr>
          <w:color w:val="000000" w:themeColor="text1"/>
          <w:sz w:val="28"/>
          <w:szCs w:val="28"/>
          <w:lang w:bidi="ar-EG"/>
        </w:rPr>
      </w:pPr>
    </w:p>
    <w:p w14:paraId="65479DED" w14:textId="77777777" w:rsidR="008A7244" w:rsidRPr="000E2D76" w:rsidRDefault="008A7244" w:rsidP="008D3112">
      <w:pPr>
        <w:jc w:val="both"/>
        <w:rPr>
          <w:b/>
          <w:bCs/>
          <w:color w:val="000000" w:themeColor="text1"/>
          <w:sz w:val="28"/>
          <w:szCs w:val="28"/>
          <w:lang w:bidi="ar-EG"/>
        </w:rPr>
      </w:pPr>
      <w:r w:rsidRPr="000E2D76">
        <w:rPr>
          <w:b/>
          <w:bCs/>
          <w:color w:val="000000" w:themeColor="text1"/>
          <w:sz w:val="28"/>
          <w:szCs w:val="28"/>
          <w:lang w:bidi="ar-EG"/>
        </w:rPr>
        <w:t xml:space="preserve">Conclusion </w:t>
      </w:r>
    </w:p>
    <w:p w14:paraId="07826EBC" w14:textId="77777777" w:rsidR="008A7244" w:rsidRPr="000E2D76" w:rsidRDefault="008A7244" w:rsidP="008D3112">
      <w:pPr>
        <w:jc w:val="both"/>
        <w:rPr>
          <w:color w:val="000000" w:themeColor="text1"/>
          <w:sz w:val="28"/>
          <w:szCs w:val="28"/>
          <w:lang w:bidi="ar-EG"/>
        </w:rPr>
      </w:pPr>
      <w:r w:rsidRPr="000E2D76">
        <w:rPr>
          <w:color w:val="000000" w:themeColor="text1"/>
          <w:sz w:val="28"/>
          <w:szCs w:val="28"/>
          <w:lang w:bidi="ar-EG"/>
        </w:rPr>
        <w:t xml:space="preserve">This study demonstrates that sunflower oil-based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structured with beeswax and sunflower wax offer a viable alternative to animal fat in frankfurters, enhancing their nutritional profile while maintaining structural and sensory integrity. Beeswax-based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provided superior oxidative stability, oil retention, and firmness, making them suitable for applications requiring structural integrity. In contrast, sunflower wax-based </w:t>
      </w:r>
      <w:proofErr w:type="spellStart"/>
      <w:r w:rsidRPr="000E2D76">
        <w:rPr>
          <w:color w:val="000000" w:themeColor="text1"/>
          <w:sz w:val="28"/>
          <w:szCs w:val="28"/>
          <w:lang w:bidi="ar-EG"/>
        </w:rPr>
        <w:t>oleogels</w:t>
      </w:r>
      <w:proofErr w:type="spellEnd"/>
      <w:r w:rsidRPr="000E2D76">
        <w:rPr>
          <w:color w:val="000000" w:themeColor="text1"/>
          <w:sz w:val="28"/>
          <w:szCs w:val="28"/>
          <w:lang w:bidi="ar-EG"/>
        </w:rPr>
        <w:t xml:space="preserve"> contributed to better </w:t>
      </w:r>
      <w:proofErr w:type="spellStart"/>
      <w:r w:rsidRPr="000E2D76">
        <w:rPr>
          <w:color w:val="000000" w:themeColor="text1"/>
          <w:sz w:val="28"/>
          <w:szCs w:val="28"/>
          <w:lang w:bidi="ar-EG"/>
        </w:rPr>
        <w:t>spreadability</w:t>
      </w:r>
      <w:proofErr w:type="spellEnd"/>
      <w:r w:rsidRPr="000E2D76">
        <w:rPr>
          <w:color w:val="000000" w:themeColor="text1"/>
          <w:sz w:val="28"/>
          <w:szCs w:val="28"/>
          <w:lang w:bidi="ar-EG"/>
        </w:rPr>
        <w:t xml:space="preserve">, higher lightness values, and improved sensory perception, making them ideal for formulations requiring smooth texture and neutral taste. Partial fat replacement with 50%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retained cooking yield and fat retention, whereas full substitution resulted in higher cooking loss and lower fat retention, suggesting that balanced incorporation is necessary for optimal product stability. The increased oxidative stability in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-based formulations indicates their potential to enhance product shelf life, making them a promising alternative in fat-reduced meat products. Future research should focus on the impact of different wax combinations on </w:t>
      </w:r>
      <w:proofErr w:type="spellStart"/>
      <w:r w:rsidRPr="000E2D76">
        <w:rPr>
          <w:color w:val="000000" w:themeColor="text1"/>
          <w:sz w:val="28"/>
          <w:szCs w:val="28"/>
          <w:lang w:bidi="ar-EG"/>
        </w:rPr>
        <w:t>oleogel</w:t>
      </w:r>
      <w:proofErr w:type="spellEnd"/>
      <w:r w:rsidRPr="000E2D76">
        <w:rPr>
          <w:color w:val="000000" w:themeColor="text1"/>
          <w:sz w:val="28"/>
          <w:szCs w:val="28"/>
          <w:lang w:bidi="ar-EG"/>
        </w:rPr>
        <w:t xml:space="preserve"> structuring and their long-term stability in food applications.</w:t>
      </w:r>
    </w:p>
    <w:p w14:paraId="31DED4E0" w14:textId="77777777" w:rsidR="008A7244" w:rsidRPr="000E2D76" w:rsidRDefault="008A7244" w:rsidP="008A7244">
      <w:pPr>
        <w:rPr>
          <w:b/>
          <w:bCs/>
          <w:color w:val="000000" w:themeColor="text1"/>
          <w:sz w:val="28"/>
          <w:szCs w:val="28"/>
          <w:lang w:bidi="ar-EG"/>
        </w:rPr>
      </w:pPr>
      <w:r w:rsidRPr="000E2D76">
        <w:rPr>
          <w:b/>
          <w:bCs/>
          <w:color w:val="000000" w:themeColor="text1"/>
          <w:sz w:val="28"/>
          <w:szCs w:val="28"/>
          <w:lang w:bidi="ar-EG"/>
        </w:rPr>
        <w:t>Acknowledgement</w:t>
      </w:r>
    </w:p>
    <w:p w14:paraId="4C996027" w14:textId="77777777" w:rsidR="008A7244" w:rsidRPr="000E2D76" w:rsidRDefault="008A7244" w:rsidP="008A7244">
      <w:pPr>
        <w:jc w:val="both"/>
        <w:rPr>
          <w:color w:val="000000" w:themeColor="text1"/>
          <w:sz w:val="28"/>
          <w:szCs w:val="28"/>
          <w:lang w:bidi="ar-EG"/>
        </w:rPr>
      </w:pPr>
      <w:r w:rsidRPr="000E2D76">
        <w:rPr>
          <w:color w:val="000000" w:themeColor="text1"/>
          <w:sz w:val="28"/>
          <w:szCs w:val="28"/>
          <w:lang w:bidi="ar-EG"/>
        </w:rPr>
        <w:t>The authors are most grateful for the technical support provided by the Food Technology Research Institute, Agricultural Research Center, Giza and Sakha, Egypt.</w:t>
      </w:r>
    </w:p>
    <w:p w14:paraId="330A9CA6" w14:textId="77777777" w:rsidR="008A7244" w:rsidRPr="000E2D76" w:rsidRDefault="008A7244" w:rsidP="008A7244">
      <w:pPr>
        <w:jc w:val="both"/>
        <w:rPr>
          <w:color w:val="000000" w:themeColor="text1"/>
          <w:sz w:val="28"/>
          <w:szCs w:val="28"/>
          <w:lang w:bidi="ar-EG"/>
        </w:rPr>
      </w:pPr>
      <w:r w:rsidRPr="000E2D76">
        <w:rPr>
          <w:b/>
          <w:bCs/>
          <w:color w:val="000000" w:themeColor="text1"/>
          <w:sz w:val="28"/>
          <w:szCs w:val="28"/>
          <w:lang w:bidi="ar-EG"/>
        </w:rPr>
        <w:t>Conflict of interest:</w:t>
      </w:r>
      <w:r w:rsidRPr="000E2D76">
        <w:rPr>
          <w:color w:val="000000" w:themeColor="text1"/>
          <w:sz w:val="28"/>
          <w:szCs w:val="28"/>
          <w:lang w:bidi="ar-EG"/>
        </w:rPr>
        <w:t xml:space="preserve"> No </w:t>
      </w:r>
    </w:p>
    <w:p w14:paraId="7FF6C765" w14:textId="77777777" w:rsidR="00D93AE6" w:rsidRPr="000E2D76" w:rsidRDefault="00D93AE6" w:rsidP="00D93AE6">
      <w:pPr>
        <w:jc w:val="both"/>
        <w:rPr>
          <w:b/>
          <w:bCs/>
          <w:sz w:val="28"/>
          <w:szCs w:val="28"/>
        </w:rPr>
      </w:pPr>
      <w:r w:rsidRPr="000E2D76">
        <w:rPr>
          <w:b/>
          <w:bCs/>
          <w:sz w:val="28"/>
          <w:szCs w:val="28"/>
        </w:rPr>
        <w:t xml:space="preserve">Table 1: Physical Properties of Sunflower Oil-Based </w:t>
      </w:r>
      <w:proofErr w:type="spellStart"/>
      <w:r w:rsidRPr="000E2D76">
        <w:rPr>
          <w:b/>
          <w:bCs/>
          <w:sz w:val="28"/>
          <w:szCs w:val="28"/>
        </w:rPr>
        <w:t>Oleogels</w:t>
      </w:r>
      <w:proofErr w:type="spellEnd"/>
      <w:r w:rsidRPr="000E2D76">
        <w:rPr>
          <w:b/>
          <w:bCs/>
          <w:sz w:val="28"/>
          <w:szCs w:val="28"/>
        </w:rPr>
        <w:t xml:space="preserve"> Structured with Beeswax and Sunflower Wax at Different Concentrations</w:t>
      </w:r>
    </w:p>
    <w:tbl>
      <w:tblPr>
        <w:tblStyle w:val="TableGrid"/>
        <w:tblW w:w="5000" w:type="pct"/>
        <w:tblLook w:val="04A0" w:firstRow="1" w:lastRow="0" w:firstColumn="1" w:lastColumn="0" w:noHBand="0" w:noVBand="1"/>
      </w:tblPr>
      <w:tblGrid>
        <w:gridCol w:w="1172"/>
        <w:gridCol w:w="1368"/>
        <w:gridCol w:w="1358"/>
        <w:gridCol w:w="1358"/>
        <w:gridCol w:w="1368"/>
        <w:gridCol w:w="1368"/>
        <w:gridCol w:w="1358"/>
      </w:tblGrid>
      <w:tr w:rsidR="00D93AE6" w:rsidRPr="000E2D76" w14:paraId="63A9076B" w14:textId="77777777" w:rsidTr="00D42578">
        <w:tc>
          <w:tcPr>
            <w:tcW w:w="675" w:type="pct"/>
          </w:tcPr>
          <w:p w14:paraId="394C68F3" w14:textId="77777777" w:rsidR="00D93AE6" w:rsidRPr="000E2D76" w:rsidRDefault="00D93AE6" w:rsidP="0078445E">
            <w:pPr>
              <w:rPr>
                <w:sz w:val="28"/>
                <w:szCs w:val="28"/>
              </w:rPr>
            </w:pPr>
            <w:r w:rsidRPr="000E2D76">
              <w:rPr>
                <w:sz w:val="28"/>
                <w:szCs w:val="28"/>
              </w:rPr>
              <w:t xml:space="preserve">Properties </w:t>
            </w:r>
          </w:p>
        </w:tc>
        <w:tc>
          <w:tcPr>
            <w:tcW w:w="720" w:type="pct"/>
          </w:tcPr>
          <w:p w14:paraId="43630479" w14:textId="77777777" w:rsidR="00D93AE6" w:rsidRPr="000E2D76" w:rsidRDefault="00D93AE6" w:rsidP="0078445E">
            <w:pPr>
              <w:rPr>
                <w:sz w:val="28"/>
                <w:szCs w:val="28"/>
              </w:rPr>
            </w:pPr>
            <w:r w:rsidRPr="000E2D76">
              <w:rPr>
                <w:sz w:val="28"/>
                <w:szCs w:val="28"/>
              </w:rPr>
              <w:t>SFOBW6</w:t>
            </w:r>
          </w:p>
        </w:tc>
        <w:tc>
          <w:tcPr>
            <w:tcW w:w="721" w:type="pct"/>
          </w:tcPr>
          <w:p w14:paraId="48AF79C3" w14:textId="77777777" w:rsidR="00D93AE6" w:rsidRPr="000E2D76" w:rsidRDefault="00D93AE6" w:rsidP="0078445E">
            <w:pPr>
              <w:rPr>
                <w:sz w:val="28"/>
                <w:szCs w:val="28"/>
              </w:rPr>
            </w:pPr>
            <w:r w:rsidRPr="000E2D76">
              <w:rPr>
                <w:sz w:val="28"/>
                <w:szCs w:val="28"/>
              </w:rPr>
              <w:t>SFOBW8</w:t>
            </w:r>
          </w:p>
        </w:tc>
        <w:tc>
          <w:tcPr>
            <w:tcW w:w="721" w:type="pct"/>
          </w:tcPr>
          <w:p w14:paraId="0EDF0596" w14:textId="77777777" w:rsidR="00D93AE6" w:rsidRPr="000E2D76" w:rsidRDefault="00D93AE6" w:rsidP="0078445E">
            <w:pPr>
              <w:rPr>
                <w:sz w:val="28"/>
                <w:szCs w:val="28"/>
              </w:rPr>
            </w:pPr>
            <w:r w:rsidRPr="000E2D76">
              <w:rPr>
                <w:sz w:val="28"/>
                <w:szCs w:val="28"/>
              </w:rPr>
              <w:t>SFOBW10</w:t>
            </w:r>
          </w:p>
        </w:tc>
        <w:tc>
          <w:tcPr>
            <w:tcW w:w="721" w:type="pct"/>
          </w:tcPr>
          <w:p w14:paraId="1CE5F382" w14:textId="77777777" w:rsidR="00D93AE6" w:rsidRPr="000E2D76" w:rsidRDefault="00D93AE6" w:rsidP="0078445E">
            <w:pPr>
              <w:rPr>
                <w:sz w:val="28"/>
                <w:szCs w:val="28"/>
              </w:rPr>
            </w:pPr>
            <w:r w:rsidRPr="000E2D76">
              <w:rPr>
                <w:sz w:val="28"/>
                <w:szCs w:val="28"/>
              </w:rPr>
              <w:t>SFOSFW6</w:t>
            </w:r>
          </w:p>
        </w:tc>
        <w:tc>
          <w:tcPr>
            <w:tcW w:w="721" w:type="pct"/>
          </w:tcPr>
          <w:p w14:paraId="3CBB758E" w14:textId="77777777" w:rsidR="00D93AE6" w:rsidRPr="000E2D76" w:rsidRDefault="00D93AE6" w:rsidP="0078445E">
            <w:pPr>
              <w:rPr>
                <w:sz w:val="28"/>
                <w:szCs w:val="28"/>
              </w:rPr>
            </w:pPr>
            <w:r w:rsidRPr="000E2D76">
              <w:rPr>
                <w:sz w:val="28"/>
                <w:szCs w:val="28"/>
              </w:rPr>
              <w:t>SFOSFW8</w:t>
            </w:r>
          </w:p>
        </w:tc>
        <w:tc>
          <w:tcPr>
            <w:tcW w:w="721" w:type="pct"/>
          </w:tcPr>
          <w:p w14:paraId="7E998C51" w14:textId="77777777" w:rsidR="00D93AE6" w:rsidRPr="000E2D76" w:rsidRDefault="00D93AE6" w:rsidP="0078445E">
            <w:pPr>
              <w:rPr>
                <w:sz w:val="28"/>
                <w:szCs w:val="28"/>
              </w:rPr>
            </w:pPr>
            <w:r w:rsidRPr="000E2D76">
              <w:rPr>
                <w:sz w:val="28"/>
                <w:szCs w:val="28"/>
              </w:rPr>
              <w:t>SFOSFW10</w:t>
            </w:r>
          </w:p>
        </w:tc>
      </w:tr>
      <w:tr w:rsidR="00D93AE6" w:rsidRPr="000E2D76" w14:paraId="41C96893" w14:textId="77777777" w:rsidTr="00D42578">
        <w:tc>
          <w:tcPr>
            <w:tcW w:w="675" w:type="pct"/>
          </w:tcPr>
          <w:p w14:paraId="668E87C8" w14:textId="77777777" w:rsidR="00D93AE6" w:rsidRPr="000E2D76" w:rsidRDefault="00D93AE6" w:rsidP="0078445E">
            <w:pPr>
              <w:rPr>
                <w:sz w:val="28"/>
                <w:szCs w:val="28"/>
              </w:rPr>
            </w:pPr>
            <w:r w:rsidRPr="000E2D76">
              <w:rPr>
                <w:sz w:val="28"/>
                <w:szCs w:val="28"/>
              </w:rPr>
              <w:t xml:space="preserve">Gelation time </w:t>
            </w:r>
          </w:p>
        </w:tc>
        <w:tc>
          <w:tcPr>
            <w:tcW w:w="720" w:type="pct"/>
          </w:tcPr>
          <w:p w14:paraId="04FC03CA" w14:textId="77777777" w:rsidR="00D93AE6" w:rsidRPr="000E2D76" w:rsidRDefault="00D93AE6" w:rsidP="0078445E">
            <w:pPr>
              <w:rPr>
                <w:sz w:val="28"/>
                <w:szCs w:val="28"/>
              </w:rPr>
            </w:pPr>
            <w:r w:rsidRPr="000E2D76">
              <w:rPr>
                <w:sz w:val="28"/>
                <w:szCs w:val="28"/>
              </w:rPr>
              <w:t>6.19</w:t>
            </w:r>
            <w:r w:rsidRPr="000E2D76">
              <w:rPr>
                <w:rFonts w:cstheme="minorHAnsi"/>
                <w:sz w:val="28"/>
                <w:szCs w:val="28"/>
              </w:rPr>
              <w:t>±0.54</w:t>
            </w:r>
            <w:r w:rsidR="0020375B">
              <w:rPr>
                <w:rFonts w:cstheme="minorHAnsi"/>
                <w:sz w:val="28"/>
                <w:szCs w:val="28"/>
              </w:rPr>
              <w:t>a</w:t>
            </w:r>
          </w:p>
        </w:tc>
        <w:tc>
          <w:tcPr>
            <w:tcW w:w="721" w:type="pct"/>
          </w:tcPr>
          <w:p w14:paraId="532A00B9" w14:textId="77777777" w:rsidR="00D93AE6" w:rsidRPr="000E2D76" w:rsidRDefault="00D93AE6" w:rsidP="0078445E">
            <w:pPr>
              <w:rPr>
                <w:sz w:val="28"/>
                <w:szCs w:val="28"/>
              </w:rPr>
            </w:pPr>
            <w:r w:rsidRPr="000E2D76">
              <w:rPr>
                <w:sz w:val="28"/>
                <w:szCs w:val="28"/>
              </w:rPr>
              <w:t>5.28</w:t>
            </w:r>
            <w:r w:rsidRPr="000E2D76">
              <w:rPr>
                <w:rFonts w:cstheme="minorHAnsi"/>
                <w:sz w:val="28"/>
                <w:szCs w:val="28"/>
              </w:rPr>
              <w:t>±0.36</w:t>
            </w:r>
            <w:r w:rsidR="0020375B">
              <w:rPr>
                <w:rFonts w:cstheme="minorHAnsi"/>
                <w:sz w:val="28"/>
                <w:szCs w:val="28"/>
              </w:rPr>
              <w:t>b</w:t>
            </w:r>
          </w:p>
        </w:tc>
        <w:tc>
          <w:tcPr>
            <w:tcW w:w="721" w:type="pct"/>
          </w:tcPr>
          <w:p w14:paraId="0D6A96B9" w14:textId="77777777" w:rsidR="00D93AE6" w:rsidRPr="000E2D76" w:rsidRDefault="00D93AE6" w:rsidP="0078445E">
            <w:pPr>
              <w:rPr>
                <w:sz w:val="28"/>
                <w:szCs w:val="28"/>
                <w:rtl/>
              </w:rPr>
            </w:pPr>
            <w:r w:rsidRPr="000E2D76">
              <w:rPr>
                <w:sz w:val="28"/>
                <w:szCs w:val="28"/>
              </w:rPr>
              <w:t>3.27</w:t>
            </w:r>
            <w:r w:rsidRPr="000E2D76">
              <w:rPr>
                <w:rFonts w:cstheme="minorHAnsi"/>
                <w:sz w:val="28"/>
                <w:szCs w:val="28"/>
              </w:rPr>
              <w:t>±0.27</w:t>
            </w:r>
            <w:r w:rsidR="0020375B">
              <w:rPr>
                <w:rFonts w:cstheme="minorHAnsi"/>
                <w:sz w:val="28"/>
                <w:szCs w:val="28"/>
              </w:rPr>
              <w:t>c</w:t>
            </w:r>
          </w:p>
        </w:tc>
        <w:tc>
          <w:tcPr>
            <w:tcW w:w="721" w:type="pct"/>
          </w:tcPr>
          <w:p w14:paraId="4D24DEB2" w14:textId="77777777" w:rsidR="00D93AE6" w:rsidRPr="000E2D76" w:rsidRDefault="00D93AE6" w:rsidP="0078445E">
            <w:pPr>
              <w:rPr>
                <w:sz w:val="28"/>
                <w:szCs w:val="28"/>
              </w:rPr>
            </w:pPr>
            <w:r w:rsidRPr="000E2D76">
              <w:rPr>
                <w:sz w:val="28"/>
                <w:szCs w:val="28"/>
              </w:rPr>
              <w:t>2.59</w:t>
            </w:r>
            <w:r w:rsidRPr="000E2D76">
              <w:rPr>
                <w:rFonts w:cstheme="minorHAnsi"/>
                <w:sz w:val="28"/>
                <w:szCs w:val="28"/>
              </w:rPr>
              <w:t>±0.21</w:t>
            </w:r>
            <w:r w:rsidR="0020375B">
              <w:rPr>
                <w:rFonts w:cstheme="minorHAnsi"/>
                <w:sz w:val="28"/>
                <w:szCs w:val="28"/>
              </w:rPr>
              <w:t>d</w:t>
            </w:r>
          </w:p>
        </w:tc>
        <w:tc>
          <w:tcPr>
            <w:tcW w:w="721" w:type="pct"/>
          </w:tcPr>
          <w:p w14:paraId="1A8021F1" w14:textId="77777777" w:rsidR="00D93AE6" w:rsidRPr="000E2D76" w:rsidRDefault="00D93AE6" w:rsidP="0078445E">
            <w:pPr>
              <w:rPr>
                <w:sz w:val="28"/>
                <w:szCs w:val="28"/>
              </w:rPr>
            </w:pPr>
            <w:r w:rsidRPr="000E2D76">
              <w:rPr>
                <w:sz w:val="28"/>
                <w:szCs w:val="28"/>
              </w:rPr>
              <w:t>1.49</w:t>
            </w:r>
            <w:r w:rsidRPr="000E2D76">
              <w:rPr>
                <w:rFonts w:cstheme="minorHAnsi"/>
                <w:sz w:val="28"/>
                <w:szCs w:val="28"/>
              </w:rPr>
              <w:t>±0.11</w:t>
            </w:r>
            <w:r w:rsidR="0020375B">
              <w:rPr>
                <w:rFonts w:cstheme="minorHAnsi"/>
                <w:sz w:val="28"/>
                <w:szCs w:val="28"/>
              </w:rPr>
              <w:t>e</w:t>
            </w:r>
          </w:p>
        </w:tc>
        <w:tc>
          <w:tcPr>
            <w:tcW w:w="721" w:type="pct"/>
          </w:tcPr>
          <w:p w14:paraId="40A2D4C5" w14:textId="77777777" w:rsidR="00D93AE6" w:rsidRPr="000E2D76" w:rsidRDefault="00D93AE6" w:rsidP="0078445E">
            <w:pPr>
              <w:rPr>
                <w:sz w:val="28"/>
                <w:szCs w:val="28"/>
              </w:rPr>
            </w:pPr>
            <w:r w:rsidRPr="000E2D76">
              <w:rPr>
                <w:sz w:val="28"/>
                <w:szCs w:val="28"/>
              </w:rPr>
              <w:t>1.15</w:t>
            </w:r>
            <w:r w:rsidRPr="000E2D76">
              <w:rPr>
                <w:rFonts w:cstheme="minorHAnsi"/>
                <w:sz w:val="28"/>
                <w:szCs w:val="28"/>
              </w:rPr>
              <w:t>±0.09</w:t>
            </w:r>
            <w:r w:rsidR="0020375B">
              <w:rPr>
                <w:rFonts w:cstheme="minorHAnsi"/>
                <w:sz w:val="28"/>
                <w:szCs w:val="28"/>
              </w:rPr>
              <w:t>f</w:t>
            </w:r>
          </w:p>
        </w:tc>
      </w:tr>
      <w:tr w:rsidR="00D93AE6" w:rsidRPr="000E2D76" w14:paraId="71C3F8F4" w14:textId="77777777" w:rsidTr="00D42578">
        <w:tc>
          <w:tcPr>
            <w:tcW w:w="675" w:type="pct"/>
          </w:tcPr>
          <w:p w14:paraId="66BDB587" w14:textId="77777777" w:rsidR="00D93AE6" w:rsidRPr="000E2D76" w:rsidRDefault="00D93AE6" w:rsidP="0078445E">
            <w:pPr>
              <w:rPr>
                <w:sz w:val="28"/>
                <w:szCs w:val="28"/>
              </w:rPr>
            </w:pPr>
            <w:r w:rsidRPr="000E2D76">
              <w:rPr>
                <w:sz w:val="28"/>
                <w:szCs w:val="28"/>
              </w:rPr>
              <w:t xml:space="preserve">Oil binding capacity </w:t>
            </w:r>
          </w:p>
        </w:tc>
        <w:tc>
          <w:tcPr>
            <w:tcW w:w="720" w:type="pct"/>
          </w:tcPr>
          <w:p w14:paraId="16E9EBFD" w14:textId="77777777" w:rsidR="00D93AE6" w:rsidRPr="000E2D76" w:rsidRDefault="00D93AE6" w:rsidP="0020375B">
            <w:pPr>
              <w:rPr>
                <w:sz w:val="28"/>
                <w:szCs w:val="28"/>
              </w:rPr>
            </w:pPr>
            <w:r w:rsidRPr="000E2D76">
              <w:rPr>
                <w:sz w:val="28"/>
                <w:szCs w:val="28"/>
              </w:rPr>
              <w:t>95.34</w:t>
            </w:r>
            <w:r w:rsidRPr="000E2D76">
              <w:rPr>
                <w:rFonts w:cstheme="minorHAnsi"/>
                <w:sz w:val="28"/>
                <w:szCs w:val="28"/>
              </w:rPr>
              <w:t>±1.62</w:t>
            </w:r>
            <w:r w:rsidR="0020375B">
              <w:rPr>
                <w:rFonts w:cstheme="minorHAnsi"/>
                <w:sz w:val="28"/>
                <w:szCs w:val="28"/>
              </w:rPr>
              <w:t>b</w:t>
            </w:r>
          </w:p>
        </w:tc>
        <w:tc>
          <w:tcPr>
            <w:tcW w:w="721" w:type="pct"/>
          </w:tcPr>
          <w:p w14:paraId="270F0AA0" w14:textId="77777777" w:rsidR="00D93AE6" w:rsidRPr="000E2D76" w:rsidRDefault="00D93AE6" w:rsidP="0078445E">
            <w:pPr>
              <w:rPr>
                <w:sz w:val="28"/>
                <w:szCs w:val="28"/>
              </w:rPr>
            </w:pPr>
            <w:r w:rsidRPr="000E2D76">
              <w:rPr>
                <w:sz w:val="28"/>
                <w:szCs w:val="28"/>
              </w:rPr>
              <w:t>98.68</w:t>
            </w:r>
            <w:r w:rsidRPr="000E2D76">
              <w:rPr>
                <w:rFonts w:cstheme="minorHAnsi"/>
                <w:sz w:val="28"/>
                <w:szCs w:val="28"/>
              </w:rPr>
              <w:t>±1.26</w:t>
            </w:r>
            <w:r w:rsidR="0020375B">
              <w:rPr>
                <w:rFonts w:cstheme="minorHAnsi"/>
                <w:sz w:val="28"/>
                <w:szCs w:val="28"/>
              </w:rPr>
              <w:t>a</w:t>
            </w:r>
          </w:p>
        </w:tc>
        <w:tc>
          <w:tcPr>
            <w:tcW w:w="721" w:type="pct"/>
          </w:tcPr>
          <w:p w14:paraId="07175B12" w14:textId="77777777" w:rsidR="00D93AE6" w:rsidRPr="000E2D76" w:rsidRDefault="00D93AE6" w:rsidP="0078445E">
            <w:pPr>
              <w:rPr>
                <w:sz w:val="28"/>
                <w:szCs w:val="28"/>
              </w:rPr>
            </w:pPr>
            <w:r w:rsidRPr="000E2D76">
              <w:rPr>
                <w:sz w:val="28"/>
                <w:szCs w:val="28"/>
              </w:rPr>
              <w:t>99.28</w:t>
            </w:r>
            <w:r w:rsidRPr="000E2D76">
              <w:rPr>
                <w:rFonts w:cstheme="minorHAnsi"/>
                <w:sz w:val="28"/>
                <w:szCs w:val="28"/>
              </w:rPr>
              <w:t>±1.39</w:t>
            </w:r>
            <w:r w:rsidR="0020375B">
              <w:rPr>
                <w:rFonts w:cstheme="minorHAnsi"/>
                <w:sz w:val="28"/>
                <w:szCs w:val="28"/>
              </w:rPr>
              <w:t>a</w:t>
            </w:r>
          </w:p>
        </w:tc>
        <w:tc>
          <w:tcPr>
            <w:tcW w:w="721" w:type="pct"/>
          </w:tcPr>
          <w:p w14:paraId="260D64D5" w14:textId="77777777" w:rsidR="00D93AE6" w:rsidRPr="000E2D76" w:rsidRDefault="00D93AE6" w:rsidP="0078445E">
            <w:pPr>
              <w:rPr>
                <w:sz w:val="28"/>
                <w:szCs w:val="28"/>
              </w:rPr>
            </w:pPr>
            <w:r w:rsidRPr="000E2D76">
              <w:rPr>
                <w:sz w:val="28"/>
                <w:szCs w:val="28"/>
              </w:rPr>
              <w:t>92.65</w:t>
            </w:r>
            <w:r w:rsidRPr="000E2D76">
              <w:rPr>
                <w:rFonts w:cstheme="minorHAnsi"/>
                <w:sz w:val="28"/>
                <w:szCs w:val="28"/>
              </w:rPr>
              <w:t>±1.25</w:t>
            </w:r>
            <w:r w:rsidR="0020375B">
              <w:rPr>
                <w:rFonts w:cstheme="minorHAnsi"/>
                <w:sz w:val="28"/>
                <w:szCs w:val="28"/>
              </w:rPr>
              <w:t>b</w:t>
            </w:r>
          </w:p>
        </w:tc>
        <w:tc>
          <w:tcPr>
            <w:tcW w:w="721" w:type="pct"/>
          </w:tcPr>
          <w:p w14:paraId="6AE2080F" w14:textId="77777777" w:rsidR="00D93AE6" w:rsidRPr="000E2D76" w:rsidRDefault="00D93AE6" w:rsidP="0078445E">
            <w:pPr>
              <w:rPr>
                <w:sz w:val="28"/>
                <w:szCs w:val="28"/>
              </w:rPr>
            </w:pPr>
            <w:r w:rsidRPr="000E2D76">
              <w:rPr>
                <w:sz w:val="28"/>
                <w:szCs w:val="28"/>
              </w:rPr>
              <w:t>94.68</w:t>
            </w:r>
            <w:r w:rsidRPr="000E2D76">
              <w:rPr>
                <w:rFonts w:cstheme="minorHAnsi"/>
                <w:sz w:val="28"/>
                <w:szCs w:val="28"/>
              </w:rPr>
              <w:t>±1.62</w:t>
            </w:r>
            <w:r w:rsidR="0020375B">
              <w:rPr>
                <w:rFonts w:cstheme="minorHAnsi"/>
                <w:sz w:val="28"/>
                <w:szCs w:val="28"/>
              </w:rPr>
              <w:t>b</w:t>
            </w:r>
          </w:p>
        </w:tc>
        <w:tc>
          <w:tcPr>
            <w:tcW w:w="721" w:type="pct"/>
          </w:tcPr>
          <w:p w14:paraId="7C5C08A1" w14:textId="77777777" w:rsidR="00D93AE6" w:rsidRPr="000E2D76" w:rsidRDefault="00D93AE6" w:rsidP="0078445E">
            <w:pPr>
              <w:rPr>
                <w:sz w:val="28"/>
                <w:szCs w:val="28"/>
              </w:rPr>
            </w:pPr>
            <w:r w:rsidRPr="000E2D76">
              <w:rPr>
                <w:sz w:val="28"/>
                <w:szCs w:val="28"/>
              </w:rPr>
              <w:t>97.68</w:t>
            </w:r>
            <w:r w:rsidRPr="000E2D76">
              <w:rPr>
                <w:rFonts w:cstheme="minorHAnsi"/>
                <w:sz w:val="28"/>
                <w:szCs w:val="28"/>
              </w:rPr>
              <w:t>±1.56</w:t>
            </w:r>
            <w:r w:rsidR="0020375B">
              <w:rPr>
                <w:rFonts w:cstheme="minorHAnsi"/>
                <w:sz w:val="28"/>
                <w:szCs w:val="28"/>
              </w:rPr>
              <w:t>a</w:t>
            </w:r>
          </w:p>
        </w:tc>
      </w:tr>
      <w:tr w:rsidR="00D93AE6" w:rsidRPr="000E2D76" w14:paraId="20227F47" w14:textId="77777777" w:rsidTr="00D42578">
        <w:tc>
          <w:tcPr>
            <w:tcW w:w="675" w:type="pct"/>
          </w:tcPr>
          <w:p w14:paraId="06329B36" w14:textId="77777777" w:rsidR="00D93AE6" w:rsidRPr="000E2D76" w:rsidRDefault="00D93AE6" w:rsidP="0078445E">
            <w:pPr>
              <w:rPr>
                <w:sz w:val="28"/>
                <w:szCs w:val="28"/>
              </w:rPr>
            </w:pPr>
            <w:r w:rsidRPr="000E2D76">
              <w:rPr>
                <w:sz w:val="28"/>
                <w:szCs w:val="28"/>
              </w:rPr>
              <w:lastRenderedPageBreak/>
              <w:t>Firmness (N)</w:t>
            </w:r>
          </w:p>
        </w:tc>
        <w:tc>
          <w:tcPr>
            <w:tcW w:w="720" w:type="pct"/>
          </w:tcPr>
          <w:p w14:paraId="5E790FC0" w14:textId="77777777" w:rsidR="00D93AE6" w:rsidRPr="000E2D76" w:rsidRDefault="00D93AE6" w:rsidP="0078445E">
            <w:pPr>
              <w:rPr>
                <w:sz w:val="28"/>
                <w:szCs w:val="28"/>
              </w:rPr>
            </w:pPr>
            <w:r w:rsidRPr="000E2D76">
              <w:rPr>
                <w:sz w:val="28"/>
                <w:szCs w:val="28"/>
              </w:rPr>
              <w:t>2.87</w:t>
            </w:r>
            <w:r w:rsidRPr="000E2D76">
              <w:rPr>
                <w:rFonts w:cstheme="minorHAnsi"/>
                <w:sz w:val="28"/>
                <w:szCs w:val="28"/>
              </w:rPr>
              <w:t>±0.456</w:t>
            </w:r>
            <w:r w:rsidR="0020375B">
              <w:rPr>
                <w:rFonts w:cstheme="minorHAnsi"/>
                <w:sz w:val="28"/>
                <w:szCs w:val="28"/>
              </w:rPr>
              <w:t>c</w:t>
            </w:r>
          </w:p>
        </w:tc>
        <w:tc>
          <w:tcPr>
            <w:tcW w:w="721" w:type="pct"/>
          </w:tcPr>
          <w:p w14:paraId="655E2E3C" w14:textId="77777777" w:rsidR="00D93AE6" w:rsidRPr="000E2D76" w:rsidRDefault="00D93AE6" w:rsidP="0078445E">
            <w:pPr>
              <w:rPr>
                <w:sz w:val="28"/>
                <w:szCs w:val="28"/>
              </w:rPr>
            </w:pPr>
            <w:r w:rsidRPr="000E2D76">
              <w:rPr>
                <w:sz w:val="28"/>
                <w:szCs w:val="28"/>
              </w:rPr>
              <w:t>3.59</w:t>
            </w:r>
            <w:r w:rsidRPr="000E2D76">
              <w:rPr>
                <w:rFonts w:cstheme="minorHAnsi"/>
                <w:sz w:val="28"/>
                <w:szCs w:val="28"/>
              </w:rPr>
              <w:t>±0.26</w:t>
            </w:r>
            <w:r w:rsidR="0020375B">
              <w:rPr>
                <w:rFonts w:cstheme="minorHAnsi"/>
                <w:sz w:val="28"/>
                <w:szCs w:val="28"/>
              </w:rPr>
              <w:t>b</w:t>
            </w:r>
          </w:p>
        </w:tc>
        <w:tc>
          <w:tcPr>
            <w:tcW w:w="721" w:type="pct"/>
          </w:tcPr>
          <w:p w14:paraId="6920ACCE" w14:textId="77777777" w:rsidR="00D93AE6" w:rsidRPr="000E2D76" w:rsidRDefault="00D93AE6" w:rsidP="0078445E">
            <w:pPr>
              <w:rPr>
                <w:sz w:val="28"/>
                <w:szCs w:val="28"/>
              </w:rPr>
            </w:pPr>
            <w:r w:rsidRPr="000E2D76">
              <w:rPr>
                <w:sz w:val="28"/>
                <w:szCs w:val="28"/>
              </w:rPr>
              <w:t>4.15</w:t>
            </w:r>
            <w:r w:rsidRPr="000E2D76">
              <w:rPr>
                <w:rFonts w:cstheme="minorHAnsi"/>
                <w:sz w:val="28"/>
                <w:szCs w:val="28"/>
              </w:rPr>
              <w:t>±0.36</w:t>
            </w:r>
            <w:r w:rsidR="0020375B">
              <w:rPr>
                <w:rFonts w:cstheme="minorHAnsi"/>
                <w:sz w:val="28"/>
                <w:szCs w:val="28"/>
              </w:rPr>
              <w:t>a</w:t>
            </w:r>
          </w:p>
        </w:tc>
        <w:tc>
          <w:tcPr>
            <w:tcW w:w="721" w:type="pct"/>
          </w:tcPr>
          <w:p w14:paraId="25924217" w14:textId="77777777" w:rsidR="00D93AE6" w:rsidRPr="000E2D76" w:rsidRDefault="00D93AE6" w:rsidP="0078445E">
            <w:pPr>
              <w:rPr>
                <w:sz w:val="28"/>
                <w:szCs w:val="28"/>
              </w:rPr>
            </w:pPr>
            <w:r w:rsidRPr="000E2D76">
              <w:rPr>
                <w:sz w:val="28"/>
                <w:szCs w:val="28"/>
              </w:rPr>
              <w:t>2.64</w:t>
            </w:r>
            <w:r w:rsidRPr="000E2D76">
              <w:rPr>
                <w:rFonts w:cstheme="minorHAnsi"/>
                <w:sz w:val="28"/>
                <w:szCs w:val="28"/>
              </w:rPr>
              <w:t>±0.26</w:t>
            </w:r>
            <w:r w:rsidR="0020375B">
              <w:rPr>
                <w:rFonts w:cstheme="minorHAnsi"/>
                <w:sz w:val="28"/>
                <w:szCs w:val="28"/>
              </w:rPr>
              <w:t>c</w:t>
            </w:r>
          </w:p>
        </w:tc>
        <w:tc>
          <w:tcPr>
            <w:tcW w:w="721" w:type="pct"/>
          </w:tcPr>
          <w:p w14:paraId="76FE2B5E" w14:textId="77777777" w:rsidR="00D93AE6" w:rsidRPr="000E2D76" w:rsidRDefault="00D93AE6" w:rsidP="0078445E">
            <w:pPr>
              <w:rPr>
                <w:sz w:val="28"/>
                <w:szCs w:val="28"/>
              </w:rPr>
            </w:pPr>
            <w:r w:rsidRPr="000E2D76">
              <w:rPr>
                <w:sz w:val="28"/>
                <w:szCs w:val="28"/>
              </w:rPr>
              <w:t>2.99</w:t>
            </w:r>
            <w:r w:rsidRPr="000E2D76">
              <w:rPr>
                <w:rFonts w:cstheme="minorHAnsi"/>
                <w:sz w:val="28"/>
                <w:szCs w:val="28"/>
              </w:rPr>
              <w:t>±0.31</w:t>
            </w:r>
            <w:r w:rsidR="0020375B">
              <w:rPr>
                <w:rFonts w:cstheme="minorHAnsi"/>
                <w:sz w:val="28"/>
                <w:szCs w:val="28"/>
              </w:rPr>
              <w:t>c</w:t>
            </w:r>
          </w:p>
        </w:tc>
        <w:tc>
          <w:tcPr>
            <w:tcW w:w="721" w:type="pct"/>
          </w:tcPr>
          <w:p w14:paraId="0FD2AC23" w14:textId="77777777" w:rsidR="00D93AE6" w:rsidRPr="000E2D76" w:rsidRDefault="00D93AE6" w:rsidP="0078445E">
            <w:pPr>
              <w:rPr>
                <w:sz w:val="28"/>
                <w:szCs w:val="28"/>
              </w:rPr>
            </w:pPr>
            <w:r w:rsidRPr="000E2D76">
              <w:rPr>
                <w:sz w:val="28"/>
                <w:szCs w:val="28"/>
              </w:rPr>
              <w:t>3.57</w:t>
            </w:r>
            <w:r w:rsidRPr="000E2D76">
              <w:rPr>
                <w:rFonts w:cstheme="minorHAnsi"/>
                <w:sz w:val="28"/>
                <w:szCs w:val="28"/>
              </w:rPr>
              <w:t>±0.16</w:t>
            </w:r>
            <w:r w:rsidR="0020375B">
              <w:rPr>
                <w:rFonts w:cstheme="minorHAnsi"/>
                <w:sz w:val="28"/>
                <w:szCs w:val="28"/>
              </w:rPr>
              <w:t>b</w:t>
            </w:r>
          </w:p>
        </w:tc>
      </w:tr>
      <w:tr w:rsidR="00D93AE6" w:rsidRPr="000E2D76" w14:paraId="24BD635A" w14:textId="77777777" w:rsidTr="00D42578">
        <w:tc>
          <w:tcPr>
            <w:tcW w:w="675" w:type="pct"/>
          </w:tcPr>
          <w:p w14:paraId="667981FC" w14:textId="77777777" w:rsidR="00D93AE6" w:rsidRPr="000E2D76" w:rsidRDefault="00D93AE6" w:rsidP="0078445E">
            <w:pPr>
              <w:rPr>
                <w:sz w:val="28"/>
                <w:szCs w:val="28"/>
              </w:rPr>
            </w:pPr>
            <w:r w:rsidRPr="000E2D76">
              <w:rPr>
                <w:sz w:val="28"/>
                <w:szCs w:val="28"/>
              </w:rPr>
              <w:t xml:space="preserve">Melting point </w:t>
            </w:r>
          </w:p>
        </w:tc>
        <w:tc>
          <w:tcPr>
            <w:tcW w:w="720" w:type="pct"/>
          </w:tcPr>
          <w:p w14:paraId="5E7C8D6B" w14:textId="77777777" w:rsidR="00D93AE6" w:rsidRPr="000E2D76" w:rsidRDefault="00D93AE6" w:rsidP="0078445E">
            <w:pPr>
              <w:rPr>
                <w:sz w:val="28"/>
                <w:szCs w:val="28"/>
              </w:rPr>
            </w:pPr>
            <w:r w:rsidRPr="000E2D76">
              <w:rPr>
                <w:sz w:val="28"/>
                <w:szCs w:val="28"/>
              </w:rPr>
              <w:t>53.29</w:t>
            </w:r>
            <w:r w:rsidRPr="000E2D76">
              <w:rPr>
                <w:rFonts w:cstheme="minorHAnsi"/>
                <w:sz w:val="28"/>
                <w:szCs w:val="28"/>
              </w:rPr>
              <w:t>±0.94</w:t>
            </w:r>
            <w:r w:rsidR="0020375B">
              <w:rPr>
                <w:rFonts w:cstheme="minorHAnsi"/>
                <w:sz w:val="28"/>
                <w:szCs w:val="28"/>
              </w:rPr>
              <w:t>b</w:t>
            </w:r>
          </w:p>
        </w:tc>
        <w:tc>
          <w:tcPr>
            <w:tcW w:w="721" w:type="pct"/>
          </w:tcPr>
          <w:p w14:paraId="6B4A18C9" w14:textId="77777777" w:rsidR="00D93AE6" w:rsidRPr="000E2D76" w:rsidRDefault="00D93AE6" w:rsidP="0078445E">
            <w:pPr>
              <w:rPr>
                <w:sz w:val="28"/>
                <w:szCs w:val="28"/>
              </w:rPr>
            </w:pPr>
            <w:r w:rsidRPr="000E2D76">
              <w:rPr>
                <w:sz w:val="28"/>
                <w:szCs w:val="28"/>
              </w:rPr>
              <w:t>55.62</w:t>
            </w:r>
            <w:r w:rsidRPr="000E2D76">
              <w:rPr>
                <w:rFonts w:cstheme="minorHAnsi"/>
                <w:sz w:val="28"/>
                <w:szCs w:val="28"/>
              </w:rPr>
              <w:t>±0.78</w:t>
            </w:r>
            <w:r w:rsidR="0020375B">
              <w:rPr>
                <w:rFonts w:cstheme="minorHAnsi"/>
                <w:sz w:val="28"/>
                <w:szCs w:val="28"/>
              </w:rPr>
              <w:t>a</w:t>
            </w:r>
          </w:p>
        </w:tc>
        <w:tc>
          <w:tcPr>
            <w:tcW w:w="721" w:type="pct"/>
          </w:tcPr>
          <w:p w14:paraId="14A5CBD6" w14:textId="77777777" w:rsidR="00D93AE6" w:rsidRPr="000E2D76" w:rsidRDefault="00D93AE6" w:rsidP="0078445E">
            <w:pPr>
              <w:rPr>
                <w:sz w:val="28"/>
                <w:szCs w:val="28"/>
              </w:rPr>
            </w:pPr>
            <w:r w:rsidRPr="000E2D76">
              <w:rPr>
                <w:sz w:val="28"/>
                <w:szCs w:val="28"/>
              </w:rPr>
              <w:t>56.97</w:t>
            </w:r>
            <w:r w:rsidRPr="000E2D76">
              <w:rPr>
                <w:rFonts w:cstheme="minorHAnsi"/>
                <w:sz w:val="28"/>
                <w:szCs w:val="28"/>
              </w:rPr>
              <w:t>±0.88</w:t>
            </w:r>
            <w:r w:rsidR="0020375B">
              <w:rPr>
                <w:rFonts w:cstheme="minorHAnsi"/>
                <w:sz w:val="28"/>
                <w:szCs w:val="28"/>
              </w:rPr>
              <w:t>a</w:t>
            </w:r>
          </w:p>
        </w:tc>
        <w:tc>
          <w:tcPr>
            <w:tcW w:w="721" w:type="pct"/>
          </w:tcPr>
          <w:p w14:paraId="37898B1D" w14:textId="77777777" w:rsidR="00D93AE6" w:rsidRPr="000E2D76" w:rsidRDefault="00D93AE6" w:rsidP="0078445E">
            <w:pPr>
              <w:rPr>
                <w:sz w:val="28"/>
                <w:szCs w:val="28"/>
              </w:rPr>
            </w:pPr>
            <w:r w:rsidRPr="000E2D76">
              <w:rPr>
                <w:sz w:val="28"/>
                <w:szCs w:val="28"/>
              </w:rPr>
              <w:t>50.24</w:t>
            </w:r>
            <w:r w:rsidRPr="000E2D76">
              <w:rPr>
                <w:rFonts w:cstheme="minorHAnsi"/>
                <w:sz w:val="28"/>
                <w:szCs w:val="28"/>
              </w:rPr>
              <w:t>±0.63</w:t>
            </w:r>
            <w:r w:rsidR="0020375B">
              <w:rPr>
                <w:rFonts w:cstheme="minorHAnsi"/>
                <w:sz w:val="28"/>
                <w:szCs w:val="28"/>
              </w:rPr>
              <w:t>c</w:t>
            </w:r>
          </w:p>
        </w:tc>
        <w:tc>
          <w:tcPr>
            <w:tcW w:w="721" w:type="pct"/>
          </w:tcPr>
          <w:p w14:paraId="32AA9E1E" w14:textId="77777777" w:rsidR="00D93AE6" w:rsidRPr="000E2D76" w:rsidRDefault="00D93AE6" w:rsidP="0078445E">
            <w:pPr>
              <w:rPr>
                <w:sz w:val="28"/>
                <w:szCs w:val="28"/>
              </w:rPr>
            </w:pPr>
            <w:r w:rsidRPr="000E2D76">
              <w:rPr>
                <w:sz w:val="28"/>
                <w:szCs w:val="28"/>
              </w:rPr>
              <w:t>52.96</w:t>
            </w:r>
            <w:r w:rsidRPr="000E2D76">
              <w:rPr>
                <w:rFonts w:cstheme="minorHAnsi"/>
                <w:sz w:val="28"/>
                <w:szCs w:val="28"/>
              </w:rPr>
              <w:t>±</w:t>
            </w:r>
            <w:r w:rsidRPr="000E2D76">
              <w:rPr>
                <w:sz w:val="28"/>
                <w:szCs w:val="28"/>
              </w:rPr>
              <w:t>0.73</w:t>
            </w:r>
            <w:r w:rsidR="0020375B">
              <w:rPr>
                <w:sz w:val="28"/>
                <w:szCs w:val="28"/>
              </w:rPr>
              <w:t>b</w:t>
            </w:r>
          </w:p>
        </w:tc>
        <w:tc>
          <w:tcPr>
            <w:tcW w:w="721" w:type="pct"/>
          </w:tcPr>
          <w:p w14:paraId="5680C2C8" w14:textId="77777777" w:rsidR="00D93AE6" w:rsidRPr="000E2D76" w:rsidRDefault="00D93AE6" w:rsidP="0078445E">
            <w:pPr>
              <w:rPr>
                <w:sz w:val="28"/>
                <w:szCs w:val="28"/>
              </w:rPr>
            </w:pPr>
            <w:r w:rsidRPr="000E2D76">
              <w:rPr>
                <w:sz w:val="28"/>
                <w:szCs w:val="28"/>
              </w:rPr>
              <w:t>55.28</w:t>
            </w:r>
            <w:r w:rsidRPr="000E2D76">
              <w:rPr>
                <w:rFonts w:cstheme="minorHAnsi"/>
                <w:sz w:val="28"/>
                <w:szCs w:val="28"/>
              </w:rPr>
              <w:t>±0.64</w:t>
            </w:r>
            <w:r w:rsidR="0020375B">
              <w:rPr>
                <w:rFonts w:cstheme="minorHAnsi"/>
                <w:sz w:val="28"/>
                <w:szCs w:val="28"/>
              </w:rPr>
              <w:t>a</w:t>
            </w:r>
          </w:p>
        </w:tc>
      </w:tr>
    </w:tbl>
    <w:p w14:paraId="10992E5E" w14:textId="77777777" w:rsidR="00D42578" w:rsidRPr="000E2D76" w:rsidRDefault="00D42578" w:rsidP="007C4556">
      <w:pPr>
        <w:jc w:val="both"/>
        <w:rPr>
          <w:rFonts w:asciiTheme="majorBidi" w:hAnsiTheme="majorBidi" w:cstheme="majorBidi"/>
          <w:sz w:val="28"/>
          <w:szCs w:val="28"/>
        </w:rPr>
      </w:pPr>
      <w:r w:rsidRPr="000E2D76">
        <w:rPr>
          <w:rFonts w:asciiTheme="majorBidi" w:hAnsiTheme="majorBidi" w:cstheme="majorBidi"/>
          <w:sz w:val="28"/>
          <w:szCs w:val="28"/>
        </w:rPr>
        <w:t xml:space="preserve">Values are means ± SD; means having the different case letter(s) within a row are significantly different at P≤0.05. SFOBW6=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SFOBW8=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SFOBW10=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 SFOSFW6=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SFOSFW8=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SFOSFW10=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w:t>
      </w:r>
    </w:p>
    <w:p w14:paraId="42386CF6" w14:textId="77777777" w:rsidR="007C4556" w:rsidRPr="000E2D76" w:rsidRDefault="007C4556" w:rsidP="00D93AE6">
      <w:pPr>
        <w:jc w:val="both"/>
        <w:rPr>
          <w:b/>
          <w:bCs/>
          <w:sz w:val="28"/>
          <w:szCs w:val="28"/>
        </w:rPr>
      </w:pPr>
    </w:p>
    <w:p w14:paraId="09B8F921" w14:textId="77777777" w:rsidR="00D93AE6" w:rsidRPr="000E2D76" w:rsidRDefault="00D93AE6" w:rsidP="00D93AE6">
      <w:pPr>
        <w:jc w:val="both"/>
        <w:rPr>
          <w:b/>
          <w:bCs/>
          <w:sz w:val="28"/>
          <w:szCs w:val="28"/>
        </w:rPr>
      </w:pPr>
      <w:r w:rsidRPr="000E2D76">
        <w:rPr>
          <w:b/>
          <w:bCs/>
          <w:sz w:val="28"/>
          <w:szCs w:val="28"/>
        </w:rPr>
        <w:t xml:space="preserve">Table 2. Color Properties (L*, a*, b*) of Sunflower Oil-Based </w:t>
      </w:r>
      <w:proofErr w:type="spellStart"/>
      <w:r w:rsidRPr="000E2D76">
        <w:rPr>
          <w:b/>
          <w:bCs/>
          <w:sz w:val="28"/>
          <w:szCs w:val="28"/>
        </w:rPr>
        <w:t>Oleogels</w:t>
      </w:r>
      <w:proofErr w:type="spellEnd"/>
      <w:r w:rsidRPr="000E2D76">
        <w:rPr>
          <w:b/>
          <w:bCs/>
          <w:sz w:val="28"/>
          <w:szCs w:val="28"/>
        </w:rPr>
        <w:t xml:space="preserve"> Structured with Beeswax and Sunflower Wax</w:t>
      </w:r>
    </w:p>
    <w:tbl>
      <w:tblPr>
        <w:tblStyle w:val="TableGrid"/>
        <w:tblW w:w="5000" w:type="pct"/>
        <w:tblLook w:val="04A0" w:firstRow="1" w:lastRow="0" w:firstColumn="1" w:lastColumn="0" w:noHBand="0" w:noVBand="1"/>
      </w:tblPr>
      <w:tblGrid>
        <w:gridCol w:w="811"/>
        <w:gridCol w:w="848"/>
        <w:gridCol w:w="1184"/>
        <w:gridCol w:w="1184"/>
        <w:gridCol w:w="1323"/>
        <w:gridCol w:w="1287"/>
        <w:gridCol w:w="1287"/>
        <w:gridCol w:w="1426"/>
      </w:tblGrid>
      <w:tr w:rsidR="00D93AE6" w:rsidRPr="000E2D76" w14:paraId="074365CC" w14:textId="77777777" w:rsidTr="00D42578">
        <w:tc>
          <w:tcPr>
            <w:tcW w:w="434" w:type="pct"/>
          </w:tcPr>
          <w:p w14:paraId="183A1FB6" w14:textId="77777777" w:rsidR="00D93AE6" w:rsidRPr="000E2D76" w:rsidRDefault="00D93AE6" w:rsidP="0078445E">
            <w:pPr>
              <w:rPr>
                <w:rFonts w:cstheme="minorHAnsi"/>
                <w:sz w:val="28"/>
                <w:szCs w:val="28"/>
              </w:rPr>
            </w:pPr>
            <w:r w:rsidRPr="000E2D76">
              <w:rPr>
                <w:rFonts w:cstheme="minorHAnsi"/>
                <w:sz w:val="28"/>
                <w:szCs w:val="28"/>
              </w:rPr>
              <w:t xml:space="preserve">Color </w:t>
            </w:r>
          </w:p>
        </w:tc>
        <w:tc>
          <w:tcPr>
            <w:tcW w:w="451" w:type="pct"/>
          </w:tcPr>
          <w:p w14:paraId="08DF4FDA" w14:textId="77777777" w:rsidR="00D93AE6" w:rsidRPr="000E2D76" w:rsidRDefault="00D93AE6" w:rsidP="0078445E">
            <w:pPr>
              <w:rPr>
                <w:rFonts w:cstheme="minorHAnsi"/>
                <w:sz w:val="28"/>
                <w:szCs w:val="28"/>
              </w:rPr>
            </w:pPr>
            <w:r w:rsidRPr="000E2D76">
              <w:rPr>
                <w:rFonts w:cstheme="minorHAnsi"/>
                <w:sz w:val="28"/>
                <w:szCs w:val="28"/>
              </w:rPr>
              <w:t>SFO</w:t>
            </w:r>
          </w:p>
        </w:tc>
        <w:tc>
          <w:tcPr>
            <w:tcW w:w="634" w:type="pct"/>
          </w:tcPr>
          <w:p w14:paraId="7A0723A7" w14:textId="77777777" w:rsidR="00D93AE6" w:rsidRPr="000E2D76" w:rsidRDefault="00D93AE6" w:rsidP="0078445E">
            <w:pPr>
              <w:rPr>
                <w:rFonts w:cstheme="minorHAnsi"/>
                <w:sz w:val="28"/>
                <w:szCs w:val="28"/>
              </w:rPr>
            </w:pPr>
            <w:r w:rsidRPr="000E2D76">
              <w:rPr>
                <w:rFonts w:cstheme="minorHAnsi"/>
                <w:sz w:val="28"/>
                <w:szCs w:val="28"/>
              </w:rPr>
              <w:t>SFOBW6</w:t>
            </w:r>
          </w:p>
        </w:tc>
        <w:tc>
          <w:tcPr>
            <w:tcW w:w="634" w:type="pct"/>
          </w:tcPr>
          <w:p w14:paraId="7EEFA61D" w14:textId="77777777" w:rsidR="00D93AE6" w:rsidRPr="000E2D76" w:rsidRDefault="00D93AE6" w:rsidP="0078445E">
            <w:pPr>
              <w:rPr>
                <w:rFonts w:cstheme="minorHAnsi"/>
                <w:sz w:val="28"/>
                <w:szCs w:val="28"/>
              </w:rPr>
            </w:pPr>
            <w:r w:rsidRPr="000E2D76">
              <w:rPr>
                <w:rFonts w:cstheme="minorHAnsi"/>
                <w:sz w:val="28"/>
                <w:szCs w:val="28"/>
              </w:rPr>
              <w:t>SFOBW8</w:t>
            </w:r>
          </w:p>
        </w:tc>
        <w:tc>
          <w:tcPr>
            <w:tcW w:w="707" w:type="pct"/>
          </w:tcPr>
          <w:p w14:paraId="4AC4AED4" w14:textId="77777777" w:rsidR="00D93AE6" w:rsidRPr="000E2D76" w:rsidRDefault="00D93AE6" w:rsidP="0078445E">
            <w:pPr>
              <w:rPr>
                <w:rFonts w:cstheme="minorHAnsi"/>
                <w:sz w:val="28"/>
                <w:szCs w:val="28"/>
              </w:rPr>
            </w:pPr>
            <w:r w:rsidRPr="000E2D76">
              <w:rPr>
                <w:rFonts w:cstheme="minorHAnsi"/>
                <w:sz w:val="28"/>
                <w:szCs w:val="28"/>
              </w:rPr>
              <w:t>SFOBW10</w:t>
            </w:r>
          </w:p>
        </w:tc>
        <w:tc>
          <w:tcPr>
            <w:tcW w:w="689" w:type="pct"/>
          </w:tcPr>
          <w:p w14:paraId="7673E470" w14:textId="77777777" w:rsidR="00D93AE6" w:rsidRPr="000E2D76" w:rsidRDefault="00D93AE6" w:rsidP="0078445E">
            <w:pPr>
              <w:rPr>
                <w:rFonts w:cstheme="minorHAnsi"/>
                <w:sz w:val="28"/>
                <w:szCs w:val="28"/>
              </w:rPr>
            </w:pPr>
            <w:r w:rsidRPr="000E2D76">
              <w:rPr>
                <w:rFonts w:cstheme="minorHAnsi"/>
                <w:sz w:val="28"/>
                <w:szCs w:val="28"/>
              </w:rPr>
              <w:t>SFOSFW6</w:t>
            </w:r>
          </w:p>
        </w:tc>
        <w:tc>
          <w:tcPr>
            <w:tcW w:w="689" w:type="pct"/>
          </w:tcPr>
          <w:p w14:paraId="570F8C54" w14:textId="77777777" w:rsidR="00D93AE6" w:rsidRPr="000E2D76" w:rsidRDefault="00D93AE6" w:rsidP="0078445E">
            <w:pPr>
              <w:rPr>
                <w:rFonts w:cstheme="minorHAnsi"/>
                <w:sz w:val="28"/>
                <w:szCs w:val="28"/>
              </w:rPr>
            </w:pPr>
            <w:r w:rsidRPr="000E2D76">
              <w:rPr>
                <w:rFonts w:cstheme="minorHAnsi"/>
                <w:sz w:val="28"/>
                <w:szCs w:val="28"/>
              </w:rPr>
              <w:t>SFOSFW8</w:t>
            </w:r>
          </w:p>
        </w:tc>
        <w:tc>
          <w:tcPr>
            <w:tcW w:w="763" w:type="pct"/>
          </w:tcPr>
          <w:p w14:paraId="0A87653C" w14:textId="77777777" w:rsidR="00D93AE6" w:rsidRPr="000E2D76" w:rsidRDefault="00D93AE6" w:rsidP="0078445E">
            <w:pPr>
              <w:rPr>
                <w:rFonts w:cstheme="minorHAnsi"/>
                <w:sz w:val="28"/>
                <w:szCs w:val="28"/>
              </w:rPr>
            </w:pPr>
            <w:r w:rsidRPr="000E2D76">
              <w:rPr>
                <w:rFonts w:cstheme="minorHAnsi"/>
                <w:sz w:val="28"/>
                <w:szCs w:val="28"/>
              </w:rPr>
              <w:t>SFOSFW10</w:t>
            </w:r>
          </w:p>
        </w:tc>
      </w:tr>
      <w:tr w:rsidR="00D93AE6" w:rsidRPr="000E2D76" w14:paraId="38060357" w14:textId="77777777" w:rsidTr="00D42578">
        <w:tc>
          <w:tcPr>
            <w:tcW w:w="434" w:type="pct"/>
          </w:tcPr>
          <w:p w14:paraId="3FA50306" w14:textId="77777777" w:rsidR="00D93AE6" w:rsidRPr="000E2D76" w:rsidRDefault="00D93AE6" w:rsidP="0078445E">
            <w:pPr>
              <w:rPr>
                <w:rFonts w:cstheme="minorHAnsi"/>
                <w:sz w:val="28"/>
                <w:szCs w:val="28"/>
              </w:rPr>
            </w:pPr>
            <w:r w:rsidRPr="000E2D76">
              <w:rPr>
                <w:rFonts w:cstheme="minorHAnsi"/>
                <w:sz w:val="28"/>
                <w:szCs w:val="28"/>
              </w:rPr>
              <w:t>Color L</w:t>
            </w:r>
          </w:p>
        </w:tc>
        <w:tc>
          <w:tcPr>
            <w:tcW w:w="451" w:type="pct"/>
            <w:vAlign w:val="center"/>
          </w:tcPr>
          <w:p w14:paraId="3871D4B2" w14:textId="77777777" w:rsidR="00D93AE6" w:rsidRPr="000E2D76" w:rsidRDefault="00D93AE6" w:rsidP="0078445E">
            <w:pPr>
              <w:rPr>
                <w:rFonts w:eastAsia="Times New Roman" w:cstheme="minorHAnsi"/>
                <w:sz w:val="28"/>
                <w:szCs w:val="28"/>
              </w:rPr>
            </w:pPr>
            <w:r w:rsidRPr="000E2D76">
              <w:rPr>
                <w:rFonts w:eastAsia="Times New Roman" w:cstheme="minorHAnsi"/>
                <w:sz w:val="28"/>
                <w:szCs w:val="28"/>
              </w:rPr>
              <w:t>55.23 ± 0.30</w:t>
            </w:r>
            <w:r w:rsidR="0020375B">
              <w:rPr>
                <w:rFonts w:eastAsia="Times New Roman" w:cstheme="minorHAnsi"/>
                <w:sz w:val="28"/>
                <w:szCs w:val="28"/>
              </w:rPr>
              <w:t>b</w:t>
            </w:r>
          </w:p>
        </w:tc>
        <w:tc>
          <w:tcPr>
            <w:tcW w:w="634" w:type="pct"/>
          </w:tcPr>
          <w:p w14:paraId="01F99080" w14:textId="77777777" w:rsidR="00D93AE6" w:rsidRPr="000E2D76" w:rsidRDefault="00D93AE6" w:rsidP="0078445E">
            <w:pPr>
              <w:rPr>
                <w:rFonts w:cstheme="minorHAnsi"/>
                <w:sz w:val="28"/>
                <w:szCs w:val="28"/>
              </w:rPr>
            </w:pPr>
            <w:r w:rsidRPr="000E2D76">
              <w:rPr>
                <w:rFonts w:eastAsia="Times New Roman" w:cstheme="minorHAnsi"/>
                <w:sz w:val="28"/>
                <w:szCs w:val="28"/>
              </w:rPr>
              <w:t>56.10 ± 0.40</w:t>
            </w:r>
            <w:r w:rsidR="0020375B">
              <w:rPr>
                <w:rFonts w:eastAsia="Times New Roman" w:cstheme="minorHAnsi"/>
                <w:sz w:val="28"/>
                <w:szCs w:val="28"/>
              </w:rPr>
              <w:t>a</w:t>
            </w:r>
          </w:p>
        </w:tc>
        <w:tc>
          <w:tcPr>
            <w:tcW w:w="634" w:type="pct"/>
          </w:tcPr>
          <w:p w14:paraId="5E293E30" w14:textId="77777777" w:rsidR="00D93AE6" w:rsidRPr="000E2D76" w:rsidRDefault="00D93AE6" w:rsidP="0078445E">
            <w:pPr>
              <w:rPr>
                <w:rFonts w:cstheme="minorHAnsi"/>
                <w:sz w:val="28"/>
                <w:szCs w:val="28"/>
              </w:rPr>
            </w:pPr>
            <w:r w:rsidRPr="000E2D76">
              <w:rPr>
                <w:rFonts w:eastAsia="Times New Roman" w:cstheme="minorHAnsi"/>
                <w:sz w:val="28"/>
                <w:szCs w:val="28"/>
              </w:rPr>
              <w:t>56.80 ± 0.35</w:t>
            </w:r>
            <w:r w:rsidR="0020375B">
              <w:rPr>
                <w:rFonts w:eastAsia="Times New Roman" w:cstheme="minorHAnsi"/>
                <w:sz w:val="28"/>
                <w:szCs w:val="28"/>
              </w:rPr>
              <w:t>a</w:t>
            </w:r>
          </w:p>
        </w:tc>
        <w:tc>
          <w:tcPr>
            <w:tcW w:w="707" w:type="pct"/>
          </w:tcPr>
          <w:p w14:paraId="6F43A069" w14:textId="77777777" w:rsidR="00D93AE6" w:rsidRPr="000E2D76" w:rsidRDefault="00D93AE6" w:rsidP="0078445E">
            <w:pPr>
              <w:rPr>
                <w:rFonts w:cstheme="minorHAnsi"/>
                <w:sz w:val="28"/>
                <w:szCs w:val="28"/>
              </w:rPr>
            </w:pPr>
            <w:r w:rsidRPr="000E2D76">
              <w:rPr>
                <w:rFonts w:eastAsia="Times New Roman" w:cstheme="minorHAnsi"/>
                <w:sz w:val="28"/>
                <w:szCs w:val="28"/>
              </w:rPr>
              <w:t>57.50 ± 0.30</w:t>
            </w:r>
            <w:r w:rsidR="0020375B">
              <w:rPr>
                <w:rFonts w:eastAsia="Times New Roman" w:cstheme="minorHAnsi"/>
                <w:sz w:val="28"/>
                <w:szCs w:val="28"/>
              </w:rPr>
              <w:t>a</w:t>
            </w:r>
          </w:p>
        </w:tc>
        <w:tc>
          <w:tcPr>
            <w:tcW w:w="689" w:type="pct"/>
          </w:tcPr>
          <w:p w14:paraId="106DDF59" w14:textId="77777777" w:rsidR="00D93AE6" w:rsidRPr="000E2D76" w:rsidRDefault="00D93AE6" w:rsidP="0078445E">
            <w:pPr>
              <w:rPr>
                <w:rFonts w:cstheme="minorHAnsi"/>
                <w:sz w:val="28"/>
                <w:szCs w:val="28"/>
              </w:rPr>
            </w:pPr>
            <w:r w:rsidRPr="000E2D76">
              <w:rPr>
                <w:rFonts w:eastAsia="Times New Roman" w:cstheme="minorHAnsi"/>
                <w:sz w:val="28"/>
                <w:szCs w:val="28"/>
              </w:rPr>
              <w:t>56.30 ± 0.45</w:t>
            </w:r>
            <w:r w:rsidR="0020375B">
              <w:rPr>
                <w:rFonts w:eastAsia="Times New Roman" w:cstheme="minorHAnsi"/>
                <w:sz w:val="28"/>
                <w:szCs w:val="28"/>
              </w:rPr>
              <w:t>a</w:t>
            </w:r>
          </w:p>
        </w:tc>
        <w:tc>
          <w:tcPr>
            <w:tcW w:w="689" w:type="pct"/>
          </w:tcPr>
          <w:p w14:paraId="621E0EE7" w14:textId="77777777" w:rsidR="00D93AE6" w:rsidRPr="000E2D76" w:rsidRDefault="00D93AE6" w:rsidP="0078445E">
            <w:pPr>
              <w:rPr>
                <w:rFonts w:cstheme="minorHAnsi"/>
                <w:sz w:val="28"/>
                <w:szCs w:val="28"/>
              </w:rPr>
            </w:pPr>
            <w:r w:rsidRPr="000E2D76">
              <w:rPr>
                <w:rFonts w:eastAsia="Times New Roman" w:cstheme="minorHAnsi"/>
                <w:sz w:val="28"/>
                <w:szCs w:val="28"/>
              </w:rPr>
              <w:t>57.00 ± 0.40</w:t>
            </w:r>
            <w:r w:rsidR="0020375B">
              <w:rPr>
                <w:rFonts w:eastAsia="Times New Roman" w:cstheme="minorHAnsi"/>
                <w:sz w:val="28"/>
                <w:szCs w:val="28"/>
              </w:rPr>
              <w:t>a</w:t>
            </w:r>
          </w:p>
        </w:tc>
        <w:tc>
          <w:tcPr>
            <w:tcW w:w="763" w:type="pct"/>
          </w:tcPr>
          <w:p w14:paraId="362EAF40" w14:textId="77777777" w:rsidR="00D93AE6" w:rsidRPr="000E2D76" w:rsidRDefault="00D93AE6" w:rsidP="0078445E">
            <w:pPr>
              <w:rPr>
                <w:rFonts w:cstheme="minorHAnsi"/>
                <w:sz w:val="28"/>
                <w:szCs w:val="28"/>
              </w:rPr>
            </w:pPr>
            <w:r w:rsidRPr="000E2D76">
              <w:rPr>
                <w:rFonts w:eastAsia="Times New Roman" w:cstheme="minorHAnsi"/>
                <w:sz w:val="28"/>
                <w:szCs w:val="28"/>
              </w:rPr>
              <w:t>57.80 ± 0.30</w:t>
            </w:r>
            <w:r w:rsidR="0020375B">
              <w:rPr>
                <w:rFonts w:eastAsia="Times New Roman" w:cstheme="minorHAnsi"/>
                <w:sz w:val="28"/>
                <w:szCs w:val="28"/>
              </w:rPr>
              <w:t>a</w:t>
            </w:r>
          </w:p>
        </w:tc>
      </w:tr>
      <w:tr w:rsidR="00D93AE6" w:rsidRPr="000E2D76" w14:paraId="061D301F" w14:textId="77777777" w:rsidTr="00D42578">
        <w:tc>
          <w:tcPr>
            <w:tcW w:w="434" w:type="pct"/>
          </w:tcPr>
          <w:p w14:paraId="59BAF952" w14:textId="77777777" w:rsidR="00D93AE6" w:rsidRPr="000E2D76" w:rsidRDefault="00D93AE6" w:rsidP="0078445E">
            <w:pPr>
              <w:rPr>
                <w:rFonts w:cstheme="minorHAnsi"/>
                <w:sz w:val="28"/>
                <w:szCs w:val="28"/>
              </w:rPr>
            </w:pPr>
            <w:r w:rsidRPr="000E2D76">
              <w:rPr>
                <w:rFonts w:cstheme="minorHAnsi"/>
                <w:sz w:val="28"/>
                <w:szCs w:val="28"/>
              </w:rPr>
              <w:t>Color a</w:t>
            </w:r>
          </w:p>
        </w:tc>
        <w:tc>
          <w:tcPr>
            <w:tcW w:w="451" w:type="pct"/>
          </w:tcPr>
          <w:p w14:paraId="74FB9B06" w14:textId="77777777" w:rsidR="00D93AE6" w:rsidRPr="000E2D76" w:rsidRDefault="00D93AE6" w:rsidP="0078445E">
            <w:pPr>
              <w:rPr>
                <w:rFonts w:cstheme="minorHAnsi"/>
                <w:sz w:val="28"/>
                <w:szCs w:val="28"/>
              </w:rPr>
            </w:pPr>
            <w:r w:rsidRPr="000E2D76">
              <w:rPr>
                <w:rFonts w:eastAsia="Times New Roman" w:cstheme="minorHAnsi"/>
                <w:sz w:val="28"/>
                <w:szCs w:val="28"/>
              </w:rPr>
              <w:t>-1.02 ± 0.05</w:t>
            </w:r>
            <w:r w:rsidR="0020375B">
              <w:rPr>
                <w:rFonts w:eastAsia="Times New Roman" w:cstheme="minorHAnsi"/>
                <w:sz w:val="28"/>
                <w:szCs w:val="28"/>
              </w:rPr>
              <w:t>a</w:t>
            </w:r>
          </w:p>
        </w:tc>
        <w:tc>
          <w:tcPr>
            <w:tcW w:w="634" w:type="pct"/>
          </w:tcPr>
          <w:p w14:paraId="73772605" w14:textId="77777777" w:rsidR="00D93AE6" w:rsidRPr="000E2D76" w:rsidRDefault="00D93AE6" w:rsidP="0078445E">
            <w:pPr>
              <w:rPr>
                <w:rFonts w:cstheme="minorHAnsi"/>
                <w:sz w:val="28"/>
                <w:szCs w:val="28"/>
              </w:rPr>
            </w:pPr>
            <w:r w:rsidRPr="000E2D76">
              <w:rPr>
                <w:rFonts w:eastAsia="Times New Roman" w:cstheme="minorHAnsi"/>
                <w:sz w:val="28"/>
                <w:szCs w:val="28"/>
              </w:rPr>
              <w:t>-1.10 ± 0.04</w:t>
            </w:r>
            <w:r w:rsidR="0020375B">
              <w:rPr>
                <w:rFonts w:eastAsia="Times New Roman" w:cstheme="minorHAnsi"/>
                <w:sz w:val="28"/>
                <w:szCs w:val="28"/>
              </w:rPr>
              <w:t>a</w:t>
            </w:r>
          </w:p>
        </w:tc>
        <w:tc>
          <w:tcPr>
            <w:tcW w:w="634" w:type="pct"/>
          </w:tcPr>
          <w:p w14:paraId="3CFA7CF0" w14:textId="77777777" w:rsidR="00D93AE6" w:rsidRPr="000E2D76" w:rsidRDefault="00D93AE6" w:rsidP="0078445E">
            <w:pPr>
              <w:rPr>
                <w:rFonts w:cstheme="minorHAnsi"/>
                <w:sz w:val="28"/>
                <w:szCs w:val="28"/>
              </w:rPr>
            </w:pPr>
            <w:r w:rsidRPr="000E2D76">
              <w:rPr>
                <w:rFonts w:eastAsia="Times New Roman" w:cstheme="minorHAnsi"/>
                <w:sz w:val="28"/>
                <w:szCs w:val="28"/>
              </w:rPr>
              <w:t>-1.15 ± 0.06</w:t>
            </w:r>
            <w:r w:rsidR="0020375B">
              <w:rPr>
                <w:rFonts w:eastAsia="Times New Roman" w:cstheme="minorHAnsi"/>
                <w:sz w:val="28"/>
                <w:szCs w:val="28"/>
              </w:rPr>
              <w:t>a</w:t>
            </w:r>
          </w:p>
        </w:tc>
        <w:tc>
          <w:tcPr>
            <w:tcW w:w="707" w:type="pct"/>
          </w:tcPr>
          <w:p w14:paraId="7097C50C" w14:textId="77777777" w:rsidR="00D93AE6" w:rsidRPr="000E2D76" w:rsidRDefault="00D93AE6" w:rsidP="0078445E">
            <w:pPr>
              <w:rPr>
                <w:rFonts w:cstheme="minorHAnsi"/>
                <w:sz w:val="28"/>
                <w:szCs w:val="28"/>
              </w:rPr>
            </w:pPr>
            <w:r w:rsidRPr="000E2D76">
              <w:rPr>
                <w:rFonts w:eastAsia="Times New Roman" w:cstheme="minorHAnsi"/>
                <w:sz w:val="28"/>
                <w:szCs w:val="28"/>
              </w:rPr>
              <w:t>-1.20 ± 0.04</w:t>
            </w:r>
            <w:r w:rsidR="0020375B">
              <w:rPr>
                <w:rFonts w:eastAsia="Times New Roman" w:cstheme="minorHAnsi"/>
                <w:sz w:val="28"/>
                <w:szCs w:val="28"/>
              </w:rPr>
              <w:t>a</w:t>
            </w:r>
          </w:p>
        </w:tc>
        <w:tc>
          <w:tcPr>
            <w:tcW w:w="689" w:type="pct"/>
          </w:tcPr>
          <w:p w14:paraId="096F509A" w14:textId="77777777" w:rsidR="00D93AE6" w:rsidRPr="000E2D76" w:rsidRDefault="00D93AE6" w:rsidP="0078445E">
            <w:pPr>
              <w:rPr>
                <w:rFonts w:cstheme="minorHAnsi"/>
                <w:sz w:val="28"/>
                <w:szCs w:val="28"/>
              </w:rPr>
            </w:pPr>
            <w:r w:rsidRPr="000E2D76">
              <w:rPr>
                <w:rFonts w:eastAsia="Times New Roman" w:cstheme="minorHAnsi"/>
                <w:sz w:val="28"/>
                <w:szCs w:val="28"/>
              </w:rPr>
              <w:t>-1.08 ± 0.05</w:t>
            </w:r>
            <w:r w:rsidR="0020375B">
              <w:rPr>
                <w:rFonts w:eastAsia="Times New Roman" w:cstheme="minorHAnsi"/>
                <w:sz w:val="28"/>
                <w:szCs w:val="28"/>
              </w:rPr>
              <w:t>a</w:t>
            </w:r>
          </w:p>
        </w:tc>
        <w:tc>
          <w:tcPr>
            <w:tcW w:w="689" w:type="pct"/>
          </w:tcPr>
          <w:p w14:paraId="0E73E583" w14:textId="77777777" w:rsidR="00D93AE6" w:rsidRPr="000E2D76" w:rsidRDefault="00D93AE6" w:rsidP="0078445E">
            <w:pPr>
              <w:rPr>
                <w:rFonts w:cstheme="minorHAnsi"/>
                <w:sz w:val="28"/>
                <w:szCs w:val="28"/>
              </w:rPr>
            </w:pPr>
            <w:r w:rsidRPr="000E2D76">
              <w:rPr>
                <w:rFonts w:eastAsia="Times New Roman" w:cstheme="minorHAnsi"/>
                <w:sz w:val="28"/>
                <w:szCs w:val="28"/>
              </w:rPr>
              <w:t>-1.12 ± 0.06</w:t>
            </w:r>
            <w:r w:rsidR="0020375B">
              <w:rPr>
                <w:rFonts w:eastAsia="Times New Roman" w:cstheme="minorHAnsi"/>
                <w:sz w:val="28"/>
                <w:szCs w:val="28"/>
              </w:rPr>
              <w:t>a</w:t>
            </w:r>
          </w:p>
        </w:tc>
        <w:tc>
          <w:tcPr>
            <w:tcW w:w="763" w:type="pct"/>
          </w:tcPr>
          <w:p w14:paraId="0F388399" w14:textId="77777777" w:rsidR="00D93AE6" w:rsidRPr="000E2D76" w:rsidRDefault="00D93AE6" w:rsidP="0078445E">
            <w:pPr>
              <w:rPr>
                <w:rFonts w:cstheme="minorHAnsi"/>
                <w:sz w:val="28"/>
                <w:szCs w:val="28"/>
              </w:rPr>
            </w:pPr>
            <w:r w:rsidRPr="000E2D76">
              <w:rPr>
                <w:rFonts w:eastAsia="Times New Roman" w:cstheme="minorHAnsi"/>
                <w:sz w:val="28"/>
                <w:szCs w:val="28"/>
              </w:rPr>
              <w:t>-1.18 ± 0.05</w:t>
            </w:r>
            <w:r w:rsidR="0020375B">
              <w:rPr>
                <w:rFonts w:eastAsia="Times New Roman" w:cstheme="minorHAnsi"/>
                <w:sz w:val="28"/>
                <w:szCs w:val="28"/>
              </w:rPr>
              <w:t>a</w:t>
            </w:r>
          </w:p>
        </w:tc>
      </w:tr>
      <w:tr w:rsidR="00D93AE6" w:rsidRPr="000E2D76" w14:paraId="758DF19B" w14:textId="77777777" w:rsidTr="00D42578">
        <w:tc>
          <w:tcPr>
            <w:tcW w:w="434" w:type="pct"/>
          </w:tcPr>
          <w:p w14:paraId="28CBB6D5" w14:textId="77777777" w:rsidR="00D93AE6" w:rsidRPr="000E2D76" w:rsidRDefault="00D93AE6" w:rsidP="0078445E">
            <w:pPr>
              <w:rPr>
                <w:rFonts w:cstheme="minorHAnsi"/>
                <w:sz w:val="28"/>
                <w:szCs w:val="28"/>
              </w:rPr>
            </w:pPr>
            <w:r w:rsidRPr="000E2D76">
              <w:rPr>
                <w:rFonts w:cstheme="minorHAnsi"/>
                <w:sz w:val="28"/>
                <w:szCs w:val="28"/>
              </w:rPr>
              <w:t>Color b</w:t>
            </w:r>
          </w:p>
        </w:tc>
        <w:tc>
          <w:tcPr>
            <w:tcW w:w="451" w:type="pct"/>
          </w:tcPr>
          <w:p w14:paraId="2A31CB3E" w14:textId="77777777" w:rsidR="00D93AE6" w:rsidRPr="000E2D76" w:rsidRDefault="00D93AE6" w:rsidP="0078445E">
            <w:pPr>
              <w:rPr>
                <w:rFonts w:cstheme="minorHAnsi"/>
                <w:sz w:val="28"/>
                <w:szCs w:val="28"/>
              </w:rPr>
            </w:pPr>
            <w:r w:rsidRPr="000E2D76">
              <w:rPr>
                <w:rFonts w:eastAsia="Times New Roman" w:cstheme="minorHAnsi"/>
                <w:sz w:val="28"/>
                <w:szCs w:val="28"/>
              </w:rPr>
              <w:t>10.54 ± 0.15</w:t>
            </w:r>
            <w:r w:rsidR="0020375B">
              <w:rPr>
                <w:rFonts w:eastAsia="Times New Roman" w:cstheme="minorHAnsi"/>
                <w:sz w:val="28"/>
                <w:szCs w:val="28"/>
              </w:rPr>
              <w:t>b</w:t>
            </w:r>
          </w:p>
        </w:tc>
        <w:tc>
          <w:tcPr>
            <w:tcW w:w="634" w:type="pct"/>
          </w:tcPr>
          <w:p w14:paraId="534ED666" w14:textId="77777777" w:rsidR="00D93AE6" w:rsidRPr="000E2D76" w:rsidRDefault="00D93AE6" w:rsidP="0078445E">
            <w:pPr>
              <w:rPr>
                <w:rFonts w:cstheme="minorHAnsi"/>
                <w:sz w:val="28"/>
                <w:szCs w:val="28"/>
              </w:rPr>
            </w:pPr>
            <w:r w:rsidRPr="000E2D76">
              <w:rPr>
                <w:rFonts w:eastAsia="Times New Roman" w:cstheme="minorHAnsi"/>
                <w:sz w:val="28"/>
                <w:szCs w:val="28"/>
              </w:rPr>
              <w:t>11.00 ± 0.20</w:t>
            </w:r>
            <w:r w:rsidR="0020375B">
              <w:rPr>
                <w:rFonts w:eastAsia="Times New Roman" w:cstheme="minorHAnsi"/>
                <w:sz w:val="28"/>
                <w:szCs w:val="28"/>
              </w:rPr>
              <w:t>a</w:t>
            </w:r>
          </w:p>
        </w:tc>
        <w:tc>
          <w:tcPr>
            <w:tcW w:w="634" w:type="pct"/>
          </w:tcPr>
          <w:p w14:paraId="1283EED5" w14:textId="77777777" w:rsidR="00D93AE6" w:rsidRPr="000E2D76" w:rsidRDefault="00D93AE6" w:rsidP="0078445E">
            <w:pPr>
              <w:rPr>
                <w:rFonts w:cstheme="minorHAnsi"/>
                <w:sz w:val="28"/>
                <w:szCs w:val="28"/>
              </w:rPr>
            </w:pPr>
            <w:r w:rsidRPr="000E2D76">
              <w:rPr>
                <w:rFonts w:eastAsia="Times New Roman" w:cstheme="minorHAnsi"/>
                <w:sz w:val="28"/>
                <w:szCs w:val="28"/>
              </w:rPr>
              <w:t>11.20 ± 0.22</w:t>
            </w:r>
            <w:r w:rsidR="0020375B">
              <w:rPr>
                <w:rFonts w:eastAsia="Times New Roman" w:cstheme="minorHAnsi"/>
                <w:sz w:val="28"/>
                <w:szCs w:val="28"/>
              </w:rPr>
              <w:t>a</w:t>
            </w:r>
          </w:p>
        </w:tc>
        <w:tc>
          <w:tcPr>
            <w:tcW w:w="707" w:type="pct"/>
          </w:tcPr>
          <w:p w14:paraId="6A6E2ACE" w14:textId="77777777" w:rsidR="00D93AE6" w:rsidRPr="000E2D76" w:rsidRDefault="00D93AE6" w:rsidP="0078445E">
            <w:pPr>
              <w:rPr>
                <w:rFonts w:cstheme="minorHAnsi"/>
                <w:sz w:val="28"/>
                <w:szCs w:val="28"/>
              </w:rPr>
            </w:pPr>
            <w:r w:rsidRPr="000E2D76">
              <w:rPr>
                <w:rFonts w:eastAsia="Times New Roman" w:cstheme="minorHAnsi"/>
                <w:sz w:val="28"/>
                <w:szCs w:val="28"/>
              </w:rPr>
              <w:t>11.50 ± 0.18</w:t>
            </w:r>
            <w:r w:rsidR="0020375B">
              <w:rPr>
                <w:rFonts w:eastAsia="Times New Roman" w:cstheme="minorHAnsi"/>
                <w:sz w:val="28"/>
                <w:szCs w:val="28"/>
              </w:rPr>
              <w:t>a</w:t>
            </w:r>
          </w:p>
        </w:tc>
        <w:tc>
          <w:tcPr>
            <w:tcW w:w="689" w:type="pct"/>
          </w:tcPr>
          <w:p w14:paraId="1F6D2157" w14:textId="77777777" w:rsidR="00D93AE6" w:rsidRPr="000E2D76" w:rsidRDefault="00D93AE6" w:rsidP="0078445E">
            <w:pPr>
              <w:rPr>
                <w:rFonts w:cstheme="minorHAnsi"/>
                <w:sz w:val="28"/>
                <w:szCs w:val="28"/>
              </w:rPr>
            </w:pPr>
            <w:r w:rsidRPr="000E2D76">
              <w:rPr>
                <w:rFonts w:eastAsia="Times New Roman" w:cstheme="minorHAnsi"/>
                <w:sz w:val="28"/>
                <w:szCs w:val="28"/>
              </w:rPr>
              <w:t>10.80 ± 0.20</w:t>
            </w:r>
            <w:r w:rsidR="0020375B">
              <w:rPr>
                <w:rFonts w:eastAsia="Times New Roman" w:cstheme="minorHAnsi"/>
                <w:sz w:val="28"/>
                <w:szCs w:val="28"/>
              </w:rPr>
              <w:t>b</w:t>
            </w:r>
          </w:p>
        </w:tc>
        <w:tc>
          <w:tcPr>
            <w:tcW w:w="689" w:type="pct"/>
          </w:tcPr>
          <w:p w14:paraId="38A4CDCA" w14:textId="77777777" w:rsidR="00D93AE6" w:rsidRPr="000E2D76" w:rsidRDefault="00D93AE6" w:rsidP="0078445E">
            <w:pPr>
              <w:rPr>
                <w:rFonts w:cstheme="minorHAnsi"/>
                <w:sz w:val="28"/>
                <w:szCs w:val="28"/>
              </w:rPr>
            </w:pPr>
            <w:r w:rsidRPr="000E2D76">
              <w:rPr>
                <w:rFonts w:eastAsia="Times New Roman" w:cstheme="minorHAnsi"/>
                <w:sz w:val="28"/>
                <w:szCs w:val="28"/>
              </w:rPr>
              <w:t>11.10 ± 0.25</w:t>
            </w:r>
            <w:r w:rsidR="0020375B">
              <w:rPr>
                <w:rFonts w:eastAsia="Times New Roman" w:cstheme="minorHAnsi"/>
                <w:sz w:val="28"/>
                <w:szCs w:val="28"/>
              </w:rPr>
              <w:t>a</w:t>
            </w:r>
          </w:p>
        </w:tc>
        <w:tc>
          <w:tcPr>
            <w:tcW w:w="763" w:type="pct"/>
          </w:tcPr>
          <w:p w14:paraId="2577874A" w14:textId="77777777" w:rsidR="00D93AE6" w:rsidRPr="000E2D76" w:rsidRDefault="00D93AE6" w:rsidP="0078445E">
            <w:pPr>
              <w:rPr>
                <w:rFonts w:cstheme="minorHAnsi"/>
                <w:sz w:val="28"/>
                <w:szCs w:val="28"/>
              </w:rPr>
            </w:pPr>
            <w:r w:rsidRPr="000E2D76">
              <w:rPr>
                <w:rFonts w:eastAsia="Times New Roman" w:cstheme="minorHAnsi"/>
                <w:sz w:val="28"/>
                <w:szCs w:val="28"/>
              </w:rPr>
              <w:t>11.40 ± 0.22</w:t>
            </w:r>
            <w:r w:rsidR="0020375B">
              <w:rPr>
                <w:rFonts w:eastAsia="Times New Roman" w:cstheme="minorHAnsi"/>
                <w:sz w:val="28"/>
                <w:szCs w:val="28"/>
              </w:rPr>
              <w:t>a</w:t>
            </w:r>
          </w:p>
        </w:tc>
      </w:tr>
    </w:tbl>
    <w:p w14:paraId="617AAB56" w14:textId="77777777" w:rsidR="00D42578" w:rsidRPr="000E2D76" w:rsidRDefault="00D42578" w:rsidP="007C4556">
      <w:pPr>
        <w:jc w:val="both"/>
        <w:rPr>
          <w:rFonts w:asciiTheme="majorBidi" w:hAnsiTheme="majorBidi" w:cstheme="majorBidi"/>
          <w:sz w:val="28"/>
          <w:szCs w:val="28"/>
        </w:rPr>
      </w:pPr>
      <w:r w:rsidRPr="000E2D76">
        <w:rPr>
          <w:rFonts w:asciiTheme="majorBidi" w:hAnsiTheme="majorBidi" w:cstheme="majorBidi"/>
          <w:sz w:val="28"/>
          <w:szCs w:val="28"/>
        </w:rPr>
        <w:t xml:space="preserve">Values are means ± SD; means having the different case letter(s) within a row are significantly different at P≤0.05. SFO= Sunflower oil, SFOBW6=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SFOBW8=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SFOBW10=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 SFOSFW6=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SFOSFW8=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SFOSFW10=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w:t>
      </w:r>
    </w:p>
    <w:p w14:paraId="05146954" w14:textId="77777777" w:rsidR="00D42578" w:rsidRPr="000E2D76" w:rsidRDefault="00D42578" w:rsidP="00D93AE6">
      <w:pPr>
        <w:jc w:val="both"/>
        <w:rPr>
          <w:rFonts w:cstheme="minorHAnsi"/>
          <w:b/>
          <w:bCs/>
          <w:sz w:val="28"/>
          <w:szCs w:val="28"/>
        </w:rPr>
      </w:pPr>
    </w:p>
    <w:p w14:paraId="7B1981DF" w14:textId="77777777" w:rsidR="00D93AE6" w:rsidRPr="000E2D76" w:rsidRDefault="00D93AE6" w:rsidP="00D93AE6">
      <w:pPr>
        <w:jc w:val="both"/>
        <w:rPr>
          <w:rFonts w:cstheme="minorHAnsi"/>
          <w:b/>
          <w:bCs/>
          <w:sz w:val="28"/>
          <w:szCs w:val="28"/>
          <w:rtl/>
        </w:rPr>
      </w:pPr>
      <w:r w:rsidRPr="000E2D76">
        <w:rPr>
          <w:rFonts w:cstheme="minorHAnsi"/>
          <w:b/>
          <w:bCs/>
          <w:sz w:val="28"/>
          <w:szCs w:val="28"/>
        </w:rPr>
        <w:lastRenderedPageBreak/>
        <w:t xml:space="preserve">Table 3. Chemical Characteristics, Total Phenolic Content, Antioxidant Activity, and Oxidative Stability of Sunflower Oil-Based </w:t>
      </w:r>
      <w:proofErr w:type="spellStart"/>
      <w:r w:rsidRPr="000E2D76">
        <w:rPr>
          <w:rFonts w:cstheme="minorHAnsi"/>
          <w:b/>
          <w:bCs/>
          <w:sz w:val="28"/>
          <w:szCs w:val="28"/>
        </w:rPr>
        <w:t>Oleogels</w:t>
      </w:r>
      <w:proofErr w:type="spellEnd"/>
      <w:r w:rsidRPr="000E2D76">
        <w:rPr>
          <w:rFonts w:cstheme="minorHAnsi"/>
          <w:b/>
          <w:bCs/>
          <w:sz w:val="28"/>
          <w:szCs w:val="28"/>
        </w:rPr>
        <w:t xml:space="preserve"> Structured with Beeswax and Sunflower Wax</w:t>
      </w:r>
    </w:p>
    <w:tbl>
      <w:tblPr>
        <w:tblStyle w:val="TableGrid"/>
        <w:tblW w:w="5000" w:type="pct"/>
        <w:tblLook w:val="04A0" w:firstRow="1" w:lastRow="0" w:firstColumn="1" w:lastColumn="0" w:noHBand="0" w:noVBand="1"/>
      </w:tblPr>
      <w:tblGrid>
        <w:gridCol w:w="1316"/>
        <w:gridCol w:w="802"/>
        <w:gridCol w:w="1115"/>
        <w:gridCol w:w="1115"/>
        <w:gridCol w:w="1243"/>
        <w:gridCol w:w="1210"/>
        <w:gridCol w:w="1210"/>
        <w:gridCol w:w="1339"/>
      </w:tblGrid>
      <w:tr w:rsidR="00D93AE6" w:rsidRPr="000E2D76" w14:paraId="5756F86C" w14:textId="77777777" w:rsidTr="00D42578">
        <w:tc>
          <w:tcPr>
            <w:tcW w:w="713" w:type="pct"/>
          </w:tcPr>
          <w:p w14:paraId="1C98375C" w14:textId="77777777" w:rsidR="00D93AE6" w:rsidRPr="000E2D76" w:rsidRDefault="00D93AE6" w:rsidP="0078445E">
            <w:pPr>
              <w:rPr>
                <w:rFonts w:cstheme="minorHAnsi"/>
                <w:sz w:val="28"/>
                <w:szCs w:val="28"/>
              </w:rPr>
            </w:pPr>
            <w:r w:rsidRPr="000E2D76">
              <w:rPr>
                <w:rFonts w:cstheme="minorHAnsi"/>
                <w:sz w:val="28"/>
                <w:szCs w:val="28"/>
              </w:rPr>
              <w:t xml:space="preserve">Properties </w:t>
            </w:r>
          </w:p>
        </w:tc>
        <w:tc>
          <w:tcPr>
            <w:tcW w:w="362" w:type="pct"/>
          </w:tcPr>
          <w:p w14:paraId="169074E7" w14:textId="77777777" w:rsidR="00D93AE6" w:rsidRPr="000E2D76" w:rsidRDefault="00D93AE6" w:rsidP="0078445E">
            <w:pPr>
              <w:rPr>
                <w:rFonts w:cstheme="minorHAnsi"/>
                <w:sz w:val="28"/>
                <w:szCs w:val="28"/>
              </w:rPr>
            </w:pPr>
            <w:r w:rsidRPr="000E2D76">
              <w:rPr>
                <w:rFonts w:cstheme="minorHAnsi"/>
                <w:sz w:val="28"/>
                <w:szCs w:val="28"/>
              </w:rPr>
              <w:t>SFO</w:t>
            </w:r>
          </w:p>
        </w:tc>
        <w:tc>
          <w:tcPr>
            <w:tcW w:w="605" w:type="pct"/>
          </w:tcPr>
          <w:p w14:paraId="3EE18966" w14:textId="77777777" w:rsidR="00D93AE6" w:rsidRPr="000E2D76" w:rsidRDefault="00D93AE6" w:rsidP="0078445E">
            <w:pPr>
              <w:rPr>
                <w:rFonts w:cstheme="minorHAnsi"/>
                <w:sz w:val="28"/>
                <w:szCs w:val="28"/>
              </w:rPr>
            </w:pPr>
            <w:r w:rsidRPr="000E2D76">
              <w:rPr>
                <w:rFonts w:cstheme="minorHAnsi"/>
                <w:sz w:val="28"/>
                <w:szCs w:val="28"/>
              </w:rPr>
              <w:t>SFOBW6</w:t>
            </w:r>
          </w:p>
        </w:tc>
        <w:tc>
          <w:tcPr>
            <w:tcW w:w="605" w:type="pct"/>
          </w:tcPr>
          <w:p w14:paraId="6D60F2D5" w14:textId="77777777" w:rsidR="00D93AE6" w:rsidRPr="000E2D76" w:rsidRDefault="00D93AE6" w:rsidP="0078445E">
            <w:pPr>
              <w:rPr>
                <w:rFonts w:cstheme="minorHAnsi"/>
                <w:sz w:val="28"/>
                <w:szCs w:val="28"/>
              </w:rPr>
            </w:pPr>
            <w:r w:rsidRPr="000E2D76">
              <w:rPr>
                <w:rFonts w:cstheme="minorHAnsi"/>
                <w:sz w:val="28"/>
                <w:szCs w:val="28"/>
              </w:rPr>
              <w:t>SFOBW8</w:t>
            </w:r>
          </w:p>
        </w:tc>
        <w:tc>
          <w:tcPr>
            <w:tcW w:w="675" w:type="pct"/>
          </w:tcPr>
          <w:p w14:paraId="3B50BAFB" w14:textId="77777777" w:rsidR="00D93AE6" w:rsidRPr="000E2D76" w:rsidRDefault="00D93AE6" w:rsidP="0078445E">
            <w:pPr>
              <w:rPr>
                <w:rFonts w:cstheme="minorHAnsi"/>
                <w:sz w:val="28"/>
                <w:szCs w:val="28"/>
              </w:rPr>
            </w:pPr>
            <w:r w:rsidRPr="000E2D76">
              <w:rPr>
                <w:rFonts w:cstheme="minorHAnsi"/>
                <w:sz w:val="28"/>
                <w:szCs w:val="28"/>
              </w:rPr>
              <w:t>SFOBW10</w:t>
            </w:r>
          </w:p>
        </w:tc>
        <w:tc>
          <w:tcPr>
            <w:tcW w:w="657" w:type="pct"/>
          </w:tcPr>
          <w:p w14:paraId="232214B7" w14:textId="77777777" w:rsidR="00D93AE6" w:rsidRPr="000E2D76" w:rsidRDefault="00D93AE6" w:rsidP="0078445E">
            <w:pPr>
              <w:rPr>
                <w:rFonts w:cstheme="minorHAnsi"/>
                <w:sz w:val="28"/>
                <w:szCs w:val="28"/>
              </w:rPr>
            </w:pPr>
            <w:r w:rsidRPr="000E2D76">
              <w:rPr>
                <w:rFonts w:cstheme="minorHAnsi"/>
                <w:sz w:val="28"/>
                <w:szCs w:val="28"/>
              </w:rPr>
              <w:t>SFOSFW6</w:t>
            </w:r>
          </w:p>
        </w:tc>
        <w:tc>
          <w:tcPr>
            <w:tcW w:w="657" w:type="pct"/>
          </w:tcPr>
          <w:p w14:paraId="6D8168AD" w14:textId="77777777" w:rsidR="00D93AE6" w:rsidRPr="000E2D76" w:rsidRDefault="00D93AE6" w:rsidP="0078445E">
            <w:pPr>
              <w:rPr>
                <w:rFonts w:cstheme="minorHAnsi"/>
                <w:sz w:val="28"/>
                <w:szCs w:val="28"/>
              </w:rPr>
            </w:pPr>
            <w:r w:rsidRPr="000E2D76">
              <w:rPr>
                <w:rFonts w:cstheme="minorHAnsi"/>
                <w:sz w:val="28"/>
                <w:szCs w:val="28"/>
              </w:rPr>
              <w:t>SFOSFW8</w:t>
            </w:r>
          </w:p>
        </w:tc>
        <w:tc>
          <w:tcPr>
            <w:tcW w:w="727" w:type="pct"/>
          </w:tcPr>
          <w:p w14:paraId="18999788" w14:textId="77777777" w:rsidR="00D93AE6" w:rsidRPr="000E2D76" w:rsidRDefault="00D93AE6" w:rsidP="0078445E">
            <w:pPr>
              <w:rPr>
                <w:rFonts w:cstheme="minorHAnsi"/>
                <w:sz w:val="28"/>
                <w:szCs w:val="28"/>
              </w:rPr>
            </w:pPr>
            <w:r w:rsidRPr="000E2D76">
              <w:rPr>
                <w:rFonts w:cstheme="minorHAnsi"/>
                <w:sz w:val="28"/>
                <w:szCs w:val="28"/>
              </w:rPr>
              <w:t>SFOSFW10</w:t>
            </w:r>
          </w:p>
        </w:tc>
      </w:tr>
      <w:tr w:rsidR="00D93AE6" w:rsidRPr="000E2D76" w14:paraId="7416B439" w14:textId="77777777" w:rsidTr="00D42578">
        <w:tc>
          <w:tcPr>
            <w:tcW w:w="713" w:type="pct"/>
          </w:tcPr>
          <w:p w14:paraId="3E853408" w14:textId="77777777" w:rsidR="00D93AE6" w:rsidRPr="000E2D76" w:rsidRDefault="00D93AE6" w:rsidP="0078445E">
            <w:pPr>
              <w:rPr>
                <w:rFonts w:cstheme="minorHAnsi"/>
                <w:sz w:val="28"/>
                <w:szCs w:val="28"/>
              </w:rPr>
            </w:pPr>
            <w:r w:rsidRPr="000E2D76">
              <w:rPr>
                <w:rFonts w:cstheme="minorHAnsi"/>
                <w:sz w:val="28"/>
                <w:szCs w:val="28"/>
              </w:rPr>
              <w:t>AV</w:t>
            </w:r>
          </w:p>
        </w:tc>
        <w:tc>
          <w:tcPr>
            <w:tcW w:w="362" w:type="pct"/>
          </w:tcPr>
          <w:p w14:paraId="1729E6DC" w14:textId="77777777" w:rsidR="00D93AE6" w:rsidRPr="000E2D76" w:rsidRDefault="00D93AE6" w:rsidP="0078445E">
            <w:pPr>
              <w:rPr>
                <w:rFonts w:cstheme="minorHAnsi"/>
                <w:sz w:val="28"/>
                <w:szCs w:val="28"/>
              </w:rPr>
            </w:pPr>
            <w:r w:rsidRPr="000E2D76">
              <w:rPr>
                <w:rFonts w:eastAsia="Times New Roman" w:cstheme="minorHAnsi"/>
                <w:sz w:val="28"/>
                <w:szCs w:val="28"/>
              </w:rPr>
              <w:t>0.25 ± 0.03</w:t>
            </w:r>
            <w:r w:rsidR="0020375B">
              <w:rPr>
                <w:rFonts w:eastAsia="Times New Roman" w:cstheme="minorHAnsi"/>
                <w:sz w:val="28"/>
                <w:szCs w:val="28"/>
              </w:rPr>
              <w:t>a</w:t>
            </w:r>
          </w:p>
        </w:tc>
        <w:tc>
          <w:tcPr>
            <w:tcW w:w="605" w:type="pct"/>
          </w:tcPr>
          <w:p w14:paraId="3D8A3221" w14:textId="77777777" w:rsidR="00D93AE6" w:rsidRPr="000E2D76" w:rsidRDefault="00D93AE6" w:rsidP="0078445E">
            <w:pPr>
              <w:rPr>
                <w:rFonts w:cstheme="minorHAnsi"/>
                <w:sz w:val="28"/>
                <w:szCs w:val="28"/>
              </w:rPr>
            </w:pPr>
            <w:r w:rsidRPr="000E2D76">
              <w:rPr>
                <w:rFonts w:eastAsia="Times New Roman" w:cstheme="minorHAnsi"/>
                <w:sz w:val="28"/>
                <w:szCs w:val="28"/>
              </w:rPr>
              <w:t>0.24 ± 0.02</w:t>
            </w:r>
            <w:r w:rsidR="0020375B">
              <w:rPr>
                <w:rFonts w:eastAsia="Times New Roman" w:cstheme="minorHAnsi"/>
                <w:sz w:val="28"/>
                <w:szCs w:val="28"/>
              </w:rPr>
              <w:t>a</w:t>
            </w:r>
          </w:p>
        </w:tc>
        <w:tc>
          <w:tcPr>
            <w:tcW w:w="605" w:type="pct"/>
          </w:tcPr>
          <w:p w14:paraId="79B1FC45" w14:textId="77777777" w:rsidR="00D93AE6" w:rsidRPr="000E2D76" w:rsidRDefault="00D93AE6" w:rsidP="0078445E">
            <w:pPr>
              <w:rPr>
                <w:rFonts w:cstheme="minorHAnsi"/>
                <w:sz w:val="28"/>
                <w:szCs w:val="28"/>
              </w:rPr>
            </w:pPr>
            <w:r w:rsidRPr="000E2D76">
              <w:rPr>
                <w:rFonts w:eastAsia="Times New Roman" w:cstheme="minorHAnsi"/>
                <w:sz w:val="28"/>
                <w:szCs w:val="28"/>
              </w:rPr>
              <w:t>0.23 ± 0.02</w:t>
            </w:r>
            <w:r w:rsidR="0020375B">
              <w:rPr>
                <w:rFonts w:eastAsia="Times New Roman" w:cstheme="minorHAnsi"/>
                <w:sz w:val="28"/>
                <w:szCs w:val="28"/>
              </w:rPr>
              <w:t>a</w:t>
            </w:r>
          </w:p>
        </w:tc>
        <w:tc>
          <w:tcPr>
            <w:tcW w:w="675" w:type="pct"/>
          </w:tcPr>
          <w:p w14:paraId="3C27CC91" w14:textId="77777777" w:rsidR="00D93AE6" w:rsidRPr="000E2D76" w:rsidRDefault="00D93AE6" w:rsidP="0078445E">
            <w:pPr>
              <w:rPr>
                <w:rFonts w:cstheme="minorHAnsi"/>
                <w:sz w:val="28"/>
                <w:szCs w:val="28"/>
              </w:rPr>
            </w:pPr>
            <w:r w:rsidRPr="000E2D76">
              <w:rPr>
                <w:rFonts w:eastAsia="Times New Roman" w:cstheme="minorHAnsi"/>
                <w:sz w:val="28"/>
                <w:szCs w:val="28"/>
              </w:rPr>
              <w:t>0.22 ± 0.02</w:t>
            </w:r>
            <w:r w:rsidR="0020375B">
              <w:rPr>
                <w:rFonts w:eastAsia="Times New Roman" w:cstheme="minorHAnsi"/>
                <w:sz w:val="28"/>
                <w:szCs w:val="28"/>
              </w:rPr>
              <w:t>a</w:t>
            </w:r>
          </w:p>
        </w:tc>
        <w:tc>
          <w:tcPr>
            <w:tcW w:w="657" w:type="pct"/>
          </w:tcPr>
          <w:p w14:paraId="5DDFA6EC" w14:textId="77777777" w:rsidR="00D93AE6" w:rsidRPr="000E2D76" w:rsidRDefault="00D93AE6" w:rsidP="0078445E">
            <w:pPr>
              <w:rPr>
                <w:rFonts w:cstheme="minorHAnsi"/>
                <w:sz w:val="28"/>
                <w:szCs w:val="28"/>
              </w:rPr>
            </w:pPr>
            <w:r w:rsidRPr="000E2D76">
              <w:rPr>
                <w:rFonts w:eastAsia="Times New Roman" w:cstheme="minorHAnsi"/>
                <w:sz w:val="28"/>
                <w:szCs w:val="28"/>
              </w:rPr>
              <w:t>0.24 ± 0.03</w:t>
            </w:r>
            <w:r w:rsidR="0020375B">
              <w:rPr>
                <w:rFonts w:eastAsia="Times New Roman" w:cstheme="minorHAnsi"/>
                <w:sz w:val="28"/>
                <w:szCs w:val="28"/>
              </w:rPr>
              <w:t>a</w:t>
            </w:r>
          </w:p>
        </w:tc>
        <w:tc>
          <w:tcPr>
            <w:tcW w:w="657" w:type="pct"/>
          </w:tcPr>
          <w:p w14:paraId="68139A2D" w14:textId="77777777" w:rsidR="00D93AE6" w:rsidRPr="000E2D76" w:rsidRDefault="00D93AE6" w:rsidP="0078445E">
            <w:pPr>
              <w:rPr>
                <w:rFonts w:cstheme="minorHAnsi"/>
                <w:sz w:val="28"/>
                <w:szCs w:val="28"/>
              </w:rPr>
            </w:pPr>
            <w:r w:rsidRPr="000E2D76">
              <w:rPr>
                <w:rFonts w:eastAsia="Times New Roman" w:cstheme="minorHAnsi"/>
                <w:sz w:val="28"/>
                <w:szCs w:val="28"/>
              </w:rPr>
              <w:t>0.23 ± 0.02</w:t>
            </w:r>
            <w:r w:rsidR="0020375B">
              <w:rPr>
                <w:rFonts w:eastAsia="Times New Roman" w:cstheme="minorHAnsi"/>
                <w:sz w:val="28"/>
                <w:szCs w:val="28"/>
              </w:rPr>
              <w:t>a</w:t>
            </w:r>
          </w:p>
        </w:tc>
        <w:tc>
          <w:tcPr>
            <w:tcW w:w="727" w:type="pct"/>
          </w:tcPr>
          <w:p w14:paraId="530EA682" w14:textId="77777777" w:rsidR="00D93AE6" w:rsidRPr="000E2D76" w:rsidRDefault="00D93AE6" w:rsidP="0078445E">
            <w:pPr>
              <w:rPr>
                <w:rFonts w:cstheme="minorHAnsi"/>
                <w:sz w:val="28"/>
                <w:szCs w:val="28"/>
              </w:rPr>
            </w:pPr>
            <w:r w:rsidRPr="000E2D76">
              <w:rPr>
                <w:rFonts w:eastAsia="Times New Roman" w:cstheme="minorHAnsi"/>
                <w:sz w:val="28"/>
                <w:szCs w:val="28"/>
              </w:rPr>
              <w:t>0.22 ± 0.02</w:t>
            </w:r>
            <w:r w:rsidR="0020375B">
              <w:rPr>
                <w:rFonts w:eastAsia="Times New Roman" w:cstheme="minorHAnsi"/>
                <w:sz w:val="28"/>
                <w:szCs w:val="28"/>
              </w:rPr>
              <w:t>a</w:t>
            </w:r>
          </w:p>
        </w:tc>
      </w:tr>
      <w:tr w:rsidR="00D93AE6" w:rsidRPr="000E2D76" w14:paraId="4AC7794A" w14:textId="77777777" w:rsidTr="00D42578">
        <w:tc>
          <w:tcPr>
            <w:tcW w:w="713" w:type="pct"/>
          </w:tcPr>
          <w:p w14:paraId="260CD73C" w14:textId="77777777" w:rsidR="00D93AE6" w:rsidRPr="000E2D76" w:rsidRDefault="00D93AE6" w:rsidP="0078445E">
            <w:pPr>
              <w:rPr>
                <w:rFonts w:cstheme="minorHAnsi"/>
                <w:sz w:val="28"/>
                <w:szCs w:val="28"/>
              </w:rPr>
            </w:pPr>
            <w:r w:rsidRPr="000E2D76">
              <w:rPr>
                <w:rFonts w:cstheme="minorHAnsi"/>
                <w:sz w:val="28"/>
                <w:szCs w:val="28"/>
              </w:rPr>
              <w:t>PV</w:t>
            </w:r>
          </w:p>
        </w:tc>
        <w:tc>
          <w:tcPr>
            <w:tcW w:w="362" w:type="pct"/>
          </w:tcPr>
          <w:p w14:paraId="55A9DB42" w14:textId="77777777" w:rsidR="00D93AE6" w:rsidRPr="000E2D76" w:rsidRDefault="00D93AE6" w:rsidP="0078445E">
            <w:pPr>
              <w:rPr>
                <w:rFonts w:cstheme="minorHAnsi"/>
                <w:sz w:val="28"/>
                <w:szCs w:val="28"/>
              </w:rPr>
            </w:pPr>
            <w:r w:rsidRPr="000E2D76">
              <w:rPr>
                <w:rFonts w:eastAsia="Times New Roman" w:cstheme="minorHAnsi"/>
                <w:sz w:val="28"/>
                <w:szCs w:val="28"/>
              </w:rPr>
              <w:t>5.20 ± 0.12</w:t>
            </w:r>
            <w:r w:rsidR="0020375B">
              <w:rPr>
                <w:rFonts w:eastAsia="Times New Roman" w:cstheme="minorHAnsi"/>
                <w:sz w:val="28"/>
                <w:szCs w:val="28"/>
              </w:rPr>
              <w:t>z</w:t>
            </w:r>
          </w:p>
        </w:tc>
        <w:tc>
          <w:tcPr>
            <w:tcW w:w="605" w:type="pct"/>
          </w:tcPr>
          <w:p w14:paraId="704D513C" w14:textId="77777777" w:rsidR="00D93AE6" w:rsidRPr="000E2D76" w:rsidRDefault="00D93AE6" w:rsidP="0078445E">
            <w:pPr>
              <w:rPr>
                <w:rFonts w:cstheme="minorHAnsi"/>
                <w:sz w:val="28"/>
                <w:szCs w:val="28"/>
              </w:rPr>
            </w:pPr>
            <w:r w:rsidRPr="000E2D76">
              <w:rPr>
                <w:rFonts w:eastAsia="Times New Roman" w:cstheme="minorHAnsi"/>
                <w:sz w:val="28"/>
                <w:szCs w:val="28"/>
              </w:rPr>
              <w:t>4.80 ± 0.10</w:t>
            </w:r>
            <w:r w:rsidR="0020375B">
              <w:rPr>
                <w:rFonts w:eastAsia="Times New Roman" w:cstheme="minorHAnsi"/>
                <w:sz w:val="28"/>
                <w:szCs w:val="28"/>
              </w:rPr>
              <w:t>b</w:t>
            </w:r>
          </w:p>
        </w:tc>
        <w:tc>
          <w:tcPr>
            <w:tcW w:w="605" w:type="pct"/>
          </w:tcPr>
          <w:p w14:paraId="613257F7" w14:textId="77777777" w:rsidR="00D93AE6" w:rsidRPr="000E2D76" w:rsidRDefault="00D93AE6" w:rsidP="0078445E">
            <w:pPr>
              <w:rPr>
                <w:rFonts w:cstheme="minorHAnsi"/>
                <w:sz w:val="28"/>
                <w:szCs w:val="28"/>
              </w:rPr>
            </w:pPr>
            <w:r w:rsidRPr="000E2D76">
              <w:rPr>
                <w:rFonts w:eastAsia="Times New Roman" w:cstheme="minorHAnsi"/>
                <w:sz w:val="28"/>
                <w:szCs w:val="28"/>
              </w:rPr>
              <w:t>4.50 ± 0.11</w:t>
            </w:r>
            <w:r w:rsidR="0020375B">
              <w:rPr>
                <w:rFonts w:eastAsia="Times New Roman" w:cstheme="minorHAnsi"/>
                <w:sz w:val="28"/>
                <w:szCs w:val="28"/>
              </w:rPr>
              <w:t>c</w:t>
            </w:r>
          </w:p>
        </w:tc>
        <w:tc>
          <w:tcPr>
            <w:tcW w:w="675" w:type="pct"/>
          </w:tcPr>
          <w:p w14:paraId="63659198" w14:textId="77777777" w:rsidR="00D93AE6" w:rsidRPr="000E2D76" w:rsidRDefault="00D93AE6" w:rsidP="0078445E">
            <w:pPr>
              <w:rPr>
                <w:rFonts w:cstheme="minorHAnsi"/>
                <w:sz w:val="28"/>
                <w:szCs w:val="28"/>
              </w:rPr>
            </w:pPr>
            <w:r w:rsidRPr="000E2D76">
              <w:rPr>
                <w:rFonts w:eastAsia="Times New Roman" w:cstheme="minorHAnsi"/>
                <w:sz w:val="28"/>
                <w:szCs w:val="28"/>
              </w:rPr>
              <w:t>4.20 ± 0.09</w:t>
            </w:r>
            <w:r w:rsidR="0020375B">
              <w:rPr>
                <w:rFonts w:eastAsia="Times New Roman" w:cstheme="minorHAnsi"/>
                <w:sz w:val="28"/>
                <w:szCs w:val="28"/>
              </w:rPr>
              <w:t>d</w:t>
            </w:r>
          </w:p>
        </w:tc>
        <w:tc>
          <w:tcPr>
            <w:tcW w:w="657" w:type="pct"/>
          </w:tcPr>
          <w:p w14:paraId="4A8F5F84" w14:textId="77777777" w:rsidR="00D93AE6" w:rsidRPr="000E2D76" w:rsidRDefault="00D93AE6" w:rsidP="0078445E">
            <w:pPr>
              <w:rPr>
                <w:rFonts w:cstheme="minorHAnsi"/>
                <w:sz w:val="28"/>
                <w:szCs w:val="28"/>
              </w:rPr>
            </w:pPr>
            <w:r w:rsidRPr="000E2D76">
              <w:rPr>
                <w:rFonts w:eastAsia="Times New Roman" w:cstheme="minorHAnsi"/>
                <w:sz w:val="28"/>
                <w:szCs w:val="28"/>
              </w:rPr>
              <w:t>4.90 ± 0.12</w:t>
            </w:r>
            <w:r w:rsidR="0020375B">
              <w:rPr>
                <w:rFonts w:eastAsia="Times New Roman" w:cstheme="minorHAnsi"/>
                <w:sz w:val="28"/>
                <w:szCs w:val="28"/>
              </w:rPr>
              <w:t>b</w:t>
            </w:r>
          </w:p>
        </w:tc>
        <w:tc>
          <w:tcPr>
            <w:tcW w:w="657" w:type="pct"/>
          </w:tcPr>
          <w:p w14:paraId="795028FC" w14:textId="77777777" w:rsidR="00D93AE6" w:rsidRPr="000E2D76" w:rsidRDefault="00D93AE6" w:rsidP="0078445E">
            <w:pPr>
              <w:rPr>
                <w:rFonts w:cstheme="minorHAnsi"/>
                <w:sz w:val="28"/>
                <w:szCs w:val="28"/>
              </w:rPr>
            </w:pPr>
            <w:r w:rsidRPr="000E2D76">
              <w:rPr>
                <w:rFonts w:eastAsia="Times New Roman" w:cstheme="minorHAnsi"/>
                <w:sz w:val="28"/>
                <w:szCs w:val="28"/>
              </w:rPr>
              <w:t>4.60 ± 0.10</w:t>
            </w:r>
            <w:r w:rsidR="0020375B">
              <w:rPr>
                <w:rFonts w:eastAsia="Times New Roman" w:cstheme="minorHAnsi"/>
                <w:sz w:val="28"/>
                <w:szCs w:val="28"/>
              </w:rPr>
              <w:t>c</w:t>
            </w:r>
          </w:p>
        </w:tc>
        <w:tc>
          <w:tcPr>
            <w:tcW w:w="727" w:type="pct"/>
          </w:tcPr>
          <w:p w14:paraId="13414A2E" w14:textId="77777777" w:rsidR="00D93AE6" w:rsidRPr="000E2D76" w:rsidRDefault="00D93AE6" w:rsidP="0078445E">
            <w:pPr>
              <w:rPr>
                <w:rFonts w:cstheme="minorHAnsi"/>
                <w:sz w:val="28"/>
                <w:szCs w:val="28"/>
              </w:rPr>
            </w:pPr>
            <w:r w:rsidRPr="000E2D76">
              <w:rPr>
                <w:rFonts w:eastAsia="Times New Roman" w:cstheme="minorHAnsi"/>
                <w:sz w:val="28"/>
                <w:szCs w:val="28"/>
              </w:rPr>
              <w:t>4.30 ± 0.09</w:t>
            </w:r>
            <w:r w:rsidR="0020375B">
              <w:rPr>
                <w:rFonts w:eastAsia="Times New Roman" w:cstheme="minorHAnsi"/>
                <w:sz w:val="28"/>
                <w:szCs w:val="28"/>
              </w:rPr>
              <w:t>d</w:t>
            </w:r>
          </w:p>
        </w:tc>
      </w:tr>
      <w:tr w:rsidR="00D93AE6" w:rsidRPr="000E2D76" w14:paraId="000790E1" w14:textId="77777777" w:rsidTr="00D42578">
        <w:tc>
          <w:tcPr>
            <w:tcW w:w="713" w:type="pct"/>
          </w:tcPr>
          <w:p w14:paraId="6184D6A9" w14:textId="77777777" w:rsidR="00D93AE6" w:rsidRPr="000E2D76" w:rsidRDefault="00D93AE6" w:rsidP="0078445E">
            <w:pPr>
              <w:rPr>
                <w:rFonts w:cstheme="minorHAnsi"/>
                <w:sz w:val="28"/>
                <w:szCs w:val="28"/>
              </w:rPr>
            </w:pPr>
            <w:r w:rsidRPr="000E2D76">
              <w:rPr>
                <w:rFonts w:cstheme="minorHAnsi"/>
                <w:sz w:val="28"/>
                <w:szCs w:val="28"/>
              </w:rPr>
              <w:t xml:space="preserve">TPC </w:t>
            </w:r>
          </w:p>
        </w:tc>
        <w:tc>
          <w:tcPr>
            <w:tcW w:w="362" w:type="pct"/>
          </w:tcPr>
          <w:p w14:paraId="402BF5E0" w14:textId="77777777" w:rsidR="00D93AE6" w:rsidRPr="000E2D76" w:rsidRDefault="00D93AE6" w:rsidP="0078445E">
            <w:pPr>
              <w:rPr>
                <w:rFonts w:cstheme="minorHAnsi"/>
                <w:sz w:val="28"/>
                <w:szCs w:val="28"/>
              </w:rPr>
            </w:pPr>
            <w:r w:rsidRPr="000E2D76">
              <w:rPr>
                <w:rFonts w:eastAsia="Times New Roman" w:cstheme="minorHAnsi"/>
                <w:sz w:val="28"/>
                <w:szCs w:val="28"/>
              </w:rPr>
              <w:t>0.02 ± 0.00</w:t>
            </w:r>
            <w:r w:rsidR="0020375B">
              <w:rPr>
                <w:rFonts w:eastAsia="Times New Roman" w:cstheme="minorHAnsi"/>
                <w:sz w:val="28"/>
                <w:szCs w:val="28"/>
              </w:rPr>
              <w:t>d</w:t>
            </w:r>
          </w:p>
        </w:tc>
        <w:tc>
          <w:tcPr>
            <w:tcW w:w="605" w:type="pct"/>
          </w:tcPr>
          <w:p w14:paraId="71845C1A" w14:textId="77777777" w:rsidR="00D93AE6" w:rsidRPr="000E2D76" w:rsidRDefault="00D93AE6" w:rsidP="0078445E">
            <w:pPr>
              <w:rPr>
                <w:rFonts w:cstheme="minorHAnsi"/>
                <w:sz w:val="28"/>
                <w:szCs w:val="28"/>
              </w:rPr>
            </w:pPr>
            <w:r w:rsidRPr="000E2D76">
              <w:rPr>
                <w:rFonts w:eastAsia="Times New Roman" w:cstheme="minorHAnsi"/>
                <w:sz w:val="28"/>
                <w:szCs w:val="28"/>
              </w:rPr>
              <w:t>0.25 ± 0.01</w:t>
            </w:r>
            <w:r w:rsidR="0020375B">
              <w:rPr>
                <w:rFonts w:eastAsia="Times New Roman" w:cstheme="minorHAnsi"/>
                <w:sz w:val="28"/>
                <w:szCs w:val="28"/>
              </w:rPr>
              <w:t>b</w:t>
            </w:r>
          </w:p>
        </w:tc>
        <w:tc>
          <w:tcPr>
            <w:tcW w:w="605" w:type="pct"/>
          </w:tcPr>
          <w:p w14:paraId="7DCE4774" w14:textId="77777777" w:rsidR="00D93AE6" w:rsidRPr="000E2D76" w:rsidRDefault="00D93AE6" w:rsidP="0078445E">
            <w:pPr>
              <w:rPr>
                <w:rFonts w:cstheme="minorHAnsi"/>
                <w:sz w:val="28"/>
                <w:szCs w:val="28"/>
              </w:rPr>
            </w:pPr>
            <w:r w:rsidRPr="000E2D76">
              <w:rPr>
                <w:rFonts w:eastAsia="Times New Roman" w:cstheme="minorHAnsi"/>
                <w:sz w:val="28"/>
                <w:szCs w:val="28"/>
              </w:rPr>
              <w:t>0.28 ± 0.01</w:t>
            </w:r>
            <w:r w:rsidR="0020375B">
              <w:rPr>
                <w:rFonts w:eastAsia="Times New Roman" w:cstheme="minorHAnsi"/>
                <w:sz w:val="28"/>
                <w:szCs w:val="28"/>
              </w:rPr>
              <w:t>a</w:t>
            </w:r>
          </w:p>
        </w:tc>
        <w:tc>
          <w:tcPr>
            <w:tcW w:w="675" w:type="pct"/>
          </w:tcPr>
          <w:p w14:paraId="6D9830A3" w14:textId="77777777" w:rsidR="00D93AE6" w:rsidRPr="000E2D76" w:rsidRDefault="00D93AE6" w:rsidP="0078445E">
            <w:pPr>
              <w:rPr>
                <w:rFonts w:cstheme="minorHAnsi"/>
                <w:sz w:val="28"/>
                <w:szCs w:val="28"/>
              </w:rPr>
            </w:pPr>
            <w:r w:rsidRPr="000E2D76">
              <w:rPr>
                <w:rFonts w:eastAsia="Times New Roman" w:cstheme="minorHAnsi"/>
                <w:sz w:val="28"/>
                <w:szCs w:val="28"/>
              </w:rPr>
              <w:t>0.30 ± 0.01</w:t>
            </w:r>
            <w:r w:rsidR="0020375B">
              <w:rPr>
                <w:rFonts w:eastAsia="Times New Roman" w:cstheme="minorHAnsi"/>
                <w:sz w:val="28"/>
                <w:szCs w:val="28"/>
              </w:rPr>
              <w:t>a</w:t>
            </w:r>
          </w:p>
        </w:tc>
        <w:tc>
          <w:tcPr>
            <w:tcW w:w="657" w:type="pct"/>
          </w:tcPr>
          <w:p w14:paraId="028ED507" w14:textId="77777777" w:rsidR="00D93AE6" w:rsidRPr="000E2D76" w:rsidRDefault="00D93AE6" w:rsidP="0078445E">
            <w:pPr>
              <w:rPr>
                <w:rFonts w:cstheme="minorHAnsi"/>
                <w:sz w:val="28"/>
                <w:szCs w:val="28"/>
              </w:rPr>
            </w:pPr>
            <w:r w:rsidRPr="000E2D76">
              <w:rPr>
                <w:rFonts w:eastAsia="Times New Roman" w:cstheme="minorHAnsi"/>
                <w:sz w:val="28"/>
                <w:szCs w:val="28"/>
              </w:rPr>
              <w:t>0.20 ± 0.01</w:t>
            </w:r>
            <w:r w:rsidR="0020375B">
              <w:rPr>
                <w:rFonts w:eastAsia="Times New Roman" w:cstheme="minorHAnsi"/>
                <w:sz w:val="28"/>
                <w:szCs w:val="28"/>
              </w:rPr>
              <w:t>c</w:t>
            </w:r>
          </w:p>
        </w:tc>
        <w:tc>
          <w:tcPr>
            <w:tcW w:w="657" w:type="pct"/>
          </w:tcPr>
          <w:p w14:paraId="3C8F321A" w14:textId="77777777" w:rsidR="00D93AE6" w:rsidRPr="000E2D76" w:rsidRDefault="00D93AE6" w:rsidP="0078445E">
            <w:pPr>
              <w:rPr>
                <w:rFonts w:cstheme="minorHAnsi"/>
                <w:sz w:val="28"/>
                <w:szCs w:val="28"/>
              </w:rPr>
            </w:pPr>
            <w:r w:rsidRPr="000E2D76">
              <w:rPr>
                <w:rFonts w:eastAsia="Times New Roman" w:cstheme="minorHAnsi"/>
                <w:sz w:val="28"/>
                <w:szCs w:val="28"/>
              </w:rPr>
              <w:t>0.22 ± 0.01</w:t>
            </w:r>
            <w:r w:rsidR="0020375B">
              <w:rPr>
                <w:rFonts w:eastAsia="Times New Roman" w:cstheme="minorHAnsi"/>
                <w:sz w:val="28"/>
                <w:szCs w:val="28"/>
              </w:rPr>
              <w:t>c</w:t>
            </w:r>
          </w:p>
        </w:tc>
        <w:tc>
          <w:tcPr>
            <w:tcW w:w="727" w:type="pct"/>
          </w:tcPr>
          <w:p w14:paraId="5C81F101" w14:textId="77777777" w:rsidR="00D93AE6" w:rsidRPr="000E2D76" w:rsidRDefault="00D93AE6" w:rsidP="0078445E">
            <w:pPr>
              <w:rPr>
                <w:rFonts w:cstheme="minorHAnsi"/>
                <w:sz w:val="28"/>
                <w:szCs w:val="28"/>
              </w:rPr>
            </w:pPr>
            <w:r w:rsidRPr="000E2D76">
              <w:rPr>
                <w:rFonts w:eastAsia="Times New Roman" w:cstheme="minorHAnsi"/>
                <w:sz w:val="28"/>
                <w:szCs w:val="28"/>
              </w:rPr>
              <w:t>0.25 ± 0.01</w:t>
            </w:r>
            <w:r w:rsidR="0020375B">
              <w:rPr>
                <w:rFonts w:eastAsia="Times New Roman" w:cstheme="minorHAnsi"/>
                <w:sz w:val="28"/>
                <w:szCs w:val="28"/>
              </w:rPr>
              <w:t>b</w:t>
            </w:r>
          </w:p>
        </w:tc>
      </w:tr>
      <w:tr w:rsidR="00D93AE6" w:rsidRPr="000E2D76" w14:paraId="17B3FD7A" w14:textId="77777777" w:rsidTr="00D42578">
        <w:tc>
          <w:tcPr>
            <w:tcW w:w="713" w:type="pct"/>
          </w:tcPr>
          <w:p w14:paraId="3D4DAF3A" w14:textId="77777777" w:rsidR="00D93AE6" w:rsidRPr="000E2D76" w:rsidRDefault="00D93AE6" w:rsidP="0078445E">
            <w:pPr>
              <w:rPr>
                <w:rFonts w:cstheme="minorHAnsi"/>
                <w:sz w:val="28"/>
                <w:szCs w:val="28"/>
              </w:rPr>
            </w:pPr>
            <w:r w:rsidRPr="000E2D76">
              <w:rPr>
                <w:rFonts w:cstheme="minorHAnsi"/>
                <w:sz w:val="28"/>
                <w:szCs w:val="28"/>
              </w:rPr>
              <w:t>DPPH</w:t>
            </w:r>
          </w:p>
        </w:tc>
        <w:tc>
          <w:tcPr>
            <w:tcW w:w="362" w:type="pct"/>
          </w:tcPr>
          <w:p w14:paraId="68481358" w14:textId="77777777" w:rsidR="00D93AE6" w:rsidRPr="000E2D76" w:rsidRDefault="00D93AE6" w:rsidP="0078445E">
            <w:pPr>
              <w:rPr>
                <w:rFonts w:cstheme="minorHAnsi"/>
                <w:sz w:val="28"/>
                <w:szCs w:val="28"/>
              </w:rPr>
            </w:pPr>
            <w:r w:rsidRPr="000E2D76">
              <w:rPr>
                <w:rFonts w:eastAsia="Times New Roman" w:cstheme="minorHAnsi"/>
                <w:sz w:val="28"/>
                <w:szCs w:val="28"/>
              </w:rPr>
              <w:t>10.5</w:t>
            </w:r>
            <w:r w:rsidR="0020375B">
              <w:rPr>
                <w:rFonts w:eastAsia="Times New Roman" w:cstheme="minorHAnsi"/>
                <w:sz w:val="28"/>
                <w:szCs w:val="28"/>
              </w:rPr>
              <w:t>0</w:t>
            </w:r>
            <w:r w:rsidRPr="000E2D76">
              <w:rPr>
                <w:rFonts w:eastAsia="Times New Roman" w:cstheme="minorHAnsi"/>
                <w:sz w:val="28"/>
                <w:szCs w:val="28"/>
              </w:rPr>
              <w:t xml:space="preserve"> ± 0.20</w:t>
            </w:r>
            <w:r w:rsidR="0020375B">
              <w:rPr>
                <w:rFonts w:eastAsia="Times New Roman" w:cstheme="minorHAnsi"/>
                <w:sz w:val="28"/>
                <w:szCs w:val="28"/>
              </w:rPr>
              <w:t>e</w:t>
            </w:r>
          </w:p>
        </w:tc>
        <w:tc>
          <w:tcPr>
            <w:tcW w:w="605" w:type="pct"/>
          </w:tcPr>
          <w:p w14:paraId="301B0531" w14:textId="77777777" w:rsidR="00D93AE6" w:rsidRPr="000E2D76" w:rsidRDefault="00D93AE6" w:rsidP="0078445E">
            <w:pPr>
              <w:rPr>
                <w:rFonts w:cstheme="minorHAnsi"/>
                <w:sz w:val="28"/>
                <w:szCs w:val="28"/>
              </w:rPr>
            </w:pPr>
            <w:r w:rsidRPr="000E2D76">
              <w:rPr>
                <w:rFonts w:eastAsia="Times New Roman" w:cstheme="minorHAnsi"/>
                <w:sz w:val="28"/>
                <w:szCs w:val="28"/>
              </w:rPr>
              <w:t>35.2</w:t>
            </w:r>
            <w:r w:rsidR="0020375B">
              <w:rPr>
                <w:rFonts w:eastAsia="Times New Roman" w:cstheme="minorHAnsi"/>
                <w:sz w:val="28"/>
                <w:szCs w:val="28"/>
              </w:rPr>
              <w:t>0</w:t>
            </w:r>
            <w:r w:rsidRPr="000E2D76">
              <w:rPr>
                <w:rFonts w:eastAsia="Times New Roman" w:cstheme="minorHAnsi"/>
                <w:sz w:val="28"/>
                <w:szCs w:val="28"/>
              </w:rPr>
              <w:t xml:space="preserve"> ± 0.50</w:t>
            </w:r>
            <w:r w:rsidR="0020375B">
              <w:rPr>
                <w:rFonts w:eastAsia="Times New Roman" w:cstheme="minorHAnsi"/>
                <w:sz w:val="28"/>
                <w:szCs w:val="28"/>
              </w:rPr>
              <w:t>c</w:t>
            </w:r>
          </w:p>
        </w:tc>
        <w:tc>
          <w:tcPr>
            <w:tcW w:w="605" w:type="pct"/>
          </w:tcPr>
          <w:p w14:paraId="17A2E3B2" w14:textId="77777777" w:rsidR="00D93AE6" w:rsidRPr="000E2D76" w:rsidRDefault="00D93AE6" w:rsidP="0078445E">
            <w:pPr>
              <w:rPr>
                <w:rFonts w:cstheme="minorHAnsi"/>
                <w:sz w:val="28"/>
                <w:szCs w:val="28"/>
              </w:rPr>
            </w:pPr>
            <w:r w:rsidRPr="000E2D76">
              <w:rPr>
                <w:rFonts w:eastAsia="Times New Roman" w:cstheme="minorHAnsi"/>
                <w:sz w:val="28"/>
                <w:szCs w:val="28"/>
              </w:rPr>
              <w:t>38.7</w:t>
            </w:r>
            <w:r w:rsidR="0020375B">
              <w:rPr>
                <w:rFonts w:eastAsia="Times New Roman" w:cstheme="minorHAnsi"/>
                <w:sz w:val="28"/>
                <w:szCs w:val="28"/>
              </w:rPr>
              <w:t>0</w:t>
            </w:r>
            <w:r w:rsidRPr="000E2D76">
              <w:rPr>
                <w:rFonts w:eastAsia="Times New Roman" w:cstheme="minorHAnsi"/>
                <w:sz w:val="28"/>
                <w:szCs w:val="28"/>
              </w:rPr>
              <w:t xml:space="preserve"> ± 0.60</w:t>
            </w:r>
            <w:r w:rsidR="0020375B">
              <w:rPr>
                <w:rFonts w:eastAsia="Times New Roman" w:cstheme="minorHAnsi"/>
                <w:sz w:val="28"/>
                <w:szCs w:val="28"/>
              </w:rPr>
              <w:t>b</w:t>
            </w:r>
          </w:p>
        </w:tc>
        <w:tc>
          <w:tcPr>
            <w:tcW w:w="675" w:type="pct"/>
          </w:tcPr>
          <w:p w14:paraId="5F05F4A9" w14:textId="77777777" w:rsidR="00D93AE6" w:rsidRPr="000E2D76" w:rsidRDefault="00D93AE6" w:rsidP="0078445E">
            <w:pPr>
              <w:rPr>
                <w:rFonts w:cstheme="minorHAnsi"/>
                <w:sz w:val="28"/>
                <w:szCs w:val="28"/>
              </w:rPr>
            </w:pPr>
            <w:r w:rsidRPr="000E2D76">
              <w:rPr>
                <w:rFonts w:eastAsia="Times New Roman" w:cstheme="minorHAnsi"/>
                <w:sz w:val="28"/>
                <w:szCs w:val="28"/>
              </w:rPr>
              <w:t>42.3</w:t>
            </w:r>
            <w:r w:rsidR="0020375B">
              <w:rPr>
                <w:rFonts w:eastAsia="Times New Roman" w:cstheme="minorHAnsi"/>
                <w:sz w:val="28"/>
                <w:szCs w:val="28"/>
              </w:rPr>
              <w:t>0</w:t>
            </w:r>
            <w:r w:rsidRPr="000E2D76">
              <w:rPr>
                <w:rFonts w:eastAsia="Times New Roman" w:cstheme="minorHAnsi"/>
                <w:sz w:val="28"/>
                <w:szCs w:val="28"/>
              </w:rPr>
              <w:t xml:space="preserve"> ± 0.70</w:t>
            </w:r>
            <w:r w:rsidR="0020375B">
              <w:rPr>
                <w:rFonts w:eastAsia="Times New Roman" w:cstheme="minorHAnsi"/>
                <w:sz w:val="28"/>
                <w:szCs w:val="28"/>
              </w:rPr>
              <w:t>a</w:t>
            </w:r>
          </w:p>
        </w:tc>
        <w:tc>
          <w:tcPr>
            <w:tcW w:w="657" w:type="pct"/>
          </w:tcPr>
          <w:p w14:paraId="0287DECD" w14:textId="77777777" w:rsidR="00D93AE6" w:rsidRPr="000E2D76" w:rsidRDefault="00D93AE6" w:rsidP="0078445E">
            <w:pPr>
              <w:rPr>
                <w:rFonts w:cstheme="minorHAnsi"/>
                <w:sz w:val="28"/>
                <w:szCs w:val="28"/>
              </w:rPr>
            </w:pPr>
            <w:r w:rsidRPr="000E2D76">
              <w:rPr>
                <w:rFonts w:eastAsia="Times New Roman" w:cstheme="minorHAnsi"/>
                <w:sz w:val="28"/>
                <w:szCs w:val="28"/>
              </w:rPr>
              <w:t>32.5</w:t>
            </w:r>
            <w:r w:rsidR="0020375B">
              <w:rPr>
                <w:rFonts w:eastAsia="Times New Roman" w:cstheme="minorHAnsi"/>
                <w:sz w:val="28"/>
                <w:szCs w:val="28"/>
              </w:rPr>
              <w:t>0</w:t>
            </w:r>
            <w:r w:rsidRPr="000E2D76">
              <w:rPr>
                <w:rFonts w:eastAsia="Times New Roman" w:cstheme="minorHAnsi"/>
                <w:sz w:val="28"/>
                <w:szCs w:val="28"/>
              </w:rPr>
              <w:t xml:space="preserve"> ± 0.50</w:t>
            </w:r>
            <w:r w:rsidR="0020375B">
              <w:rPr>
                <w:rFonts w:eastAsia="Times New Roman" w:cstheme="minorHAnsi"/>
                <w:sz w:val="28"/>
                <w:szCs w:val="28"/>
              </w:rPr>
              <w:t>d</w:t>
            </w:r>
          </w:p>
        </w:tc>
        <w:tc>
          <w:tcPr>
            <w:tcW w:w="657" w:type="pct"/>
          </w:tcPr>
          <w:p w14:paraId="317B0510" w14:textId="77777777" w:rsidR="00D93AE6" w:rsidRPr="000E2D76" w:rsidRDefault="00D93AE6" w:rsidP="0078445E">
            <w:pPr>
              <w:rPr>
                <w:rFonts w:cstheme="minorHAnsi"/>
                <w:sz w:val="28"/>
                <w:szCs w:val="28"/>
              </w:rPr>
            </w:pPr>
            <w:r w:rsidRPr="000E2D76">
              <w:rPr>
                <w:rFonts w:eastAsia="Times New Roman" w:cstheme="minorHAnsi"/>
                <w:sz w:val="28"/>
                <w:szCs w:val="28"/>
              </w:rPr>
              <w:t>35.8</w:t>
            </w:r>
            <w:r w:rsidR="0020375B">
              <w:rPr>
                <w:rFonts w:eastAsia="Times New Roman" w:cstheme="minorHAnsi"/>
                <w:sz w:val="28"/>
                <w:szCs w:val="28"/>
              </w:rPr>
              <w:t>0</w:t>
            </w:r>
            <w:r w:rsidRPr="000E2D76">
              <w:rPr>
                <w:rFonts w:eastAsia="Times New Roman" w:cstheme="minorHAnsi"/>
                <w:sz w:val="28"/>
                <w:szCs w:val="28"/>
              </w:rPr>
              <w:t xml:space="preserve"> ± 0.55</w:t>
            </w:r>
            <w:r w:rsidR="0020375B">
              <w:rPr>
                <w:rFonts w:eastAsia="Times New Roman" w:cstheme="minorHAnsi"/>
                <w:sz w:val="28"/>
                <w:szCs w:val="28"/>
              </w:rPr>
              <w:t>c</w:t>
            </w:r>
          </w:p>
        </w:tc>
        <w:tc>
          <w:tcPr>
            <w:tcW w:w="727" w:type="pct"/>
          </w:tcPr>
          <w:p w14:paraId="577DFF32" w14:textId="77777777" w:rsidR="00D93AE6" w:rsidRPr="000E2D76" w:rsidRDefault="00D93AE6" w:rsidP="0078445E">
            <w:pPr>
              <w:rPr>
                <w:rFonts w:cstheme="minorHAnsi"/>
                <w:sz w:val="28"/>
                <w:szCs w:val="28"/>
              </w:rPr>
            </w:pPr>
            <w:r w:rsidRPr="000E2D76">
              <w:rPr>
                <w:rFonts w:eastAsia="Times New Roman" w:cstheme="minorHAnsi"/>
                <w:sz w:val="28"/>
                <w:szCs w:val="28"/>
              </w:rPr>
              <w:t>39.5</w:t>
            </w:r>
            <w:r w:rsidR="0020375B">
              <w:rPr>
                <w:rFonts w:eastAsia="Times New Roman" w:cstheme="minorHAnsi"/>
                <w:sz w:val="28"/>
                <w:szCs w:val="28"/>
              </w:rPr>
              <w:t>0</w:t>
            </w:r>
            <w:r w:rsidRPr="000E2D76">
              <w:rPr>
                <w:rFonts w:eastAsia="Times New Roman" w:cstheme="minorHAnsi"/>
                <w:sz w:val="28"/>
                <w:szCs w:val="28"/>
              </w:rPr>
              <w:t xml:space="preserve"> ± 0.65</w:t>
            </w:r>
            <w:r w:rsidR="0020375B">
              <w:rPr>
                <w:rFonts w:eastAsia="Times New Roman" w:cstheme="minorHAnsi"/>
                <w:sz w:val="28"/>
                <w:szCs w:val="28"/>
              </w:rPr>
              <w:t>b</w:t>
            </w:r>
          </w:p>
        </w:tc>
      </w:tr>
      <w:tr w:rsidR="00D93AE6" w:rsidRPr="000E2D76" w14:paraId="76525829" w14:textId="77777777" w:rsidTr="00D42578">
        <w:tc>
          <w:tcPr>
            <w:tcW w:w="713" w:type="pct"/>
          </w:tcPr>
          <w:p w14:paraId="6F1002C4" w14:textId="77777777" w:rsidR="00D93AE6" w:rsidRPr="000E2D76" w:rsidRDefault="00D93AE6" w:rsidP="0078445E">
            <w:pPr>
              <w:rPr>
                <w:rFonts w:cstheme="minorHAnsi"/>
                <w:sz w:val="28"/>
                <w:szCs w:val="28"/>
              </w:rPr>
            </w:pPr>
            <w:proofErr w:type="spellStart"/>
            <w:r w:rsidRPr="000E2D76">
              <w:rPr>
                <w:rFonts w:cstheme="minorHAnsi"/>
                <w:sz w:val="28"/>
                <w:szCs w:val="28"/>
              </w:rPr>
              <w:t>Rancimate</w:t>
            </w:r>
            <w:proofErr w:type="spellEnd"/>
            <w:r w:rsidRPr="000E2D76">
              <w:rPr>
                <w:rFonts w:cstheme="minorHAnsi"/>
                <w:sz w:val="28"/>
                <w:szCs w:val="28"/>
              </w:rPr>
              <w:t xml:space="preserve"> </w:t>
            </w:r>
          </w:p>
        </w:tc>
        <w:tc>
          <w:tcPr>
            <w:tcW w:w="362" w:type="pct"/>
          </w:tcPr>
          <w:p w14:paraId="5447040D" w14:textId="77777777" w:rsidR="00D93AE6" w:rsidRPr="000E2D76" w:rsidRDefault="00D93AE6" w:rsidP="0078445E">
            <w:pPr>
              <w:rPr>
                <w:rFonts w:cstheme="minorHAnsi"/>
                <w:sz w:val="28"/>
                <w:szCs w:val="28"/>
              </w:rPr>
            </w:pPr>
            <w:r w:rsidRPr="000E2D76">
              <w:rPr>
                <w:rFonts w:eastAsia="Times New Roman" w:cstheme="minorHAnsi"/>
                <w:sz w:val="28"/>
                <w:szCs w:val="28"/>
              </w:rPr>
              <w:t>4.10 ± 0.08</w:t>
            </w:r>
            <w:r w:rsidR="0020375B">
              <w:rPr>
                <w:rFonts w:eastAsia="Times New Roman" w:cstheme="minorHAnsi"/>
                <w:sz w:val="28"/>
                <w:szCs w:val="28"/>
              </w:rPr>
              <w:t>e</w:t>
            </w:r>
          </w:p>
        </w:tc>
        <w:tc>
          <w:tcPr>
            <w:tcW w:w="605" w:type="pct"/>
          </w:tcPr>
          <w:p w14:paraId="43734176" w14:textId="77777777" w:rsidR="00D93AE6" w:rsidRPr="000E2D76" w:rsidRDefault="00D93AE6" w:rsidP="0078445E">
            <w:pPr>
              <w:rPr>
                <w:rFonts w:cstheme="minorHAnsi"/>
                <w:sz w:val="28"/>
                <w:szCs w:val="28"/>
              </w:rPr>
            </w:pPr>
            <w:r w:rsidRPr="000E2D76">
              <w:rPr>
                <w:rFonts w:eastAsia="Times New Roman" w:cstheme="minorHAnsi"/>
                <w:sz w:val="28"/>
                <w:szCs w:val="28"/>
              </w:rPr>
              <w:t>6.50 ± 0.12</w:t>
            </w:r>
            <w:r w:rsidR="0020375B">
              <w:rPr>
                <w:rFonts w:eastAsia="Times New Roman" w:cstheme="minorHAnsi"/>
                <w:sz w:val="28"/>
                <w:szCs w:val="28"/>
              </w:rPr>
              <w:t>d</w:t>
            </w:r>
          </w:p>
        </w:tc>
        <w:tc>
          <w:tcPr>
            <w:tcW w:w="605" w:type="pct"/>
          </w:tcPr>
          <w:p w14:paraId="37A3246F" w14:textId="77777777" w:rsidR="00D93AE6" w:rsidRPr="000E2D76" w:rsidRDefault="00D93AE6" w:rsidP="0078445E">
            <w:pPr>
              <w:rPr>
                <w:rFonts w:cstheme="minorHAnsi"/>
                <w:sz w:val="28"/>
                <w:szCs w:val="28"/>
              </w:rPr>
            </w:pPr>
            <w:r w:rsidRPr="000E2D76">
              <w:rPr>
                <w:rFonts w:eastAsia="Times New Roman" w:cstheme="minorHAnsi"/>
                <w:sz w:val="28"/>
                <w:szCs w:val="28"/>
              </w:rPr>
              <w:t>7.80 ± 0.14</w:t>
            </w:r>
            <w:r w:rsidR="0020375B">
              <w:rPr>
                <w:rFonts w:eastAsia="Times New Roman" w:cstheme="minorHAnsi"/>
                <w:sz w:val="28"/>
                <w:szCs w:val="28"/>
              </w:rPr>
              <w:t>c</w:t>
            </w:r>
          </w:p>
        </w:tc>
        <w:tc>
          <w:tcPr>
            <w:tcW w:w="675" w:type="pct"/>
          </w:tcPr>
          <w:p w14:paraId="08B984A1" w14:textId="77777777" w:rsidR="00D93AE6" w:rsidRPr="000E2D76" w:rsidRDefault="00D93AE6" w:rsidP="0078445E">
            <w:pPr>
              <w:rPr>
                <w:rFonts w:cstheme="minorHAnsi"/>
                <w:sz w:val="28"/>
                <w:szCs w:val="28"/>
              </w:rPr>
            </w:pPr>
            <w:r w:rsidRPr="000E2D76">
              <w:rPr>
                <w:rFonts w:eastAsia="Times New Roman" w:cstheme="minorHAnsi"/>
                <w:sz w:val="28"/>
                <w:szCs w:val="28"/>
              </w:rPr>
              <w:t>9.00 ± 0.15</w:t>
            </w:r>
            <w:r w:rsidR="0020375B">
              <w:rPr>
                <w:rFonts w:eastAsia="Times New Roman" w:cstheme="minorHAnsi"/>
                <w:sz w:val="28"/>
                <w:szCs w:val="28"/>
              </w:rPr>
              <w:t>a</w:t>
            </w:r>
          </w:p>
        </w:tc>
        <w:tc>
          <w:tcPr>
            <w:tcW w:w="657" w:type="pct"/>
          </w:tcPr>
          <w:p w14:paraId="5021C0D8" w14:textId="77777777" w:rsidR="00D93AE6" w:rsidRPr="000E2D76" w:rsidRDefault="00D93AE6" w:rsidP="0078445E">
            <w:pPr>
              <w:rPr>
                <w:rFonts w:cstheme="minorHAnsi"/>
                <w:sz w:val="28"/>
                <w:szCs w:val="28"/>
              </w:rPr>
            </w:pPr>
            <w:r w:rsidRPr="000E2D76">
              <w:rPr>
                <w:rFonts w:eastAsia="Times New Roman" w:cstheme="minorHAnsi"/>
                <w:sz w:val="28"/>
                <w:szCs w:val="28"/>
              </w:rPr>
              <w:t>6.20 ± 0.13</w:t>
            </w:r>
            <w:r w:rsidR="0020375B">
              <w:rPr>
                <w:rFonts w:eastAsia="Times New Roman" w:cstheme="minorHAnsi"/>
                <w:sz w:val="28"/>
                <w:szCs w:val="28"/>
              </w:rPr>
              <w:t>d</w:t>
            </w:r>
          </w:p>
        </w:tc>
        <w:tc>
          <w:tcPr>
            <w:tcW w:w="657" w:type="pct"/>
          </w:tcPr>
          <w:p w14:paraId="39F00CB0" w14:textId="77777777" w:rsidR="00D93AE6" w:rsidRPr="000E2D76" w:rsidRDefault="00D93AE6" w:rsidP="0078445E">
            <w:pPr>
              <w:rPr>
                <w:rFonts w:cstheme="minorHAnsi"/>
                <w:sz w:val="28"/>
                <w:szCs w:val="28"/>
              </w:rPr>
            </w:pPr>
            <w:r w:rsidRPr="000E2D76">
              <w:rPr>
                <w:rFonts w:eastAsia="Times New Roman" w:cstheme="minorHAnsi"/>
                <w:sz w:val="28"/>
                <w:szCs w:val="28"/>
              </w:rPr>
              <w:t>7.40 ± 0.14</w:t>
            </w:r>
            <w:r w:rsidR="0020375B">
              <w:rPr>
                <w:rFonts w:eastAsia="Times New Roman" w:cstheme="minorHAnsi"/>
                <w:sz w:val="28"/>
                <w:szCs w:val="28"/>
              </w:rPr>
              <w:t>c</w:t>
            </w:r>
          </w:p>
        </w:tc>
        <w:tc>
          <w:tcPr>
            <w:tcW w:w="727" w:type="pct"/>
          </w:tcPr>
          <w:p w14:paraId="49239D32" w14:textId="77777777" w:rsidR="00D93AE6" w:rsidRPr="000E2D76" w:rsidRDefault="00D93AE6" w:rsidP="0078445E">
            <w:pPr>
              <w:rPr>
                <w:rFonts w:cstheme="minorHAnsi"/>
                <w:sz w:val="28"/>
                <w:szCs w:val="28"/>
              </w:rPr>
            </w:pPr>
            <w:r w:rsidRPr="000E2D76">
              <w:rPr>
                <w:rFonts w:eastAsia="Times New Roman" w:cstheme="minorHAnsi"/>
                <w:sz w:val="28"/>
                <w:szCs w:val="28"/>
              </w:rPr>
              <w:t>8.60 ± 0.15</w:t>
            </w:r>
            <w:r w:rsidR="0020375B">
              <w:rPr>
                <w:rFonts w:eastAsia="Times New Roman" w:cstheme="minorHAnsi"/>
                <w:sz w:val="28"/>
                <w:szCs w:val="28"/>
              </w:rPr>
              <w:t>b</w:t>
            </w:r>
          </w:p>
        </w:tc>
      </w:tr>
    </w:tbl>
    <w:p w14:paraId="500D044B" w14:textId="77777777" w:rsidR="00D42578" w:rsidRPr="000E2D76" w:rsidRDefault="00D42578" w:rsidP="007C4556">
      <w:pPr>
        <w:jc w:val="both"/>
        <w:rPr>
          <w:rFonts w:asciiTheme="majorBidi" w:hAnsiTheme="majorBidi" w:cstheme="majorBidi"/>
          <w:sz w:val="28"/>
          <w:szCs w:val="28"/>
        </w:rPr>
      </w:pPr>
      <w:r w:rsidRPr="000E2D76">
        <w:rPr>
          <w:rFonts w:asciiTheme="majorBidi" w:hAnsiTheme="majorBidi" w:cstheme="majorBidi"/>
          <w:sz w:val="28"/>
          <w:szCs w:val="28"/>
        </w:rPr>
        <w:t xml:space="preserve">Values are means ± SD; means having the different case letter(s) within a row are significantly different at P≤0.05. SFO= Sunflower oil, SFOBW6=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SFOBW8=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SFOBW10=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 SFOSFW6=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SFOSFW8=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SFOSFW10=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w:t>
      </w:r>
    </w:p>
    <w:p w14:paraId="792E2673" w14:textId="77777777" w:rsidR="00D93AE6" w:rsidRPr="000E2D76" w:rsidRDefault="00D93AE6" w:rsidP="00D93AE6">
      <w:pPr>
        <w:spacing w:line="240" w:lineRule="auto"/>
        <w:jc w:val="both"/>
        <w:rPr>
          <w:rFonts w:asciiTheme="majorBidi" w:hAnsiTheme="majorBidi" w:cstheme="majorBidi"/>
          <w:b/>
          <w:bCs/>
          <w:sz w:val="28"/>
          <w:szCs w:val="28"/>
          <w:rtl/>
        </w:rPr>
      </w:pPr>
      <w:r w:rsidRPr="000E2D76">
        <w:rPr>
          <w:rFonts w:asciiTheme="majorBidi" w:hAnsiTheme="majorBidi" w:cstheme="majorBidi"/>
          <w:b/>
          <w:bCs/>
          <w:sz w:val="28"/>
          <w:szCs w:val="28"/>
        </w:rPr>
        <w:t xml:space="preserve">Table 4. Sensory Evaluation Scores of Sunflower Oil-Based </w:t>
      </w:r>
      <w:proofErr w:type="spellStart"/>
      <w:r w:rsidRPr="000E2D76">
        <w:rPr>
          <w:rFonts w:asciiTheme="majorBidi" w:hAnsiTheme="majorBidi" w:cstheme="majorBidi"/>
          <w:b/>
          <w:bCs/>
          <w:sz w:val="28"/>
          <w:szCs w:val="28"/>
        </w:rPr>
        <w:t>Oleogels</w:t>
      </w:r>
      <w:proofErr w:type="spellEnd"/>
      <w:r w:rsidRPr="000E2D76">
        <w:rPr>
          <w:rFonts w:asciiTheme="majorBidi" w:hAnsiTheme="majorBidi" w:cstheme="majorBidi"/>
          <w:b/>
          <w:bCs/>
          <w:sz w:val="28"/>
          <w:szCs w:val="28"/>
        </w:rPr>
        <w:t xml:space="preserve"> Structured with Beeswax and Sunflower Wax</w:t>
      </w:r>
    </w:p>
    <w:tbl>
      <w:tblPr>
        <w:tblStyle w:val="TableGrid"/>
        <w:tblW w:w="0" w:type="auto"/>
        <w:tblLook w:val="04A0" w:firstRow="1" w:lastRow="0" w:firstColumn="1" w:lastColumn="0" w:noHBand="0" w:noVBand="1"/>
      </w:tblPr>
      <w:tblGrid>
        <w:gridCol w:w="1528"/>
        <w:gridCol w:w="1663"/>
        <w:gridCol w:w="1835"/>
        <w:gridCol w:w="1264"/>
        <w:gridCol w:w="1257"/>
        <w:gridCol w:w="1803"/>
      </w:tblGrid>
      <w:tr w:rsidR="00D93AE6" w:rsidRPr="000E2D76" w14:paraId="18C87B28" w14:textId="77777777" w:rsidTr="00D93AE6">
        <w:tc>
          <w:tcPr>
            <w:tcW w:w="1576" w:type="dxa"/>
            <w:vAlign w:val="center"/>
          </w:tcPr>
          <w:p w14:paraId="7A86021C" w14:textId="77777777"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Sample</w:t>
            </w:r>
          </w:p>
        </w:tc>
        <w:tc>
          <w:tcPr>
            <w:tcW w:w="1580" w:type="dxa"/>
            <w:vAlign w:val="center"/>
          </w:tcPr>
          <w:p w14:paraId="020BE197" w14:textId="77777777"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Appearance (10)</w:t>
            </w:r>
          </w:p>
        </w:tc>
        <w:tc>
          <w:tcPr>
            <w:tcW w:w="1603" w:type="dxa"/>
            <w:vAlign w:val="center"/>
          </w:tcPr>
          <w:p w14:paraId="1CDA033F" w14:textId="77777777" w:rsidR="00D93AE6" w:rsidRPr="000E2D76" w:rsidRDefault="00D93AE6" w:rsidP="0078445E">
            <w:pPr>
              <w:jc w:val="center"/>
              <w:rPr>
                <w:rFonts w:ascii="Times New Roman" w:eastAsia="Times New Roman" w:hAnsi="Times New Roman" w:cs="Times New Roman"/>
                <w:b/>
                <w:bCs/>
                <w:sz w:val="28"/>
                <w:szCs w:val="28"/>
              </w:rPr>
            </w:pPr>
            <w:proofErr w:type="spellStart"/>
            <w:r w:rsidRPr="000E2D76">
              <w:rPr>
                <w:rFonts w:ascii="Times New Roman" w:eastAsia="Times New Roman" w:hAnsi="Times New Roman" w:cs="Times New Roman"/>
                <w:b/>
                <w:bCs/>
                <w:sz w:val="28"/>
                <w:szCs w:val="28"/>
              </w:rPr>
              <w:t>Spreadability</w:t>
            </w:r>
            <w:proofErr w:type="spellEnd"/>
            <w:r w:rsidRPr="000E2D76">
              <w:rPr>
                <w:rFonts w:ascii="Times New Roman" w:eastAsia="Times New Roman" w:hAnsi="Times New Roman" w:cs="Times New Roman"/>
                <w:b/>
                <w:bCs/>
                <w:sz w:val="28"/>
                <w:szCs w:val="28"/>
              </w:rPr>
              <w:t xml:space="preserve"> (10)</w:t>
            </w:r>
          </w:p>
        </w:tc>
        <w:tc>
          <w:tcPr>
            <w:tcW w:w="1499" w:type="dxa"/>
            <w:vAlign w:val="center"/>
          </w:tcPr>
          <w:p w14:paraId="72BB53DD" w14:textId="77777777"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Taste (10)</w:t>
            </w:r>
          </w:p>
        </w:tc>
        <w:tc>
          <w:tcPr>
            <w:tcW w:w="1498" w:type="dxa"/>
            <w:vAlign w:val="center"/>
          </w:tcPr>
          <w:p w14:paraId="178D3D2C" w14:textId="77777777"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Odor (10)</w:t>
            </w:r>
          </w:p>
        </w:tc>
        <w:tc>
          <w:tcPr>
            <w:tcW w:w="1594" w:type="dxa"/>
            <w:vAlign w:val="center"/>
          </w:tcPr>
          <w:p w14:paraId="20708C70" w14:textId="77777777"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Acceptability (10)</w:t>
            </w:r>
          </w:p>
        </w:tc>
      </w:tr>
      <w:tr w:rsidR="00D93AE6" w:rsidRPr="000E2D76" w14:paraId="63BF8C08" w14:textId="77777777" w:rsidTr="00D93AE6">
        <w:tc>
          <w:tcPr>
            <w:tcW w:w="1576" w:type="dxa"/>
            <w:vAlign w:val="center"/>
          </w:tcPr>
          <w:p w14:paraId="5E297888" w14:textId="77777777"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lastRenderedPageBreak/>
              <w:t>SFOBW6</w:t>
            </w:r>
          </w:p>
        </w:tc>
        <w:tc>
          <w:tcPr>
            <w:tcW w:w="1580" w:type="dxa"/>
            <w:vAlign w:val="center"/>
          </w:tcPr>
          <w:p w14:paraId="7801F2C9"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7.85 ± 0.30</w:t>
            </w:r>
            <w:r w:rsidR="00D75D27">
              <w:rPr>
                <w:rFonts w:ascii="Times New Roman" w:eastAsia="Times New Roman" w:hAnsi="Times New Roman" w:cs="Times New Roman"/>
                <w:sz w:val="28"/>
                <w:szCs w:val="28"/>
              </w:rPr>
              <w:t>d</w:t>
            </w:r>
          </w:p>
        </w:tc>
        <w:tc>
          <w:tcPr>
            <w:tcW w:w="1603" w:type="dxa"/>
            <w:vAlign w:val="center"/>
          </w:tcPr>
          <w:p w14:paraId="7DCC131C"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8.10 ± 0.25</w:t>
            </w:r>
            <w:r w:rsidR="009F1B20">
              <w:rPr>
                <w:rFonts w:ascii="Times New Roman" w:eastAsia="Times New Roman" w:hAnsi="Times New Roman" w:cs="Times New Roman"/>
                <w:sz w:val="28"/>
                <w:szCs w:val="28"/>
              </w:rPr>
              <w:t>d</w:t>
            </w:r>
          </w:p>
        </w:tc>
        <w:tc>
          <w:tcPr>
            <w:tcW w:w="1499" w:type="dxa"/>
            <w:vAlign w:val="center"/>
          </w:tcPr>
          <w:p w14:paraId="19061063"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7.93 ± 0.20</w:t>
            </w:r>
            <w:r w:rsidR="009F1B20">
              <w:rPr>
                <w:rFonts w:ascii="Times New Roman" w:eastAsia="Times New Roman" w:hAnsi="Times New Roman" w:cs="Times New Roman"/>
                <w:sz w:val="28"/>
                <w:szCs w:val="28"/>
              </w:rPr>
              <w:t>d</w:t>
            </w:r>
          </w:p>
        </w:tc>
        <w:tc>
          <w:tcPr>
            <w:tcW w:w="1498" w:type="dxa"/>
            <w:vAlign w:val="center"/>
          </w:tcPr>
          <w:p w14:paraId="18AF5925"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8.00 ± 0.20</w:t>
            </w:r>
            <w:r w:rsidR="009F1B20">
              <w:rPr>
                <w:rFonts w:ascii="Times New Roman" w:eastAsia="Times New Roman" w:hAnsi="Times New Roman" w:cs="Times New Roman"/>
                <w:sz w:val="28"/>
                <w:szCs w:val="28"/>
              </w:rPr>
              <w:t>c</w:t>
            </w:r>
          </w:p>
        </w:tc>
        <w:tc>
          <w:tcPr>
            <w:tcW w:w="1594" w:type="dxa"/>
            <w:vAlign w:val="center"/>
          </w:tcPr>
          <w:p w14:paraId="19FB963E"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8.00 ± 0.22</w:t>
            </w:r>
            <w:r w:rsidR="009F1B20">
              <w:rPr>
                <w:rFonts w:ascii="Times New Roman" w:eastAsia="Times New Roman" w:hAnsi="Times New Roman" w:cs="Times New Roman"/>
                <w:sz w:val="28"/>
                <w:szCs w:val="28"/>
              </w:rPr>
              <w:t>c</w:t>
            </w:r>
          </w:p>
        </w:tc>
      </w:tr>
      <w:tr w:rsidR="00D93AE6" w:rsidRPr="000E2D76" w14:paraId="5F03E6F3" w14:textId="77777777" w:rsidTr="00D93AE6">
        <w:tc>
          <w:tcPr>
            <w:tcW w:w="1576" w:type="dxa"/>
            <w:vAlign w:val="center"/>
          </w:tcPr>
          <w:p w14:paraId="466C01FF" w14:textId="77777777"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SFOBW8</w:t>
            </w:r>
          </w:p>
        </w:tc>
        <w:tc>
          <w:tcPr>
            <w:tcW w:w="1580" w:type="dxa"/>
            <w:vAlign w:val="center"/>
          </w:tcPr>
          <w:p w14:paraId="38956D7A"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9.27 ± 0.20</w:t>
            </w:r>
            <w:r w:rsidR="00D75D27">
              <w:rPr>
                <w:rFonts w:ascii="Times New Roman" w:eastAsia="Times New Roman" w:hAnsi="Times New Roman" w:cs="Times New Roman"/>
                <w:sz w:val="28"/>
                <w:szCs w:val="28"/>
              </w:rPr>
              <w:t>a</w:t>
            </w:r>
          </w:p>
        </w:tc>
        <w:tc>
          <w:tcPr>
            <w:tcW w:w="1603" w:type="dxa"/>
            <w:vAlign w:val="center"/>
          </w:tcPr>
          <w:p w14:paraId="5795B2FE"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9.53 ± 0.18</w:t>
            </w:r>
            <w:r w:rsidR="00D75D27">
              <w:rPr>
                <w:rFonts w:ascii="Times New Roman" w:eastAsia="Times New Roman" w:hAnsi="Times New Roman" w:cs="Times New Roman"/>
                <w:sz w:val="28"/>
                <w:szCs w:val="28"/>
              </w:rPr>
              <w:t>a</w:t>
            </w:r>
          </w:p>
        </w:tc>
        <w:tc>
          <w:tcPr>
            <w:tcW w:w="1499" w:type="dxa"/>
            <w:vAlign w:val="center"/>
          </w:tcPr>
          <w:p w14:paraId="250093AA"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9.35 ± 0.15</w:t>
            </w:r>
            <w:r w:rsidR="009F1B20">
              <w:rPr>
                <w:rFonts w:ascii="Times New Roman" w:eastAsia="Times New Roman" w:hAnsi="Times New Roman" w:cs="Times New Roman"/>
                <w:sz w:val="28"/>
                <w:szCs w:val="28"/>
              </w:rPr>
              <w:t>a</w:t>
            </w:r>
          </w:p>
        </w:tc>
        <w:tc>
          <w:tcPr>
            <w:tcW w:w="1498" w:type="dxa"/>
            <w:vAlign w:val="center"/>
          </w:tcPr>
          <w:p w14:paraId="222DAEFC"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9.44 ± 0.15</w:t>
            </w:r>
            <w:r w:rsidR="009F1B20">
              <w:rPr>
                <w:rFonts w:ascii="Times New Roman" w:eastAsia="Times New Roman" w:hAnsi="Times New Roman" w:cs="Times New Roman"/>
                <w:sz w:val="28"/>
                <w:szCs w:val="28"/>
              </w:rPr>
              <w:t>a</w:t>
            </w:r>
          </w:p>
        </w:tc>
        <w:tc>
          <w:tcPr>
            <w:tcW w:w="1594" w:type="dxa"/>
            <w:vAlign w:val="center"/>
          </w:tcPr>
          <w:p w14:paraId="4D9EC54D"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9.47 ± 0.15</w:t>
            </w:r>
            <w:r w:rsidR="009F1B20">
              <w:rPr>
                <w:rFonts w:ascii="Times New Roman" w:eastAsia="Times New Roman" w:hAnsi="Times New Roman" w:cs="Times New Roman"/>
                <w:sz w:val="28"/>
                <w:szCs w:val="28"/>
              </w:rPr>
              <w:t>a</w:t>
            </w:r>
          </w:p>
        </w:tc>
      </w:tr>
      <w:tr w:rsidR="00D93AE6" w:rsidRPr="000E2D76" w14:paraId="3408667B" w14:textId="77777777" w:rsidTr="00D93AE6">
        <w:tc>
          <w:tcPr>
            <w:tcW w:w="1576" w:type="dxa"/>
            <w:vAlign w:val="center"/>
          </w:tcPr>
          <w:p w14:paraId="33BFD929" w14:textId="77777777"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SFOBW10</w:t>
            </w:r>
          </w:p>
        </w:tc>
        <w:tc>
          <w:tcPr>
            <w:tcW w:w="1580" w:type="dxa"/>
            <w:vAlign w:val="center"/>
          </w:tcPr>
          <w:p w14:paraId="61FACE69"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8.93 ± 0.25</w:t>
            </w:r>
            <w:r w:rsidR="00D75D27">
              <w:rPr>
                <w:rFonts w:ascii="Times New Roman" w:eastAsia="Times New Roman" w:hAnsi="Times New Roman" w:cs="Times New Roman"/>
                <w:sz w:val="28"/>
                <w:szCs w:val="28"/>
              </w:rPr>
              <w:t>ab</w:t>
            </w:r>
          </w:p>
        </w:tc>
        <w:tc>
          <w:tcPr>
            <w:tcW w:w="1603" w:type="dxa"/>
            <w:vAlign w:val="center"/>
          </w:tcPr>
          <w:p w14:paraId="6DCD8E26"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8.87 ± 0.22</w:t>
            </w:r>
            <w:r w:rsidR="009F1B20">
              <w:rPr>
                <w:rFonts w:ascii="Times New Roman" w:eastAsia="Times New Roman" w:hAnsi="Times New Roman" w:cs="Times New Roman"/>
                <w:sz w:val="28"/>
                <w:szCs w:val="28"/>
              </w:rPr>
              <w:t>b</w:t>
            </w:r>
          </w:p>
        </w:tc>
        <w:tc>
          <w:tcPr>
            <w:tcW w:w="1499" w:type="dxa"/>
            <w:vAlign w:val="center"/>
          </w:tcPr>
          <w:p w14:paraId="01D33940"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8.57 ± 0.18</w:t>
            </w:r>
            <w:r w:rsidR="009F1B20">
              <w:rPr>
                <w:rFonts w:ascii="Times New Roman" w:eastAsia="Times New Roman" w:hAnsi="Times New Roman" w:cs="Times New Roman"/>
                <w:sz w:val="28"/>
                <w:szCs w:val="28"/>
              </w:rPr>
              <w:t>b</w:t>
            </w:r>
          </w:p>
        </w:tc>
        <w:tc>
          <w:tcPr>
            <w:tcW w:w="1498" w:type="dxa"/>
            <w:vAlign w:val="center"/>
          </w:tcPr>
          <w:p w14:paraId="1F480007"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8.77 ± 0.20</w:t>
            </w:r>
            <w:r w:rsidR="009F1B20">
              <w:rPr>
                <w:rFonts w:ascii="Times New Roman" w:eastAsia="Times New Roman" w:hAnsi="Times New Roman" w:cs="Times New Roman"/>
                <w:sz w:val="28"/>
                <w:szCs w:val="28"/>
              </w:rPr>
              <w:t>b</w:t>
            </w:r>
          </w:p>
        </w:tc>
        <w:tc>
          <w:tcPr>
            <w:tcW w:w="1594" w:type="dxa"/>
            <w:vAlign w:val="center"/>
          </w:tcPr>
          <w:p w14:paraId="2835D3BB"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8.75 ± 0.18</w:t>
            </w:r>
            <w:r w:rsidR="009F1B20">
              <w:rPr>
                <w:rFonts w:ascii="Times New Roman" w:eastAsia="Times New Roman" w:hAnsi="Times New Roman" w:cs="Times New Roman"/>
                <w:sz w:val="28"/>
                <w:szCs w:val="28"/>
              </w:rPr>
              <w:t>b</w:t>
            </w:r>
          </w:p>
        </w:tc>
      </w:tr>
      <w:tr w:rsidR="00D93AE6" w:rsidRPr="000E2D76" w14:paraId="79D633CA" w14:textId="77777777" w:rsidTr="00D93AE6">
        <w:tc>
          <w:tcPr>
            <w:tcW w:w="1576" w:type="dxa"/>
            <w:vAlign w:val="center"/>
          </w:tcPr>
          <w:p w14:paraId="41504357" w14:textId="77777777"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SFOSFW6</w:t>
            </w:r>
          </w:p>
        </w:tc>
        <w:tc>
          <w:tcPr>
            <w:tcW w:w="1580" w:type="dxa"/>
            <w:vAlign w:val="center"/>
          </w:tcPr>
          <w:p w14:paraId="3F344576"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8.02 ± 0.28</w:t>
            </w:r>
            <w:r w:rsidR="00D75D27">
              <w:rPr>
                <w:rFonts w:ascii="Times New Roman" w:eastAsia="Times New Roman" w:hAnsi="Times New Roman" w:cs="Times New Roman"/>
                <w:sz w:val="28"/>
                <w:szCs w:val="28"/>
              </w:rPr>
              <w:t>c</w:t>
            </w:r>
          </w:p>
        </w:tc>
        <w:tc>
          <w:tcPr>
            <w:tcW w:w="1603" w:type="dxa"/>
            <w:vAlign w:val="center"/>
          </w:tcPr>
          <w:p w14:paraId="53598613"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8.26 ± 0.26</w:t>
            </w:r>
            <w:r w:rsidR="009F1B20">
              <w:rPr>
                <w:rFonts w:ascii="Times New Roman" w:eastAsia="Times New Roman" w:hAnsi="Times New Roman" w:cs="Times New Roman"/>
                <w:sz w:val="28"/>
                <w:szCs w:val="28"/>
              </w:rPr>
              <w:t>c</w:t>
            </w:r>
          </w:p>
        </w:tc>
        <w:tc>
          <w:tcPr>
            <w:tcW w:w="1499" w:type="dxa"/>
            <w:vAlign w:val="center"/>
          </w:tcPr>
          <w:p w14:paraId="2C796850"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8.08 ± 0.20</w:t>
            </w:r>
            <w:r w:rsidR="009F1B20">
              <w:rPr>
                <w:rFonts w:ascii="Times New Roman" w:eastAsia="Times New Roman" w:hAnsi="Times New Roman" w:cs="Times New Roman"/>
                <w:sz w:val="28"/>
                <w:szCs w:val="28"/>
              </w:rPr>
              <w:t>c</w:t>
            </w:r>
          </w:p>
        </w:tc>
        <w:tc>
          <w:tcPr>
            <w:tcW w:w="1498" w:type="dxa"/>
            <w:vAlign w:val="center"/>
          </w:tcPr>
          <w:p w14:paraId="48A37DA2"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8.19 ± 0.22</w:t>
            </w:r>
            <w:r w:rsidR="009F1B20">
              <w:rPr>
                <w:rFonts w:ascii="Times New Roman" w:eastAsia="Times New Roman" w:hAnsi="Times New Roman" w:cs="Times New Roman"/>
                <w:sz w:val="28"/>
                <w:szCs w:val="28"/>
              </w:rPr>
              <w:t>c</w:t>
            </w:r>
          </w:p>
        </w:tc>
        <w:tc>
          <w:tcPr>
            <w:tcW w:w="1594" w:type="dxa"/>
            <w:vAlign w:val="center"/>
          </w:tcPr>
          <w:p w14:paraId="43178F03"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8.15 ± 0.25</w:t>
            </w:r>
            <w:r w:rsidR="009F1B20">
              <w:rPr>
                <w:rFonts w:ascii="Times New Roman" w:eastAsia="Times New Roman" w:hAnsi="Times New Roman" w:cs="Times New Roman"/>
                <w:sz w:val="28"/>
                <w:szCs w:val="28"/>
              </w:rPr>
              <w:t>c</w:t>
            </w:r>
          </w:p>
        </w:tc>
      </w:tr>
      <w:tr w:rsidR="00D93AE6" w:rsidRPr="000E2D76" w14:paraId="0B527064" w14:textId="77777777" w:rsidTr="00D93AE6">
        <w:tc>
          <w:tcPr>
            <w:tcW w:w="1576" w:type="dxa"/>
            <w:vAlign w:val="center"/>
          </w:tcPr>
          <w:p w14:paraId="298DB416" w14:textId="77777777"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SFOSFW8</w:t>
            </w:r>
          </w:p>
        </w:tc>
        <w:tc>
          <w:tcPr>
            <w:tcW w:w="1580" w:type="dxa"/>
            <w:vAlign w:val="center"/>
          </w:tcPr>
          <w:p w14:paraId="3C427274"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8.76 ± 0.22</w:t>
            </w:r>
            <w:r w:rsidR="00D75D27">
              <w:rPr>
                <w:rFonts w:ascii="Times New Roman" w:eastAsia="Times New Roman" w:hAnsi="Times New Roman" w:cs="Times New Roman"/>
                <w:sz w:val="28"/>
                <w:szCs w:val="28"/>
              </w:rPr>
              <w:t>b</w:t>
            </w:r>
          </w:p>
        </w:tc>
        <w:tc>
          <w:tcPr>
            <w:tcW w:w="1603" w:type="dxa"/>
            <w:vAlign w:val="center"/>
          </w:tcPr>
          <w:p w14:paraId="5C2DAA66"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8.95 ± 0.20</w:t>
            </w:r>
            <w:r w:rsidR="009F1B20">
              <w:rPr>
                <w:rFonts w:ascii="Times New Roman" w:eastAsia="Times New Roman" w:hAnsi="Times New Roman" w:cs="Times New Roman"/>
                <w:sz w:val="28"/>
                <w:szCs w:val="28"/>
              </w:rPr>
              <w:t>b</w:t>
            </w:r>
          </w:p>
        </w:tc>
        <w:tc>
          <w:tcPr>
            <w:tcW w:w="1499" w:type="dxa"/>
            <w:vAlign w:val="center"/>
          </w:tcPr>
          <w:p w14:paraId="5EEEF839"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8.79 ± 0.18</w:t>
            </w:r>
            <w:r w:rsidR="009F1B20">
              <w:rPr>
                <w:rFonts w:ascii="Times New Roman" w:eastAsia="Times New Roman" w:hAnsi="Times New Roman" w:cs="Times New Roman"/>
                <w:sz w:val="28"/>
                <w:szCs w:val="28"/>
              </w:rPr>
              <w:t>b</w:t>
            </w:r>
          </w:p>
        </w:tc>
        <w:tc>
          <w:tcPr>
            <w:tcW w:w="1498" w:type="dxa"/>
            <w:vAlign w:val="center"/>
          </w:tcPr>
          <w:p w14:paraId="10B59580"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8.83 ± 0.18</w:t>
            </w:r>
            <w:r w:rsidR="009F1B20">
              <w:rPr>
                <w:rFonts w:ascii="Times New Roman" w:eastAsia="Times New Roman" w:hAnsi="Times New Roman" w:cs="Times New Roman"/>
                <w:sz w:val="28"/>
                <w:szCs w:val="28"/>
              </w:rPr>
              <w:t>b</w:t>
            </w:r>
          </w:p>
        </w:tc>
        <w:tc>
          <w:tcPr>
            <w:tcW w:w="1594" w:type="dxa"/>
            <w:vAlign w:val="center"/>
          </w:tcPr>
          <w:p w14:paraId="21350D78"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8.88 ± 0.20</w:t>
            </w:r>
            <w:r w:rsidR="009F1B20">
              <w:rPr>
                <w:rFonts w:ascii="Times New Roman" w:eastAsia="Times New Roman" w:hAnsi="Times New Roman" w:cs="Times New Roman"/>
                <w:sz w:val="28"/>
                <w:szCs w:val="28"/>
              </w:rPr>
              <w:t>b</w:t>
            </w:r>
          </w:p>
        </w:tc>
      </w:tr>
      <w:tr w:rsidR="00D93AE6" w:rsidRPr="000E2D76" w14:paraId="09291322" w14:textId="77777777" w:rsidTr="00D93AE6">
        <w:tc>
          <w:tcPr>
            <w:tcW w:w="1576" w:type="dxa"/>
            <w:vAlign w:val="center"/>
          </w:tcPr>
          <w:p w14:paraId="74AE5DDA" w14:textId="77777777"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SFOSFW10</w:t>
            </w:r>
          </w:p>
        </w:tc>
        <w:tc>
          <w:tcPr>
            <w:tcW w:w="1580" w:type="dxa"/>
            <w:vAlign w:val="center"/>
          </w:tcPr>
          <w:p w14:paraId="605376DE"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9.52 ± 0.15</w:t>
            </w:r>
            <w:r w:rsidR="00D75D27">
              <w:rPr>
                <w:rFonts w:ascii="Times New Roman" w:eastAsia="Times New Roman" w:hAnsi="Times New Roman" w:cs="Times New Roman"/>
                <w:sz w:val="28"/>
                <w:szCs w:val="28"/>
              </w:rPr>
              <w:t>a</w:t>
            </w:r>
          </w:p>
        </w:tc>
        <w:tc>
          <w:tcPr>
            <w:tcW w:w="1603" w:type="dxa"/>
            <w:vAlign w:val="center"/>
          </w:tcPr>
          <w:p w14:paraId="7D041A75"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9.73 ± 0.12</w:t>
            </w:r>
            <w:r w:rsidR="00D75D27">
              <w:rPr>
                <w:rFonts w:ascii="Times New Roman" w:eastAsia="Times New Roman" w:hAnsi="Times New Roman" w:cs="Times New Roman"/>
                <w:sz w:val="28"/>
                <w:szCs w:val="28"/>
              </w:rPr>
              <w:t>a</w:t>
            </w:r>
          </w:p>
        </w:tc>
        <w:tc>
          <w:tcPr>
            <w:tcW w:w="1499" w:type="dxa"/>
            <w:vAlign w:val="center"/>
          </w:tcPr>
          <w:p w14:paraId="2177E55B"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9.45 ± 0.12</w:t>
            </w:r>
            <w:r w:rsidR="009F1B20">
              <w:rPr>
                <w:rFonts w:ascii="Times New Roman" w:eastAsia="Times New Roman" w:hAnsi="Times New Roman" w:cs="Times New Roman"/>
                <w:sz w:val="28"/>
                <w:szCs w:val="28"/>
              </w:rPr>
              <w:t>a</w:t>
            </w:r>
          </w:p>
        </w:tc>
        <w:tc>
          <w:tcPr>
            <w:tcW w:w="1498" w:type="dxa"/>
            <w:vAlign w:val="center"/>
          </w:tcPr>
          <w:p w14:paraId="0FA68870"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9.67 ± 0.10</w:t>
            </w:r>
            <w:r w:rsidR="009F1B20">
              <w:rPr>
                <w:rFonts w:ascii="Times New Roman" w:eastAsia="Times New Roman" w:hAnsi="Times New Roman" w:cs="Times New Roman"/>
                <w:sz w:val="28"/>
                <w:szCs w:val="28"/>
              </w:rPr>
              <w:t>a</w:t>
            </w:r>
          </w:p>
        </w:tc>
        <w:tc>
          <w:tcPr>
            <w:tcW w:w="1594" w:type="dxa"/>
            <w:vAlign w:val="center"/>
          </w:tcPr>
          <w:p w14:paraId="02CCE2E5"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9.53 ± 0.12</w:t>
            </w:r>
            <w:r w:rsidR="009F1B20">
              <w:rPr>
                <w:rFonts w:ascii="Times New Roman" w:eastAsia="Times New Roman" w:hAnsi="Times New Roman" w:cs="Times New Roman"/>
                <w:sz w:val="28"/>
                <w:szCs w:val="28"/>
              </w:rPr>
              <w:t>a</w:t>
            </w:r>
          </w:p>
        </w:tc>
      </w:tr>
    </w:tbl>
    <w:p w14:paraId="07CFABB7" w14:textId="77777777" w:rsidR="00D42578" w:rsidRPr="000E2D76" w:rsidRDefault="00D42578" w:rsidP="00D42578">
      <w:pPr>
        <w:rPr>
          <w:rFonts w:asciiTheme="majorBidi" w:hAnsiTheme="majorBidi" w:cstheme="majorBidi"/>
          <w:sz w:val="28"/>
          <w:szCs w:val="28"/>
        </w:rPr>
      </w:pPr>
      <w:r w:rsidRPr="000E2D76">
        <w:rPr>
          <w:rFonts w:asciiTheme="majorBidi" w:hAnsiTheme="majorBidi" w:cstheme="majorBidi"/>
          <w:sz w:val="28"/>
          <w:szCs w:val="28"/>
        </w:rPr>
        <w:t xml:space="preserve">Values are means ± SD; means having the different case letter(s) within a column are significantly different at P≤0.05. SFOBW6=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SFOBW8=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SFOBW10=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 SFOSFW6=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SFOSFW8=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SFOSFW10=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w:t>
      </w:r>
    </w:p>
    <w:p w14:paraId="44FB43F8" w14:textId="77777777" w:rsidR="00D42578" w:rsidRPr="000E2D76" w:rsidRDefault="00D42578" w:rsidP="00D93AE6">
      <w:pPr>
        <w:spacing w:line="240" w:lineRule="auto"/>
        <w:jc w:val="both"/>
        <w:rPr>
          <w:rFonts w:asciiTheme="majorBidi" w:hAnsiTheme="majorBidi" w:cstheme="majorBidi"/>
          <w:b/>
          <w:bCs/>
          <w:sz w:val="28"/>
          <w:szCs w:val="28"/>
        </w:rPr>
      </w:pPr>
    </w:p>
    <w:p w14:paraId="59FBDF37" w14:textId="77777777" w:rsidR="00D93AE6" w:rsidRPr="000E2D76" w:rsidRDefault="00D93AE6" w:rsidP="00D93AE6">
      <w:pPr>
        <w:spacing w:line="240" w:lineRule="auto"/>
        <w:jc w:val="both"/>
        <w:rPr>
          <w:rFonts w:asciiTheme="majorBidi" w:hAnsiTheme="majorBidi" w:cstheme="majorBidi"/>
          <w:b/>
          <w:bCs/>
          <w:sz w:val="28"/>
          <w:szCs w:val="28"/>
          <w:rtl/>
        </w:rPr>
      </w:pPr>
      <w:r w:rsidRPr="000E2D76">
        <w:rPr>
          <w:rFonts w:asciiTheme="majorBidi" w:hAnsiTheme="majorBidi" w:cstheme="majorBidi"/>
          <w:b/>
          <w:bCs/>
          <w:sz w:val="28"/>
          <w:szCs w:val="28"/>
        </w:rPr>
        <w:t xml:space="preserve">Table 5. Viscosity of Sunflower Oil-Based </w:t>
      </w:r>
      <w:proofErr w:type="spellStart"/>
      <w:r w:rsidRPr="000E2D76">
        <w:rPr>
          <w:rFonts w:asciiTheme="majorBidi" w:hAnsiTheme="majorBidi" w:cstheme="majorBidi"/>
          <w:b/>
          <w:bCs/>
          <w:sz w:val="28"/>
          <w:szCs w:val="28"/>
        </w:rPr>
        <w:t>Oleogels</w:t>
      </w:r>
      <w:proofErr w:type="spellEnd"/>
      <w:r w:rsidRPr="000E2D76">
        <w:rPr>
          <w:rFonts w:asciiTheme="majorBidi" w:hAnsiTheme="majorBidi" w:cstheme="majorBidi"/>
          <w:b/>
          <w:bCs/>
          <w:sz w:val="28"/>
          <w:szCs w:val="28"/>
        </w:rPr>
        <w:t xml:space="preserve"> Structured with Beeswax and Sunflower Wax at Different Temperatures</w:t>
      </w:r>
    </w:p>
    <w:tbl>
      <w:tblPr>
        <w:tblStyle w:val="TableGrid"/>
        <w:tblW w:w="0" w:type="auto"/>
        <w:tblLook w:val="04A0" w:firstRow="1" w:lastRow="0" w:firstColumn="1" w:lastColumn="0" w:noHBand="0" w:noVBand="1"/>
      </w:tblPr>
      <w:tblGrid>
        <w:gridCol w:w="1885"/>
        <w:gridCol w:w="1866"/>
        <w:gridCol w:w="1866"/>
        <w:gridCol w:w="1866"/>
        <w:gridCol w:w="1867"/>
      </w:tblGrid>
      <w:tr w:rsidR="00D93AE6" w:rsidRPr="000E2D76" w14:paraId="4B6E69D1" w14:textId="77777777" w:rsidTr="007C4556">
        <w:tc>
          <w:tcPr>
            <w:tcW w:w="1885" w:type="dxa"/>
            <w:vAlign w:val="center"/>
          </w:tcPr>
          <w:p w14:paraId="2EAF241D" w14:textId="77777777"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Sample</w:t>
            </w:r>
          </w:p>
        </w:tc>
        <w:tc>
          <w:tcPr>
            <w:tcW w:w="1866" w:type="dxa"/>
            <w:vAlign w:val="center"/>
          </w:tcPr>
          <w:p w14:paraId="10092BEE" w14:textId="77777777"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Viscosity at 20°C (</w:t>
            </w:r>
            <w:proofErr w:type="spellStart"/>
            <w:r w:rsidRPr="000E2D76">
              <w:rPr>
                <w:rFonts w:ascii="Times New Roman" w:eastAsia="Times New Roman" w:hAnsi="Times New Roman" w:cs="Times New Roman"/>
                <w:b/>
                <w:bCs/>
                <w:sz w:val="28"/>
                <w:szCs w:val="28"/>
              </w:rPr>
              <w:t>Pa·s</w:t>
            </w:r>
            <w:proofErr w:type="spellEnd"/>
            <w:r w:rsidRPr="000E2D76">
              <w:rPr>
                <w:rFonts w:ascii="Times New Roman" w:eastAsia="Times New Roman" w:hAnsi="Times New Roman" w:cs="Times New Roman"/>
                <w:b/>
                <w:bCs/>
                <w:sz w:val="28"/>
                <w:szCs w:val="28"/>
              </w:rPr>
              <w:t>)</w:t>
            </w:r>
          </w:p>
        </w:tc>
        <w:tc>
          <w:tcPr>
            <w:tcW w:w="1866" w:type="dxa"/>
            <w:vAlign w:val="center"/>
          </w:tcPr>
          <w:p w14:paraId="4AE6F033" w14:textId="77777777"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Viscosity at 40°C (</w:t>
            </w:r>
            <w:proofErr w:type="spellStart"/>
            <w:r w:rsidRPr="000E2D76">
              <w:rPr>
                <w:rFonts w:ascii="Times New Roman" w:eastAsia="Times New Roman" w:hAnsi="Times New Roman" w:cs="Times New Roman"/>
                <w:b/>
                <w:bCs/>
                <w:sz w:val="28"/>
                <w:szCs w:val="28"/>
              </w:rPr>
              <w:t>Pa·s</w:t>
            </w:r>
            <w:proofErr w:type="spellEnd"/>
            <w:r w:rsidRPr="000E2D76">
              <w:rPr>
                <w:rFonts w:ascii="Times New Roman" w:eastAsia="Times New Roman" w:hAnsi="Times New Roman" w:cs="Times New Roman"/>
                <w:b/>
                <w:bCs/>
                <w:sz w:val="28"/>
                <w:szCs w:val="28"/>
              </w:rPr>
              <w:t>)</w:t>
            </w:r>
          </w:p>
        </w:tc>
        <w:tc>
          <w:tcPr>
            <w:tcW w:w="1866" w:type="dxa"/>
            <w:vAlign w:val="center"/>
          </w:tcPr>
          <w:p w14:paraId="1899AAD9" w14:textId="77777777"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Viscosity at 60°C (</w:t>
            </w:r>
            <w:proofErr w:type="spellStart"/>
            <w:r w:rsidRPr="000E2D76">
              <w:rPr>
                <w:rFonts w:ascii="Times New Roman" w:eastAsia="Times New Roman" w:hAnsi="Times New Roman" w:cs="Times New Roman"/>
                <w:b/>
                <w:bCs/>
                <w:sz w:val="28"/>
                <w:szCs w:val="28"/>
              </w:rPr>
              <w:t>Pa·s</w:t>
            </w:r>
            <w:proofErr w:type="spellEnd"/>
            <w:r w:rsidRPr="000E2D76">
              <w:rPr>
                <w:rFonts w:ascii="Times New Roman" w:eastAsia="Times New Roman" w:hAnsi="Times New Roman" w:cs="Times New Roman"/>
                <w:b/>
                <w:bCs/>
                <w:sz w:val="28"/>
                <w:szCs w:val="28"/>
              </w:rPr>
              <w:t>)</w:t>
            </w:r>
          </w:p>
        </w:tc>
        <w:tc>
          <w:tcPr>
            <w:tcW w:w="1867" w:type="dxa"/>
            <w:vAlign w:val="center"/>
          </w:tcPr>
          <w:p w14:paraId="5A3C03E6" w14:textId="77777777"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Viscosity at 80°C (</w:t>
            </w:r>
            <w:proofErr w:type="spellStart"/>
            <w:r w:rsidRPr="000E2D76">
              <w:rPr>
                <w:rFonts w:ascii="Times New Roman" w:eastAsia="Times New Roman" w:hAnsi="Times New Roman" w:cs="Times New Roman"/>
                <w:b/>
                <w:bCs/>
                <w:sz w:val="28"/>
                <w:szCs w:val="28"/>
              </w:rPr>
              <w:t>Pa·s</w:t>
            </w:r>
            <w:proofErr w:type="spellEnd"/>
            <w:r w:rsidRPr="000E2D76">
              <w:rPr>
                <w:rFonts w:ascii="Times New Roman" w:eastAsia="Times New Roman" w:hAnsi="Times New Roman" w:cs="Times New Roman"/>
                <w:b/>
                <w:bCs/>
                <w:sz w:val="28"/>
                <w:szCs w:val="28"/>
              </w:rPr>
              <w:t>)</w:t>
            </w:r>
          </w:p>
        </w:tc>
      </w:tr>
      <w:tr w:rsidR="00D93AE6" w:rsidRPr="000E2D76" w14:paraId="19708D0C" w14:textId="77777777" w:rsidTr="007C4556">
        <w:tc>
          <w:tcPr>
            <w:tcW w:w="1885" w:type="dxa"/>
            <w:vAlign w:val="center"/>
          </w:tcPr>
          <w:p w14:paraId="65DE59E7" w14:textId="77777777"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SFOBW6</w:t>
            </w:r>
          </w:p>
        </w:tc>
        <w:tc>
          <w:tcPr>
            <w:tcW w:w="1866" w:type="dxa"/>
            <w:vAlign w:val="center"/>
          </w:tcPr>
          <w:p w14:paraId="1E2BF119"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125.54 ± 3.53</w:t>
            </w:r>
            <w:r w:rsidR="00493514">
              <w:rPr>
                <w:rFonts w:ascii="Times New Roman" w:eastAsia="Times New Roman" w:hAnsi="Times New Roman" w:cs="Times New Roman"/>
                <w:sz w:val="28"/>
                <w:szCs w:val="28"/>
              </w:rPr>
              <w:t>d</w:t>
            </w:r>
          </w:p>
        </w:tc>
        <w:tc>
          <w:tcPr>
            <w:tcW w:w="1866" w:type="dxa"/>
            <w:vAlign w:val="center"/>
          </w:tcPr>
          <w:p w14:paraId="16CD216E"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95.34 ± 2.80</w:t>
            </w:r>
            <w:r w:rsidR="00493514">
              <w:rPr>
                <w:rFonts w:ascii="Times New Roman" w:eastAsia="Times New Roman" w:hAnsi="Times New Roman" w:cs="Times New Roman"/>
                <w:sz w:val="28"/>
                <w:szCs w:val="28"/>
              </w:rPr>
              <w:t>c</w:t>
            </w:r>
          </w:p>
        </w:tc>
        <w:tc>
          <w:tcPr>
            <w:tcW w:w="1866" w:type="dxa"/>
            <w:vAlign w:val="center"/>
          </w:tcPr>
          <w:p w14:paraId="5688282A"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60.47 ± 2.03</w:t>
            </w:r>
            <w:r w:rsidR="00493514">
              <w:rPr>
                <w:rFonts w:ascii="Times New Roman" w:eastAsia="Times New Roman" w:hAnsi="Times New Roman" w:cs="Times New Roman"/>
                <w:sz w:val="28"/>
                <w:szCs w:val="28"/>
              </w:rPr>
              <w:t>e</w:t>
            </w:r>
          </w:p>
        </w:tc>
        <w:tc>
          <w:tcPr>
            <w:tcW w:w="1867" w:type="dxa"/>
            <w:vAlign w:val="center"/>
          </w:tcPr>
          <w:p w14:paraId="4079BDBB"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35.24 ± 1.50</w:t>
            </w:r>
            <w:r w:rsidR="00493514">
              <w:rPr>
                <w:rFonts w:ascii="Times New Roman" w:eastAsia="Times New Roman" w:hAnsi="Times New Roman" w:cs="Times New Roman"/>
                <w:sz w:val="28"/>
                <w:szCs w:val="28"/>
              </w:rPr>
              <w:t>e</w:t>
            </w:r>
          </w:p>
        </w:tc>
      </w:tr>
      <w:tr w:rsidR="00D93AE6" w:rsidRPr="000E2D76" w14:paraId="556E0C62" w14:textId="77777777" w:rsidTr="007C4556">
        <w:tc>
          <w:tcPr>
            <w:tcW w:w="1885" w:type="dxa"/>
            <w:vAlign w:val="center"/>
          </w:tcPr>
          <w:p w14:paraId="0DDFBE3C" w14:textId="77777777"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SFOBW8</w:t>
            </w:r>
          </w:p>
        </w:tc>
        <w:tc>
          <w:tcPr>
            <w:tcW w:w="1866" w:type="dxa"/>
            <w:vAlign w:val="center"/>
          </w:tcPr>
          <w:p w14:paraId="5B91B21A"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135.80 ± 3.82</w:t>
            </w:r>
            <w:r w:rsidR="00493514">
              <w:rPr>
                <w:rFonts w:ascii="Times New Roman" w:eastAsia="Times New Roman" w:hAnsi="Times New Roman" w:cs="Times New Roman"/>
                <w:sz w:val="28"/>
                <w:szCs w:val="28"/>
              </w:rPr>
              <w:t>b</w:t>
            </w:r>
          </w:p>
        </w:tc>
        <w:tc>
          <w:tcPr>
            <w:tcW w:w="1866" w:type="dxa"/>
            <w:vAlign w:val="center"/>
          </w:tcPr>
          <w:p w14:paraId="7F6A7305"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110.43 ± 3.24</w:t>
            </w:r>
            <w:r w:rsidR="00493514">
              <w:rPr>
                <w:rFonts w:ascii="Times New Roman" w:eastAsia="Times New Roman" w:hAnsi="Times New Roman" w:cs="Times New Roman"/>
                <w:sz w:val="28"/>
                <w:szCs w:val="28"/>
              </w:rPr>
              <w:t>b</w:t>
            </w:r>
          </w:p>
        </w:tc>
        <w:tc>
          <w:tcPr>
            <w:tcW w:w="1866" w:type="dxa"/>
            <w:vAlign w:val="center"/>
          </w:tcPr>
          <w:p w14:paraId="31CB9661"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75.54 ± 2.55</w:t>
            </w:r>
            <w:r w:rsidR="00493514">
              <w:rPr>
                <w:rFonts w:ascii="Times New Roman" w:eastAsia="Times New Roman" w:hAnsi="Times New Roman" w:cs="Times New Roman"/>
                <w:sz w:val="28"/>
                <w:szCs w:val="28"/>
              </w:rPr>
              <w:t>c</w:t>
            </w:r>
          </w:p>
        </w:tc>
        <w:tc>
          <w:tcPr>
            <w:tcW w:w="1867" w:type="dxa"/>
            <w:vAlign w:val="center"/>
          </w:tcPr>
          <w:p w14:paraId="6A54E1F9"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50.36 ± 2.06</w:t>
            </w:r>
            <w:r w:rsidR="00493514">
              <w:rPr>
                <w:rFonts w:ascii="Times New Roman" w:eastAsia="Times New Roman" w:hAnsi="Times New Roman" w:cs="Times New Roman"/>
                <w:sz w:val="28"/>
                <w:szCs w:val="28"/>
              </w:rPr>
              <w:t>c</w:t>
            </w:r>
          </w:p>
        </w:tc>
      </w:tr>
      <w:tr w:rsidR="00D93AE6" w:rsidRPr="000E2D76" w14:paraId="071DAADE" w14:textId="77777777" w:rsidTr="007C4556">
        <w:tc>
          <w:tcPr>
            <w:tcW w:w="1885" w:type="dxa"/>
            <w:vAlign w:val="center"/>
          </w:tcPr>
          <w:p w14:paraId="79DE0043" w14:textId="77777777"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SFOBW10</w:t>
            </w:r>
          </w:p>
        </w:tc>
        <w:tc>
          <w:tcPr>
            <w:tcW w:w="1866" w:type="dxa"/>
            <w:vAlign w:val="center"/>
          </w:tcPr>
          <w:p w14:paraId="54BD036C"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150.26 ± 4.06</w:t>
            </w:r>
            <w:r w:rsidR="00493514">
              <w:rPr>
                <w:rFonts w:ascii="Times New Roman" w:eastAsia="Times New Roman" w:hAnsi="Times New Roman" w:cs="Times New Roman"/>
                <w:sz w:val="28"/>
                <w:szCs w:val="28"/>
              </w:rPr>
              <w:t>a</w:t>
            </w:r>
          </w:p>
        </w:tc>
        <w:tc>
          <w:tcPr>
            <w:tcW w:w="1866" w:type="dxa"/>
            <w:vAlign w:val="center"/>
          </w:tcPr>
          <w:p w14:paraId="72393473"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125.36 ± 3.65</w:t>
            </w:r>
            <w:r w:rsidR="00493514">
              <w:rPr>
                <w:rFonts w:ascii="Times New Roman" w:eastAsia="Times New Roman" w:hAnsi="Times New Roman" w:cs="Times New Roman"/>
                <w:sz w:val="28"/>
                <w:szCs w:val="28"/>
              </w:rPr>
              <w:t>a</w:t>
            </w:r>
          </w:p>
        </w:tc>
        <w:tc>
          <w:tcPr>
            <w:tcW w:w="1866" w:type="dxa"/>
            <w:vAlign w:val="center"/>
          </w:tcPr>
          <w:p w14:paraId="179E2766"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90.68 ± 2.87</w:t>
            </w:r>
            <w:r w:rsidR="00493514">
              <w:rPr>
                <w:rFonts w:ascii="Times New Roman" w:eastAsia="Times New Roman" w:hAnsi="Times New Roman" w:cs="Times New Roman"/>
                <w:sz w:val="28"/>
                <w:szCs w:val="28"/>
              </w:rPr>
              <w:t>a</w:t>
            </w:r>
          </w:p>
        </w:tc>
        <w:tc>
          <w:tcPr>
            <w:tcW w:w="1867" w:type="dxa"/>
            <w:vAlign w:val="center"/>
          </w:tcPr>
          <w:p w14:paraId="295A4534"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65.48 ± 2.36</w:t>
            </w:r>
            <w:r w:rsidR="00493514">
              <w:rPr>
                <w:rFonts w:ascii="Times New Roman" w:eastAsia="Times New Roman" w:hAnsi="Times New Roman" w:cs="Times New Roman"/>
                <w:sz w:val="28"/>
                <w:szCs w:val="28"/>
              </w:rPr>
              <w:t>a</w:t>
            </w:r>
          </w:p>
        </w:tc>
      </w:tr>
      <w:tr w:rsidR="00D93AE6" w:rsidRPr="000E2D76" w14:paraId="38C7E11D" w14:textId="77777777" w:rsidTr="007C4556">
        <w:tc>
          <w:tcPr>
            <w:tcW w:w="1885" w:type="dxa"/>
            <w:vAlign w:val="center"/>
          </w:tcPr>
          <w:p w14:paraId="1830CB5C" w14:textId="77777777"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SFOSFW6</w:t>
            </w:r>
          </w:p>
        </w:tc>
        <w:tc>
          <w:tcPr>
            <w:tcW w:w="1866" w:type="dxa"/>
            <w:vAlign w:val="center"/>
          </w:tcPr>
          <w:p w14:paraId="22F6518E"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115.44 ± 3.27</w:t>
            </w:r>
            <w:r w:rsidR="00493514">
              <w:rPr>
                <w:rFonts w:ascii="Times New Roman" w:eastAsia="Times New Roman" w:hAnsi="Times New Roman" w:cs="Times New Roman"/>
                <w:sz w:val="28"/>
                <w:szCs w:val="28"/>
              </w:rPr>
              <w:t>c</w:t>
            </w:r>
          </w:p>
        </w:tc>
        <w:tc>
          <w:tcPr>
            <w:tcW w:w="1866" w:type="dxa"/>
            <w:vAlign w:val="center"/>
          </w:tcPr>
          <w:p w14:paraId="5EA372DA"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90.22 ± 2.77</w:t>
            </w:r>
            <w:r w:rsidR="00493514">
              <w:rPr>
                <w:rFonts w:ascii="Times New Roman" w:eastAsia="Times New Roman" w:hAnsi="Times New Roman" w:cs="Times New Roman"/>
                <w:sz w:val="28"/>
                <w:szCs w:val="28"/>
              </w:rPr>
              <w:t>d</w:t>
            </w:r>
          </w:p>
        </w:tc>
        <w:tc>
          <w:tcPr>
            <w:tcW w:w="1866" w:type="dxa"/>
            <w:vAlign w:val="center"/>
          </w:tcPr>
          <w:p w14:paraId="3F79ECDD"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55.35 ± 1.84</w:t>
            </w:r>
            <w:r w:rsidR="00493514">
              <w:rPr>
                <w:rFonts w:ascii="Times New Roman" w:eastAsia="Times New Roman" w:hAnsi="Times New Roman" w:cs="Times New Roman"/>
                <w:sz w:val="28"/>
                <w:szCs w:val="28"/>
              </w:rPr>
              <w:t>f</w:t>
            </w:r>
          </w:p>
        </w:tc>
        <w:tc>
          <w:tcPr>
            <w:tcW w:w="1867" w:type="dxa"/>
            <w:vAlign w:val="center"/>
          </w:tcPr>
          <w:p w14:paraId="4380A1B1"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30.14 ± 1.43</w:t>
            </w:r>
            <w:r w:rsidR="00493514">
              <w:rPr>
                <w:rFonts w:ascii="Times New Roman" w:eastAsia="Times New Roman" w:hAnsi="Times New Roman" w:cs="Times New Roman"/>
                <w:sz w:val="28"/>
                <w:szCs w:val="28"/>
              </w:rPr>
              <w:t>f</w:t>
            </w:r>
          </w:p>
        </w:tc>
      </w:tr>
      <w:tr w:rsidR="00D93AE6" w:rsidRPr="000E2D76" w14:paraId="184B12D7" w14:textId="77777777" w:rsidTr="007C4556">
        <w:tc>
          <w:tcPr>
            <w:tcW w:w="1885" w:type="dxa"/>
            <w:vAlign w:val="center"/>
          </w:tcPr>
          <w:p w14:paraId="6713D8E5" w14:textId="77777777"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SFOSFW8</w:t>
            </w:r>
          </w:p>
        </w:tc>
        <w:tc>
          <w:tcPr>
            <w:tcW w:w="1866" w:type="dxa"/>
            <w:vAlign w:val="center"/>
          </w:tcPr>
          <w:p w14:paraId="7F74AE57"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130.74 ± 3.68</w:t>
            </w:r>
            <w:r w:rsidR="00493514">
              <w:rPr>
                <w:rFonts w:ascii="Times New Roman" w:eastAsia="Times New Roman" w:hAnsi="Times New Roman" w:cs="Times New Roman"/>
                <w:sz w:val="28"/>
                <w:szCs w:val="28"/>
              </w:rPr>
              <w:t>b</w:t>
            </w:r>
          </w:p>
        </w:tc>
        <w:tc>
          <w:tcPr>
            <w:tcW w:w="1866" w:type="dxa"/>
            <w:vAlign w:val="center"/>
          </w:tcPr>
          <w:p w14:paraId="3A51480D"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105.44 ± 3.14</w:t>
            </w:r>
            <w:r w:rsidR="00493514">
              <w:rPr>
                <w:rFonts w:ascii="Times New Roman" w:eastAsia="Times New Roman" w:hAnsi="Times New Roman" w:cs="Times New Roman"/>
                <w:sz w:val="28"/>
                <w:szCs w:val="28"/>
              </w:rPr>
              <w:t>b</w:t>
            </w:r>
          </w:p>
        </w:tc>
        <w:tc>
          <w:tcPr>
            <w:tcW w:w="1866" w:type="dxa"/>
            <w:vAlign w:val="center"/>
          </w:tcPr>
          <w:p w14:paraId="5B45EBB8"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70.69 ± 2.32</w:t>
            </w:r>
            <w:r w:rsidR="00493514">
              <w:rPr>
                <w:rFonts w:ascii="Times New Roman" w:eastAsia="Times New Roman" w:hAnsi="Times New Roman" w:cs="Times New Roman"/>
                <w:sz w:val="28"/>
                <w:szCs w:val="28"/>
              </w:rPr>
              <w:t>d</w:t>
            </w:r>
          </w:p>
        </w:tc>
        <w:tc>
          <w:tcPr>
            <w:tcW w:w="1867" w:type="dxa"/>
            <w:vAlign w:val="center"/>
          </w:tcPr>
          <w:p w14:paraId="2470D93F"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45.57 ± 1.84</w:t>
            </w:r>
            <w:r w:rsidR="00493514">
              <w:rPr>
                <w:rFonts w:ascii="Times New Roman" w:eastAsia="Times New Roman" w:hAnsi="Times New Roman" w:cs="Times New Roman"/>
                <w:sz w:val="28"/>
                <w:szCs w:val="28"/>
              </w:rPr>
              <w:t>d</w:t>
            </w:r>
          </w:p>
        </w:tc>
      </w:tr>
      <w:tr w:rsidR="00D93AE6" w:rsidRPr="000E2D76" w14:paraId="16A126FF" w14:textId="77777777" w:rsidTr="007C4556">
        <w:tc>
          <w:tcPr>
            <w:tcW w:w="1885" w:type="dxa"/>
            <w:vAlign w:val="center"/>
          </w:tcPr>
          <w:p w14:paraId="131E8A7D" w14:textId="77777777"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SFOSFW10</w:t>
            </w:r>
          </w:p>
        </w:tc>
        <w:tc>
          <w:tcPr>
            <w:tcW w:w="1866" w:type="dxa"/>
            <w:vAlign w:val="center"/>
          </w:tcPr>
          <w:p w14:paraId="15B3A2B9"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145.98 ± 3.99</w:t>
            </w:r>
            <w:r w:rsidR="00493514">
              <w:rPr>
                <w:rFonts w:ascii="Times New Roman" w:eastAsia="Times New Roman" w:hAnsi="Times New Roman" w:cs="Times New Roman"/>
                <w:sz w:val="28"/>
                <w:szCs w:val="28"/>
              </w:rPr>
              <w:t>a</w:t>
            </w:r>
          </w:p>
        </w:tc>
        <w:tc>
          <w:tcPr>
            <w:tcW w:w="1866" w:type="dxa"/>
            <w:vAlign w:val="center"/>
          </w:tcPr>
          <w:p w14:paraId="2776475C"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120.66 ± 3.53</w:t>
            </w:r>
            <w:r w:rsidR="00493514">
              <w:rPr>
                <w:rFonts w:ascii="Times New Roman" w:eastAsia="Times New Roman" w:hAnsi="Times New Roman" w:cs="Times New Roman"/>
                <w:sz w:val="28"/>
                <w:szCs w:val="28"/>
              </w:rPr>
              <w:t>a</w:t>
            </w:r>
          </w:p>
        </w:tc>
        <w:tc>
          <w:tcPr>
            <w:tcW w:w="1866" w:type="dxa"/>
            <w:vAlign w:val="center"/>
          </w:tcPr>
          <w:p w14:paraId="7F9C5814"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85.44 ± 2.68</w:t>
            </w:r>
            <w:r w:rsidR="00493514">
              <w:rPr>
                <w:rFonts w:ascii="Times New Roman" w:eastAsia="Times New Roman" w:hAnsi="Times New Roman" w:cs="Times New Roman"/>
                <w:sz w:val="28"/>
                <w:szCs w:val="28"/>
              </w:rPr>
              <w:t>b</w:t>
            </w:r>
          </w:p>
        </w:tc>
        <w:tc>
          <w:tcPr>
            <w:tcW w:w="1867" w:type="dxa"/>
            <w:vAlign w:val="center"/>
          </w:tcPr>
          <w:p w14:paraId="2BEBF84B"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60.72 ± 2.26</w:t>
            </w:r>
            <w:r w:rsidR="00493514">
              <w:rPr>
                <w:rFonts w:ascii="Times New Roman" w:eastAsia="Times New Roman" w:hAnsi="Times New Roman" w:cs="Times New Roman"/>
                <w:sz w:val="28"/>
                <w:szCs w:val="28"/>
              </w:rPr>
              <w:t>b</w:t>
            </w:r>
          </w:p>
        </w:tc>
      </w:tr>
    </w:tbl>
    <w:p w14:paraId="3F61BEA2" w14:textId="77777777" w:rsidR="007C4556" w:rsidRPr="000E2D76" w:rsidRDefault="007C4556" w:rsidP="007C4556">
      <w:pPr>
        <w:jc w:val="both"/>
        <w:rPr>
          <w:rFonts w:asciiTheme="majorBidi" w:hAnsiTheme="majorBidi" w:cstheme="majorBidi"/>
          <w:sz w:val="28"/>
          <w:szCs w:val="28"/>
        </w:rPr>
      </w:pPr>
      <w:r w:rsidRPr="000E2D76">
        <w:rPr>
          <w:rFonts w:asciiTheme="majorBidi" w:hAnsiTheme="majorBidi" w:cstheme="majorBidi"/>
          <w:sz w:val="28"/>
          <w:szCs w:val="28"/>
        </w:rPr>
        <w:t xml:space="preserve">Values are means ± SD; means having the different case letter(s) within a column are significantly different at P≤0.05. SFOBW6=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w:t>
      </w:r>
      <w:r w:rsidRPr="000E2D76">
        <w:rPr>
          <w:rFonts w:asciiTheme="majorBidi" w:hAnsiTheme="majorBidi" w:cstheme="majorBidi"/>
          <w:sz w:val="28"/>
          <w:szCs w:val="28"/>
        </w:rPr>
        <w:lastRenderedPageBreak/>
        <w:t xml:space="preserve">SFOBW8=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SFOBW10=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 SFOSFW6=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SFOSFW8=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SFOSFW10=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w:t>
      </w:r>
    </w:p>
    <w:p w14:paraId="3AF87A7A" w14:textId="77777777" w:rsidR="00D93AE6" w:rsidRPr="000E2D76" w:rsidRDefault="00D93AE6" w:rsidP="007C4556">
      <w:pPr>
        <w:spacing w:line="240" w:lineRule="auto"/>
        <w:jc w:val="both"/>
        <w:rPr>
          <w:rFonts w:asciiTheme="majorBidi" w:hAnsiTheme="majorBidi" w:cstheme="majorBidi"/>
          <w:b/>
          <w:bCs/>
          <w:sz w:val="28"/>
          <w:szCs w:val="28"/>
        </w:rPr>
      </w:pPr>
      <w:r w:rsidRPr="000E2D76">
        <w:rPr>
          <w:rFonts w:asciiTheme="majorBidi" w:hAnsiTheme="majorBidi" w:cstheme="majorBidi"/>
          <w:b/>
          <w:bCs/>
          <w:sz w:val="28"/>
          <w:szCs w:val="28"/>
        </w:rPr>
        <w:t xml:space="preserve">Table 6. Thermal Properties of Sunflower Oil-Based </w:t>
      </w:r>
      <w:proofErr w:type="spellStart"/>
      <w:r w:rsidRPr="000E2D76">
        <w:rPr>
          <w:rFonts w:asciiTheme="majorBidi" w:hAnsiTheme="majorBidi" w:cstheme="majorBidi"/>
          <w:b/>
          <w:bCs/>
          <w:sz w:val="28"/>
          <w:szCs w:val="28"/>
        </w:rPr>
        <w:t>Oleogels</w:t>
      </w:r>
      <w:proofErr w:type="spellEnd"/>
      <w:r w:rsidRPr="000E2D76">
        <w:rPr>
          <w:rFonts w:asciiTheme="majorBidi" w:hAnsiTheme="majorBidi" w:cstheme="majorBidi"/>
          <w:b/>
          <w:bCs/>
          <w:sz w:val="28"/>
          <w:szCs w:val="28"/>
        </w:rPr>
        <w:t xml:space="preserve"> Structured with Beeswax and Sunflower Wax </w:t>
      </w:r>
    </w:p>
    <w:tbl>
      <w:tblPr>
        <w:tblStyle w:val="TableGrid"/>
        <w:tblW w:w="0" w:type="auto"/>
        <w:tblLook w:val="04A0" w:firstRow="1" w:lastRow="0" w:firstColumn="1" w:lastColumn="0" w:noHBand="0" w:noVBand="1"/>
      </w:tblPr>
      <w:tblGrid>
        <w:gridCol w:w="1891"/>
        <w:gridCol w:w="1859"/>
        <w:gridCol w:w="1859"/>
        <w:gridCol w:w="1864"/>
        <w:gridCol w:w="1877"/>
      </w:tblGrid>
      <w:tr w:rsidR="00D93AE6" w:rsidRPr="000E2D76" w14:paraId="7C269543" w14:textId="77777777" w:rsidTr="007C4556">
        <w:tc>
          <w:tcPr>
            <w:tcW w:w="1891" w:type="dxa"/>
            <w:vAlign w:val="center"/>
          </w:tcPr>
          <w:p w14:paraId="697F70B6" w14:textId="77777777"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Sample</w:t>
            </w:r>
          </w:p>
        </w:tc>
        <w:tc>
          <w:tcPr>
            <w:tcW w:w="1859" w:type="dxa"/>
            <w:vAlign w:val="center"/>
          </w:tcPr>
          <w:p w14:paraId="5913E084" w14:textId="77777777"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Onset Temp (°C)</w:t>
            </w:r>
          </w:p>
        </w:tc>
        <w:tc>
          <w:tcPr>
            <w:tcW w:w="1859" w:type="dxa"/>
            <w:vAlign w:val="center"/>
          </w:tcPr>
          <w:p w14:paraId="6A98FF18" w14:textId="77777777"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Peak Temp (°C)</w:t>
            </w:r>
          </w:p>
        </w:tc>
        <w:tc>
          <w:tcPr>
            <w:tcW w:w="1864" w:type="dxa"/>
            <w:vAlign w:val="center"/>
          </w:tcPr>
          <w:p w14:paraId="0A7F1F14" w14:textId="77777777" w:rsidR="00D93AE6" w:rsidRPr="000E2D76" w:rsidRDefault="00D93AE6" w:rsidP="0078445E">
            <w:pPr>
              <w:jc w:val="center"/>
              <w:rPr>
                <w:rFonts w:ascii="Times New Roman" w:eastAsia="Times New Roman" w:hAnsi="Times New Roman" w:cs="Times New Roman"/>
                <w:b/>
                <w:bCs/>
                <w:sz w:val="28"/>
                <w:szCs w:val="28"/>
              </w:rPr>
            </w:pPr>
            <w:proofErr w:type="spellStart"/>
            <w:r w:rsidRPr="000E2D76">
              <w:rPr>
                <w:rFonts w:ascii="Times New Roman" w:eastAsia="Times New Roman" w:hAnsi="Times New Roman" w:cs="Times New Roman"/>
                <w:b/>
                <w:bCs/>
                <w:sz w:val="28"/>
                <w:szCs w:val="28"/>
              </w:rPr>
              <w:t>Endset</w:t>
            </w:r>
            <w:proofErr w:type="spellEnd"/>
            <w:r w:rsidRPr="000E2D76">
              <w:rPr>
                <w:rFonts w:ascii="Times New Roman" w:eastAsia="Times New Roman" w:hAnsi="Times New Roman" w:cs="Times New Roman"/>
                <w:b/>
                <w:bCs/>
                <w:sz w:val="28"/>
                <w:szCs w:val="28"/>
              </w:rPr>
              <w:t xml:space="preserve"> Temp (°C)</w:t>
            </w:r>
          </w:p>
        </w:tc>
        <w:tc>
          <w:tcPr>
            <w:tcW w:w="1877" w:type="dxa"/>
            <w:vAlign w:val="center"/>
          </w:tcPr>
          <w:p w14:paraId="49D7F032" w14:textId="77777777" w:rsidR="00D93AE6" w:rsidRPr="000E2D76" w:rsidRDefault="00D93AE6" w:rsidP="0078445E">
            <w:pPr>
              <w:jc w:val="center"/>
              <w:rPr>
                <w:rFonts w:ascii="Times New Roman" w:eastAsia="Times New Roman" w:hAnsi="Times New Roman" w:cs="Times New Roman"/>
                <w:b/>
                <w:bCs/>
                <w:sz w:val="28"/>
                <w:szCs w:val="28"/>
              </w:rPr>
            </w:pPr>
            <w:r w:rsidRPr="000E2D76">
              <w:rPr>
                <w:rFonts w:ascii="Times New Roman" w:eastAsia="Times New Roman" w:hAnsi="Times New Roman" w:cs="Times New Roman"/>
                <w:b/>
                <w:bCs/>
                <w:sz w:val="28"/>
                <w:szCs w:val="28"/>
              </w:rPr>
              <w:t>Enthalpy Change (J/g)</w:t>
            </w:r>
          </w:p>
        </w:tc>
      </w:tr>
      <w:tr w:rsidR="00D93AE6" w:rsidRPr="000E2D76" w14:paraId="20288D26" w14:textId="77777777" w:rsidTr="007C4556">
        <w:tc>
          <w:tcPr>
            <w:tcW w:w="1891" w:type="dxa"/>
            <w:vAlign w:val="center"/>
          </w:tcPr>
          <w:p w14:paraId="6F392924" w14:textId="77777777"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SFOBW6</w:t>
            </w:r>
          </w:p>
        </w:tc>
        <w:tc>
          <w:tcPr>
            <w:tcW w:w="1859" w:type="dxa"/>
            <w:vAlign w:val="center"/>
          </w:tcPr>
          <w:p w14:paraId="7EEC4961"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48.23 ± 0.55</w:t>
            </w:r>
            <w:r w:rsidR="00363635">
              <w:rPr>
                <w:rFonts w:ascii="Times New Roman" w:eastAsia="Times New Roman" w:hAnsi="Times New Roman" w:cs="Times New Roman"/>
                <w:sz w:val="28"/>
                <w:szCs w:val="28"/>
              </w:rPr>
              <w:t>a</w:t>
            </w:r>
          </w:p>
        </w:tc>
        <w:tc>
          <w:tcPr>
            <w:tcW w:w="1859" w:type="dxa"/>
            <w:vAlign w:val="center"/>
          </w:tcPr>
          <w:p w14:paraId="49C7FF74"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52.50 ± 0.43</w:t>
            </w:r>
            <w:r w:rsidR="00363635">
              <w:rPr>
                <w:rFonts w:ascii="Times New Roman" w:eastAsia="Times New Roman" w:hAnsi="Times New Roman" w:cs="Times New Roman"/>
                <w:sz w:val="28"/>
                <w:szCs w:val="28"/>
              </w:rPr>
              <w:t>b</w:t>
            </w:r>
          </w:p>
        </w:tc>
        <w:tc>
          <w:tcPr>
            <w:tcW w:w="1864" w:type="dxa"/>
            <w:vAlign w:val="center"/>
          </w:tcPr>
          <w:p w14:paraId="189FF0AA"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57.86 ± 0.60</w:t>
            </w:r>
            <w:r w:rsidR="00363635">
              <w:rPr>
                <w:rFonts w:ascii="Times New Roman" w:eastAsia="Times New Roman" w:hAnsi="Times New Roman" w:cs="Times New Roman"/>
                <w:sz w:val="28"/>
                <w:szCs w:val="28"/>
              </w:rPr>
              <w:t>c</w:t>
            </w:r>
          </w:p>
        </w:tc>
        <w:tc>
          <w:tcPr>
            <w:tcW w:w="1877" w:type="dxa"/>
            <w:vAlign w:val="center"/>
          </w:tcPr>
          <w:p w14:paraId="4AE07656"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10.45 ± 0.38</w:t>
            </w:r>
            <w:r w:rsidR="00363635">
              <w:rPr>
                <w:rFonts w:ascii="Times New Roman" w:eastAsia="Times New Roman" w:hAnsi="Times New Roman" w:cs="Times New Roman"/>
                <w:sz w:val="28"/>
                <w:szCs w:val="28"/>
              </w:rPr>
              <w:t>e</w:t>
            </w:r>
          </w:p>
        </w:tc>
      </w:tr>
      <w:tr w:rsidR="00D93AE6" w:rsidRPr="000E2D76" w14:paraId="2EA0A092" w14:textId="77777777" w:rsidTr="007C4556">
        <w:tc>
          <w:tcPr>
            <w:tcW w:w="1891" w:type="dxa"/>
            <w:vAlign w:val="center"/>
          </w:tcPr>
          <w:p w14:paraId="4EBB9E5B" w14:textId="77777777"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SFOBW8</w:t>
            </w:r>
          </w:p>
        </w:tc>
        <w:tc>
          <w:tcPr>
            <w:tcW w:w="1859" w:type="dxa"/>
            <w:vAlign w:val="center"/>
          </w:tcPr>
          <w:p w14:paraId="0EB6E1B4"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49.32 ± 0.45</w:t>
            </w:r>
            <w:r w:rsidR="00363635">
              <w:rPr>
                <w:rFonts w:ascii="Times New Roman" w:eastAsia="Times New Roman" w:hAnsi="Times New Roman" w:cs="Times New Roman"/>
                <w:sz w:val="28"/>
                <w:szCs w:val="28"/>
              </w:rPr>
              <w:t>a</w:t>
            </w:r>
          </w:p>
        </w:tc>
        <w:tc>
          <w:tcPr>
            <w:tcW w:w="1859" w:type="dxa"/>
            <w:vAlign w:val="center"/>
          </w:tcPr>
          <w:p w14:paraId="18FD654C"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53.78 ± 0.35</w:t>
            </w:r>
            <w:r w:rsidR="00363635">
              <w:rPr>
                <w:rFonts w:ascii="Times New Roman" w:eastAsia="Times New Roman" w:hAnsi="Times New Roman" w:cs="Times New Roman"/>
                <w:sz w:val="28"/>
                <w:szCs w:val="28"/>
              </w:rPr>
              <w:t>a</w:t>
            </w:r>
          </w:p>
        </w:tc>
        <w:tc>
          <w:tcPr>
            <w:tcW w:w="1864" w:type="dxa"/>
            <w:vAlign w:val="center"/>
          </w:tcPr>
          <w:p w14:paraId="4C23E335"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58.94 ± 0.54</w:t>
            </w:r>
            <w:r w:rsidR="00363635">
              <w:rPr>
                <w:rFonts w:ascii="Times New Roman" w:eastAsia="Times New Roman" w:hAnsi="Times New Roman" w:cs="Times New Roman"/>
                <w:sz w:val="28"/>
                <w:szCs w:val="28"/>
              </w:rPr>
              <w:t>b</w:t>
            </w:r>
          </w:p>
        </w:tc>
        <w:tc>
          <w:tcPr>
            <w:tcW w:w="1877" w:type="dxa"/>
            <w:vAlign w:val="center"/>
          </w:tcPr>
          <w:p w14:paraId="17D056DA"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12.66 ± 0.40</w:t>
            </w:r>
            <w:r w:rsidR="00363635">
              <w:rPr>
                <w:rFonts w:ascii="Times New Roman" w:eastAsia="Times New Roman" w:hAnsi="Times New Roman" w:cs="Times New Roman"/>
                <w:sz w:val="28"/>
                <w:szCs w:val="28"/>
              </w:rPr>
              <w:t>c</w:t>
            </w:r>
          </w:p>
        </w:tc>
      </w:tr>
      <w:tr w:rsidR="00D93AE6" w:rsidRPr="000E2D76" w14:paraId="2E611D13" w14:textId="77777777" w:rsidTr="007C4556">
        <w:tc>
          <w:tcPr>
            <w:tcW w:w="1891" w:type="dxa"/>
            <w:vAlign w:val="center"/>
          </w:tcPr>
          <w:p w14:paraId="633CBD6E" w14:textId="77777777"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SFOBW10</w:t>
            </w:r>
          </w:p>
        </w:tc>
        <w:tc>
          <w:tcPr>
            <w:tcW w:w="1859" w:type="dxa"/>
            <w:vAlign w:val="center"/>
          </w:tcPr>
          <w:p w14:paraId="2C3C0E3D"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50.14 ± 0.34</w:t>
            </w:r>
            <w:r w:rsidR="00363635">
              <w:rPr>
                <w:rFonts w:ascii="Times New Roman" w:eastAsia="Times New Roman" w:hAnsi="Times New Roman" w:cs="Times New Roman"/>
                <w:sz w:val="28"/>
                <w:szCs w:val="28"/>
              </w:rPr>
              <w:t>c</w:t>
            </w:r>
          </w:p>
        </w:tc>
        <w:tc>
          <w:tcPr>
            <w:tcW w:w="1859" w:type="dxa"/>
            <w:vAlign w:val="center"/>
          </w:tcPr>
          <w:p w14:paraId="16FAF582"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54.57 ± 0.35</w:t>
            </w:r>
            <w:r w:rsidR="00363635">
              <w:rPr>
                <w:rFonts w:ascii="Times New Roman" w:eastAsia="Times New Roman" w:hAnsi="Times New Roman" w:cs="Times New Roman"/>
                <w:sz w:val="28"/>
                <w:szCs w:val="28"/>
              </w:rPr>
              <w:t>a</w:t>
            </w:r>
          </w:p>
        </w:tc>
        <w:tc>
          <w:tcPr>
            <w:tcW w:w="1864" w:type="dxa"/>
            <w:vAlign w:val="center"/>
          </w:tcPr>
          <w:p w14:paraId="34A92A4F"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60.25 ± 0.46</w:t>
            </w:r>
            <w:r w:rsidR="00363635">
              <w:rPr>
                <w:rFonts w:ascii="Times New Roman" w:eastAsia="Times New Roman" w:hAnsi="Times New Roman" w:cs="Times New Roman"/>
                <w:sz w:val="28"/>
                <w:szCs w:val="28"/>
              </w:rPr>
              <w:t>a</w:t>
            </w:r>
          </w:p>
        </w:tc>
        <w:tc>
          <w:tcPr>
            <w:tcW w:w="1877" w:type="dxa"/>
            <w:vAlign w:val="center"/>
          </w:tcPr>
          <w:p w14:paraId="58C8E75F"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14.87 ± 0.57</w:t>
            </w:r>
            <w:r w:rsidR="00363635">
              <w:rPr>
                <w:rFonts w:ascii="Times New Roman" w:eastAsia="Times New Roman" w:hAnsi="Times New Roman" w:cs="Times New Roman"/>
                <w:sz w:val="28"/>
                <w:szCs w:val="28"/>
              </w:rPr>
              <w:t>a</w:t>
            </w:r>
          </w:p>
        </w:tc>
      </w:tr>
      <w:tr w:rsidR="00D93AE6" w:rsidRPr="000E2D76" w14:paraId="5425032F" w14:textId="77777777" w:rsidTr="007C4556">
        <w:tc>
          <w:tcPr>
            <w:tcW w:w="1891" w:type="dxa"/>
            <w:vAlign w:val="center"/>
          </w:tcPr>
          <w:p w14:paraId="5EA53B84" w14:textId="77777777"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SFOSFW6</w:t>
            </w:r>
          </w:p>
        </w:tc>
        <w:tc>
          <w:tcPr>
            <w:tcW w:w="1859" w:type="dxa"/>
            <w:vAlign w:val="center"/>
          </w:tcPr>
          <w:p w14:paraId="03E91A16"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47.85 ± 0.43</w:t>
            </w:r>
            <w:r w:rsidR="00363635">
              <w:rPr>
                <w:rFonts w:ascii="Times New Roman" w:eastAsia="Times New Roman" w:hAnsi="Times New Roman" w:cs="Times New Roman"/>
                <w:sz w:val="28"/>
                <w:szCs w:val="28"/>
              </w:rPr>
              <w:t>b</w:t>
            </w:r>
          </w:p>
        </w:tc>
        <w:tc>
          <w:tcPr>
            <w:tcW w:w="1859" w:type="dxa"/>
            <w:vAlign w:val="center"/>
          </w:tcPr>
          <w:p w14:paraId="209A7D62"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51.86 ± 0.46</w:t>
            </w:r>
            <w:r w:rsidR="00363635">
              <w:rPr>
                <w:rFonts w:ascii="Times New Roman" w:eastAsia="Times New Roman" w:hAnsi="Times New Roman" w:cs="Times New Roman"/>
                <w:sz w:val="28"/>
                <w:szCs w:val="28"/>
              </w:rPr>
              <w:t>c</w:t>
            </w:r>
          </w:p>
        </w:tc>
        <w:tc>
          <w:tcPr>
            <w:tcW w:w="1864" w:type="dxa"/>
            <w:vAlign w:val="center"/>
          </w:tcPr>
          <w:p w14:paraId="61C8E5B3"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56.53 ± 0.57</w:t>
            </w:r>
            <w:r w:rsidR="00363635">
              <w:rPr>
                <w:rFonts w:ascii="Times New Roman" w:eastAsia="Times New Roman" w:hAnsi="Times New Roman" w:cs="Times New Roman"/>
                <w:sz w:val="28"/>
                <w:szCs w:val="28"/>
              </w:rPr>
              <w:t>d</w:t>
            </w:r>
          </w:p>
        </w:tc>
        <w:tc>
          <w:tcPr>
            <w:tcW w:w="1877" w:type="dxa"/>
            <w:vAlign w:val="center"/>
          </w:tcPr>
          <w:p w14:paraId="732100B5"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9.88 ± 0.36</w:t>
            </w:r>
            <w:r w:rsidR="00363635">
              <w:rPr>
                <w:rFonts w:ascii="Times New Roman" w:eastAsia="Times New Roman" w:hAnsi="Times New Roman" w:cs="Times New Roman"/>
                <w:sz w:val="28"/>
                <w:szCs w:val="28"/>
              </w:rPr>
              <w:t>e</w:t>
            </w:r>
          </w:p>
        </w:tc>
      </w:tr>
      <w:tr w:rsidR="00D93AE6" w:rsidRPr="000E2D76" w14:paraId="0CF93EC5" w14:textId="77777777" w:rsidTr="007C4556">
        <w:tc>
          <w:tcPr>
            <w:tcW w:w="1891" w:type="dxa"/>
            <w:vAlign w:val="center"/>
          </w:tcPr>
          <w:p w14:paraId="2AF7FD6A" w14:textId="77777777"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SFOSFW8</w:t>
            </w:r>
          </w:p>
        </w:tc>
        <w:tc>
          <w:tcPr>
            <w:tcW w:w="1859" w:type="dxa"/>
            <w:vAlign w:val="center"/>
          </w:tcPr>
          <w:p w14:paraId="06C18F19"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48.96 ± 0.44</w:t>
            </w:r>
            <w:r w:rsidR="00363635">
              <w:rPr>
                <w:rFonts w:ascii="Times New Roman" w:eastAsia="Times New Roman" w:hAnsi="Times New Roman" w:cs="Times New Roman"/>
                <w:sz w:val="28"/>
                <w:szCs w:val="28"/>
              </w:rPr>
              <w:t>a</w:t>
            </w:r>
          </w:p>
        </w:tc>
        <w:tc>
          <w:tcPr>
            <w:tcW w:w="1859" w:type="dxa"/>
            <w:vAlign w:val="center"/>
          </w:tcPr>
          <w:p w14:paraId="4A9B5F6A"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52.95 ± 0.37</w:t>
            </w:r>
            <w:r w:rsidR="00363635">
              <w:rPr>
                <w:rFonts w:ascii="Times New Roman" w:eastAsia="Times New Roman" w:hAnsi="Times New Roman" w:cs="Times New Roman"/>
                <w:sz w:val="28"/>
                <w:szCs w:val="28"/>
              </w:rPr>
              <w:t>b</w:t>
            </w:r>
          </w:p>
        </w:tc>
        <w:tc>
          <w:tcPr>
            <w:tcW w:w="1864" w:type="dxa"/>
            <w:vAlign w:val="center"/>
          </w:tcPr>
          <w:p w14:paraId="45A83B3A"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57.72 ± 0.45</w:t>
            </w:r>
            <w:r w:rsidR="00363635">
              <w:rPr>
                <w:rFonts w:ascii="Times New Roman" w:eastAsia="Times New Roman" w:hAnsi="Times New Roman" w:cs="Times New Roman"/>
                <w:sz w:val="28"/>
                <w:szCs w:val="28"/>
              </w:rPr>
              <w:t>c</w:t>
            </w:r>
          </w:p>
        </w:tc>
        <w:tc>
          <w:tcPr>
            <w:tcW w:w="1877" w:type="dxa"/>
            <w:vAlign w:val="center"/>
          </w:tcPr>
          <w:p w14:paraId="61F4F21D"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11.56 ± 0.37</w:t>
            </w:r>
            <w:r w:rsidR="00363635">
              <w:rPr>
                <w:rFonts w:ascii="Times New Roman" w:eastAsia="Times New Roman" w:hAnsi="Times New Roman" w:cs="Times New Roman"/>
                <w:sz w:val="28"/>
                <w:szCs w:val="28"/>
              </w:rPr>
              <w:t>d</w:t>
            </w:r>
          </w:p>
        </w:tc>
      </w:tr>
      <w:tr w:rsidR="00D93AE6" w:rsidRPr="000E2D76" w14:paraId="43496B85" w14:textId="77777777" w:rsidTr="007C4556">
        <w:tc>
          <w:tcPr>
            <w:tcW w:w="1891" w:type="dxa"/>
            <w:vAlign w:val="center"/>
          </w:tcPr>
          <w:p w14:paraId="50E9C530" w14:textId="77777777" w:rsidR="00D93AE6" w:rsidRPr="000E2D76" w:rsidRDefault="00D93AE6" w:rsidP="0078445E">
            <w:pPr>
              <w:rPr>
                <w:rFonts w:ascii="Times New Roman" w:eastAsia="Times New Roman" w:hAnsi="Times New Roman" w:cs="Times New Roman"/>
                <w:sz w:val="28"/>
                <w:szCs w:val="28"/>
              </w:rPr>
            </w:pPr>
            <w:r w:rsidRPr="000E2D76">
              <w:rPr>
                <w:rFonts w:cstheme="minorHAnsi"/>
                <w:sz w:val="28"/>
                <w:szCs w:val="28"/>
              </w:rPr>
              <w:t>SFOSFW10</w:t>
            </w:r>
          </w:p>
        </w:tc>
        <w:tc>
          <w:tcPr>
            <w:tcW w:w="1859" w:type="dxa"/>
            <w:vAlign w:val="center"/>
          </w:tcPr>
          <w:p w14:paraId="333E9010"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49.87 ± 0.35</w:t>
            </w:r>
            <w:r w:rsidR="00363635">
              <w:rPr>
                <w:rFonts w:ascii="Times New Roman" w:eastAsia="Times New Roman" w:hAnsi="Times New Roman" w:cs="Times New Roman"/>
                <w:sz w:val="28"/>
                <w:szCs w:val="28"/>
              </w:rPr>
              <w:t>a</w:t>
            </w:r>
          </w:p>
        </w:tc>
        <w:tc>
          <w:tcPr>
            <w:tcW w:w="1859" w:type="dxa"/>
            <w:vAlign w:val="center"/>
          </w:tcPr>
          <w:p w14:paraId="0229968D"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53.84 ± 0.30</w:t>
            </w:r>
            <w:r w:rsidR="00363635">
              <w:rPr>
                <w:rFonts w:ascii="Times New Roman" w:eastAsia="Times New Roman" w:hAnsi="Times New Roman" w:cs="Times New Roman"/>
                <w:sz w:val="28"/>
                <w:szCs w:val="28"/>
              </w:rPr>
              <w:t>a</w:t>
            </w:r>
          </w:p>
        </w:tc>
        <w:tc>
          <w:tcPr>
            <w:tcW w:w="1864" w:type="dxa"/>
            <w:vAlign w:val="center"/>
          </w:tcPr>
          <w:p w14:paraId="10813F72"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58.85 ± 0.46</w:t>
            </w:r>
            <w:r w:rsidR="00363635">
              <w:rPr>
                <w:rFonts w:ascii="Times New Roman" w:eastAsia="Times New Roman" w:hAnsi="Times New Roman" w:cs="Times New Roman"/>
                <w:sz w:val="28"/>
                <w:szCs w:val="28"/>
              </w:rPr>
              <w:t>b</w:t>
            </w:r>
          </w:p>
        </w:tc>
        <w:tc>
          <w:tcPr>
            <w:tcW w:w="1877" w:type="dxa"/>
            <w:vAlign w:val="center"/>
          </w:tcPr>
          <w:p w14:paraId="496BAFF0" w14:textId="77777777" w:rsidR="00D93AE6" w:rsidRPr="000E2D76" w:rsidRDefault="00D93AE6" w:rsidP="0078445E">
            <w:pPr>
              <w:rPr>
                <w:rFonts w:ascii="Times New Roman" w:eastAsia="Times New Roman" w:hAnsi="Times New Roman" w:cs="Times New Roman"/>
                <w:sz w:val="28"/>
                <w:szCs w:val="28"/>
              </w:rPr>
            </w:pPr>
            <w:r w:rsidRPr="000E2D76">
              <w:rPr>
                <w:rFonts w:ascii="Times New Roman" w:eastAsia="Times New Roman" w:hAnsi="Times New Roman" w:cs="Times New Roman"/>
                <w:sz w:val="28"/>
                <w:szCs w:val="28"/>
              </w:rPr>
              <w:t>13.25 ± 0.45</w:t>
            </w:r>
            <w:r w:rsidR="00363635">
              <w:rPr>
                <w:rFonts w:ascii="Times New Roman" w:eastAsia="Times New Roman" w:hAnsi="Times New Roman" w:cs="Times New Roman"/>
                <w:sz w:val="28"/>
                <w:szCs w:val="28"/>
              </w:rPr>
              <w:t>b</w:t>
            </w:r>
          </w:p>
        </w:tc>
      </w:tr>
    </w:tbl>
    <w:p w14:paraId="72AEA548" w14:textId="77777777" w:rsidR="007C4556" w:rsidRPr="000E2D76" w:rsidRDefault="007C4556" w:rsidP="007C4556">
      <w:pPr>
        <w:jc w:val="both"/>
        <w:rPr>
          <w:rFonts w:asciiTheme="majorBidi" w:hAnsiTheme="majorBidi" w:cstheme="majorBidi"/>
          <w:sz w:val="28"/>
          <w:szCs w:val="28"/>
        </w:rPr>
      </w:pPr>
      <w:r w:rsidRPr="000E2D76">
        <w:rPr>
          <w:rFonts w:asciiTheme="majorBidi" w:hAnsiTheme="majorBidi" w:cstheme="majorBidi"/>
          <w:sz w:val="28"/>
          <w:szCs w:val="28"/>
        </w:rPr>
        <w:t xml:space="preserve">Values are means ± SD; means having the different case letter(s) within a column are significantly different at P≤0.05. SFOBW6=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SFOBW8=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SFOBW10=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 SFOSFW6=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6%, SFOSFW8=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SFOSFW10=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w:t>
      </w:r>
    </w:p>
    <w:p w14:paraId="31079E70" w14:textId="77777777" w:rsidR="00D93AE6" w:rsidRPr="000E2D76" w:rsidRDefault="00D93AE6" w:rsidP="00D93AE6">
      <w:pPr>
        <w:spacing w:after="0" w:line="240" w:lineRule="auto"/>
        <w:rPr>
          <w:rFonts w:ascii="Times New Roman" w:eastAsia="Times New Roman" w:hAnsi="Times New Roman" w:cs="Times New Roman"/>
          <w:vanish/>
          <w:sz w:val="28"/>
          <w:szCs w:val="28"/>
          <w:rtl/>
        </w:rPr>
      </w:pPr>
    </w:p>
    <w:p w14:paraId="0C55FC18" w14:textId="77777777" w:rsidR="00D93AE6" w:rsidRPr="000E2D76" w:rsidRDefault="00D93AE6" w:rsidP="008A7244">
      <w:pPr>
        <w:jc w:val="both"/>
        <w:rPr>
          <w:color w:val="000000" w:themeColor="text1"/>
          <w:sz w:val="28"/>
          <w:szCs w:val="28"/>
          <w:lang w:bidi="ar-EG"/>
        </w:rPr>
      </w:pPr>
    </w:p>
    <w:p w14:paraId="59B4CA2F" w14:textId="77777777" w:rsidR="00D93AE6" w:rsidRPr="000E2D76" w:rsidRDefault="00D93AE6" w:rsidP="008A7244">
      <w:pPr>
        <w:jc w:val="both"/>
        <w:rPr>
          <w:color w:val="000000" w:themeColor="text1"/>
          <w:sz w:val="28"/>
          <w:szCs w:val="28"/>
          <w:lang w:bidi="ar-EG"/>
        </w:rPr>
      </w:pPr>
    </w:p>
    <w:p w14:paraId="07BD4006" w14:textId="77777777" w:rsidR="00D93AE6" w:rsidRPr="000E2D76" w:rsidRDefault="00D93AE6" w:rsidP="008A7244">
      <w:pPr>
        <w:jc w:val="both"/>
        <w:rPr>
          <w:color w:val="000000" w:themeColor="text1"/>
          <w:sz w:val="28"/>
          <w:szCs w:val="28"/>
          <w:lang w:bidi="ar-EG"/>
        </w:rPr>
      </w:pPr>
    </w:p>
    <w:p w14:paraId="024DDC95" w14:textId="77777777" w:rsidR="00D93AE6" w:rsidRPr="000E2D76" w:rsidRDefault="00D93AE6" w:rsidP="008A7244">
      <w:pPr>
        <w:jc w:val="both"/>
        <w:rPr>
          <w:color w:val="000000" w:themeColor="text1"/>
          <w:sz w:val="28"/>
          <w:szCs w:val="28"/>
          <w:lang w:bidi="ar-EG"/>
        </w:rPr>
      </w:pPr>
    </w:p>
    <w:p w14:paraId="0013EEAA" w14:textId="77777777" w:rsidR="00D93AE6" w:rsidRPr="000E2D76" w:rsidRDefault="00D93AE6" w:rsidP="008A7244">
      <w:pPr>
        <w:jc w:val="both"/>
        <w:rPr>
          <w:color w:val="000000" w:themeColor="text1"/>
          <w:sz w:val="28"/>
          <w:szCs w:val="28"/>
          <w:lang w:bidi="ar-EG"/>
        </w:rPr>
      </w:pPr>
    </w:p>
    <w:p w14:paraId="17B79B85" w14:textId="77777777" w:rsidR="00D93AE6" w:rsidRPr="000E2D76" w:rsidRDefault="00D93AE6" w:rsidP="008A7244">
      <w:pPr>
        <w:jc w:val="both"/>
        <w:rPr>
          <w:color w:val="000000" w:themeColor="text1"/>
          <w:sz w:val="28"/>
          <w:szCs w:val="28"/>
          <w:lang w:bidi="ar-EG"/>
        </w:rPr>
      </w:pPr>
    </w:p>
    <w:p w14:paraId="79D60AC9" w14:textId="77777777" w:rsidR="00D93AE6" w:rsidRPr="000E2D76" w:rsidRDefault="00D93AE6" w:rsidP="008A7244">
      <w:pPr>
        <w:jc w:val="both"/>
        <w:rPr>
          <w:color w:val="000000" w:themeColor="text1"/>
          <w:sz w:val="28"/>
          <w:szCs w:val="28"/>
          <w:lang w:bidi="ar-EG"/>
        </w:rPr>
      </w:pPr>
    </w:p>
    <w:p w14:paraId="2368A936" w14:textId="77777777" w:rsidR="00D93AE6" w:rsidRPr="00363635" w:rsidRDefault="00363635" w:rsidP="008A7244">
      <w:pPr>
        <w:jc w:val="both"/>
        <w:rPr>
          <w:rFonts w:asciiTheme="majorBidi" w:hAnsiTheme="majorBidi" w:cstheme="majorBidi"/>
          <w:b/>
          <w:bCs/>
          <w:color w:val="000000" w:themeColor="text1"/>
          <w:sz w:val="28"/>
          <w:szCs w:val="28"/>
          <w:lang w:bidi="ar-EG"/>
        </w:rPr>
      </w:pPr>
      <w:r w:rsidRPr="00363635">
        <w:rPr>
          <w:rFonts w:asciiTheme="majorBidi" w:hAnsiTheme="majorBidi" w:cstheme="majorBidi"/>
          <w:b/>
          <w:bCs/>
          <w:color w:val="000000" w:themeColor="text1"/>
          <w:sz w:val="28"/>
          <w:szCs w:val="28"/>
          <w:lang w:bidi="ar-EG"/>
        </w:rPr>
        <w:t xml:space="preserve">Table 7: Fatty acid composition </w:t>
      </w:r>
      <w:r w:rsidRPr="00363635">
        <w:rPr>
          <w:rFonts w:asciiTheme="majorBidi" w:hAnsiTheme="majorBidi" w:cstheme="majorBidi"/>
          <w:b/>
          <w:bCs/>
          <w:sz w:val="28"/>
          <w:szCs w:val="28"/>
        </w:rPr>
        <w:t xml:space="preserve">of Sunflower Oil-Based </w:t>
      </w:r>
      <w:proofErr w:type="spellStart"/>
      <w:r w:rsidRPr="00363635">
        <w:rPr>
          <w:rFonts w:asciiTheme="majorBidi" w:hAnsiTheme="majorBidi" w:cstheme="majorBidi"/>
          <w:b/>
          <w:bCs/>
          <w:sz w:val="28"/>
          <w:szCs w:val="28"/>
        </w:rPr>
        <w:t>Oleogels</w:t>
      </w:r>
      <w:proofErr w:type="spellEnd"/>
      <w:r w:rsidRPr="00363635">
        <w:rPr>
          <w:rFonts w:asciiTheme="majorBidi" w:hAnsiTheme="majorBidi" w:cstheme="majorBidi"/>
          <w:b/>
          <w:bCs/>
          <w:sz w:val="28"/>
          <w:szCs w:val="28"/>
        </w:rPr>
        <w:t xml:space="preserve"> Structured with Beeswax (8%) and Sunflower wax (10%)</w:t>
      </w:r>
    </w:p>
    <w:p w14:paraId="013032F2" w14:textId="77777777" w:rsidR="00D93AE6" w:rsidRPr="000E2D76" w:rsidRDefault="00D93AE6" w:rsidP="007C4556">
      <w:pPr>
        <w:spacing w:after="0" w:line="240" w:lineRule="auto"/>
        <w:rPr>
          <w:rFonts w:ascii="Times New Roman" w:eastAsia="Times New Roman" w:hAnsi="Times New Roman" w:cs="Times New Roman"/>
          <w:b/>
          <w:bCs/>
          <w:vanish/>
          <w:sz w:val="28"/>
          <w:szCs w:val="28"/>
          <w:rtl/>
        </w:rPr>
      </w:pPr>
      <w:r w:rsidRPr="000E2D76">
        <w:rPr>
          <w:rFonts w:ascii="Times New Roman" w:eastAsia="Times New Roman" w:hAnsi="Times New Roman" w:cs="Times New Roman"/>
          <w:b/>
          <w:bCs/>
          <w:vanish/>
          <w:sz w:val="28"/>
          <w:szCs w:val="28"/>
        </w:rPr>
        <w:t>Table</w:t>
      </w:r>
      <w:r w:rsidR="007C4556" w:rsidRPr="000E2D76">
        <w:rPr>
          <w:rFonts w:ascii="Times New Roman" w:eastAsia="Times New Roman" w:hAnsi="Times New Roman" w:cs="Times New Roman"/>
          <w:b/>
          <w:bCs/>
          <w:vanish/>
          <w:sz w:val="28"/>
          <w:szCs w:val="28"/>
        </w:rPr>
        <w:t xml:space="preserve"> 7</w:t>
      </w:r>
      <w:r w:rsidRPr="000E2D76">
        <w:rPr>
          <w:rFonts w:ascii="Times New Roman" w:eastAsia="Times New Roman" w:hAnsi="Times New Roman" w:cs="Times New Roman"/>
          <w:b/>
          <w:bCs/>
          <w:vanish/>
          <w:sz w:val="28"/>
          <w:szCs w:val="28"/>
        </w:rPr>
        <w:t>. Fatty Acid Composition of Sunflower Oil-Based Oleogels Structured with Beeswax and Sunflower Wax</w:t>
      </w:r>
    </w:p>
    <w:tbl>
      <w:tblPr>
        <w:tblStyle w:val="TableGrid"/>
        <w:tblW w:w="0" w:type="auto"/>
        <w:tblLook w:val="04A0" w:firstRow="1" w:lastRow="0" w:firstColumn="1" w:lastColumn="0" w:noHBand="0" w:noVBand="1"/>
      </w:tblPr>
      <w:tblGrid>
        <w:gridCol w:w="2337"/>
        <w:gridCol w:w="2337"/>
        <w:gridCol w:w="2338"/>
        <w:gridCol w:w="2338"/>
      </w:tblGrid>
      <w:tr w:rsidR="00D93AE6" w:rsidRPr="000E2D76" w14:paraId="010087ED" w14:textId="77777777" w:rsidTr="0078445E">
        <w:tc>
          <w:tcPr>
            <w:tcW w:w="2337" w:type="dxa"/>
          </w:tcPr>
          <w:p w14:paraId="311F157A" w14:textId="77777777" w:rsidR="00D93AE6" w:rsidRPr="000E2D76" w:rsidRDefault="00363635" w:rsidP="00D93AE6">
            <w:pPr>
              <w:rPr>
                <w:rFonts w:cstheme="minorHAnsi"/>
                <w:sz w:val="28"/>
                <w:szCs w:val="28"/>
                <w:lang w:bidi="ar-EG"/>
              </w:rPr>
            </w:pPr>
            <w:r>
              <w:rPr>
                <w:rFonts w:cstheme="minorHAnsi"/>
                <w:sz w:val="28"/>
                <w:szCs w:val="28"/>
                <w:lang w:bidi="ar-EG"/>
              </w:rPr>
              <w:t xml:space="preserve">Fatty acids </w:t>
            </w:r>
          </w:p>
        </w:tc>
        <w:tc>
          <w:tcPr>
            <w:tcW w:w="2337" w:type="dxa"/>
          </w:tcPr>
          <w:p w14:paraId="1087BF91" w14:textId="77777777" w:rsidR="00D93AE6" w:rsidRPr="000E2D76" w:rsidRDefault="007C4556" w:rsidP="00D93AE6">
            <w:pPr>
              <w:rPr>
                <w:rFonts w:cstheme="minorHAnsi"/>
                <w:sz w:val="28"/>
                <w:szCs w:val="28"/>
                <w:lang w:bidi="ar-EG"/>
              </w:rPr>
            </w:pPr>
            <w:r w:rsidRPr="000E2D76">
              <w:rPr>
                <w:rFonts w:cstheme="minorHAnsi"/>
                <w:sz w:val="28"/>
                <w:szCs w:val="28"/>
                <w:lang w:bidi="ar-EG"/>
              </w:rPr>
              <w:t>SFO</w:t>
            </w:r>
          </w:p>
        </w:tc>
        <w:tc>
          <w:tcPr>
            <w:tcW w:w="2338" w:type="dxa"/>
            <w:vAlign w:val="center"/>
          </w:tcPr>
          <w:p w14:paraId="42CCDF47" w14:textId="77777777" w:rsidR="00D93AE6" w:rsidRPr="000E2D76" w:rsidRDefault="00D93AE6" w:rsidP="00D93AE6">
            <w:pPr>
              <w:rPr>
                <w:rFonts w:eastAsia="Times New Roman" w:cstheme="minorHAnsi"/>
                <w:sz w:val="28"/>
                <w:szCs w:val="28"/>
              </w:rPr>
            </w:pPr>
            <w:r w:rsidRPr="000E2D76">
              <w:rPr>
                <w:rFonts w:cstheme="minorHAnsi"/>
                <w:sz w:val="28"/>
                <w:szCs w:val="28"/>
              </w:rPr>
              <w:t>SFOBW8</w:t>
            </w:r>
          </w:p>
        </w:tc>
        <w:tc>
          <w:tcPr>
            <w:tcW w:w="2338" w:type="dxa"/>
            <w:vAlign w:val="center"/>
          </w:tcPr>
          <w:p w14:paraId="489E6E76" w14:textId="77777777" w:rsidR="00D93AE6" w:rsidRPr="000E2D76" w:rsidRDefault="00D93AE6" w:rsidP="00D93AE6">
            <w:pPr>
              <w:rPr>
                <w:rFonts w:eastAsia="Times New Roman" w:cstheme="minorHAnsi"/>
                <w:sz w:val="28"/>
                <w:szCs w:val="28"/>
              </w:rPr>
            </w:pPr>
            <w:r w:rsidRPr="000E2D76">
              <w:rPr>
                <w:rFonts w:cstheme="minorHAnsi"/>
                <w:sz w:val="28"/>
                <w:szCs w:val="28"/>
              </w:rPr>
              <w:t>SFOSFW10</w:t>
            </w:r>
          </w:p>
        </w:tc>
      </w:tr>
      <w:tr w:rsidR="00D93AE6" w:rsidRPr="000E2D76" w14:paraId="243ED23F" w14:textId="77777777" w:rsidTr="0078445E">
        <w:tc>
          <w:tcPr>
            <w:tcW w:w="2337" w:type="dxa"/>
          </w:tcPr>
          <w:p w14:paraId="0C6B4786" w14:textId="77777777" w:rsidR="00D93AE6" w:rsidRPr="000E2D76" w:rsidRDefault="007C4556" w:rsidP="0078445E">
            <w:pPr>
              <w:rPr>
                <w:rFonts w:cstheme="minorHAnsi"/>
                <w:sz w:val="28"/>
                <w:szCs w:val="28"/>
                <w:lang w:bidi="ar-EG"/>
              </w:rPr>
            </w:pPr>
            <w:proofErr w:type="spellStart"/>
            <w:r w:rsidRPr="000E2D76">
              <w:rPr>
                <w:rFonts w:cstheme="minorHAnsi"/>
                <w:sz w:val="28"/>
                <w:szCs w:val="28"/>
                <w:lang w:bidi="ar-EG"/>
              </w:rPr>
              <w:t>Luric</w:t>
            </w:r>
            <w:proofErr w:type="spellEnd"/>
            <w:r w:rsidRPr="000E2D76">
              <w:rPr>
                <w:rFonts w:cstheme="minorHAnsi"/>
                <w:sz w:val="28"/>
                <w:szCs w:val="28"/>
                <w:lang w:bidi="ar-EG"/>
              </w:rPr>
              <w:t xml:space="preserve"> acid</w:t>
            </w:r>
          </w:p>
        </w:tc>
        <w:tc>
          <w:tcPr>
            <w:tcW w:w="2337" w:type="dxa"/>
          </w:tcPr>
          <w:p w14:paraId="0AA38A8B" w14:textId="77777777" w:rsidR="00D93AE6" w:rsidRPr="000E2D76" w:rsidRDefault="00D93AE6" w:rsidP="0078445E">
            <w:pPr>
              <w:rPr>
                <w:rFonts w:cstheme="minorHAnsi"/>
                <w:sz w:val="28"/>
                <w:szCs w:val="28"/>
                <w:lang w:bidi="ar-EG"/>
              </w:rPr>
            </w:pPr>
            <w:r w:rsidRPr="000E2D76">
              <w:rPr>
                <w:rFonts w:cstheme="minorHAnsi"/>
                <w:sz w:val="28"/>
                <w:szCs w:val="28"/>
                <w:lang w:bidi="ar-EG"/>
              </w:rPr>
              <w:t>0.18</w:t>
            </w:r>
            <w:r w:rsidR="007C4556" w:rsidRPr="000E2D76">
              <w:rPr>
                <w:rFonts w:cstheme="minorHAnsi"/>
                <w:sz w:val="28"/>
                <w:szCs w:val="28"/>
                <w:lang w:bidi="ar-EG"/>
              </w:rPr>
              <w:t>±0.02</w:t>
            </w:r>
            <w:r w:rsidR="00363635">
              <w:rPr>
                <w:rFonts w:cstheme="minorHAnsi"/>
                <w:sz w:val="28"/>
                <w:szCs w:val="28"/>
                <w:lang w:bidi="ar-EG"/>
              </w:rPr>
              <w:t>a</w:t>
            </w:r>
          </w:p>
        </w:tc>
        <w:tc>
          <w:tcPr>
            <w:tcW w:w="2338" w:type="dxa"/>
          </w:tcPr>
          <w:p w14:paraId="3F06B194" w14:textId="77777777" w:rsidR="00D93AE6" w:rsidRPr="000E2D76" w:rsidRDefault="00D93AE6" w:rsidP="0078445E">
            <w:pPr>
              <w:rPr>
                <w:rFonts w:cstheme="minorHAnsi"/>
                <w:sz w:val="28"/>
                <w:szCs w:val="28"/>
                <w:lang w:bidi="ar-EG"/>
              </w:rPr>
            </w:pPr>
            <w:r w:rsidRPr="000E2D76">
              <w:rPr>
                <w:rFonts w:cstheme="minorHAnsi"/>
                <w:sz w:val="28"/>
                <w:szCs w:val="28"/>
                <w:lang w:bidi="ar-EG"/>
              </w:rPr>
              <w:t>0.12</w:t>
            </w:r>
            <w:r w:rsidR="007C4556" w:rsidRPr="000E2D76">
              <w:rPr>
                <w:rFonts w:cstheme="minorHAnsi"/>
                <w:sz w:val="28"/>
                <w:szCs w:val="28"/>
                <w:lang w:bidi="ar-EG"/>
              </w:rPr>
              <w:t>±0.01</w:t>
            </w:r>
            <w:r w:rsidR="00363635">
              <w:rPr>
                <w:rFonts w:cstheme="minorHAnsi"/>
                <w:sz w:val="28"/>
                <w:szCs w:val="28"/>
                <w:lang w:bidi="ar-EG"/>
              </w:rPr>
              <w:t>b</w:t>
            </w:r>
          </w:p>
        </w:tc>
        <w:tc>
          <w:tcPr>
            <w:tcW w:w="2338" w:type="dxa"/>
          </w:tcPr>
          <w:p w14:paraId="7ED74A00" w14:textId="77777777" w:rsidR="00D93AE6" w:rsidRPr="000E2D76" w:rsidRDefault="00D93AE6" w:rsidP="0078445E">
            <w:pPr>
              <w:rPr>
                <w:rFonts w:cstheme="minorHAnsi"/>
                <w:sz w:val="28"/>
                <w:szCs w:val="28"/>
                <w:lang w:bidi="ar-EG"/>
              </w:rPr>
            </w:pPr>
            <w:r w:rsidRPr="000E2D76">
              <w:rPr>
                <w:rFonts w:cstheme="minorHAnsi"/>
                <w:sz w:val="28"/>
                <w:szCs w:val="28"/>
                <w:lang w:bidi="ar-EG"/>
              </w:rPr>
              <w:t>0.07</w:t>
            </w:r>
            <w:r w:rsidR="007C4556" w:rsidRPr="000E2D76">
              <w:rPr>
                <w:rFonts w:cstheme="minorHAnsi"/>
                <w:sz w:val="28"/>
                <w:szCs w:val="28"/>
                <w:lang w:bidi="ar-EG"/>
              </w:rPr>
              <w:t>±0.00</w:t>
            </w:r>
            <w:r w:rsidR="00363635">
              <w:rPr>
                <w:rFonts w:cstheme="minorHAnsi"/>
                <w:sz w:val="28"/>
                <w:szCs w:val="28"/>
                <w:lang w:bidi="ar-EG"/>
              </w:rPr>
              <w:t>c</w:t>
            </w:r>
          </w:p>
        </w:tc>
      </w:tr>
      <w:tr w:rsidR="00D93AE6" w:rsidRPr="000E2D76" w14:paraId="5D3592CF" w14:textId="77777777" w:rsidTr="0078445E">
        <w:tc>
          <w:tcPr>
            <w:tcW w:w="2337" w:type="dxa"/>
          </w:tcPr>
          <w:p w14:paraId="19147243" w14:textId="77777777" w:rsidR="00D93AE6" w:rsidRPr="000E2D76" w:rsidRDefault="00D93AE6" w:rsidP="007C4556">
            <w:pPr>
              <w:rPr>
                <w:rFonts w:cstheme="minorHAnsi"/>
                <w:sz w:val="28"/>
                <w:szCs w:val="28"/>
                <w:lang w:bidi="ar-EG"/>
              </w:rPr>
            </w:pPr>
            <w:r w:rsidRPr="000E2D76">
              <w:rPr>
                <w:rFonts w:cstheme="minorHAnsi"/>
                <w:sz w:val="28"/>
                <w:szCs w:val="28"/>
                <w:lang w:bidi="ar-EG"/>
              </w:rPr>
              <w:lastRenderedPageBreak/>
              <w:t xml:space="preserve">Palmitic </w:t>
            </w:r>
            <w:r w:rsidR="007C4556" w:rsidRPr="000E2D76">
              <w:rPr>
                <w:rFonts w:cstheme="minorHAnsi"/>
                <w:sz w:val="28"/>
                <w:szCs w:val="28"/>
                <w:lang w:bidi="ar-EG"/>
              </w:rPr>
              <w:t>acid</w:t>
            </w:r>
          </w:p>
        </w:tc>
        <w:tc>
          <w:tcPr>
            <w:tcW w:w="2337" w:type="dxa"/>
          </w:tcPr>
          <w:p w14:paraId="407030BB" w14:textId="77777777" w:rsidR="00D93AE6" w:rsidRPr="000E2D76" w:rsidRDefault="00D93AE6" w:rsidP="0078445E">
            <w:pPr>
              <w:rPr>
                <w:rFonts w:cstheme="minorHAnsi"/>
                <w:sz w:val="28"/>
                <w:szCs w:val="28"/>
                <w:lang w:bidi="ar-EG"/>
              </w:rPr>
            </w:pPr>
            <w:r w:rsidRPr="000E2D76">
              <w:rPr>
                <w:rFonts w:cstheme="minorHAnsi"/>
                <w:sz w:val="28"/>
                <w:szCs w:val="28"/>
                <w:lang w:bidi="ar-EG"/>
              </w:rPr>
              <w:t>5.80</w:t>
            </w:r>
            <w:r w:rsidR="007C4556" w:rsidRPr="000E2D76">
              <w:rPr>
                <w:rFonts w:cstheme="minorHAnsi"/>
                <w:sz w:val="28"/>
                <w:szCs w:val="28"/>
                <w:lang w:bidi="ar-EG"/>
              </w:rPr>
              <w:t>±0.21</w:t>
            </w:r>
            <w:r w:rsidR="00363635">
              <w:rPr>
                <w:rFonts w:cstheme="minorHAnsi"/>
                <w:sz w:val="28"/>
                <w:szCs w:val="28"/>
                <w:lang w:bidi="ar-EG"/>
              </w:rPr>
              <w:t>c</w:t>
            </w:r>
          </w:p>
        </w:tc>
        <w:tc>
          <w:tcPr>
            <w:tcW w:w="2338" w:type="dxa"/>
          </w:tcPr>
          <w:p w14:paraId="2B0A5F36" w14:textId="77777777" w:rsidR="00D93AE6" w:rsidRPr="000E2D76" w:rsidRDefault="00D93AE6" w:rsidP="0078445E">
            <w:pPr>
              <w:rPr>
                <w:rFonts w:cstheme="minorHAnsi"/>
                <w:sz w:val="28"/>
                <w:szCs w:val="28"/>
                <w:lang w:bidi="ar-EG"/>
              </w:rPr>
            </w:pPr>
            <w:r w:rsidRPr="000E2D76">
              <w:rPr>
                <w:rFonts w:cstheme="minorHAnsi"/>
                <w:sz w:val="28"/>
                <w:szCs w:val="28"/>
                <w:lang w:bidi="ar-EG"/>
              </w:rPr>
              <w:t>7.24</w:t>
            </w:r>
            <w:r w:rsidR="007C4556" w:rsidRPr="000E2D76">
              <w:rPr>
                <w:rFonts w:cstheme="minorHAnsi"/>
                <w:sz w:val="28"/>
                <w:szCs w:val="28"/>
                <w:lang w:bidi="ar-EG"/>
              </w:rPr>
              <w:t>±0.34</w:t>
            </w:r>
            <w:r w:rsidR="00363635">
              <w:rPr>
                <w:rFonts w:cstheme="minorHAnsi"/>
                <w:sz w:val="28"/>
                <w:szCs w:val="28"/>
                <w:lang w:bidi="ar-EG"/>
              </w:rPr>
              <w:t>a</w:t>
            </w:r>
          </w:p>
        </w:tc>
        <w:tc>
          <w:tcPr>
            <w:tcW w:w="2338" w:type="dxa"/>
          </w:tcPr>
          <w:p w14:paraId="47F355F6" w14:textId="77777777" w:rsidR="00D93AE6" w:rsidRPr="000E2D76" w:rsidRDefault="00D93AE6" w:rsidP="0078445E">
            <w:pPr>
              <w:rPr>
                <w:rFonts w:cstheme="minorHAnsi"/>
                <w:sz w:val="28"/>
                <w:szCs w:val="28"/>
                <w:lang w:bidi="ar-EG"/>
              </w:rPr>
            </w:pPr>
            <w:r w:rsidRPr="000E2D76">
              <w:rPr>
                <w:rFonts w:cstheme="minorHAnsi"/>
                <w:sz w:val="28"/>
                <w:szCs w:val="28"/>
                <w:lang w:bidi="ar-EG"/>
              </w:rPr>
              <w:t>6.19</w:t>
            </w:r>
            <w:r w:rsidR="007C4556" w:rsidRPr="000E2D76">
              <w:rPr>
                <w:rFonts w:cstheme="minorHAnsi"/>
                <w:sz w:val="28"/>
                <w:szCs w:val="28"/>
                <w:lang w:bidi="ar-EG"/>
              </w:rPr>
              <w:t>±0.15</w:t>
            </w:r>
            <w:r w:rsidR="00363635">
              <w:rPr>
                <w:rFonts w:cstheme="minorHAnsi"/>
                <w:sz w:val="28"/>
                <w:szCs w:val="28"/>
                <w:lang w:bidi="ar-EG"/>
              </w:rPr>
              <w:t>b</w:t>
            </w:r>
          </w:p>
        </w:tc>
      </w:tr>
      <w:tr w:rsidR="00D93AE6" w:rsidRPr="000E2D76" w14:paraId="7E4A62B2" w14:textId="77777777" w:rsidTr="0078445E">
        <w:tc>
          <w:tcPr>
            <w:tcW w:w="2337" w:type="dxa"/>
          </w:tcPr>
          <w:p w14:paraId="6B4E043C" w14:textId="77777777" w:rsidR="00D93AE6" w:rsidRPr="000E2D76" w:rsidRDefault="00D93AE6" w:rsidP="0078445E">
            <w:pPr>
              <w:rPr>
                <w:rFonts w:cstheme="minorHAnsi"/>
                <w:sz w:val="28"/>
                <w:szCs w:val="28"/>
                <w:lang w:bidi="ar-EG"/>
              </w:rPr>
            </w:pPr>
            <w:proofErr w:type="spellStart"/>
            <w:r w:rsidRPr="000E2D76">
              <w:rPr>
                <w:rFonts w:cstheme="minorHAnsi"/>
                <w:sz w:val="28"/>
                <w:szCs w:val="28"/>
                <w:lang w:bidi="ar-EG"/>
              </w:rPr>
              <w:t>Palmitiolic</w:t>
            </w:r>
            <w:proofErr w:type="spellEnd"/>
            <w:r w:rsidRPr="000E2D76">
              <w:rPr>
                <w:rFonts w:cstheme="minorHAnsi"/>
                <w:sz w:val="28"/>
                <w:szCs w:val="28"/>
                <w:lang w:bidi="ar-EG"/>
              </w:rPr>
              <w:t xml:space="preserve"> </w:t>
            </w:r>
            <w:r w:rsidR="007C4556" w:rsidRPr="000E2D76">
              <w:rPr>
                <w:rFonts w:cstheme="minorHAnsi"/>
                <w:sz w:val="28"/>
                <w:szCs w:val="28"/>
                <w:lang w:bidi="ar-EG"/>
              </w:rPr>
              <w:t>acid</w:t>
            </w:r>
          </w:p>
        </w:tc>
        <w:tc>
          <w:tcPr>
            <w:tcW w:w="2337" w:type="dxa"/>
          </w:tcPr>
          <w:p w14:paraId="2B05675C" w14:textId="77777777" w:rsidR="00D93AE6" w:rsidRPr="000E2D76" w:rsidRDefault="00D93AE6" w:rsidP="0078445E">
            <w:pPr>
              <w:rPr>
                <w:rFonts w:cstheme="minorHAnsi"/>
                <w:sz w:val="28"/>
                <w:szCs w:val="28"/>
                <w:lang w:bidi="ar-EG"/>
              </w:rPr>
            </w:pPr>
            <w:r w:rsidRPr="000E2D76">
              <w:rPr>
                <w:rFonts w:cstheme="minorHAnsi"/>
                <w:sz w:val="28"/>
                <w:szCs w:val="28"/>
                <w:lang w:bidi="ar-EG"/>
              </w:rPr>
              <w:t>0.02</w:t>
            </w:r>
            <w:r w:rsidR="007C4556" w:rsidRPr="000E2D76">
              <w:rPr>
                <w:rFonts w:cstheme="minorHAnsi"/>
                <w:sz w:val="28"/>
                <w:szCs w:val="28"/>
                <w:lang w:bidi="ar-EG"/>
              </w:rPr>
              <w:t>±0.00</w:t>
            </w:r>
            <w:r w:rsidR="00363635">
              <w:rPr>
                <w:rFonts w:cstheme="minorHAnsi"/>
                <w:sz w:val="28"/>
                <w:szCs w:val="28"/>
                <w:lang w:bidi="ar-EG"/>
              </w:rPr>
              <w:t>c</w:t>
            </w:r>
          </w:p>
        </w:tc>
        <w:tc>
          <w:tcPr>
            <w:tcW w:w="2338" w:type="dxa"/>
          </w:tcPr>
          <w:p w14:paraId="095B0E1D" w14:textId="77777777" w:rsidR="00D93AE6" w:rsidRPr="000E2D76" w:rsidRDefault="00D93AE6" w:rsidP="0078445E">
            <w:pPr>
              <w:rPr>
                <w:rFonts w:cstheme="minorHAnsi"/>
                <w:sz w:val="28"/>
                <w:szCs w:val="28"/>
                <w:lang w:bidi="ar-EG"/>
              </w:rPr>
            </w:pPr>
            <w:r w:rsidRPr="000E2D76">
              <w:rPr>
                <w:rFonts w:cstheme="minorHAnsi"/>
                <w:sz w:val="28"/>
                <w:szCs w:val="28"/>
                <w:lang w:bidi="ar-EG"/>
              </w:rPr>
              <w:t>0.13</w:t>
            </w:r>
            <w:r w:rsidR="007C4556" w:rsidRPr="000E2D76">
              <w:rPr>
                <w:rFonts w:cstheme="minorHAnsi"/>
                <w:sz w:val="28"/>
                <w:szCs w:val="28"/>
                <w:lang w:bidi="ar-EG"/>
              </w:rPr>
              <w:t>±0.01</w:t>
            </w:r>
            <w:r w:rsidR="00363635">
              <w:rPr>
                <w:rFonts w:cstheme="minorHAnsi"/>
                <w:sz w:val="28"/>
                <w:szCs w:val="28"/>
                <w:lang w:bidi="ar-EG"/>
              </w:rPr>
              <w:t>b</w:t>
            </w:r>
          </w:p>
        </w:tc>
        <w:tc>
          <w:tcPr>
            <w:tcW w:w="2338" w:type="dxa"/>
          </w:tcPr>
          <w:p w14:paraId="05393246" w14:textId="77777777" w:rsidR="00D93AE6" w:rsidRPr="000E2D76" w:rsidRDefault="00D93AE6" w:rsidP="0078445E">
            <w:pPr>
              <w:rPr>
                <w:rFonts w:cstheme="minorHAnsi"/>
                <w:sz w:val="28"/>
                <w:szCs w:val="28"/>
                <w:lang w:bidi="ar-EG"/>
              </w:rPr>
            </w:pPr>
            <w:r w:rsidRPr="000E2D76">
              <w:rPr>
                <w:rFonts w:cstheme="minorHAnsi"/>
                <w:sz w:val="28"/>
                <w:szCs w:val="28"/>
                <w:lang w:bidi="ar-EG"/>
              </w:rPr>
              <w:t>0.19</w:t>
            </w:r>
            <w:r w:rsidR="007C4556" w:rsidRPr="000E2D76">
              <w:rPr>
                <w:rFonts w:cstheme="minorHAnsi"/>
                <w:sz w:val="28"/>
                <w:szCs w:val="28"/>
                <w:lang w:bidi="ar-EG"/>
              </w:rPr>
              <w:t>±0.02</w:t>
            </w:r>
            <w:r w:rsidR="00363635">
              <w:rPr>
                <w:rFonts w:cstheme="minorHAnsi"/>
                <w:sz w:val="28"/>
                <w:szCs w:val="28"/>
                <w:lang w:bidi="ar-EG"/>
              </w:rPr>
              <w:t>a</w:t>
            </w:r>
          </w:p>
        </w:tc>
      </w:tr>
      <w:tr w:rsidR="00D93AE6" w:rsidRPr="000E2D76" w14:paraId="04C84C77" w14:textId="77777777" w:rsidTr="0078445E">
        <w:tc>
          <w:tcPr>
            <w:tcW w:w="2337" w:type="dxa"/>
          </w:tcPr>
          <w:p w14:paraId="06B93A82" w14:textId="77777777" w:rsidR="00D93AE6" w:rsidRPr="000E2D76" w:rsidRDefault="00D93AE6" w:rsidP="0078445E">
            <w:pPr>
              <w:rPr>
                <w:rFonts w:cstheme="minorHAnsi"/>
                <w:sz w:val="28"/>
                <w:szCs w:val="28"/>
                <w:lang w:bidi="ar-EG"/>
              </w:rPr>
            </w:pPr>
            <w:r w:rsidRPr="000E2D76">
              <w:rPr>
                <w:rFonts w:cstheme="minorHAnsi"/>
                <w:sz w:val="28"/>
                <w:szCs w:val="28"/>
                <w:lang w:bidi="ar-EG"/>
              </w:rPr>
              <w:t xml:space="preserve">Stearic </w:t>
            </w:r>
            <w:r w:rsidR="007C4556" w:rsidRPr="000E2D76">
              <w:rPr>
                <w:rFonts w:cstheme="minorHAnsi"/>
                <w:sz w:val="28"/>
                <w:szCs w:val="28"/>
                <w:lang w:bidi="ar-EG"/>
              </w:rPr>
              <w:t>acid</w:t>
            </w:r>
          </w:p>
        </w:tc>
        <w:tc>
          <w:tcPr>
            <w:tcW w:w="2337" w:type="dxa"/>
          </w:tcPr>
          <w:p w14:paraId="0B0639D0" w14:textId="77777777" w:rsidR="00D93AE6" w:rsidRPr="000E2D76" w:rsidRDefault="00D93AE6" w:rsidP="0078445E">
            <w:pPr>
              <w:rPr>
                <w:rFonts w:cstheme="minorHAnsi"/>
                <w:sz w:val="28"/>
                <w:szCs w:val="28"/>
                <w:lang w:bidi="ar-EG"/>
              </w:rPr>
            </w:pPr>
            <w:r w:rsidRPr="000E2D76">
              <w:rPr>
                <w:rFonts w:cstheme="minorHAnsi"/>
                <w:sz w:val="28"/>
                <w:szCs w:val="28"/>
                <w:lang w:bidi="ar-EG"/>
              </w:rPr>
              <w:t>3.50</w:t>
            </w:r>
            <w:r w:rsidR="007C4556" w:rsidRPr="000E2D76">
              <w:rPr>
                <w:rFonts w:cstheme="minorHAnsi"/>
                <w:sz w:val="28"/>
                <w:szCs w:val="28"/>
                <w:lang w:bidi="ar-EG"/>
              </w:rPr>
              <w:t>±0.12</w:t>
            </w:r>
            <w:r w:rsidR="00363635">
              <w:rPr>
                <w:rFonts w:cstheme="minorHAnsi"/>
                <w:sz w:val="28"/>
                <w:szCs w:val="28"/>
                <w:lang w:bidi="ar-EG"/>
              </w:rPr>
              <w:t>a</w:t>
            </w:r>
          </w:p>
        </w:tc>
        <w:tc>
          <w:tcPr>
            <w:tcW w:w="2338" w:type="dxa"/>
          </w:tcPr>
          <w:p w14:paraId="08E496F7" w14:textId="77777777" w:rsidR="00D93AE6" w:rsidRPr="000E2D76" w:rsidRDefault="00D93AE6" w:rsidP="0078445E">
            <w:pPr>
              <w:rPr>
                <w:rFonts w:cstheme="minorHAnsi"/>
                <w:sz w:val="28"/>
                <w:szCs w:val="28"/>
                <w:lang w:bidi="ar-EG"/>
              </w:rPr>
            </w:pPr>
            <w:r w:rsidRPr="000E2D76">
              <w:rPr>
                <w:rFonts w:cstheme="minorHAnsi"/>
                <w:sz w:val="28"/>
                <w:szCs w:val="28"/>
                <w:lang w:bidi="ar-EG"/>
              </w:rPr>
              <w:t>3.62</w:t>
            </w:r>
            <w:r w:rsidR="007C4556" w:rsidRPr="000E2D76">
              <w:rPr>
                <w:rFonts w:cstheme="minorHAnsi"/>
                <w:sz w:val="28"/>
                <w:szCs w:val="28"/>
                <w:lang w:bidi="ar-EG"/>
              </w:rPr>
              <w:t>±0.11</w:t>
            </w:r>
            <w:r w:rsidR="00363635">
              <w:rPr>
                <w:rFonts w:cstheme="minorHAnsi"/>
                <w:sz w:val="28"/>
                <w:szCs w:val="28"/>
                <w:lang w:bidi="ar-EG"/>
              </w:rPr>
              <w:t>a</w:t>
            </w:r>
          </w:p>
        </w:tc>
        <w:tc>
          <w:tcPr>
            <w:tcW w:w="2338" w:type="dxa"/>
          </w:tcPr>
          <w:p w14:paraId="44803043" w14:textId="77777777" w:rsidR="00D93AE6" w:rsidRPr="000E2D76" w:rsidRDefault="00D93AE6" w:rsidP="0078445E">
            <w:pPr>
              <w:rPr>
                <w:rFonts w:cstheme="minorHAnsi"/>
                <w:sz w:val="28"/>
                <w:szCs w:val="28"/>
                <w:lang w:bidi="ar-EG"/>
              </w:rPr>
            </w:pPr>
            <w:r w:rsidRPr="000E2D76">
              <w:rPr>
                <w:rFonts w:cstheme="minorHAnsi"/>
                <w:sz w:val="28"/>
                <w:szCs w:val="28"/>
                <w:lang w:bidi="ar-EG"/>
              </w:rPr>
              <w:t>3.09</w:t>
            </w:r>
            <w:r w:rsidR="007C4556" w:rsidRPr="000E2D76">
              <w:rPr>
                <w:rFonts w:cstheme="minorHAnsi"/>
                <w:sz w:val="28"/>
                <w:szCs w:val="28"/>
                <w:lang w:bidi="ar-EG"/>
              </w:rPr>
              <w:t>±0.25</w:t>
            </w:r>
            <w:r w:rsidR="00363635">
              <w:rPr>
                <w:rFonts w:cstheme="minorHAnsi"/>
                <w:sz w:val="28"/>
                <w:szCs w:val="28"/>
                <w:lang w:bidi="ar-EG"/>
              </w:rPr>
              <w:t>a</w:t>
            </w:r>
          </w:p>
        </w:tc>
      </w:tr>
      <w:tr w:rsidR="00D93AE6" w:rsidRPr="000E2D76" w14:paraId="2CC2C03B" w14:textId="77777777" w:rsidTr="0078445E">
        <w:tc>
          <w:tcPr>
            <w:tcW w:w="2337" w:type="dxa"/>
          </w:tcPr>
          <w:p w14:paraId="132A27B5" w14:textId="77777777" w:rsidR="00D93AE6" w:rsidRPr="000E2D76" w:rsidRDefault="00D93AE6" w:rsidP="0078445E">
            <w:pPr>
              <w:rPr>
                <w:rFonts w:cstheme="minorHAnsi"/>
                <w:sz w:val="28"/>
                <w:szCs w:val="28"/>
                <w:lang w:bidi="ar-EG"/>
              </w:rPr>
            </w:pPr>
            <w:r w:rsidRPr="000E2D76">
              <w:rPr>
                <w:rFonts w:cstheme="minorHAnsi"/>
                <w:sz w:val="28"/>
                <w:szCs w:val="28"/>
                <w:lang w:bidi="ar-EG"/>
              </w:rPr>
              <w:t xml:space="preserve">Oleic </w:t>
            </w:r>
            <w:r w:rsidR="007C4556" w:rsidRPr="000E2D76">
              <w:rPr>
                <w:rFonts w:cstheme="minorHAnsi"/>
                <w:sz w:val="28"/>
                <w:szCs w:val="28"/>
                <w:lang w:bidi="ar-EG"/>
              </w:rPr>
              <w:t>acid</w:t>
            </w:r>
          </w:p>
        </w:tc>
        <w:tc>
          <w:tcPr>
            <w:tcW w:w="2337" w:type="dxa"/>
          </w:tcPr>
          <w:p w14:paraId="53420040" w14:textId="77777777" w:rsidR="00D93AE6" w:rsidRPr="000E2D76" w:rsidRDefault="00D93AE6" w:rsidP="0078445E">
            <w:pPr>
              <w:rPr>
                <w:rFonts w:cstheme="minorHAnsi"/>
                <w:sz w:val="28"/>
                <w:szCs w:val="28"/>
                <w:lang w:bidi="ar-EG"/>
              </w:rPr>
            </w:pPr>
            <w:r w:rsidRPr="000E2D76">
              <w:rPr>
                <w:rFonts w:cstheme="minorHAnsi"/>
                <w:sz w:val="28"/>
                <w:szCs w:val="28"/>
                <w:lang w:bidi="ar-EG"/>
              </w:rPr>
              <w:t>27.27</w:t>
            </w:r>
            <w:r w:rsidR="007C4556" w:rsidRPr="000E2D76">
              <w:rPr>
                <w:rFonts w:cstheme="minorHAnsi"/>
                <w:sz w:val="28"/>
                <w:szCs w:val="28"/>
                <w:lang w:bidi="ar-EG"/>
              </w:rPr>
              <w:t>±</w:t>
            </w:r>
            <w:r w:rsidR="008C68D7" w:rsidRPr="000E2D76">
              <w:rPr>
                <w:rFonts w:cstheme="minorHAnsi"/>
                <w:sz w:val="28"/>
                <w:szCs w:val="28"/>
                <w:lang w:bidi="ar-EG"/>
              </w:rPr>
              <w:t>1.11</w:t>
            </w:r>
            <w:r w:rsidR="00C814E5">
              <w:rPr>
                <w:rFonts w:cstheme="minorHAnsi"/>
                <w:sz w:val="28"/>
                <w:szCs w:val="28"/>
                <w:lang w:bidi="ar-EG"/>
              </w:rPr>
              <w:t>b</w:t>
            </w:r>
          </w:p>
        </w:tc>
        <w:tc>
          <w:tcPr>
            <w:tcW w:w="2338" w:type="dxa"/>
          </w:tcPr>
          <w:p w14:paraId="26108B9E" w14:textId="77777777" w:rsidR="00D93AE6" w:rsidRPr="000E2D76" w:rsidRDefault="00D93AE6" w:rsidP="0078445E">
            <w:pPr>
              <w:rPr>
                <w:rFonts w:cstheme="minorHAnsi"/>
                <w:sz w:val="28"/>
                <w:szCs w:val="28"/>
                <w:lang w:bidi="ar-EG"/>
              </w:rPr>
            </w:pPr>
            <w:r w:rsidRPr="000E2D76">
              <w:rPr>
                <w:rFonts w:cstheme="minorHAnsi"/>
                <w:sz w:val="28"/>
                <w:szCs w:val="28"/>
                <w:lang w:bidi="ar-EG"/>
              </w:rPr>
              <w:t>30.92</w:t>
            </w:r>
            <w:r w:rsidR="007C4556" w:rsidRPr="000E2D76">
              <w:rPr>
                <w:rFonts w:cstheme="minorHAnsi"/>
                <w:sz w:val="28"/>
                <w:szCs w:val="28"/>
                <w:lang w:bidi="ar-EG"/>
              </w:rPr>
              <w:t>±</w:t>
            </w:r>
            <w:r w:rsidR="008C68D7" w:rsidRPr="000E2D76">
              <w:rPr>
                <w:rFonts w:cstheme="minorHAnsi"/>
                <w:sz w:val="28"/>
                <w:szCs w:val="28"/>
                <w:lang w:bidi="ar-EG"/>
              </w:rPr>
              <w:t>1.25</w:t>
            </w:r>
            <w:r w:rsidR="00C814E5">
              <w:rPr>
                <w:rFonts w:cstheme="minorHAnsi"/>
                <w:sz w:val="28"/>
                <w:szCs w:val="28"/>
                <w:lang w:bidi="ar-EG"/>
              </w:rPr>
              <w:t>a</w:t>
            </w:r>
          </w:p>
        </w:tc>
        <w:tc>
          <w:tcPr>
            <w:tcW w:w="2338" w:type="dxa"/>
          </w:tcPr>
          <w:p w14:paraId="63C8E33E" w14:textId="77777777" w:rsidR="00D93AE6" w:rsidRPr="000E2D76" w:rsidRDefault="00D93AE6" w:rsidP="0078445E">
            <w:pPr>
              <w:rPr>
                <w:rFonts w:cstheme="minorHAnsi"/>
                <w:sz w:val="28"/>
                <w:szCs w:val="28"/>
                <w:lang w:bidi="ar-EG"/>
              </w:rPr>
            </w:pPr>
            <w:r w:rsidRPr="000E2D76">
              <w:rPr>
                <w:rFonts w:cstheme="minorHAnsi"/>
                <w:sz w:val="28"/>
                <w:szCs w:val="28"/>
                <w:lang w:bidi="ar-EG"/>
              </w:rPr>
              <w:t>31.50</w:t>
            </w:r>
            <w:r w:rsidR="007C4556" w:rsidRPr="000E2D76">
              <w:rPr>
                <w:rFonts w:cstheme="minorHAnsi"/>
                <w:sz w:val="28"/>
                <w:szCs w:val="28"/>
                <w:lang w:bidi="ar-EG"/>
              </w:rPr>
              <w:t>±</w:t>
            </w:r>
            <w:r w:rsidR="008C68D7" w:rsidRPr="000E2D76">
              <w:rPr>
                <w:rFonts w:cstheme="minorHAnsi"/>
                <w:sz w:val="28"/>
                <w:szCs w:val="28"/>
                <w:lang w:bidi="ar-EG"/>
              </w:rPr>
              <w:t>1.57</w:t>
            </w:r>
            <w:r w:rsidR="00C814E5">
              <w:rPr>
                <w:rFonts w:cstheme="minorHAnsi"/>
                <w:sz w:val="28"/>
                <w:szCs w:val="28"/>
                <w:lang w:bidi="ar-EG"/>
              </w:rPr>
              <w:t>a</w:t>
            </w:r>
          </w:p>
        </w:tc>
      </w:tr>
      <w:tr w:rsidR="00D93AE6" w:rsidRPr="000E2D76" w14:paraId="125CAC26" w14:textId="77777777" w:rsidTr="0078445E">
        <w:tc>
          <w:tcPr>
            <w:tcW w:w="2337" w:type="dxa"/>
          </w:tcPr>
          <w:p w14:paraId="465550D4" w14:textId="77777777" w:rsidR="00D93AE6" w:rsidRPr="000E2D76" w:rsidRDefault="007C4556" w:rsidP="0078445E">
            <w:pPr>
              <w:rPr>
                <w:rFonts w:cstheme="minorHAnsi"/>
                <w:sz w:val="28"/>
                <w:szCs w:val="28"/>
                <w:rtl/>
                <w:lang w:bidi="ar-EG"/>
              </w:rPr>
            </w:pPr>
            <w:r w:rsidRPr="000E2D76">
              <w:rPr>
                <w:rFonts w:cstheme="minorHAnsi"/>
                <w:sz w:val="28"/>
                <w:szCs w:val="28"/>
                <w:lang w:bidi="ar-EG"/>
              </w:rPr>
              <w:t>Linoleic acid</w:t>
            </w:r>
            <w:r w:rsidR="00D93AE6" w:rsidRPr="000E2D76">
              <w:rPr>
                <w:rFonts w:cstheme="minorHAnsi"/>
                <w:sz w:val="28"/>
                <w:szCs w:val="28"/>
                <w:lang w:bidi="ar-EG"/>
              </w:rPr>
              <w:t xml:space="preserve"> </w:t>
            </w:r>
          </w:p>
        </w:tc>
        <w:tc>
          <w:tcPr>
            <w:tcW w:w="2337" w:type="dxa"/>
          </w:tcPr>
          <w:p w14:paraId="520AB419" w14:textId="77777777" w:rsidR="00D93AE6" w:rsidRPr="000E2D76" w:rsidRDefault="00D93AE6" w:rsidP="0078445E">
            <w:pPr>
              <w:rPr>
                <w:rFonts w:cstheme="minorHAnsi"/>
                <w:sz w:val="28"/>
                <w:szCs w:val="28"/>
                <w:lang w:bidi="ar-EG"/>
              </w:rPr>
            </w:pPr>
            <w:r w:rsidRPr="000E2D76">
              <w:rPr>
                <w:rFonts w:cstheme="minorHAnsi"/>
                <w:sz w:val="28"/>
                <w:szCs w:val="28"/>
                <w:lang w:bidi="ar-EG"/>
              </w:rPr>
              <w:t>63.59</w:t>
            </w:r>
            <w:r w:rsidR="007C4556" w:rsidRPr="000E2D76">
              <w:rPr>
                <w:rFonts w:cstheme="minorHAnsi"/>
                <w:sz w:val="28"/>
                <w:szCs w:val="28"/>
                <w:lang w:bidi="ar-EG"/>
              </w:rPr>
              <w:t>±</w:t>
            </w:r>
            <w:r w:rsidR="008C68D7" w:rsidRPr="000E2D76">
              <w:rPr>
                <w:rFonts w:cstheme="minorHAnsi"/>
                <w:sz w:val="28"/>
                <w:szCs w:val="28"/>
                <w:lang w:bidi="ar-EG"/>
              </w:rPr>
              <w:t>1.67</w:t>
            </w:r>
            <w:r w:rsidR="00C814E5">
              <w:rPr>
                <w:rFonts w:cstheme="minorHAnsi"/>
                <w:sz w:val="28"/>
                <w:szCs w:val="28"/>
                <w:lang w:bidi="ar-EG"/>
              </w:rPr>
              <w:t>a</w:t>
            </w:r>
          </w:p>
        </w:tc>
        <w:tc>
          <w:tcPr>
            <w:tcW w:w="2338" w:type="dxa"/>
          </w:tcPr>
          <w:p w14:paraId="7FAC102D" w14:textId="77777777" w:rsidR="00D93AE6" w:rsidRPr="000E2D76" w:rsidRDefault="00D93AE6" w:rsidP="0078445E">
            <w:pPr>
              <w:rPr>
                <w:rFonts w:cstheme="minorHAnsi"/>
                <w:sz w:val="28"/>
                <w:szCs w:val="28"/>
                <w:lang w:bidi="ar-EG"/>
              </w:rPr>
            </w:pPr>
            <w:r w:rsidRPr="000E2D76">
              <w:rPr>
                <w:rFonts w:cstheme="minorHAnsi"/>
                <w:sz w:val="28"/>
                <w:szCs w:val="28"/>
                <w:lang w:bidi="ar-EG"/>
              </w:rPr>
              <w:t>55.74</w:t>
            </w:r>
            <w:r w:rsidR="007C4556" w:rsidRPr="000E2D76">
              <w:rPr>
                <w:rFonts w:cstheme="minorHAnsi"/>
                <w:sz w:val="28"/>
                <w:szCs w:val="28"/>
                <w:lang w:bidi="ar-EG"/>
              </w:rPr>
              <w:t>±</w:t>
            </w:r>
            <w:r w:rsidR="008C68D7" w:rsidRPr="000E2D76">
              <w:rPr>
                <w:rFonts w:cstheme="minorHAnsi"/>
                <w:sz w:val="28"/>
                <w:szCs w:val="28"/>
                <w:lang w:bidi="ar-EG"/>
              </w:rPr>
              <w:t>1.58</w:t>
            </w:r>
            <w:r w:rsidR="00C814E5">
              <w:rPr>
                <w:rFonts w:cstheme="minorHAnsi"/>
                <w:sz w:val="28"/>
                <w:szCs w:val="28"/>
                <w:lang w:bidi="ar-EG"/>
              </w:rPr>
              <w:t>b</w:t>
            </w:r>
          </w:p>
        </w:tc>
        <w:tc>
          <w:tcPr>
            <w:tcW w:w="2338" w:type="dxa"/>
          </w:tcPr>
          <w:p w14:paraId="06F57A2C" w14:textId="77777777" w:rsidR="00D93AE6" w:rsidRPr="000E2D76" w:rsidRDefault="00D93AE6" w:rsidP="0078445E">
            <w:pPr>
              <w:rPr>
                <w:rFonts w:cstheme="minorHAnsi"/>
                <w:sz w:val="28"/>
                <w:szCs w:val="28"/>
                <w:lang w:bidi="ar-EG"/>
              </w:rPr>
            </w:pPr>
            <w:r w:rsidRPr="000E2D76">
              <w:rPr>
                <w:rFonts w:cstheme="minorHAnsi"/>
                <w:sz w:val="28"/>
                <w:szCs w:val="28"/>
                <w:lang w:bidi="ar-EG"/>
              </w:rPr>
              <w:t>57.14</w:t>
            </w:r>
            <w:r w:rsidR="007C4556" w:rsidRPr="000E2D76">
              <w:rPr>
                <w:rFonts w:cstheme="minorHAnsi"/>
                <w:sz w:val="28"/>
                <w:szCs w:val="28"/>
                <w:lang w:bidi="ar-EG"/>
              </w:rPr>
              <w:t>±</w:t>
            </w:r>
            <w:r w:rsidR="008C68D7" w:rsidRPr="000E2D76">
              <w:rPr>
                <w:rFonts w:cstheme="minorHAnsi"/>
                <w:sz w:val="28"/>
                <w:szCs w:val="28"/>
                <w:lang w:bidi="ar-EG"/>
              </w:rPr>
              <w:t>1.34</w:t>
            </w:r>
            <w:r w:rsidR="00C814E5">
              <w:rPr>
                <w:rFonts w:cstheme="minorHAnsi"/>
                <w:sz w:val="28"/>
                <w:szCs w:val="28"/>
                <w:lang w:bidi="ar-EG"/>
              </w:rPr>
              <w:t>b</w:t>
            </w:r>
          </w:p>
        </w:tc>
      </w:tr>
      <w:tr w:rsidR="00D93AE6" w:rsidRPr="000E2D76" w14:paraId="4B3B9CE9" w14:textId="77777777" w:rsidTr="0078445E">
        <w:tc>
          <w:tcPr>
            <w:tcW w:w="2337" w:type="dxa"/>
          </w:tcPr>
          <w:p w14:paraId="0844F032" w14:textId="77777777" w:rsidR="00D93AE6" w:rsidRPr="000E2D76" w:rsidRDefault="007C4556" w:rsidP="0078445E">
            <w:pPr>
              <w:rPr>
                <w:rFonts w:cstheme="minorHAnsi"/>
                <w:sz w:val="28"/>
                <w:szCs w:val="28"/>
                <w:lang w:bidi="ar-EG"/>
              </w:rPr>
            </w:pPr>
            <w:r w:rsidRPr="000E2D76">
              <w:rPr>
                <w:rFonts w:cstheme="minorHAnsi"/>
                <w:sz w:val="28"/>
                <w:szCs w:val="28"/>
                <w:lang w:bidi="ar-EG"/>
              </w:rPr>
              <w:t>Linolenic acid</w:t>
            </w:r>
          </w:p>
        </w:tc>
        <w:tc>
          <w:tcPr>
            <w:tcW w:w="2337" w:type="dxa"/>
          </w:tcPr>
          <w:p w14:paraId="57BF5F17" w14:textId="77777777" w:rsidR="00D93AE6" w:rsidRPr="000E2D76" w:rsidRDefault="00D93AE6" w:rsidP="0078445E">
            <w:pPr>
              <w:rPr>
                <w:rFonts w:cstheme="minorHAnsi"/>
                <w:sz w:val="28"/>
                <w:szCs w:val="28"/>
                <w:lang w:bidi="ar-EG"/>
              </w:rPr>
            </w:pPr>
            <w:r w:rsidRPr="000E2D76">
              <w:rPr>
                <w:rFonts w:cstheme="minorHAnsi"/>
                <w:sz w:val="28"/>
                <w:szCs w:val="28"/>
                <w:lang w:bidi="ar-EG"/>
              </w:rPr>
              <w:t>0.08</w:t>
            </w:r>
            <w:r w:rsidR="007C4556" w:rsidRPr="000E2D76">
              <w:rPr>
                <w:rFonts w:cstheme="minorHAnsi"/>
                <w:sz w:val="28"/>
                <w:szCs w:val="28"/>
                <w:lang w:bidi="ar-EG"/>
              </w:rPr>
              <w:t>±</w:t>
            </w:r>
            <w:r w:rsidR="008C68D7" w:rsidRPr="000E2D76">
              <w:rPr>
                <w:rFonts w:cstheme="minorHAnsi"/>
                <w:sz w:val="28"/>
                <w:szCs w:val="28"/>
                <w:lang w:bidi="ar-EG"/>
              </w:rPr>
              <w:t>0.00</w:t>
            </w:r>
            <w:r w:rsidR="00C814E5">
              <w:rPr>
                <w:rFonts w:cstheme="minorHAnsi"/>
                <w:sz w:val="28"/>
                <w:szCs w:val="28"/>
                <w:lang w:bidi="ar-EG"/>
              </w:rPr>
              <w:t>c</w:t>
            </w:r>
          </w:p>
        </w:tc>
        <w:tc>
          <w:tcPr>
            <w:tcW w:w="2338" w:type="dxa"/>
          </w:tcPr>
          <w:p w14:paraId="63AFE6A5" w14:textId="77777777" w:rsidR="00D93AE6" w:rsidRPr="000E2D76" w:rsidRDefault="00D93AE6" w:rsidP="0078445E">
            <w:pPr>
              <w:rPr>
                <w:rFonts w:cstheme="minorHAnsi"/>
                <w:sz w:val="28"/>
                <w:szCs w:val="28"/>
                <w:lang w:bidi="ar-EG"/>
              </w:rPr>
            </w:pPr>
            <w:r w:rsidRPr="000E2D76">
              <w:rPr>
                <w:rFonts w:cstheme="minorHAnsi"/>
                <w:sz w:val="28"/>
                <w:szCs w:val="28"/>
                <w:lang w:bidi="ar-EG"/>
              </w:rPr>
              <w:t>0.30</w:t>
            </w:r>
            <w:r w:rsidR="007C4556" w:rsidRPr="000E2D76">
              <w:rPr>
                <w:rFonts w:cstheme="minorHAnsi"/>
                <w:sz w:val="28"/>
                <w:szCs w:val="28"/>
                <w:lang w:bidi="ar-EG"/>
              </w:rPr>
              <w:t>±</w:t>
            </w:r>
            <w:r w:rsidR="008C68D7" w:rsidRPr="000E2D76">
              <w:rPr>
                <w:rFonts w:cstheme="minorHAnsi"/>
                <w:sz w:val="28"/>
                <w:szCs w:val="28"/>
                <w:lang w:bidi="ar-EG"/>
              </w:rPr>
              <w:t>0.09</w:t>
            </w:r>
            <w:r w:rsidR="00C814E5">
              <w:rPr>
                <w:rFonts w:cstheme="minorHAnsi"/>
                <w:sz w:val="28"/>
                <w:szCs w:val="28"/>
                <w:lang w:bidi="ar-EG"/>
              </w:rPr>
              <w:t>b</w:t>
            </w:r>
          </w:p>
        </w:tc>
        <w:tc>
          <w:tcPr>
            <w:tcW w:w="2338" w:type="dxa"/>
          </w:tcPr>
          <w:p w14:paraId="6E303A5B" w14:textId="77777777" w:rsidR="00D93AE6" w:rsidRPr="000E2D76" w:rsidRDefault="00D93AE6" w:rsidP="0078445E">
            <w:pPr>
              <w:rPr>
                <w:rFonts w:cstheme="minorHAnsi"/>
                <w:sz w:val="28"/>
                <w:szCs w:val="28"/>
                <w:lang w:bidi="ar-EG"/>
              </w:rPr>
            </w:pPr>
            <w:r w:rsidRPr="000E2D76">
              <w:rPr>
                <w:rFonts w:cstheme="minorHAnsi"/>
                <w:sz w:val="28"/>
                <w:szCs w:val="28"/>
                <w:lang w:bidi="ar-EG"/>
              </w:rPr>
              <w:t>0.53</w:t>
            </w:r>
            <w:r w:rsidR="007C4556" w:rsidRPr="000E2D76">
              <w:rPr>
                <w:rFonts w:cstheme="minorHAnsi"/>
                <w:sz w:val="28"/>
                <w:szCs w:val="28"/>
                <w:lang w:bidi="ar-EG"/>
              </w:rPr>
              <w:t>±</w:t>
            </w:r>
            <w:r w:rsidR="008C68D7" w:rsidRPr="000E2D76">
              <w:rPr>
                <w:rFonts w:cstheme="minorHAnsi"/>
                <w:sz w:val="28"/>
                <w:szCs w:val="28"/>
                <w:lang w:bidi="ar-EG"/>
              </w:rPr>
              <w:t>0.10</w:t>
            </w:r>
            <w:r w:rsidR="00C814E5">
              <w:rPr>
                <w:rFonts w:cstheme="minorHAnsi"/>
                <w:sz w:val="28"/>
                <w:szCs w:val="28"/>
                <w:lang w:bidi="ar-EG"/>
              </w:rPr>
              <w:t>a</w:t>
            </w:r>
          </w:p>
        </w:tc>
      </w:tr>
      <w:tr w:rsidR="00D93AE6" w:rsidRPr="000E2D76" w14:paraId="36B8B62D" w14:textId="77777777" w:rsidTr="0078445E">
        <w:tc>
          <w:tcPr>
            <w:tcW w:w="2337" w:type="dxa"/>
          </w:tcPr>
          <w:p w14:paraId="48FF6731" w14:textId="77777777" w:rsidR="00D93AE6" w:rsidRPr="000E2D76" w:rsidRDefault="007C4556" w:rsidP="0078445E">
            <w:pPr>
              <w:rPr>
                <w:rFonts w:cstheme="minorHAnsi"/>
                <w:sz w:val="28"/>
                <w:szCs w:val="28"/>
                <w:lang w:bidi="ar-EG"/>
              </w:rPr>
            </w:pPr>
            <w:r w:rsidRPr="000E2D76">
              <w:rPr>
                <w:rFonts w:cstheme="minorHAnsi"/>
                <w:sz w:val="28"/>
                <w:szCs w:val="28"/>
                <w:lang w:bidi="ar-EG"/>
              </w:rPr>
              <w:t>A</w:t>
            </w:r>
            <w:r w:rsidR="00D93AE6" w:rsidRPr="000E2D76">
              <w:rPr>
                <w:rFonts w:cstheme="minorHAnsi"/>
                <w:sz w:val="28"/>
                <w:szCs w:val="28"/>
                <w:lang w:bidi="ar-EG"/>
              </w:rPr>
              <w:t>rachidic</w:t>
            </w:r>
            <w:r w:rsidRPr="000E2D76">
              <w:rPr>
                <w:rFonts w:cstheme="minorHAnsi"/>
                <w:sz w:val="28"/>
                <w:szCs w:val="28"/>
                <w:lang w:bidi="ar-EG"/>
              </w:rPr>
              <w:t xml:space="preserve"> acid </w:t>
            </w:r>
            <w:r w:rsidR="00D93AE6" w:rsidRPr="000E2D76">
              <w:rPr>
                <w:rFonts w:cstheme="minorHAnsi"/>
                <w:sz w:val="28"/>
                <w:szCs w:val="28"/>
                <w:lang w:bidi="ar-EG"/>
              </w:rPr>
              <w:t xml:space="preserve"> </w:t>
            </w:r>
          </w:p>
        </w:tc>
        <w:tc>
          <w:tcPr>
            <w:tcW w:w="2337" w:type="dxa"/>
          </w:tcPr>
          <w:p w14:paraId="0926A6C2" w14:textId="77777777" w:rsidR="00D93AE6" w:rsidRPr="000E2D76" w:rsidRDefault="00D93AE6" w:rsidP="0078445E">
            <w:pPr>
              <w:rPr>
                <w:rFonts w:cstheme="minorHAnsi"/>
                <w:sz w:val="28"/>
                <w:szCs w:val="28"/>
                <w:lang w:bidi="ar-EG"/>
              </w:rPr>
            </w:pPr>
            <w:r w:rsidRPr="000E2D76">
              <w:rPr>
                <w:rFonts w:cstheme="minorHAnsi"/>
                <w:sz w:val="28"/>
                <w:szCs w:val="28"/>
                <w:lang w:bidi="ar-EG"/>
              </w:rPr>
              <w:t>0.10</w:t>
            </w:r>
            <w:r w:rsidR="007C4556" w:rsidRPr="000E2D76">
              <w:rPr>
                <w:rFonts w:cstheme="minorHAnsi"/>
                <w:sz w:val="28"/>
                <w:szCs w:val="28"/>
                <w:lang w:bidi="ar-EG"/>
              </w:rPr>
              <w:t>±</w:t>
            </w:r>
            <w:r w:rsidR="008C68D7" w:rsidRPr="000E2D76">
              <w:rPr>
                <w:rFonts w:cstheme="minorHAnsi"/>
                <w:sz w:val="28"/>
                <w:szCs w:val="28"/>
                <w:lang w:bidi="ar-EG"/>
              </w:rPr>
              <w:t>0.01</w:t>
            </w:r>
            <w:r w:rsidR="00C814E5">
              <w:rPr>
                <w:rFonts w:cstheme="minorHAnsi"/>
                <w:sz w:val="28"/>
                <w:szCs w:val="28"/>
                <w:lang w:bidi="ar-EG"/>
              </w:rPr>
              <w:t>c</w:t>
            </w:r>
          </w:p>
        </w:tc>
        <w:tc>
          <w:tcPr>
            <w:tcW w:w="2338" w:type="dxa"/>
          </w:tcPr>
          <w:p w14:paraId="2AD81FCB" w14:textId="77777777" w:rsidR="00D93AE6" w:rsidRPr="000E2D76" w:rsidRDefault="00D93AE6" w:rsidP="0078445E">
            <w:pPr>
              <w:rPr>
                <w:rFonts w:cstheme="minorHAnsi"/>
                <w:sz w:val="28"/>
                <w:szCs w:val="28"/>
                <w:lang w:bidi="ar-EG"/>
              </w:rPr>
            </w:pPr>
            <w:r w:rsidRPr="000E2D76">
              <w:rPr>
                <w:rFonts w:cstheme="minorHAnsi"/>
                <w:sz w:val="28"/>
                <w:szCs w:val="28"/>
                <w:lang w:bidi="ar-EG"/>
              </w:rPr>
              <w:t>0.25</w:t>
            </w:r>
            <w:r w:rsidR="007C4556" w:rsidRPr="000E2D76">
              <w:rPr>
                <w:rFonts w:cstheme="minorHAnsi"/>
                <w:sz w:val="28"/>
                <w:szCs w:val="28"/>
                <w:lang w:bidi="ar-EG"/>
              </w:rPr>
              <w:t>±</w:t>
            </w:r>
            <w:r w:rsidR="008C68D7" w:rsidRPr="000E2D76">
              <w:rPr>
                <w:rFonts w:cstheme="minorHAnsi"/>
                <w:sz w:val="28"/>
                <w:szCs w:val="28"/>
                <w:lang w:bidi="ar-EG"/>
              </w:rPr>
              <w:t>0.02</w:t>
            </w:r>
            <w:r w:rsidR="00C814E5">
              <w:rPr>
                <w:rFonts w:cstheme="minorHAnsi"/>
                <w:sz w:val="28"/>
                <w:szCs w:val="28"/>
                <w:lang w:bidi="ar-EG"/>
              </w:rPr>
              <w:t>b</w:t>
            </w:r>
          </w:p>
        </w:tc>
        <w:tc>
          <w:tcPr>
            <w:tcW w:w="2338" w:type="dxa"/>
          </w:tcPr>
          <w:p w14:paraId="404874E1" w14:textId="77777777" w:rsidR="00D93AE6" w:rsidRPr="000E2D76" w:rsidRDefault="00D93AE6" w:rsidP="0078445E">
            <w:pPr>
              <w:rPr>
                <w:rFonts w:cstheme="minorHAnsi"/>
                <w:sz w:val="28"/>
                <w:szCs w:val="28"/>
                <w:lang w:bidi="ar-EG"/>
              </w:rPr>
            </w:pPr>
            <w:r w:rsidRPr="000E2D76">
              <w:rPr>
                <w:rFonts w:cstheme="minorHAnsi"/>
                <w:sz w:val="28"/>
                <w:szCs w:val="28"/>
                <w:lang w:bidi="ar-EG"/>
              </w:rPr>
              <w:t>0.29</w:t>
            </w:r>
            <w:r w:rsidR="007C4556" w:rsidRPr="000E2D76">
              <w:rPr>
                <w:rFonts w:cstheme="minorHAnsi"/>
                <w:sz w:val="28"/>
                <w:szCs w:val="28"/>
                <w:lang w:bidi="ar-EG"/>
              </w:rPr>
              <w:t>±</w:t>
            </w:r>
            <w:r w:rsidR="008C68D7" w:rsidRPr="000E2D76">
              <w:rPr>
                <w:rFonts w:cstheme="minorHAnsi"/>
                <w:sz w:val="28"/>
                <w:szCs w:val="28"/>
                <w:lang w:bidi="ar-EG"/>
              </w:rPr>
              <w:t>0.05</w:t>
            </w:r>
            <w:r w:rsidR="00C814E5">
              <w:rPr>
                <w:rFonts w:cstheme="minorHAnsi"/>
                <w:sz w:val="28"/>
                <w:szCs w:val="28"/>
                <w:lang w:bidi="ar-EG"/>
              </w:rPr>
              <w:t>a</w:t>
            </w:r>
          </w:p>
        </w:tc>
      </w:tr>
      <w:tr w:rsidR="00D93AE6" w:rsidRPr="000E2D76" w14:paraId="6D7ED645" w14:textId="77777777" w:rsidTr="0078445E">
        <w:tc>
          <w:tcPr>
            <w:tcW w:w="2337" w:type="dxa"/>
          </w:tcPr>
          <w:p w14:paraId="6731BF67" w14:textId="77777777" w:rsidR="00D93AE6" w:rsidRPr="000E2D76" w:rsidRDefault="00D93AE6" w:rsidP="0078445E">
            <w:pPr>
              <w:rPr>
                <w:rFonts w:cstheme="minorHAnsi"/>
                <w:sz w:val="28"/>
                <w:szCs w:val="28"/>
                <w:lang w:bidi="ar-EG"/>
              </w:rPr>
            </w:pPr>
            <w:r w:rsidRPr="000E2D76">
              <w:rPr>
                <w:rStyle w:val="hgkelc"/>
                <w:rFonts w:cstheme="minorHAnsi"/>
                <w:sz w:val="28"/>
                <w:szCs w:val="28"/>
                <w:lang w:val="en"/>
              </w:rPr>
              <w:t>Behenic</w:t>
            </w:r>
            <w:r w:rsidR="007C4556" w:rsidRPr="000E2D76">
              <w:rPr>
                <w:rStyle w:val="hgkelc"/>
                <w:rFonts w:cstheme="minorHAnsi"/>
                <w:b/>
                <w:bCs/>
                <w:sz w:val="28"/>
                <w:szCs w:val="28"/>
                <w:lang w:val="en"/>
              </w:rPr>
              <w:t xml:space="preserve"> </w:t>
            </w:r>
            <w:r w:rsidR="007C4556" w:rsidRPr="000E2D76">
              <w:rPr>
                <w:rFonts w:cstheme="minorHAnsi"/>
                <w:sz w:val="28"/>
                <w:szCs w:val="28"/>
                <w:lang w:bidi="ar-EG"/>
              </w:rPr>
              <w:t>acid</w:t>
            </w:r>
            <w:r w:rsidRPr="000E2D76">
              <w:rPr>
                <w:rFonts w:cstheme="minorHAnsi"/>
                <w:sz w:val="28"/>
                <w:szCs w:val="28"/>
                <w:lang w:bidi="ar-EG"/>
              </w:rPr>
              <w:t xml:space="preserve"> </w:t>
            </w:r>
          </w:p>
        </w:tc>
        <w:tc>
          <w:tcPr>
            <w:tcW w:w="2337" w:type="dxa"/>
          </w:tcPr>
          <w:p w14:paraId="7A88B133" w14:textId="77777777" w:rsidR="00D93AE6" w:rsidRPr="000E2D76" w:rsidRDefault="00D93AE6" w:rsidP="0078445E">
            <w:pPr>
              <w:rPr>
                <w:rFonts w:cstheme="minorHAnsi"/>
                <w:sz w:val="28"/>
                <w:szCs w:val="28"/>
                <w:lang w:bidi="ar-EG"/>
              </w:rPr>
            </w:pPr>
            <w:r w:rsidRPr="000E2D76">
              <w:rPr>
                <w:rFonts w:cstheme="minorHAnsi"/>
                <w:sz w:val="28"/>
                <w:szCs w:val="28"/>
                <w:lang w:bidi="ar-EG"/>
              </w:rPr>
              <w:t>0.55</w:t>
            </w:r>
            <w:r w:rsidR="007C4556" w:rsidRPr="000E2D76">
              <w:rPr>
                <w:rFonts w:cstheme="minorHAnsi"/>
                <w:sz w:val="28"/>
                <w:szCs w:val="28"/>
                <w:lang w:bidi="ar-EG"/>
              </w:rPr>
              <w:t>±</w:t>
            </w:r>
            <w:r w:rsidR="008C68D7" w:rsidRPr="000E2D76">
              <w:rPr>
                <w:rFonts w:cstheme="minorHAnsi"/>
                <w:sz w:val="28"/>
                <w:szCs w:val="28"/>
                <w:lang w:bidi="ar-EG"/>
              </w:rPr>
              <w:t>0.02</w:t>
            </w:r>
            <w:r w:rsidR="00C814E5">
              <w:rPr>
                <w:rFonts w:cstheme="minorHAnsi"/>
                <w:sz w:val="28"/>
                <w:szCs w:val="28"/>
                <w:lang w:bidi="ar-EG"/>
              </w:rPr>
              <w:t>c</w:t>
            </w:r>
          </w:p>
        </w:tc>
        <w:tc>
          <w:tcPr>
            <w:tcW w:w="2338" w:type="dxa"/>
          </w:tcPr>
          <w:p w14:paraId="6902E91C" w14:textId="77777777" w:rsidR="00D93AE6" w:rsidRPr="000E2D76" w:rsidRDefault="00D93AE6" w:rsidP="0078445E">
            <w:pPr>
              <w:rPr>
                <w:rFonts w:cstheme="minorHAnsi"/>
                <w:sz w:val="28"/>
                <w:szCs w:val="28"/>
                <w:lang w:bidi="ar-EG"/>
              </w:rPr>
            </w:pPr>
            <w:r w:rsidRPr="000E2D76">
              <w:rPr>
                <w:rFonts w:cstheme="minorHAnsi"/>
                <w:sz w:val="28"/>
                <w:szCs w:val="28"/>
                <w:lang w:bidi="ar-EG"/>
              </w:rPr>
              <w:t>0.59</w:t>
            </w:r>
            <w:r w:rsidR="007C4556" w:rsidRPr="000E2D76">
              <w:rPr>
                <w:rFonts w:cstheme="minorHAnsi"/>
                <w:sz w:val="28"/>
                <w:szCs w:val="28"/>
                <w:lang w:bidi="ar-EG"/>
              </w:rPr>
              <w:t>±</w:t>
            </w:r>
            <w:r w:rsidR="008C68D7" w:rsidRPr="000E2D76">
              <w:rPr>
                <w:rFonts w:cstheme="minorHAnsi"/>
                <w:sz w:val="28"/>
                <w:szCs w:val="28"/>
                <w:lang w:bidi="ar-EG"/>
              </w:rPr>
              <w:t>0.04</w:t>
            </w:r>
            <w:r w:rsidR="00C814E5">
              <w:rPr>
                <w:rFonts w:cstheme="minorHAnsi"/>
                <w:sz w:val="28"/>
                <w:szCs w:val="28"/>
                <w:lang w:bidi="ar-EG"/>
              </w:rPr>
              <w:t>b</w:t>
            </w:r>
          </w:p>
        </w:tc>
        <w:tc>
          <w:tcPr>
            <w:tcW w:w="2338" w:type="dxa"/>
          </w:tcPr>
          <w:p w14:paraId="2FB5D37B" w14:textId="77777777" w:rsidR="00D93AE6" w:rsidRPr="000E2D76" w:rsidRDefault="00D93AE6" w:rsidP="0078445E">
            <w:pPr>
              <w:rPr>
                <w:rFonts w:cstheme="minorHAnsi"/>
                <w:sz w:val="28"/>
                <w:szCs w:val="28"/>
                <w:lang w:bidi="ar-EG"/>
              </w:rPr>
            </w:pPr>
            <w:r w:rsidRPr="000E2D76">
              <w:rPr>
                <w:rFonts w:cstheme="minorHAnsi"/>
                <w:sz w:val="28"/>
                <w:szCs w:val="28"/>
                <w:lang w:bidi="ar-EG"/>
              </w:rPr>
              <w:t>0.73</w:t>
            </w:r>
            <w:r w:rsidR="007C4556" w:rsidRPr="000E2D76">
              <w:rPr>
                <w:rFonts w:cstheme="minorHAnsi"/>
                <w:sz w:val="28"/>
                <w:szCs w:val="28"/>
                <w:lang w:bidi="ar-EG"/>
              </w:rPr>
              <w:t>±</w:t>
            </w:r>
            <w:r w:rsidR="008C68D7" w:rsidRPr="000E2D76">
              <w:rPr>
                <w:rFonts w:cstheme="minorHAnsi"/>
                <w:sz w:val="28"/>
                <w:szCs w:val="28"/>
                <w:lang w:bidi="ar-EG"/>
              </w:rPr>
              <w:t>0.03</w:t>
            </w:r>
            <w:r w:rsidR="00C814E5">
              <w:rPr>
                <w:rFonts w:cstheme="minorHAnsi"/>
                <w:sz w:val="28"/>
                <w:szCs w:val="28"/>
                <w:lang w:bidi="ar-EG"/>
              </w:rPr>
              <w:t>a</w:t>
            </w:r>
          </w:p>
        </w:tc>
      </w:tr>
    </w:tbl>
    <w:p w14:paraId="35EF04EF" w14:textId="77777777" w:rsidR="007C4556" w:rsidRPr="000E2D76" w:rsidRDefault="007C4556" w:rsidP="007C4556">
      <w:pPr>
        <w:jc w:val="both"/>
        <w:rPr>
          <w:rFonts w:asciiTheme="majorBidi" w:hAnsiTheme="majorBidi" w:cstheme="majorBidi"/>
          <w:sz w:val="28"/>
          <w:szCs w:val="28"/>
        </w:rPr>
      </w:pPr>
      <w:r w:rsidRPr="000E2D76">
        <w:rPr>
          <w:rFonts w:asciiTheme="majorBidi" w:hAnsiTheme="majorBidi" w:cstheme="majorBidi"/>
          <w:sz w:val="28"/>
          <w:szCs w:val="28"/>
        </w:rPr>
        <w:t xml:space="preserve">Values are means ± SD; means having the different case letter(s) within a row are significantly different at P≤0.05. SFOBW8= Sunflower oil-beeswax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8%, SFOSFW10= Sunflower oil-sunflower wax </w:t>
      </w:r>
      <w:proofErr w:type="spellStart"/>
      <w:r w:rsidRPr="000E2D76">
        <w:rPr>
          <w:rFonts w:asciiTheme="majorBidi" w:hAnsiTheme="majorBidi" w:cstheme="majorBidi"/>
          <w:sz w:val="28"/>
          <w:szCs w:val="28"/>
        </w:rPr>
        <w:t>oleogel</w:t>
      </w:r>
      <w:proofErr w:type="spellEnd"/>
      <w:r w:rsidRPr="000E2D76">
        <w:rPr>
          <w:rFonts w:asciiTheme="majorBidi" w:hAnsiTheme="majorBidi" w:cstheme="majorBidi"/>
          <w:sz w:val="28"/>
          <w:szCs w:val="28"/>
        </w:rPr>
        <w:t xml:space="preserve"> 10%.</w:t>
      </w:r>
    </w:p>
    <w:p w14:paraId="2D9D2602" w14:textId="77777777" w:rsidR="00D93AE6" w:rsidRPr="000E2D76" w:rsidRDefault="00D93AE6" w:rsidP="008A7244">
      <w:pPr>
        <w:jc w:val="both"/>
        <w:rPr>
          <w:color w:val="000000" w:themeColor="text1"/>
          <w:sz w:val="28"/>
          <w:szCs w:val="28"/>
          <w:lang w:bidi="ar-EG"/>
        </w:rPr>
      </w:pPr>
    </w:p>
    <w:p w14:paraId="00C7E4C3" w14:textId="77777777" w:rsidR="00D93AE6" w:rsidRPr="000E2D76" w:rsidRDefault="00D93AE6" w:rsidP="008A7244">
      <w:pPr>
        <w:jc w:val="both"/>
        <w:rPr>
          <w:color w:val="000000" w:themeColor="text1"/>
          <w:sz w:val="28"/>
          <w:szCs w:val="28"/>
          <w:lang w:bidi="ar-EG"/>
        </w:rPr>
      </w:pPr>
    </w:p>
    <w:p w14:paraId="0F9FABA3" w14:textId="77777777" w:rsidR="00D93AE6" w:rsidRPr="000E2D76" w:rsidRDefault="00D93AE6" w:rsidP="00D93AE6">
      <w:pPr>
        <w:rPr>
          <w:b/>
          <w:bCs/>
          <w:sz w:val="28"/>
          <w:szCs w:val="28"/>
        </w:rPr>
      </w:pPr>
      <w:r w:rsidRPr="000E2D76">
        <w:rPr>
          <w:b/>
          <w:bCs/>
          <w:sz w:val="28"/>
          <w:szCs w:val="28"/>
        </w:rPr>
        <w:t xml:space="preserve">Table </w:t>
      </w:r>
      <w:r w:rsidR="00D247B5" w:rsidRPr="000E2D76">
        <w:rPr>
          <w:b/>
          <w:bCs/>
          <w:sz w:val="28"/>
          <w:szCs w:val="28"/>
        </w:rPr>
        <w:t xml:space="preserve">8. </w:t>
      </w:r>
      <w:r w:rsidRPr="000E2D76">
        <w:rPr>
          <w:b/>
          <w:bCs/>
          <w:sz w:val="28"/>
          <w:szCs w:val="28"/>
        </w:rPr>
        <w:t xml:space="preserve">pH Changes in Frankfurters Containing Sunflower Oil-Based </w:t>
      </w:r>
      <w:proofErr w:type="spellStart"/>
      <w:r w:rsidRPr="000E2D76">
        <w:rPr>
          <w:b/>
          <w:bCs/>
          <w:sz w:val="28"/>
          <w:szCs w:val="28"/>
        </w:rPr>
        <w:t>Oleogels</w:t>
      </w:r>
      <w:proofErr w:type="spellEnd"/>
      <w:r w:rsidRPr="000E2D76">
        <w:rPr>
          <w:b/>
          <w:bCs/>
          <w:sz w:val="28"/>
          <w:szCs w:val="28"/>
        </w:rPr>
        <w:t xml:space="preserve"> During Storage</w:t>
      </w:r>
    </w:p>
    <w:tbl>
      <w:tblPr>
        <w:tblW w:w="11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011"/>
        <w:gridCol w:w="1752"/>
        <w:gridCol w:w="1620"/>
        <w:gridCol w:w="1721"/>
        <w:gridCol w:w="1620"/>
        <w:gridCol w:w="1556"/>
      </w:tblGrid>
      <w:tr w:rsidR="00D93AE6" w:rsidRPr="000E2D76" w14:paraId="6C958401" w14:textId="77777777" w:rsidTr="0078445E">
        <w:trPr>
          <w:trHeight w:val="300"/>
          <w:jc w:val="center"/>
        </w:trPr>
        <w:tc>
          <w:tcPr>
            <w:tcW w:w="1753" w:type="dxa"/>
            <w:vMerge w:val="restart"/>
            <w:vAlign w:val="center"/>
          </w:tcPr>
          <w:p w14:paraId="7B8858CA"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Parameter</w:t>
            </w:r>
          </w:p>
        </w:tc>
        <w:tc>
          <w:tcPr>
            <w:tcW w:w="1011" w:type="dxa"/>
            <w:vMerge w:val="restart"/>
            <w:shd w:val="clear" w:color="auto" w:fill="auto"/>
            <w:noWrap/>
            <w:vAlign w:val="center"/>
          </w:tcPr>
          <w:p w14:paraId="38C33B27"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Storage time (Day)</w:t>
            </w:r>
          </w:p>
        </w:tc>
        <w:tc>
          <w:tcPr>
            <w:tcW w:w="8269" w:type="dxa"/>
            <w:gridSpan w:val="5"/>
            <w:shd w:val="clear" w:color="auto" w:fill="auto"/>
            <w:noWrap/>
            <w:vAlign w:val="center"/>
          </w:tcPr>
          <w:p w14:paraId="34C1097B"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Sample</w:t>
            </w:r>
          </w:p>
        </w:tc>
      </w:tr>
      <w:tr w:rsidR="00D93AE6" w:rsidRPr="000E2D76" w14:paraId="3C16D50A" w14:textId="77777777" w:rsidTr="0078445E">
        <w:trPr>
          <w:trHeight w:val="485"/>
          <w:jc w:val="center"/>
        </w:trPr>
        <w:tc>
          <w:tcPr>
            <w:tcW w:w="1753" w:type="dxa"/>
            <w:vMerge/>
            <w:vAlign w:val="center"/>
          </w:tcPr>
          <w:p w14:paraId="3EF60FC7"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vMerge/>
            <w:shd w:val="clear" w:color="auto" w:fill="auto"/>
            <w:noWrap/>
            <w:vAlign w:val="center"/>
            <w:hideMark/>
          </w:tcPr>
          <w:p w14:paraId="00C8110D"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752" w:type="dxa"/>
            <w:shd w:val="clear" w:color="auto" w:fill="auto"/>
            <w:noWrap/>
            <w:vAlign w:val="center"/>
            <w:hideMark/>
          </w:tcPr>
          <w:p w14:paraId="1642C557"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Control frankfurter (100% animal fat)</w:t>
            </w:r>
          </w:p>
        </w:tc>
        <w:tc>
          <w:tcPr>
            <w:tcW w:w="1620" w:type="dxa"/>
            <w:shd w:val="clear" w:color="auto" w:fill="auto"/>
            <w:noWrap/>
            <w:vAlign w:val="center"/>
            <w:hideMark/>
          </w:tcPr>
          <w:p w14:paraId="1A995521"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 xml:space="preserve">50% animal fat + </w:t>
            </w:r>
          </w:p>
          <w:p w14:paraId="07638CA6"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 xml:space="preserve">50% </w:t>
            </w:r>
            <w:r w:rsidRPr="000E2D76">
              <w:rPr>
                <w:rFonts w:ascii="Times New Roman" w:eastAsia="Times New Roman" w:hAnsi="Times New Roman" w:cs="Times New Roman"/>
                <w:sz w:val="28"/>
                <w:szCs w:val="28"/>
              </w:rPr>
              <w:t>Sunflower Oil + Sunflower Wax 10%</w:t>
            </w:r>
          </w:p>
        </w:tc>
        <w:tc>
          <w:tcPr>
            <w:tcW w:w="1721" w:type="dxa"/>
            <w:shd w:val="clear" w:color="auto" w:fill="auto"/>
            <w:noWrap/>
            <w:vAlign w:val="center"/>
            <w:hideMark/>
          </w:tcPr>
          <w:p w14:paraId="11177A3C"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 xml:space="preserve">100% </w:t>
            </w:r>
            <w:r w:rsidRPr="000E2D76">
              <w:rPr>
                <w:rFonts w:ascii="Times New Roman" w:eastAsia="Times New Roman" w:hAnsi="Times New Roman" w:cs="Times New Roman"/>
                <w:sz w:val="28"/>
                <w:szCs w:val="28"/>
              </w:rPr>
              <w:t>Sunflower Oil + Sunflower Wax 10%</w:t>
            </w:r>
          </w:p>
        </w:tc>
        <w:tc>
          <w:tcPr>
            <w:tcW w:w="1620" w:type="dxa"/>
            <w:shd w:val="clear" w:color="auto" w:fill="auto"/>
            <w:noWrap/>
            <w:vAlign w:val="center"/>
            <w:hideMark/>
          </w:tcPr>
          <w:p w14:paraId="4CB91B49"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animal fat +</w:t>
            </w:r>
          </w:p>
          <w:p w14:paraId="7458ACA6"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 xml:space="preserve">50% </w:t>
            </w:r>
            <w:r w:rsidRPr="000E2D76">
              <w:rPr>
                <w:rFonts w:ascii="Times New Roman" w:eastAsia="Times New Roman" w:hAnsi="Times New Roman" w:cs="Times New Roman"/>
                <w:sz w:val="28"/>
                <w:szCs w:val="28"/>
              </w:rPr>
              <w:t xml:space="preserve">Sunflower Oil + </w:t>
            </w:r>
            <w:proofErr w:type="spellStart"/>
            <w:r w:rsidRPr="000E2D76">
              <w:rPr>
                <w:rFonts w:ascii="Times New Roman" w:eastAsia="Times New Roman" w:hAnsi="Times New Roman" w:cs="Times New Roman"/>
                <w:sz w:val="28"/>
                <w:szCs w:val="28"/>
              </w:rPr>
              <w:t>beesWax</w:t>
            </w:r>
            <w:proofErr w:type="spellEnd"/>
            <w:r w:rsidRPr="000E2D76">
              <w:rPr>
                <w:rFonts w:ascii="Times New Roman" w:eastAsia="Times New Roman" w:hAnsi="Times New Roman" w:cs="Times New Roman"/>
                <w:sz w:val="28"/>
                <w:szCs w:val="28"/>
              </w:rPr>
              <w:t xml:space="preserve"> 8%</w:t>
            </w:r>
          </w:p>
        </w:tc>
        <w:tc>
          <w:tcPr>
            <w:tcW w:w="1556" w:type="dxa"/>
            <w:shd w:val="clear" w:color="auto" w:fill="auto"/>
            <w:noWrap/>
            <w:vAlign w:val="center"/>
            <w:hideMark/>
          </w:tcPr>
          <w:p w14:paraId="08E45ED5"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 xml:space="preserve">100% </w:t>
            </w:r>
            <w:r w:rsidRPr="000E2D76">
              <w:rPr>
                <w:rFonts w:ascii="Times New Roman" w:eastAsia="Times New Roman" w:hAnsi="Times New Roman" w:cs="Times New Roman"/>
                <w:sz w:val="28"/>
                <w:szCs w:val="28"/>
              </w:rPr>
              <w:t xml:space="preserve">Sunflower Oil + </w:t>
            </w:r>
            <w:proofErr w:type="spellStart"/>
            <w:r w:rsidRPr="000E2D76">
              <w:rPr>
                <w:rFonts w:ascii="Times New Roman" w:eastAsia="Times New Roman" w:hAnsi="Times New Roman" w:cs="Times New Roman"/>
                <w:sz w:val="28"/>
                <w:szCs w:val="28"/>
              </w:rPr>
              <w:t>beesWax</w:t>
            </w:r>
            <w:proofErr w:type="spellEnd"/>
            <w:r w:rsidRPr="000E2D76">
              <w:rPr>
                <w:rFonts w:ascii="Times New Roman" w:eastAsia="Times New Roman" w:hAnsi="Times New Roman" w:cs="Times New Roman"/>
                <w:sz w:val="28"/>
                <w:szCs w:val="28"/>
              </w:rPr>
              <w:t xml:space="preserve"> 8%</w:t>
            </w:r>
          </w:p>
        </w:tc>
      </w:tr>
      <w:tr w:rsidR="00D93AE6" w:rsidRPr="000E2D76" w14:paraId="73B37AA2" w14:textId="77777777" w:rsidTr="0078445E">
        <w:trPr>
          <w:trHeight w:val="300"/>
          <w:jc w:val="center"/>
        </w:trPr>
        <w:tc>
          <w:tcPr>
            <w:tcW w:w="1753" w:type="dxa"/>
            <w:vMerge w:val="restart"/>
            <w:vAlign w:val="center"/>
          </w:tcPr>
          <w:p w14:paraId="52F7BB4C"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pH</w:t>
            </w:r>
          </w:p>
        </w:tc>
        <w:tc>
          <w:tcPr>
            <w:tcW w:w="1011" w:type="dxa"/>
            <w:shd w:val="clear" w:color="auto" w:fill="auto"/>
            <w:noWrap/>
            <w:vAlign w:val="center"/>
          </w:tcPr>
          <w:p w14:paraId="04D92436"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0</w:t>
            </w:r>
          </w:p>
        </w:tc>
        <w:tc>
          <w:tcPr>
            <w:tcW w:w="1752" w:type="dxa"/>
            <w:shd w:val="clear" w:color="auto" w:fill="auto"/>
            <w:noWrap/>
            <w:vAlign w:val="center"/>
          </w:tcPr>
          <w:p w14:paraId="194ED7AD"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5.45±0.01a</w:t>
            </w:r>
          </w:p>
        </w:tc>
        <w:tc>
          <w:tcPr>
            <w:tcW w:w="1620" w:type="dxa"/>
            <w:shd w:val="clear" w:color="auto" w:fill="auto"/>
            <w:noWrap/>
            <w:vAlign w:val="center"/>
          </w:tcPr>
          <w:p w14:paraId="00B4DA33"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5.44</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a</w:t>
            </w:r>
          </w:p>
        </w:tc>
        <w:tc>
          <w:tcPr>
            <w:tcW w:w="1721" w:type="dxa"/>
            <w:shd w:val="clear" w:color="auto" w:fill="auto"/>
            <w:noWrap/>
            <w:vAlign w:val="center"/>
          </w:tcPr>
          <w:p w14:paraId="35237B8B"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5.44</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a</w:t>
            </w:r>
          </w:p>
        </w:tc>
        <w:tc>
          <w:tcPr>
            <w:tcW w:w="1620" w:type="dxa"/>
            <w:shd w:val="clear" w:color="auto" w:fill="auto"/>
            <w:noWrap/>
            <w:vAlign w:val="center"/>
          </w:tcPr>
          <w:p w14:paraId="2D4752FF"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5.45</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a</w:t>
            </w:r>
          </w:p>
        </w:tc>
        <w:tc>
          <w:tcPr>
            <w:tcW w:w="1556" w:type="dxa"/>
            <w:shd w:val="clear" w:color="auto" w:fill="auto"/>
            <w:noWrap/>
            <w:vAlign w:val="center"/>
          </w:tcPr>
          <w:p w14:paraId="2447DB44"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5.44</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a</w:t>
            </w:r>
          </w:p>
        </w:tc>
      </w:tr>
      <w:tr w:rsidR="00D93AE6" w:rsidRPr="000E2D76" w14:paraId="6DB8B550" w14:textId="77777777" w:rsidTr="0078445E">
        <w:trPr>
          <w:trHeight w:val="300"/>
          <w:jc w:val="center"/>
        </w:trPr>
        <w:tc>
          <w:tcPr>
            <w:tcW w:w="1753" w:type="dxa"/>
            <w:vMerge/>
            <w:vAlign w:val="center"/>
          </w:tcPr>
          <w:p w14:paraId="47748084"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shd w:val="clear" w:color="auto" w:fill="auto"/>
            <w:noWrap/>
            <w:vAlign w:val="center"/>
          </w:tcPr>
          <w:p w14:paraId="5B731A26"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6</w:t>
            </w:r>
          </w:p>
        </w:tc>
        <w:tc>
          <w:tcPr>
            <w:tcW w:w="1752" w:type="dxa"/>
            <w:shd w:val="clear" w:color="auto" w:fill="auto"/>
            <w:noWrap/>
            <w:vAlign w:val="center"/>
          </w:tcPr>
          <w:p w14:paraId="69BF079B"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6.30</w:t>
            </w:r>
            <w:r w:rsidRPr="000E2D76">
              <w:rPr>
                <w:rFonts w:asciiTheme="majorBidi" w:eastAsia="Times New Roman" w:hAnsiTheme="majorBidi" w:cstheme="majorBidi"/>
                <w:sz w:val="28"/>
                <w:szCs w:val="28"/>
              </w:rPr>
              <w:t>±0.1</w:t>
            </w:r>
            <w:r w:rsidRPr="000E2D76">
              <w:rPr>
                <w:rFonts w:asciiTheme="majorBidi" w:eastAsia="Times New Roman" w:hAnsiTheme="majorBidi" w:cstheme="majorBidi"/>
                <w:color w:val="000000"/>
                <w:sz w:val="28"/>
                <w:szCs w:val="28"/>
              </w:rPr>
              <w:t>a</w:t>
            </w:r>
          </w:p>
        </w:tc>
        <w:tc>
          <w:tcPr>
            <w:tcW w:w="1620" w:type="dxa"/>
            <w:shd w:val="clear" w:color="auto" w:fill="auto"/>
            <w:noWrap/>
            <w:vAlign w:val="center"/>
          </w:tcPr>
          <w:p w14:paraId="6093C369"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5.68</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b</w:t>
            </w:r>
          </w:p>
        </w:tc>
        <w:tc>
          <w:tcPr>
            <w:tcW w:w="1721" w:type="dxa"/>
            <w:shd w:val="clear" w:color="auto" w:fill="auto"/>
            <w:noWrap/>
            <w:vAlign w:val="center"/>
          </w:tcPr>
          <w:p w14:paraId="1FBC87E3"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5.68</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b</w:t>
            </w:r>
          </w:p>
        </w:tc>
        <w:tc>
          <w:tcPr>
            <w:tcW w:w="1620" w:type="dxa"/>
            <w:shd w:val="clear" w:color="auto" w:fill="auto"/>
            <w:noWrap/>
            <w:vAlign w:val="center"/>
          </w:tcPr>
          <w:p w14:paraId="1EB5C2CB"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5.56</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b</w:t>
            </w:r>
          </w:p>
        </w:tc>
        <w:tc>
          <w:tcPr>
            <w:tcW w:w="1556" w:type="dxa"/>
            <w:shd w:val="clear" w:color="auto" w:fill="auto"/>
            <w:noWrap/>
            <w:vAlign w:val="center"/>
          </w:tcPr>
          <w:p w14:paraId="3DFEA97B"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5.56</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b</w:t>
            </w:r>
          </w:p>
        </w:tc>
      </w:tr>
      <w:tr w:rsidR="00D93AE6" w:rsidRPr="000E2D76" w14:paraId="2B18B0EE" w14:textId="77777777" w:rsidTr="0078445E">
        <w:trPr>
          <w:trHeight w:val="300"/>
          <w:jc w:val="center"/>
        </w:trPr>
        <w:tc>
          <w:tcPr>
            <w:tcW w:w="1753" w:type="dxa"/>
            <w:vMerge/>
            <w:vAlign w:val="center"/>
          </w:tcPr>
          <w:p w14:paraId="6210B1E6"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shd w:val="clear" w:color="auto" w:fill="auto"/>
            <w:noWrap/>
            <w:vAlign w:val="center"/>
          </w:tcPr>
          <w:p w14:paraId="3585BDDD"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12</w:t>
            </w:r>
          </w:p>
        </w:tc>
        <w:tc>
          <w:tcPr>
            <w:tcW w:w="1752" w:type="dxa"/>
            <w:shd w:val="clear" w:color="auto" w:fill="auto"/>
            <w:noWrap/>
            <w:vAlign w:val="center"/>
          </w:tcPr>
          <w:p w14:paraId="66D1A40B"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6.83</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a</w:t>
            </w:r>
          </w:p>
        </w:tc>
        <w:tc>
          <w:tcPr>
            <w:tcW w:w="1620" w:type="dxa"/>
            <w:shd w:val="clear" w:color="auto" w:fill="auto"/>
            <w:noWrap/>
            <w:vAlign w:val="center"/>
          </w:tcPr>
          <w:p w14:paraId="138F3542"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5.80</w:t>
            </w:r>
            <w:r w:rsidRPr="000E2D76">
              <w:rPr>
                <w:rFonts w:asciiTheme="majorBidi" w:eastAsia="Times New Roman" w:hAnsiTheme="majorBidi" w:cstheme="majorBidi"/>
                <w:sz w:val="28"/>
                <w:szCs w:val="28"/>
              </w:rPr>
              <w:t>±0.02</w:t>
            </w:r>
            <w:r w:rsidRPr="000E2D76">
              <w:rPr>
                <w:rFonts w:asciiTheme="majorBidi" w:eastAsia="Times New Roman" w:hAnsiTheme="majorBidi" w:cstheme="majorBidi"/>
                <w:color w:val="000000"/>
                <w:sz w:val="28"/>
                <w:szCs w:val="28"/>
              </w:rPr>
              <w:t>b</w:t>
            </w:r>
          </w:p>
        </w:tc>
        <w:tc>
          <w:tcPr>
            <w:tcW w:w="1721" w:type="dxa"/>
            <w:shd w:val="clear" w:color="auto" w:fill="auto"/>
            <w:noWrap/>
            <w:vAlign w:val="center"/>
          </w:tcPr>
          <w:p w14:paraId="77FAD0BB"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5.74</w:t>
            </w:r>
            <w:r w:rsidRPr="000E2D76">
              <w:rPr>
                <w:rFonts w:asciiTheme="majorBidi" w:eastAsia="Times New Roman" w:hAnsiTheme="majorBidi" w:cstheme="majorBidi"/>
                <w:sz w:val="28"/>
                <w:szCs w:val="28"/>
              </w:rPr>
              <w:t>±0.02</w:t>
            </w:r>
            <w:r w:rsidRPr="000E2D76">
              <w:rPr>
                <w:rFonts w:asciiTheme="majorBidi" w:eastAsia="Times New Roman" w:hAnsiTheme="majorBidi" w:cstheme="majorBidi"/>
                <w:color w:val="000000"/>
                <w:sz w:val="28"/>
                <w:szCs w:val="28"/>
              </w:rPr>
              <w:t>b</w:t>
            </w:r>
          </w:p>
        </w:tc>
        <w:tc>
          <w:tcPr>
            <w:tcW w:w="1620" w:type="dxa"/>
            <w:shd w:val="clear" w:color="auto" w:fill="auto"/>
            <w:noWrap/>
            <w:vAlign w:val="center"/>
          </w:tcPr>
          <w:p w14:paraId="6C269921"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5.68</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b</w:t>
            </w:r>
          </w:p>
        </w:tc>
        <w:tc>
          <w:tcPr>
            <w:tcW w:w="1556" w:type="dxa"/>
            <w:shd w:val="clear" w:color="auto" w:fill="auto"/>
            <w:noWrap/>
            <w:vAlign w:val="center"/>
          </w:tcPr>
          <w:p w14:paraId="1FCD894A"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5.73</w:t>
            </w:r>
            <w:r w:rsidRPr="000E2D76">
              <w:rPr>
                <w:rFonts w:asciiTheme="majorBidi" w:eastAsia="Times New Roman" w:hAnsiTheme="majorBidi" w:cstheme="majorBidi"/>
                <w:sz w:val="28"/>
                <w:szCs w:val="28"/>
              </w:rPr>
              <w:t>±0.01</w:t>
            </w:r>
            <w:r w:rsidRPr="000E2D76">
              <w:rPr>
                <w:rFonts w:asciiTheme="majorBidi" w:eastAsia="Times New Roman" w:hAnsiTheme="majorBidi" w:cstheme="majorBidi"/>
                <w:color w:val="000000"/>
                <w:sz w:val="28"/>
                <w:szCs w:val="28"/>
              </w:rPr>
              <w:t>b</w:t>
            </w:r>
          </w:p>
        </w:tc>
      </w:tr>
    </w:tbl>
    <w:p w14:paraId="6D485427" w14:textId="77777777" w:rsidR="00D93AE6" w:rsidRPr="000E2D76" w:rsidRDefault="00D93AE6" w:rsidP="00D247B5">
      <w:pPr>
        <w:rPr>
          <w:sz w:val="28"/>
          <w:szCs w:val="28"/>
          <w:lang w:bidi="ar-EG"/>
        </w:rPr>
      </w:pPr>
      <w:r w:rsidRPr="000E2D76">
        <w:rPr>
          <w:b/>
          <w:bCs/>
          <w:sz w:val="28"/>
          <w:szCs w:val="28"/>
        </w:rPr>
        <w:t xml:space="preserve">Table </w:t>
      </w:r>
      <w:r w:rsidR="00D247B5" w:rsidRPr="000E2D76">
        <w:rPr>
          <w:b/>
          <w:bCs/>
          <w:sz w:val="28"/>
          <w:szCs w:val="28"/>
          <w:lang w:bidi="ar-EG"/>
        </w:rPr>
        <w:t xml:space="preserve">9. </w:t>
      </w:r>
      <w:r w:rsidRPr="000E2D76">
        <w:rPr>
          <w:b/>
          <w:bCs/>
          <w:sz w:val="28"/>
          <w:szCs w:val="28"/>
        </w:rPr>
        <w:t xml:space="preserve">TBA Changes in Frankfurters Containing Sunflower Oil-Based </w:t>
      </w:r>
      <w:proofErr w:type="spellStart"/>
      <w:r w:rsidRPr="000E2D76">
        <w:rPr>
          <w:b/>
          <w:bCs/>
          <w:sz w:val="28"/>
          <w:szCs w:val="28"/>
        </w:rPr>
        <w:t>Oleogels</w:t>
      </w:r>
      <w:proofErr w:type="spellEnd"/>
      <w:r w:rsidRPr="000E2D76">
        <w:rPr>
          <w:b/>
          <w:bCs/>
          <w:sz w:val="28"/>
          <w:szCs w:val="28"/>
        </w:rPr>
        <w:t xml:space="preserve"> During Storage</w:t>
      </w:r>
    </w:p>
    <w:tbl>
      <w:tblPr>
        <w:tblW w:w="11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011"/>
        <w:gridCol w:w="1752"/>
        <w:gridCol w:w="1620"/>
        <w:gridCol w:w="1721"/>
        <w:gridCol w:w="1620"/>
        <w:gridCol w:w="1556"/>
      </w:tblGrid>
      <w:tr w:rsidR="00D93AE6" w:rsidRPr="000E2D76" w14:paraId="3A23BD27" w14:textId="77777777" w:rsidTr="0078445E">
        <w:trPr>
          <w:trHeight w:val="300"/>
          <w:jc w:val="center"/>
        </w:trPr>
        <w:tc>
          <w:tcPr>
            <w:tcW w:w="1753" w:type="dxa"/>
            <w:vMerge w:val="restart"/>
            <w:vAlign w:val="center"/>
          </w:tcPr>
          <w:p w14:paraId="0AD15721"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Parameter</w:t>
            </w:r>
          </w:p>
        </w:tc>
        <w:tc>
          <w:tcPr>
            <w:tcW w:w="1011" w:type="dxa"/>
            <w:vMerge w:val="restart"/>
            <w:shd w:val="clear" w:color="auto" w:fill="auto"/>
            <w:noWrap/>
            <w:vAlign w:val="center"/>
          </w:tcPr>
          <w:p w14:paraId="1C084350"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Storage time (Day)</w:t>
            </w:r>
          </w:p>
        </w:tc>
        <w:tc>
          <w:tcPr>
            <w:tcW w:w="8269" w:type="dxa"/>
            <w:gridSpan w:val="5"/>
            <w:shd w:val="clear" w:color="auto" w:fill="auto"/>
            <w:noWrap/>
            <w:vAlign w:val="center"/>
          </w:tcPr>
          <w:p w14:paraId="040B21FE"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Sample</w:t>
            </w:r>
          </w:p>
        </w:tc>
      </w:tr>
      <w:tr w:rsidR="00D93AE6" w:rsidRPr="000E2D76" w14:paraId="5A7DE6E1" w14:textId="77777777" w:rsidTr="0078445E">
        <w:trPr>
          <w:trHeight w:val="300"/>
          <w:jc w:val="center"/>
        </w:trPr>
        <w:tc>
          <w:tcPr>
            <w:tcW w:w="1753" w:type="dxa"/>
            <w:vMerge/>
            <w:vAlign w:val="center"/>
          </w:tcPr>
          <w:p w14:paraId="081C5DA2"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vMerge/>
            <w:shd w:val="clear" w:color="auto" w:fill="auto"/>
            <w:noWrap/>
            <w:vAlign w:val="center"/>
          </w:tcPr>
          <w:p w14:paraId="4340C8DF"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752" w:type="dxa"/>
            <w:shd w:val="clear" w:color="auto" w:fill="auto"/>
            <w:noWrap/>
            <w:vAlign w:val="center"/>
          </w:tcPr>
          <w:p w14:paraId="2766F59F"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Control</w:t>
            </w:r>
          </w:p>
        </w:tc>
        <w:tc>
          <w:tcPr>
            <w:tcW w:w="1620" w:type="dxa"/>
            <w:shd w:val="clear" w:color="auto" w:fill="auto"/>
            <w:noWrap/>
            <w:vAlign w:val="center"/>
          </w:tcPr>
          <w:p w14:paraId="33E989BD"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SG</w:t>
            </w:r>
          </w:p>
        </w:tc>
        <w:tc>
          <w:tcPr>
            <w:tcW w:w="1721" w:type="dxa"/>
            <w:shd w:val="clear" w:color="auto" w:fill="auto"/>
            <w:noWrap/>
            <w:vAlign w:val="center"/>
          </w:tcPr>
          <w:p w14:paraId="2155DB3F"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100% SG</w:t>
            </w:r>
          </w:p>
        </w:tc>
        <w:tc>
          <w:tcPr>
            <w:tcW w:w="1620" w:type="dxa"/>
            <w:shd w:val="clear" w:color="auto" w:fill="auto"/>
            <w:noWrap/>
            <w:vAlign w:val="center"/>
          </w:tcPr>
          <w:p w14:paraId="75C8D394"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BG</w:t>
            </w:r>
          </w:p>
        </w:tc>
        <w:tc>
          <w:tcPr>
            <w:tcW w:w="1556" w:type="dxa"/>
            <w:shd w:val="clear" w:color="auto" w:fill="auto"/>
            <w:noWrap/>
            <w:vAlign w:val="center"/>
          </w:tcPr>
          <w:p w14:paraId="3469D0D9"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100% BG</w:t>
            </w:r>
          </w:p>
        </w:tc>
      </w:tr>
      <w:tr w:rsidR="00D93AE6" w:rsidRPr="000E2D76" w14:paraId="270BC497" w14:textId="77777777" w:rsidTr="0078445E">
        <w:trPr>
          <w:trHeight w:val="300"/>
          <w:jc w:val="center"/>
        </w:trPr>
        <w:tc>
          <w:tcPr>
            <w:tcW w:w="1753" w:type="dxa"/>
            <w:vMerge w:val="restart"/>
            <w:vAlign w:val="center"/>
          </w:tcPr>
          <w:p w14:paraId="2B0F1B9C"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TBA</w:t>
            </w:r>
          </w:p>
          <w:p w14:paraId="7DA2E94A"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MDA/ Kg</w:t>
            </w:r>
          </w:p>
        </w:tc>
        <w:tc>
          <w:tcPr>
            <w:tcW w:w="1011" w:type="dxa"/>
            <w:shd w:val="clear" w:color="auto" w:fill="auto"/>
            <w:noWrap/>
            <w:vAlign w:val="center"/>
          </w:tcPr>
          <w:p w14:paraId="6DDCAFDF"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0</w:t>
            </w:r>
          </w:p>
        </w:tc>
        <w:tc>
          <w:tcPr>
            <w:tcW w:w="1752" w:type="dxa"/>
            <w:shd w:val="clear" w:color="auto" w:fill="auto"/>
            <w:noWrap/>
            <w:vAlign w:val="center"/>
          </w:tcPr>
          <w:p w14:paraId="4653DEBE"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0.26±0.04a</w:t>
            </w:r>
          </w:p>
        </w:tc>
        <w:tc>
          <w:tcPr>
            <w:tcW w:w="1620" w:type="dxa"/>
            <w:shd w:val="clear" w:color="auto" w:fill="auto"/>
            <w:noWrap/>
            <w:vAlign w:val="center"/>
          </w:tcPr>
          <w:p w14:paraId="1A950C0C"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0.17±0.01b</w:t>
            </w:r>
          </w:p>
        </w:tc>
        <w:tc>
          <w:tcPr>
            <w:tcW w:w="1721" w:type="dxa"/>
            <w:shd w:val="clear" w:color="auto" w:fill="auto"/>
            <w:noWrap/>
            <w:vAlign w:val="center"/>
          </w:tcPr>
          <w:p w14:paraId="62FBE6D9"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0.17±0.01b</w:t>
            </w:r>
          </w:p>
        </w:tc>
        <w:tc>
          <w:tcPr>
            <w:tcW w:w="1620" w:type="dxa"/>
            <w:shd w:val="clear" w:color="auto" w:fill="auto"/>
            <w:noWrap/>
            <w:vAlign w:val="center"/>
          </w:tcPr>
          <w:p w14:paraId="74D3FF66"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0.18±0.01b</w:t>
            </w:r>
          </w:p>
        </w:tc>
        <w:tc>
          <w:tcPr>
            <w:tcW w:w="1556" w:type="dxa"/>
            <w:shd w:val="clear" w:color="auto" w:fill="auto"/>
            <w:noWrap/>
            <w:vAlign w:val="center"/>
          </w:tcPr>
          <w:p w14:paraId="03F9F3D4"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0.14±0.01b</w:t>
            </w:r>
          </w:p>
        </w:tc>
      </w:tr>
      <w:tr w:rsidR="00D93AE6" w:rsidRPr="000E2D76" w14:paraId="100860B4" w14:textId="77777777" w:rsidTr="0078445E">
        <w:trPr>
          <w:trHeight w:val="300"/>
          <w:jc w:val="center"/>
        </w:trPr>
        <w:tc>
          <w:tcPr>
            <w:tcW w:w="1753" w:type="dxa"/>
            <w:vMerge/>
            <w:vAlign w:val="center"/>
          </w:tcPr>
          <w:p w14:paraId="09818DA8"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shd w:val="clear" w:color="auto" w:fill="auto"/>
            <w:noWrap/>
            <w:vAlign w:val="center"/>
          </w:tcPr>
          <w:p w14:paraId="4A240D5E"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6</w:t>
            </w:r>
          </w:p>
        </w:tc>
        <w:tc>
          <w:tcPr>
            <w:tcW w:w="1752" w:type="dxa"/>
            <w:shd w:val="clear" w:color="auto" w:fill="auto"/>
            <w:noWrap/>
            <w:vAlign w:val="center"/>
          </w:tcPr>
          <w:p w14:paraId="6421B6D9"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0.85±0.02a</w:t>
            </w:r>
          </w:p>
        </w:tc>
        <w:tc>
          <w:tcPr>
            <w:tcW w:w="1620" w:type="dxa"/>
            <w:shd w:val="clear" w:color="auto" w:fill="auto"/>
            <w:noWrap/>
            <w:vAlign w:val="center"/>
          </w:tcPr>
          <w:p w14:paraId="7C708BA7"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0.32±0.01bc</w:t>
            </w:r>
          </w:p>
        </w:tc>
        <w:tc>
          <w:tcPr>
            <w:tcW w:w="1721" w:type="dxa"/>
            <w:shd w:val="clear" w:color="auto" w:fill="auto"/>
            <w:noWrap/>
            <w:vAlign w:val="center"/>
          </w:tcPr>
          <w:p w14:paraId="04AA8A4C"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0.32±0.02b</w:t>
            </w:r>
          </w:p>
        </w:tc>
        <w:tc>
          <w:tcPr>
            <w:tcW w:w="1620" w:type="dxa"/>
            <w:shd w:val="clear" w:color="auto" w:fill="auto"/>
            <w:noWrap/>
            <w:vAlign w:val="center"/>
          </w:tcPr>
          <w:p w14:paraId="1D882635"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0.29±0.02cd</w:t>
            </w:r>
          </w:p>
        </w:tc>
        <w:tc>
          <w:tcPr>
            <w:tcW w:w="1556" w:type="dxa"/>
            <w:shd w:val="clear" w:color="auto" w:fill="auto"/>
            <w:noWrap/>
            <w:vAlign w:val="center"/>
          </w:tcPr>
          <w:p w14:paraId="0B2E7342"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0.25±0.01cd</w:t>
            </w:r>
          </w:p>
        </w:tc>
      </w:tr>
      <w:tr w:rsidR="00D93AE6" w:rsidRPr="000E2D76" w14:paraId="5039D942" w14:textId="77777777" w:rsidTr="0078445E">
        <w:trPr>
          <w:trHeight w:val="300"/>
          <w:jc w:val="center"/>
        </w:trPr>
        <w:tc>
          <w:tcPr>
            <w:tcW w:w="1753" w:type="dxa"/>
            <w:vMerge/>
            <w:vAlign w:val="center"/>
          </w:tcPr>
          <w:p w14:paraId="2C7295EF"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shd w:val="clear" w:color="auto" w:fill="auto"/>
            <w:noWrap/>
            <w:vAlign w:val="center"/>
          </w:tcPr>
          <w:p w14:paraId="42EEC2AC"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12</w:t>
            </w:r>
          </w:p>
        </w:tc>
        <w:tc>
          <w:tcPr>
            <w:tcW w:w="1752" w:type="dxa"/>
            <w:shd w:val="clear" w:color="auto" w:fill="auto"/>
            <w:noWrap/>
            <w:vAlign w:val="center"/>
          </w:tcPr>
          <w:p w14:paraId="5CAF19F3"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1.28±0.02a</w:t>
            </w:r>
          </w:p>
        </w:tc>
        <w:tc>
          <w:tcPr>
            <w:tcW w:w="1620" w:type="dxa"/>
            <w:shd w:val="clear" w:color="auto" w:fill="auto"/>
            <w:noWrap/>
            <w:vAlign w:val="center"/>
          </w:tcPr>
          <w:p w14:paraId="44835479"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0.34±0.01b</w:t>
            </w:r>
          </w:p>
        </w:tc>
        <w:tc>
          <w:tcPr>
            <w:tcW w:w="1721" w:type="dxa"/>
            <w:shd w:val="clear" w:color="auto" w:fill="auto"/>
            <w:noWrap/>
            <w:vAlign w:val="center"/>
          </w:tcPr>
          <w:p w14:paraId="7D4C6D96"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0.34±0.02b</w:t>
            </w:r>
          </w:p>
        </w:tc>
        <w:tc>
          <w:tcPr>
            <w:tcW w:w="1620" w:type="dxa"/>
            <w:shd w:val="clear" w:color="auto" w:fill="auto"/>
            <w:noWrap/>
            <w:vAlign w:val="center"/>
          </w:tcPr>
          <w:p w14:paraId="78150634"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0.26±0.01c</w:t>
            </w:r>
          </w:p>
        </w:tc>
        <w:tc>
          <w:tcPr>
            <w:tcW w:w="1556" w:type="dxa"/>
            <w:shd w:val="clear" w:color="auto" w:fill="auto"/>
            <w:noWrap/>
            <w:vAlign w:val="center"/>
          </w:tcPr>
          <w:p w14:paraId="599BFCB0"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0.27±0.01c</w:t>
            </w:r>
          </w:p>
        </w:tc>
      </w:tr>
    </w:tbl>
    <w:p w14:paraId="56509357" w14:textId="77777777" w:rsidR="00D93AE6" w:rsidRPr="000E2D76" w:rsidRDefault="00D93AE6" w:rsidP="00D93AE6">
      <w:pPr>
        <w:rPr>
          <w:sz w:val="28"/>
          <w:szCs w:val="28"/>
          <w:rtl/>
          <w:lang w:bidi="ar-EG"/>
        </w:rPr>
      </w:pPr>
    </w:p>
    <w:p w14:paraId="6C314CB1" w14:textId="77777777" w:rsidR="00D93AE6" w:rsidRPr="000E2D76" w:rsidRDefault="00D93AE6" w:rsidP="00D247B5">
      <w:pPr>
        <w:rPr>
          <w:b/>
          <w:bCs/>
          <w:sz w:val="28"/>
          <w:szCs w:val="28"/>
          <w:lang w:bidi="ar-EG"/>
        </w:rPr>
      </w:pPr>
      <w:r w:rsidRPr="000E2D76">
        <w:rPr>
          <w:b/>
          <w:bCs/>
          <w:sz w:val="28"/>
          <w:szCs w:val="28"/>
          <w:lang w:bidi="ar-EG"/>
        </w:rPr>
        <w:t xml:space="preserve">Table </w:t>
      </w:r>
      <w:r w:rsidR="00D247B5" w:rsidRPr="000E2D76">
        <w:rPr>
          <w:b/>
          <w:bCs/>
          <w:sz w:val="28"/>
          <w:szCs w:val="28"/>
          <w:lang w:bidi="ar-EG"/>
        </w:rPr>
        <w:t xml:space="preserve">10. </w:t>
      </w:r>
      <w:r w:rsidRPr="000E2D76">
        <w:rPr>
          <w:b/>
          <w:bCs/>
          <w:sz w:val="28"/>
          <w:szCs w:val="28"/>
          <w:lang w:bidi="ar-EG"/>
        </w:rPr>
        <w:t xml:space="preserve">Cook loss Changes in Frankfurters Containing Sunflower Oil-Based </w:t>
      </w:r>
      <w:proofErr w:type="spellStart"/>
      <w:r w:rsidRPr="000E2D76">
        <w:rPr>
          <w:b/>
          <w:bCs/>
          <w:sz w:val="28"/>
          <w:szCs w:val="28"/>
          <w:lang w:bidi="ar-EG"/>
        </w:rPr>
        <w:t>Oleogels</w:t>
      </w:r>
      <w:proofErr w:type="spellEnd"/>
      <w:r w:rsidRPr="000E2D76">
        <w:rPr>
          <w:b/>
          <w:bCs/>
          <w:sz w:val="28"/>
          <w:szCs w:val="28"/>
          <w:lang w:bidi="ar-EG"/>
        </w:rPr>
        <w:t xml:space="preserve"> During Storage</w:t>
      </w:r>
    </w:p>
    <w:tbl>
      <w:tblPr>
        <w:tblW w:w="11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011"/>
        <w:gridCol w:w="1752"/>
        <w:gridCol w:w="1620"/>
        <w:gridCol w:w="1721"/>
        <w:gridCol w:w="1620"/>
        <w:gridCol w:w="1556"/>
      </w:tblGrid>
      <w:tr w:rsidR="00D93AE6" w:rsidRPr="000E2D76" w14:paraId="479F30D6" w14:textId="77777777" w:rsidTr="0078445E">
        <w:trPr>
          <w:trHeight w:val="300"/>
          <w:jc w:val="center"/>
        </w:trPr>
        <w:tc>
          <w:tcPr>
            <w:tcW w:w="1753" w:type="dxa"/>
            <w:vMerge w:val="restart"/>
            <w:vAlign w:val="center"/>
          </w:tcPr>
          <w:p w14:paraId="3A580535"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Parameter</w:t>
            </w:r>
          </w:p>
        </w:tc>
        <w:tc>
          <w:tcPr>
            <w:tcW w:w="1011" w:type="dxa"/>
            <w:vMerge w:val="restart"/>
            <w:tcBorders>
              <w:top w:val="single" w:sz="4" w:space="0" w:color="auto"/>
              <w:left w:val="single" w:sz="4" w:space="0" w:color="auto"/>
              <w:right w:val="single" w:sz="4" w:space="0" w:color="auto"/>
            </w:tcBorders>
            <w:shd w:val="clear" w:color="auto" w:fill="auto"/>
            <w:noWrap/>
            <w:vAlign w:val="center"/>
          </w:tcPr>
          <w:p w14:paraId="5DCC931A"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Storage time  (Day)</w:t>
            </w:r>
          </w:p>
        </w:tc>
        <w:tc>
          <w:tcPr>
            <w:tcW w:w="82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C3425EA"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Sample</w:t>
            </w:r>
          </w:p>
        </w:tc>
      </w:tr>
      <w:tr w:rsidR="00D93AE6" w:rsidRPr="000E2D76" w14:paraId="03E85FF3" w14:textId="77777777" w:rsidTr="0078445E">
        <w:trPr>
          <w:trHeight w:val="300"/>
          <w:jc w:val="center"/>
        </w:trPr>
        <w:tc>
          <w:tcPr>
            <w:tcW w:w="1753" w:type="dxa"/>
            <w:vMerge/>
            <w:vAlign w:val="center"/>
          </w:tcPr>
          <w:p w14:paraId="41216FBD"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vMerge/>
            <w:tcBorders>
              <w:left w:val="single" w:sz="4" w:space="0" w:color="auto"/>
              <w:bottom w:val="single" w:sz="4" w:space="0" w:color="auto"/>
              <w:right w:val="single" w:sz="4" w:space="0" w:color="auto"/>
            </w:tcBorders>
            <w:shd w:val="clear" w:color="auto" w:fill="auto"/>
            <w:noWrap/>
            <w:vAlign w:val="center"/>
          </w:tcPr>
          <w:p w14:paraId="3AC87203"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ABA74"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Control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FB40F"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SG</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B549A"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100% SG</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977C7"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BG</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4F358"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100% BG</w:t>
            </w:r>
          </w:p>
        </w:tc>
      </w:tr>
      <w:tr w:rsidR="00D93AE6" w:rsidRPr="000E2D76" w14:paraId="499891C5" w14:textId="77777777" w:rsidTr="0078445E">
        <w:trPr>
          <w:trHeight w:val="300"/>
          <w:jc w:val="center"/>
        </w:trPr>
        <w:tc>
          <w:tcPr>
            <w:tcW w:w="1753" w:type="dxa"/>
            <w:vMerge w:val="restart"/>
            <w:vAlign w:val="center"/>
          </w:tcPr>
          <w:p w14:paraId="04B58CC0"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Cook loss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56051"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0</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CD09A"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20.26±0.3b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B813B"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21.30±0.4b</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993BE"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33.77±0.7a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5BBA9"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21.14±0.4b</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D21DB"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32.54±1.0a</w:t>
            </w:r>
          </w:p>
        </w:tc>
      </w:tr>
      <w:tr w:rsidR="00D93AE6" w:rsidRPr="000E2D76" w14:paraId="7567E89B" w14:textId="77777777" w:rsidTr="0078445E">
        <w:trPr>
          <w:trHeight w:val="300"/>
          <w:jc w:val="center"/>
        </w:trPr>
        <w:tc>
          <w:tcPr>
            <w:tcW w:w="1753" w:type="dxa"/>
            <w:vMerge/>
            <w:vAlign w:val="center"/>
          </w:tcPr>
          <w:p w14:paraId="7D1D09C8"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D27FA"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6</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3986F"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21.78±0.4b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BA268"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22.37±0.7b</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23F94"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33.33±0.6aa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DFBC3"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21.26±0.4b</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0505E"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33.33±0.7a</w:t>
            </w:r>
          </w:p>
        </w:tc>
      </w:tr>
      <w:tr w:rsidR="00D93AE6" w:rsidRPr="000E2D76" w14:paraId="0A245931" w14:textId="77777777" w:rsidTr="0078445E">
        <w:trPr>
          <w:trHeight w:val="300"/>
          <w:jc w:val="center"/>
        </w:trPr>
        <w:tc>
          <w:tcPr>
            <w:tcW w:w="1753" w:type="dxa"/>
            <w:vMerge/>
            <w:vAlign w:val="center"/>
          </w:tcPr>
          <w:p w14:paraId="2E5386EF"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C5CB5"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12</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D7C72"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21.00±0.6b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C0273"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21.13±0.4b</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6B1DE"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34.97±0.5Aa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2856A"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20.73±0.7b</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4FF56"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32.79±1.2a</w:t>
            </w:r>
          </w:p>
        </w:tc>
      </w:tr>
    </w:tbl>
    <w:p w14:paraId="2F7E6333" w14:textId="77777777" w:rsidR="00D93AE6" w:rsidRPr="000E2D76" w:rsidRDefault="00D93AE6" w:rsidP="00D93AE6">
      <w:pPr>
        <w:rPr>
          <w:b/>
          <w:bCs/>
          <w:sz w:val="28"/>
          <w:szCs w:val="28"/>
          <w:lang w:bidi="ar-EG"/>
        </w:rPr>
      </w:pPr>
    </w:p>
    <w:p w14:paraId="1EB0706C" w14:textId="77777777" w:rsidR="00D93AE6" w:rsidRPr="000E2D76" w:rsidRDefault="00D93AE6" w:rsidP="00D247B5">
      <w:pPr>
        <w:rPr>
          <w:sz w:val="28"/>
          <w:szCs w:val="28"/>
          <w:lang w:bidi="ar-EG"/>
        </w:rPr>
      </w:pPr>
      <w:r w:rsidRPr="000E2D76">
        <w:rPr>
          <w:b/>
          <w:bCs/>
          <w:sz w:val="28"/>
          <w:szCs w:val="28"/>
          <w:lang w:bidi="ar-EG"/>
        </w:rPr>
        <w:t xml:space="preserve">Table </w:t>
      </w:r>
      <w:r w:rsidR="00D247B5" w:rsidRPr="000E2D76">
        <w:rPr>
          <w:b/>
          <w:bCs/>
          <w:sz w:val="28"/>
          <w:szCs w:val="28"/>
          <w:lang w:bidi="ar-EG"/>
        </w:rPr>
        <w:t xml:space="preserve">11. </w:t>
      </w:r>
      <w:r w:rsidRPr="000E2D76">
        <w:rPr>
          <w:b/>
          <w:bCs/>
          <w:sz w:val="28"/>
          <w:szCs w:val="28"/>
          <w:lang w:bidi="ar-EG"/>
        </w:rPr>
        <w:t xml:space="preserve">Cook yield Changes in Frankfurters Containing Sunflower Oil-Based </w:t>
      </w:r>
      <w:proofErr w:type="spellStart"/>
      <w:r w:rsidRPr="000E2D76">
        <w:rPr>
          <w:b/>
          <w:bCs/>
          <w:sz w:val="28"/>
          <w:szCs w:val="28"/>
          <w:lang w:bidi="ar-EG"/>
        </w:rPr>
        <w:t>Oleogels</w:t>
      </w:r>
      <w:proofErr w:type="spellEnd"/>
      <w:r w:rsidRPr="000E2D76">
        <w:rPr>
          <w:b/>
          <w:bCs/>
          <w:sz w:val="28"/>
          <w:szCs w:val="28"/>
          <w:lang w:bidi="ar-EG"/>
        </w:rPr>
        <w:t xml:space="preserve"> During Storage</w:t>
      </w:r>
    </w:p>
    <w:tbl>
      <w:tblPr>
        <w:tblW w:w="11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011"/>
        <w:gridCol w:w="1752"/>
        <w:gridCol w:w="1620"/>
        <w:gridCol w:w="1721"/>
        <w:gridCol w:w="1620"/>
        <w:gridCol w:w="1556"/>
      </w:tblGrid>
      <w:tr w:rsidR="00D93AE6" w:rsidRPr="000E2D76" w14:paraId="22E84BF6" w14:textId="77777777" w:rsidTr="0078445E">
        <w:trPr>
          <w:trHeight w:val="300"/>
          <w:jc w:val="center"/>
        </w:trPr>
        <w:tc>
          <w:tcPr>
            <w:tcW w:w="1753" w:type="dxa"/>
            <w:vMerge w:val="restart"/>
            <w:vAlign w:val="center"/>
          </w:tcPr>
          <w:p w14:paraId="71D5B15A"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Parameter</w:t>
            </w:r>
          </w:p>
        </w:tc>
        <w:tc>
          <w:tcPr>
            <w:tcW w:w="1011" w:type="dxa"/>
            <w:vMerge w:val="restart"/>
            <w:tcBorders>
              <w:top w:val="single" w:sz="4" w:space="0" w:color="auto"/>
              <w:left w:val="single" w:sz="4" w:space="0" w:color="auto"/>
              <w:right w:val="single" w:sz="4" w:space="0" w:color="auto"/>
            </w:tcBorders>
            <w:shd w:val="clear" w:color="auto" w:fill="auto"/>
            <w:noWrap/>
            <w:vAlign w:val="center"/>
          </w:tcPr>
          <w:p w14:paraId="2E01CCE5"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Storage time  (Day)</w:t>
            </w:r>
          </w:p>
        </w:tc>
        <w:tc>
          <w:tcPr>
            <w:tcW w:w="82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61E4922"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Sample</w:t>
            </w:r>
          </w:p>
        </w:tc>
      </w:tr>
      <w:tr w:rsidR="00D93AE6" w:rsidRPr="000E2D76" w14:paraId="7C7620E4" w14:textId="77777777" w:rsidTr="0078445E">
        <w:trPr>
          <w:trHeight w:val="300"/>
          <w:jc w:val="center"/>
        </w:trPr>
        <w:tc>
          <w:tcPr>
            <w:tcW w:w="1753" w:type="dxa"/>
            <w:vMerge/>
            <w:vAlign w:val="center"/>
          </w:tcPr>
          <w:p w14:paraId="44B6CF18"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vMerge/>
            <w:tcBorders>
              <w:left w:val="single" w:sz="4" w:space="0" w:color="auto"/>
              <w:bottom w:val="single" w:sz="4" w:space="0" w:color="auto"/>
              <w:right w:val="single" w:sz="4" w:space="0" w:color="auto"/>
            </w:tcBorders>
            <w:shd w:val="clear" w:color="auto" w:fill="auto"/>
            <w:noWrap/>
            <w:vAlign w:val="center"/>
          </w:tcPr>
          <w:p w14:paraId="3433A46F"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81290"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Control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CE8CA"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SG</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B7C5A"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100% SG</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E62EA"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BG</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552CC"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100% BG</w:t>
            </w:r>
          </w:p>
        </w:tc>
      </w:tr>
      <w:tr w:rsidR="00D93AE6" w:rsidRPr="000E2D76" w14:paraId="3A0C1125" w14:textId="77777777" w:rsidTr="0078445E">
        <w:trPr>
          <w:trHeight w:val="300"/>
          <w:jc w:val="center"/>
        </w:trPr>
        <w:tc>
          <w:tcPr>
            <w:tcW w:w="1753" w:type="dxa"/>
            <w:vMerge w:val="restart"/>
            <w:vAlign w:val="center"/>
          </w:tcPr>
          <w:p w14:paraId="5AD8C14A"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Cook yield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C1477"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0</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9F83D"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79.74±0.3b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52249"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78.70±0.4b</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13A76"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66.23±0.7a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CA917"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78.86±0.4b</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FCA98"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67.46±1.0a</w:t>
            </w:r>
          </w:p>
        </w:tc>
      </w:tr>
      <w:tr w:rsidR="00D93AE6" w:rsidRPr="000E2D76" w14:paraId="4708E793" w14:textId="77777777" w:rsidTr="0078445E">
        <w:trPr>
          <w:trHeight w:val="300"/>
          <w:jc w:val="center"/>
        </w:trPr>
        <w:tc>
          <w:tcPr>
            <w:tcW w:w="1753" w:type="dxa"/>
            <w:vMerge/>
            <w:vAlign w:val="center"/>
          </w:tcPr>
          <w:p w14:paraId="7BFA8FCE"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BCA18"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6</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4E918"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78.22±0.4b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EE031"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77.63±0.7b</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B5A31"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66.23±0.6a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00055"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78.74±0.4b</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96EB4"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66.67±0.7a</w:t>
            </w:r>
          </w:p>
        </w:tc>
      </w:tr>
      <w:tr w:rsidR="00D93AE6" w:rsidRPr="000E2D76" w14:paraId="181C108B" w14:textId="77777777" w:rsidTr="0078445E">
        <w:trPr>
          <w:trHeight w:val="300"/>
          <w:jc w:val="center"/>
        </w:trPr>
        <w:tc>
          <w:tcPr>
            <w:tcW w:w="1753" w:type="dxa"/>
            <w:vMerge/>
            <w:vAlign w:val="center"/>
          </w:tcPr>
          <w:p w14:paraId="3BA8D9BB"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5A0EA"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12</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B23DF"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78.94±0.5b</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C0D4E"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78.87±0.4b</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76DBC"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65.03±0.5a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99DA4"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79.27±0.7b</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155F9"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67.21±1.2a</w:t>
            </w:r>
          </w:p>
        </w:tc>
      </w:tr>
    </w:tbl>
    <w:p w14:paraId="07B36B3B" w14:textId="77777777" w:rsidR="00D93AE6" w:rsidRPr="000E2D76" w:rsidRDefault="00D93AE6" w:rsidP="00D93AE6">
      <w:pPr>
        <w:rPr>
          <w:sz w:val="28"/>
          <w:szCs w:val="28"/>
        </w:rPr>
      </w:pPr>
    </w:p>
    <w:p w14:paraId="09257BE5" w14:textId="77777777" w:rsidR="00D93AE6" w:rsidRPr="000E2D76" w:rsidRDefault="00D93AE6" w:rsidP="00D93AE6">
      <w:pPr>
        <w:rPr>
          <w:sz w:val="28"/>
          <w:szCs w:val="28"/>
          <w:rtl/>
        </w:rPr>
      </w:pPr>
    </w:p>
    <w:p w14:paraId="7E0EC246" w14:textId="77777777" w:rsidR="00D93AE6" w:rsidRPr="000E2D76" w:rsidRDefault="00D93AE6" w:rsidP="00D93AE6">
      <w:pPr>
        <w:rPr>
          <w:sz w:val="28"/>
          <w:szCs w:val="28"/>
          <w:rtl/>
        </w:rPr>
      </w:pPr>
    </w:p>
    <w:p w14:paraId="173FFF94" w14:textId="77777777" w:rsidR="00D93AE6" w:rsidRPr="000E2D76" w:rsidRDefault="00D93AE6" w:rsidP="00D93AE6">
      <w:pPr>
        <w:rPr>
          <w:sz w:val="28"/>
          <w:szCs w:val="28"/>
          <w:rtl/>
        </w:rPr>
      </w:pPr>
    </w:p>
    <w:p w14:paraId="0D3C85E5" w14:textId="77777777" w:rsidR="00D93AE6" w:rsidRPr="000E2D76" w:rsidRDefault="00D93AE6" w:rsidP="00D93AE6">
      <w:pPr>
        <w:rPr>
          <w:sz w:val="28"/>
          <w:szCs w:val="28"/>
        </w:rPr>
      </w:pPr>
    </w:p>
    <w:p w14:paraId="65E94D59" w14:textId="77777777" w:rsidR="00D93AE6" w:rsidRPr="000E2D76" w:rsidRDefault="00D93AE6" w:rsidP="00D93AE6">
      <w:pPr>
        <w:rPr>
          <w:sz w:val="28"/>
          <w:szCs w:val="28"/>
        </w:rPr>
      </w:pPr>
    </w:p>
    <w:p w14:paraId="42494126" w14:textId="77777777" w:rsidR="00D93AE6" w:rsidRPr="000E2D76" w:rsidRDefault="00D93AE6" w:rsidP="00D247B5">
      <w:pPr>
        <w:rPr>
          <w:b/>
          <w:bCs/>
          <w:sz w:val="28"/>
          <w:szCs w:val="28"/>
        </w:rPr>
      </w:pPr>
      <w:r w:rsidRPr="000E2D76">
        <w:rPr>
          <w:b/>
          <w:bCs/>
          <w:sz w:val="28"/>
          <w:szCs w:val="28"/>
        </w:rPr>
        <w:t xml:space="preserve">Table </w:t>
      </w:r>
      <w:r w:rsidR="00D247B5" w:rsidRPr="000E2D76">
        <w:rPr>
          <w:b/>
          <w:bCs/>
          <w:sz w:val="28"/>
          <w:szCs w:val="28"/>
        </w:rPr>
        <w:t>12. F</w:t>
      </w:r>
      <w:r w:rsidRPr="000E2D76">
        <w:rPr>
          <w:b/>
          <w:bCs/>
          <w:sz w:val="28"/>
          <w:szCs w:val="28"/>
        </w:rPr>
        <w:t xml:space="preserve">at retention Changes in Frankfurters Containing Sunflower Oil-Based </w:t>
      </w:r>
      <w:proofErr w:type="spellStart"/>
      <w:r w:rsidRPr="000E2D76">
        <w:rPr>
          <w:b/>
          <w:bCs/>
          <w:sz w:val="28"/>
          <w:szCs w:val="28"/>
        </w:rPr>
        <w:t>Oleogels</w:t>
      </w:r>
      <w:proofErr w:type="spellEnd"/>
      <w:r w:rsidRPr="000E2D76">
        <w:rPr>
          <w:b/>
          <w:bCs/>
          <w:sz w:val="28"/>
          <w:szCs w:val="28"/>
        </w:rPr>
        <w:t xml:space="preserve"> During Storage</w:t>
      </w:r>
    </w:p>
    <w:tbl>
      <w:tblPr>
        <w:tblW w:w="11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011"/>
        <w:gridCol w:w="1752"/>
        <w:gridCol w:w="1620"/>
        <w:gridCol w:w="1721"/>
        <w:gridCol w:w="1620"/>
        <w:gridCol w:w="1556"/>
      </w:tblGrid>
      <w:tr w:rsidR="00D93AE6" w:rsidRPr="000E2D76" w14:paraId="522CD5B3" w14:textId="77777777" w:rsidTr="0078445E">
        <w:trPr>
          <w:trHeight w:val="300"/>
          <w:jc w:val="center"/>
        </w:trPr>
        <w:tc>
          <w:tcPr>
            <w:tcW w:w="1753" w:type="dxa"/>
            <w:vMerge w:val="restart"/>
            <w:vAlign w:val="center"/>
          </w:tcPr>
          <w:p w14:paraId="0F552546"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Parameter</w:t>
            </w:r>
          </w:p>
        </w:tc>
        <w:tc>
          <w:tcPr>
            <w:tcW w:w="1011" w:type="dxa"/>
            <w:vMerge w:val="restart"/>
            <w:tcBorders>
              <w:top w:val="single" w:sz="4" w:space="0" w:color="auto"/>
              <w:left w:val="single" w:sz="4" w:space="0" w:color="auto"/>
              <w:right w:val="single" w:sz="4" w:space="0" w:color="auto"/>
            </w:tcBorders>
            <w:shd w:val="clear" w:color="auto" w:fill="auto"/>
            <w:noWrap/>
            <w:vAlign w:val="center"/>
          </w:tcPr>
          <w:p w14:paraId="5083B96F"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Storage time (Day)</w:t>
            </w:r>
          </w:p>
        </w:tc>
        <w:tc>
          <w:tcPr>
            <w:tcW w:w="82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86DAA58"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Sample</w:t>
            </w:r>
          </w:p>
        </w:tc>
      </w:tr>
      <w:tr w:rsidR="00D93AE6" w:rsidRPr="000E2D76" w14:paraId="4097EAB4" w14:textId="77777777" w:rsidTr="0078445E">
        <w:trPr>
          <w:trHeight w:val="300"/>
          <w:jc w:val="center"/>
        </w:trPr>
        <w:tc>
          <w:tcPr>
            <w:tcW w:w="1753" w:type="dxa"/>
            <w:vMerge/>
            <w:vAlign w:val="center"/>
          </w:tcPr>
          <w:p w14:paraId="1D0F04CD"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vMerge/>
            <w:tcBorders>
              <w:left w:val="single" w:sz="4" w:space="0" w:color="auto"/>
              <w:bottom w:val="single" w:sz="4" w:space="0" w:color="auto"/>
              <w:right w:val="single" w:sz="4" w:space="0" w:color="auto"/>
            </w:tcBorders>
            <w:shd w:val="clear" w:color="auto" w:fill="auto"/>
            <w:noWrap/>
            <w:vAlign w:val="center"/>
          </w:tcPr>
          <w:p w14:paraId="6437FEF8"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D4968"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Control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60866"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SG</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D274B"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100% SG</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933FF"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BG</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CAFFB"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100% BG</w:t>
            </w:r>
          </w:p>
        </w:tc>
      </w:tr>
      <w:tr w:rsidR="00D93AE6" w:rsidRPr="000E2D76" w14:paraId="4487CA93" w14:textId="77777777" w:rsidTr="0078445E">
        <w:trPr>
          <w:trHeight w:val="300"/>
          <w:jc w:val="center"/>
        </w:trPr>
        <w:tc>
          <w:tcPr>
            <w:tcW w:w="1753" w:type="dxa"/>
            <w:vMerge w:val="restart"/>
            <w:vAlign w:val="center"/>
          </w:tcPr>
          <w:p w14:paraId="1F13CFE9"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Fat retention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BF349"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0</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128F7"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18.52±0.06a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D3F5C"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12.24±0.08b</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465AA"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9.38±0.06d</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D2246"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11.45±0.14c</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8801D"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8.74±0.14f</w:t>
            </w:r>
          </w:p>
        </w:tc>
      </w:tr>
      <w:tr w:rsidR="00D93AE6" w:rsidRPr="000E2D76" w14:paraId="033BF496" w14:textId="77777777" w:rsidTr="0078445E">
        <w:trPr>
          <w:trHeight w:val="300"/>
          <w:jc w:val="center"/>
        </w:trPr>
        <w:tc>
          <w:tcPr>
            <w:tcW w:w="1753" w:type="dxa"/>
            <w:vMerge/>
            <w:vAlign w:val="center"/>
          </w:tcPr>
          <w:p w14:paraId="287354ED"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DD4AC"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6</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4BCC0"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18.40±0.07a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9EBBE"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12.36±0.09b</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59144"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9.30±0.11d</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2D537"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11.43±0.11c</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A6E08"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8.66±0.14f</w:t>
            </w:r>
          </w:p>
        </w:tc>
      </w:tr>
      <w:tr w:rsidR="00D93AE6" w:rsidRPr="000E2D76" w14:paraId="048D3B30" w14:textId="77777777" w:rsidTr="0078445E">
        <w:trPr>
          <w:trHeight w:val="300"/>
          <w:jc w:val="center"/>
        </w:trPr>
        <w:tc>
          <w:tcPr>
            <w:tcW w:w="1753" w:type="dxa"/>
            <w:vMerge/>
            <w:vAlign w:val="center"/>
          </w:tcPr>
          <w:p w14:paraId="2E22E381"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E8A82"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12</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46204"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18.43±0.1a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0DD31"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12.42±0.05b</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25AF3"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9.19±0.03d</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7CDF4"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11.64±0.07c</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F3E4"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8.46±0.08f</w:t>
            </w:r>
          </w:p>
        </w:tc>
      </w:tr>
    </w:tbl>
    <w:p w14:paraId="39244D3F" w14:textId="77777777" w:rsidR="00D93AE6" w:rsidRPr="000E2D76" w:rsidRDefault="00D93AE6" w:rsidP="00D93AE6">
      <w:pPr>
        <w:rPr>
          <w:sz w:val="28"/>
          <w:szCs w:val="28"/>
        </w:rPr>
      </w:pPr>
    </w:p>
    <w:p w14:paraId="40B43531" w14:textId="77777777" w:rsidR="00D93AE6" w:rsidRPr="000E2D76" w:rsidRDefault="00D93AE6" w:rsidP="00D247B5">
      <w:pPr>
        <w:rPr>
          <w:b/>
          <w:bCs/>
          <w:sz w:val="28"/>
          <w:szCs w:val="28"/>
        </w:rPr>
      </w:pPr>
      <w:r w:rsidRPr="000E2D76">
        <w:rPr>
          <w:b/>
          <w:bCs/>
          <w:sz w:val="28"/>
          <w:szCs w:val="28"/>
        </w:rPr>
        <w:t xml:space="preserve">Table </w:t>
      </w:r>
      <w:r w:rsidR="00D247B5" w:rsidRPr="000E2D76">
        <w:rPr>
          <w:b/>
          <w:bCs/>
          <w:sz w:val="28"/>
          <w:szCs w:val="28"/>
        </w:rPr>
        <w:t>13. Co</w:t>
      </w:r>
      <w:r w:rsidRPr="000E2D76">
        <w:rPr>
          <w:b/>
          <w:bCs/>
          <w:sz w:val="28"/>
          <w:szCs w:val="28"/>
        </w:rPr>
        <w:t xml:space="preserve">lor Changes in Frankfurters Containing Sunflower Oil-Based </w:t>
      </w:r>
      <w:proofErr w:type="spellStart"/>
      <w:r w:rsidRPr="000E2D76">
        <w:rPr>
          <w:b/>
          <w:bCs/>
          <w:sz w:val="28"/>
          <w:szCs w:val="28"/>
        </w:rPr>
        <w:t>Oleogels</w:t>
      </w:r>
      <w:proofErr w:type="spellEnd"/>
      <w:r w:rsidRPr="000E2D76">
        <w:rPr>
          <w:b/>
          <w:bCs/>
          <w:sz w:val="28"/>
          <w:szCs w:val="28"/>
        </w:rPr>
        <w:t xml:space="preserve"> During Storage</w:t>
      </w:r>
    </w:p>
    <w:tbl>
      <w:tblPr>
        <w:tblW w:w="11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011"/>
        <w:gridCol w:w="1752"/>
        <w:gridCol w:w="1701"/>
        <w:gridCol w:w="1710"/>
        <w:gridCol w:w="1800"/>
        <w:gridCol w:w="1800"/>
      </w:tblGrid>
      <w:tr w:rsidR="00D93AE6" w:rsidRPr="000E2D76" w14:paraId="391C39F7" w14:textId="77777777" w:rsidTr="0078445E">
        <w:trPr>
          <w:trHeight w:val="300"/>
          <w:jc w:val="center"/>
        </w:trPr>
        <w:tc>
          <w:tcPr>
            <w:tcW w:w="1753" w:type="dxa"/>
            <w:vMerge w:val="restart"/>
            <w:vAlign w:val="center"/>
          </w:tcPr>
          <w:p w14:paraId="5C696154"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Parameter</w:t>
            </w:r>
          </w:p>
        </w:tc>
        <w:tc>
          <w:tcPr>
            <w:tcW w:w="1011" w:type="dxa"/>
            <w:vMerge w:val="restart"/>
            <w:shd w:val="clear" w:color="auto" w:fill="auto"/>
            <w:noWrap/>
            <w:vAlign w:val="center"/>
          </w:tcPr>
          <w:p w14:paraId="51C7CD20"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Storage time/ Day</w:t>
            </w:r>
          </w:p>
        </w:tc>
        <w:tc>
          <w:tcPr>
            <w:tcW w:w="8763" w:type="dxa"/>
            <w:gridSpan w:val="5"/>
            <w:shd w:val="clear" w:color="auto" w:fill="auto"/>
            <w:noWrap/>
            <w:vAlign w:val="center"/>
          </w:tcPr>
          <w:p w14:paraId="791516E5"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Sample</w:t>
            </w:r>
          </w:p>
        </w:tc>
      </w:tr>
      <w:tr w:rsidR="00D93AE6" w:rsidRPr="000E2D76" w14:paraId="2AD27E18" w14:textId="77777777" w:rsidTr="0078445E">
        <w:trPr>
          <w:trHeight w:val="485"/>
          <w:jc w:val="center"/>
        </w:trPr>
        <w:tc>
          <w:tcPr>
            <w:tcW w:w="1753" w:type="dxa"/>
            <w:vMerge/>
            <w:vAlign w:val="center"/>
          </w:tcPr>
          <w:p w14:paraId="0AE88C6E"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vMerge/>
            <w:shd w:val="clear" w:color="auto" w:fill="auto"/>
            <w:noWrap/>
            <w:vAlign w:val="center"/>
            <w:hideMark/>
          </w:tcPr>
          <w:p w14:paraId="16600752"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752" w:type="dxa"/>
            <w:shd w:val="clear" w:color="auto" w:fill="auto"/>
            <w:noWrap/>
            <w:vAlign w:val="center"/>
            <w:hideMark/>
          </w:tcPr>
          <w:p w14:paraId="7D058078"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Control</w:t>
            </w:r>
          </w:p>
        </w:tc>
        <w:tc>
          <w:tcPr>
            <w:tcW w:w="1701" w:type="dxa"/>
            <w:shd w:val="clear" w:color="auto" w:fill="auto"/>
            <w:noWrap/>
            <w:vAlign w:val="center"/>
            <w:hideMark/>
          </w:tcPr>
          <w:p w14:paraId="571E77D3"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SG</w:t>
            </w:r>
          </w:p>
        </w:tc>
        <w:tc>
          <w:tcPr>
            <w:tcW w:w="1710" w:type="dxa"/>
            <w:shd w:val="clear" w:color="auto" w:fill="auto"/>
            <w:noWrap/>
            <w:vAlign w:val="center"/>
            <w:hideMark/>
          </w:tcPr>
          <w:p w14:paraId="46E7B9C9"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100% SG</w:t>
            </w:r>
          </w:p>
        </w:tc>
        <w:tc>
          <w:tcPr>
            <w:tcW w:w="1800" w:type="dxa"/>
            <w:shd w:val="clear" w:color="auto" w:fill="auto"/>
            <w:noWrap/>
            <w:vAlign w:val="center"/>
            <w:hideMark/>
          </w:tcPr>
          <w:p w14:paraId="42CF2F95"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50% BG</w:t>
            </w:r>
          </w:p>
        </w:tc>
        <w:tc>
          <w:tcPr>
            <w:tcW w:w="1800" w:type="dxa"/>
            <w:shd w:val="clear" w:color="auto" w:fill="auto"/>
            <w:noWrap/>
            <w:vAlign w:val="center"/>
            <w:hideMark/>
          </w:tcPr>
          <w:p w14:paraId="21613F9F"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100% BG</w:t>
            </w:r>
          </w:p>
        </w:tc>
      </w:tr>
      <w:tr w:rsidR="00D93AE6" w:rsidRPr="000E2D76" w14:paraId="7061ED36" w14:textId="77777777" w:rsidTr="0078445E">
        <w:trPr>
          <w:trHeight w:val="300"/>
          <w:jc w:val="center"/>
        </w:trPr>
        <w:tc>
          <w:tcPr>
            <w:tcW w:w="1753" w:type="dxa"/>
            <w:vMerge w:val="restart"/>
            <w:vAlign w:val="center"/>
          </w:tcPr>
          <w:p w14:paraId="683C358F"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L</w:t>
            </w:r>
          </w:p>
        </w:tc>
        <w:tc>
          <w:tcPr>
            <w:tcW w:w="1011" w:type="dxa"/>
            <w:shd w:val="clear" w:color="auto" w:fill="auto"/>
            <w:noWrap/>
            <w:vAlign w:val="center"/>
          </w:tcPr>
          <w:p w14:paraId="68DF9CCB"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0</w:t>
            </w:r>
          </w:p>
        </w:tc>
        <w:tc>
          <w:tcPr>
            <w:tcW w:w="1752" w:type="dxa"/>
            <w:shd w:val="clear" w:color="auto" w:fill="auto"/>
            <w:noWrap/>
            <w:vAlign w:val="center"/>
          </w:tcPr>
          <w:p w14:paraId="658EFC86"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55.62±0.07b</w:t>
            </w:r>
          </w:p>
        </w:tc>
        <w:tc>
          <w:tcPr>
            <w:tcW w:w="1701" w:type="dxa"/>
            <w:shd w:val="clear" w:color="auto" w:fill="auto"/>
            <w:noWrap/>
            <w:vAlign w:val="center"/>
          </w:tcPr>
          <w:p w14:paraId="397A8648"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50.37</w:t>
            </w:r>
            <w:r w:rsidRPr="000E2D76">
              <w:rPr>
                <w:rFonts w:asciiTheme="majorBidi" w:eastAsia="Times New Roman" w:hAnsiTheme="majorBidi" w:cstheme="majorBidi"/>
                <w:sz w:val="28"/>
                <w:szCs w:val="28"/>
              </w:rPr>
              <w:t>±0.4</w:t>
            </w:r>
            <w:r w:rsidRPr="000E2D76">
              <w:rPr>
                <w:rFonts w:asciiTheme="majorBidi" w:eastAsia="Times New Roman" w:hAnsiTheme="majorBidi" w:cstheme="majorBidi"/>
                <w:color w:val="000000"/>
                <w:sz w:val="28"/>
                <w:szCs w:val="28"/>
              </w:rPr>
              <w:t>c</w:t>
            </w:r>
          </w:p>
        </w:tc>
        <w:tc>
          <w:tcPr>
            <w:tcW w:w="1710" w:type="dxa"/>
            <w:shd w:val="clear" w:color="auto" w:fill="auto"/>
            <w:noWrap/>
            <w:vAlign w:val="center"/>
          </w:tcPr>
          <w:p w14:paraId="2C7E5DB0"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60.77</w:t>
            </w:r>
            <w:r w:rsidRPr="000E2D76">
              <w:rPr>
                <w:rFonts w:asciiTheme="majorBidi" w:eastAsia="Times New Roman" w:hAnsiTheme="majorBidi" w:cstheme="majorBidi"/>
                <w:sz w:val="28"/>
                <w:szCs w:val="28"/>
              </w:rPr>
              <w:t>±0.3</w:t>
            </w:r>
            <w:r w:rsidRPr="000E2D76">
              <w:rPr>
                <w:rFonts w:asciiTheme="majorBidi" w:eastAsia="Times New Roman" w:hAnsiTheme="majorBidi" w:cstheme="majorBidi"/>
                <w:color w:val="000000"/>
                <w:sz w:val="28"/>
                <w:szCs w:val="28"/>
              </w:rPr>
              <w:t>ab</w:t>
            </w:r>
          </w:p>
        </w:tc>
        <w:tc>
          <w:tcPr>
            <w:tcW w:w="1800" w:type="dxa"/>
            <w:shd w:val="clear" w:color="auto" w:fill="auto"/>
            <w:noWrap/>
            <w:vAlign w:val="center"/>
          </w:tcPr>
          <w:p w14:paraId="06DCE123"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55.53</w:t>
            </w:r>
            <w:r w:rsidRPr="000E2D76">
              <w:rPr>
                <w:rFonts w:asciiTheme="majorBidi" w:eastAsia="Times New Roman" w:hAnsiTheme="majorBidi" w:cstheme="majorBidi"/>
                <w:sz w:val="28"/>
                <w:szCs w:val="28"/>
              </w:rPr>
              <w:t>±1.7</w:t>
            </w:r>
          </w:p>
        </w:tc>
        <w:tc>
          <w:tcPr>
            <w:tcW w:w="1800" w:type="dxa"/>
            <w:shd w:val="clear" w:color="auto" w:fill="auto"/>
            <w:noWrap/>
            <w:vAlign w:val="center"/>
          </w:tcPr>
          <w:p w14:paraId="62B5B808"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58.21</w:t>
            </w:r>
            <w:r w:rsidRPr="000E2D76">
              <w:rPr>
                <w:rFonts w:asciiTheme="majorBidi" w:eastAsia="Times New Roman" w:hAnsiTheme="majorBidi" w:cstheme="majorBidi"/>
                <w:sz w:val="28"/>
                <w:szCs w:val="28"/>
              </w:rPr>
              <w:t>±1.1</w:t>
            </w:r>
            <w:r w:rsidRPr="000E2D76">
              <w:rPr>
                <w:rFonts w:asciiTheme="majorBidi" w:eastAsia="Times New Roman" w:hAnsiTheme="majorBidi" w:cstheme="majorBidi"/>
                <w:color w:val="000000"/>
                <w:sz w:val="28"/>
                <w:szCs w:val="28"/>
              </w:rPr>
              <w:t>ab</w:t>
            </w:r>
          </w:p>
        </w:tc>
      </w:tr>
      <w:tr w:rsidR="00D93AE6" w:rsidRPr="000E2D76" w14:paraId="58B3CC39" w14:textId="77777777" w:rsidTr="0078445E">
        <w:trPr>
          <w:trHeight w:val="300"/>
          <w:jc w:val="center"/>
        </w:trPr>
        <w:tc>
          <w:tcPr>
            <w:tcW w:w="1753" w:type="dxa"/>
            <w:vMerge/>
            <w:vAlign w:val="center"/>
          </w:tcPr>
          <w:p w14:paraId="77D61671"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shd w:val="clear" w:color="auto" w:fill="auto"/>
            <w:noWrap/>
            <w:vAlign w:val="center"/>
          </w:tcPr>
          <w:p w14:paraId="6B27E78E"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6</w:t>
            </w:r>
          </w:p>
        </w:tc>
        <w:tc>
          <w:tcPr>
            <w:tcW w:w="1752" w:type="dxa"/>
            <w:shd w:val="clear" w:color="auto" w:fill="auto"/>
            <w:noWrap/>
            <w:vAlign w:val="center"/>
          </w:tcPr>
          <w:p w14:paraId="74EB3230"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61.00</w:t>
            </w:r>
            <w:r w:rsidRPr="000E2D76">
              <w:rPr>
                <w:rFonts w:asciiTheme="majorBidi" w:eastAsia="Times New Roman" w:hAnsiTheme="majorBidi" w:cstheme="majorBidi"/>
                <w:sz w:val="28"/>
                <w:szCs w:val="28"/>
              </w:rPr>
              <w:t>±0.8</w:t>
            </w:r>
            <w:r w:rsidRPr="000E2D76">
              <w:rPr>
                <w:rFonts w:asciiTheme="majorBidi" w:eastAsia="Times New Roman" w:hAnsiTheme="majorBidi" w:cstheme="majorBidi"/>
                <w:color w:val="000000"/>
                <w:sz w:val="28"/>
                <w:szCs w:val="28"/>
              </w:rPr>
              <w:t>a</w:t>
            </w:r>
          </w:p>
        </w:tc>
        <w:tc>
          <w:tcPr>
            <w:tcW w:w="1701" w:type="dxa"/>
            <w:shd w:val="clear" w:color="auto" w:fill="auto"/>
            <w:noWrap/>
            <w:vAlign w:val="center"/>
          </w:tcPr>
          <w:p w14:paraId="7DF14229"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64.07</w:t>
            </w:r>
            <w:r w:rsidRPr="000E2D76">
              <w:rPr>
                <w:rFonts w:asciiTheme="majorBidi" w:eastAsia="Times New Roman" w:hAnsiTheme="majorBidi" w:cstheme="majorBidi"/>
                <w:sz w:val="28"/>
                <w:szCs w:val="28"/>
              </w:rPr>
              <w:t>±2.6</w:t>
            </w:r>
            <w:r w:rsidRPr="000E2D76">
              <w:rPr>
                <w:rFonts w:asciiTheme="majorBidi" w:eastAsia="Times New Roman" w:hAnsiTheme="majorBidi" w:cstheme="majorBidi"/>
                <w:color w:val="000000"/>
                <w:sz w:val="28"/>
                <w:szCs w:val="28"/>
              </w:rPr>
              <w:t>a</w:t>
            </w:r>
          </w:p>
        </w:tc>
        <w:tc>
          <w:tcPr>
            <w:tcW w:w="1710" w:type="dxa"/>
            <w:shd w:val="clear" w:color="auto" w:fill="auto"/>
            <w:noWrap/>
            <w:vAlign w:val="center"/>
          </w:tcPr>
          <w:p w14:paraId="2B84204C"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48.90</w:t>
            </w:r>
            <w:r w:rsidRPr="000E2D76">
              <w:rPr>
                <w:rFonts w:asciiTheme="majorBidi" w:eastAsia="Times New Roman" w:hAnsiTheme="majorBidi" w:cstheme="majorBidi"/>
                <w:sz w:val="28"/>
                <w:szCs w:val="28"/>
              </w:rPr>
              <w:t>±0.8</w:t>
            </w:r>
            <w:r w:rsidRPr="000E2D76">
              <w:rPr>
                <w:rFonts w:asciiTheme="majorBidi" w:eastAsia="Times New Roman" w:hAnsiTheme="majorBidi" w:cstheme="majorBidi"/>
                <w:color w:val="000000"/>
                <w:sz w:val="28"/>
                <w:szCs w:val="28"/>
              </w:rPr>
              <w:t>c</w:t>
            </w:r>
          </w:p>
        </w:tc>
        <w:tc>
          <w:tcPr>
            <w:tcW w:w="1800" w:type="dxa"/>
            <w:shd w:val="clear" w:color="auto" w:fill="auto"/>
            <w:noWrap/>
            <w:vAlign w:val="center"/>
          </w:tcPr>
          <w:p w14:paraId="06D7D1C3"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55.22</w:t>
            </w:r>
            <w:r w:rsidRPr="000E2D76">
              <w:rPr>
                <w:rFonts w:asciiTheme="majorBidi" w:eastAsia="Times New Roman" w:hAnsiTheme="majorBidi" w:cstheme="majorBidi"/>
                <w:sz w:val="28"/>
                <w:szCs w:val="28"/>
              </w:rPr>
              <w:t>±1.5</w:t>
            </w:r>
            <w:r w:rsidRPr="000E2D76">
              <w:rPr>
                <w:rFonts w:asciiTheme="majorBidi" w:eastAsia="Times New Roman" w:hAnsiTheme="majorBidi" w:cstheme="majorBidi"/>
                <w:color w:val="000000"/>
                <w:sz w:val="28"/>
                <w:szCs w:val="28"/>
              </w:rPr>
              <w:t>b</w:t>
            </w:r>
          </w:p>
        </w:tc>
        <w:tc>
          <w:tcPr>
            <w:tcW w:w="1800" w:type="dxa"/>
            <w:shd w:val="clear" w:color="auto" w:fill="auto"/>
            <w:noWrap/>
            <w:vAlign w:val="center"/>
          </w:tcPr>
          <w:p w14:paraId="2096EAA0"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54.83</w:t>
            </w:r>
            <w:r w:rsidRPr="000E2D76">
              <w:rPr>
                <w:rFonts w:asciiTheme="majorBidi" w:eastAsia="Times New Roman" w:hAnsiTheme="majorBidi" w:cstheme="majorBidi"/>
                <w:sz w:val="28"/>
                <w:szCs w:val="28"/>
              </w:rPr>
              <w:t>±1.9</w:t>
            </w:r>
            <w:r w:rsidRPr="000E2D76">
              <w:rPr>
                <w:rFonts w:asciiTheme="majorBidi" w:eastAsia="Times New Roman" w:hAnsiTheme="majorBidi" w:cstheme="majorBidi"/>
                <w:color w:val="000000"/>
                <w:sz w:val="28"/>
                <w:szCs w:val="28"/>
              </w:rPr>
              <w:t>b</w:t>
            </w:r>
          </w:p>
        </w:tc>
      </w:tr>
      <w:tr w:rsidR="00D93AE6" w:rsidRPr="000E2D76" w14:paraId="6061EAFE" w14:textId="77777777" w:rsidTr="0078445E">
        <w:trPr>
          <w:trHeight w:val="300"/>
          <w:jc w:val="center"/>
        </w:trPr>
        <w:tc>
          <w:tcPr>
            <w:tcW w:w="1753" w:type="dxa"/>
            <w:vMerge/>
            <w:vAlign w:val="center"/>
          </w:tcPr>
          <w:p w14:paraId="04AE8738"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shd w:val="clear" w:color="auto" w:fill="auto"/>
            <w:noWrap/>
            <w:vAlign w:val="center"/>
          </w:tcPr>
          <w:p w14:paraId="36862106"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12</w:t>
            </w:r>
          </w:p>
        </w:tc>
        <w:tc>
          <w:tcPr>
            <w:tcW w:w="1752" w:type="dxa"/>
            <w:shd w:val="clear" w:color="auto" w:fill="auto"/>
            <w:noWrap/>
            <w:vAlign w:val="center"/>
          </w:tcPr>
          <w:p w14:paraId="52ADA710"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62.40</w:t>
            </w:r>
            <w:r w:rsidRPr="000E2D76">
              <w:rPr>
                <w:rFonts w:asciiTheme="majorBidi" w:eastAsia="Times New Roman" w:hAnsiTheme="majorBidi" w:cstheme="majorBidi"/>
                <w:sz w:val="28"/>
                <w:szCs w:val="28"/>
              </w:rPr>
              <w:t>±1.2</w:t>
            </w:r>
            <w:r w:rsidRPr="000E2D76">
              <w:rPr>
                <w:rFonts w:asciiTheme="majorBidi" w:eastAsia="Times New Roman" w:hAnsiTheme="majorBidi" w:cstheme="majorBidi"/>
                <w:color w:val="000000"/>
                <w:sz w:val="28"/>
                <w:szCs w:val="28"/>
              </w:rPr>
              <w:t>a</w:t>
            </w:r>
          </w:p>
        </w:tc>
        <w:tc>
          <w:tcPr>
            <w:tcW w:w="1701" w:type="dxa"/>
            <w:shd w:val="clear" w:color="auto" w:fill="auto"/>
            <w:noWrap/>
            <w:vAlign w:val="center"/>
          </w:tcPr>
          <w:p w14:paraId="6AEF0061"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57.69</w:t>
            </w:r>
            <w:r w:rsidRPr="000E2D76">
              <w:rPr>
                <w:rFonts w:asciiTheme="majorBidi" w:eastAsia="Times New Roman" w:hAnsiTheme="majorBidi" w:cstheme="majorBidi"/>
                <w:sz w:val="28"/>
                <w:szCs w:val="28"/>
              </w:rPr>
              <w:t>±0.6</w:t>
            </w:r>
            <w:r w:rsidRPr="000E2D76">
              <w:rPr>
                <w:rFonts w:asciiTheme="majorBidi" w:eastAsia="Times New Roman" w:hAnsiTheme="majorBidi" w:cstheme="majorBidi"/>
                <w:color w:val="000000"/>
                <w:sz w:val="28"/>
                <w:szCs w:val="28"/>
              </w:rPr>
              <w:t>b</w:t>
            </w:r>
          </w:p>
        </w:tc>
        <w:tc>
          <w:tcPr>
            <w:tcW w:w="1710" w:type="dxa"/>
            <w:shd w:val="clear" w:color="auto" w:fill="auto"/>
            <w:noWrap/>
            <w:vAlign w:val="center"/>
          </w:tcPr>
          <w:p w14:paraId="6DEE74D5"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46.18</w:t>
            </w:r>
            <w:r w:rsidRPr="000E2D76">
              <w:rPr>
                <w:rFonts w:asciiTheme="majorBidi" w:eastAsia="Times New Roman" w:hAnsiTheme="majorBidi" w:cstheme="majorBidi"/>
                <w:sz w:val="28"/>
                <w:szCs w:val="28"/>
              </w:rPr>
              <w:t>±0.7</w:t>
            </w:r>
            <w:r w:rsidRPr="000E2D76">
              <w:rPr>
                <w:rFonts w:asciiTheme="majorBidi" w:eastAsia="Times New Roman" w:hAnsiTheme="majorBidi" w:cstheme="majorBidi"/>
                <w:color w:val="000000"/>
                <w:sz w:val="28"/>
                <w:szCs w:val="28"/>
              </w:rPr>
              <w:t>c</w:t>
            </w:r>
          </w:p>
        </w:tc>
        <w:tc>
          <w:tcPr>
            <w:tcW w:w="1800" w:type="dxa"/>
            <w:shd w:val="clear" w:color="auto" w:fill="auto"/>
            <w:noWrap/>
            <w:vAlign w:val="center"/>
          </w:tcPr>
          <w:p w14:paraId="70050949"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59.69</w:t>
            </w:r>
            <w:r w:rsidRPr="000E2D76">
              <w:rPr>
                <w:rFonts w:asciiTheme="majorBidi" w:eastAsia="Times New Roman" w:hAnsiTheme="majorBidi" w:cstheme="majorBidi"/>
                <w:sz w:val="28"/>
                <w:szCs w:val="28"/>
              </w:rPr>
              <w:t>±0.4</w:t>
            </w:r>
            <w:r w:rsidRPr="000E2D76">
              <w:rPr>
                <w:rFonts w:asciiTheme="majorBidi" w:eastAsia="Times New Roman" w:hAnsiTheme="majorBidi" w:cstheme="majorBidi"/>
                <w:color w:val="000000"/>
                <w:sz w:val="28"/>
                <w:szCs w:val="28"/>
              </w:rPr>
              <w:t>ab</w:t>
            </w:r>
          </w:p>
        </w:tc>
        <w:tc>
          <w:tcPr>
            <w:tcW w:w="1800" w:type="dxa"/>
            <w:shd w:val="clear" w:color="auto" w:fill="auto"/>
            <w:noWrap/>
            <w:vAlign w:val="center"/>
          </w:tcPr>
          <w:p w14:paraId="0C4223BE" w14:textId="77777777" w:rsidR="00D93AE6" w:rsidRPr="000E2D76" w:rsidRDefault="00D93AE6" w:rsidP="0078445E">
            <w:pPr>
              <w:spacing w:after="0" w:line="240" w:lineRule="auto"/>
              <w:jc w:val="center"/>
              <w:rPr>
                <w:rFonts w:asciiTheme="majorBidi" w:eastAsia="Times New Roman" w:hAnsiTheme="majorBidi" w:cstheme="majorBidi"/>
                <w:color w:val="000000"/>
                <w:sz w:val="28"/>
                <w:szCs w:val="28"/>
              </w:rPr>
            </w:pPr>
            <w:r w:rsidRPr="000E2D76">
              <w:rPr>
                <w:rFonts w:asciiTheme="majorBidi" w:eastAsia="Times New Roman" w:hAnsiTheme="majorBidi" w:cstheme="majorBidi"/>
                <w:color w:val="000000"/>
                <w:sz w:val="28"/>
                <w:szCs w:val="28"/>
              </w:rPr>
              <w:t>57.58</w:t>
            </w:r>
            <w:r w:rsidRPr="000E2D76">
              <w:rPr>
                <w:rFonts w:asciiTheme="majorBidi" w:eastAsia="Times New Roman" w:hAnsiTheme="majorBidi" w:cstheme="majorBidi"/>
                <w:sz w:val="28"/>
                <w:szCs w:val="28"/>
              </w:rPr>
              <w:t xml:space="preserve">±1.2 </w:t>
            </w:r>
            <w:r w:rsidRPr="000E2D76">
              <w:rPr>
                <w:rFonts w:asciiTheme="majorBidi" w:eastAsia="Times New Roman" w:hAnsiTheme="majorBidi" w:cstheme="majorBidi"/>
                <w:color w:val="000000"/>
                <w:sz w:val="28"/>
                <w:szCs w:val="28"/>
              </w:rPr>
              <w:t>b</w:t>
            </w:r>
          </w:p>
        </w:tc>
      </w:tr>
      <w:tr w:rsidR="00D93AE6" w:rsidRPr="000E2D76" w14:paraId="30EB55CD" w14:textId="77777777" w:rsidTr="0078445E">
        <w:trPr>
          <w:trHeight w:val="300"/>
          <w:jc w:val="center"/>
        </w:trPr>
        <w:tc>
          <w:tcPr>
            <w:tcW w:w="1753" w:type="dxa"/>
            <w:vMerge w:val="restart"/>
            <w:vAlign w:val="center"/>
          </w:tcPr>
          <w:p w14:paraId="2780EA3E"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a</w:t>
            </w:r>
          </w:p>
        </w:tc>
        <w:tc>
          <w:tcPr>
            <w:tcW w:w="1011" w:type="dxa"/>
            <w:shd w:val="clear" w:color="auto" w:fill="auto"/>
            <w:noWrap/>
          </w:tcPr>
          <w:p w14:paraId="17A70971"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0</w:t>
            </w:r>
          </w:p>
        </w:tc>
        <w:tc>
          <w:tcPr>
            <w:tcW w:w="1752" w:type="dxa"/>
            <w:shd w:val="clear" w:color="auto" w:fill="auto"/>
            <w:noWrap/>
          </w:tcPr>
          <w:p w14:paraId="7E220160"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9.49±0.5b</w:t>
            </w:r>
          </w:p>
        </w:tc>
        <w:tc>
          <w:tcPr>
            <w:tcW w:w="1701" w:type="dxa"/>
            <w:shd w:val="clear" w:color="auto" w:fill="auto"/>
            <w:noWrap/>
          </w:tcPr>
          <w:p w14:paraId="799BAB18"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11.89±0.2a</w:t>
            </w:r>
          </w:p>
        </w:tc>
        <w:tc>
          <w:tcPr>
            <w:tcW w:w="1710" w:type="dxa"/>
            <w:shd w:val="clear" w:color="auto" w:fill="auto"/>
            <w:noWrap/>
          </w:tcPr>
          <w:p w14:paraId="63FFB539"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9.36±0.1b</w:t>
            </w:r>
          </w:p>
        </w:tc>
        <w:tc>
          <w:tcPr>
            <w:tcW w:w="1800" w:type="dxa"/>
            <w:shd w:val="clear" w:color="auto" w:fill="auto"/>
            <w:noWrap/>
          </w:tcPr>
          <w:p w14:paraId="63D82F23"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9.27±0.2b</w:t>
            </w:r>
          </w:p>
        </w:tc>
        <w:tc>
          <w:tcPr>
            <w:tcW w:w="1800" w:type="dxa"/>
            <w:shd w:val="clear" w:color="auto" w:fill="auto"/>
            <w:noWrap/>
          </w:tcPr>
          <w:p w14:paraId="77952CF9"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9.56±0.04b</w:t>
            </w:r>
          </w:p>
        </w:tc>
      </w:tr>
      <w:tr w:rsidR="00D93AE6" w:rsidRPr="000E2D76" w14:paraId="3451D117" w14:textId="77777777" w:rsidTr="0078445E">
        <w:trPr>
          <w:trHeight w:val="300"/>
          <w:jc w:val="center"/>
        </w:trPr>
        <w:tc>
          <w:tcPr>
            <w:tcW w:w="1753" w:type="dxa"/>
            <w:vMerge/>
            <w:vAlign w:val="center"/>
          </w:tcPr>
          <w:p w14:paraId="4F47715D"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shd w:val="clear" w:color="auto" w:fill="auto"/>
            <w:noWrap/>
          </w:tcPr>
          <w:p w14:paraId="02D4D91A"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6</w:t>
            </w:r>
          </w:p>
        </w:tc>
        <w:tc>
          <w:tcPr>
            <w:tcW w:w="1752" w:type="dxa"/>
            <w:shd w:val="clear" w:color="auto" w:fill="auto"/>
            <w:noWrap/>
          </w:tcPr>
          <w:p w14:paraId="3A996588"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9.27±0.7ab</w:t>
            </w:r>
          </w:p>
        </w:tc>
        <w:tc>
          <w:tcPr>
            <w:tcW w:w="1701" w:type="dxa"/>
            <w:shd w:val="clear" w:color="auto" w:fill="auto"/>
            <w:noWrap/>
          </w:tcPr>
          <w:p w14:paraId="29D8D6E5"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7.44±0.7b</w:t>
            </w:r>
          </w:p>
        </w:tc>
        <w:tc>
          <w:tcPr>
            <w:tcW w:w="1710" w:type="dxa"/>
            <w:shd w:val="clear" w:color="auto" w:fill="auto"/>
            <w:noWrap/>
          </w:tcPr>
          <w:p w14:paraId="7EB8DA6A"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10.41±0.9a</w:t>
            </w:r>
          </w:p>
        </w:tc>
        <w:tc>
          <w:tcPr>
            <w:tcW w:w="1800" w:type="dxa"/>
            <w:shd w:val="clear" w:color="auto" w:fill="auto"/>
            <w:noWrap/>
          </w:tcPr>
          <w:p w14:paraId="14A022CD"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9.74±0.3ab</w:t>
            </w:r>
          </w:p>
        </w:tc>
        <w:tc>
          <w:tcPr>
            <w:tcW w:w="1800" w:type="dxa"/>
            <w:shd w:val="clear" w:color="auto" w:fill="auto"/>
            <w:noWrap/>
          </w:tcPr>
          <w:p w14:paraId="5E63C38D"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9.71±1.0ab</w:t>
            </w:r>
          </w:p>
        </w:tc>
      </w:tr>
      <w:tr w:rsidR="00D93AE6" w:rsidRPr="000E2D76" w14:paraId="4E65201F" w14:textId="77777777" w:rsidTr="0078445E">
        <w:trPr>
          <w:trHeight w:val="300"/>
          <w:jc w:val="center"/>
        </w:trPr>
        <w:tc>
          <w:tcPr>
            <w:tcW w:w="1753" w:type="dxa"/>
            <w:vMerge/>
            <w:vAlign w:val="center"/>
          </w:tcPr>
          <w:p w14:paraId="41CF232A"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shd w:val="clear" w:color="auto" w:fill="auto"/>
            <w:noWrap/>
          </w:tcPr>
          <w:p w14:paraId="4284EADC"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12</w:t>
            </w:r>
          </w:p>
        </w:tc>
        <w:tc>
          <w:tcPr>
            <w:tcW w:w="1752" w:type="dxa"/>
            <w:shd w:val="clear" w:color="auto" w:fill="auto"/>
            <w:noWrap/>
          </w:tcPr>
          <w:p w14:paraId="0032C348"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9.46±0.2c</w:t>
            </w:r>
          </w:p>
        </w:tc>
        <w:tc>
          <w:tcPr>
            <w:tcW w:w="1701" w:type="dxa"/>
            <w:shd w:val="clear" w:color="auto" w:fill="auto"/>
            <w:noWrap/>
          </w:tcPr>
          <w:p w14:paraId="367A4DF7"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10.10±0.2b</w:t>
            </w:r>
          </w:p>
        </w:tc>
        <w:tc>
          <w:tcPr>
            <w:tcW w:w="1710" w:type="dxa"/>
            <w:shd w:val="clear" w:color="auto" w:fill="auto"/>
            <w:noWrap/>
          </w:tcPr>
          <w:p w14:paraId="0D0DC80A"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11.33±0.3a</w:t>
            </w:r>
          </w:p>
        </w:tc>
        <w:tc>
          <w:tcPr>
            <w:tcW w:w="1800" w:type="dxa"/>
            <w:shd w:val="clear" w:color="auto" w:fill="auto"/>
            <w:noWrap/>
          </w:tcPr>
          <w:p w14:paraId="64BFD82F"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8.14±0.2d</w:t>
            </w:r>
          </w:p>
        </w:tc>
        <w:tc>
          <w:tcPr>
            <w:tcW w:w="1800" w:type="dxa"/>
            <w:shd w:val="clear" w:color="auto" w:fill="auto"/>
            <w:noWrap/>
          </w:tcPr>
          <w:p w14:paraId="2ED577E4"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9.88±0.1bc</w:t>
            </w:r>
          </w:p>
        </w:tc>
      </w:tr>
      <w:tr w:rsidR="00D93AE6" w:rsidRPr="000E2D76" w14:paraId="701D2E14" w14:textId="77777777" w:rsidTr="0078445E">
        <w:trPr>
          <w:trHeight w:val="300"/>
          <w:jc w:val="center"/>
        </w:trPr>
        <w:tc>
          <w:tcPr>
            <w:tcW w:w="1753" w:type="dxa"/>
            <w:vMerge w:val="restart"/>
            <w:vAlign w:val="center"/>
          </w:tcPr>
          <w:p w14:paraId="188E2B3E"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b</w:t>
            </w:r>
          </w:p>
        </w:tc>
        <w:tc>
          <w:tcPr>
            <w:tcW w:w="1011" w:type="dxa"/>
            <w:shd w:val="clear" w:color="auto" w:fill="auto"/>
            <w:noWrap/>
          </w:tcPr>
          <w:p w14:paraId="211DA52B"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0</w:t>
            </w:r>
          </w:p>
        </w:tc>
        <w:tc>
          <w:tcPr>
            <w:tcW w:w="1752" w:type="dxa"/>
            <w:shd w:val="clear" w:color="auto" w:fill="auto"/>
            <w:noWrap/>
          </w:tcPr>
          <w:p w14:paraId="09562C94"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21.34±0.2a</w:t>
            </w:r>
          </w:p>
        </w:tc>
        <w:tc>
          <w:tcPr>
            <w:tcW w:w="1701" w:type="dxa"/>
            <w:shd w:val="clear" w:color="auto" w:fill="auto"/>
            <w:noWrap/>
          </w:tcPr>
          <w:p w14:paraId="49F8E7F5"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21.05±0.2a</w:t>
            </w:r>
          </w:p>
        </w:tc>
        <w:tc>
          <w:tcPr>
            <w:tcW w:w="1710" w:type="dxa"/>
            <w:shd w:val="clear" w:color="auto" w:fill="auto"/>
            <w:noWrap/>
          </w:tcPr>
          <w:p w14:paraId="6CE772B3"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18.39±0.1b</w:t>
            </w:r>
          </w:p>
        </w:tc>
        <w:tc>
          <w:tcPr>
            <w:tcW w:w="1800" w:type="dxa"/>
            <w:shd w:val="clear" w:color="auto" w:fill="auto"/>
            <w:noWrap/>
          </w:tcPr>
          <w:p w14:paraId="06282EEC"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21.45±0.2a</w:t>
            </w:r>
          </w:p>
        </w:tc>
        <w:tc>
          <w:tcPr>
            <w:tcW w:w="1800" w:type="dxa"/>
            <w:shd w:val="clear" w:color="auto" w:fill="auto"/>
            <w:noWrap/>
          </w:tcPr>
          <w:p w14:paraId="4E9CCACE"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19.95±0.5b</w:t>
            </w:r>
          </w:p>
        </w:tc>
      </w:tr>
      <w:tr w:rsidR="00D93AE6" w:rsidRPr="000E2D76" w14:paraId="5910C104" w14:textId="77777777" w:rsidTr="0078445E">
        <w:trPr>
          <w:trHeight w:val="300"/>
          <w:jc w:val="center"/>
        </w:trPr>
        <w:tc>
          <w:tcPr>
            <w:tcW w:w="1753" w:type="dxa"/>
            <w:vMerge/>
            <w:vAlign w:val="center"/>
          </w:tcPr>
          <w:p w14:paraId="2A7DAF07"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shd w:val="clear" w:color="auto" w:fill="auto"/>
            <w:noWrap/>
          </w:tcPr>
          <w:p w14:paraId="32B05977"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6</w:t>
            </w:r>
          </w:p>
        </w:tc>
        <w:tc>
          <w:tcPr>
            <w:tcW w:w="1752" w:type="dxa"/>
            <w:shd w:val="clear" w:color="auto" w:fill="auto"/>
            <w:noWrap/>
          </w:tcPr>
          <w:p w14:paraId="3264ED5E"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19.46±0.1Cab</w:t>
            </w:r>
          </w:p>
        </w:tc>
        <w:tc>
          <w:tcPr>
            <w:tcW w:w="1701" w:type="dxa"/>
            <w:shd w:val="clear" w:color="auto" w:fill="auto"/>
            <w:noWrap/>
          </w:tcPr>
          <w:p w14:paraId="64F2FF65"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18.08±0.8c</w:t>
            </w:r>
          </w:p>
        </w:tc>
        <w:tc>
          <w:tcPr>
            <w:tcW w:w="1710" w:type="dxa"/>
            <w:shd w:val="clear" w:color="auto" w:fill="auto"/>
            <w:noWrap/>
          </w:tcPr>
          <w:p w14:paraId="593CB422"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19.95±0.7ab</w:t>
            </w:r>
          </w:p>
        </w:tc>
        <w:tc>
          <w:tcPr>
            <w:tcW w:w="1800" w:type="dxa"/>
            <w:shd w:val="clear" w:color="auto" w:fill="auto"/>
            <w:noWrap/>
          </w:tcPr>
          <w:p w14:paraId="08D77284"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18.86±0.2ab</w:t>
            </w:r>
          </w:p>
        </w:tc>
        <w:tc>
          <w:tcPr>
            <w:tcW w:w="1800" w:type="dxa"/>
            <w:shd w:val="clear" w:color="auto" w:fill="auto"/>
            <w:noWrap/>
          </w:tcPr>
          <w:p w14:paraId="4C50F696"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20.83±0.6a</w:t>
            </w:r>
          </w:p>
        </w:tc>
      </w:tr>
      <w:tr w:rsidR="00D93AE6" w:rsidRPr="000E2D76" w14:paraId="4215D72A" w14:textId="77777777" w:rsidTr="0078445E">
        <w:trPr>
          <w:trHeight w:val="300"/>
          <w:jc w:val="center"/>
        </w:trPr>
        <w:tc>
          <w:tcPr>
            <w:tcW w:w="1753" w:type="dxa"/>
            <w:vMerge/>
            <w:vAlign w:val="center"/>
          </w:tcPr>
          <w:p w14:paraId="72C99F33"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p>
        </w:tc>
        <w:tc>
          <w:tcPr>
            <w:tcW w:w="1011" w:type="dxa"/>
            <w:shd w:val="clear" w:color="auto" w:fill="auto"/>
            <w:noWrap/>
          </w:tcPr>
          <w:p w14:paraId="3BED652F" w14:textId="77777777" w:rsidR="00D93AE6" w:rsidRPr="000E2D76" w:rsidRDefault="00D93AE6" w:rsidP="0078445E">
            <w:pPr>
              <w:spacing w:after="0" w:line="240" w:lineRule="auto"/>
              <w:jc w:val="center"/>
              <w:rPr>
                <w:rFonts w:asciiTheme="majorBidi" w:eastAsia="Times New Roman" w:hAnsiTheme="majorBidi" w:cstheme="majorBidi"/>
                <w:b/>
                <w:bCs/>
                <w:color w:val="000000"/>
                <w:sz w:val="28"/>
                <w:szCs w:val="28"/>
              </w:rPr>
            </w:pPr>
            <w:r w:rsidRPr="000E2D76">
              <w:rPr>
                <w:rFonts w:asciiTheme="majorBidi" w:eastAsia="Times New Roman" w:hAnsiTheme="majorBidi" w:cstheme="majorBidi"/>
                <w:b/>
                <w:bCs/>
                <w:color w:val="000000"/>
                <w:sz w:val="28"/>
                <w:szCs w:val="28"/>
              </w:rPr>
              <w:t>12</w:t>
            </w:r>
          </w:p>
        </w:tc>
        <w:tc>
          <w:tcPr>
            <w:tcW w:w="1752" w:type="dxa"/>
            <w:shd w:val="clear" w:color="auto" w:fill="auto"/>
            <w:noWrap/>
          </w:tcPr>
          <w:p w14:paraId="1D4F8714"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19.05±0.1a</w:t>
            </w:r>
          </w:p>
        </w:tc>
        <w:tc>
          <w:tcPr>
            <w:tcW w:w="1701" w:type="dxa"/>
            <w:shd w:val="clear" w:color="auto" w:fill="auto"/>
            <w:noWrap/>
          </w:tcPr>
          <w:p w14:paraId="0EFDDD4A"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19.31±0.3a</w:t>
            </w:r>
          </w:p>
        </w:tc>
        <w:tc>
          <w:tcPr>
            <w:tcW w:w="1710" w:type="dxa"/>
            <w:shd w:val="clear" w:color="auto" w:fill="auto"/>
            <w:noWrap/>
          </w:tcPr>
          <w:p w14:paraId="3C1F1D40"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20.41±0.8a</w:t>
            </w:r>
          </w:p>
        </w:tc>
        <w:tc>
          <w:tcPr>
            <w:tcW w:w="1800" w:type="dxa"/>
            <w:shd w:val="clear" w:color="auto" w:fill="auto"/>
            <w:noWrap/>
          </w:tcPr>
          <w:p w14:paraId="10B1F107"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20.41±0.8a</w:t>
            </w:r>
          </w:p>
        </w:tc>
        <w:tc>
          <w:tcPr>
            <w:tcW w:w="1800" w:type="dxa"/>
            <w:shd w:val="clear" w:color="auto" w:fill="auto"/>
            <w:noWrap/>
          </w:tcPr>
          <w:p w14:paraId="157845AE" w14:textId="77777777" w:rsidR="00D93AE6" w:rsidRPr="000E2D76" w:rsidRDefault="00D93AE6" w:rsidP="0078445E">
            <w:pPr>
              <w:spacing w:after="0" w:line="240" w:lineRule="auto"/>
              <w:jc w:val="center"/>
              <w:rPr>
                <w:rFonts w:asciiTheme="majorBidi" w:eastAsia="Times New Roman" w:hAnsiTheme="majorBidi" w:cstheme="majorBidi"/>
                <w:sz w:val="28"/>
                <w:szCs w:val="28"/>
              </w:rPr>
            </w:pPr>
            <w:r w:rsidRPr="000E2D76">
              <w:rPr>
                <w:rFonts w:asciiTheme="majorBidi" w:eastAsia="Times New Roman" w:hAnsiTheme="majorBidi" w:cstheme="majorBidi"/>
                <w:sz w:val="28"/>
                <w:szCs w:val="28"/>
              </w:rPr>
              <w:t>18.99±0.2a</w:t>
            </w:r>
          </w:p>
        </w:tc>
      </w:tr>
    </w:tbl>
    <w:p w14:paraId="5AEC2D83" w14:textId="77777777" w:rsidR="00D93AE6" w:rsidRPr="000E2D76" w:rsidRDefault="00D93AE6" w:rsidP="00D93AE6">
      <w:pPr>
        <w:rPr>
          <w:sz w:val="28"/>
          <w:szCs w:val="28"/>
        </w:rPr>
      </w:pPr>
    </w:p>
    <w:p w14:paraId="319AF0D4" w14:textId="77777777" w:rsidR="0078445E" w:rsidRPr="000E2D76" w:rsidRDefault="0078445E" w:rsidP="008A7244">
      <w:pPr>
        <w:jc w:val="both"/>
        <w:rPr>
          <w:color w:val="000000" w:themeColor="text1"/>
          <w:sz w:val="28"/>
          <w:szCs w:val="28"/>
          <w:lang w:bidi="ar-EG"/>
        </w:rPr>
      </w:pPr>
    </w:p>
    <w:p w14:paraId="2015C09F" w14:textId="1127A9AE" w:rsidR="0078445E" w:rsidRPr="000E2D76" w:rsidRDefault="00F3087F" w:rsidP="008A7244">
      <w:pPr>
        <w:jc w:val="both"/>
        <w:rPr>
          <w:color w:val="000000" w:themeColor="text1"/>
          <w:sz w:val="28"/>
          <w:szCs w:val="28"/>
          <w:lang w:bidi="ar-EG"/>
        </w:rPr>
      </w:pPr>
      <w:r>
        <w:rPr>
          <w:color w:val="000000" w:themeColor="text1"/>
          <w:sz w:val="28"/>
          <w:szCs w:val="28"/>
          <w:lang w:bidi="ar-EG"/>
        </w:rPr>
        <w:t xml:space="preserve">References </w:t>
      </w:r>
    </w:p>
    <w:p w14:paraId="7D8B51CD" w14:textId="77777777" w:rsidR="007770FB" w:rsidRPr="007770FB" w:rsidRDefault="0078445E" w:rsidP="007770FB">
      <w:pPr>
        <w:pStyle w:val="EndNoteBibliography"/>
        <w:spacing w:after="0"/>
        <w:ind w:left="720" w:hanging="720"/>
      </w:pPr>
      <w:r w:rsidRPr="000E2D76">
        <w:rPr>
          <w:color w:val="000000" w:themeColor="text1"/>
          <w:sz w:val="28"/>
          <w:szCs w:val="28"/>
          <w:lang w:bidi="ar-EG"/>
        </w:rPr>
        <w:fldChar w:fldCharType="begin"/>
      </w:r>
      <w:r w:rsidRPr="000E2D76">
        <w:rPr>
          <w:color w:val="000000" w:themeColor="text1"/>
          <w:sz w:val="28"/>
          <w:szCs w:val="28"/>
          <w:lang w:bidi="ar-EG"/>
        </w:rPr>
        <w:instrText xml:space="preserve"> ADDIN EN.REFLIST </w:instrText>
      </w:r>
      <w:r w:rsidRPr="000E2D76">
        <w:rPr>
          <w:color w:val="000000" w:themeColor="text1"/>
          <w:sz w:val="28"/>
          <w:szCs w:val="28"/>
          <w:lang w:bidi="ar-EG"/>
        </w:rPr>
        <w:fldChar w:fldCharType="separate"/>
      </w:r>
      <w:r w:rsidR="007770FB" w:rsidRPr="007770FB">
        <w:t xml:space="preserve">Attard, E. (2013). A rapid microtitre plate Folin-Ciocalteu method for the assessment of polyphenols. </w:t>
      </w:r>
      <w:r w:rsidR="007770FB" w:rsidRPr="007770FB">
        <w:rPr>
          <w:i/>
        </w:rPr>
        <w:t>Open Life Sciences, 8</w:t>
      </w:r>
      <w:r w:rsidR="007770FB" w:rsidRPr="007770FB">
        <w:t xml:space="preserve">(1), 48-53. </w:t>
      </w:r>
    </w:p>
    <w:p w14:paraId="64CE0E98" w14:textId="77777777" w:rsidR="007770FB" w:rsidRPr="007770FB" w:rsidRDefault="007770FB" w:rsidP="007770FB">
      <w:pPr>
        <w:pStyle w:val="EndNoteBibliography"/>
        <w:spacing w:after="0"/>
        <w:ind w:left="720" w:hanging="720"/>
      </w:pPr>
      <w:r w:rsidRPr="007770FB">
        <w:t xml:space="preserve">Besbes, S., Blecker, C., Deroanne, C., Lognay, G., Drira, N., &amp; Attia, H. (2004). Quality characteristics and oxidative stability of date seed oil during storage. </w:t>
      </w:r>
      <w:r w:rsidRPr="007770FB">
        <w:rPr>
          <w:i/>
        </w:rPr>
        <w:t>Food science and technology international, 10</w:t>
      </w:r>
      <w:r w:rsidRPr="007770FB">
        <w:t xml:space="preserve">(5), 333-338. </w:t>
      </w:r>
    </w:p>
    <w:p w14:paraId="5012D76D" w14:textId="77777777" w:rsidR="007770FB" w:rsidRPr="007770FB" w:rsidRDefault="007770FB" w:rsidP="007770FB">
      <w:pPr>
        <w:pStyle w:val="EndNoteBibliography"/>
        <w:spacing w:after="0"/>
        <w:ind w:left="720" w:hanging="720"/>
      </w:pPr>
      <w:r w:rsidRPr="007770FB">
        <w:t xml:space="preserve">Bharti, D., Kim, D., Cerqueira, M. A., Mohanty, B., Habibullah, S., Banerjee, I., &amp; Pal, K. (2021). Effect of biodegradable hydrophilic and hydrophobic emulsifiers on the oleogels containing sunflower wax and sunflower oil. </w:t>
      </w:r>
      <w:r w:rsidRPr="007770FB">
        <w:rPr>
          <w:i/>
        </w:rPr>
        <w:t>Gels, 7</w:t>
      </w:r>
      <w:r w:rsidRPr="007770FB">
        <w:t xml:space="preserve">(3), 133. </w:t>
      </w:r>
    </w:p>
    <w:p w14:paraId="7DDF5440" w14:textId="77777777" w:rsidR="007770FB" w:rsidRPr="007770FB" w:rsidRDefault="007770FB" w:rsidP="007770FB">
      <w:pPr>
        <w:pStyle w:val="EndNoteBibliography"/>
        <w:spacing w:after="0"/>
        <w:ind w:left="720" w:hanging="720"/>
      </w:pPr>
      <w:r w:rsidRPr="007770FB">
        <w:t xml:space="preserve">Boly, R., Lamkami, T., Lompo, M., Dubois, J., &amp; Guissou, I. (2016). DPPH free radical scavenging activity of two extracts from Agelanthus dodoneifolius (Loranthaceae) leaves. </w:t>
      </w:r>
      <w:r w:rsidRPr="007770FB">
        <w:rPr>
          <w:i/>
        </w:rPr>
        <w:t>International Journal of Toxicological and Pharmacological Research, 8</w:t>
      </w:r>
      <w:r w:rsidRPr="007770FB">
        <w:t xml:space="preserve">(1), 29-34. </w:t>
      </w:r>
    </w:p>
    <w:p w14:paraId="7BB00B6A" w14:textId="77777777" w:rsidR="007770FB" w:rsidRPr="007770FB" w:rsidRDefault="007770FB" w:rsidP="007770FB">
      <w:pPr>
        <w:pStyle w:val="EndNoteBibliography"/>
        <w:spacing w:after="0"/>
        <w:ind w:left="720" w:hanging="720"/>
      </w:pPr>
      <w:r w:rsidRPr="007770FB">
        <w:t xml:space="preserve">Delgado-Pando, G., Cofrades, S., Ruiz-Capillas, C., Triki, M., &amp; Jiménez-Colmenero, F. (2012). Enriched n− 3 PUFA/konjac gel low-fat pork liver pâté: Lipid oxidation, microbiological properties and biogenic amine formation during chilling storage. </w:t>
      </w:r>
      <w:r w:rsidRPr="007770FB">
        <w:rPr>
          <w:i/>
        </w:rPr>
        <w:t>Meat science, 92</w:t>
      </w:r>
      <w:r w:rsidRPr="007770FB">
        <w:t xml:space="preserve">(4), 762-767. </w:t>
      </w:r>
    </w:p>
    <w:p w14:paraId="2BB2DE91" w14:textId="77777777" w:rsidR="007770FB" w:rsidRPr="007770FB" w:rsidRDefault="007770FB" w:rsidP="007770FB">
      <w:pPr>
        <w:pStyle w:val="EndNoteBibliography"/>
        <w:spacing w:after="0"/>
        <w:ind w:left="720" w:hanging="720"/>
      </w:pPr>
      <w:r w:rsidRPr="007770FB">
        <w:lastRenderedPageBreak/>
        <w:t xml:space="preserve">Doan, C. D., Tavernier, I., Okuro, P. K., &amp; Dewettinck, K. (2018). Internal and external factors affecting the crystallization, gelation and applicability of wax-based oleogels in food industry. </w:t>
      </w:r>
      <w:r w:rsidRPr="007770FB">
        <w:rPr>
          <w:i/>
        </w:rPr>
        <w:t>Innovative Food Science &amp; Emerging Technologies, 45</w:t>
      </w:r>
      <w:r w:rsidRPr="007770FB">
        <w:t xml:space="preserve">, 42-52. </w:t>
      </w:r>
    </w:p>
    <w:p w14:paraId="08111A4D" w14:textId="77777777" w:rsidR="007770FB" w:rsidRPr="007770FB" w:rsidRDefault="007770FB" w:rsidP="007770FB">
      <w:pPr>
        <w:pStyle w:val="EndNoteBibliography"/>
        <w:spacing w:after="0"/>
        <w:ind w:left="720" w:hanging="720"/>
      </w:pPr>
      <w:r w:rsidRPr="007770FB">
        <w:t xml:space="preserve">Domínguez, R., Pateiro, M., Munekata, P. E., Zhang, W., Garcia-Oliveira, P., Carpena, M., . . . Lorenzo, J. M. (2021). Protein oxidation in muscle foods: A comprehensive review. </w:t>
      </w:r>
      <w:r w:rsidRPr="007770FB">
        <w:rPr>
          <w:i/>
        </w:rPr>
        <w:t>Antioxidants, 11</w:t>
      </w:r>
      <w:r w:rsidRPr="007770FB">
        <w:t xml:space="preserve">(1), 60. </w:t>
      </w:r>
    </w:p>
    <w:p w14:paraId="132AA33D" w14:textId="77777777" w:rsidR="007770FB" w:rsidRPr="007770FB" w:rsidRDefault="007770FB" w:rsidP="007770FB">
      <w:pPr>
        <w:pStyle w:val="EndNoteBibliography"/>
        <w:spacing w:after="0"/>
        <w:ind w:left="720" w:hanging="720"/>
      </w:pPr>
      <w:r w:rsidRPr="007770FB">
        <w:t xml:space="preserve">Erdogdu, S. B., Erdogdu, F., &amp; Ekiz, H. I. (2007). Influence of sodium tripolyphosphate (STP) treatment and cooking time on cook losses and textural properties of red meats. </w:t>
      </w:r>
      <w:r w:rsidRPr="007770FB">
        <w:rPr>
          <w:i/>
        </w:rPr>
        <w:t>Journal of Food Process Engineering, 30</w:t>
      </w:r>
      <w:r w:rsidRPr="007770FB">
        <w:t xml:space="preserve">(6), 685-700. </w:t>
      </w:r>
    </w:p>
    <w:p w14:paraId="65C51587" w14:textId="77777777" w:rsidR="007770FB" w:rsidRPr="007770FB" w:rsidRDefault="007770FB" w:rsidP="007770FB">
      <w:pPr>
        <w:pStyle w:val="EndNoteBibliography"/>
        <w:spacing w:after="0"/>
        <w:ind w:left="720" w:hanging="720"/>
      </w:pPr>
      <w:r w:rsidRPr="007770FB">
        <w:t xml:space="preserve">Gao, Y., Zhao, Y., Yao, Y., Chen, S., Xu, L., Wu, N., &amp; Tu, Y. (2024). Recent trends in design of healthier fat replacers: Type, replacement mechanism, sensory evaluation method and consumer acceptance. </w:t>
      </w:r>
      <w:r w:rsidRPr="007770FB">
        <w:rPr>
          <w:i/>
        </w:rPr>
        <w:t>Food chemistry</w:t>
      </w:r>
      <w:r w:rsidRPr="007770FB">
        <w:t xml:space="preserve">, 138982. </w:t>
      </w:r>
    </w:p>
    <w:p w14:paraId="54D7C8FD" w14:textId="77777777" w:rsidR="007770FB" w:rsidRPr="007770FB" w:rsidRDefault="007770FB" w:rsidP="007770FB">
      <w:pPr>
        <w:pStyle w:val="EndNoteBibliography"/>
        <w:spacing w:after="0"/>
        <w:ind w:left="720" w:hanging="720"/>
      </w:pPr>
      <w:r w:rsidRPr="007770FB">
        <w:t xml:space="preserve">Hussain, S. A., Ahmad, S. R., Rashid, S., Fayaz, H., &amp; Qureshi, A. I. (2024). Quality Requirements of Meat for Processing </w:t>
      </w:r>
      <w:r w:rsidRPr="007770FB">
        <w:rPr>
          <w:i/>
        </w:rPr>
        <w:t>Hand Book of Processed Functional Meat Products</w:t>
      </w:r>
      <w:r w:rsidRPr="007770FB">
        <w:t xml:space="preserve"> (pp. 53-80): Springer.</w:t>
      </w:r>
    </w:p>
    <w:p w14:paraId="75466FCB" w14:textId="77777777" w:rsidR="007770FB" w:rsidRPr="007770FB" w:rsidRDefault="007770FB" w:rsidP="007770FB">
      <w:pPr>
        <w:pStyle w:val="EndNoteBibliography"/>
        <w:spacing w:after="0"/>
        <w:ind w:left="720" w:hanging="720"/>
      </w:pPr>
      <w:r w:rsidRPr="007770FB">
        <w:t xml:space="preserve">Hwang, H.-S. (2020). A critical review on structures, health effects, oxidative stability, and sensory properties of oleogels. </w:t>
      </w:r>
      <w:r w:rsidRPr="007770FB">
        <w:rPr>
          <w:i/>
        </w:rPr>
        <w:t>Biocatalysis and Agricultural Biotechnology, 26</w:t>
      </w:r>
      <w:r w:rsidRPr="007770FB">
        <w:t xml:space="preserve">, 101657. </w:t>
      </w:r>
    </w:p>
    <w:p w14:paraId="2A3BAF71" w14:textId="77777777" w:rsidR="007770FB" w:rsidRPr="007770FB" w:rsidRDefault="007770FB" w:rsidP="007770FB">
      <w:pPr>
        <w:pStyle w:val="EndNoteBibliography"/>
        <w:spacing w:after="0"/>
        <w:ind w:left="720" w:hanging="720"/>
      </w:pPr>
      <w:r w:rsidRPr="007770FB">
        <w:t xml:space="preserve">Jana, S., &amp; Martini, S. (2016). Physical characterization of crystalline networks formed by binary blends of waxes in soybean oil. </w:t>
      </w:r>
      <w:r w:rsidRPr="007770FB">
        <w:rPr>
          <w:i/>
        </w:rPr>
        <w:t>Food research international, 89</w:t>
      </w:r>
      <w:r w:rsidRPr="007770FB">
        <w:t xml:space="preserve">, 245-253. </w:t>
      </w:r>
    </w:p>
    <w:p w14:paraId="4EC63CB8" w14:textId="77777777" w:rsidR="007770FB" w:rsidRPr="007770FB" w:rsidRDefault="007770FB" w:rsidP="007770FB">
      <w:pPr>
        <w:pStyle w:val="EndNoteBibliography"/>
        <w:spacing w:after="0"/>
        <w:ind w:left="720" w:hanging="720"/>
      </w:pPr>
      <w:r w:rsidRPr="007770FB">
        <w:t xml:space="preserve">Li, J., Xiao, Y., Zhang, H., Bi, Y., &amp; Xu, X. (2024). Edible oleogels as solid fat alternatives: A review from patent perspectives. </w:t>
      </w:r>
      <w:r w:rsidRPr="007770FB">
        <w:rPr>
          <w:i/>
        </w:rPr>
        <w:t>Journal of the American Oil Chemists' Society, 101</w:t>
      </w:r>
      <w:r w:rsidRPr="007770FB">
        <w:t xml:space="preserve">(11), 1145-1172. </w:t>
      </w:r>
    </w:p>
    <w:p w14:paraId="2614414D" w14:textId="77777777" w:rsidR="007770FB" w:rsidRPr="007770FB" w:rsidRDefault="007770FB" w:rsidP="007770FB">
      <w:pPr>
        <w:pStyle w:val="EndNoteBibliography"/>
        <w:spacing w:after="0"/>
        <w:ind w:left="720" w:hanging="720"/>
      </w:pPr>
      <w:r w:rsidRPr="007770FB">
        <w:t xml:space="preserve">Machado, M., Rodriguez-Alcalá, L. M., Gomes, A. M., &amp; Pintado, M. (2023). Vegetable oils oxidation: mechanisms, consequences and protective strategies. </w:t>
      </w:r>
      <w:r w:rsidRPr="007770FB">
        <w:rPr>
          <w:i/>
        </w:rPr>
        <w:t>Food Reviews International, 39</w:t>
      </w:r>
      <w:r w:rsidRPr="007770FB">
        <w:t xml:space="preserve">(7), 4180-4197. </w:t>
      </w:r>
    </w:p>
    <w:p w14:paraId="7219F45F" w14:textId="77777777" w:rsidR="007770FB" w:rsidRPr="007770FB" w:rsidRDefault="007770FB" w:rsidP="007770FB">
      <w:pPr>
        <w:pStyle w:val="EndNoteBibliography"/>
        <w:spacing w:after="0"/>
        <w:ind w:left="720" w:hanging="720"/>
      </w:pPr>
      <w:r w:rsidRPr="007770FB">
        <w:t xml:space="preserve">Manzoor, S., Masoodi, F., Rashid, R., Naqash, F., &amp; Ahmad, M. (2022). Oleogels for the development of healthy meat products: A review. </w:t>
      </w:r>
      <w:r w:rsidRPr="007770FB">
        <w:rPr>
          <w:i/>
        </w:rPr>
        <w:t>Applied Food Research, 2</w:t>
      </w:r>
      <w:r w:rsidRPr="007770FB">
        <w:t xml:space="preserve">(2), 100212. </w:t>
      </w:r>
    </w:p>
    <w:p w14:paraId="68C0D2B3" w14:textId="77777777" w:rsidR="007770FB" w:rsidRPr="007770FB" w:rsidRDefault="007770FB" w:rsidP="007770FB">
      <w:pPr>
        <w:pStyle w:val="EndNoteBibliography"/>
        <w:spacing w:after="0"/>
        <w:ind w:left="720" w:hanging="720"/>
      </w:pPr>
      <w:r w:rsidRPr="007770FB">
        <w:t xml:space="preserve">Murphy, E. W., Criner, P. E., &amp; Gray, B. C. (1975). Comparisons of methods for calculating retentions of nutrients in cooked foods. </w:t>
      </w:r>
      <w:r w:rsidRPr="007770FB">
        <w:rPr>
          <w:i/>
        </w:rPr>
        <w:t>Journal of agricultural and food chemistry, 23</w:t>
      </w:r>
      <w:r w:rsidRPr="007770FB">
        <w:t xml:space="preserve">(6), 1153-1157. </w:t>
      </w:r>
    </w:p>
    <w:p w14:paraId="48601656" w14:textId="77777777" w:rsidR="007770FB" w:rsidRPr="007770FB" w:rsidRDefault="007770FB" w:rsidP="007770FB">
      <w:pPr>
        <w:pStyle w:val="EndNoteBibliography"/>
        <w:spacing w:after="0"/>
        <w:ind w:left="720" w:hanging="720"/>
      </w:pPr>
      <w:r w:rsidRPr="007770FB">
        <w:t xml:space="preserve">Öğütcü, M., &amp; Yılmaz, E. (2015). Characterization of hazelnut oil oleogels prepared with sunflower and carnauba waxes. </w:t>
      </w:r>
      <w:r w:rsidRPr="007770FB">
        <w:rPr>
          <w:i/>
        </w:rPr>
        <w:t>International Journal of Food Properties, 18</w:t>
      </w:r>
      <w:r w:rsidRPr="007770FB">
        <w:t xml:space="preserve">(8), 1741-1755. </w:t>
      </w:r>
    </w:p>
    <w:p w14:paraId="2945BE01" w14:textId="77777777" w:rsidR="007770FB" w:rsidRPr="007770FB" w:rsidRDefault="007770FB" w:rsidP="007770FB">
      <w:pPr>
        <w:pStyle w:val="EndNoteBibliography"/>
        <w:spacing w:after="0"/>
        <w:ind w:left="720" w:hanging="720"/>
      </w:pPr>
      <w:r w:rsidRPr="007770FB">
        <w:t xml:space="preserve">Pappa, I., Bloukas, J., &amp; Arvanitoyannis, I. (2000). Optimization of salt, olive oil and pectin level for low-fat frankfurters produced by replacing pork backfat with olive oil. </w:t>
      </w:r>
      <w:r w:rsidRPr="007770FB">
        <w:rPr>
          <w:i/>
        </w:rPr>
        <w:t>Meat science, 56</w:t>
      </w:r>
      <w:r w:rsidRPr="007770FB">
        <w:t xml:space="preserve">(1), 81-88. </w:t>
      </w:r>
    </w:p>
    <w:p w14:paraId="73970141" w14:textId="77777777" w:rsidR="007770FB" w:rsidRPr="007770FB" w:rsidRDefault="007770FB" w:rsidP="007770FB">
      <w:pPr>
        <w:pStyle w:val="EndNoteBibliography"/>
        <w:spacing w:after="0"/>
        <w:ind w:left="720" w:hanging="720"/>
      </w:pPr>
      <w:r w:rsidRPr="007770FB">
        <w:t xml:space="preserve">Peron, G., Carmo dos Santos, N. A., Ferrarese, I., Rizzo, F., Bernabè, G., Paccagnella, M., . . . Dall'Acqua, S. (2023). The beeswax processing by‐product: a potential antibacterial ingredient for food and nutraceutical applications. </w:t>
      </w:r>
      <w:r w:rsidRPr="007770FB">
        <w:rPr>
          <w:i/>
        </w:rPr>
        <w:t>International Journal of Food Science &amp; Technology, 58</w:t>
      </w:r>
      <w:r w:rsidRPr="007770FB">
        <w:t xml:space="preserve">(10), 5549-5556. </w:t>
      </w:r>
    </w:p>
    <w:p w14:paraId="0318131A" w14:textId="77777777" w:rsidR="007770FB" w:rsidRPr="007770FB" w:rsidRDefault="007770FB" w:rsidP="007770FB">
      <w:pPr>
        <w:pStyle w:val="EndNoteBibliography"/>
        <w:spacing w:after="0"/>
        <w:ind w:left="720" w:hanging="720"/>
      </w:pPr>
      <w:r w:rsidRPr="007770FB">
        <w:t xml:space="preserve">Sahu, S., Ghosh, M., &amp; Bhattacharyya, D. (2020). Utilization of unsaponifiable matter from rice bran oil fatty acid distillate for preparing an antioxidant-rich oleogel and evaluation of its properties. </w:t>
      </w:r>
      <w:r w:rsidRPr="007770FB">
        <w:rPr>
          <w:i/>
        </w:rPr>
        <w:t>Grasas Y Aceites, 71</w:t>
      </w:r>
      <w:r w:rsidRPr="007770FB">
        <w:t xml:space="preserve">(1), a336-a336. </w:t>
      </w:r>
    </w:p>
    <w:p w14:paraId="4DA182EB" w14:textId="77777777" w:rsidR="007770FB" w:rsidRPr="007770FB" w:rsidRDefault="007770FB" w:rsidP="007770FB">
      <w:pPr>
        <w:pStyle w:val="EndNoteBibliography"/>
        <w:spacing w:after="0"/>
        <w:ind w:left="720" w:hanging="720"/>
      </w:pPr>
      <w:r w:rsidRPr="007770FB">
        <w:t xml:space="preserve">Salama, M. A., Abdin, M., Saleh, M. N., El-Baset, A., Walid, S., Hendawy, E., &amp; Ibrahim, A. (2024). Preparation and Evaluation of Oleogels Incorporated with Moringa oleifera Leaves Extract in Biscuits Production. </w:t>
      </w:r>
      <w:r w:rsidRPr="007770FB">
        <w:rPr>
          <w:i/>
        </w:rPr>
        <w:t>Food Technology Research Journal, 4</w:t>
      </w:r>
      <w:r w:rsidRPr="007770FB">
        <w:t xml:space="preserve">(1), 1-15. </w:t>
      </w:r>
    </w:p>
    <w:p w14:paraId="48284D3C" w14:textId="77777777" w:rsidR="007770FB" w:rsidRPr="007770FB" w:rsidRDefault="007770FB" w:rsidP="007770FB">
      <w:pPr>
        <w:pStyle w:val="EndNoteBibliography"/>
        <w:spacing w:after="0"/>
        <w:ind w:left="720" w:hanging="720"/>
      </w:pPr>
      <w:r w:rsidRPr="007770FB">
        <w:t>Salama, M. A., El Harkaoui, S., Nounah, I., Sakr, H., Abdin, M., Owon, M., . . . Matthäus, B. (2020). Oxidative stability of Opuntia ficus-indica seeds oil blending with Moringa oleifera seeds oil</w:t>
      </w:r>
      <w:r w:rsidRPr="007770FB">
        <w:rPr>
          <w:rFonts w:ascii="Segoe UI Symbol" w:hAnsi="Segoe UI Symbol" w:cs="Segoe UI Symbol"/>
        </w:rPr>
        <w:t>☆</w:t>
      </w:r>
      <w:r w:rsidRPr="007770FB">
        <w:t xml:space="preserve">. </w:t>
      </w:r>
      <w:r w:rsidRPr="007770FB">
        <w:rPr>
          <w:i/>
        </w:rPr>
        <w:t>OCL, 27</w:t>
      </w:r>
      <w:r w:rsidRPr="007770FB">
        <w:t xml:space="preserve">, 53. </w:t>
      </w:r>
    </w:p>
    <w:p w14:paraId="4D27DBCD" w14:textId="77777777" w:rsidR="007770FB" w:rsidRPr="007770FB" w:rsidRDefault="007770FB" w:rsidP="007770FB">
      <w:pPr>
        <w:pStyle w:val="EndNoteBibliography"/>
        <w:spacing w:after="0"/>
        <w:ind w:left="720" w:hanging="720"/>
      </w:pPr>
      <w:r w:rsidRPr="007770FB">
        <w:t xml:space="preserve">Selani, M. M., Ramos, P. H. B., Patinho, I., França, F., dos Santos Harada-Padermo, S., Contreras-Castillo, C. J., &amp; Saldaña, E. (2022). Consumer's perception and expected liking of labels of burgers with sodium reduction and addition of mushroom flavor enhancer. </w:t>
      </w:r>
      <w:r w:rsidRPr="007770FB">
        <w:rPr>
          <w:i/>
        </w:rPr>
        <w:t>Meat science, 185</w:t>
      </w:r>
      <w:r w:rsidRPr="007770FB">
        <w:t xml:space="preserve">, 108720. </w:t>
      </w:r>
    </w:p>
    <w:p w14:paraId="0D281B9F" w14:textId="77777777" w:rsidR="007770FB" w:rsidRPr="007770FB" w:rsidRDefault="007770FB" w:rsidP="007770FB">
      <w:pPr>
        <w:pStyle w:val="EndNoteBibliography"/>
        <w:spacing w:after="0"/>
        <w:ind w:left="720" w:hanging="720"/>
      </w:pPr>
      <w:r w:rsidRPr="007770FB">
        <w:t xml:space="preserve">Serdaroğlu, M., &amp; Değırmencioğlu, Ö. (2004). Effects of fat level (5%, 10%, 20%) and corn flour (0%, 2%, 4%) on some properties of Turkish type meatballs (koefte). </w:t>
      </w:r>
      <w:r w:rsidRPr="007770FB">
        <w:rPr>
          <w:i/>
        </w:rPr>
        <w:t>Meat science, 68</w:t>
      </w:r>
      <w:r w:rsidRPr="007770FB">
        <w:t xml:space="preserve">(2), 291-296. </w:t>
      </w:r>
    </w:p>
    <w:p w14:paraId="56B85590" w14:textId="77777777" w:rsidR="007770FB" w:rsidRPr="007770FB" w:rsidRDefault="007770FB" w:rsidP="007770FB">
      <w:pPr>
        <w:pStyle w:val="EndNoteBibliography"/>
        <w:spacing w:after="0"/>
        <w:ind w:left="720" w:hanging="720"/>
      </w:pPr>
      <w:r w:rsidRPr="007770FB">
        <w:lastRenderedPageBreak/>
        <w:t xml:space="preserve">Soleimanian, Y., Goli, S. A. H., Shirvani, A., Elmizadeh, A., &amp; Marangoni, A. G. (2020). Wax‐based delivery systems: preparation, characterization, and food applications. </w:t>
      </w:r>
      <w:r w:rsidRPr="007770FB">
        <w:rPr>
          <w:i/>
        </w:rPr>
        <w:t>Comprehensive Reviews in Food Science and Food Safety, 19</w:t>
      </w:r>
      <w:r w:rsidRPr="007770FB">
        <w:t xml:space="preserve">(6), 2994-3030. </w:t>
      </w:r>
    </w:p>
    <w:p w14:paraId="78B754FE" w14:textId="77777777" w:rsidR="007770FB" w:rsidRPr="007770FB" w:rsidRDefault="007770FB" w:rsidP="007770FB">
      <w:pPr>
        <w:pStyle w:val="EndNoteBibliography"/>
        <w:spacing w:after="0"/>
        <w:ind w:left="720" w:hanging="720"/>
      </w:pPr>
      <w:r w:rsidRPr="007770FB">
        <w:t xml:space="preserve">Steel, C. J., Dobarganes, M. C., &amp; Barrera-Arellano, D. (2005). The influence of natural tocopherols during thermal oxidation of refined and partially hydrogenated soybean oils. </w:t>
      </w:r>
      <w:r w:rsidRPr="007770FB">
        <w:rPr>
          <w:i/>
        </w:rPr>
        <w:t>Grasas Y Aceites, 56</w:t>
      </w:r>
      <w:r w:rsidRPr="007770FB">
        <w:t xml:space="preserve">(1), 46-52. </w:t>
      </w:r>
    </w:p>
    <w:p w14:paraId="2C4492C1" w14:textId="77777777" w:rsidR="007770FB" w:rsidRPr="007770FB" w:rsidRDefault="007770FB" w:rsidP="007770FB">
      <w:pPr>
        <w:pStyle w:val="EndNoteBibliography"/>
        <w:spacing w:after="0"/>
        <w:ind w:left="720" w:hanging="720"/>
      </w:pPr>
      <w:r w:rsidRPr="007770FB">
        <w:t xml:space="preserve">Wolfer, T. L. (2017). </w:t>
      </w:r>
      <w:r w:rsidRPr="007770FB">
        <w:rPr>
          <w:i/>
        </w:rPr>
        <w:t>Fats, oils, and oleogels: Their significance in and impacts on comminuted meat products.</w:t>
      </w:r>
      <w:r w:rsidRPr="007770FB">
        <w:t xml:space="preserve"> Iowa State University.   </w:t>
      </w:r>
    </w:p>
    <w:p w14:paraId="5DBEC0F7" w14:textId="77777777" w:rsidR="007770FB" w:rsidRPr="007770FB" w:rsidRDefault="007770FB" w:rsidP="007770FB">
      <w:pPr>
        <w:pStyle w:val="EndNoteBibliography"/>
        <w:spacing w:after="0"/>
        <w:ind w:left="720" w:hanging="720"/>
      </w:pPr>
      <w:r w:rsidRPr="007770FB">
        <w:t xml:space="preserve">Yetim, H., Sarioglu, K., Ekici, L., Ozturk, I., &amp; Sagdic, O. (2011). Some characteristics of meats from the chickens fed with Lamiaceae spices: proximate composition, lipid oxidation, color and sensory properties. </w:t>
      </w:r>
    </w:p>
    <w:p w14:paraId="79FDAF2D" w14:textId="77777777" w:rsidR="007770FB" w:rsidRPr="007770FB" w:rsidRDefault="007770FB" w:rsidP="007770FB">
      <w:pPr>
        <w:pStyle w:val="EndNoteBibliography"/>
        <w:spacing w:after="0"/>
        <w:ind w:left="720" w:hanging="720"/>
      </w:pPr>
      <w:r w:rsidRPr="007770FB">
        <w:t xml:space="preserve">Yılmaz, E., &amp; Öğütcü, M. (2014). Properties and stability of hazelnut oil organogels with beeswax and monoglyceride. </w:t>
      </w:r>
      <w:r w:rsidRPr="007770FB">
        <w:rPr>
          <w:i/>
        </w:rPr>
        <w:t>Journal of the American Oil Chemists' Society, 91</w:t>
      </w:r>
      <w:r w:rsidRPr="007770FB">
        <w:t xml:space="preserve">(6), 1007-1017. </w:t>
      </w:r>
    </w:p>
    <w:p w14:paraId="14363D53" w14:textId="77777777" w:rsidR="007770FB" w:rsidRPr="007770FB" w:rsidRDefault="007770FB" w:rsidP="007770FB">
      <w:pPr>
        <w:pStyle w:val="EndNoteBibliography"/>
        <w:spacing w:after="0"/>
        <w:ind w:left="720" w:hanging="720"/>
      </w:pPr>
      <w:r w:rsidRPr="007770FB">
        <w:t xml:space="preserve">Yılmaz, E., &amp; Öğütcü, M. (2015). The texture, sensory properties and stability of cookies prepared with wax oleogels. </w:t>
      </w:r>
      <w:r w:rsidRPr="007770FB">
        <w:rPr>
          <w:i/>
        </w:rPr>
        <w:t>Food &amp; function, 6</w:t>
      </w:r>
      <w:r w:rsidRPr="007770FB">
        <w:t xml:space="preserve">(4), 1194-1204. </w:t>
      </w:r>
    </w:p>
    <w:p w14:paraId="7FDB42E2" w14:textId="77777777" w:rsidR="007770FB" w:rsidRPr="007770FB" w:rsidRDefault="007770FB" w:rsidP="007770FB">
      <w:pPr>
        <w:pStyle w:val="EndNoteBibliography"/>
        <w:ind w:left="720" w:hanging="720"/>
      </w:pPr>
      <w:r w:rsidRPr="007770FB">
        <w:t xml:space="preserve">Zampouni, K., Soniadis, A., Dimakopoulou-Papazoglou, D., Moschakis, T., Biliaderis, C., &amp; Katsanidis, E. (2022). Modified fermented sausages with olive oil oleogel and NaCl–KCl substitution for improved nutritional quality. </w:t>
      </w:r>
      <w:r w:rsidRPr="007770FB">
        <w:rPr>
          <w:i/>
        </w:rPr>
        <w:t>LWT, 158</w:t>
      </w:r>
      <w:r w:rsidRPr="007770FB">
        <w:t xml:space="preserve">, 113172. </w:t>
      </w:r>
    </w:p>
    <w:p w14:paraId="19A1DEFA" w14:textId="77777777" w:rsidR="00D93AE6" w:rsidRPr="000E2D76" w:rsidRDefault="0078445E" w:rsidP="007770FB">
      <w:pPr>
        <w:jc w:val="both"/>
        <w:rPr>
          <w:color w:val="000000" w:themeColor="text1"/>
          <w:sz w:val="28"/>
          <w:szCs w:val="28"/>
          <w:lang w:bidi="ar-EG"/>
        </w:rPr>
      </w:pPr>
      <w:r w:rsidRPr="000E2D76">
        <w:rPr>
          <w:color w:val="000000" w:themeColor="text1"/>
          <w:sz w:val="28"/>
          <w:szCs w:val="28"/>
          <w:lang w:bidi="ar-EG"/>
        </w:rPr>
        <w:fldChar w:fldCharType="end"/>
      </w:r>
      <w:r w:rsidR="0022634F" w:rsidRPr="0022634F">
        <w:t xml:space="preserve"> </w:t>
      </w:r>
      <w:r w:rsidR="0022634F" w:rsidRPr="00FC1C78">
        <w:t>AOCS. 2017. American Oil Chemists’ Society (7th ed.), Official Methods and recommended practices, Champaign, IL (2017).</w:t>
      </w:r>
    </w:p>
    <w:sectPr w:rsidR="00D93AE6" w:rsidRPr="000E2D76" w:rsidSect="007204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CB811" w14:textId="77777777" w:rsidR="005A557B" w:rsidRDefault="005A557B" w:rsidP="00F63FF8">
      <w:pPr>
        <w:spacing w:after="0" w:line="240" w:lineRule="auto"/>
      </w:pPr>
      <w:r>
        <w:separator/>
      </w:r>
    </w:p>
  </w:endnote>
  <w:endnote w:type="continuationSeparator" w:id="0">
    <w:p w14:paraId="009D2A08" w14:textId="77777777" w:rsidR="005A557B" w:rsidRDefault="005A557B" w:rsidP="00F6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BCC35" w14:textId="77777777" w:rsidR="00720487" w:rsidRDefault="00720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063438"/>
      <w:docPartObj>
        <w:docPartGallery w:val="Page Numbers (Bottom of Page)"/>
        <w:docPartUnique/>
      </w:docPartObj>
    </w:sdtPr>
    <w:sdtEndPr>
      <w:rPr>
        <w:noProof/>
      </w:rPr>
    </w:sdtEndPr>
    <w:sdtContent>
      <w:p w14:paraId="6E412F97" w14:textId="77777777" w:rsidR="00D75D27" w:rsidRDefault="00D75D27">
        <w:pPr>
          <w:pStyle w:val="Footer"/>
          <w:jc w:val="center"/>
        </w:pPr>
        <w:r>
          <w:fldChar w:fldCharType="begin"/>
        </w:r>
        <w:r>
          <w:instrText xml:space="preserve"> PAGE   \* MERGEFORMAT </w:instrText>
        </w:r>
        <w:r>
          <w:fldChar w:fldCharType="separate"/>
        </w:r>
        <w:r w:rsidR="00CA55EE">
          <w:rPr>
            <w:noProof/>
          </w:rPr>
          <w:t>21</w:t>
        </w:r>
        <w:r>
          <w:rPr>
            <w:noProof/>
          </w:rPr>
          <w:fldChar w:fldCharType="end"/>
        </w:r>
      </w:p>
    </w:sdtContent>
  </w:sdt>
  <w:p w14:paraId="55CB945D" w14:textId="77777777" w:rsidR="00D75D27" w:rsidRDefault="00D75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E7569" w14:textId="77777777" w:rsidR="00720487" w:rsidRDefault="00720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83499" w14:textId="77777777" w:rsidR="005A557B" w:rsidRDefault="005A557B" w:rsidP="00F63FF8">
      <w:pPr>
        <w:spacing w:after="0" w:line="240" w:lineRule="auto"/>
      </w:pPr>
      <w:r>
        <w:separator/>
      </w:r>
    </w:p>
  </w:footnote>
  <w:footnote w:type="continuationSeparator" w:id="0">
    <w:p w14:paraId="63731987" w14:textId="77777777" w:rsidR="005A557B" w:rsidRDefault="005A557B" w:rsidP="00F63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F87CA" w14:textId="13A20D4B" w:rsidR="00720487" w:rsidRDefault="00720487">
    <w:pPr>
      <w:pStyle w:val="Header"/>
    </w:pPr>
    <w:r>
      <w:rPr>
        <w:noProof/>
      </w:rPr>
      <w:pict w14:anchorId="36A28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638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650AC" w14:textId="2B77782D" w:rsidR="00720487" w:rsidRDefault="00720487">
    <w:pPr>
      <w:pStyle w:val="Header"/>
    </w:pPr>
    <w:r>
      <w:rPr>
        <w:noProof/>
      </w:rPr>
      <w:pict w14:anchorId="5A528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638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55B98" w14:textId="5B3A4F50" w:rsidR="00720487" w:rsidRDefault="00720487">
    <w:pPr>
      <w:pStyle w:val="Header"/>
    </w:pPr>
    <w:r>
      <w:rPr>
        <w:noProof/>
      </w:rPr>
      <w:pict w14:anchorId="38F648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638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9s050v8w5t9de9ezpvz92if2wepzzer2e2&quot;&gt;My EndNote Library&lt;record-ids&gt;&lt;item&gt;149&lt;/item&gt;&lt;item&gt;235&lt;/item&gt;&lt;item&gt;236&lt;/item&gt;&lt;item&gt;238&lt;/item&gt;&lt;item&gt;239&lt;/item&gt;&lt;item&gt;242&lt;/item&gt;&lt;item&gt;257&lt;/item&gt;&lt;item&gt;282&lt;/item&gt;&lt;item&gt;283&lt;/item&gt;&lt;item&gt;284&lt;/item&gt;&lt;item&gt;285&lt;/item&gt;&lt;item&gt;286&lt;/item&gt;&lt;item&gt;287&lt;/item&gt;&lt;item&gt;289&lt;/item&gt;&lt;item&gt;290&lt;/item&gt;&lt;item&gt;291&lt;/item&gt;&lt;item&gt;292&lt;/item&gt;&lt;item&gt;294&lt;/item&gt;&lt;item&gt;295&lt;/item&gt;&lt;item&gt;296&lt;/item&gt;&lt;item&gt;297&lt;/item&gt;&lt;item&gt;298&lt;/item&gt;&lt;item&gt;299&lt;/item&gt;&lt;item&gt;301&lt;/item&gt;&lt;item&gt;302&lt;/item&gt;&lt;item&gt;303&lt;/item&gt;&lt;item&gt;304&lt;/item&gt;&lt;item&gt;305&lt;/item&gt;&lt;item&gt;306&lt;/item&gt;&lt;item&gt;307&lt;/item&gt;&lt;item&gt;308&lt;/item&gt;&lt;item&gt;310&lt;/item&gt;&lt;/record-ids&gt;&lt;/item&gt;&lt;/Libraries&gt;"/>
  </w:docVars>
  <w:rsids>
    <w:rsidRoot w:val="00DB4B01"/>
    <w:rsid w:val="0001012F"/>
    <w:rsid w:val="00014DA4"/>
    <w:rsid w:val="000E2D76"/>
    <w:rsid w:val="000E6D5C"/>
    <w:rsid w:val="00142C99"/>
    <w:rsid w:val="0015283E"/>
    <w:rsid w:val="001D675B"/>
    <w:rsid w:val="001D796B"/>
    <w:rsid w:val="001E516F"/>
    <w:rsid w:val="0020375B"/>
    <w:rsid w:val="0022634F"/>
    <w:rsid w:val="00360375"/>
    <w:rsid w:val="00363635"/>
    <w:rsid w:val="003958AE"/>
    <w:rsid w:val="00436633"/>
    <w:rsid w:val="0046260C"/>
    <w:rsid w:val="00493514"/>
    <w:rsid w:val="004A76CF"/>
    <w:rsid w:val="00596069"/>
    <w:rsid w:val="005A2D9A"/>
    <w:rsid w:val="005A557B"/>
    <w:rsid w:val="00631527"/>
    <w:rsid w:val="00720487"/>
    <w:rsid w:val="00744526"/>
    <w:rsid w:val="00760904"/>
    <w:rsid w:val="007770FB"/>
    <w:rsid w:val="0078445E"/>
    <w:rsid w:val="007C0D41"/>
    <w:rsid w:val="007C4556"/>
    <w:rsid w:val="00817888"/>
    <w:rsid w:val="008615A3"/>
    <w:rsid w:val="008A7244"/>
    <w:rsid w:val="008C68D7"/>
    <w:rsid w:val="008D3112"/>
    <w:rsid w:val="009F1B20"/>
    <w:rsid w:val="00A66F8B"/>
    <w:rsid w:val="00AB7D58"/>
    <w:rsid w:val="00B262A2"/>
    <w:rsid w:val="00B65C20"/>
    <w:rsid w:val="00C25833"/>
    <w:rsid w:val="00C814E5"/>
    <w:rsid w:val="00CA55EE"/>
    <w:rsid w:val="00CF588E"/>
    <w:rsid w:val="00D247B5"/>
    <w:rsid w:val="00D35DCA"/>
    <w:rsid w:val="00D42578"/>
    <w:rsid w:val="00D75D27"/>
    <w:rsid w:val="00D93AE6"/>
    <w:rsid w:val="00DB4B01"/>
    <w:rsid w:val="00DF1E8A"/>
    <w:rsid w:val="00EB7272"/>
    <w:rsid w:val="00F3087F"/>
    <w:rsid w:val="00F463BE"/>
    <w:rsid w:val="00F50499"/>
    <w:rsid w:val="00F63FF8"/>
    <w:rsid w:val="00F74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63A9B"/>
  <w15:chartTrackingRefBased/>
  <w15:docId w15:val="{CDF82E49-1FD2-435E-A122-A9A1D2ED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244"/>
    <w:rPr>
      <w:color w:val="0563C1" w:themeColor="hyperlink"/>
      <w:u w:val="single"/>
    </w:rPr>
  </w:style>
  <w:style w:type="table" w:styleId="TableGrid">
    <w:name w:val="Table Grid"/>
    <w:basedOn w:val="TableNormal"/>
    <w:uiPriority w:val="59"/>
    <w:rsid w:val="00D9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D93AE6"/>
  </w:style>
  <w:style w:type="paragraph" w:customStyle="1" w:styleId="EndNoteBibliographyTitle">
    <w:name w:val="EndNote Bibliography Title"/>
    <w:basedOn w:val="Normal"/>
    <w:link w:val="EndNoteBibliographyTitleChar"/>
    <w:rsid w:val="0078445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8445E"/>
    <w:rPr>
      <w:rFonts w:ascii="Calibri" w:hAnsi="Calibri" w:cs="Calibri"/>
      <w:noProof/>
    </w:rPr>
  </w:style>
  <w:style w:type="paragraph" w:customStyle="1" w:styleId="EndNoteBibliography">
    <w:name w:val="EndNote Bibliography"/>
    <w:basedOn w:val="Normal"/>
    <w:link w:val="EndNoteBibliographyChar"/>
    <w:rsid w:val="0078445E"/>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78445E"/>
    <w:rPr>
      <w:rFonts w:ascii="Calibri" w:hAnsi="Calibri" w:cs="Calibri"/>
      <w:noProof/>
    </w:rPr>
  </w:style>
  <w:style w:type="paragraph" w:styleId="ListParagraph">
    <w:name w:val="List Paragraph"/>
    <w:basedOn w:val="Normal"/>
    <w:uiPriority w:val="34"/>
    <w:qFormat/>
    <w:rsid w:val="00F63FF8"/>
    <w:pPr>
      <w:ind w:left="720"/>
      <w:contextualSpacing/>
    </w:pPr>
  </w:style>
  <w:style w:type="paragraph" w:styleId="Header">
    <w:name w:val="header"/>
    <w:basedOn w:val="Normal"/>
    <w:link w:val="HeaderChar"/>
    <w:uiPriority w:val="99"/>
    <w:unhideWhenUsed/>
    <w:rsid w:val="00F63F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3FF8"/>
  </w:style>
  <w:style w:type="paragraph" w:styleId="Footer">
    <w:name w:val="footer"/>
    <w:basedOn w:val="Normal"/>
    <w:link w:val="FooterChar"/>
    <w:uiPriority w:val="99"/>
    <w:unhideWhenUsed/>
    <w:rsid w:val="00F63F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3FF8"/>
  </w:style>
  <w:style w:type="character" w:styleId="LineNumber">
    <w:name w:val="line number"/>
    <w:basedOn w:val="DefaultParagraphFont"/>
    <w:uiPriority w:val="99"/>
    <w:semiHidden/>
    <w:unhideWhenUsed/>
    <w:rsid w:val="00F63FF8"/>
  </w:style>
  <w:style w:type="character" w:styleId="UnresolvedMention">
    <w:name w:val="Unresolved Mention"/>
    <w:basedOn w:val="DefaultParagraphFont"/>
    <w:uiPriority w:val="99"/>
    <w:semiHidden/>
    <w:unhideWhenUsed/>
    <w:rsid w:val="00B65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111866">
      <w:bodyDiv w:val="1"/>
      <w:marLeft w:val="0"/>
      <w:marRight w:val="0"/>
      <w:marTop w:val="0"/>
      <w:marBottom w:val="0"/>
      <w:divBdr>
        <w:top w:val="none" w:sz="0" w:space="0" w:color="auto"/>
        <w:left w:val="none" w:sz="0" w:space="0" w:color="auto"/>
        <w:bottom w:val="none" w:sz="0" w:space="0" w:color="auto"/>
        <w:right w:val="none" w:sz="0" w:space="0" w:color="auto"/>
      </w:divBdr>
      <w:divsChild>
        <w:div w:id="1869024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34</Pages>
  <Words>15915</Words>
  <Characters>90716</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FreeComp</dc:creator>
  <cp:keywords/>
  <dc:description/>
  <cp:lastModifiedBy>Editor-22</cp:lastModifiedBy>
  <cp:revision>28</cp:revision>
  <dcterms:created xsi:type="dcterms:W3CDTF">2025-02-01T09:37:00Z</dcterms:created>
  <dcterms:modified xsi:type="dcterms:W3CDTF">2025-06-26T10:53:00Z</dcterms:modified>
</cp:coreProperties>
</file>