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DFFE" w14:textId="41B6F215" w:rsidR="00754C9A" w:rsidRDefault="00C63C22" w:rsidP="00441B6F">
      <w:pPr>
        <w:pStyle w:val="Title"/>
        <w:spacing w:after="0"/>
        <w:jc w:val="both"/>
        <w:rPr>
          <w:rFonts w:ascii="Arial" w:hAnsi="Arial" w:cs="Arial"/>
        </w:rPr>
      </w:pPr>
      <w:r w:rsidRPr="00C63C22">
        <w:rPr>
          <w:rFonts w:ascii="Arial" w:hAnsi="Arial" w:cs="Arial"/>
          <w:bCs/>
          <w:i/>
          <w:iCs/>
          <w:u w:val="single"/>
        </w:rPr>
        <w:t>Original Research Article</w:t>
      </w:r>
    </w:p>
    <w:p w14:paraId="5D9B1233" w14:textId="77777777" w:rsidR="00241E3A" w:rsidRPr="00241E3A" w:rsidRDefault="00241E3A" w:rsidP="00241E3A">
      <w:pPr>
        <w:pStyle w:val="Heading3"/>
        <w:jc w:val="right"/>
        <w:rPr>
          <w:rFonts w:ascii="Arial" w:hAnsi="Arial" w:cs="Arial"/>
          <w:i/>
          <w:color w:val="000000" w:themeColor="text1"/>
          <w:sz w:val="36"/>
          <w:szCs w:val="36"/>
        </w:rPr>
      </w:pPr>
      <w:r w:rsidRPr="00241E3A">
        <w:rPr>
          <w:rStyle w:val="Emphasis"/>
          <w:rFonts w:ascii="Arial" w:hAnsi="Arial" w:cs="Arial"/>
          <w:color w:val="000000" w:themeColor="text1"/>
          <w:sz w:val="36"/>
          <w:szCs w:val="36"/>
        </w:rPr>
        <w:t>THE PRICE OF NUTRITION: CAN HOUSEHOLD FOOD BUDGETS AFFORD A HEALTHY DIET?</w:t>
      </w:r>
    </w:p>
    <w:p w14:paraId="21162358" w14:textId="77777777" w:rsidR="00A258C3" w:rsidRPr="00790ADA" w:rsidRDefault="00A258C3" w:rsidP="00441B6F">
      <w:pPr>
        <w:pStyle w:val="Author"/>
        <w:spacing w:line="240" w:lineRule="auto"/>
        <w:jc w:val="both"/>
        <w:rPr>
          <w:rFonts w:ascii="Arial" w:hAnsi="Arial" w:cs="Arial"/>
          <w:sz w:val="36"/>
        </w:rPr>
      </w:pPr>
    </w:p>
    <w:p w14:paraId="61467EC2" w14:textId="77777777" w:rsidR="00B01FCD" w:rsidRPr="00FB3A86" w:rsidRDefault="00D24D23" w:rsidP="00441B6F">
      <w:pPr>
        <w:pStyle w:val="Copyright"/>
        <w:spacing w:after="0" w:line="240" w:lineRule="auto"/>
        <w:jc w:val="both"/>
        <w:rPr>
          <w:rFonts w:ascii="Arial" w:hAnsi="Arial" w:cs="Arial"/>
        </w:rPr>
        <w:sectPr w:rsidR="00B01FCD" w:rsidRPr="00FB3A86" w:rsidSect="00CC24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B4CAEC">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79C5B8" w14:textId="77777777" w:rsidR="00B01FCD" w:rsidRDefault="00B01FCD" w:rsidP="00F17D8F">
      <w:pPr>
        <w:pStyle w:val="AbstHead"/>
        <w:spacing w:after="0"/>
        <w:rPr>
          <w:rFonts w:ascii="Arial" w:hAnsi="Arial" w:cs="Arial"/>
        </w:rPr>
      </w:pPr>
      <w:r w:rsidRPr="00FB3A86">
        <w:rPr>
          <w:rFonts w:ascii="Arial" w:hAnsi="Arial" w:cs="Arial"/>
        </w:rPr>
        <w:t>ABSTRACT</w:t>
      </w:r>
      <w:r w:rsidR="009630C1">
        <w:rPr>
          <w:rFonts w:ascii="Arial" w:hAnsi="Arial" w:cs="Arial"/>
        </w:rPr>
        <w:t xml:space="preserve"> </w:t>
      </w:r>
    </w:p>
    <w:p w14:paraId="22A31D9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42DBF14" w14:textId="77777777" w:rsidTr="001E44FE">
        <w:tc>
          <w:tcPr>
            <w:tcW w:w="9576" w:type="dxa"/>
            <w:shd w:val="clear" w:color="auto" w:fill="F2F2F2"/>
          </w:tcPr>
          <w:p w14:paraId="66B37D27" w14:textId="77777777" w:rsidR="00E3114E" w:rsidRDefault="00E3114E" w:rsidP="00441B6F">
            <w:pPr>
              <w:pStyle w:val="Body"/>
              <w:spacing w:after="0"/>
              <w:rPr>
                <w:rFonts w:ascii="Arial" w:eastAsia="Calibri" w:hAnsi="Arial" w:cs="Arial"/>
                <w:szCs w:val="22"/>
              </w:rPr>
            </w:pPr>
          </w:p>
          <w:p w14:paraId="0ED523B4" w14:textId="77777777" w:rsidR="00BA1B01" w:rsidRPr="00241E3A" w:rsidRDefault="00BA1B01" w:rsidP="00441B6F">
            <w:pPr>
              <w:pStyle w:val="Body"/>
              <w:spacing w:after="0"/>
              <w:rPr>
                <w:rFonts w:ascii="Arial" w:eastAsia="Calibri" w:hAnsi="Arial" w:cs="Arial"/>
                <w:szCs w:val="22"/>
              </w:rPr>
            </w:pPr>
            <w:r w:rsidRPr="00241E3A">
              <w:rPr>
                <w:rFonts w:ascii="Arial" w:eastAsia="Calibri" w:hAnsi="Arial" w:cs="Arial"/>
                <w:b/>
                <w:szCs w:val="22"/>
              </w:rPr>
              <w:t>Aims:</w:t>
            </w:r>
            <w:r w:rsidR="00F17D8F" w:rsidRPr="00241E3A">
              <w:rPr>
                <w:rFonts w:ascii="Arial" w:hAnsi="Arial" w:cs="Arial"/>
              </w:rPr>
              <w:t xml:space="preserve"> To assess whether low- and middle-income households in Kolkata can afford a nutritionally adequate </w:t>
            </w:r>
            <w:bookmarkStart w:id="0" w:name="_GoBack"/>
            <w:bookmarkEnd w:id="0"/>
            <w:r w:rsidR="00F17D8F" w:rsidRPr="00241E3A">
              <w:rPr>
                <w:rFonts w:ascii="Arial" w:hAnsi="Arial" w:cs="Arial"/>
              </w:rPr>
              <w:t>diet within their income using the Cost of the Diet (</w:t>
            </w:r>
            <w:proofErr w:type="spellStart"/>
            <w:r w:rsidR="00F17D8F" w:rsidRPr="00241E3A">
              <w:rPr>
                <w:rFonts w:ascii="Arial" w:hAnsi="Arial" w:cs="Arial"/>
              </w:rPr>
              <w:t>CotD</w:t>
            </w:r>
            <w:proofErr w:type="spellEnd"/>
            <w:r w:rsidR="00F17D8F" w:rsidRPr="00241E3A">
              <w:rPr>
                <w:rFonts w:ascii="Arial" w:hAnsi="Arial" w:cs="Arial"/>
              </w:rPr>
              <w:t>) analysis.</w:t>
            </w:r>
            <w:r w:rsidRPr="00241E3A">
              <w:rPr>
                <w:rFonts w:ascii="Arial" w:eastAsia="Calibri" w:hAnsi="Arial" w:cs="Arial"/>
                <w:b/>
                <w:szCs w:val="22"/>
              </w:rPr>
              <w:t xml:space="preserve"> Study design:</w:t>
            </w:r>
            <w:r w:rsidR="00F17D8F" w:rsidRPr="00241E3A">
              <w:rPr>
                <w:rFonts w:ascii="Arial" w:hAnsi="Arial" w:cs="Arial"/>
              </w:rPr>
              <w:t xml:space="preserve"> Cross-sectional, mixed-method study.</w:t>
            </w:r>
          </w:p>
          <w:p w14:paraId="21C75E66" w14:textId="77777777" w:rsidR="00F17D8F" w:rsidRPr="00241E3A" w:rsidRDefault="00BA1B01" w:rsidP="00441B6F">
            <w:pPr>
              <w:pStyle w:val="Body"/>
              <w:spacing w:after="0"/>
              <w:rPr>
                <w:rFonts w:ascii="Arial" w:hAnsi="Arial" w:cs="Arial"/>
              </w:rPr>
            </w:pPr>
            <w:r w:rsidRPr="00241E3A">
              <w:rPr>
                <w:rFonts w:ascii="Arial" w:eastAsia="Calibri" w:hAnsi="Arial" w:cs="Arial"/>
                <w:b/>
                <w:szCs w:val="22"/>
              </w:rPr>
              <w:t>Place and Duration of Study:</w:t>
            </w:r>
            <w:r w:rsidR="00F17D8F" w:rsidRPr="00241E3A">
              <w:rPr>
                <w:rFonts w:ascii="Arial" w:hAnsi="Arial" w:cs="Arial"/>
              </w:rPr>
              <w:t xml:space="preserve"> </w:t>
            </w:r>
            <w:proofErr w:type="spellStart"/>
            <w:r w:rsidR="00273B77">
              <w:rPr>
                <w:rFonts w:ascii="Arial" w:hAnsi="Arial" w:cs="Arial"/>
              </w:rPr>
              <w:t>Khidirpur</w:t>
            </w:r>
            <w:proofErr w:type="spellEnd"/>
            <w:r w:rsidR="00273B77">
              <w:rPr>
                <w:rFonts w:ascii="Arial" w:hAnsi="Arial" w:cs="Arial"/>
              </w:rPr>
              <w:t xml:space="preserve"> </w:t>
            </w:r>
            <w:r w:rsidR="00F17D8F" w:rsidRPr="00241E3A">
              <w:rPr>
                <w:rFonts w:ascii="Arial" w:hAnsi="Arial" w:cs="Arial"/>
              </w:rPr>
              <w:t>locality, Kolkata, conducted from February 2025 to March 2025.</w:t>
            </w:r>
          </w:p>
          <w:p w14:paraId="787D36C2" w14:textId="77777777" w:rsidR="00F17D8F" w:rsidRPr="00241E3A" w:rsidRDefault="00BA1B01" w:rsidP="00441B6F">
            <w:pPr>
              <w:pStyle w:val="Body"/>
              <w:spacing w:after="0"/>
              <w:rPr>
                <w:rFonts w:ascii="Arial" w:eastAsia="Calibri" w:hAnsi="Arial" w:cs="Arial"/>
                <w:szCs w:val="22"/>
              </w:rPr>
            </w:pPr>
            <w:r w:rsidRPr="00241E3A">
              <w:rPr>
                <w:rFonts w:ascii="Arial" w:eastAsia="Calibri" w:hAnsi="Arial" w:cs="Arial"/>
                <w:b/>
                <w:bCs/>
                <w:szCs w:val="22"/>
              </w:rPr>
              <w:t>Methodology:</w:t>
            </w:r>
            <w:r w:rsidR="00F17D8F" w:rsidRPr="00241E3A">
              <w:rPr>
                <w:rFonts w:ascii="Arial" w:hAnsi="Arial" w:cs="Arial"/>
              </w:rPr>
              <w:t xml:space="preserve"> A survey of 70 households was conducted using a structured questionnaire adapted from the NSSO Household Consumer Expenditure Survey. Market surveys collected food prices, and </w:t>
            </w:r>
            <w:proofErr w:type="spellStart"/>
            <w:r w:rsidR="00F17D8F" w:rsidRPr="00241E3A">
              <w:rPr>
                <w:rFonts w:ascii="Arial" w:hAnsi="Arial" w:cs="Arial"/>
              </w:rPr>
              <w:t>CotD</w:t>
            </w:r>
            <w:proofErr w:type="spellEnd"/>
            <w:r w:rsidR="00F17D8F" w:rsidRPr="00241E3A">
              <w:rPr>
                <w:rFonts w:ascii="Arial" w:hAnsi="Arial" w:cs="Arial"/>
              </w:rPr>
              <w:t xml:space="preserve"> software was used to estimate the minimum cost of a nutritionally adequate diet for each household. The results were analyzed to assess affordability relative to income, along with perceptions, barriers, and willingness to adopt cost-effective meal plans.</w:t>
            </w:r>
          </w:p>
          <w:p w14:paraId="76AAAA28" w14:textId="77777777" w:rsidR="00F17D8F" w:rsidRPr="00241E3A" w:rsidRDefault="00BA1B01" w:rsidP="00441B6F">
            <w:pPr>
              <w:pStyle w:val="Body"/>
              <w:spacing w:after="0"/>
              <w:rPr>
                <w:rFonts w:ascii="Arial" w:hAnsi="Arial" w:cs="Arial"/>
              </w:rPr>
            </w:pPr>
            <w:r w:rsidRPr="00241E3A">
              <w:rPr>
                <w:rFonts w:ascii="Arial" w:eastAsia="Calibri" w:hAnsi="Arial" w:cs="Arial"/>
                <w:b/>
                <w:bCs/>
                <w:szCs w:val="22"/>
              </w:rPr>
              <w:t>Results:</w:t>
            </w:r>
            <w:r w:rsidR="00F17D8F" w:rsidRPr="00241E3A">
              <w:rPr>
                <w:rFonts w:ascii="Arial" w:hAnsi="Arial" w:cs="Arial"/>
              </w:rPr>
              <w:t xml:space="preserve"> The average household spent ₹5,535/month on food. </w:t>
            </w:r>
            <w:proofErr w:type="spellStart"/>
            <w:r w:rsidR="00F17D8F" w:rsidRPr="00241E3A">
              <w:rPr>
                <w:rFonts w:ascii="Arial" w:hAnsi="Arial" w:cs="Arial"/>
              </w:rPr>
              <w:t>CotD</w:t>
            </w:r>
            <w:proofErr w:type="spellEnd"/>
            <w:r w:rsidR="00F17D8F" w:rsidRPr="00241E3A">
              <w:rPr>
                <w:rFonts w:ascii="Arial" w:hAnsi="Arial" w:cs="Arial"/>
              </w:rPr>
              <w:t xml:space="preserve"> analysis revealed the minimum cost of a nutritious diet for a 5-member household was ₹6,866—representing 33.28% of monthly income, which exceeds average food budgets. Most households consumed cereals daily but had inadequate intake of fruits, vegetables, and proteins. Major barriers included high cost of nutritious foods (64.3%) and limited availability. A majority (82.9%) expressed interest in low-cost nutritious meal plans.</w:t>
            </w:r>
          </w:p>
          <w:p w14:paraId="0C4EC023" w14:textId="77777777" w:rsidR="00505F06" w:rsidRPr="00BA1B01" w:rsidRDefault="00BA1B01" w:rsidP="00241E3A">
            <w:pPr>
              <w:pStyle w:val="Body"/>
              <w:spacing w:after="0"/>
              <w:rPr>
                <w:rFonts w:ascii="Arial" w:eastAsia="Calibri" w:hAnsi="Arial" w:cs="Arial"/>
                <w:szCs w:val="22"/>
              </w:rPr>
            </w:pPr>
            <w:r w:rsidRPr="00241E3A">
              <w:rPr>
                <w:rFonts w:ascii="Arial" w:eastAsia="Calibri" w:hAnsi="Arial" w:cs="Arial"/>
                <w:b/>
                <w:bCs/>
                <w:szCs w:val="22"/>
              </w:rPr>
              <w:t>Conclusion:</w:t>
            </w:r>
            <w:r w:rsidRPr="00241E3A">
              <w:rPr>
                <w:rFonts w:ascii="Arial" w:eastAsia="Calibri" w:hAnsi="Arial" w:cs="Arial"/>
                <w:szCs w:val="22"/>
              </w:rPr>
              <w:t xml:space="preserve"> </w:t>
            </w:r>
            <w:r w:rsidR="00241E3A" w:rsidRPr="00241E3A">
              <w:rPr>
                <w:rFonts w:ascii="Arial" w:hAnsi="Arial" w:cs="Arial"/>
              </w:rPr>
              <w:t>The cost of a balanced diet often exceeds household food budgets, leading families to rely on cheaper, nutrient-poor diets. These findings emphasize the need for targeted food subsidies, nutrition education, and policy-level interventions to improve affordability and ensure dietary adequacy.</w:t>
            </w:r>
          </w:p>
        </w:tc>
      </w:tr>
    </w:tbl>
    <w:p w14:paraId="2A083D3B" w14:textId="77777777" w:rsidR="00636EB2" w:rsidRDefault="00636EB2" w:rsidP="00441B6F">
      <w:pPr>
        <w:pStyle w:val="Body"/>
        <w:spacing w:after="0"/>
        <w:rPr>
          <w:rFonts w:ascii="Arial" w:hAnsi="Arial" w:cs="Arial"/>
          <w:i/>
        </w:rPr>
      </w:pPr>
    </w:p>
    <w:p w14:paraId="1921C78B" w14:textId="77777777" w:rsidR="009630C1" w:rsidRDefault="00A24E7E" w:rsidP="009630C1">
      <w:pPr>
        <w:pStyle w:val="Body"/>
        <w:spacing w:after="0"/>
        <w:rPr>
          <w:rFonts w:ascii="Arial" w:hAnsi="Arial" w:cs="Arial"/>
          <w:b/>
          <w:i/>
          <w:sz w:val="18"/>
        </w:rPr>
      </w:pPr>
      <w:r>
        <w:rPr>
          <w:rFonts w:ascii="Arial" w:hAnsi="Arial" w:cs="Arial"/>
          <w:i/>
        </w:rPr>
        <w:t xml:space="preserve">Keywords: </w:t>
      </w:r>
      <w:r w:rsidR="009630C1" w:rsidRPr="009630C1">
        <w:rPr>
          <w:rFonts w:ascii="Arial" w:hAnsi="Arial" w:cs="Arial"/>
          <w:i/>
        </w:rPr>
        <w:t xml:space="preserve">Food </w:t>
      </w:r>
      <w:r w:rsidR="001155E2" w:rsidRPr="009630C1">
        <w:rPr>
          <w:rFonts w:ascii="Arial" w:hAnsi="Arial" w:cs="Arial"/>
          <w:i/>
        </w:rPr>
        <w:t>affordability</w:t>
      </w:r>
      <w:r w:rsidR="009630C1" w:rsidRPr="009630C1">
        <w:rPr>
          <w:rFonts w:ascii="Arial" w:hAnsi="Arial" w:cs="Arial"/>
          <w:i/>
        </w:rPr>
        <w:t xml:space="preserve"> Cost of the Diet (</w:t>
      </w:r>
      <w:proofErr w:type="spellStart"/>
      <w:r w:rsidR="009630C1" w:rsidRPr="009630C1">
        <w:rPr>
          <w:rFonts w:ascii="Arial" w:hAnsi="Arial" w:cs="Arial"/>
          <w:i/>
        </w:rPr>
        <w:t>CotD</w:t>
      </w:r>
      <w:proofErr w:type="spellEnd"/>
      <w:r w:rsidR="009630C1" w:rsidRPr="009630C1">
        <w:rPr>
          <w:rFonts w:ascii="Arial" w:hAnsi="Arial" w:cs="Arial"/>
          <w:i/>
        </w:rPr>
        <w:t>), nutritional adequacy, food security, malnutrition, public health, economic constraints.</w:t>
      </w:r>
      <w:r w:rsidR="009630C1">
        <w:rPr>
          <w:rFonts w:ascii="Arial" w:hAnsi="Arial" w:cs="Arial"/>
          <w:b/>
          <w:i/>
          <w:sz w:val="18"/>
        </w:rPr>
        <w:t xml:space="preserve"> </w:t>
      </w:r>
    </w:p>
    <w:p w14:paraId="3FF0E16F" w14:textId="77777777" w:rsidR="009630C1" w:rsidRDefault="009630C1" w:rsidP="00441B6F">
      <w:pPr>
        <w:pStyle w:val="AbstHead"/>
        <w:spacing w:after="0"/>
        <w:jc w:val="both"/>
        <w:rPr>
          <w:rFonts w:ascii="Arial" w:hAnsi="Arial" w:cs="Arial"/>
        </w:rPr>
      </w:pPr>
    </w:p>
    <w:p w14:paraId="1705332C" w14:textId="77777777" w:rsidR="007F7B32" w:rsidRDefault="00B01FCD" w:rsidP="005F24AA">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D88DC47" w14:textId="77777777" w:rsidR="005F24AA" w:rsidRDefault="005F24AA" w:rsidP="005F24AA">
      <w:pPr>
        <w:pStyle w:val="AbstHead"/>
        <w:spacing w:after="0"/>
        <w:ind w:left="720"/>
        <w:jc w:val="both"/>
        <w:rPr>
          <w:rFonts w:ascii="Arial" w:hAnsi="Arial" w:cs="Arial"/>
        </w:rPr>
      </w:pPr>
    </w:p>
    <w:p w14:paraId="46775999" w14:textId="77777777" w:rsidR="00785046" w:rsidRPr="00785046" w:rsidRDefault="00785046" w:rsidP="00273B77">
      <w:pPr>
        <w:jc w:val="both"/>
        <w:rPr>
          <w:rFonts w:ascii="Arial" w:hAnsi="Arial" w:cs="Arial"/>
        </w:rPr>
      </w:pPr>
      <w:r w:rsidRPr="00785046">
        <w:rPr>
          <w:rFonts w:ascii="Arial" w:hAnsi="Arial" w:cs="Arial"/>
        </w:rPr>
        <w:t>Access to a nutritionally adequate diet is essential for physical development, disease prevention, cognitive performance, and economic productivity. However, the affordability of healthy diets remains a major global concern, especially for low- and middle-income populations (Barosh et al., 2014; Darmon &amp; Drewnowski, 2015). In India, food expenditure consumes a substantial share of household budgets. Yet, due to income limitations and high food prices, many households prioritize energy-dense staples over nutrient-rich foods, compromising dietary quality (Kachwaha et al., 2020; Raghunathan et al., 2021a).</w:t>
      </w:r>
    </w:p>
    <w:p w14:paraId="6BB51932"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 xml:space="preserve">This study emerged from a practical question raised during nutrition planning exercises: Can a low-income family realistically afford the types of balanced diets typically recommended by nutritionists? This question prompted a deeper exploration of the link between food expenditure and nutritional adequacy for economically disadvantaged families in urban </w:t>
      </w:r>
      <w:r w:rsidR="0019502F" w:rsidRPr="00785046">
        <w:rPr>
          <w:rFonts w:ascii="Arial" w:hAnsi="Arial" w:cs="Arial"/>
          <w:sz w:val="20"/>
          <w:szCs w:val="20"/>
        </w:rPr>
        <w:t>India. Evidence</w:t>
      </w:r>
      <w:r w:rsidRPr="00785046">
        <w:rPr>
          <w:rFonts w:ascii="Arial" w:hAnsi="Arial" w:cs="Arial"/>
          <w:sz w:val="20"/>
          <w:szCs w:val="20"/>
        </w:rPr>
        <w:t xml:space="preserve"> from various studies suggests that the affordability of healthy diets is shaped by more than just income and price. Factors such as household size, market access, local food </w:t>
      </w:r>
      <w:r w:rsidRPr="00785046">
        <w:rPr>
          <w:rFonts w:ascii="Arial" w:hAnsi="Arial" w:cs="Arial"/>
          <w:sz w:val="20"/>
          <w:szCs w:val="20"/>
        </w:rPr>
        <w:lastRenderedPageBreak/>
        <w:t>systems, and purchasing behavior also influence food choices (Gupta et al., 2020; Rahmawati et al., 2025). While some low</w:t>
      </w:r>
      <w:r w:rsidR="0019502F">
        <w:rPr>
          <w:rFonts w:ascii="Arial" w:hAnsi="Arial" w:cs="Arial"/>
          <w:sz w:val="20"/>
          <w:szCs w:val="20"/>
        </w:rPr>
        <w:t xml:space="preserve">-income households termed “positive deviants” </w:t>
      </w:r>
      <w:r w:rsidRPr="00785046">
        <w:rPr>
          <w:rFonts w:ascii="Arial" w:hAnsi="Arial" w:cs="Arial"/>
          <w:sz w:val="20"/>
          <w:szCs w:val="20"/>
        </w:rPr>
        <w:t>manage to maintain better diet quality at no additional cost through informed choices and efficient planning (Marty et al., 2015), such cases are exceptions rather than norms.</w:t>
      </w:r>
    </w:p>
    <w:p w14:paraId="1D949278"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The Cost of the Diet (</w:t>
      </w:r>
      <w:proofErr w:type="spellStart"/>
      <w:r w:rsidRPr="00785046">
        <w:rPr>
          <w:rFonts w:ascii="Arial" w:hAnsi="Arial" w:cs="Arial"/>
          <w:sz w:val="20"/>
          <w:szCs w:val="20"/>
        </w:rPr>
        <w:t>CotD</w:t>
      </w:r>
      <w:proofErr w:type="spellEnd"/>
      <w:r w:rsidRPr="00785046">
        <w:rPr>
          <w:rFonts w:ascii="Arial" w:hAnsi="Arial" w:cs="Arial"/>
          <w:sz w:val="20"/>
          <w:szCs w:val="20"/>
        </w:rPr>
        <w:t>) tool, developed by Save the Children, provides a standardized approach to estimate the minimum cost of a culturally acceptable and nutritionally adequate diet using locally available foods (Deptford et al., 2017a). Studies using this method in India and elsewhere have revealed that nutritious diets are often unaffordable without public intervention, especially for rural and urban low-income groups (Gupta et al., 2021; Raghunathan et al., 2021a; Kachwaha et al., 2020</w:t>
      </w:r>
      <w:proofErr w:type="gramStart"/>
      <w:r w:rsidRPr="00785046">
        <w:rPr>
          <w:rFonts w:ascii="Arial" w:hAnsi="Arial" w:cs="Arial"/>
          <w:sz w:val="20"/>
          <w:szCs w:val="20"/>
        </w:rPr>
        <w:t>).Importantly</w:t>
      </w:r>
      <w:proofErr w:type="gramEnd"/>
      <w:r w:rsidRPr="00785046">
        <w:rPr>
          <w:rFonts w:ascii="Arial" w:hAnsi="Arial" w:cs="Arial"/>
          <w:sz w:val="20"/>
          <w:szCs w:val="20"/>
        </w:rPr>
        <w:t>, affordability is not merely a question of economic cost, but also of physical access and market availability. The Tasmanian Healthy Food Access Basket (HFAB) Survey (2014) highlighted that households in economically vulnerable regions often encounter compounded challenges of both high prices and limited availability of healthy food.</w:t>
      </w:r>
      <w:r>
        <w:rPr>
          <w:rFonts w:ascii="Arial" w:hAnsi="Arial" w:cs="Arial"/>
          <w:sz w:val="20"/>
          <w:szCs w:val="20"/>
        </w:rPr>
        <w:t xml:space="preserve"> </w:t>
      </w:r>
      <w:r w:rsidRPr="00785046">
        <w:rPr>
          <w:rFonts w:ascii="Arial" w:hAnsi="Arial" w:cs="Arial"/>
          <w:sz w:val="20"/>
          <w:szCs w:val="20"/>
        </w:rPr>
        <w:t>Under nutrition and diet-related deficiencies continue to have long-term consequences. Poor diets contribute to stunting, weakened immunity, lower educational outcomes, increased susceptibility to chronic diseases, and reduced productivity (Mahapatra, 2021; Ruel &amp; Alderman, 2013a). These nutritional deficits ultimately impair national development by straining healthcare systems and reducing human capital (Ford et al., 2017; James et al., 1997; Webb, 2010).</w:t>
      </w:r>
    </w:p>
    <w:p w14:paraId="67C3D072"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 xml:space="preserve">Given these concerns, the present study applies the </w:t>
      </w:r>
      <w:proofErr w:type="spellStart"/>
      <w:r w:rsidRPr="00785046">
        <w:rPr>
          <w:rFonts w:ascii="Arial" w:hAnsi="Arial" w:cs="Arial"/>
          <w:sz w:val="20"/>
          <w:szCs w:val="20"/>
        </w:rPr>
        <w:t>CotD</w:t>
      </w:r>
      <w:proofErr w:type="spellEnd"/>
      <w:r w:rsidRPr="00785046">
        <w:rPr>
          <w:rFonts w:ascii="Arial" w:hAnsi="Arial" w:cs="Arial"/>
          <w:sz w:val="20"/>
          <w:szCs w:val="20"/>
        </w:rPr>
        <w:t xml:space="preserve"> analysis to low- and middle-income households in the </w:t>
      </w:r>
      <w:proofErr w:type="spellStart"/>
      <w:r w:rsidRPr="00785046">
        <w:rPr>
          <w:rFonts w:ascii="Arial" w:hAnsi="Arial" w:cs="Arial"/>
          <w:sz w:val="20"/>
          <w:szCs w:val="20"/>
        </w:rPr>
        <w:t>Khidirpore</w:t>
      </w:r>
      <w:proofErr w:type="spellEnd"/>
      <w:r w:rsidRPr="00785046">
        <w:rPr>
          <w:rFonts w:ascii="Arial" w:hAnsi="Arial" w:cs="Arial"/>
          <w:sz w:val="20"/>
          <w:szCs w:val="20"/>
        </w:rPr>
        <w:t xml:space="preserve"> locality of Kolkata. The research aims to evaluate food affordability in relation to household income, identify nutritional gaps, and explore the barriers households face in accessing a healthy diet. Findings are expected to inform food policy by highlighting the importance of targeted subsidies, nutrition-sensitive agricultural interventions, and cost-effective public nutrition strategies.</w:t>
      </w:r>
    </w:p>
    <w:p w14:paraId="5E2090DC" w14:textId="77777777" w:rsidR="002A1BA9" w:rsidRPr="002A1BA9" w:rsidRDefault="002A1BA9" w:rsidP="002A1BA9">
      <w:pPr>
        <w:pStyle w:val="AbstHead"/>
        <w:jc w:val="both"/>
        <w:rPr>
          <w:rFonts w:ascii="Arial" w:hAnsi="Arial" w:cs="Arial"/>
        </w:rPr>
      </w:pPr>
      <w:r w:rsidRPr="002A1BA9">
        <w:rPr>
          <w:rFonts w:ascii="Arial" w:hAnsi="Arial" w:cs="Arial"/>
        </w:rPr>
        <w:lastRenderedPageBreak/>
        <w:t xml:space="preserve"> MATERIAL AND METHODS </w:t>
      </w:r>
    </w:p>
    <w:p w14:paraId="226233E5"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 xml:space="preserve">A cross-sectional, mixed-method research design was employed in this study to assess whether low- and middle-income households in </w:t>
      </w:r>
      <w:proofErr w:type="spellStart"/>
      <w:r w:rsidRPr="002A1BA9">
        <w:rPr>
          <w:rFonts w:ascii="Arial" w:hAnsi="Arial" w:cs="Arial"/>
          <w:b w:val="0"/>
          <w:caps w:val="0"/>
          <w:sz w:val="20"/>
        </w:rPr>
        <w:t>Khidirpore</w:t>
      </w:r>
      <w:proofErr w:type="spellEnd"/>
      <w:r w:rsidRPr="002A1BA9">
        <w:rPr>
          <w:rFonts w:ascii="Arial" w:hAnsi="Arial" w:cs="Arial"/>
          <w:b w:val="0"/>
          <w:caps w:val="0"/>
          <w:sz w:val="20"/>
        </w:rPr>
        <w:t>, Kolkata, can financially access diets that meet established nutritional standards. The research was conducted over a two-month period from February</w:t>
      </w:r>
      <w:r>
        <w:rPr>
          <w:rFonts w:ascii="Arial" w:hAnsi="Arial" w:cs="Arial"/>
          <w:b w:val="0"/>
          <w:caps w:val="0"/>
          <w:sz w:val="20"/>
        </w:rPr>
        <w:t xml:space="preserve"> to M</w:t>
      </w:r>
      <w:r w:rsidRPr="002A1BA9">
        <w:rPr>
          <w:rFonts w:ascii="Arial" w:hAnsi="Arial" w:cs="Arial"/>
          <w:b w:val="0"/>
          <w:caps w:val="0"/>
          <w:sz w:val="20"/>
        </w:rPr>
        <w:t>arch 2025. The primary objective was to analyze household food expenditure patterns, assess whether current spending meets recommended dietary guidelines, and identify key economic and structural barriers to nutrition. A total of 70 households were selected purposively, and data were collected using a structured questionnaire adapted from the national sample survey office’s 2023–24 household consumption expenditure survey. The questionnaire gathered data on income, food expenditure, dietary consumption frequency, shopping behavior, and perceptions of diet quality.</w:t>
      </w:r>
    </w:p>
    <w:p w14:paraId="2C6DA837"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To support the dietary cost analysis, a market survey was carried out simultaneously to collect current prices of locally available and culturally relevant foods from neighborhood wet markets and grocery stores. These included cereals, pulses, vegetables, fruits, oils, dairy products, and animal-source proteins. The collected price data were then analyzed using save th</w:t>
      </w:r>
      <w:r>
        <w:rPr>
          <w:rFonts w:ascii="Arial" w:hAnsi="Arial" w:cs="Arial"/>
          <w:b w:val="0"/>
          <w:caps w:val="0"/>
          <w:sz w:val="20"/>
        </w:rPr>
        <w:t>e children’s cost of the diet (</w:t>
      </w:r>
      <w:proofErr w:type="spellStart"/>
      <w:r>
        <w:rPr>
          <w:rFonts w:ascii="Arial" w:hAnsi="Arial" w:cs="Arial"/>
          <w:b w:val="0"/>
          <w:caps w:val="0"/>
          <w:sz w:val="20"/>
        </w:rPr>
        <w:t>CotD</w:t>
      </w:r>
      <w:proofErr w:type="spellEnd"/>
      <w:r w:rsidRPr="002A1BA9">
        <w:rPr>
          <w:rFonts w:ascii="Arial" w:hAnsi="Arial" w:cs="Arial"/>
          <w:b w:val="0"/>
          <w:caps w:val="0"/>
          <w:sz w:val="20"/>
        </w:rPr>
        <w:t xml:space="preserve">) software to estimate the minimum cost of diets that meet age- and gender-specific nutritional requirements as per </w:t>
      </w:r>
      <w:r w:rsidR="003A2AEA" w:rsidRPr="002A1BA9">
        <w:rPr>
          <w:rFonts w:ascii="Arial" w:hAnsi="Arial" w:cs="Arial"/>
          <w:b w:val="0"/>
          <w:caps w:val="0"/>
          <w:sz w:val="20"/>
        </w:rPr>
        <w:t xml:space="preserve">FAO/WHO </w:t>
      </w:r>
      <w:r w:rsidRPr="002A1BA9">
        <w:rPr>
          <w:rFonts w:ascii="Arial" w:hAnsi="Arial" w:cs="Arial"/>
          <w:b w:val="0"/>
          <w:caps w:val="0"/>
          <w:sz w:val="20"/>
        </w:rPr>
        <w:t>guidelines. Four diet models were generated: energy-only, macronutrient-sufficient, fully nutritious, and food habits–based nutritious diets. The affordability of each model was evaluated by comparing its estimated monthly cost against reported household food expenditures. Gap analysis was used to quantify the shortfall between what households spend and what is required for dietary adequacy.</w:t>
      </w:r>
    </w:p>
    <w:p w14:paraId="05DB1F86"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Quantitative data were analyzed using Microsoft excel. Descriptive statistics were used to summarize household income, food spending, and frequency of food group consumption. Correlation analysis was conducted to explore the relationship between income levels and diet affordability. All participants provided informed consent, and their identities and responses were handled with strict confidentiality and anonymity. The study was carried out solely for academic purposes and followed standard ethical research guidelines.</w:t>
      </w:r>
    </w:p>
    <w:p w14:paraId="42550D7A" w14:textId="77777777" w:rsidR="002A1BA9" w:rsidRPr="002A1BA9" w:rsidRDefault="002A1BA9" w:rsidP="002A1BA9">
      <w:pPr>
        <w:pStyle w:val="AbstHead"/>
        <w:jc w:val="both"/>
        <w:rPr>
          <w:rFonts w:ascii="Arial" w:hAnsi="Arial" w:cs="Arial"/>
          <w:b w:val="0"/>
          <w:sz w:val="20"/>
        </w:rPr>
      </w:pPr>
    </w:p>
    <w:p w14:paraId="53F2EB31" w14:textId="77777777" w:rsidR="002A1BA9" w:rsidRPr="002A1BA9" w:rsidRDefault="002A1BA9" w:rsidP="002A1BA9">
      <w:pPr>
        <w:pStyle w:val="AbstHead"/>
        <w:jc w:val="both"/>
        <w:rPr>
          <w:rFonts w:ascii="Arial" w:hAnsi="Arial" w:cs="Arial"/>
        </w:rPr>
      </w:pPr>
      <w:r w:rsidRPr="002A1BA9">
        <w:rPr>
          <w:rFonts w:ascii="Arial" w:hAnsi="Arial" w:cs="Arial"/>
        </w:rPr>
        <w:t xml:space="preserve">RESULTS </w:t>
      </w:r>
    </w:p>
    <w:p w14:paraId="2935A9E4"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The sur</w:t>
      </w:r>
      <w:r w:rsidR="00273B77">
        <w:rPr>
          <w:rFonts w:ascii="Arial" w:hAnsi="Arial" w:cs="Arial"/>
          <w:b w:val="0"/>
          <w:caps w:val="0"/>
          <w:sz w:val="20"/>
        </w:rPr>
        <w:t xml:space="preserve">vey of 70 households in </w:t>
      </w:r>
      <w:proofErr w:type="spellStart"/>
      <w:r w:rsidR="00273B77">
        <w:rPr>
          <w:rFonts w:ascii="Arial" w:hAnsi="Arial" w:cs="Arial"/>
          <w:b w:val="0"/>
          <w:caps w:val="0"/>
          <w:sz w:val="20"/>
        </w:rPr>
        <w:t>Khidirpu</w:t>
      </w:r>
      <w:r w:rsidR="00273B77" w:rsidRPr="002A1BA9">
        <w:rPr>
          <w:rFonts w:ascii="Arial" w:hAnsi="Arial" w:cs="Arial"/>
          <w:b w:val="0"/>
          <w:caps w:val="0"/>
          <w:sz w:val="20"/>
        </w:rPr>
        <w:t>r</w:t>
      </w:r>
      <w:proofErr w:type="spellEnd"/>
      <w:r w:rsidRPr="002A1BA9">
        <w:rPr>
          <w:rFonts w:ascii="Arial" w:hAnsi="Arial" w:cs="Arial"/>
          <w:b w:val="0"/>
          <w:caps w:val="0"/>
          <w:sz w:val="20"/>
        </w:rPr>
        <w:t>, Kolkata, exposed critical vulnerabilities in diet affordability, consumption patterns, and nutritional adequacy. Despite allocating an average of ₹5,535 per month to food, nearly 43% of households reported spending less than ₹4,000, revealing stark limitations in purchasing power. With an average household income of ₹20,614.29, food expenses accounted for over 25% of monthly earnings, yet were still insufficient to secure balanced nutrition.</w:t>
      </w:r>
    </w:p>
    <w:p w14:paraId="0AC369AC"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Daily consumption of cereals and grains was nearly universal (80%), reflecting a carbohydrate-heavy dietary structure. However, protein and micronutrient-rich food groups were consumed far less frequently. Only 17% of households consumed pulses daily, while more than 48% consumed fruits rarely or not at all. Daily intake of milk and dairy products was reported by just 10% of families, and only 12.9% consumed animal-source foods such as meat, fish, or eggs daily. In contrast, processed foods and sugary snacks were consumed 3–5 times a week by nearly half of the households, suggesting a drift toward energy-dense, nutrient-poor dietary patterns.</w:t>
      </w:r>
    </w:p>
    <w:p w14:paraId="05B996CC"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lastRenderedPageBreak/>
        <w:t xml:space="preserve">Household perceptions mirrored these findings: only 8.6% of respondents believed their diet </w:t>
      </w:r>
      <w:r w:rsidR="00AE1257" w:rsidRPr="002A1BA9">
        <w:rPr>
          <w:rFonts w:ascii="Arial" w:hAnsi="Arial" w:cs="Arial"/>
          <w:b w:val="0"/>
          <w:caps w:val="0"/>
          <w:sz w:val="20"/>
        </w:rPr>
        <w:t>were</w:t>
      </w:r>
      <w:r w:rsidRPr="002A1BA9">
        <w:rPr>
          <w:rFonts w:ascii="Arial" w:hAnsi="Arial" w:cs="Arial"/>
          <w:b w:val="0"/>
          <w:caps w:val="0"/>
          <w:sz w:val="20"/>
        </w:rPr>
        <w:t xml:space="preserve"> nutritious, while 57.1% considered it only “somewhat” nutritious, and 31.4% admitted it was not nutritious at all. These self-assessments highlight a growing awareness of dietary insufficiency, even in the absence of formal nutrition education.</w:t>
      </w:r>
    </w:p>
    <w:p w14:paraId="3BDAC323"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When asked about barriers to healthier eating, 64.3% of respondents identified high costs as the primary constraint. Limited availability (11.4%) and lack of nutrition knowledge (11.4%) were secondary challenges. Nevertheless, the willingness to improve was evident: 82.9% of households expressed strong interest in adopting low-cost, nutritious meal plans, suggesting a high demand for practical, affordable solutions. Preferences for inclusion, if costs permitted, centered around eggs and lean meat (40%), pulses and legumes (22.9%), and fruits (24.3%)—indicating a desire for more protein- and vitamin-rich options.</w:t>
      </w:r>
    </w:p>
    <w:p w14:paraId="527CE3F0" w14:textId="77777777" w:rsidR="002A1BA9" w:rsidRPr="002A1BA9" w:rsidRDefault="003A2AEA" w:rsidP="002A1BA9">
      <w:pPr>
        <w:pStyle w:val="AbstHead"/>
        <w:jc w:val="both"/>
        <w:rPr>
          <w:rFonts w:ascii="Arial" w:hAnsi="Arial" w:cs="Arial"/>
          <w:b w:val="0"/>
          <w:sz w:val="20"/>
        </w:rPr>
      </w:pPr>
      <w:proofErr w:type="spellStart"/>
      <w:r w:rsidRPr="002A1BA9">
        <w:rPr>
          <w:rFonts w:ascii="Arial" w:hAnsi="Arial" w:cs="Arial"/>
          <w:b w:val="0"/>
          <w:caps w:val="0"/>
          <w:sz w:val="20"/>
        </w:rPr>
        <w:t>CotD</w:t>
      </w:r>
      <w:proofErr w:type="spellEnd"/>
      <w:r w:rsidR="002A1BA9" w:rsidRPr="002A1BA9">
        <w:rPr>
          <w:rFonts w:ascii="Arial" w:hAnsi="Arial" w:cs="Arial"/>
          <w:b w:val="0"/>
          <w:caps w:val="0"/>
          <w:sz w:val="20"/>
        </w:rPr>
        <w:t xml:space="preserve"> modeling revealed alarming affordability gaps. The estimated cost of a nutritionally adequate diet for a 5-member household was ₹6,866/month, yet the average monthly food expenditure fell short by ₹1,331—a 24.1% deficit. For nearly half the surveyed households, especially those spending below ₹4,000, achieving such a diet would require a 70% increase in food expenditure—an unattainable leap for families already struggling to meet basic needs.</w:t>
      </w:r>
    </w:p>
    <w:p w14:paraId="1C41604E"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Comparative diet models further illustrated the crisis:</w:t>
      </w:r>
    </w:p>
    <w:p w14:paraId="13185C51" w14:textId="77777777" w:rsidR="002A1BA9" w:rsidRPr="00515D4D" w:rsidRDefault="002A1BA9" w:rsidP="00515D4D">
      <w:pPr>
        <w:pStyle w:val="AbstHead"/>
        <w:jc w:val="both"/>
        <w:rPr>
          <w:rFonts w:ascii="Arial" w:hAnsi="Arial" w:cs="Arial"/>
          <w:b w:val="0"/>
          <w:sz w:val="20"/>
        </w:rPr>
      </w:pPr>
      <w:r w:rsidRPr="002A1BA9">
        <w:rPr>
          <w:rFonts w:ascii="Arial" w:hAnsi="Arial" w:cs="Arial"/>
          <w:b w:val="0"/>
          <w:caps w:val="0"/>
          <w:sz w:val="20"/>
        </w:rPr>
        <w:t>•</w:t>
      </w:r>
      <w:r w:rsidRPr="002A1BA9">
        <w:rPr>
          <w:rFonts w:ascii="Arial" w:hAnsi="Arial" w:cs="Arial"/>
          <w:b w:val="0"/>
          <w:caps w:val="0"/>
          <w:sz w:val="20"/>
        </w:rPr>
        <w:tab/>
      </w:r>
      <w:r w:rsidR="00515D4D" w:rsidRPr="00515D4D">
        <w:rPr>
          <w:rFonts w:ascii="Arial" w:hAnsi="Arial" w:cs="Arial"/>
          <w:b w:val="0"/>
          <w:caps w:val="0"/>
          <w:sz w:val="20"/>
        </w:rPr>
        <w:t>Energy-only</w:t>
      </w:r>
      <w:r w:rsidRPr="00515D4D">
        <w:rPr>
          <w:rFonts w:ascii="Arial" w:hAnsi="Arial" w:cs="Arial"/>
          <w:b w:val="0"/>
          <w:caps w:val="0"/>
          <w:sz w:val="20"/>
        </w:rPr>
        <w:t xml:space="preserve"> diet: ₹3,088 (met 100% energy but &lt;10% of vitamin </w:t>
      </w:r>
      <w:r w:rsidR="00AE1257" w:rsidRPr="00515D4D">
        <w:rPr>
          <w:rFonts w:ascii="Arial" w:hAnsi="Arial" w:cs="Arial"/>
          <w:b w:val="0"/>
          <w:caps w:val="0"/>
          <w:sz w:val="20"/>
        </w:rPr>
        <w:t>A, C, B</w:t>
      </w:r>
      <w:r w:rsidRPr="00515D4D">
        <w:rPr>
          <w:rFonts w:ascii="Arial" w:hAnsi="Arial" w:cs="Arial"/>
          <w:b w:val="0"/>
          <w:caps w:val="0"/>
          <w:sz w:val="20"/>
        </w:rPr>
        <w:t>-12; iron 38%; calcium 10%)</w:t>
      </w:r>
    </w:p>
    <w:p w14:paraId="289A49F2" w14:textId="77777777" w:rsidR="002A1BA9" w:rsidRPr="00515D4D" w:rsidRDefault="002A1BA9" w:rsidP="00515D4D">
      <w:pPr>
        <w:pStyle w:val="AbstHead"/>
        <w:jc w:val="both"/>
        <w:rPr>
          <w:rFonts w:ascii="Arial" w:hAnsi="Arial" w:cs="Arial"/>
          <w:b w:val="0"/>
          <w:sz w:val="20"/>
        </w:rPr>
      </w:pPr>
      <w:r w:rsidRPr="00515D4D">
        <w:rPr>
          <w:rFonts w:ascii="Arial" w:hAnsi="Arial" w:cs="Arial"/>
          <w:b w:val="0"/>
          <w:caps w:val="0"/>
          <w:sz w:val="20"/>
        </w:rPr>
        <w:t>•</w:t>
      </w:r>
      <w:r w:rsidRPr="00515D4D">
        <w:rPr>
          <w:rFonts w:ascii="Arial" w:hAnsi="Arial" w:cs="Arial"/>
          <w:b w:val="0"/>
          <w:caps w:val="0"/>
          <w:sz w:val="20"/>
        </w:rPr>
        <w:tab/>
      </w:r>
      <w:r w:rsidR="00515D4D" w:rsidRPr="00515D4D">
        <w:rPr>
          <w:rFonts w:ascii="Arial" w:hAnsi="Arial" w:cs="Arial"/>
          <w:b w:val="0"/>
          <w:caps w:val="0"/>
          <w:sz w:val="20"/>
        </w:rPr>
        <w:t>Macronutrient</w:t>
      </w:r>
      <w:r w:rsidRPr="00515D4D">
        <w:rPr>
          <w:rFonts w:ascii="Arial" w:hAnsi="Arial" w:cs="Arial"/>
          <w:b w:val="0"/>
          <w:caps w:val="0"/>
          <w:sz w:val="20"/>
        </w:rPr>
        <w:t xml:space="preserve"> diet</w:t>
      </w:r>
      <w:r w:rsidRPr="00515D4D">
        <w:rPr>
          <w:rFonts w:ascii="Arial" w:hAnsi="Arial" w:cs="Arial"/>
          <w:b w:val="0"/>
          <w:sz w:val="20"/>
        </w:rPr>
        <w:t>: ₹3,463</w:t>
      </w:r>
      <w:r w:rsidRPr="00515D4D">
        <w:rPr>
          <w:rFonts w:ascii="Arial" w:hAnsi="Arial" w:cs="Arial"/>
          <w:b w:val="0"/>
          <w:caps w:val="0"/>
          <w:sz w:val="20"/>
        </w:rPr>
        <w:t xml:space="preserve"> (met fats but remained critically deficient in micronutrients)</w:t>
      </w:r>
    </w:p>
    <w:p w14:paraId="42139D6F" w14:textId="77777777" w:rsidR="002A1BA9" w:rsidRPr="00515D4D" w:rsidRDefault="002A1BA9" w:rsidP="00515D4D">
      <w:pPr>
        <w:pStyle w:val="AbstHead"/>
        <w:jc w:val="both"/>
        <w:rPr>
          <w:rFonts w:ascii="Arial" w:hAnsi="Arial" w:cs="Arial"/>
          <w:b w:val="0"/>
          <w:sz w:val="20"/>
        </w:rPr>
      </w:pPr>
      <w:r w:rsidRPr="00515D4D">
        <w:rPr>
          <w:rFonts w:ascii="Arial" w:hAnsi="Arial" w:cs="Arial"/>
          <w:b w:val="0"/>
          <w:caps w:val="0"/>
          <w:sz w:val="20"/>
        </w:rPr>
        <w:t>•</w:t>
      </w:r>
      <w:r w:rsidRPr="00515D4D">
        <w:rPr>
          <w:rFonts w:ascii="Arial" w:hAnsi="Arial" w:cs="Arial"/>
          <w:b w:val="0"/>
          <w:caps w:val="0"/>
          <w:sz w:val="20"/>
        </w:rPr>
        <w:tab/>
      </w:r>
      <w:r w:rsidR="00515D4D" w:rsidRPr="00515D4D">
        <w:rPr>
          <w:rFonts w:ascii="Arial" w:hAnsi="Arial" w:cs="Arial"/>
          <w:b w:val="0"/>
          <w:caps w:val="0"/>
          <w:sz w:val="20"/>
        </w:rPr>
        <w:t>Nutritious</w:t>
      </w:r>
      <w:r w:rsidRPr="00515D4D">
        <w:rPr>
          <w:rFonts w:ascii="Arial" w:hAnsi="Arial" w:cs="Arial"/>
          <w:b w:val="0"/>
          <w:caps w:val="0"/>
          <w:sz w:val="20"/>
        </w:rPr>
        <w:t xml:space="preserve"> &amp; culturally-acceptable nutritious diets: ₹6,866 (met all nutrient requirements)</w:t>
      </w:r>
    </w:p>
    <w:p w14:paraId="058B80F9" w14:textId="77777777" w:rsidR="002A1BA9" w:rsidRDefault="002A1BA9" w:rsidP="002A1BA9">
      <w:pPr>
        <w:pStyle w:val="AbstHead"/>
        <w:jc w:val="both"/>
        <w:rPr>
          <w:rFonts w:ascii="Arial" w:hAnsi="Arial" w:cs="Arial"/>
          <w:b w:val="0"/>
          <w:caps w:val="0"/>
          <w:sz w:val="20"/>
        </w:rPr>
      </w:pPr>
      <w:r w:rsidRPr="002A1BA9">
        <w:rPr>
          <w:rFonts w:ascii="Arial" w:hAnsi="Arial" w:cs="Arial"/>
          <w:b w:val="0"/>
          <w:caps w:val="0"/>
          <w:sz w:val="20"/>
        </w:rPr>
        <w:t>Consequently, the price of a fully balanced diet was more than double that of a basic energy-only diet and accounted for 33.28% of household income, making it financially inaccessible for most surveyed families.</w:t>
      </w:r>
    </w:p>
    <w:p w14:paraId="53DF752C" w14:textId="77777777" w:rsidR="00AE1257" w:rsidRDefault="00D24D23" w:rsidP="002A1BA9">
      <w:pPr>
        <w:pStyle w:val="AbstHead"/>
        <w:jc w:val="both"/>
        <w:rPr>
          <w:rFonts w:ascii="Arial" w:hAnsi="Arial" w:cs="Arial"/>
          <w:b w:val="0"/>
          <w:sz w:val="20"/>
        </w:rPr>
      </w:pPr>
      <w:r>
        <w:rPr>
          <w:rFonts w:ascii="Arial" w:hAnsi="Arial" w:cs="Arial"/>
          <w:b w:val="0"/>
          <w:caps w:val="0"/>
          <w:noProof/>
          <w:sz w:val="20"/>
        </w:rPr>
        <w:lastRenderedPageBreak/>
        <w:pict w14:anchorId="73D982A4">
          <v:shapetype id="_x0000_t202" coordsize="21600,21600" o:spt="202" path="m,l,21600r21600,l21600,xe">
            <v:stroke joinstyle="miter"/>
            <v:path gradientshapeok="t" o:connecttype="rect"/>
          </v:shapetype>
          <v:shape id="_x0000_s1028" type="#_x0000_t202" style="position:absolute;left:0;text-align:left;margin-left:281.65pt;margin-top:160.1pt;width:13.8pt;height:16.1pt;z-index:251659264" filled="f" stroked="f">
            <v:textbox>
              <w:txbxContent>
                <w:p w14:paraId="4F46C707" w14:textId="77777777" w:rsidR="00AE1F16" w:rsidRDefault="00AE1F16">
                  <w:r>
                    <w:t>X</w:t>
                  </w:r>
                </w:p>
              </w:txbxContent>
            </v:textbox>
          </v:shape>
        </w:pict>
      </w:r>
      <w:r>
        <w:rPr>
          <w:rFonts w:ascii="Arial" w:hAnsi="Arial" w:cs="Arial"/>
          <w:b w:val="0"/>
          <w:caps w:val="0"/>
          <w:noProof/>
          <w:sz w:val="20"/>
        </w:rPr>
        <w:pict w14:anchorId="7A75D5A5">
          <v:shape id="_x0000_s1027" type="#_x0000_t202" style="position:absolute;left:0;text-align:left;margin-left:36.85pt;margin-top:32.85pt;width:20.7pt;height:23.6pt;z-index:251658240" filled="f" stroked="f">
            <v:textbox>
              <w:txbxContent>
                <w:p w14:paraId="78FA0090" w14:textId="77777777" w:rsidR="00487FAB" w:rsidRDefault="00487FAB">
                  <w:r>
                    <w:t>Y</w:t>
                  </w:r>
                </w:p>
              </w:txbxContent>
            </v:textbox>
          </v:shape>
        </w:pict>
      </w:r>
      <w:r w:rsidR="00AE1257" w:rsidRPr="00AE1257">
        <w:rPr>
          <w:rFonts w:ascii="Arial" w:hAnsi="Arial" w:cs="Arial"/>
          <w:b w:val="0"/>
          <w:caps w:val="0"/>
          <w:noProof/>
          <w:sz w:val="20"/>
        </w:rPr>
        <w:drawing>
          <wp:inline distT="0" distB="0" distL="0" distR="0" wp14:anchorId="159215C0" wp14:editId="20593580">
            <wp:extent cx="5212080" cy="3624765"/>
            <wp:effectExtent l="19050" t="0" r="7620" b="0"/>
            <wp:docPr id="3" name="Picture 2" descr="Screenshot 2025-04-01 23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1 235111.png"/>
                    <pic:cNvPicPr/>
                  </pic:nvPicPr>
                  <pic:blipFill>
                    <a:blip r:embed="rId14"/>
                    <a:stretch>
                      <a:fillRect/>
                    </a:stretch>
                  </pic:blipFill>
                  <pic:spPr>
                    <a:xfrm>
                      <a:off x="0" y="0"/>
                      <a:ext cx="5212080" cy="3624765"/>
                    </a:xfrm>
                    <a:prstGeom prst="rect">
                      <a:avLst/>
                    </a:prstGeom>
                  </pic:spPr>
                </pic:pic>
              </a:graphicData>
            </a:graphic>
          </wp:inline>
        </w:drawing>
      </w:r>
    </w:p>
    <w:p w14:paraId="3E9EF2F9" w14:textId="77777777" w:rsidR="00AE1257" w:rsidRPr="00AE1257" w:rsidRDefault="00AE1257" w:rsidP="00AE1257">
      <w:pPr>
        <w:spacing w:before="100" w:beforeAutospacing="1" w:after="100" w:afterAutospacing="1"/>
        <w:rPr>
          <w:rFonts w:ascii="Arial" w:hAnsi="Arial" w:cs="Arial"/>
        </w:rPr>
      </w:pPr>
      <w:r w:rsidRPr="00AE1257">
        <w:rPr>
          <w:rFonts w:ascii="Arial" w:hAnsi="Arial" w:cs="Arial"/>
        </w:rPr>
        <w:t>The X- axis – Economic groups</w:t>
      </w:r>
    </w:p>
    <w:p w14:paraId="72DC1A10" w14:textId="77777777" w:rsidR="00AE1257" w:rsidRPr="00AE1257" w:rsidRDefault="00AE1257" w:rsidP="00AE1257">
      <w:pPr>
        <w:spacing w:before="100" w:beforeAutospacing="1" w:after="100" w:afterAutospacing="1"/>
        <w:rPr>
          <w:rFonts w:ascii="Arial" w:hAnsi="Arial" w:cs="Arial"/>
        </w:rPr>
      </w:pPr>
      <w:r w:rsidRPr="00AE1257">
        <w:rPr>
          <w:rFonts w:ascii="Arial" w:hAnsi="Arial" w:cs="Arial"/>
        </w:rPr>
        <w:t>The Y- axis –Percentage of income</w:t>
      </w:r>
    </w:p>
    <w:p w14:paraId="00E0CF54" w14:textId="77777777" w:rsidR="00AE1257" w:rsidRDefault="00AE1F16" w:rsidP="00487FAB">
      <w:pPr>
        <w:spacing w:before="100" w:beforeAutospacing="1" w:after="100" w:afterAutospacing="1"/>
        <w:jc w:val="center"/>
        <w:rPr>
          <w:rFonts w:ascii="Arial" w:hAnsi="Arial" w:cs="Arial"/>
          <w:b/>
        </w:rPr>
      </w:pPr>
      <w:r>
        <w:rPr>
          <w:rFonts w:ascii="Arial" w:hAnsi="Arial" w:cs="Arial"/>
          <w:b/>
        </w:rPr>
        <w:t xml:space="preserve">Figure 1. </w:t>
      </w:r>
      <w:r w:rsidR="00AE1257" w:rsidRPr="00487FAB">
        <w:rPr>
          <w:rFonts w:ascii="Arial" w:hAnsi="Arial" w:cs="Arial"/>
          <w:b/>
        </w:rPr>
        <w:t xml:space="preserve">Affordability of various types of diet based on </w:t>
      </w:r>
      <w:proofErr w:type="spellStart"/>
      <w:r w:rsidR="00AE1257" w:rsidRPr="00487FAB">
        <w:rPr>
          <w:rFonts w:ascii="Arial" w:hAnsi="Arial" w:cs="Arial"/>
          <w:b/>
        </w:rPr>
        <w:t>CotD</w:t>
      </w:r>
      <w:proofErr w:type="spellEnd"/>
      <w:r w:rsidR="00AE1257" w:rsidRPr="00487FAB">
        <w:rPr>
          <w:rFonts w:ascii="Arial" w:hAnsi="Arial" w:cs="Arial"/>
          <w:b/>
        </w:rPr>
        <w:t xml:space="preserve"> analysis</w:t>
      </w:r>
    </w:p>
    <w:p w14:paraId="4B7E7234" w14:textId="77777777" w:rsidR="00487FAB" w:rsidRPr="00487FAB" w:rsidRDefault="00487FAB" w:rsidP="00487FAB">
      <w:pPr>
        <w:spacing w:before="100" w:beforeAutospacing="1" w:after="100" w:afterAutospacing="1"/>
        <w:jc w:val="center"/>
        <w:rPr>
          <w:rFonts w:ascii="Arial" w:hAnsi="Arial" w:cs="Arial"/>
          <w:b/>
        </w:rPr>
      </w:pPr>
    </w:p>
    <w:p w14:paraId="4CF00092"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The public distribution system (</w:t>
      </w:r>
      <w:r w:rsidR="00515D4D" w:rsidRPr="002A1BA9">
        <w:rPr>
          <w:rFonts w:ascii="Arial" w:hAnsi="Arial" w:cs="Arial"/>
          <w:b w:val="0"/>
          <w:caps w:val="0"/>
          <w:sz w:val="20"/>
        </w:rPr>
        <w:t>PDS</w:t>
      </w:r>
      <w:r w:rsidRPr="002A1BA9">
        <w:rPr>
          <w:rFonts w:ascii="Arial" w:hAnsi="Arial" w:cs="Arial"/>
          <w:b w:val="0"/>
          <w:caps w:val="0"/>
          <w:sz w:val="20"/>
        </w:rPr>
        <w:t xml:space="preserve">) and nutrition programs like </w:t>
      </w:r>
      <w:r w:rsidR="00515D4D" w:rsidRPr="002A1BA9">
        <w:rPr>
          <w:rFonts w:ascii="Arial" w:hAnsi="Arial" w:cs="Arial"/>
          <w:b w:val="0"/>
          <w:caps w:val="0"/>
          <w:sz w:val="20"/>
        </w:rPr>
        <w:t>ICDS</w:t>
      </w:r>
      <w:r w:rsidRPr="002A1BA9">
        <w:rPr>
          <w:rFonts w:ascii="Arial" w:hAnsi="Arial" w:cs="Arial"/>
          <w:b w:val="0"/>
          <w:caps w:val="0"/>
          <w:sz w:val="20"/>
        </w:rPr>
        <w:t xml:space="preserve"> and </w:t>
      </w:r>
      <w:r w:rsidR="00515D4D" w:rsidRPr="002A1BA9">
        <w:rPr>
          <w:rFonts w:ascii="Arial" w:hAnsi="Arial" w:cs="Arial"/>
          <w:b w:val="0"/>
          <w:caps w:val="0"/>
          <w:sz w:val="20"/>
        </w:rPr>
        <w:t>MDM</w:t>
      </w:r>
      <w:r w:rsidR="00273B77">
        <w:rPr>
          <w:rFonts w:ascii="Arial" w:hAnsi="Arial" w:cs="Arial"/>
          <w:b w:val="0"/>
          <w:caps w:val="0"/>
          <w:sz w:val="20"/>
        </w:rPr>
        <w:t xml:space="preserve"> </w:t>
      </w:r>
      <w:r w:rsidRPr="002A1BA9">
        <w:rPr>
          <w:rFonts w:ascii="Arial" w:hAnsi="Arial" w:cs="Arial"/>
          <w:b w:val="0"/>
          <w:caps w:val="0"/>
          <w:sz w:val="20"/>
        </w:rPr>
        <w:t xml:space="preserve">while </w:t>
      </w:r>
      <w:r w:rsidR="00273B77">
        <w:rPr>
          <w:rFonts w:ascii="Arial" w:hAnsi="Arial" w:cs="Arial"/>
          <w:b w:val="0"/>
          <w:caps w:val="0"/>
          <w:sz w:val="20"/>
        </w:rPr>
        <w:t xml:space="preserve">essential for calorie provision </w:t>
      </w:r>
      <w:r w:rsidRPr="002A1BA9">
        <w:rPr>
          <w:rFonts w:ascii="Arial" w:hAnsi="Arial" w:cs="Arial"/>
          <w:b w:val="0"/>
          <w:caps w:val="0"/>
          <w:sz w:val="20"/>
        </w:rPr>
        <w:t>were found grossly inadequate for ensuring diet quality. These schemes focused heavily on cereal staples and lacked protein, dairy, or fruit components. School meal programs suffered from infrastructural weaknesses and inconsistent food safety standards.</w:t>
      </w:r>
    </w:p>
    <w:p w14:paraId="2E52B183" w14:textId="77777777" w:rsidR="00790ADA" w:rsidRDefault="002A1BA9" w:rsidP="002A1BA9">
      <w:pPr>
        <w:pStyle w:val="AbstHead"/>
        <w:spacing w:after="0"/>
        <w:jc w:val="both"/>
        <w:rPr>
          <w:rFonts w:ascii="Arial" w:hAnsi="Arial" w:cs="Arial"/>
          <w:b w:val="0"/>
          <w:caps w:val="0"/>
          <w:sz w:val="20"/>
        </w:rPr>
      </w:pPr>
      <w:r w:rsidRPr="002A1BA9">
        <w:rPr>
          <w:rFonts w:ascii="Arial" w:hAnsi="Arial" w:cs="Arial"/>
          <w:b w:val="0"/>
          <w:caps w:val="0"/>
          <w:sz w:val="20"/>
        </w:rPr>
        <w:t xml:space="preserve">Importantly, the study identified locally available, cost-effective, nutrient-dense foods such as chicken liver, mustard oil, and spinach that could significantly contribute to nutrient adequacy if promoted through targeted interventions. For instance, spinach alone could fulfill over 80% of vitamin </w:t>
      </w:r>
      <w:r w:rsidR="00515D4D" w:rsidRPr="002A1BA9">
        <w:rPr>
          <w:rFonts w:ascii="Arial" w:hAnsi="Arial" w:cs="Arial"/>
          <w:b w:val="0"/>
          <w:caps w:val="0"/>
          <w:sz w:val="20"/>
        </w:rPr>
        <w:t>A</w:t>
      </w:r>
      <w:r w:rsidRPr="002A1BA9">
        <w:rPr>
          <w:rFonts w:ascii="Arial" w:hAnsi="Arial" w:cs="Arial"/>
          <w:b w:val="0"/>
          <w:caps w:val="0"/>
          <w:sz w:val="20"/>
        </w:rPr>
        <w:t xml:space="preserve"> and </w:t>
      </w:r>
      <w:r w:rsidR="00515D4D" w:rsidRPr="002A1BA9">
        <w:rPr>
          <w:rFonts w:ascii="Arial" w:hAnsi="Arial" w:cs="Arial"/>
          <w:b w:val="0"/>
          <w:caps w:val="0"/>
          <w:sz w:val="20"/>
        </w:rPr>
        <w:t>C</w:t>
      </w:r>
      <w:r w:rsidRPr="002A1BA9">
        <w:rPr>
          <w:rFonts w:ascii="Arial" w:hAnsi="Arial" w:cs="Arial"/>
          <w:b w:val="0"/>
          <w:caps w:val="0"/>
          <w:sz w:val="20"/>
        </w:rPr>
        <w:t xml:space="preserve"> requirements, and chicken liver could cover 50% of vitamin </w:t>
      </w:r>
      <w:r w:rsidR="00515D4D" w:rsidRPr="002A1BA9">
        <w:rPr>
          <w:rFonts w:ascii="Arial" w:hAnsi="Arial" w:cs="Arial"/>
          <w:b w:val="0"/>
          <w:caps w:val="0"/>
          <w:sz w:val="20"/>
        </w:rPr>
        <w:t>B</w:t>
      </w:r>
      <w:r w:rsidRPr="002A1BA9">
        <w:rPr>
          <w:rFonts w:ascii="Arial" w:hAnsi="Arial" w:cs="Arial"/>
          <w:b w:val="0"/>
          <w:caps w:val="0"/>
          <w:sz w:val="20"/>
        </w:rPr>
        <w:t>-12 needs at a fraction of the cost of other animal-source foods.</w:t>
      </w:r>
    </w:p>
    <w:p w14:paraId="3570CB94" w14:textId="77777777" w:rsidR="001012C9" w:rsidRDefault="001012C9" w:rsidP="002A1BA9">
      <w:pPr>
        <w:pStyle w:val="AbstHead"/>
        <w:spacing w:after="0"/>
        <w:jc w:val="both"/>
        <w:rPr>
          <w:rFonts w:ascii="Arial" w:hAnsi="Arial" w:cs="Arial"/>
          <w:b w:val="0"/>
          <w:caps w:val="0"/>
          <w:sz w:val="20"/>
        </w:rPr>
      </w:pPr>
    </w:p>
    <w:p w14:paraId="433EB034" w14:textId="77777777" w:rsidR="001012C9" w:rsidRDefault="001012C9" w:rsidP="001012C9">
      <w:pPr>
        <w:rPr>
          <w:rFonts w:ascii="Arial" w:hAnsi="Arial" w:cs="Arial"/>
          <w:b/>
          <w:color w:val="1F1F1F"/>
        </w:rPr>
      </w:pPr>
    </w:p>
    <w:p w14:paraId="56FA80A6" w14:textId="77777777" w:rsidR="001012C9" w:rsidRDefault="001012C9" w:rsidP="001012C9">
      <w:pPr>
        <w:rPr>
          <w:rFonts w:ascii="Arial" w:hAnsi="Arial" w:cs="Arial"/>
          <w:b/>
          <w:color w:val="1F1F1F"/>
        </w:rPr>
      </w:pPr>
    </w:p>
    <w:p w14:paraId="63263E43" w14:textId="77777777" w:rsidR="001012C9" w:rsidRDefault="001012C9" w:rsidP="001012C9">
      <w:pPr>
        <w:rPr>
          <w:rFonts w:ascii="Arial" w:hAnsi="Arial" w:cs="Arial"/>
          <w:b/>
          <w:color w:val="1F1F1F"/>
        </w:rPr>
      </w:pPr>
    </w:p>
    <w:p w14:paraId="4D2F8800" w14:textId="77777777" w:rsidR="001012C9" w:rsidRDefault="001012C9" w:rsidP="001012C9">
      <w:pPr>
        <w:rPr>
          <w:rFonts w:ascii="Arial" w:hAnsi="Arial" w:cs="Arial"/>
          <w:b/>
          <w:color w:val="1F1F1F"/>
        </w:rPr>
      </w:pPr>
    </w:p>
    <w:p w14:paraId="338144EA" w14:textId="77777777" w:rsidR="00487FAB" w:rsidRDefault="00487FAB" w:rsidP="001012C9">
      <w:pPr>
        <w:rPr>
          <w:rFonts w:ascii="Arial" w:hAnsi="Arial" w:cs="Arial"/>
          <w:b/>
          <w:color w:val="1F1F1F"/>
        </w:rPr>
      </w:pPr>
    </w:p>
    <w:p w14:paraId="013D817B" w14:textId="77777777" w:rsidR="001012C9" w:rsidRDefault="00487FAB" w:rsidP="001012C9">
      <w:pPr>
        <w:rPr>
          <w:rFonts w:ascii="Arial" w:hAnsi="Arial" w:cs="Arial"/>
          <w:b/>
          <w:bCs/>
          <w:color w:val="1F1F1F"/>
        </w:rPr>
      </w:pPr>
      <w:r>
        <w:rPr>
          <w:rFonts w:ascii="Arial" w:hAnsi="Arial" w:cs="Arial"/>
          <w:b/>
          <w:color w:val="1F1F1F"/>
        </w:rPr>
        <w:lastRenderedPageBreak/>
        <w:t>Table 1</w:t>
      </w:r>
      <w:r w:rsidR="001012C9" w:rsidRPr="001012C9">
        <w:rPr>
          <w:rFonts w:ascii="Arial" w:hAnsi="Arial" w:cs="Arial"/>
          <w:b/>
          <w:color w:val="1F1F1F"/>
        </w:rPr>
        <w:t xml:space="preserve">.  Inexpensive sources of essential nutrients, for a </w:t>
      </w:r>
      <w:proofErr w:type="gramStart"/>
      <w:r w:rsidR="001012C9" w:rsidRPr="001012C9">
        <w:rPr>
          <w:rFonts w:ascii="Arial" w:hAnsi="Arial" w:cs="Arial"/>
          <w:b/>
          <w:color w:val="1F1F1F"/>
        </w:rPr>
        <w:t>low cost</w:t>
      </w:r>
      <w:proofErr w:type="gramEnd"/>
      <w:r w:rsidR="001012C9" w:rsidRPr="001012C9">
        <w:rPr>
          <w:rFonts w:ascii="Arial" w:hAnsi="Arial" w:cs="Arial"/>
          <w:b/>
          <w:color w:val="1F1F1F"/>
        </w:rPr>
        <w:t xml:space="preserve"> nutritious diet with</w:t>
      </w:r>
      <w:r w:rsidR="001012C9" w:rsidRPr="001012C9">
        <w:rPr>
          <w:rFonts w:ascii="Arial" w:hAnsi="Arial" w:cs="Arial"/>
          <w:b/>
          <w:bCs/>
          <w:color w:val="1F1F1F"/>
        </w:rPr>
        <w:t xml:space="preserve"> percentage of nutrient requirements met.</w:t>
      </w:r>
      <w:r w:rsidR="001012C9">
        <w:rPr>
          <w:rFonts w:ascii="Arial" w:hAnsi="Arial" w:cs="Arial"/>
          <w:b/>
          <w:bCs/>
          <w:color w:val="1F1F1F"/>
        </w:rPr>
        <w:t xml:space="preserve"> </w:t>
      </w:r>
      <w:r w:rsidR="001012C9" w:rsidRPr="001012C9">
        <w:rPr>
          <w:rFonts w:ascii="Arial" w:hAnsi="Arial" w:cs="Arial"/>
          <w:b/>
          <w:bCs/>
          <w:color w:val="1F1F1F"/>
        </w:rPr>
        <w:t>(Based</w:t>
      </w:r>
      <w:r w:rsidR="001012C9">
        <w:rPr>
          <w:rFonts w:ascii="Arial" w:hAnsi="Arial" w:cs="Arial"/>
          <w:b/>
          <w:bCs/>
          <w:color w:val="1F1F1F"/>
        </w:rPr>
        <w:t xml:space="preserve"> on </w:t>
      </w:r>
      <w:proofErr w:type="spellStart"/>
      <w:r w:rsidR="001012C9">
        <w:rPr>
          <w:rFonts w:ascii="Arial" w:hAnsi="Arial" w:cs="Arial"/>
          <w:b/>
          <w:bCs/>
          <w:color w:val="1F1F1F"/>
        </w:rPr>
        <w:t>C</w:t>
      </w:r>
      <w:r w:rsidR="001012C9" w:rsidRPr="001012C9">
        <w:rPr>
          <w:rFonts w:ascii="Arial" w:hAnsi="Arial" w:cs="Arial"/>
          <w:b/>
          <w:bCs/>
          <w:color w:val="1F1F1F"/>
        </w:rPr>
        <w:t>otD</w:t>
      </w:r>
      <w:proofErr w:type="spellEnd"/>
      <w:r w:rsidR="001012C9" w:rsidRPr="001012C9">
        <w:rPr>
          <w:rFonts w:ascii="Arial" w:hAnsi="Arial" w:cs="Arial"/>
          <w:b/>
          <w:bCs/>
          <w:color w:val="1F1F1F"/>
        </w:rPr>
        <w:t xml:space="preserve"> analysis)</w:t>
      </w:r>
    </w:p>
    <w:p w14:paraId="2F9CEF33" w14:textId="77777777" w:rsidR="001012C9" w:rsidRDefault="001012C9" w:rsidP="001012C9">
      <w:pPr>
        <w:rPr>
          <w:rFonts w:ascii="Arial" w:hAnsi="Arial" w:cs="Arial"/>
          <w:b/>
          <w:bCs/>
          <w:color w:val="1F1F1F"/>
        </w:rPr>
      </w:pPr>
    </w:p>
    <w:p w14:paraId="3291551D" w14:textId="77777777" w:rsidR="001012C9" w:rsidRPr="001012C9" w:rsidRDefault="001012C9" w:rsidP="001012C9">
      <w:pPr>
        <w:rPr>
          <w:rFonts w:ascii="Arial" w:hAnsi="Arial" w:cs="Arial"/>
          <w:b/>
          <w:color w:val="1F1F1F"/>
        </w:rPr>
      </w:pPr>
      <w:r w:rsidRPr="001012C9">
        <w:rPr>
          <w:rFonts w:ascii="Arial" w:hAnsi="Arial" w:cs="Arial"/>
          <w:b/>
          <w:bCs/>
          <w:noProof/>
          <w:color w:val="1F1F1F"/>
        </w:rPr>
        <w:drawing>
          <wp:inline distT="0" distB="0" distL="0" distR="0" wp14:anchorId="196645AC" wp14:editId="038B869E">
            <wp:extent cx="5212080" cy="2635612"/>
            <wp:effectExtent l="19050" t="0" r="7620" b="0"/>
            <wp:docPr id="12" name="Picture 6" descr="Screenshot 2025-04-04 102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4 102428.png"/>
                    <pic:cNvPicPr/>
                  </pic:nvPicPr>
                  <pic:blipFill>
                    <a:blip r:embed="rId15"/>
                    <a:stretch>
                      <a:fillRect/>
                    </a:stretch>
                  </pic:blipFill>
                  <pic:spPr>
                    <a:xfrm>
                      <a:off x="0" y="0"/>
                      <a:ext cx="5212080" cy="2635612"/>
                    </a:xfrm>
                    <a:prstGeom prst="rect">
                      <a:avLst/>
                    </a:prstGeom>
                  </pic:spPr>
                </pic:pic>
              </a:graphicData>
            </a:graphic>
          </wp:inline>
        </w:drawing>
      </w:r>
    </w:p>
    <w:p w14:paraId="0C7B19DC" w14:textId="77777777" w:rsidR="001012C9" w:rsidRPr="002A1BA9" w:rsidRDefault="001012C9" w:rsidP="002A1BA9">
      <w:pPr>
        <w:pStyle w:val="AbstHead"/>
        <w:spacing w:after="0"/>
        <w:jc w:val="both"/>
        <w:rPr>
          <w:rFonts w:ascii="Arial" w:hAnsi="Arial" w:cs="Arial"/>
          <w:b w:val="0"/>
          <w:sz w:val="20"/>
        </w:rPr>
      </w:pPr>
      <w:r>
        <w:rPr>
          <w:rFonts w:ascii="Arial" w:hAnsi="Arial" w:cs="Arial"/>
          <w:b w:val="0"/>
          <w:sz w:val="20"/>
        </w:rPr>
        <w:t xml:space="preserve"> </w:t>
      </w:r>
    </w:p>
    <w:p w14:paraId="699BC05C" w14:textId="77777777" w:rsidR="00790ADA" w:rsidRPr="00FB3A86" w:rsidRDefault="00790ADA" w:rsidP="00441B6F">
      <w:pPr>
        <w:pStyle w:val="Body"/>
        <w:spacing w:after="0"/>
        <w:rPr>
          <w:rFonts w:ascii="Arial" w:hAnsi="Arial" w:cs="Arial"/>
        </w:rPr>
      </w:pPr>
    </w:p>
    <w:p w14:paraId="172F6ACB" w14:textId="77777777" w:rsidR="005A700E" w:rsidRPr="005A700E" w:rsidRDefault="005A700E" w:rsidP="005A700E">
      <w:pPr>
        <w:pStyle w:val="Heading3"/>
        <w:rPr>
          <w:rFonts w:ascii="Arial" w:hAnsi="Arial" w:cs="Arial"/>
          <w:color w:val="auto"/>
          <w:sz w:val="22"/>
          <w:szCs w:val="22"/>
        </w:rPr>
      </w:pPr>
      <w:r w:rsidRPr="005A700E">
        <w:rPr>
          <w:rStyle w:val="Strong"/>
          <w:rFonts w:ascii="Arial" w:hAnsi="Arial" w:cs="Arial"/>
          <w:b/>
          <w:bCs/>
          <w:color w:val="auto"/>
          <w:sz w:val="22"/>
          <w:szCs w:val="22"/>
        </w:rPr>
        <w:t>DISCUSSION</w:t>
      </w:r>
    </w:p>
    <w:p w14:paraId="1120B5FB"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The findings of this study highlight the stark disconnect between recommended nutritional standards and the financial realities faced by low- and middle-income urban households. While access to food in terms of availability may not be a concer</w:t>
      </w:r>
      <w:r w:rsidR="00273B77">
        <w:rPr>
          <w:rFonts w:ascii="Arial" w:hAnsi="Arial" w:cs="Arial"/>
          <w:sz w:val="20"/>
          <w:szCs w:val="20"/>
        </w:rPr>
        <w:t xml:space="preserve">n in urban markets like </w:t>
      </w:r>
      <w:proofErr w:type="spellStart"/>
      <w:r w:rsidR="00273B77">
        <w:rPr>
          <w:rFonts w:ascii="Arial" w:hAnsi="Arial" w:cs="Arial"/>
          <w:sz w:val="20"/>
          <w:szCs w:val="20"/>
        </w:rPr>
        <w:t>Khidirpu</w:t>
      </w:r>
      <w:r w:rsidR="00273B77" w:rsidRPr="005A700E">
        <w:rPr>
          <w:rFonts w:ascii="Arial" w:hAnsi="Arial" w:cs="Arial"/>
          <w:sz w:val="20"/>
          <w:szCs w:val="20"/>
        </w:rPr>
        <w:t>r</w:t>
      </w:r>
      <w:proofErr w:type="spellEnd"/>
      <w:r w:rsidRPr="005A700E">
        <w:rPr>
          <w:rFonts w:ascii="Arial" w:hAnsi="Arial" w:cs="Arial"/>
          <w:sz w:val="20"/>
          <w:szCs w:val="20"/>
        </w:rPr>
        <w:t>, access in terms of economic affordability remains a critical barrier to nutritional adequacy. This aligns with existing literature that consistently shows that the cost of nutrient-rich foods disproportionately affects lower-income households, who tend to rely on cheaper, energy-dense, and micronutrient-poor staples (Darmon &amp; Drewnowski, 2015; Barosh et al., 2014). The affordability gap demonstrated by the Cost of the Diet (</w:t>
      </w:r>
      <w:proofErr w:type="spellStart"/>
      <w:r w:rsidRPr="005A700E">
        <w:rPr>
          <w:rFonts w:ascii="Arial" w:hAnsi="Arial" w:cs="Arial"/>
          <w:sz w:val="20"/>
          <w:szCs w:val="20"/>
        </w:rPr>
        <w:t>CotD</w:t>
      </w:r>
      <w:proofErr w:type="spellEnd"/>
      <w:r w:rsidRPr="005A700E">
        <w:rPr>
          <w:rFonts w:ascii="Arial" w:hAnsi="Arial" w:cs="Arial"/>
          <w:sz w:val="20"/>
          <w:szCs w:val="20"/>
        </w:rPr>
        <w:t>) analysis in this study underscores the economic vulnerability of families trying to meet even the most basic dietary guidelines.</w:t>
      </w:r>
    </w:p>
    <w:p w14:paraId="2EF2158F"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 xml:space="preserve">In urban India, diet choices are not only shaped by food prices but also by the broader food environment, which often encourages the consumption of processed and convenient foods that are high in fats, sugars, and salt. The moderate-to-high consumption of such items by families in this study reflects </w:t>
      </w:r>
      <w:r w:rsidR="00273B77">
        <w:rPr>
          <w:rFonts w:ascii="Arial" w:hAnsi="Arial" w:cs="Arial"/>
          <w:sz w:val="20"/>
          <w:szCs w:val="20"/>
        </w:rPr>
        <w:t xml:space="preserve">a systemic nutrition transition </w:t>
      </w:r>
      <w:r w:rsidRPr="005A700E">
        <w:rPr>
          <w:rFonts w:ascii="Arial" w:hAnsi="Arial" w:cs="Arial"/>
          <w:sz w:val="20"/>
          <w:szCs w:val="20"/>
        </w:rPr>
        <w:t xml:space="preserve">where traditional, home-cooked, nutrient-rich diets are being replaced by cheaper, mass-produced options that fail to meet essential dietary needs. These patterns raise concern about the growing burden of non-communicable diseases, especially among the urban poor who face the double challenge of </w:t>
      </w:r>
      <w:r w:rsidR="00515D4D" w:rsidRPr="005A700E">
        <w:rPr>
          <w:rFonts w:ascii="Arial" w:hAnsi="Arial" w:cs="Arial"/>
          <w:sz w:val="20"/>
          <w:szCs w:val="20"/>
        </w:rPr>
        <w:t>under nutrition</w:t>
      </w:r>
      <w:r w:rsidRPr="005A700E">
        <w:rPr>
          <w:rFonts w:ascii="Arial" w:hAnsi="Arial" w:cs="Arial"/>
          <w:sz w:val="20"/>
          <w:szCs w:val="20"/>
        </w:rPr>
        <w:t xml:space="preserve"> and obesity, as also observed by Ford et al. (2017).</w:t>
      </w:r>
    </w:p>
    <w:p w14:paraId="1831CB58"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This study also points to an underutilized opportunity: households have demonstrated a willingness to make dietary changes if practical, affordable options are provided. The strong interest in low-cost meal planning and nutrient-dense local foods suggests tha</w:t>
      </w:r>
      <w:r w:rsidR="00273B77">
        <w:rPr>
          <w:rFonts w:ascii="Arial" w:hAnsi="Arial" w:cs="Arial"/>
          <w:sz w:val="20"/>
          <w:szCs w:val="20"/>
        </w:rPr>
        <w:t xml:space="preserve">t behavior change communication </w:t>
      </w:r>
      <w:r w:rsidRPr="005A700E">
        <w:rPr>
          <w:rFonts w:ascii="Arial" w:hAnsi="Arial" w:cs="Arial"/>
          <w:sz w:val="20"/>
          <w:szCs w:val="20"/>
        </w:rPr>
        <w:t>when combined wit</w:t>
      </w:r>
      <w:r w:rsidR="00273B77">
        <w:rPr>
          <w:rFonts w:ascii="Arial" w:hAnsi="Arial" w:cs="Arial"/>
          <w:sz w:val="20"/>
          <w:szCs w:val="20"/>
        </w:rPr>
        <w:t xml:space="preserve">h affordability strategies </w:t>
      </w:r>
      <w:r w:rsidRPr="005A700E">
        <w:rPr>
          <w:rFonts w:ascii="Arial" w:hAnsi="Arial" w:cs="Arial"/>
          <w:sz w:val="20"/>
          <w:szCs w:val="20"/>
        </w:rPr>
        <w:t xml:space="preserve">can yield significant improvements in public nutrition. Such community-responsive strategies must be integrated into broader food policy and welfare programs, which currently focus heavily on calorie sufficiency but often overlook nutrient diversity. In this context, the </w:t>
      </w:r>
      <w:proofErr w:type="spellStart"/>
      <w:r w:rsidRPr="005A700E">
        <w:rPr>
          <w:rFonts w:ascii="Arial" w:hAnsi="Arial" w:cs="Arial"/>
          <w:sz w:val="20"/>
          <w:szCs w:val="20"/>
        </w:rPr>
        <w:t>CotD</w:t>
      </w:r>
      <w:proofErr w:type="spellEnd"/>
      <w:r w:rsidRPr="005A700E">
        <w:rPr>
          <w:rFonts w:ascii="Arial" w:hAnsi="Arial" w:cs="Arial"/>
          <w:sz w:val="20"/>
          <w:szCs w:val="20"/>
        </w:rPr>
        <w:t xml:space="preserve"> tool proves valuable </w:t>
      </w:r>
      <w:r w:rsidRPr="005A700E">
        <w:rPr>
          <w:rFonts w:ascii="Arial" w:hAnsi="Arial" w:cs="Arial"/>
          <w:sz w:val="20"/>
          <w:szCs w:val="20"/>
        </w:rPr>
        <w:lastRenderedPageBreak/>
        <w:t>not only for academic assessment but also as a policy planning instrument to tailor interventions according to real-world food pricing, consumption behavior, and income constraints.</w:t>
      </w:r>
    </w:p>
    <w:p w14:paraId="4952B1E1"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Lastly, this study calls for a shift from blanket food assistance to targeted nutrition-sensitive programs. Interventions should aim to</w:t>
      </w:r>
      <w:r w:rsidR="00090655">
        <w:rPr>
          <w:rFonts w:ascii="Arial" w:hAnsi="Arial" w:cs="Arial"/>
          <w:sz w:val="20"/>
          <w:szCs w:val="20"/>
        </w:rPr>
        <w:t xml:space="preserve"> subsidize specific food groups </w:t>
      </w:r>
      <w:r w:rsidRPr="005A700E">
        <w:rPr>
          <w:rFonts w:ascii="Arial" w:hAnsi="Arial" w:cs="Arial"/>
          <w:sz w:val="20"/>
          <w:szCs w:val="20"/>
        </w:rPr>
        <w:t>such as fruits, pul</w:t>
      </w:r>
      <w:r w:rsidR="00090655">
        <w:rPr>
          <w:rFonts w:ascii="Arial" w:hAnsi="Arial" w:cs="Arial"/>
          <w:sz w:val="20"/>
          <w:szCs w:val="20"/>
        </w:rPr>
        <w:t xml:space="preserve">ses, and animal-source proteins </w:t>
      </w:r>
      <w:r w:rsidRPr="005A700E">
        <w:rPr>
          <w:rFonts w:ascii="Arial" w:hAnsi="Arial" w:cs="Arial"/>
          <w:sz w:val="20"/>
          <w:szCs w:val="20"/>
        </w:rPr>
        <w:t>and invest in nutrition education that empowers families to make informed choices within their economic means. Collaborative policy action between health, agriculture, and social welfare sectors is essential to ensure that affordability is not a barrier to dietary adequacy, and that no household is forced to choose between cost and nutrition.</w:t>
      </w:r>
    </w:p>
    <w:p w14:paraId="047EE673" w14:textId="77777777" w:rsidR="00790ADA" w:rsidRPr="00FB3A86" w:rsidRDefault="00790ADA" w:rsidP="00441B6F">
      <w:pPr>
        <w:pStyle w:val="Body"/>
        <w:spacing w:after="0"/>
        <w:rPr>
          <w:rFonts w:ascii="Arial" w:hAnsi="Arial" w:cs="Arial"/>
        </w:rPr>
      </w:pPr>
    </w:p>
    <w:p w14:paraId="135B77DC" w14:textId="77777777" w:rsidR="00B01FCD" w:rsidRDefault="00000F8F" w:rsidP="00441B6F">
      <w:pPr>
        <w:pStyle w:val="ConcHead"/>
        <w:spacing w:after="0"/>
        <w:jc w:val="both"/>
        <w:rPr>
          <w:rFonts w:ascii="Arial" w:hAnsi="Arial" w:cs="Arial"/>
        </w:rPr>
      </w:pPr>
      <w:r>
        <w:rPr>
          <w:rFonts w:ascii="Arial" w:hAnsi="Arial" w:cs="Arial"/>
        </w:rPr>
        <w:t xml:space="preserve"> </w:t>
      </w:r>
      <w:r w:rsidR="00B01FCD" w:rsidRPr="00FB3A86">
        <w:rPr>
          <w:rFonts w:ascii="Arial" w:hAnsi="Arial" w:cs="Arial"/>
        </w:rPr>
        <w:t>Conclusion</w:t>
      </w:r>
    </w:p>
    <w:p w14:paraId="37120199" w14:textId="77777777" w:rsidR="00460818" w:rsidRDefault="00460818" w:rsidP="00441B6F">
      <w:pPr>
        <w:pStyle w:val="ConcHead"/>
        <w:spacing w:after="0"/>
        <w:jc w:val="both"/>
        <w:rPr>
          <w:rFonts w:ascii="Arial" w:hAnsi="Arial" w:cs="Arial"/>
        </w:rPr>
      </w:pPr>
    </w:p>
    <w:p w14:paraId="48D419C8" w14:textId="77777777" w:rsidR="00460818" w:rsidRPr="00460818" w:rsidRDefault="00460818" w:rsidP="00460818">
      <w:pPr>
        <w:pStyle w:val="Body"/>
        <w:rPr>
          <w:rFonts w:ascii="Arial" w:hAnsi="Arial" w:cs="Arial"/>
        </w:rPr>
      </w:pPr>
      <w:r w:rsidRPr="00460818">
        <w:rPr>
          <w:rFonts w:ascii="Arial" w:hAnsi="Arial" w:cs="Arial"/>
        </w:rPr>
        <w:t xml:space="preserve">This study reinforces the pressing reality that, for many urban low- and middle-income households in India, access to a nutritionally adequate diet </w:t>
      </w:r>
      <w:r w:rsidR="00090655">
        <w:rPr>
          <w:rFonts w:ascii="Arial" w:hAnsi="Arial" w:cs="Arial"/>
        </w:rPr>
        <w:t xml:space="preserve">remains economically unfeasible </w:t>
      </w:r>
      <w:r w:rsidRPr="00460818">
        <w:rPr>
          <w:rFonts w:ascii="Arial" w:hAnsi="Arial" w:cs="Arial"/>
        </w:rPr>
        <w:t>even when a significant portion of household income is allocated to food. The application of the Cost of the Diet (</w:t>
      </w:r>
      <w:proofErr w:type="spellStart"/>
      <w:r w:rsidRPr="00460818">
        <w:rPr>
          <w:rFonts w:ascii="Arial" w:hAnsi="Arial" w:cs="Arial"/>
        </w:rPr>
        <w:t>CotD</w:t>
      </w:r>
      <w:proofErr w:type="spellEnd"/>
      <w:r w:rsidRPr="00460818">
        <w:rPr>
          <w:rFonts w:ascii="Arial" w:hAnsi="Arial" w:cs="Arial"/>
        </w:rPr>
        <w:t>) methodology revealed that while staple foods are accessible, nutrient-rich items essential for a balanced diet are often priced beyond the reach of vulnerable families. This affordability gap has serious implications, not only for individual health and well-being but also for national productivity, human capital development, and long-term economic growth (Ruel &amp; Alderman, 2013; Webb, 2010).</w:t>
      </w:r>
    </w:p>
    <w:p w14:paraId="0BEDE746" w14:textId="77777777" w:rsidR="00460818" w:rsidRPr="00460818" w:rsidRDefault="00460818" w:rsidP="00460818">
      <w:pPr>
        <w:pStyle w:val="Body"/>
        <w:rPr>
          <w:rFonts w:ascii="Arial" w:hAnsi="Arial" w:cs="Arial"/>
        </w:rPr>
      </w:pPr>
      <w:r w:rsidRPr="00460818">
        <w:rPr>
          <w:rFonts w:ascii="Arial" w:hAnsi="Arial" w:cs="Arial"/>
        </w:rPr>
        <w:t>Nutrient-deficient diets contribute to a cascade of public health challenges, including childhood stunting, weakened immunity, reduced cognitive capacity, and increased susceptibility to chronic diseases (WHO, 2020</w:t>
      </w:r>
      <w:proofErr w:type="gramStart"/>
      <w:r w:rsidR="00FB00C8">
        <w:rPr>
          <w:rFonts w:ascii="Arial" w:hAnsi="Arial" w:cs="Arial"/>
        </w:rPr>
        <w:t>).</w:t>
      </w:r>
      <w:r w:rsidRPr="00460818">
        <w:rPr>
          <w:rFonts w:ascii="Arial" w:hAnsi="Arial" w:cs="Arial"/>
        </w:rPr>
        <w:t>These</w:t>
      </w:r>
      <w:proofErr w:type="gramEnd"/>
      <w:r w:rsidRPr="00460818">
        <w:rPr>
          <w:rFonts w:ascii="Arial" w:hAnsi="Arial" w:cs="Arial"/>
        </w:rPr>
        <w:t xml:space="preserve"> outcomes hinder educational achievement and workforce potential, disproportionately affecting the most economically marginalized populations (James et al., 1997; Hoddinott et al., 2013). Ford et al. (2017) emphasized that the simultaneous ris</w:t>
      </w:r>
      <w:r w:rsidR="00090655">
        <w:rPr>
          <w:rFonts w:ascii="Arial" w:hAnsi="Arial" w:cs="Arial"/>
        </w:rPr>
        <w:t xml:space="preserve">e of undernutrition and obesity </w:t>
      </w:r>
      <w:r w:rsidRPr="00460818">
        <w:rPr>
          <w:rFonts w:ascii="Arial" w:hAnsi="Arial" w:cs="Arial"/>
        </w:rPr>
        <w:t>largely fueled by the widespread consumption of i</w:t>
      </w:r>
      <w:r w:rsidR="00090655">
        <w:rPr>
          <w:rFonts w:ascii="Arial" w:hAnsi="Arial" w:cs="Arial"/>
        </w:rPr>
        <w:t xml:space="preserve">nexpensive, nutrient-poor foods </w:t>
      </w:r>
      <w:r w:rsidRPr="00460818">
        <w:rPr>
          <w:rFonts w:ascii="Arial" w:hAnsi="Arial" w:cs="Arial"/>
        </w:rPr>
        <w:t>reflects the growing phenomenon of the double burden of malnutrition, which increasingly affects populations across both urban and rural settings.</w:t>
      </w:r>
    </w:p>
    <w:p w14:paraId="40CE2532" w14:textId="77777777" w:rsidR="00460818" w:rsidRPr="00460818" w:rsidRDefault="00460818" w:rsidP="00460818">
      <w:pPr>
        <w:pStyle w:val="Body"/>
        <w:rPr>
          <w:rFonts w:ascii="Arial" w:hAnsi="Arial" w:cs="Arial"/>
        </w:rPr>
      </w:pPr>
      <w:r w:rsidRPr="00460818">
        <w:rPr>
          <w:rFonts w:ascii="Arial" w:hAnsi="Arial" w:cs="Arial"/>
        </w:rPr>
        <w:t xml:space="preserve">The findings of this study underscore the urgent need for nutrition-sensitive economic policies and programmatic reform. Existing food subsidy programs and public distribution systems must evolve to prioritize dietary quality alongside quantity. This includes targeted subsidies for nutrient-dense foods such as pulses, fruits, and dairy; community-level nutrition education campaigns; and the integration of low-cost, incorporating affordable, culturally familiar food options from local markets into community-based dietary planning and support programs (Gupta et al., 2021; Kachwaha et al., 2020). Furthermore, tools like the </w:t>
      </w:r>
      <w:proofErr w:type="spellStart"/>
      <w:r w:rsidRPr="00460818">
        <w:rPr>
          <w:rFonts w:ascii="Arial" w:hAnsi="Arial" w:cs="Arial"/>
        </w:rPr>
        <w:t>CotD</w:t>
      </w:r>
      <w:proofErr w:type="spellEnd"/>
      <w:r w:rsidRPr="00460818">
        <w:rPr>
          <w:rFonts w:ascii="Arial" w:hAnsi="Arial" w:cs="Arial"/>
        </w:rPr>
        <w:t xml:space="preserve"> can serve as effective mechanisms to design context-specific interventions and assess the real-world cost of dietary adequacy (Deptford et al., 2017).</w:t>
      </w:r>
    </w:p>
    <w:p w14:paraId="3F75D4EB" w14:textId="77777777" w:rsidR="00790ADA" w:rsidRDefault="00460818" w:rsidP="00460818">
      <w:pPr>
        <w:pStyle w:val="Body"/>
        <w:spacing w:after="0"/>
        <w:rPr>
          <w:rFonts w:ascii="Arial" w:hAnsi="Arial" w:cs="Arial"/>
        </w:rPr>
      </w:pPr>
      <w:r w:rsidRPr="00460818">
        <w:rPr>
          <w:rFonts w:ascii="Arial" w:hAnsi="Arial" w:cs="Arial"/>
        </w:rPr>
        <w:t>In conclusion, ensuring that every household can afford a nutritious diet is not jus</w:t>
      </w:r>
      <w:r w:rsidR="00273B77">
        <w:rPr>
          <w:rFonts w:ascii="Arial" w:hAnsi="Arial" w:cs="Arial"/>
        </w:rPr>
        <w:t xml:space="preserve">t a matter of food availability </w:t>
      </w:r>
      <w:r w:rsidRPr="00460818">
        <w:rPr>
          <w:rFonts w:ascii="Arial" w:hAnsi="Arial" w:cs="Arial"/>
        </w:rPr>
        <w:t>it is a matter of economic justice, health equity, and sustainable development. This study contributes valuable evidence for policymakers, practitioners, and researchers working toward a future where nutritional security is a guaranteed right, not a privilege.</w:t>
      </w:r>
    </w:p>
    <w:p w14:paraId="26760879" w14:textId="77777777" w:rsidR="007C008D" w:rsidRDefault="007C008D" w:rsidP="00460818">
      <w:pPr>
        <w:pStyle w:val="Body"/>
        <w:spacing w:after="0"/>
        <w:rPr>
          <w:rFonts w:ascii="Arial" w:hAnsi="Arial" w:cs="Arial"/>
        </w:rPr>
      </w:pPr>
    </w:p>
    <w:p w14:paraId="192FE047" w14:textId="77777777" w:rsidR="007C008D" w:rsidRDefault="007C008D" w:rsidP="00460818">
      <w:pPr>
        <w:pStyle w:val="Body"/>
        <w:spacing w:after="0"/>
        <w:rPr>
          <w:rFonts w:ascii="Arial" w:hAnsi="Arial" w:cs="Arial"/>
        </w:rPr>
      </w:pPr>
    </w:p>
    <w:p w14:paraId="5CBBC0DC" w14:textId="77777777" w:rsidR="007C008D" w:rsidRPr="007C008D" w:rsidRDefault="007C008D" w:rsidP="007C008D">
      <w:pPr>
        <w:spacing w:before="100" w:beforeAutospacing="1" w:after="100" w:afterAutospacing="1"/>
        <w:outlineLvl w:val="2"/>
        <w:rPr>
          <w:rFonts w:ascii="Arial" w:hAnsi="Arial" w:cs="Arial"/>
          <w:b/>
          <w:bCs/>
          <w:sz w:val="22"/>
          <w:szCs w:val="22"/>
        </w:rPr>
      </w:pPr>
      <w:r w:rsidRPr="007C008D">
        <w:rPr>
          <w:rFonts w:ascii="Arial" w:hAnsi="Arial" w:cs="Arial"/>
          <w:b/>
          <w:bCs/>
          <w:sz w:val="22"/>
          <w:szCs w:val="22"/>
        </w:rPr>
        <w:t>LIMITATIONS OF THE STUDY</w:t>
      </w:r>
    </w:p>
    <w:p w14:paraId="29E29330"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lastRenderedPageBreak/>
        <w:t>Limited Geographic Scope</w:t>
      </w:r>
      <w:r w:rsidRPr="007C008D">
        <w:rPr>
          <w:rFonts w:ascii="Arial" w:hAnsi="Arial" w:cs="Arial"/>
        </w:rPr>
        <w:t xml:space="preserve"> – The study was conducted in a single locality (</w:t>
      </w:r>
      <w:proofErr w:type="spellStart"/>
      <w:r w:rsidRPr="007C008D">
        <w:rPr>
          <w:rFonts w:ascii="Arial" w:hAnsi="Arial" w:cs="Arial"/>
        </w:rPr>
        <w:t>Khidirpore</w:t>
      </w:r>
      <w:proofErr w:type="spellEnd"/>
      <w:r w:rsidRPr="007C008D">
        <w:rPr>
          <w:rFonts w:ascii="Arial" w:hAnsi="Arial" w:cs="Arial"/>
        </w:rPr>
        <w:t>, Kolkata), and while it provides important insights, food prices, incomes, and dietary habits may vary across different regions.</w:t>
      </w:r>
    </w:p>
    <w:p w14:paraId="7435550D"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Single-Season Analysis</w:t>
      </w:r>
      <w:r w:rsidRPr="007C008D">
        <w:rPr>
          <w:rFonts w:ascii="Arial" w:hAnsi="Arial" w:cs="Arial"/>
        </w:rPr>
        <w:t xml:space="preserve"> – The study was conducted during only one season, which means it does not account for potential variations in food availability and pricing across different times of the year. A multi-seasonal study could provide a more comprehensive understanding of affordability challenges.</w:t>
      </w:r>
    </w:p>
    <w:p w14:paraId="3D0CD1E7"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Broader Influences on Food Choices</w:t>
      </w:r>
      <w:r w:rsidRPr="007C008D">
        <w:rPr>
          <w:rFonts w:ascii="Arial" w:hAnsi="Arial" w:cs="Arial"/>
        </w:rPr>
        <w:t xml:space="preserve"> – While the study focuses on economic constraints, other factors like cultural preferences, nutritional awareness, and cooking accessibility also shape diets. Addressing these factors could strengthen future research.</w:t>
      </w:r>
    </w:p>
    <w:p w14:paraId="2FDD6043" w14:textId="77777777" w:rsid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Simplifications in Cost of the Diet (</w:t>
      </w:r>
      <w:proofErr w:type="spellStart"/>
      <w:r w:rsidRPr="007C008D">
        <w:rPr>
          <w:rFonts w:ascii="Arial" w:hAnsi="Arial" w:cs="Arial"/>
          <w:bCs/>
        </w:rPr>
        <w:t>CotD</w:t>
      </w:r>
      <w:proofErr w:type="spellEnd"/>
      <w:r w:rsidRPr="007C008D">
        <w:rPr>
          <w:rFonts w:ascii="Arial" w:hAnsi="Arial" w:cs="Arial"/>
          <w:bCs/>
        </w:rPr>
        <w:t>) Model</w:t>
      </w:r>
      <w:r w:rsidRPr="007C008D">
        <w:rPr>
          <w:rFonts w:ascii="Arial" w:hAnsi="Arial" w:cs="Arial"/>
        </w:rPr>
        <w:t xml:space="preserve"> – The </w:t>
      </w:r>
      <w:proofErr w:type="spellStart"/>
      <w:r w:rsidRPr="007C008D">
        <w:rPr>
          <w:rFonts w:ascii="Arial" w:hAnsi="Arial" w:cs="Arial"/>
        </w:rPr>
        <w:t>CotD</w:t>
      </w:r>
      <w:proofErr w:type="spellEnd"/>
      <w:r w:rsidRPr="007C008D">
        <w:rPr>
          <w:rFonts w:ascii="Arial" w:hAnsi="Arial" w:cs="Arial"/>
        </w:rPr>
        <w:t xml:space="preserve"> method estimates the least-cost diet for meeting nutritional needs, but real-world food choices are influenced by preferences, availability, and preparation methods, which this model does not fully capture.</w:t>
      </w:r>
    </w:p>
    <w:p w14:paraId="5AC2BFE8" w14:textId="77777777" w:rsidR="00732F77" w:rsidRPr="00732F77" w:rsidRDefault="00732F77" w:rsidP="00732F77">
      <w:pPr>
        <w:spacing w:before="100" w:beforeAutospacing="1" w:after="100" w:afterAutospacing="1"/>
        <w:jc w:val="both"/>
        <w:rPr>
          <w:rFonts w:ascii="Arial" w:hAnsi="Arial" w:cs="Arial"/>
          <w:b/>
          <w:sz w:val="22"/>
          <w:szCs w:val="22"/>
        </w:rPr>
      </w:pPr>
      <w:r w:rsidRPr="00732F77">
        <w:rPr>
          <w:rFonts w:ascii="Arial" w:hAnsi="Arial" w:cs="Arial"/>
          <w:b/>
          <w:sz w:val="22"/>
          <w:szCs w:val="22"/>
        </w:rPr>
        <w:t>FUTURE RESEARCH</w:t>
      </w:r>
    </w:p>
    <w:p w14:paraId="7C4911C0"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1. Expand regional and time-based analysis</w:t>
      </w:r>
      <w:r>
        <w:rPr>
          <w:rStyle w:val="Strong"/>
          <w:rFonts w:ascii="Arial" w:hAnsi="Arial" w:cs="Arial"/>
          <w:b w:val="0"/>
          <w:sz w:val="20"/>
          <w:szCs w:val="20"/>
        </w:rPr>
        <w:t>-</w:t>
      </w:r>
      <w:r w:rsidRPr="00732F77">
        <w:rPr>
          <w:rFonts w:ascii="Arial" w:hAnsi="Arial" w:cs="Arial"/>
          <w:sz w:val="20"/>
          <w:szCs w:val="20"/>
        </w:rPr>
        <w:t xml:space="preserve"> Future investigations should consider multiple urban and rural locations across India and extend over different seasons to capture how food affordability fluctuates with economic and environmental factors.</w:t>
      </w:r>
    </w:p>
    <w:p w14:paraId="1A3AF73A"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2. Examine social and cultural influences</w:t>
      </w:r>
      <w:r>
        <w:rPr>
          <w:rStyle w:val="Strong"/>
          <w:rFonts w:ascii="Arial" w:hAnsi="Arial" w:cs="Arial"/>
          <w:b w:val="0"/>
          <w:sz w:val="20"/>
          <w:szCs w:val="20"/>
        </w:rPr>
        <w:t>-</w:t>
      </w:r>
      <w:r w:rsidRPr="00732F77">
        <w:rPr>
          <w:rFonts w:ascii="Arial" w:hAnsi="Arial" w:cs="Arial"/>
          <w:sz w:val="20"/>
          <w:szCs w:val="20"/>
        </w:rPr>
        <w:t xml:space="preserve"> Further studies are needed to understand how cultural norms, family decision-making roles, and awareness of nutrition influence food selection in households with limited financial resources.</w:t>
      </w:r>
    </w:p>
    <w:p w14:paraId="632B24F0"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3. Assess policy-level nutrition support</w:t>
      </w:r>
      <w:r>
        <w:rPr>
          <w:rStyle w:val="Strong"/>
          <w:rFonts w:ascii="Arial" w:hAnsi="Arial" w:cs="Arial"/>
          <w:b w:val="0"/>
          <w:sz w:val="20"/>
          <w:szCs w:val="20"/>
        </w:rPr>
        <w:t>-</w:t>
      </w:r>
      <w:r w:rsidRPr="00732F77">
        <w:rPr>
          <w:rFonts w:ascii="Arial" w:hAnsi="Arial" w:cs="Arial"/>
          <w:sz w:val="20"/>
          <w:szCs w:val="20"/>
        </w:rPr>
        <w:t xml:space="preserve"> Research should evaluate the practical impact of public schemes such as food subsidies, direct benefit transfers, and community kitchens on improving access to diverse and nutritious diets.</w:t>
      </w:r>
    </w:p>
    <w:p w14:paraId="09350639"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4. Analyze local food environments</w:t>
      </w:r>
      <w:r>
        <w:rPr>
          <w:rStyle w:val="Strong"/>
          <w:rFonts w:ascii="Arial" w:hAnsi="Arial" w:cs="Arial"/>
          <w:b w:val="0"/>
          <w:sz w:val="20"/>
          <w:szCs w:val="20"/>
        </w:rPr>
        <w:t>-</w:t>
      </w:r>
      <w:r w:rsidRPr="00732F77">
        <w:rPr>
          <w:rFonts w:ascii="Arial" w:hAnsi="Arial" w:cs="Arial"/>
          <w:sz w:val="20"/>
          <w:szCs w:val="20"/>
        </w:rPr>
        <w:t xml:space="preserve"> There is scope to explore how the structure of </w:t>
      </w:r>
      <w:r>
        <w:rPr>
          <w:rFonts w:ascii="Arial" w:hAnsi="Arial" w:cs="Arial"/>
          <w:sz w:val="20"/>
          <w:szCs w:val="20"/>
        </w:rPr>
        <w:t xml:space="preserve">local markets </w:t>
      </w:r>
      <w:r w:rsidRPr="00732F77">
        <w:rPr>
          <w:rFonts w:ascii="Arial" w:hAnsi="Arial" w:cs="Arial"/>
          <w:sz w:val="20"/>
          <w:szCs w:val="20"/>
        </w:rPr>
        <w:t>including the range, pricing, an</w:t>
      </w:r>
      <w:r>
        <w:rPr>
          <w:rFonts w:ascii="Arial" w:hAnsi="Arial" w:cs="Arial"/>
          <w:sz w:val="20"/>
          <w:szCs w:val="20"/>
        </w:rPr>
        <w:t xml:space="preserve">d accessibility of food options </w:t>
      </w:r>
      <w:r w:rsidRPr="00732F77">
        <w:rPr>
          <w:rFonts w:ascii="Arial" w:hAnsi="Arial" w:cs="Arial"/>
          <w:sz w:val="20"/>
          <w:szCs w:val="20"/>
        </w:rPr>
        <w:t>influences what people can realistically buy and consume.</w:t>
      </w:r>
    </w:p>
    <w:p w14:paraId="523C75EC"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5. Link diet affordability with environmental health</w:t>
      </w:r>
      <w:r>
        <w:rPr>
          <w:rStyle w:val="Strong"/>
          <w:rFonts w:ascii="Arial" w:hAnsi="Arial" w:cs="Arial"/>
          <w:b w:val="0"/>
          <w:sz w:val="20"/>
          <w:szCs w:val="20"/>
        </w:rPr>
        <w:t>-</w:t>
      </w:r>
      <w:r w:rsidRPr="00732F77">
        <w:rPr>
          <w:rFonts w:ascii="Arial" w:hAnsi="Arial" w:cs="Arial"/>
          <w:sz w:val="20"/>
          <w:szCs w:val="20"/>
        </w:rPr>
        <w:t xml:space="preserve"> Future work should also investigate whether nutritious, low-cost diets can be aligned with sustainability goals, especially in the face of climate challenges and rising urban demand.</w:t>
      </w:r>
    </w:p>
    <w:p w14:paraId="7484C7EE" w14:textId="77777777" w:rsidR="00732F77" w:rsidRPr="00732F77" w:rsidRDefault="00732F77" w:rsidP="00732F77">
      <w:pPr>
        <w:pStyle w:val="NormalWeb"/>
        <w:jc w:val="both"/>
        <w:rPr>
          <w:rFonts w:ascii="Arial" w:hAnsi="Arial" w:cs="Arial"/>
          <w:sz w:val="20"/>
          <w:szCs w:val="20"/>
        </w:rPr>
      </w:pPr>
      <w:r w:rsidRPr="00732F77">
        <w:rPr>
          <w:rFonts w:ascii="Arial" w:hAnsi="Arial" w:cs="Arial"/>
          <w:sz w:val="20"/>
          <w:szCs w:val="20"/>
        </w:rPr>
        <w:t xml:space="preserve"> </w:t>
      </w:r>
      <w:r w:rsidRPr="00732F77">
        <w:rPr>
          <w:rStyle w:val="Strong"/>
          <w:rFonts w:ascii="Arial" w:hAnsi="Arial" w:cs="Arial"/>
          <w:b w:val="0"/>
          <w:sz w:val="20"/>
          <w:szCs w:val="20"/>
        </w:rPr>
        <w:t>6</w:t>
      </w:r>
      <w:r w:rsidRPr="00732F77">
        <w:rPr>
          <w:rStyle w:val="Strong"/>
          <w:rFonts w:ascii="Arial" w:hAnsi="Arial" w:cs="Arial"/>
          <w:sz w:val="20"/>
          <w:szCs w:val="20"/>
        </w:rPr>
        <w:t xml:space="preserve">. </w:t>
      </w:r>
      <w:r w:rsidRPr="00732F77">
        <w:rPr>
          <w:rStyle w:val="Strong"/>
          <w:rFonts w:ascii="Arial" w:hAnsi="Arial" w:cs="Arial"/>
          <w:b w:val="0"/>
          <w:sz w:val="20"/>
          <w:szCs w:val="20"/>
        </w:rPr>
        <w:t>Strengthen tools for planning and</w:t>
      </w:r>
      <w:r w:rsidRPr="00732F77">
        <w:rPr>
          <w:rStyle w:val="Strong"/>
          <w:rFonts w:ascii="Arial" w:hAnsi="Arial" w:cs="Arial"/>
          <w:sz w:val="20"/>
          <w:szCs w:val="20"/>
        </w:rPr>
        <w:t xml:space="preserve"> </w:t>
      </w:r>
      <w:r w:rsidRPr="00732F77">
        <w:rPr>
          <w:rStyle w:val="Strong"/>
          <w:rFonts w:ascii="Arial" w:hAnsi="Arial" w:cs="Arial"/>
          <w:b w:val="0"/>
          <w:sz w:val="20"/>
          <w:szCs w:val="20"/>
        </w:rPr>
        <w:t>policy modeling</w:t>
      </w:r>
      <w:r>
        <w:rPr>
          <w:rStyle w:val="Strong"/>
          <w:rFonts w:ascii="Arial" w:hAnsi="Arial" w:cs="Arial"/>
          <w:b w:val="0"/>
          <w:sz w:val="20"/>
          <w:szCs w:val="20"/>
        </w:rPr>
        <w:t>-</w:t>
      </w:r>
      <w:r w:rsidRPr="00732F77">
        <w:rPr>
          <w:rFonts w:ascii="Arial" w:hAnsi="Arial" w:cs="Arial"/>
          <w:sz w:val="20"/>
          <w:szCs w:val="20"/>
        </w:rPr>
        <w:t xml:space="preserve"> Further development and application of planning frameworks like the Cost of the Diet tool could help design region-specific interventions that reflect real-world constraints and support better food policy decisions.</w:t>
      </w:r>
    </w:p>
    <w:p w14:paraId="24F6F690" w14:textId="77777777" w:rsidR="00732F77" w:rsidRPr="00732F77" w:rsidRDefault="00732F77" w:rsidP="00732F77">
      <w:pPr>
        <w:spacing w:before="100" w:beforeAutospacing="1" w:after="100" w:afterAutospacing="1"/>
        <w:jc w:val="both"/>
        <w:rPr>
          <w:rFonts w:ascii="Arial" w:hAnsi="Arial" w:cs="Arial"/>
        </w:rPr>
      </w:pPr>
    </w:p>
    <w:p w14:paraId="315DCAF4" w14:textId="77777777" w:rsidR="007C008D" w:rsidRDefault="007C008D" w:rsidP="00460818">
      <w:pPr>
        <w:pStyle w:val="Body"/>
        <w:spacing w:after="0"/>
        <w:rPr>
          <w:rFonts w:ascii="Arial" w:hAnsi="Arial" w:cs="Arial"/>
        </w:rPr>
      </w:pPr>
    </w:p>
    <w:p w14:paraId="763FC7E8" w14:textId="77777777" w:rsidR="00AD3C4C" w:rsidRDefault="00AD3C4C" w:rsidP="00460818">
      <w:pPr>
        <w:pStyle w:val="Body"/>
        <w:spacing w:after="0"/>
        <w:rPr>
          <w:rFonts w:ascii="Arial" w:hAnsi="Arial" w:cs="Arial"/>
        </w:rPr>
      </w:pPr>
    </w:p>
    <w:p w14:paraId="2B740E0B" w14:textId="77777777" w:rsidR="005A7EAD" w:rsidRPr="0038511D" w:rsidRDefault="005A7EAD" w:rsidP="007C008D">
      <w:pPr>
        <w:pStyle w:val="ReferHead"/>
        <w:spacing w:after="0"/>
        <w:jc w:val="both"/>
        <w:rPr>
          <w:rFonts w:ascii="Arial" w:hAnsi="Arial" w:cs="Arial"/>
          <w:b w:val="0"/>
          <w:bCs/>
          <w:sz w:val="20"/>
        </w:rPr>
      </w:pPr>
    </w:p>
    <w:p w14:paraId="1E4B8DF8" w14:textId="77777777" w:rsidR="005A7EAD" w:rsidRPr="0038511D" w:rsidRDefault="005A7EAD" w:rsidP="007C008D">
      <w:pPr>
        <w:pStyle w:val="ReferHead"/>
        <w:spacing w:after="0"/>
        <w:jc w:val="both"/>
        <w:rPr>
          <w:rFonts w:ascii="Arial" w:hAnsi="Arial" w:cs="Arial"/>
          <w:b w:val="0"/>
          <w:bCs/>
        </w:rPr>
      </w:pPr>
    </w:p>
    <w:p w14:paraId="539231FE" w14:textId="77777777" w:rsidR="00AD3C4C" w:rsidRPr="00460818" w:rsidRDefault="00AD3C4C" w:rsidP="00460818">
      <w:pPr>
        <w:pStyle w:val="Body"/>
        <w:spacing w:after="0"/>
        <w:rPr>
          <w:rFonts w:ascii="Arial" w:hAnsi="Arial" w:cs="Arial"/>
        </w:rPr>
      </w:pPr>
    </w:p>
    <w:p w14:paraId="2A94C161" w14:textId="77777777" w:rsidR="00315186" w:rsidRPr="00315186" w:rsidRDefault="00315186" w:rsidP="00441B6F"/>
    <w:p w14:paraId="27CB737E" w14:textId="77777777" w:rsidR="00315186" w:rsidRPr="00315186" w:rsidRDefault="00315186" w:rsidP="00441B6F"/>
    <w:p w14:paraId="431A66AA" w14:textId="77777777" w:rsidR="00860000" w:rsidRDefault="00860000" w:rsidP="00441B6F">
      <w:pPr>
        <w:pStyle w:val="ReferHead"/>
        <w:spacing w:after="0"/>
        <w:jc w:val="both"/>
        <w:rPr>
          <w:rFonts w:ascii="Arial" w:hAnsi="Arial" w:cs="Arial"/>
        </w:rPr>
      </w:pPr>
    </w:p>
    <w:p w14:paraId="66E162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9DB9EC" w14:textId="77777777" w:rsidR="00790ADA" w:rsidRDefault="00790ADA" w:rsidP="00441B6F">
      <w:pPr>
        <w:pStyle w:val="ReferHead"/>
        <w:spacing w:after="0"/>
        <w:jc w:val="both"/>
        <w:rPr>
          <w:rFonts w:ascii="Arial" w:hAnsi="Arial" w:cs="Arial"/>
        </w:rPr>
      </w:pPr>
    </w:p>
    <w:p w14:paraId="10F2950A" w14:textId="77777777" w:rsidR="009B6DF8" w:rsidRPr="003A2AEA" w:rsidRDefault="009B6DF8" w:rsidP="003A2AEA">
      <w:pPr>
        <w:pStyle w:val="NormalWeb"/>
        <w:ind w:left="720"/>
        <w:jc w:val="both"/>
        <w:rPr>
          <w:rFonts w:ascii="Arial" w:hAnsi="Arial" w:cs="Arial"/>
          <w:sz w:val="20"/>
          <w:szCs w:val="20"/>
        </w:rPr>
      </w:pPr>
      <w:r w:rsidRPr="003A2AEA">
        <w:rPr>
          <w:rFonts w:ascii="Arial" w:hAnsi="Arial" w:cs="Arial"/>
          <w:sz w:val="20"/>
          <w:szCs w:val="20"/>
        </w:rPr>
        <w:t xml:space="preserve">Barosh, L., Friel, S., Engelhardt, K., &amp; Chan, L. (2014). The cost of a healthy and sustainable diet--who can afford it? </w:t>
      </w:r>
      <w:r w:rsidRPr="003A2AEA">
        <w:rPr>
          <w:rStyle w:val="Emphasis"/>
          <w:rFonts w:ascii="Arial" w:eastAsiaTheme="majorEastAsia" w:hAnsi="Arial" w:cs="Arial"/>
          <w:sz w:val="20"/>
          <w:szCs w:val="20"/>
        </w:rPr>
        <w:t>Australian and New Zealand Journal of Public Health, 38</w:t>
      </w:r>
      <w:r w:rsidRPr="003A2AEA">
        <w:rPr>
          <w:rFonts w:ascii="Arial" w:hAnsi="Arial" w:cs="Arial"/>
          <w:sz w:val="20"/>
          <w:szCs w:val="20"/>
        </w:rPr>
        <w:t xml:space="preserve">(1), 7–12. </w:t>
      </w:r>
      <w:hyperlink r:id="rId16" w:history="1">
        <w:r w:rsidRPr="003A2AEA">
          <w:rPr>
            <w:rStyle w:val="Hyperlink"/>
            <w:rFonts w:ascii="Arial" w:eastAsiaTheme="majorEastAsia" w:hAnsi="Arial" w:cs="Arial"/>
            <w:sz w:val="20"/>
            <w:szCs w:val="20"/>
          </w:rPr>
          <w:t>https://doi.org/10.1111/1753-6405.12158</w:t>
        </w:r>
      </w:hyperlink>
    </w:p>
    <w:p w14:paraId="454C4F50" w14:textId="77777777" w:rsidR="003E25A4" w:rsidRPr="003A2AEA" w:rsidRDefault="009B6DF8" w:rsidP="003A2AEA">
      <w:pPr>
        <w:pStyle w:val="NormalWeb"/>
        <w:ind w:left="720"/>
        <w:jc w:val="both"/>
        <w:rPr>
          <w:rFonts w:ascii="Arial" w:hAnsi="Arial" w:cs="Arial"/>
          <w:sz w:val="20"/>
          <w:szCs w:val="20"/>
        </w:rPr>
      </w:pPr>
      <w:r w:rsidRPr="003A2AEA">
        <w:rPr>
          <w:rFonts w:ascii="Arial" w:hAnsi="Arial" w:cs="Arial"/>
          <w:sz w:val="20"/>
          <w:szCs w:val="20"/>
        </w:rPr>
        <w:t xml:space="preserve">Darmon, N., &amp; Drewnowski, A. (2015). Contribution of food prices and diet cost to socioeconomic disparities in diet quality and health: A systematic review and analysis. </w:t>
      </w:r>
      <w:r w:rsidRPr="003A2AEA">
        <w:rPr>
          <w:rStyle w:val="Emphasis"/>
          <w:rFonts w:ascii="Arial" w:eastAsiaTheme="majorEastAsia" w:hAnsi="Arial" w:cs="Arial"/>
          <w:sz w:val="20"/>
          <w:szCs w:val="20"/>
        </w:rPr>
        <w:t>Nutrition Reviews, 73</w:t>
      </w:r>
      <w:r w:rsidRPr="003A2AEA">
        <w:rPr>
          <w:rFonts w:ascii="Arial" w:hAnsi="Arial" w:cs="Arial"/>
          <w:sz w:val="20"/>
          <w:szCs w:val="20"/>
        </w:rPr>
        <w:t xml:space="preserve">(10), 643–660. </w:t>
      </w:r>
      <w:hyperlink r:id="rId17" w:history="1">
        <w:r w:rsidR="003E25A4" w:rsidRPr="003A2AEA">
          <w:rPr>
            <w:rStyle w:val="Hyperlink"/>
            <w:rFonts w:ascii="Arial" w:eastAsiaTheme="majorEastAsia" w:hAnsi="Arial" w:cs="Arial"/>
            <w:sz w:val="20"/>
            <w:szCs w:val="20"/>
          </w:rPr>
          <w:t>https://doi.org/10.1093/NUTRIT/NUV027</w:t>
        </w:r>
      </w:hyperlink>
    </w:p>
    <w:p w14:paraId="1B8B9020" w14:textId="77777777" w:rsidR="003E25A4" w:rsidRPr="003A2AEA" w:rsidRDefault="003E25A4" w:rsidP="003A2AEA">
      <w:pPr>
        <w:pStyle w:val="NormalWeb"/>
        <w:ind w:left="720"/>
        <w:jc w:val="both"/>
        <w:rPr>
          <w:rFonts w:ascii="Arial" w:hAnsi="Arial" w:cs="Arial"/>
          <w:sz w:val="20"/>
          <w:szCs w:val="20"/>
        </w:rPr>
      </w:pPr>
      <w:r w:rsidRPr="003A2AEA">
        <w:rPr>
          <w:rFonts w:ascii="Arial" w:hAnsi="Arial" w:cs="Arial"/>
          <w:sz w:val="20"/>
          <w:szCs w:val="20"/>
        </w:rPr>
        <w:t xml:space="preserve">Kachwaha, S., Nguyen, P. H., DeFreese, M., Avula, R., Cyriac, S., Girard, A., &amp; Menon, P. (2020). Assessing the economic feasibility of assuring nutritionally adequate diets for vulnerable populations in Uttar Pradesh, India: Findings from a “Cost of the Diet” analysis. </w:t>
      </w:r>
      <w:r w:rsidRPr="003A2AEA">
        <w:rPr>
          <w:rStyle w:val="Emphasis"/>
          <w:rFonts w:ascii="Arial" w:eastAsiaTheme="majorEastAsia" w:hAnsi="Arial" w:cs="Arial"/>
          <w:sz w:val="20"/>
          <w:szCs w:val="20"/>
        </w:rPr>
        <w:t>Current Developments in Nutrition, 4</w:t>
      </w:r>
      <w:r w:rsidRPr="003A2AEA">
        <w:rPr>
          <w:rFonts w:ascii="Arial" w:hAnsi="Arial" w:cs="Arial"/>
          <w:sz w:val="20"/>
          <w:szCs w:val="20"/>
        </w:rPr>
        <w:t xml:space="preserve">(12), nzaa169. </w:t>
      </w:r>
      <w:hyperlink r:id="rId18" w:history="1">
        <w:r w:rsidRPr="003A2AEA">
          <w:rPr>
            <w:rStyle w:val="Hyperlink"/>
            <w:rFonts w:ascii="Arial" w:eastAsiaTheme="majorEastAsia" w:hAnsi="Arial" w:cs="Arial"/>
            <w:sz w:val="20"/>
            <w:szCs w:val="20"/>
          </w:rPr>
          <w:t>https://doi.org/10.1093/CDN/NZAA169</w:t>
        </w:r>
      </w:hyperlink>
    </w:p>
    <w:p w14:paraId="5424C9DB" w14:textId="77777777" w:rsidR="003E25A4" w:rsidRPr="003A2AEA" w:rsidRDefault="003E25A4"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Raghunathan, K., Headey, D., &amp; Herforth, A. (2021). Affordability of nutritious diets in rural India. </w:t>
      </w:r>
      <w:r w:rsidRPr="003A2AEA">
        <w:rPr>
          <w:rStyle w:val="Emphasis"/>
          <w:rFonts w:ascii="Arial" w:eastAsiaTheme="majorEastAsia" w:hAnsi="Arial" w:cs="Arial"/>
          <w:sz w:val="20"/>
          <w:szCs w:val="20"/>
        </w:rPr>
        <w:t>Food Policy, 99</w:t>
      </w:r>
      <w:r w:rsidRPr="003A2AEA">
        <w:rPr>
          <w:rFonts w:ascii="Arial" w:hAnsi="Arial" w:cs="Arial"/>
          <w:sz w:val="20"/>
          <w:szCs w:val="20"/>
        </w:rPr>
        <w:t xml:space="preserve">, 101982. </w:t>
      </w:r>
      <w:hyperlink r:id="rId19" w:history="1">
        <w:r w:rsidRPr="003A2AEA">
          <w:rPr>
            <w:rStyle w:val="Hyperlink"/>
            <w:rFonts w:ascii="Arial" w:eastAsiaTheme="majorEastAsia" w:hAnsi="Arial" w:cs="Arial"/>
            <w:sz w:val="20"/>
            <w:szCs w:val="20"/>
          </w:rPr>
          <w:t>https://doi.org/10.1016/J.FOODPOL.2020.101982</w:t>
        </w:r>
      </w:hyperlink>
    </w:p>
    <w:p w14:paraId="2260B32C" w14:textId="77777777" w:rsidR="0019502F" w:rsidRPr="003A2AEA" w:rsidRDefault="0019502F"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Gupta, S., Sunder, N., &amp; Pingali, P. L. (2020). Market access, production diversity, and diet diversity: Evidence from India. </w:t>
      </w:r>
      <w:r w:rsidRPr="003A2AEA">
        <w:rPr>
          <w:rStyle w:val="Emphasis"/>
          <w:rFonts w:ascii="Arial" w:eastAsiaTheme="majorEastAsia" w:hAnsi="Arial" w:cs="Arial"/>
          <w:sz w:val="20"/>
          <w:szCs w:val="20"/>
        </w:rPr>
        <w:t>Food and Nutrition Bulletin, 41</w:t>
      </w:r>
      <w:r w:rsidRPr="003A2AEA">
        <w:rPr>
          <w:rFonts w:ascii="Arial" w:hAnsi="Arial" w:cs="Arial"/>
          <w:sz w:val="20"/>
          <w:szCs w:val="20"/>
        </w:rPr>
        <w:t xml:space="preserve">(2), 167–185. </w:t>
      </w:r>
      <w:hyperlink r:id="rId20" w:history="1">
        <w:r w:rsidRPr="003A2AEA">
          <w:rPr>
            <w:rStyle w:val="Hyperlink"/>
            <w:rFonts w:ascii="Arial" w:eastAsiaTheme="majorEastAsia" w:hAnsi="Arial" w:cs="Arial"/>
            <w:sz w:val="20"/>
            <w:szCs w:val="20"/>
          </w:rPr>
          <w:t>https://doi.org/10.1177/0379572120920061</w:t>
        </w:r>
      </w:hyperlink>
    </w:p>
    <w:p w14:paraId="72C665F0" w14:textId="77777777" w:rsidR="00BC552B" w:rsidRPr="003A2AEA" w:rsidRDefault="00BC552B"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Rahmawati, W., Wirawan, N. N., Fahmi, I., </w:t>
      </w:r>
      <w:proofErr w:type="spellStart"/>
      <w:r w:rsidRPr="003A2AEA">
        <w:rPr>
          <w:rFonts w:ascii="Arial" w:hAnsi="Arial" w:cs="Arial"/>
          <w:sz w:val="20"/>
          <w:szCs w:val="20"/>
        </w:rPr>
        <w:t>Cempaka</w:t>
      </w:r>
      <w:proofErr w:type="spellEnd"/>
      <w:r w:rsidRPr="003A2AEA">
        <w:rPr>
          <w:rFonts w:ascii="Arial" w:hAnsi="Arial" w:cs="Arial"/>
          <w:sz w:val="20"/>
          <w:szCs w:val="20"/>
        </w:rPr>
        <w:t xml:space="preserve">, &amp; </w:t>
      </w:r>
      <w:proofErr w:type="spellStart"/>
      <w:r w:rsidRPr="003A2AEA">
        <w:rPr>
          <w:rFonts w:ascii="Arial" w:hAnsi="Arial" w:cs="Arial"/>
          <w:sz w:val="20"/>
          <w:szCs w:val="20"/>
        </w:rPr>
        <w:t>Andarini</w:t>
      </w:r>
      <w:proofErr w:type="spellEnd"/>
      <w:r w:rsidRPr="003A2AEA">
        <w:rPr>
          <w:rFonts w:ascii="Arial" w:hAnsi="Arial" w:cs="Arial"/>
          <w:sz w:val="20"/>
          <w:szCs w:val="20"/>
        </w:rPr>
        <w:t xml:space="preserve">, S. (2025). Energy density, nutrient density and nutrient-to-price ratio of Indonesian foods. </w:t>
      </w:r>
      <w:r w:rsidRPr="003A2AEA">
        <w:rPr>
          <w:rStyle w:val="Emphasis"/>
          <w:rFonts w:ascii="Arial" w:eastAsiaTheme="majorEastAsia" w:hAnsi="Arial" w:cs="Arial"/>
          <w:sz w:val="20"/>
          <w:szCs w:val="20"/>
        </w:rPr>
        <w:t>Food Research, 8</w:t>
      </w:r>
      <w:r w:rsidRPr="003A2AEA">
        <w:rPr>
          <w:rFonts w:ascii="Arial" w:hAnsi="Arial" w:cs="Arial"/>
          <w:sz w:val="20"/>
          <w:szCs w:val="20"/>
        </w:rPr>
        <w:t xml:space="preserve">, 74–83. </w:t>
      </w:r>
      <w:hyperlink r:id="rId21" w:history="1">
        <w:r w:rsidRPr="003A2AEA">
          <w:rPr>
            <w:rStyle w:val="Hyperlink"/>
            <w:rFonts w:ascii="Arial" w:eastAsiaTheme="majorEastAsia" w:hAnsi="Arial" w:cs="Arial"/>
            <w:sz w:val="20"/>
            <w:szCs w:val="20"/>
          </w:rPr>
          <w:t>https://doi.org/10.26656/fr.2017.8(S6).10</w:t>
        </w:r>
      </w:hyperlink>
    </w:p>
    <w:p w14:paraId="4041A8EA" w14:textId="77777777" w:rsidR="00BC552B" w:rsidRPr="003A2AEA" w:rsidRDefault="00BC552B" w:rsidP="003A2AEA">
      <w:pPr>
        <w:pStyle w:val="NormalWeb"/>
        <w:ind w:left="720"/>
        <w:jc w:val="both"/>
        <w:rPr>
          <w:rFonts w:ascii="Arial" w:hAnsi="Arial" w:cs="Arial"/>
          <w:sz w:val="20"/>
          <w:szCs w:val="20"/>
        </w:rPr>
      </w:pPr>
      <w:r w:rsidRPr="003A2AEA">
        <w:rPr>
          <w:rFonts w:ascii="Arial" w:hAnsi="Arial" w:cs="Arial"/>
          <w:sz w:val="20"/>
          <w:szCs w:val="20"/>
        </w:rPr>
        <w:t xml:space="preserve">Marty, L., Dubois, C., </w:t>
      </w:r>
      <w:proofErr w:type="spellStart"/>
      <w:r w:rsidRPr="003A2AEA">
        <w:rPr>
          <w:rFonts w:ascii="Arial" w:hAnsi="Arial" w:cs="Arial"/>
          <w:sz w:val="20"/>
          <w:szCs w:val="20"/>
        </w:rPr>
        <w:t>Gaubard</w:t>
      </w:r>
      <w:proofErr w:type="spellEnd"/>
      <w:r w:rsidRPr="003A2AEA">
        <w:rPr>
          <w:rFonts w:ascii="Arial" w:hAnsi="Arial" w:cs="Arial"/>
          <w:sz w:val="20"/>
          <w:szCs w:val="20"/>
        </w:rPr>
        <w:t xml:space="preserve">, M. S., </w:t>
      </w:r>
      <w:proofErr w:type="spellStart"/>
      <w:r w:rsidRPr="003A2AEA">
        <w:rPr>
          <w:rFonts w:ascii="Arial" w:hAnsi="Arial" w:cs="Arial"/>
          <w:sz w:val="20"/>
          <w:szCs w:val="20"/>
        </w:rPr>
        <w:t>Maidon</w:t>
      </w:r>
      <w:proofErr w:type="spellEnd"/>
      <w:r w:rsidRPr="003A2AEA">
        <w:rPr>
          <w:rFonts w:ascii="Arial" w:hAnsi="Arial" w:cs="Arial"/>
          <w:sz w:val="20"/>
          <w:szCs w:val="20"/>
        </w:rPr>
        <w:t xml:space="preserve">, A., </w:t>
      </w:r>
      <w:proofErr w:type="spellStart"/>
      <w:r w:rsidRPr="003A2AEA">
        <w:rPr>
          <w:rFonts w:ascii="Arial" w:hAnsi="Arial" w:cs="Arial"/>
          <w:sz w:val="20"/>
          <w:szCs w:val="20"/>
        </w:rPr>
        <w:t>Lesturgeon</w:t>
      </w:r>
      <w:proofErr w:type="spellEnd"/>
      <w:r w:rsidRPr="003A2AEA">
        <w:rPr>
          <w:rFonts w:ascii="Arial" w:hAnsi="Arial" w:cs="Arial"/>
          <w:sz w:val="20"/>
          <w:szCs w:val="20"/>
        </w:rPr>
        <w:t xml:space="preserve">, A., Gaigi, H., &amp; Darmon, N. (2015). Higher nutritional quality at no additional cost among low-income households: Insights from food purchases of “positive deviants.” </w:t>
      </w:r>
      <w:r w:rsidRPr="003A2AEA">
        <w:rPr>
          <w:rStyle w:val="Emphasis"/>
          <w:rFonts w:ascii="Arial" w:eastAsiaTheme="majorEastAsia" w:hAnsi="Arial" w:cs="Arial"/>
          <w:sz w:val="20"/>
          <w:szCs w:val="20"/>
        </w:rPr>
        <w:t>The American Journal of Clinical Nutrition, 102</w:t>
      </w:r>
      <w:r w:rsidRPr="003A2AEA">
        <w:rPr>
          <w:rFonts w:ascii="Arial" w:hAnsi="Arial" w:cs="Arial"/>
          <w:sz w:val="20"/>
          <w:szCs w:val="20"/>
        </w:rPr>
        <w:t xml:space="preserve">(1), 190–198. </w:t>
      </w:r>
      <w:hyperlink r:id="rId22" w:history="1">
        <w:r w:rsidRPr="003A2AEA">
          <w:rPr>
            <w:rStyle w:val="Hyperlink"/>
            <w:rFonts w:ascii="Arial" w:eastAsiaTheme="majorEastAsia" w:hAnsi="Arial" w:cs="Arial"/>
            <w:sz w:val="20"/>
            <w:szCs w:val="20"/>
          </w:rPr>
          <w:t>https://doi.org/10.3945/AJCN.114.104380</w:t>
        </w:r>
      </w:hyperlink>
    </w:p>
    <w:p w14:paraId="31F9F53F" w14:textId="77777777" w:rsidR="00BC552B" w:rsidRPr="003A2AEA" w:rsidRDefault="00BC552B" w:rsidP="003A2AEA">
      <w:pPr>
        <w:pStyle w:val="NormalWeb"/>
        <w:ind w:left="720"/>
        <w:jc w:val="both"/>
        <w:rPr>
          <w:rFonts w:ascii="Arial" w:eastAsiaTheme="majorEastAsia" w:hAnsi="Arial" w:cs="Arial"/>
          <w:sz w:val="20"/>
          <w:szCs w:val="20"/>
        </w:rPr>
      </w:pPr>
      <w:r w:rsidRPr="003A2AEA">
        <w:rPr>
          <w:rFonts w:ascii="Arial" w:eastAsiaTheme="majorEastAsia" w:hAnsi="Arial" w:cs="Arial"/>
          <w:sz w:val="20"/>
          <w:szCs w:val="20"/>
        </w:rPr>
        <w:t xml:space="preserve"> </w:t>
      </w:r>
      <w:r w:rsidRPr="003A2AEA">
        <w:rPr>
          <w:rFonts w:ascii="Arial" w:hAnsi="Arial" w:cs="Arial"/>
          <w:sz w:val="20"/>
          <w:szCs w:val="20"/>
        </w:rPr>
        <w:t xml:space="preserve">Deptford, A., </w:t>
      </w:r>
      <w:proofErr w:type="spellStart"/>
      <w:r w:rsidRPr="003A2AEA">
        <w:rPr>
          <w:rFonts w:ascii="Arial" w:hAnsi="Arial" w:cs="Arial"/>
          <w:sz w:val="20"/>
          <w:szCs w:val="20"/>
        </w:rPr>
        <w:t>Allieri</w:t>
      </w:r>
      <w:proofErr w:type="spellEnd"/>
      <w:r w:rsidRPr="003A2AEA">
        <w:rPr>
          <w:rFonts w:ascii="Arial" w:hAnsi="Arial" w:cs="Arial"/>
          <w:sz w:val="20"/>
          <w:szCs w:val="20"/>
        </w:rPr>
        <w:t xml:space="preserve">, T., Childs, R., Damu, C., Ferguson, E., Hilton, J., Parham, P., Perry, A., Rees, A., Seddon, J., &amp; Hall, A. (2017). Cost of the Diet: A method and software to calculate the lowest cost of meeting recommended intakes of energy and nutrients from local foods. </w:t>
      </w:r>
      <w:r w:rsidRPr="003A2AEA">
        <w:rPr>
          <w:rStyle w:val="Emphasis"/>
          <w:rFonts w:ascii="Arial" w:eastAsiaTheme="majorEastAsia" w:hAnsi="Arial" w:cs="Arial"/>
          <w:sz w:val="20"/>
          <w:szCs w:val="20"/>
        </w:rPr>
        <w:t>BMC Nutrition, 3</w:t>
      </w:r>
      <w:r w:rsidRPr="003A2AEA">
        <w:rPr>
          <w:rFonts w:ascii="Arial" w:hAnsi="Arial" w:cs="Arial"/>
          <w:sz w:val="20"/>
          <w:szCs w:val="20"/>
        </w:rPr>
        <w:t xml:space="preserve">(1), 1–17. </w:t>
      </w:r>
      <w:hyperlink r:id="rId23" w:history="1">
        <w:r w:rsidRPr="003A2AEA">
          <w:rPr>
            <w:rStyle w:val="Hyperlink"/>
            <w:rFonts w:ascii="Arial" w:eastAsiaTheme="majorEastAsia" w:hAnsi="Arial" w:cs="Arial"/>
            <w:sz w:val="20"/>
            <w:szCs w:val="20"/>
          </w:rPr>
          <w:t>https://doi.org/10.1186/S40795-017-0136-4/FIGURES/6</w:t>
        </w:r>
      </w:hyperlink>
    </w:p>
    <w:p w14:paraId="5D423C5D" w14:textId="77777777" w:rsidR="003A2AEA" w:rsidRDefault="003A2AEA" w:rsidP="003A2AEA">
      <w:pPr>
        <w:pStyle w:val="NormalWeb"/>
        <w:ind w:left="720"/>
        <w:jc w:val="both"/>
        <w:rPr>
          <w:rFonts w:ascii="Arial" w:hAnsi="Arial" w:cs="Arial"/>
          <w:sz w:val="20"/>
          <w:szCs w:val="20"/>
        </w:rPr>
      </w:pPr>
      <w:r w:rsidRPr="003A2AEA">
        <w:rPr>
          <w:rFonts w:ascii="Arial" w:hAnsi="Arial" w:cs="Arial"/>
          <w:sz w:val="20"/>
          <w:szCs w:val="20"/>
        </w:rPr>
        <w:t>Tasmanian Healthy Food Access Basket (HFAB) Survey Final Report: Availability, cost, and affordability of a basket of healthy food in Tasmania. (2014). Funded by the Australian Government through Tasmania Medicare Local.</w:t>
      </w:r>
    </w:p>
    <w:p w14:paraId="5112AAC1" w14:textId="77777777" w:rsidR="003D24B8" w:rsidRDefault="003D24B8" w:rsidP="003D24B8">
      <w:pPr>
        <w:pStyle w:val="ListParagraph"/>
        <w:jc w:val="both"/>
        <w:rPr>
          <w:rFonts w:ascii="Arial" w:hAnsi="Arial" w:cs="Arial"/>
          <w:sz w:val="20"/>
          <w:szCs w:val="20"/>
        </w:rPr>
      </w:pPr>
    </w:p>
    <w:p w14:paraId="542D8853" w14:textId="77777777" w:rsidR="003D24B8" w:rsidRDefault="003D24B8" w:rsidP="003D24B8">
      <w:pPr>
        <w:pStyle w:val="ListParagraph"/>
        <w:jc w:val="both"/>
        <w:rPr>
          <w:rFonts w:ascii="Arial" w:hAnsi="Arial" w:cs="Arial"/>
          <w:sz w:val="20"/>
          <w:szCs w:val="20"/>
        </w:rPr>
      </w:pPr>
    </w:p>
    <w:p w14:paraId="71D3CCAA" w14:textId="77777777" w:rsidR="003D24B8" w:rsidRPr="003D24B8" w:rsidRDefault="003D24B8" w:rsidP="003D24B8">
      <w:pPr>
        <w:pStyle w:val="ListParagraph"/>
        <w:jc w:val="both"/>
        <w:rPr>
          <w:rFonts w:ascii="Arial" w:hAnsi="Arial" w:cs="Arial"/>
          <w:sz w:val="20"/>
          <w:szCs w:val="20"/>
        </w:rPr>
      </w:pPr>
      <w:r w:rsidRPr="003D24B8">
        <w:rPr>
          <w:rFonts w:ascii="Arial" w:hAnsi="Arial" w:cs="Arial"/>
          <w:sz w:val="20"/>
          <w:szCs w:val="20"/>
        </w:rPr>
        <w:lastRenderedPageBreak/>
        <w:t xml:space="preserve">Ruel, M. T., &amp; Alderman, H. (2013). Nutrition-sensitive interventions and </w:t>
      </w:r>
      <w:proofErr w:type="spellStart"/>
      <w:r w:rsidRPr="003D24B8">
        <w:rPr>
          <w:rFonts w:ascii="Arial" w:hAnsi="Arial" w:cs="Arial"/>
          <w:sz w:val="20"/>
          <w:szCs w:val="20"/>
        </w:rPr>
        <w:t>programmes</w:t>
      </w:r>
      <w:proofErr w:type="spellEnd"/>
      <w:r w:rsidRPr="003D24B8">
        <w:rPr>
          <w:rFonts w:ascii="Arial" w:hAnsi="Arial" w:cs="Arial"/>
          <w:sz w:val="20"/>
          <w:szCs w:val="20"/>
        </w:rPr>
        <w:t xml:space="preserve">: How can they help to accelerate progress in improving maternal and child nutrition? </w:t>
      </w:r>
      <w:r w:rsidRPr="003D24B8">
        <w:rPr>
          <w:rFonts w:ascii="Arial" w:hAnsi="Arial" w:cs="Arial"/>
          <w:i/>
          <w:iCs/>
          <w:sz w:val="20"/>
          <w:szCs w:val="20"/>
        </w:rPr>
        <w:t>The Lancet</w:t>
      </w:r>
      <w:r w:rsidRPr="003D24B8">
        <w:rPr>
          <w:rFonts w:ascii="Arial" w:hAnsi="Arial" w:cs="Arial"/>
          <w:sz w:val="20"/>
          <w:szCs w:val="20"/>
        </w:rPr>
        <w:t xml:space="preserve">, </w:t>
      </w:r>
      <w:r w:rsidRPr="003D24B8">
        <w:rPr>
          <w:rFonts w:ascii="Arial" w:hAnsi="Arial" w:cs="Arial"/>
          <w:i/>
          <w:iCs/>
          <w:sz w:val="20"/>
          <w:szCs w:val="20"/>
        </w:rPr>
        <w:t>382</w:t>
      </w:r>
      <w:r w:rsidRPr="003D24B8">
        <w:rPr>
          <w:rFonts w:ascii="Arial" w:hAnsi="Arial" w:cs="Arial"/>
          <w:sz w:val="20"/>
          <w:szCs w:val="20"/>
        </w:rPr>
        <w:t xml:space="preserve">(9891), 536–551. </w:t>
      </w:r>
      <w:hyperlink r:id="rId24" w:history="1">
        <w:r w:rsidRPr="00C37A45">
          <w:rPr>
            <w:rStyle w:val="Hyperlink"/>
            <w:rFonts w:ascii="Arial" w:hAnsi="Arial" w:cs="Arial"/>
            <w:sz w:val="20"/>
            <w:szCs w:val="20"/>
          </w:rPr>
          <w:t>https://doi.org/10.1016/S0140-6736(13)60843-0/ATTACHMENT/C6193216-9BD2-45E0-915E-8D56FBB4A411/MMC1.PDF</w:t>
        </w:r>
      </w:hyperlink>
    </w:p>
    <w:p w14:paraId="655F80E7" w14:textId="77777777" w:rsidR="003A2AEA" w:rsidRPr="003A2AEA" w:rsidRDefault="003A2AEA" w:rsidP="003A2AEA">
      <w:pPr>
        <w:ind w:left="720"/>
        <w:jc w:val="both"/>
        <w:rPr>
          <w:rFonts w:ascii="Arial" w:hAnsi="Arial" w:cs="Arial"/>
        </w:rPr>
      </w:pPr>
      <w:r w:rsidRPr="003A2AEA">
        <w:rPr>
          <w:rFonts w:ascii="Arial" w:hAnsi="Arial" w:cs="Arial"/>
        </w:rPr>
        <w:t xml:space="preserve">Ford, N. D., Patel, S. A., &amp; Narayan, K. M. V. (2017). Obesity in low- and middle-income countries: burden, drivers, and emerging challenges. </w:t>
      </w:r>
      <w:r w:rsidRPr="003A2AEA">
        <w:rPr>
          <w:rFonts w:ascii="Arial" w:hAnsi="Arial" w:cs="Arial"/>
          <w:i/>
          <w:iCs/>
        </w:rPr>
        <w:t>Annu Rev Public Health</w:t>
      </w:r>
      <w:r w:rsidRPr="003A2AEA">
        <w:rPr>
          <w:rFonts w:ascii="Arial" w:hAnsi="Arial" w:cs="Arial"/>
        </w:rPr>
        <w:t xml:space="preserve">, </w:t>
      </w:r>
      <w:r w:rsidRPr="003A2AEA">
        <w:rPr>
          <w:rFonts w:ascii="Arial" w:hAnsi="Arial" w:cs="Arial"/>
          <w:i/>
          <w:iCs/>
        </w:rPr>
        <w:t>38</w:t>
      </w:r>
      <w:r w:rsidRPr="003A2AEA">
        <w:rPr>
          <w:rFonts w:ascii="Arial" w:hAnsi="Arial" w:cs="Arial"/>
        </w:rPr>
        <w:t xml:space="preserve">(1), 145–164. </w:t>
      </w:r>
      <w:hyperlink r:id="rId25" w:history="1">
        <w:r w:rsidRPr="003A2AEA">
          <w:rPr>
            <w:rStyle w:val="Hyperlink"/>
            <w:rFonts w:ascii="Arial" w:hAnsi="Arial" w:cs="Arial"/>
          </w:rPr>
          <w:t>https://doi.org/10.1146/annurev-publhealth-031816-044604</w:t>
        </w:r>
      </w:hyperlink>
    </w:p>
    <w:p w14:paraId="1BE11488" w14:textId="77777777" w:rsidR="003A2AEA" w:rsidRPr="003A2AEA" w:rsidRDefault="003A2AEA" w:rsidP="003A2AEA">
      <w:pPr>
        <w:ind w:left="720"/>
        <w:jc w:val="both"/>
        <w:rPr>
          <w:rFonts w:ascii="Arial" w:hAnsi="Arial" w:cs="Arial"/>
        </w:rPr>
      </w:pPr>
    </w:p>
    <w:p w14:paraId="24DD6D7D" w14:textId="77777777" w:rsidR="003A2AEA" w:rsidRDefault="003A2AEA" w:rsidP="003A2AEA">
      <w:pPr>
        <w:ind w:left="720"/>
        <w:jc w:val="both"/>
      </w:pPr>
      <w:r w:rsidRPr="003A2AEA">
        <w:rPr>
          <w:rFonts w:ascii="Arial" w:hAnsi="Arial" w:cs="Arial"/>
        </w:rPr>
        <w:t xml:space="preserve">James, W. P. T., Nelson, M., Ralph, A., &amp; Leather, S. (1997). Socioeconomic determinants of health: The contribution of nutrition to inequalities in health. </w:t>
      </w:r>
      <w:r w:rsidRPr="003A2AEA">
        <w:rPr>
          <w:rFonts w:ascii="Arial" w:hAnsi="Arial" w:cs="Arial"/>
          <w:i/>
          <w:iCs/>
        </w:rPr>
        <w:t>British Medical Journal</w:t>
      </w:r>
      <w:r w:rsidRPr="003A2AEA">
        <w:rPr>
          <w:rFonts w:ascii="Arial" w:hAnsi="Arial" w:cs="Arial"/>
        </w:rPr>
        <w:t xml:space="preserve">, </w:t>
      </w:r>
      <w:r w:rsidRPr="003A2AEA">
        <w:rPr>
          <w:rFonts w:ascii="Arial" w:hAnsi="Arial" w:cs="Arial"/>
          <w:i/>
          <w:iCs/>
        </w:rPr>
        <w:t>314</w:t>
      </w:r>
      <w:r w:rsidRPr="003A2AEA">
        <w:rPr>
          <w:rFonts w:ascii="Arial" w:hAnsi="Arial" w:cs="Arial"/>
        </w:rPr>
        <w:t xml:space="preserve">(7093), 1545–1549. </w:t>
      </w:r>
      <w:hyperlink r:id="rId26" w:history="1">
        <w:r w:rsidRPr="003A2AEA">
          <w:rPr>
            <w:rStyle w:val="Hyperlink"/>
            <w:rFonts w:ascii="Arial" w:hAnsi="Arial" w:cs="Arial"/>
          </w:rPr>
          <w:t>https://doi.org/10.1136/BMJ.314.7093.1545</w:t>
        </w:r>
      </w:hyperlink>
    </w:p>
    <w:p w14:paraId="5DBE2435" w14:textId="77777777" w:rsidR="00FB00C8" w:rsidRDefault="00FB00C8" w:rsidP="003A2AEA">
      <w:pPr>
        <w:ind w:left="720"/>
        <w:jc w:val="both"/>
      </w:pPr>
    </w:p>
    <w:p w14:paraId="627FF040" w14:textId="77777777" w:rsidR="003D24B8" w:rsidRDefault="00FB00C8" w:rsidP="00FB00C8">
      <w:pPr>
        <w:pStyle w:val="ListParagraph"/>
        <w:rPr>
          <w:rFonts w:ascii="Arial" w:hAnsi="Arial" w:cs="Arial"/>
          <w:sz w:val="20"/>
          <w:szCs w:val="20"/>
        </w:rPr>
      </w:pPr>
      <w:r w:rsidRPr="00FB00C8">
        <w:rPr>
          <w:rFonts w:ascii="Arial" w:hAnsi="Arial" w:cs="Arial"/>
          <w:sz w:val="20"/>
          <w:szCs w:val="20"/>
        </w:rPr>
        <w:t xml:space="preserve">Hoddinott, J., Alderman, H., Behrman, J. R., Haddad, L., &amp; Horton, S. (2013). The economic rationale for investing in stunting reduction. </w:t>
      </w:r>
      <w:r w:rsidRPr="00FB00C8">
        <w:rPr>
          <w:rFonts w:ascii="Arial" w:hAnsi="Arial" w:cs="Arial"/>
          <w:i/>
          <w:iCs/>
          <w:sz w:val="20"/>
          <w:szCs w:val="20"/>
        </w:rPr>
        <w:t>Maternal and Child Nutrition</w:t>
      </w:r>
      <w:r w:rsidRPr="00FB00C8">
        <w:rPr>
          <w:rFonts w:ascii="Arial" w:hAnsi="Arial" w:cs="Arial"/>
          <w:sz w:val="20"/>
          <w:szCs w:val="20"/>
        </w:rPr>
        <w:t xml:space="preserve">, </w:t>
      </w:r>
      <w:r w:rsidRPr="00FB00C8">
        <w:rPr>
          <w:rFonts w:ascii="Arial" w:hAnsi="Arial" w:cs="Arial"/>
          <w:i/>
          <w:iCs/>
          <w:sz w:val="20"/>
          <w:szCs w:val="20"/>
        </w:rPr>
        <w:t>9</w:t>
      </w:r>
      <w:r w:rsidRPr="00FB00C8">
        <w:rPr>
          <w:rFonts w:ascii="Arial" w:hAnsi="Arial" w:cs="Arial"/>
          <w:sz w:val="20"/>
          <w:szCs w:val="20"/>
        </w:rPr>
        <w:t xml:space="preserve">(S2), 69–82. </w:t>
      </w:r>
      <w:hyperlink r:id="rId27" w:history="1">
        <w:r w:rsidRPr="00C37A45">
          <w:rPr>
            <w:rStyle w:val="Hyperlink"/>
            <w:rFonts w:ascii="Arial" w:hAnsi="Arial" w:cs="Arial"/>
            <w:sz w:val="20"/>
            <w:szCs w:val="20"/>
          </w:rPr>
          <w:t>https://doi.org/10.1111/MCN.12080;PAGEGROUP:STRING:PUBLICATION</w:t>
        </w:r>
      </w:hyperlink>
    </w:p>
    <w:p w14:paraId="6130AFC6" w14:textId="77777777" w:rsidR="00FB00C8" w:rsidRPr="00FB00C8" w:rsidRDefault="00FB00C8" w:rsidP="00FB00C8">
      <w:pPr>
        <w:pStyle w:val="ListParagraph"/>
        <w:rPr>
          <w:rFonts w:ascii="Arial" w:hAnsi="Arial" w:cs="Arial"/>
          <w:sz w:val="20"/>
          <w:szCs w:val="20"/>
        </w:rPr>
      </w:pPr>
    </w:p>
    <w:p w14:paraId="23D427AE" w14:textId="77777777" w:rsidR="003D24B8" w:rsidRDefault="003D24B8" w:rsidP="003D24B8">
      <w:pPr>
        <w:pStyle w:val="ListParagraph"/>
        <w:jc w:val="both"/>
        <w:rPr>
          <w:rFonts w:ascii="Arial" w:hAnsi="Arial" w:cs="Arial"/>
          <w:sz w:val="20"/>
          <w:szCs w:val="20"/>
        </w:rPr>
      </w:pPr>
      <w:r w:rsidRPr="003D24B8">
        <w:rPr>
          <w:rFonts w:ascii="Arial" w:hAnsi="Arial" w:cs="Arial"/>
          <w:sz w:val="20"/>
          <w:szCs w:val="20"/>
        </w:rPr>
        <w:t xml:space="preserve">Webb, P. (2010). Medium- to long-run implications of high food prices for global nutrition. </w:t>
      </w:r>
      <w:r w:rsidRPr="003D24B8">
        <w:rPr>
          <w:rFonts w:ascii="Arial" w:hAnsi="Arial" w:cs="Arial"/>
          <w:i/>
          <w:iCs/>
          <w:sz w:val="20"/>
          <w:szCs w:val="20"/>
        </w:rPr>
        <w:t>Journal of Nutrition</w:t>
      </w:r>
      <w:r w:rsidRPr="003D24B8">
        <w:rPr>
          <w:rFonts w:ascii="Arial" w:hAnsi="Arial" w:cs="Arial"/>
          <w:sz w:val="20"/>
          <w:szCs w:val="20"/>
        </w:rPr>
        <w:t xml:space="preserve">, </w:t>
      </w:r>
      <w:r w:rsidRPr="003D24B8">
        <w:rPr>
          <w:rFonts w:ascii="Arial" w:hAnsi="Arial" w:cs="Arial"/>
          <w:i/>
          <w:iCs/>
          <w:sz w:val="20"/>
          <w:szCs w:val="20"/>
        </w:rPr>
        <w:t>140</w:t>
      </w:r>
      <w:r w:rsidRPr="003D24B8">
        <w:rPr>
          <w:rFonts w:ascii="Arial" w:hAnsi="Arial" w:cs="Arial"/>
          <w:sz w:val="20"/>
          <w:szCs w:val="20"/>
        </w:rPr>
        <w:t xml:space="preserve">(1). </w:t>
      </w:r>
      <w:hyperlink r:id="rId28" w:history="1">
        <w:r w:rsidRPr="00C37A45">
          <w:rPr>
            <w:rStyle w:val="Hyperlink"/>
            <w:rFonts w:ascii="Arial" w:hAnsi="Arial" w:cs="Arial"/>
            <w:sz w:val="20"/>
            <w:szCs w:val="20"/>
          </w:rPr>
          <w:t>https://doi.org/10.3945/JN.109.110536</w:t>
        </w:r>
      </w:hyperlink>
    </w:p>
    <w:p w14:paraId="1D031581" w14:textId="77777777" w:rsidR="003D24B8" w:rsidRDefault="003D24B8" w:rsidP="003D24B8">
      <w:pPr>
        <w:pStyle w:val="ListParagraph"/>
        <w:jc w:val="both"/>
        <w:rPr>
          <w:rFonts w:ascii="Arial" w:hAnsi="Arial" w:cs="Arial"/>
          <w:sz w:val="20"/>
          <w:szCs w:val="20"/>
        </w:rPr>
      </w:pPr>
    </w:p>
    <w:p w14:paraId="1A5CC0CB" w14:textId="77777777" w:rsidR="003D24B8" w:rsidRDefault="003D24B8" w:rsidP="003D24B8">
      <w:pPr>
        <w:pStyle w:val="ListParagraph"/>
        <w:jc w:val="both"/>
        <w:rPr>
          <w:rFonts w:ascii="Arial" w:hAnsi="Arial" w:cs="Arial"/>
          <w:sz w:val="20"/>
          <w:szCs w:val="20"/>
        </w:rPr>
      </w:pPr>
    </w:p>
    <w:p w14:paraId="735CF7CC" w14:textId="77777777" w:rsidR="003D24B8" w:rsidRPr="003D24B8" w:rsidRDefault="003D24B8" w:rsidP="003D24B8">
      <w:pPr>
        <w:jc w:val="both"/>
        <w:rPr>
          <w:rFonts w:ascii="Arial" w:hAnsi="Arial" w:cs="Arial"/>
        </w:rPr>
      </w:pPr>
    </w:p>
    <w:p w14:paraId="509B34F6" w14:textId="77777777" w:rsidR="003D24B8" w:rsidRPr="003D24B8" w:rsidRDefault="003D24B8" w:rsidP="003D24B8">
      <w:pPr>
        <w:ind w:left="720"/>
        <w:rPr>
          <w:rFonts w:ascii="Arial" w:hAnsi="Arial" w:cs="Arial"/>
        </w:rPr>
      </w:pPr>
    </w:p>
    <w:p w14:paraId="6D4B91EA" w14:textId="77777777" w:rsidR="003D24B8" w:rsidRDefault="003D24B8" w:rsidP="003A2AEA">
      <w:pPr>
        <w:ind w:left="720"/>
        <w:jc w:val="both"/>
      </w:pPr>
    </w:p>
    <w:p w14:paraId="0729A1F7" w14:textId="77777777" w:rsidR="003D24B8" w:rsidRPr="003A2AEA" w:rsidRDefault="003D24B8" w:rsidP="003A2AEA">
      <w:pPr>
        <w:ind w:left="720"/>
        <w:jc w:val="both"/>
        <w:rPr>
          <w:rFonts w:ascii="Arial" w:hAnsi="Arial" w:cs="Arial"/>
        </w:rPr>
      </w:pPr>
    </w:p>
    <w:p w14:paraId="63374031" w14:textId="77777777" w:rsidR="003A2AEA" w:rsidRPr="003A2AEA" w:rsidRDefault="003A2AEA" w:rsidP="003A2AEA">
      <w:pPr>
        <w:ind w:left="720"/>
        <w:rPr>
          <w:rFonts w:ascii="Times New Roman" w:hAnsi="Times New Roman"/>
          <w:sz w:val="24"/>
          <w:szCs w:val="24"/>
        </w:rPr>
      </w:pPr>
    </w:p>
    <w:p w14:paraId="59A6923B" w14:textId="77777777" w:rsidR="00BC552B" w:rsidRPr="005C66AB" w:rsidRDefault="00BC552B" w:rsidP="003A2AEA">
      <w:pPr>
        <w:pStyle w:val="NormalWeb"/>
        <w:ind w:left="720"/>
        <w:jc w:val="both"/>
      </w:pPr>
    </w:p>
    <w:p w14:paraId="6644D9FE" w14:textId="77777777" w:rsidR="00BC552B" w:rsidRPr="005C66AB" w:rsidRDefault="00BC552B" w:rsidP="00BC552B">
      <w:pPr>
        <w:pStyle w:val="NormalWeb"/>
        <w:ind w:left="720"/>
        <w:jc w:val="both"/>
      </w:pPr>
    </w:p>
    <w:p w14:paraId="7A6BC913" w14:textId="77777777" w:rsidR="00BC552B" w:rsidRPr="005C66AB" w:rsidRDefault="00BC552B" w:rsidP="00BC552B">
      <w:pPr>
        <w:pStyle w:val="NormalWeb"/>
        <w:ind w:left="720"/>
        <w:jc w:val="both"/>
      </w:pPr>
    </w:p>
    <w:p w14:paraId="140DDC02" w14:textId="77777777" w:rsidR="0019502F" w:rsidRPr="005C66AB" w:rsidRDefault="0019502F" w:rsidP="0019502F">
      <w:pPr>
        <w:pStyle w:val="NormalWeb"/>
        <w:ind w:left="720"/>
        <w:jc w:val="both"/>
      </w:pPr>
    </w:p>
    <w:p w14:paraId="72BE072C" w14:textId="77777777" w:rsidR="0019502F" w:rsidRDefault="0019502F" w:rsidP="003E25A4">
      <w:pPr>
        <w:pStyle w:val="NormalWeb"/>
        <w:ind w:left="720"/>
        <w:jc w:val="both"/>
        <w:rPr>
          <w:rFonts w:eastAsiaTheme="majorEastAsia"/>
        </w:rPr>
      </w:pPr>
    </w:p>
    <w:p w14:paraId="7F262A00" w14:textId="77777777" w:rsidR="00ED1F77" w:rsidRDefault="00ED1F77" w:rsidP="00ED1F77">
      <w:pPr>
        <w:pStyle w:val="NormalWeb"/>
        <w:jc w:val="both"/>
        <w:rPr>
          <w:rFonts w:eastAsiaTheme="majorEastAsia"/>
        </w:rPr>
      </w:pPr>
    </w:p>
    <w:p w14:paraId="76264E7D" w14:textId="77777777" w:rsidR="003E25A4" w:rsidRPr="005C66AB" w:rsidRDefault="003E25A4" w:rsidP="003E25A4">
      <w:pPr>
        <w:pStyle w:val="NormalWeb"/>
        <w:ind w:left="720"/>
        <w:jc w:val="both"/>
      </w:pPr>
    </w:p>
    <w:p w14:paraId="369E016E" w14:textId="77777777" w:rsidR="009B6DF8" w:rsidRPr="009B6DF8" w:rsidRDefault="009B6DF8" w:rsidP="003E25A4">
      <w:pPr>
        <w:pStyle w:val="NormalWeb"/>
        <w:ind w:left="720"/>
        <w:jc w:val="both"/>
        <w:rPr>
          <w:rFonts w:ascii="Arial" w:hAnsi="Arial" w:cs="Arial"/>
          <w:sz w:val="20"/>
          <w:szCs w:val="20"/>
        </w:rPr>
      </w:pPr>
    </w:p>
    <w:p w14:paraId="66A9A1B7" w14:textId="77777777" w:rsidR="009B6DF8" w:rsidRPr="00FB3A86" w:rsidRDefault="009B6DF8" w:rsidP="00441B6F">
      <w:pPr>
        <w:pStyle w:val="ReferHead"/>
        <w:spacing w:after="0"/>
        <w:jc w:val="both"/>
        <w:rPr>
          <w:rFonts w:ascii="Arial" w:hAnsi="Arial" w:cs="Arial"/>
        </w:rPr>
      </w:pPr>
    </w:p>
    <w:p w14:paraId="14ADD1A2" w14:textId="77777777" w:rsidR="00790ADA" w:rsidRPr="00FB3A86" w:rsidRDefault="00790ADA" w:rsidP="00441B6F">
      <w:pPr>
        <w:pStyle w:val="Body"/>
        <w:spacing w:after="0"/>
        <w:rPr>
          <w:rFonts w:ascii="Arial" w:hAnsi="Arial" w:cs="Arial"/>
        </w:rPr>
      </w:pPr>
    </w:p>
    <w:p w14:paraId="6B4FF9C2" w14:textId="77777777" w:rsidR="00AE1F16" w:rsidRDefault="00AE1F16" w:rsidP="00441B6F">
      <w:pPr>
        <w:pStyle w:val="Appendix"/>
        <w:spacing w:after="0"/>
        <w:jc w:val="both"/>
        <w:rPr>
          <w:rFonts w:ascii="Arial" w:hAnsi="Arial" w:cs="Arial"/>
        </w:rPr>
      </w:pPr>
    </w:p>
    <w:p w14:paraId="762D735F" w14:textId="7C381CA8" w:rsidR="004D4277" w:rsidRPr="00FB3A86" w:rsidRDefault="004D4277" w:rsidP="00441B6F">
      <w:pPr>
        <w:pStyle w:val="Appendix"/>
        <w:spacing w:after="0"/>
        <w:jc w:val="both"/>
        <w:rPr>
          <w:rFonts w:ascii="Arial" w:hAnsi="Arial" w:cs="Arial"/>
          <w:b w:val="0"/>
        </w:rPr>
        <w:sectPr w:rsidR="004D4277" w:rsidRPr="00FB3A86" w:rsidSect="00CC2455">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titlePg/>
          <w:docGrid w:linePitch="272"/>
        </w:sectPr>
      </w:pPr>
    </w:p>
    <w:p w14:paraId="48AFF2EE" w14:textId="77777777" w:rsidR="00B01FCD" w:rsidRPr="00FB3A86" w:rsidRDefault="00B01FCD" w:rsidP="00441B6F">
      <w:pPr>
        <w:pStyle w:val="Appendix"/>
        <w:spacing w:after="0"/>
        <w:jc w:val="both"/>
        <w:rPr>
          <w:rFonts w:ascii="Arial" w:hAnsi="Arial" w:cs="Arial"/>
          <w:b w:val="0"/>
        </w:rPr>
      </w:pPr>
    </w:p>
    <w:sectPr w:rsidR="00B01FCD" w:rsidRPr="00FB3A86" w:rsidSect="00CC24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33105" w14:textId="77777777" w:rsidR="00D24D23" w:rsidRDefault="00D24D23" w:rsidP="00C37E61">
      <w:r>
        <w:separator/>
      </w:r>
    </w:p>
  </w:endnote>
  <w:endnote w:type="continuationSeparator" w:id="0">
    <w:p w14:paraId="36E92158" w14:textId="77777777" w:rsidR="00D24D23" w:rsidRDefault="00D24D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0A5F" w14:textId="77777777" w:rsidR="00187B29" w:rsidRDefault="0018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BB93" w14:textId="77777777" w:rsidR="00187B29" w:rsidRDefault="00187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D876" w14:textId="77777777" w:rsidR="009E048A" w:rsidRDefault="009E048A">
    <w:pPr>
      <w:pStyle w:val="Footer"/>
      <w:rPr>
        <w:rFonts w:ascii="Arial" w:hAnsi="Arial" w:cs="Arial"/>
        <w:sz w:val="16"/>
      </w:rPr>
    </w:pPr>
  </w:p>
  <w:p w14:paraId="3A12E1E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1718695" w14:textId="77777777" w:rsidR="009E048A" w:rsidRDefault="009E048A">
    <w:pPr>
      <w:pStyle w:val="Footer"/>
      <w:rPr>
        <w:rFonts w:ascii="Arial" w:hAnsi="Arial" w:cs="Arial"/>
        <w:sz w:val="16"/>
      </w:rPr>
    </w:pPr>
  </w:p>
  <w:p w14:paraId="7B44BAE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FC6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E28E" w14:textId="77777777" w:rsidR="00D24D23" w:rsidRDefault="00D24D23" w:rsidP="00C37E61">
      <w:r>
        <w:separator/>
      </w:r>
    </w:p>
  </w:footnote>
  <w:footnote w:type="continuationSeparator" w:id="0">
    <w:p w14:paraId="47207119" w14:textId="77777777" w:rsidR="00D24D23" w:rsidRDefault="00D24D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6D4B" w14:textId="745CC777" w:rsidR="00187B29" w:rsidRDefault="00187B29">
    <w:pPr>
      <w:pStyle w:val="Header"/>
    </w:pPr>
    <w:r>
      <w:rPr>
        <w:noProof/>
      </w:rPr>
      <w:pict w14:anchorId="1AD83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6BDF" w14:textId="2A8E01F9" w:rsidR="00187B29" w:rsidRDefault="00187B29">
    <w:pPr>
      <w:pStyle w:val="Header"/>
    </w:pPr>
    <w:r>
      <w:rPr>
        <w:noProof/>
      </w:rPr>
      <w:pict w14:anchorId="3FF8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D3A7" w14:textId="554D8ACF" w:rsidR="00296529" w:rsidRPr="00296529" w:rsidRDefault="00187B29" w:rsidP="00296529">
    <w:pPr>
      <w:ind w:left="2160"/>
      <w:jc w:val="center"/>
      <w:rPr>
        <w:rFonts w:ascii="Times New Roman" w:eastAsia="Calibri" w:hAnsi="Times New Roman"/>
        <w:i/>
        <w:sz w:val="18"/>
        <w:szCs w:val="22"/>
      </w:rPr>
    </w:pPr>
    <w:r>
      <w:rPr>
        <w:noProof/>
      </w:rPr>
      <w:pict w14:anchorId="5523B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C6F90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F15A7B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D0A048"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AA19A7C" w14:textId="77777777" w:rsidR="00296529" w:rsidRDefault="00296529" w:rsidP="00296529">
    <w:pPr>
      <w:jc w:val="center"/>
      <w:rPr>
        <w:rFonts w:ascii="Times New Roman" w:eastAsia="Calibri" w:hAnsi="Times New Roman"/>
        <w:i/>
        <w:sz w:val="18"/>
        <w:szCs w:val="22"/>
      </w:rPr>
    </w:pPr>
  </w:p>
  <w:p w14:paraId="64B066F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6A8B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F3A3" w14:textId="69387ACA" w:rsidR="00187B29" w:rsidRDefault="00187B29">
    <w:pPr>
      <w:pStyle w:val="Header"/>
    </w:pPr>
    <w:r>
      <w:rPr>
        <w:noProof/>
      </w:rPr>
      <w:pict w14:anchorId="7CF8A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DA61" w14:textId="737A1CA7" w:rsidR="00187B29" w:rsidRDefault="00187B29">
    <w:pPr>
      <w:pStyle w:val="Header"/>
    </w:pPr>
    <w:r>
      <w:rPr>
        <w:noProof/>
      </w:rPr>
      <w:pict w14:anchorId="596E3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D466" w14:textId="1FEB69B2" w:rsidR="00187B29" w:rsidRDefault="00187B29">
    <w:pPr>
      <w:pStyle w:val="Header"/>
    </w:pPr>
    <w:r>
      <w:rPr>
        <w:noProof/>
      </w:rPr>
      <w:pict w14:anchorId="3BAAB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7C1C"/>
    <w:multiLevelType w:val="multilevel"/>
    <w:tmpl w:val="310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61137"/>
    <w:multiLevelType w:val="hybridMultilevel"/>
    <w:tmpl w:val="AC4A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195460"/>
    <w:multiLevelType w:val="hybridMultilevel"/>
    <w:tmpl w:val="78E2E1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6514737"/>
    <w:multiLevelType w:val="hybridMultilevel"/>
    <w:tmpl w:val="9AA0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D0431"/>
    <w:multiLevelType w:val="hybridMultilevel"/>
    <w:tmpl w:val="FB5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F2E5056"/>
    <w:multiLevelType w:val="multilevel"/>
    <w:tmpl w:val="821E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01AD6"/>
    <w:multiLevelType w:val="hybridMultilevel"/>
    <w:tmpl w:val="81C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0B968F6"/>
    <w:multiLevelType w:val="hybridMultilevel"/>
    <w:tmpl w:val="0B2E38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3E5E83"/>
    <w:multiLevelType w:val="hybridMultilevel"/>
    <w:tmpl w:val="479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4"/>
  </w:num>
  <w:num w:numId="10">
    <w:abstractNumId w:val="3"/>
  </w:num>
  <w:num w:numId="11">
    <w:abstractNumId w:val="27"/>
  </w:num>
  <w:num w:numId="12">
    <w:abstractNumId w:val="4"/>
  </w:num>
  <w:num w:numId="13">
    <w:abstractNumId w:val="24"/>
  </w:num>
  <w:num w:numId="14">
    <w:abstractNumId w:val="11"/>
  </w:num>
  <w:num w:numId="15">
    <w:abstractNumId w:val="30"/>
  </w:num>
  <w:num w:numId="16">
    <w:abstractNumId w:val="7"/>
  </w:num>
  <w:num w:numId="17">
    <w:abstractNumId w:val="31"/>
  </w:num>
  <w:num w:numId="18">
    <w:abstractNumId w:val="17"/>
  </w:num>
  <w:num w:numId="19">
    <w:abstractNumId w:val="37"/>
  </w:num>
  <w:num w:numId="20">
    <w:abstractNumId w:val="14"/>
  </w:num>
  <w:num w:numId="21">
    <w:abstractNumId w:val="12"/>
  </w:num>
  <w:num w:numId="22">
    <w:abstractNumId w:val="16"/>
  </w:num>
  <w:num w:numId="23">
    <w:abstractNumId w:val="28"/>
  </w:num>
  <w:num w:numId="24">
    <w:abstractNumId w:val="35"/>
  </w:num>
  <w:num w:numId="25">
    <w:abstractNumId w:val="5"/>
  </w:num>
  <w:num w:numId="26">
    <w:abstractNumId w:val="22"/>
  </w:num>
  <w:num w:numId="27">
    <w:abstractNumId w:val="29"/>
  </w:num>
  <w:num w:numId="28">
    <w:abstractNumId w:val="36"/>
  </w:num>
  <w:num w:numId="29">
    <w:abstractNumId w:val="33"/>
  </w:num>
  <w:num w:numId="30">
    <w:abstractNumId w:val="13"/>
  </w:num>
  <w:num w:numId="31">
    <w:abstractNumId w:val="9"/>
  </w:num>
  <w:num w:numId="32">
    <w:abstractNumId w:val="1"/>
  </w:num>
  <w:num w:numId="33">
    <w:abstractNumId w:val="25"/>
  </w:num>
  <w:num w:numId="34">
    <w:abstractNumId w:val="26"/>
  </w:num>
  <w:num w:numId="35">
    <w:abstractNumId w:val="23"/>
  </w:num>
  <w:num w:numId="36">
    <w:abstractNumId w:val="19"/>
  </w:num>
  <w:num w:numId="37">
    <w:abstractNumId w:val="18"/>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3B9"/>
    <w:rsid w:val="00030174"/>
    <w:rsid w:val="0004579C"/>
    <w:rsid w:val="000463A7"/>
    <w:rsid w:val="00090655"/>
    <w:rsid w:val="000A47FA"/>
    <w:rsid w:val="000A65D3"/>
    <w:rsid w:val="000B1E33"/>
    <w:rsid w:val="000D689F"/>
    <w:rsid w:val="000E7B7B"/>
    <w:rsid w:val="000E7D62"/>
    <w:rsid w:val="000F4889"/>
    <w:rsid w:val="001012C9"/>
    <w:rsid w:val="00103357"/>
    <w:rsid w:val="001155E2"/>
    <w:rsid w:val="00123C9F"/>
    <w:rsid w:val="00126190"/>
    <w:rsid w:val="00130F17"/>
    <w:rsid w:val="001320BF"/>
    <w:rsid w:val="00163BC4"/>
    <w:rsid w:val="001879C3"/>
    <w:rsid w:val="00187B29"/>
    <w:rsid w:val="00191062"/>
    <w:rsid w:val="00192B72"/>
    <w:rsid w:val="0019502F"/>
    <w:rsid w:val="001A29D8"/>
    <w:rsid w:val="001A5CAA"/>
    <w:rsid w:val="001B0427"/>
    <w:rsid w:val="001D3A51"/>
    <w:rsid w:val="001E10D2"/>
    <w:rsid w:val="001E25B4"/>
    <w:rsid w:val="001E44FE"/>
    <w:rsid w:val="00200595"/>
    <w:rsid w:val="00204835"/>
    <w:rsid w:val="00231920"/>
    <w:rsid w:val="0023195C"/>
    <w:rsid w:val="00241E3A"/>
    <w:rsid w:val="0024282C"/>
    <w:rsid w:val="002460DC"/>
    <w:rsid w:val="00250985"/>
    <w:rsid w:val="002556F6"/>
    <w:rsid w:val="00262A7B"/>
    <w:rsid w:val="00273B77"/>
    <w:rsid w:val="00283105"/>
    <w:rsid w:val="00284C4C"/>
    <w:rsid w:val="00287E68"/>
    <w:rsid w:val="00296529"/>
    <w:rsid w:val="002A1BA9"/>
    <w:rsid w:val="002B27FB"/>
    <w:rsid w:val="002B685A"/>
    <w:rsid w:val="002C57D2"/>
    <w:rsid w:val="002D1014"/>
    <w:rsid w:val="002E0D56"/>
    <w:rsid w:val="00315186"/>
    <w:rsid w:val="0033343E"/>
    <w:rsid w:val="003512C2"/>
    <w:rsid w:val="00353E6D"/>
    <w:rsid w:val="00371FB6"/>
    <w:rsid w:val="003763C1"/>
    <w:rsid w:val="00376BBE"/>
    <w:rsid w:val="0038511D"/>
    <w:rsid w:val="0039224F"/>
    <w:rsid w:val="003A2AEA"/>
    <w:rsid w:val="003A43A4"/>
    <w:rsid w:val="003A733C"/>
    <w:rsid w:val="003A7E18"/>
    <w:rsid w:val="003C4C86"/>
    <w:rsid w:val="003C6258"/>
    <w:rsid w:val="003D24B8"/>
    <w:rsid w:val="003E08FD"/>
    <w:rsid w:val="003E25A4"/>
    <w:rsid w:val="003E2904"/>
    <w:rsid w:val="00401927"/>
    <w:rsid w:val="00407E9D"/>
    <w:rsid w:val="0041027F"/>
    <w:rsid w:val="00412475"/>
    <w:rsid w:val="00423789"/>
    <w:rsid w:val="00427548"/>
    <w:rsid w:val="00440F43"/>
    <w:rsid w:val="00441B6F"/>
    <w:rsid w:val="00446221"/>
    <w:rsid w:val="00450E62"/>
    <w:rsid w:val="004539DB"/>
    <w:rsid w:val="00460818"/>
    <w:rsid w:val="00471A80"/>
    <w:rsid w:val="00487FAB"/>
    <w:rsid w:val="004D305E"/>
    <w:rsid w:val="004D4277"/>
    <w:rsid w:val="00502516"/>
    <w:rsid w:val="00503E32"/>
    <w:rsid w:val="00505F06"/>
    <w:rsid w:val="00506828"/>
    <w:rsid w:val="00515D4D"/>
    <w:rsid w:val="0053056E"/>
    <w:rsid w:val="00551F45"/>
    <w:rsid w:val="00554FDA"/>
    <w:rsid w:val="005800F7"/>
    <w:rsid w:val="005A700E"/>
    <w:rsid w:val="005A7EAD"/>
    <w:rsid w:val="005C784C"/>
    <w:rsid w:val="005D17F6"/>
    <w:rsid w:val="005E5539"/>
    <w:rsid w:val="005F24AA"/>
    <w:rsid w:val="00602BF5"/>
    <w:rsid w:val="00617FDD"/>
    <w:rsid w:val="00623A6E"/>
    <w:rsid w:val="00633614"/>
    <w:rsid w:val="00633F68"/>
    <w:rsid w:val="00636EB2"/>
    <w:rsid w:val="006375B8"/>
    <w:rsid w:val="00655023"/>
    <w:rsid w:val="0066510A"/>
    <w:rsid w:val="00673F9F"/>
    <w:rsid w:val="00686953"/>
    <w:rsid w:val="00687DEA"/>
    <w:rsid w:val="00687E67"/>
    <w:rsid w:val="006967F7"/>
    <w:rsid w:val="006A250C"/>
    <w:rsid w:val="006B21D3"/>
    <w:rsid w:val="006B57D0"/>
    <w:rsid w:val="006D30FF"/>
    <w:rsid w:val="006D6940"/>
    <w:rsid w:val="006F11EC"/>
    <w:rsid w:val="0070082C"/>
    <w:rsid w:val="007260FC"/>
    <w:rsid w:val="00732F77"/>
    <w:rsid w:val="007369E6"/>
    <w:rsid w:val="00740155"/>
    <w:rsid w:val="00746E59"/>
    <w:rsid w:val="00754C9A"/>
    <w:rsid w:val="0075599A"/>
    <w:rsid w:val="00757AD1"/>
    <w:rsid w:val="00761D52"/>
    <w:rsid w:val="0077749E"/>
    <w:rsid w:val="00785046"/>
    <w:rsid w:val="00790ADA"/>
    <w:rsid w:val="007C008D"/>
    <w:rsid w:val="007D2288"/>
    <w:rsid w:val="007E088F"/>
    <w:rsid w:val="007F53B6"/>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0196"/>
    <w:rsid w:val="009500A6"/>
    <w:rsid w:val="0095170B"/>
    <w:rsid w:val="00957C18"/>
    <w:rsid w:val="009630C1"/>
    <w:rsid w:val="009659BA"/>
    <w:rsid w:val="00983040"/>
    <w:rsid w:val="009B3FB9"/>
    <w:rsid w:val="009B6DF8"/>
    <w:rsid w:val="009C2465"/>
    <w:rsid w:val="009D35A0"/>
    <w:rsid w:val="009D4BB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3C4C"/>
    <w:rsid w:val="00AE008F"/>
    <w:rsid w:val="00AE1257"/>
    <w:rsid w:val="00AE1F16"/>
    <w:rsid w:val="00AF287F"/>
    <w:rsid w:val="00AF7C38"/>
    <w:rsid w:val="00B01FCD"/>
    <w:rsid w:val="00B1776C"/>
    <w:rsid w:val="00B52583"/>
    <w:rsid w:val="00B52896"/>
    <w:rsid w:val="00B75751"/>
    <w:rsid w:val="00B95236"/>
    <w:rsid w:val="00B96BD9"/>
    <w:rsid w:val="00BA1B01"/>
    <w:rsid w:val="00BA2641"/>
    <w:rsid w:val="00BA6E49"/>
    <w:rsid w:val="00BB37AA"/>
    <w:rsid w:val="00BC53A0"/>
    <w:rsid w:val="00BC552B"/>
    <w:rsid w:val="00BE62AD"/>
    <w:rsid w:val="00BF121F"/>
    <w:rsid w:val="00BF1F80"/>
    <w:rsid w:val="00C02333"/>
    <w:rsid w:val="00C166EF"/>
    <w:rsid w:val="00C17EB0"/>
    <w:rsid w:val="00C27F5F"/>
    <w:rsid w:val="00C30A0F"/>
    <w:rsid w:val="00C37E61"/>
    <w:rsid w:val="00C63C22"/>
    <w:rsid w:val="00C6724A"/>
    <w:rsid w:val="00C70F1B"/>
    <w:rsid w:val="00C71A47"/>
    <w:rsid w:val="00C7464C"/>
    <w:rsid w:val="00C85588"/>
    <w:rsid w:val="00CC2455"/>
    <w:rsid w:val="00CD6755"/>
    <w:rsid w:val="00CD6856"/>
    <w:rsid w:val="00CE0089"/>
    <w:rsid w:val="00CE793C"/>
    <w:rsid w:val="00CF193C"/>
    <w:rsid w:val="00D10FA4"/>
    <w:rsid w:val="00D173F1"/>
    <w:rsid w:val="00D24D23"/>
    <w:rsid w:val="00D60C02"/>
    <w:rsid w:val="00D74CB0"/>
    <w:rsid w:val="00D8295D"/>
    <w:rsid w:val="00D86785"/>
    <w:rsid w:val="00DC2A65"/>
    <w:rsid w:val="00DE15F0"/>
    <w:rsid w:val="00DE5663"/>
    <w:rsid w:val="00DE78AA"/>
    <w:rsid w:val="00E053D0"/>
    <w:rsid w:val="00E15994"/>
    <w:rsid w:val="00E3114E"/>
    <w:rsid w:val="00E31A70"/>
    <w:rsid w:val="00E35B02"/>
    <w:rsid w:val="00E42B69"/>
    <w:rsid w:val="00E54EF2"/>
    <w:rsid w:val="00E66496"/>
    <w:rsid w:val="00E66B35"/>
    <w:rsid w:val="00E66E10"/>
    <w:rsid w:val="00E769F6"/>
    <w:rsid w:val="00E8407C"/>
    <w:rsid w:val="00E84F3C"/>
    <w:rsid w:val="00EA012C"/>
    <w:rsid w:val="00EC6A55"/>
    <w:rsid w:val="00ED0288"/>
    <w:rsid w:val="00ED1F77"/>
    <w:rsid w:val="00EE52CB"/>
    <w:rsid w:val="00EF581D"/>
    <w:rsid w:val="00EF7FD8"/>
    <w:rsid w:val="00F06F59"/>
    <w:rsid w:val="00F17988"/>
    <w:rsid w:val="00F17D8F"/>
    <w:rsid w:val="00F469F0"/>
    <w:rsid w:val="00F53273"/>
    <w:rsid w:val="00F755E4"/>
    <w:rsid w:val="00F77D02"/>
    <w:rsid w:val="00FB00C8"/>
    <w:rsid w:val="00FB3A86"/>
    <w:rsid w:val="00FC2821"/>
    <w:rsid w:val="00FD36C8"/>
    <w:rsid w:val="00FF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ules>
    </o:shapelayout>
  </w:shapeDefaults>
  <w:decimalSymbol w:val="."/>
  <w:listSeparator w:val=","/>
  <w14:docId w14:val="223DC2B5"/>
  <w15:docId w15:val="{A9216F5F-17D9-4532-9C50-59DFEC49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41E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41E3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1E3A"/>
    <w:rPr>
      <w:b/>
      <w:bCs/>
    </w:rPr>
  </w:style>
  <w:style w:type="paragraph" w:styleId="NormalWeb">
    <w:name w:val="Normal (Web)"/>
    <w:basedOn w:val="Normal"/>
    <w:uiPriority w:val="99"/>
    <w:unhideWhenUsed/>
    <w:rsid w:val="00785046"/>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5800F7"/>
    <w:rPr>
      <w:rFonts w:ascii="Helvetica" w:hAnsi="Helvetica"/>
    </w:rPr>
  </w:style>
  <w:style w:type="paragraph" w:styleId="ListParagraph">
    <w:name w:val="List Paragraph"/>
    <w:basedOn w:val="Normal"/>
    <w:uiPriority w:val="34"/>
    <w:qFormat/>
    <w:rsid w:val="003A2AEA"/>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5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22034">
      <w:bodyDiv w:val="1"/>
      <w:marLeft w:val="0"/>
      <w:marRight w:val="0"/>
      <w:marTop w:val="0"/>
      <w:marBottom w:val="0"/>
      <w:divBdr>
        <w:top w:val="none" w:sz="0" w:space="0" w:color="auto"/>
        <w:left w:val="none" w:sz="0" w:space="0" w:color="auto"/>
        <w:bottom w:val="none" w:sz="0" w:space="0" w:color="auto"/>
        <w:right w:val="none" w:sz="0" w:space="0" w:color="auto"/>
      </w:divBdr>
    </w:div>
    <w:div w:id="123470726">
      <w:bodyDiv w:val="1"/>
      <w:marLeft w:val="0"/>
      <w:marRight w:val="0"/>
      <w:marTop w:val="0"/>
      <w:marBottom w:val="0"/>
      <w:divBdr>
        <w:top w:val="none" w:sz="0" w:space="0" w:color="auto"/>
        <w:left w:val="none" w:sz="0" w:space="0" w:color="auto"/>
        <w:bottom w:val="none" w:sz="0" w:space="0" w:color="auto"/>
        <w:right w:val="none" w:sz="0" w:space="0" w:color="auto"/>
      </w:divBdr>
      <w:divsChild>
        <w:div w:id="367993235">
          <w:marLeft w:val="0"/>
          <w:marRight w:val="0"/>
          <w:marTop w:val="0"/>
          <w:marBottom w:val="0"/>
          <w:divBdr>
            <w:top w:val="none" w:sz="0" w:space="0" w:color="auto"/>
            <w:left w:val="none" w:sz="0" w:space="0" w:color="auto"/>
            <w:bottom w:val="none" w:sz="0" w:space="0" w:color="auto"/>
            <w:right w:val="none" w:sz="0" w:space="0" w:color="auto"/>
          </w:divBdr>
        </w:div>
      </w:divsChild>
    </w:div>
    <w:div w:id="133185432">
      <w:bodyDiv w:val="1"/>
      <w:marLeft w:val="0"/>
      <w:marRight w:val="0"/>
      <w:marTop w:val="0"/>
      <w:marBottom w:val="0"/>
      <w:divBdr>
        <w:top w:val="none" w:sz="0" w:space="0" w:color="auto"/>
        <w:left w:val="none" w:sz="0" w:space="0" w:color="auto"/>
        <w:bottom w:val="none" w:sz="0" w:space="0" w:color="auto"/>
        <w:right w:val="none" w:sz="0" w:space="0" w:color="auto"/>
      </w:divBdr>
      <w:divsChild>
        <w:div w:id="474183979">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0854719">
      <w:bodyDiv w:val="1"/>
      <w:marLeft w:val="0"/>
      <w:marRight w:val="0"/>
      <w:marTop w:val="0"/>
      <w:marBottom w:val="0"/>
      <w:divBdr>
        <w:top w:val="none" w:sz="0" w:space="0" w:color="auto"/>
        <w:left w:val="none" w:sz="0" w:space="0" w:color="auto"/>
        <w:bottom w:val="none" w:sz="0" w:space="0" w:color="auto"/>
        <w:right w:val="none" w:sz="0" w:space="0" w:color="auto"/>
      </w:divBdr>
    </w:div>
    <w:div w:id="871503412">
      <w:bodyDiv w:val="1"/>
      <w:marLeft w:val="0"/>
      <w:marRight w:val="0"/>
      <w:marTop w:val="0"/>
      <w:marBottom w:val="0"/>
      <w:divBdr>
        <w:top w:val="none" w:sz="0" w:space="0" w:color="auto"/>
        <w:left w:val="none" w:sz="0" w:space="0" w:color="auto"/>
        <w:bottom w:val="none" w:sz="0" w:space="0" w:color="auto"/>
        <w:right w:val="none" w:sz="0" w:space="0" w:color="auto"/>
      </w:divBdr>
    </w:div>
    <w:div w:id="9662750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444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80674">
      <w:bodyDiv w:val="1"/>
      <w:marLeft w:val="0"/>
      <w:marRight w:val="0"/>
      <w:marTop w:val="0"/>
      <w:marBottom w:val="0"/>
      <w:divBdr>
        <w:top w:val="none" w:sz="0" w:space="0" w:color="auto"/>
        <w:left w:val="none" w:sz="0" w:space="0" w:color="auto"/>
        <w:bottom w:val="none" w:sz="0" w:space="0" w:color="auto"/>
        <w:right w:val="none" w:sz="0" w:space="0" w:color="auto"/>
      </w:divBdr>
      <w:divsChild>
        <w:div w:id="6566150">
          <w:marLeft w:val="0"/>
          <w:marRight w:val="0"/>
          <w:marTop w:val="0"/>
          <w:marBottom w:val="0"/>
          <w:divBdr>
            <w:top w:val="none" w:sz="0" w:space="0" w:color="auto"/>
            <w:left w:val="none" w:sz="0" w:space="0" w:color="auto"/>
            <w:bottom w:val="none" w:sz="0" w:space="0" w:color="auto"/>
            <w:right w:val="none" w:sz="0" w:space="0" w:color="auto"/>
          </w:divBdr>
        </w:div>
      </w:divsChild>
    </w:div>
    <w:div w:id="1288926093">
      <w:bodyDiv w:val="1"/>
      <w:marLeft w:val="0"/>
      <w:marRight w:val="0"/>
      <w:marTop w:val="0"/>
      <w:marBottom w:val="0"/>
      <w:divBdr>
        <w:top w:val="none" w:sz="0" w:space="0" w:color="auto"/>
        <w:left w:val="none" w:sz="0" w:space="0" w:color="auto"/>
        <w:bottom w:val="none" w:sz="0" w:space="0" w:color="auto"/>
        <w:right w:val="none" w:sz="0" w:space="0" w:color="auto"/>
      </w:divBdr>
    </w:div>
    <w:div w:id="13248896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84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8274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93/CDN/NZAA169" TargetMode="External"/><Relationship Id="rId26" Type="http://schemas.openxmlformats.org/officeDocument/2006/relationships/hyperlink" Target="https://doi.org/10.1136/BMJ.314.7093.1545" TargetMode="External"/><Relationship Id="rId3" Type="http://schemas.openxmlformats.org/officeDocument/2006/relationships/styles" Target="styles.xml"/><Relationship Id="rId21" Type="http://schemas.openxmlformats.org/officeDocument/2006/relationships/hyperlink" Target="https://doi.org/10.26656/fr.2017.8(S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93/NUTRIT/NUV027" TargetMode="External"/><Relationship Id="rId25" Type="http://schemas.openxmlformats.org/officeDocument/2006/relationships/hyperlink" Target="https://doi.org/10.1146/annurev-publhealth-031816-0446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1753-6405.12158" TargetMode="External"/><Relationship Id="rId20" Type="http://schemas.openxmlformats.org/officeDocument/2006/relationships/hyperlink" Target="https://doi.org/10.1177/037957212092006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140-6736(13)60843-0/ATTACHMENT/C6193216-9BD2-45E0-915E-8D56FBB4A411/MMC1.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86/S40795-017-0136-4/FIGURES/6" TargetMode="External"/><Relationship Id="rId28" Type="http://schemas.openxmlformats.org/officeDocument/2006/relationships/hyperlink" Target="https://doi.org/10.3945/JN.109.110536" TargetMode="External"/><Relationship Id="rId10" Type="http://schemas.openxmlformats.org/officeDocument/2006/relationships/footer" Target="footer1.xml"/><Relationship Id="rId19" Type="http://schemas.openxmlformats.org/officeDocument/2006/relationships/hyperlink" Target="https://doi.org/10.1016/J.FOODPOL.2020.10198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945/AJCN.114.104380" TargetMode="External"/><Relationship Id="rId27" Type="http://schemas.openxmlformats.org/officeDocument/2006/relationships/hyperlink" Target="https://doi.org/10.1111/MCN.12080;PAGEGROUP:STRING:PUBLICATION"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BA84-E355-4845-9D86-3819A5A4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352</TotalTime>
  <Pages>11</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24207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2025-05-30T08:12:00Z</dcterms:created>
  <dcterms:modified xsi:type="dcterms:W3CDTF">2025-06-19T10:20:00Z</dcterms:modified>
</cp:coreProperties>
</file>