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94061" w14:textId="0F834131" w:rsidR="000B1D44" w:rsidRDefault="007A2EFC">
      <w:pPr>
        <w:tabs>
          <w:tab w:val="left" w:pos="8505"/>
        </w:tabs>
        <w:jc w:val="right"/>
        <w:rPr>
          <w:rFonts w:ascii="Arial" w:eastAsia="Arial" w:hAnsi="Arial" w:cs="Arial"/>
          <w:b/>
          <w:color w:val="000000"/>
          <w:sz w:val="36"/>
          <w:szCs w:val="36"/>
        </w:rPr>
      </w:pPr>
      <w:r w:rsidRPr="007A2EFC">
        <w:rPr>
          <w:rFonts w:ascii="Arial" w:eastAsia="Arial" w:hAnsi="Arial" w:cs="Arial"/>
          <w:b/>
          <w:sz w:val="36"/>
          <w:szCs w:val="36"/>
        </w:rPr>
        <w:t xml:space="preserve">Employer Feedback </w:t>
      </w:r>
      <w:proofErr w:type="gramStart"/>
      <w:r w:rsidRPr="007A2EFC">
        <w:rPr>
          <w:rFonts w:ascii="Arial" w:eastAsia="Arial" w:hAnsi="Arial" w:cs="Arial"/>
          <w:b/>
          <w:sz w:val="36"/>
          <w:szCs w:val="36"/>
        </w:rPr>
        <w:t>On</w:t>
      </w:r>
      <w:proofErr w:type="gramEnd"/>
      <w:r w:rsidRPr="007A2EFC">
        <w:rPr>
          <w:rFonts w:ascii="Arial" w:eastAsia="Arial" w:hAnsi="Arial" w:cs="Arial"/>
          <w:b/>
          <w:sz w:val="36"/>
          <w:szCs w:val="36"/>
        </w:rPr>
        <w:t xml:space="preserve"> The Performance Of Beed Graduates</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30332398" w14:textId="77777777" w:rsidR="000B1D44" w:rsidRDefault="000B1D44">
      <w:pPr>
        <w:pBdr>
          <w:top w:val="nil"/>
          <w:left w:val="nil"/>
          <w:bottom w:val="nil"/>
          <w:right w:val="nil"/>
          <w:between w:val="nil"/>
        </w:pBdr>
        <w:jc w:val="both"/>
        <w:rPr>
          <w:rFonts w:ascii="Arial" w:eastAsia="Arial" w:hAnsi="Arial" w:cs="Arial"/>
          <w:color w:val="000000"/>
        </w:rPr>
      </w:pPr>
    </w:p>
    <w:p w14:paraId="34E93BA9" w14:textId="77777777" w:rsidR="000B1D44" w:rsidRDefault="00DA622F">
      <w:pPr>
        <w:pBdr>
          <w:top w:val="nil"/>
          <w:left w:val="nil"/>
          <w:bottom w:val="nil"/>
          <w:right w:val="nil"/>
          <w:between w:val="nil"/>
        </w:pBdr>
        <w:jc w:val="both"/>
        <w:rPr>
          <w:rFonts w:ascii="Arial" w:eastAsia="Arial" w:hAnsi="Arial" w:cs="Arial"/>
          <w:color w:val="000000"/>
          <w:sz w:val="16"/>
          <w:szCs w:val="16"/>
        </w:rPr>
        <w:sectPr w:rsidR="000B1D44" w:rsidSect="00867AF2">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PH"/>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0F401AC9" w:rsidR="000B1D44" w:rsidRDefault="007C5F1E" w:rsidP="007C5F1E">
            <w:pPr>
              <w:rPr>
                <w:rFonts w:ascii="Arial" w:eastAsia="Arial" w:hAnsi="Arial" w:cs="Arial"/>
              </w:rPr>
            </w:pPr>
            <w:r w:rsidRPr="007C5F1E">
              <w:rPr>
                <w:rFonts w:ascii="Arial" w:eastAsia="Arial" w:hAnsi="Arial" w:cs="Arial"/>
              </w:rPr>
              <w:t xml:space="preserve">This study examined employer feedback on the performance of BEED graduates from Davao Oriental State University – </w:t>
            </w:r>
            <w:proofErr w:type="spellStart"/>
            <w:r w:rsidRPr="007C5F1E">
              <w:rPr>
                <w:rFonts w:ascii="Arial" w:eastAsia="Arial" w:hAnsi="Arial" w:cs="Arial"/>
              </w:rPr>
              <w:t>Cateel</w:t>
            </w:r>
            <w:proofErr w:type="spellEnd"/>
            <w:r w:rsidRPr="007C5F1E">
              <w:rPr>
                <w:rFonts w:ascii="Arial" w:eastAsia="Arial" w:hAnsi="Arial" w:cs="Arial"/>
              </w:rPr>
              <w:t xml:space="preserve"> Campus, using Human Capital Theory as its framework. Surveying 37 school-based supervisors, it assessed graduate competencies in nine key areas. Results showed very satisfactory performance (x̄ = 4.44), with highest ratings in collaboration and leadership. No significant differences were found across demographic groups, indicating consistent performance. The findings affirm the BEED program’s effectiveness and suggest enhancing training in assessment, differentiated </w:t>
            </w:r>
            <w:r>
              <w:rPr>
                <w:rFonts w:ascii="Arial" w:eastAsia="Arial" w:hAnsi="Arial" w:cs="Arial"/>
              </w:rPr>
              <w:t>instruction, and collaboration.</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26188D56" w:rsidR="000B1D44" w:rsidRDefault="00DA622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345107" w:rsidRPr="00345107">
        <w:rPr>
          <w:rFonts w:ascii="Arial" w:eastAsia="Arial" w:hAnsi="Arial" w:cs="Arial"/>
          <w:i/>
          <w:color w:val="000000"/>
        </w:rPr>
        <w:t>employer feedback, human capital theory, BEED graduates</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2521B34" w14:textId="26DE61E2" w:rsidR="007C5F1E" w:rsidRPr="007C5F1E" w:rsidRDefault="007C5F1E" w:rsidP="007C5F1E">
      <w:pPr>
        <w:ind w:firstLine="720"/>
        <w:jc w:val="both"/>
        <w:rPr>
          <w:rFonts w:ascii="Arial" w:eastAsia="Arial" w:hAnsi="Arial" w:cs="Arial"/>
        </w:rPr>
      </w:pPr>
      <w:r w:rsidRPr="007C5F1E">
        <w:rPr>
          <w:rFonts w:ascii="Arial" w:eastAsia="Arial" w:hAnsi="Arial" w:cs="Arial"/>
        </w:rPr>
        <w:t>Teacher performance significantly affects student outcomes and national development (Hattie, 2018). However, various challenges—such as limited professional development, inadequate resources, and weak support systems—continue to hinder teacher effectiveness (Hennessy et al., 2022). Globally and locally, reforms remain complex and diffi</w:t>
      </w:r>
      <w:r>
        <w:rPr>
          <w:rFonts w:ascii="Arial" w:eastAsia="Arial" w:hAnsi="Arial" w:cs="Arial"/>
        </w:rPr>
        <w:t>cult to sustain (</w:t>
      </w:r>
      <w:proofErr w:type="spellStart"/>
      <w:r>
        <w:rPr>
          <w:rFonts w:ascii="Arial" w:eastAsia="Arial" w:hAnsi="Arial" w:cs="Arial"/>
        </w:rPr>
        <w:t>Manfra</w:t>
      </w:r>
      <w:proofErr w:type="spellEnd"/>
      <w:r>
        <w:rPr>
          <w:rFonts w:ascii="Arial" w:eastAsia="Arial" w:hAnsi="Arial" w:cs="Arial"/>
        </w:rPr>
        <w:t>, 2019).</w:t>
      </w:r>
    </w:p>
    <w:p w14:paraId="34F6F1AC" w14:textId="59BE88AA" w:rsidR="007C5F1E" w:rsidRPr="007C5F1E" w:rsidRDefault="007C5F1E" w:rsidP="007C5F1E">
      <w:pPr>
        <w:ind w:firstLine="720"/>
        <w:jc w:val="both"/>
        <w:rPr>
          <w:rFonts w:ascii="Arial" w:eastAsia="Arial" w:hAnsi="Arial" w:cs="Arial"/>
        </w:rPr>
      </w:pPr>
      <w:r w:rsidRPr="007C5F1E">
        <w:rPr>
          <w:rFonts w:ascii="Arial" w:eastAsia="Arial" w:hAnsi="Arial" w:cs="Arial"/>
        </w:rPr>
        <w:t>In countries like Indonesia and many developing nations, poor instruction is often linked to insufficient training, low qualifications, and lack of classroom management (</w:t>
      </w:r>
      <w:proofErr w:type="spellStart"/>
      <w:r w:rsidRPr="007C5F1E">
        <w:rPr>
          <w:rFonts w:ascii="Arial" w:eastAsia="Arial" w:hAnsi="Arial" w:cs="Arial"/>
        </w:rPr>
        <w:t>Nurhadi</w:t>
      </w:r>
      <w:proofErr w:type="spellEnd"/>
      <w:r w:rsidRPr="007C5F1E">
        <w:rPr>
          <w:rFonts w:ascii="Arial" w:eastAsia="Arial" w:hAnsi="Arial" w:cs="Arial"/>
        </w:rPr>
        <w:t xml:space="preserve"> et al., 2017; Berry, 2020). These are worsened by the absence of continuous develo</w:t>
      </w:r>
      <w:r>
        <w:rPr>
          <w:rFonts w:ascii="Arial" w:eastAsia="Arial" w:hAnsi="Arial" w:cs="Arial"/>
        </w:rPr>
        <w:t>pment and effective evaluation.</w:t>
      </w:r>
    </w:p>
    <w:p w14:paraId="690D96AF" w14:textId="044FA718" w:rsidR="007C5F1E" w:rsidRPr="007C5F1E" w:rsidRDefault="007C5F1E" w:rsidP="007C5F1E">
      <w:pPr>
        <w:ind w:firstLine="720"/>
        <w:jc w:val="both"/>
        <w:rPr>
          <w:rFonts w:ascii="Arial" w:eastAsia="Arial" w:hAnsi="Arial" w:cs="Arial"/>
        </w:rPr>
      </w:pPr>
      <w:r w:rsidRPr="007C5F1E">
        <w:rPr>
          <w:rFonts w:ascii="Arial" w:eastAsia="Arial" w:hAnsi="Arial" w:cs="Arial"/>
        </w:rPr>
        <w:t>In the Philippines, teacher performance remains a key concern, especially in rural areas. Despite efforts like the K-12 reform and the Philippine Professional Standards for Teachers (PPST), issues such as heavy workloads, limited training access, and resource shortages persist (</w:t>
      </w:r>
      <w:proofErr w:type="spellStart"/>
      <w:r w:rsidRPr="007C5F1E">
        <w:rPr>
          <w:rFonts w:ascii="Arial" w:eastAsia="Arial" w:hAnsi="Arial" w:cs="Arial"/>
        </w:rPr>
        <w:t>Abay</w:t>
      </w:r>
      <w:proofErr w:type="spellEnd"/>
      <w:r w:rsidRPr="007C5F1E">
        <w:rPr>
          <w:rFonts w:ascii="Arial" w:eastAsia="Arial" w:hAnsi="Arial" w:cs="Arial"/>
        </w:rPr>
        <w:t xml:space="preserve"> &amp; </w:t>
      </w:r>
      <w:proofErr w:type="spellStart"/>
      <w:r w:rsidRPr="007C5F1E">
        <w:rPr>
          <w:rFonts w:ascii="Arial" w:eastAsia="Arial" w:hAnsi="Arial" w:cs="Arial"/>
        </w:rPr>
        <w:t>Morallo</w:t>
      </w:r>
      <w:proofErr w:type="spellEnd"/>
      <w:r w:rsidRPr="007C5F1E">
        <w:rPr>
          <w:rFonts w:ascii="Arial" w:eastAsia="Arial" w:hAnsi="Arial" w:cs="Arial"/>
        </w:rPr>
        <w:t>, 2019; Hester et al., 2020). Disparities in teacher quality continue to widen educational gaps, highlighting the need for targeted interventions (Kaiser &amp; Köni</w:t>
      </w:r>
      <w:r>
        <w:rPr>
          <w:rFonts w:ascii="Arial" w:eastAsia="Arial" w:hAnsi="Arial" w:cs="Arial"/>
        </w:rPr>
        <w:t xml:space="preserve">g, 2019; Okeke &amp; </w:t>
      </w:r>
      <w:proofErr w:type="spellStart"/>
      <w:r>
        <w:rPr>
          <w:rFonts w:ascii="Arial" w:eastAsia="Arial" w:hAnsi="Arial" w:cs="Arial"/>
        </w:rPr>
        <w:t>Mtyuda</w:t>
      </w:r>
      <w:proofErr w:type="spellEnd"/>
      <w:r>
        <w:rPr>
          <w:rFonts w:ascii="Arial" w:eastAsia="Arial" w:hAnsi="Arial" w:cs="Arial"/>
        </w:rPr>
        <w:t>, 2017).</w:t>
      </w:r>
    </w:p>
    <w:p w14:paraId="35B4082D" w14:textId="1E1FBFA6" w:rsidR="007C5F1E" w:rsidRPr="007C5F1E" w:rsidRDefault="007C5F1E" w:rsidP="007C5F1E">
      <w:pPr>
        <w:ind w:firstLine="720"/>
        <w:jc w:val="both"/>
        <w:rPr>
          <w:rFonts w:ascii="Arial" w:eastAsia="Arial" w:hAnsi="Arial" w:cs="Arial"/>
        </w:rPr>
      </w:pPr>
      <w:r w:rsidRPr="007C5F1E">
        <w:rPr>
          <w:rFonts w:ascii="Arial" w:eastAsia="Arial" w:hAnsi="Arial" w:cs="Arial"/>
        </w:rPr>
        <w:t>One strategy for improvement is employer feedback, particularly on BEED graduates. Employers can offer insights into real-world teaching demands and help refine teacher education programs (</w:t>
      </w:r>
      <w:proofErr w:type="spellStart"/>
      <w:r w:rsidRPr="007C5F1E">
        <w:rPr>
          <w:rFonts w:ascii="Arial" w:eastAsia="Arial" w:hAnsi="Arial" w:cs="Arial"/>
        </w:rPr>
        <w:t>Okolie</w:t>
      </w:r>
      <w:proofErr w:type="spellEnd"/>
      <w:r w:rsidRPr="007C5F1E">
        <w:rPr>
          <w:rFonts w:ascii="Arial" w:eastAsia="Arial" w:hAnsi="Arial" w:cs="Arial"/>
        </w:rPr>
        <w:t xml:space="preserve"> et al., 2019; Baird &amp; </w:t>
      </w:r>
      <w:proofErr w:type="spellStart"/>
      <w:r w:rsidRPr="007C5F1E">
        <w:rPr>
          <w:rFonts w:ascii="Arial" w:eastAsia="Arial" w:hAnsi="Arial" w:cs="Arial"/>
        </w:rPr>
        <w:t>Parayitam</w:t>
      </w:r>
      <w:proofErr w:type="spellEnd"/>
      <w:r w:rsidRPr="007C5F1E">
        <w:rPr>
          <w:rFonts w:ascii="Arial" w:eastAsia="Arial" w:hAnsi="Arial" w:cs="Arial"/>
        </w:rPr>
        <w:t>, 2019). However, most existing studies focus on national data, with limited research in local contexts like Davao Oriental (Brown et al</w:t>
      </w:r>
      <w:r>
        <w:rPr>
          <w:rFonts w:ascii="Arial" w:eastAsia="Arial" w:hAnsi="Arial" w:cs="Arial"/>
        </w:rPr>
        <w:t>., 2019; Aguirre et al., 2020).</w:t>
      </w:r>
    </w:p>
    <w:p w14:paraId="56AA6C7B" w14:textId="77777777" w:rsidR="007C5F1E" w:rsidRPr="007C5F1E" w:rsidRDefault="007C5F1E" w:rsidP="007C5F1E">
      <w:pPr>
        <w:ind w:firstLine="720"/>
        <w:jc w:val="both"/>
        <w:rPr>
          <w:rFonts w:ascii="Arial" w:eastAsia="Arial" w:hAnsi="Arial" w:cs="Arial"/>
        </w:rPr>
      </w:pPr>
      <w:r w:rsidRPr="007C5F1E">
        <w:rPr>
          <w:rFonts w:ascii="Arial" w:eastAsia="Arial" w:hAnsi="Arial" w:cs="Arial"/>
        </w:rPr>
        <w:t>This study addresses that gap by examining local employer feedback on the competencies of BEED graduates in Davao Oriental. Findings aim to guide educational institutions and policymakers in enhancing teacher preparation and performance based on actual workplace needs.</w:t>
      </w:r>
    </w:p>
    <w:p w14:paraId="1D4C044A" w14:textId="77777777" w:rsidR="007C5F1E" w:rsidRDefault="007C5F1E" w:rsidP="007C5F1E">
      <w:pPr>
        <w:ind w:firstLine="720"/>
        <w:jc w:val="both"/>
        <w:rPr>
          <w:rFonts w:ascii="Arial" w:eastAsia="Arial" w:hAnsi="Arial" w:cs="Arial"/>
        </w:rPr>
      </w:pPr>
    </w:p>
    <w:p w14:paraId="7DE213FC" w14:textId="1A5B8843"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sidRPr="009D5498">
        <w:rPr>
          <w:rFonts w:ascii="Arial" w:eastAsia="Arial" w:hAnsi="Arial" w:cs="Arial"/>
          <w:b/>
          <w:smallCaps/>
          <w:color w:val="000000"/>
          <w:sz w:val="22"/>
          <w:szCs w:val="22"/>
        </w:rPr>
        <w:t xml:space="preserve">THEORETICAL FRAMEWORK </w:t>
      </w:r>
    </w:p>
    <w:p w14:paraId="6525A640" w14:textId="77777777"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p>
    <w:p w14:paraId="51AC2AB1" w14:textId="6B19158B" w:rsidR="007C5F1E" w:rsidRPr="007C5F1E" w:rsidRDefault="007C5F1E" w:rsidP="007C5F1E">
      <w:pPr>
        <w:pBdr>
          <w:top w:val="nil"/>
          <w:left w:val="nil"/>
          <w:bottom w:val="nil"/>
          <w:right w:val="nil"/>
          <w:between w:val="nil"/>
        </w:pBdr>
        <w:ind w:firstLine="720"/>
        <w:jc w:val="both"/>
        <w:rPr>
          <w:rFonts w:ascii="Arial" w:eastAsia="Arial" w:hAnsi="Arial" w:cs="Arial"/>
        </w:rPr>
      </w:pPr>
      <w:r w:rsidRPr="007C5F1E">
        <w:rPr>
          <w:rFonts w:ascii="Arial" w:eastAsia="Arial" w:hAnsi="Arial" w:cs="Arial"/>
        </w:rPr>
        <w:t xml:space="preserve">This study is grounded in Human Capital Theory (Becker, 1964), which views education and training as investments that enhance individuals’ productivity. BEED graduates, </w:t>
      </w:r>
      <w:r w:rsidRPr="007C5F1E">
        <w:rPr>
          <w:rFonts w:ascii="Arial" w:eastAsia="Arial" w:hAnsi="Arial" w:cs="Arial"/>
        </w:rPr>
        <w:lastRenderedPageBreak/>
        <w:t>as human capital, reflect the quality of teacher preparation through their job performance, assessed via e</w:t>
      </w:r>
      <w:r>
        <w:rPr>
          <w:rFonts w:ascii="Arial" w:eastAsia="Arial" w:hAnsi="Arial" w:cs="Arial"/>
        </w:rPr>
        <w:t>mployer feedback.</w:t>
      </w:r>
    </w:p>
    <w:p w14:paraId="5FB1A063" w14:textId="54EEB1F3" w:rsidR="002200F1" w:rsidRPr="002200F1" w:rsidRDefault="007C5F1E" w:rsidP="007C5F1E">
      <w:pPr>
        <w:pBdr>
          <w:top w:val="nil"/>
          <w:left w:val="nil"/>
          <w:bottom w:val="nil"/>
          <w:right w:val="nil"/>
          <w:between w:val="nil"/>
        </w:pBdr>
        <w:ind w:firstLine="720"/>
        <w:jc w:val="both"/>
        <w:rPr>
          <w:rFonts w:ascii="Arial" w:eastAsia="Arial" w:hAnsi="Arial" w:cs="Arial"/>
        </w:rPr>
      </w:pPr>
      <w:r w:rsidRPr="007C5F1E">
        <w:rPr>
          <w:rFonts w:ascii="Arial" w:eastAsia="Arial" w:hAnsi="Arial" w:cs="Arial"/>
        </w:rPr>
        <w:t>Core competencies such as subject knowledge, classroom management, assessment skills, adaptability, dependability, communication, and leadership are essential indicators of teacher effectiveness. These competencies not only improve classroom outcomes but also contribute to national development by producing capable and ethical educators, aligning with the broader goals of Human Capital Theory.</w:t>
      </w:r>
    </w:p>
    <w:p w14:paraId="12C2661E" w14:textId="77777777" w:rsidR="000B1D44" w:rsidRDefault="000B1D44" w:rsidP="002200F1">
      <w:pPr>
        <w:pBdr>
          <w:top w:val="nil"/>
          <w:left w:val="nil"/>
          <w:bottom w:val="nil"/>
          <w:right w:val="nil"/>
          <w:between w:val="nil"/>
        </w:pBdr>
        <w:jc w:val="both"/>
        <w:rPr>
          <w:rFonts w:ascii="Arial" w:eastAsia="Arial" w:hAnsi="Arial" w:cs="Arial"/>
          <w:color w:val="000000"/>
          <w:highlight w:val="white"/>
        </w:rPr>
      </w:pPr>
    </w:p>
    <w:p w14:paraId="46D43AD4" w14:textId="2B6E6583" w:rsidR="000B1D44" w:rsidRDefault="009D5498" w:rsidP="00220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DA622F">
        <w:rPr>
          <w:rFonts w:ascii="Arial" w:eastAsia="Arial" w:hAnsi="Arial" w:cs="Arial"/>
          <w:b/>
          <w:smallCaps/>
          <w:color w:val="000000"/>
          <w:sz w:val="22"/>
          <w:szCs w:val="22"/>
        </w:rPr>
        <w:t xml:space="preserve">. OBJECTIVES </w:t>
      </w:r>
    </w:p>
    <w:p w14:paraId="56E1BE1E" w14:textId="77777777" w:rsidR="000B1D44" w:rsidRDefault="000B1D44" w:rsidP="002200F1">
      <w:pPr>
        <w:keepNext/>
        <w:pBdr>
          <w:top w:val="nil"/>
          <w:left w:val="nil"/>
          <w:bottom w:val="nil"/>
          <w:right w:val="nil"/>
          <w:between w:val="nil"/>
        </w:pBdr>
        <w:jc w:val="both"/>
        <w:rPr>
          <w:rFonts w:ascii="Arial" w:eastAsia="Arial" w:hAnsi="Arial" w:cs="Arial"/>
          <w:b/>
          <w:smallCaps/>
          <w:color w:val="000000"/>
          <w:sz w:val="22"/>
          <w:szCs w:val="22"/>
        </w:rPr>
      </w:pPr>
    </w:p>
    <w:p w14:paraId="0A316069" w14:textId="21B65627" w:rsidR="00E26B62" w:rsidRDefault="00345107" w:rsidP="002200F1">
      <w:pPr>
        <w:pBdr>
          <w:top w:val="nil"/>
          <w:left w:val="nil"/>
          <w:bottom w:val="nil"/>
          <w:right w:val="nil"/>
          <w:between w:val="nil"/>
        </w:pBdr>
        <w:jc w:val="both"/>
        <w:rPr>
          <w:rFonts w:ascii="Arial" w:eastAsia="Arial" w:hAnsi="Arial" w:cs="Arial"/>
          <w:color w:val="000000"/>
        </w:rPr>
      </w:pPr>
      <w:r w:rsidRPr="00345107">
        <w:rPr>
          <w:rFonts w:ascii="Arial" w:eastAsia="Arial" w:hAnsi="Arial" w:cs="Arial"/>
          <w:color w:val="000000"/>
        </w:rPr>
        <w:t xml:space="preserve">This study aimed to determine the feedback and satisfaction of employers with the performance of BEED graduates from Davao Oriental State University (DORSU) – </w:t>
      </w:r>
      <w:proofErr w:type="spellStart"/>
      <w:r w:rsidRPr="00345107">
        <w:rPr>
          <w:rFonts w:ascii="Arial" w:eastAsia="Arial" w:hAnsi="Arial" w:cs="Arial"/>
          <w:color w:val="000000"/>
        </w:rPr>
        <w:t>Cateel</w:t>
      </w:r>
      <w:proofErr w:type="spellEnd"/>
      <w:r w:rsidRPr="00345107">
        <w:rPr>
          <w:rFonts w:ascii="Arial" w:eastAsia="Arial" w:hAnsi="Arial" w:cs="Arial"/>
          <w:color w:val="000000"/>
        </w:rPr>
        <w:t xml:space="preserve"> Campus. Specifically, this sought to attain the following objectives:</w:t>
      </w:r>
    </w:p>
    <w:p w14:paraId="1BFD4E1A" w14:textId="77777777" w:rsidR="00345107" w:rsidRDefault="00345107" w:rsidP="002200F1">
      <w:pPr>
        <w:pBdr>
          <w:top w:val="nil"/>
          <w:left w:val="nil"/>
          <w:bottom w:val="nil"/>
          <w:right w:val="nil"/>
          <w:between w:val="nil"/>
        </w:pBdr>
        <w:jc w:val="both"/>
        <w:rPr>
          <w:rFonts w:ascii="Arial" w:eastAsia="Arial" w:hAnsi="Arial" w:cs="Arial"/>
          <w:color w:val="000000"/>
          <w:highlight w:val="white"/>
        </w:rPr>
      </w:pPr>
    </w:p>
    <w:p w14:paraId="6A18AFF2" w14:textId="77777777" w:rsidR="00345107" w:rsidRPr="00345107" w:rsidRDefault="00345107" w:rsidP="00345107">
      <w:pPr>
        <w:pStyle w:val="NormalWeb"/>
        <w:numPr>
          <w:ilvl w:val="0"/>
          <w:numId w:val="19"/>
        </w:numPr>
        <w:contextualSpacing/>
        <w:jc w:val="both"/>
        <w:rPr>
          <w:rFonts w:ascii="Arial" w:hAnsi="Arial" w:cs="Arial"/>
          <w:sz w:val="20"/>
          <w:szCs w:val="20"/>
        </w:rPr>
      </w:pPr>
      <w:r w:rsidRPr="00345107">
        <w:rPr>
          <w:rFonts w:ascii="Arial" w:hAnsi="Arial" w:cs="Arial"/>
          <w:sz w:val="20"/>
          <w:szCs w:val="20"/>
        </w:rPr>
        <w:t>To determine the demographic profile of the respondents in terms of;</w:t>
      </w:r>
    </w:p>
    <w:p w14:paraId="5022BCF7"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age;</w:t>
      </w:r>
    </w:p>
    <w:p w14:paraId="5FB838B4"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gender;</w:t>
      </w:r>
    </w:p>
    <w:p w14:paraId="39643D96"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 xml:space="preserve">position; </w:t>
      </w:r>
    </w:p>
    <w:p w14:paraId="559B886B"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 xml:space="preserve">years in service and </w:t>
      </w:r>
    </w:p>
    <w:p w14:paraId="4ACD6469" w14:textId="77777777" w:rsidR="00345107" w:rsidRPr="00345107" w:rsidRDefault="00345107" w:rsidP="00345107">
      <w:pPr>
        <w:pStyle w:val="NormalWeb"/>
        <w:numPr>
          <w:ilvl w:val="1"/>
          <w:numId w:val="20"/>
        </w:numPr>
        <w:contextualSpacing/>
        <w:jc w:val="both"/>
        <w:rPr>
          <w:rFonts w:ascii="Arial" w:hAnsi="Arial" w:cs="Arial"/>
          <w:sz w:val="20"/>
          <w:szCs w:val="20"/>
          <w:lang w:val="en-PH"/>
        </w:rPr>
      </w:pPr>
      <w:r w:rsidRPr="00345107">
        <w:rPr>
          <w:rFonts w:ascii="Arial" w:hAnsi="Arial" w:cs="Arial"/>
          <w:sz w:val="20"/>
          <w:szCs w:val="20"/>
        </w:rPr>
        <w:t>district.</w:t>
      </w:r>
    </w:p>
    <w:p w14:paraId="4491ED6E" w14:textId="77777777" w:rsidR="00345107" w:rsidRPr="00345107" w:rsidRDefault="00345107" w:rsidP="00345107">
      <w:pPr>
        <w:pStyle w:val="NormalWeb"/>
        <w:numPr>
          <w:ilvl w:val="0"/>
          <w:numId w:val="21"/>
        </w:numPr>
        <w:contextualSpacing/>
        <w:jc w:val="both"/>
        <w:rPr>
          <w:rFonts w:ascii="Arial" w:hAnsi="Arial" w:cs="Arial"/>
          <w:sz w:val="20"/>
          <w:szCs w:val="20"/>
        </w:rPr>
      </w:pPr>
      <w:r w:rsidRPr="00345107">
        <w:rPr>
          <w:rFonts w:ascii="Arial" w:hAnsi="Arial" w:cs="Arial"/>
          <w:sz w:val="20"/>
          <w:szCs w:val="20"/>
        </w:rPr>
        <w:t>To determine the employers’ feedback on the performance of BEED graduates in the workplace in terms of:</w:t>
      </w:r>
    </w:p>
    <w:p w14:paraId="2D4E7445"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subject knowledge;</w:t>
      </w:r>
    </w:p>
    <w:p w14:paraId="35CF56B4"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management of learning;</w:t>
      </w:r>
    </w:p>
    <w:p w14:paraId="6E3E16D9"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assessment and evaluation;</w:t>
      </w:r>
    </w:p>
    <w:p w14:paraId="5EFF6C68"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flexibility and adaptability;</w:t>
      </w:r>
    </w:p>
    <w:p w14:paraId="07EEA914"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dependability;</w:t>
      </w:r>
    </w:p>
    <w:p w14:paraId="69D908D4"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communication skills;</w:t>
      </w:r>
    </w:p>
    <w:p w14:paraId="46349F6E"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leadership skills;</w:t>
      </w:r>
    </w:p>
    <w:p w14:paraId="6BD526CF"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commitment; and</w:t>
      </w:r>
    </w:p>
    <w:p w14:paraId="6B3EC9F5"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collaboration.</w:t>
      </w:r>
    </w:p>
    <w:p w14:paraId="62D6B875" w14:textId="77777777" w:rsidR="00345107" w:rsidRPr="00345107" w:rsidRDefault="00345107" w:rsidP="00345107">
      <w:pPr>
        <w:pStyle w:val="NormalWeb"/>
        <w:numPr>
          <w:ilvl w:val="0"/>
          <w:numId w:val="21"/>
        </w:numPr>
        <w:contextualSpacing/>
        <w:jc w:val="both"/>
        <w:rPr>
          <w:rFonts w:ascii="Arial" w:hAnsi="Arial" w:cs="Arial"/>
          <w:sz w:val="20"/>
          <w:szCs w:val="20"/>
        </w:rPr>
      </w:pPr>
      <w:r w:rsidRPr="00345107">
        <w:rPr>
          <w:rFonts w:ascii="Arial" w:hAnsi="Arial" w:cs="Arial"/>
          <w:sz w:val="20"/>
          <w:szCs w:val="20"/>
        </w:rPr>
        <w:t>To determine the significant difference in the level of employer feedback/satisfaction when grouped according to:</w:t>
      </w:r>
    </w:p>
    <w:p w14:paraId="626F5577" w14:textId="77777777" w:rsidR="00345107"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age;</w:t>
      </w:r>
    </w:p>
    <w:p w14:paraId="642EA4D3" w14:textId="77777777" w:rsidR="00345107"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gender;</w:t>
      </w:r>
    </w:p>
    <w:p w14:paraId="6C761063" w14:textId="77777777" w:rsidR="00345107"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 xml:space="preserve">position; </w:t>
      </w:r>
    </w:p>
    <w:p w14:paraId="0880B320" w14:textId="60F758FC" w:rsidR="000B1D44"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years in service and district.</w:t>
      </w:r>
      <w:r w:rsidR="00DA622F" w:rsidRPr="00345107">
        <w:rPr>
          <w:rFonts w:ascii="Arial" w:eastAsia="Arial" w:hAnsi="Arial" w:cs="Arial"/>
          <w:color w:val="000000"/>
          <w:sz w:val="20"/>
          <w:szCs w:val="20"/>
          <w:highlight w:val="white"/>
        </w:rPr>
        <w:t xml:space="preserve"> </w:t>
      </w:r>
    </w:p>
    <w:p w14:paraId="04516650" w14:textId="77777777" w:rsidR="00345107" w:rsidRPr="00345107" w:rsidRDefault="00345107" w:rsidP="00345107">
      <w:pPr>
        <w:pStyle w:val="NormalWeb"/>
        <w:ind w:left="1440"/>
        <w:contextualSpacing/>
        <w:jc w:val="both"/>
        <w:rPr>
          <w:rFonts w:ascii="Arial" w:hAnsi="Arial" w:cs="Arial"/>
          <w:sz w:val="20"/>
          <w:szCs w:val="20"/>
        </w:rPr>
      </w:pPr>
    </w:p>
    <w:p w14:paraId="4C6485F3" w14:textId="79470C8B"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sidR="00DA622F">
        <w:rPr>
          <w:rFonts w:ascii="Arial" w:eastAsia="Arial" w:hAnsi="Arial" w:cs="Arial"/>
          <w:b/>
          <w:smallCaps/>
          <w:color w:val="000000"/>
          <w:sz w:val="22"/>
          <w:szCs w:val="22"/>
        </w:rPr>
        <w:t xml:space="preserve">.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7F8B35D5" w14:textId="3AC71111" w:rsidR="00AB6567" w:rsidRDefault="007C5F1E" w:rsidP="00AB6567">
      <w:pPr>
        <w:pBdr>
          <w:top w:val="nil"/>
          <w:left w:val="nil"/>
          <w:bottom w:val="nil"/>
          <w:right w:val="nil"/>
          <w:between w:val="nil"/>
        </w:pBdr>
        <w:ind w:firstLine="720"/>
        <w:jc w:val="both"/>
        <w:rPr>
          <w:rFonts w:ascii="Arial" w:eastAsia="Arial" w:hAnsi="Arial" w:cs="Arial"/>
          <w:color w:val="000000"/>
          <w:highlight w:val="white"/>
        </w:rPr>
      </w:pPr>
      <w:r w:rsidRPr="007C5F1E">
        <w:rPr>
          <w:rFonts w:ascii="Arial" w:eastAsia="Arial" w:hAnsi="Arial" w:cs="Arial"/>
          <w:color w:val="000000"/>
        </w:rPr>
        <w:t>This study used a descriptive research design to systematically gather and analyze employer feedback on BEED graduates’ performance. As a non-experimental method, it aimed to understand workplace perceptions without exploring causal relationships, guiding curriculum and policy improvements.</w:t>
      </w:r>
    </w:p>
    <w:p w14:paraId="3BF1C07A"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03B9A66D" w14:textId="5792D47E" w:rsidR="000B1D44" w:rsidRDefault="007C5F1E" w:rsidP="007C5F1E">
      <w:pPr>
        <w:pBdr>
          <w:top w:val="nil"/>
          <w:left w:val="nil"/>
          <w:bottom w:val="nil"/>
          <w:right w:val="nil"/>
          <w:between w:val="nil"/>
        </w:pBdr>
        <w:ind w:firstLine="720"/>
        <w:jc w:val="both"/>
        <w:rPr>
          <w:rFonts w:ascii="Arial" w:eastAsia="Arial" w:hAnsi="Arial" w:cs="Arial"/>
          <w:color w:val="000000"/>
          <w:highlight w:val="white"/>
        </w:rPr>
      </w:pPr>
      <w:r w:rsidRPr="007C5F1E">
        <w:rPr>
          <w:rFonts w:ascii="Arial" w:eastAsia="Arial" w:hAnsi="Arial" w:cs="Arial"/>
          <w:color w:val="000000"/>
        </w:rPr>
        <w:t xml:space="preserve">This study used a reliable (Cronbach’s alpha = 0.72) survey adapted from </w:t>
      </w:r>
      <w:proofErr w:type="spellStart"/>
      <w:r w:rsidRPr="007C5F1E">
        <w:rPr>
          <w:rFonts w:ascii="Arial" w:eastAsia="Arial" w:hAnsi="Arial" w:cs="Arial"/>
          <w:color w:val="000000"/>
        </w:rPr>
        <w:t>Salendab</w:t>
      </w:r>
      <w:proofErr w:type="spellEnd"/>
      <w:r w:rsidRPr="007C5F1E">
        <w:rPr>
          <w:rFonts w:ascii="Arial" w:eastAsia="Arial" w:hAnsi="Arial" w:cs="Arial"/>
          <w:color w:val="000000"/>
        </w:rPr>
        <w:t xml:space="preserve"> et al. (2023), consisting of two parts: demographic data and employer feedback on BEED graduates across key competencies. Each domain—such as Subject Knowledge, Classroom Management, Assessment, Flexibility, Dependability, Communication, Leadership, Commitment, and Collaboration—had five statements. The survey was administered face-to-face.</w:t>
      </w:r>
    </w:p>
    <w:p w14:paraId="0432477E"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5DABC4CB" w14:textId="781EA0AB" w:rsidR="000B1D44" w:rsidRDefault="009E31D0" w:rsidP="00345107">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lastRenderedPageBreak/>
        <w:tab/>
      </w:r>
      <w:r w:rsidR="00345107" w:rsidRPr="00345107">
        <w:rPr>
          <w:rFonts w:ascii="Arial" w:eastAsia="Arial" w:hAnsi="Arial" w:cs="Arial"/>
          <w:color w:val="000000"/>
        </w:rPr>
        <w:t xml:space="preserve">The respondents in this study were 37 immediate supervisors from public and private basic education, selected through a complete enumeration technique. These respondents were from schools within District 1 of Davao Oriental, specifically in the municipalities of Boston, </w:t>
      </w:r>
      <w:proofErr w:type="spellStart"/>
      <w:r w:rsidR="00345107" w:rsidRPr="00345107">
        <w:rPr>
          <w:rFonts w:ascii="Arial" w:eastAsia="Arial" w:hAnsi="Arial" w:cs="Arial"/>
          <w:color w:val="000000"/>
        </w:rPr>
        <w:t>Cateel</w:t>
      </w:r>
      <w:proofErr w:type="spellEnd"/>
      <w:r w:rsidR="00345107" w:rsidRPr="00345107">
        <w:rPr>
          <w:rFonts w:ascii="Arial" w:eastAsia="Arial" w:hAnsi="Arial" w:cs="Arial"/>
          <w:color w:val="000000"/>
        </w:rPr>
        <w:t xml:space="preserve">, and </w:t>
      </w:r>
      <w:proofErr w:type="spellStart"/>
      <w:r w:rsidR="00345107" w:rsidRPr="00345107">
        <w:rPr>
          <w:rFonts w:ascii="Arial" w:eastAsia="Arial" w:hAnsi="Arial" w:cs="Arial"/>
          <w:color w:val="000000"/>
        </w:rPr>
        <w:t>Baganga</w:t>
      </w:r>
      <w:proofErr w:type="spellEnd"/>
      <w:r w:rsidR="00345107" w:rsidRPr="00345107">
        <w:rPr>
          <w:rFonts w:ascii="Arial" w:eastAsia="Arial" w:hAnsi="Arial" w:cs="Arial"/>
          <w:color w:val="000000"/>
        </w:rPr>
        <w:t xml:space="preserve">, that employ BEED graduates from the Davao Oriental State University </w:t>
      </w:r>
      <w:proofErr w:type="spellStart"/>
      <w:r w:rsidR="00345107" w:rsidRPr="00345107">
        <w:rPr>
          <w:rFonts w:ascii="Arial" w:eastAsia="Arial" w:hAnsi="Arial" w:cs="Arial"/>
          <w:color w:val="000000"/>
        </w:rPr>
        <w:t>Cateel</w:t>
      </w:r>
      <w:proofErr w:type="spellEnd"/>
      <w:r w:rsidR="00345107" w:rsidRPr="00345107">
        <w:rPr>
          <w:rFonts w:ascii="Arial" w:eastAsia="Arial" w:hAnsi="Arial" w:cs="Arial"/>
          <w:color w:val="000000"/>
        </w:rPr>
        <w:t xml:space="preserve"> Campus with at least one year of experience working with them.</w:t>
      </w:r>
    </w:p>
    <w:p w14:paraId="391423B8" w14:textId="77777777" w:rsidR="007B5D8D" w:rsidRDefault="007B5D8D" w:rsidP="007B5D8D">
      <w:pPr>
        <w:pBdr>
          <w:top w:val="nil"/>
          <w:left w:val="nil"/>
          <w:bottom w:val="nil"/>
          <w:right w:val="nil"/>
          <w:between w:val="nil"/>
        </w:pBdr>
        <w:jc w:val="both"/>
        <w:rPr>
          <w:rFonts w:ascii="Arial" w:eastAsia="Arial" w:hAnsi="Arial" w:cs="Arial"/>
          <w:b/>
          <w:color w:val="000000"/>
          <w:highlight w:val="white"/>
        </w:rPr>
      </w:pPr>
    </w:p>
    <w:p w14:paraId="7DD83F17" w14:textId="025116B7" w:rsidR="000B1D44" w:rsidRPr="007B5D8D"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235CFE8A" w14:textId="5C51295F" w:rsidR="007B5D8D" w:rsidRPr="007B5D8D" w:rsidRDefault="00345107" w:rsidP="007B5D8D">
      <w:pPr>
        <w:keepNext/>
        <w:pBdr>
          <w:top w:val="nil"/>
          <w:left w:val="nil"/>
          <w:bottom w:val="nil"/>
          <w:right w:val="nil"/>
          <w:between w:val="nil"/>
        </w:pBdr>
        <w:jc w:val="both"/>
        <w:rPr>
          <w:rFonts w:ascii="Arial" w:eastAsia="Arial" w:hAnsi="Arial" w:cs="Arial"/>
          <w:color w:val="000000"/>
        </w:rPr>
      </w:pPr>
      <w:r w:rsidRPr="00345107">
        <w:rPr>
          <w:rFonts w:ascii="Arial" w:eastAsia="Arial" w:hAnsi="Arial" w:cs="Arial"/>
          <w:color w:val="000000"/>
        </w:rPr>
        <w:t>The researchers followed the following procedures in conducting the research:</w:t>
      </w:r>
    </w:p>
    <w:p w14:paraId="58A08279" w14:textId="77777777" w:rsidR="00345107"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
          <w:color w:val="000000"/>
        </w:rPr>
      </w:pPr>
      <w:r w:rsidRPr="00345107">
        <w:rPr>
          <w:rFonts w:ascii="Arial" w:eastAsia="Arial" w:hAnsi="Arial" w:cs="Arial"/>
          <w:b/>
          <w:color w:val="000000"/>
        </w:rPr>
        <w:t xml:space="preserve">Obtaining Research Ethics Clearance: </w:t>
      </w:r>
      <w:r w:rsidRPr="00345107">
        <w:rPr>
          <w:rFonts w:ascii="Arial" w:eastAsia="Arial" w:hAnsi="Arial" w:cs="Arial"/>
          <w:bCs/>
          <w:color w:val="000000"/>
        </w:rPr>
        <w:t>The researcher obtained ethical clearance from the University Research Ethics Board (UREB) prior to commencing the study. They submitted the full research proposal, observation checklist, informed consent forms, curriculum vitae, and a list of potential risks and mitigation strategies for approval.</w:t>
      </w:r>
    </w:p>
    <w:p w14:paraId="20BA44A2" w14:textId="77777777" w:rsidR="00345107"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
          <w:color w:val="000000"/>
        </w:rPr>
      </w:pPr>
      <w:r w:rsidRPr="00345107">
        <w:rPr>
          <w:rFonts w:ascii="Arial" w:eastAsia="Arial" w:hAnsi="Arial" w:cs="Arial"/>
          <w:b/>
          <w:color w:val="000000"/>
        </w:rPr>
        <w:t xml:space="preserve">Identifying Number of Respondents: </w:t>
      </w:r>
      <w:r w:rsidRPr="00345107">
        <w:rPr>
          <w:rFonts w:ascii="Arial" w:eastAsia="Arial" w:hAnsi="Arial" w:cs="Arial"/>
          <w:bCs/>
          <w:color w:val="000000"/>
        </w:rPr>
        <w:t>A letter was submitted to the Public Schools District Supervisor (PSDS) requesting assistance in identifying BEED graduates employed in the district. Following this, the researchers visited the respective schools where these graduates were assigned in order to identify and reach out to their immediate supervisors.</w:t>
      </w:r>
    </w:p>
    <w:p w14:paraId="24E7CB2D" w14:textId="77777777" w:rsidR="00345107"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Cs/>
          <w:color w:val="000000"/>
        </w:rPr>
      </w:pPr>
      <w:r w:rsidRPr="00345107">
        <w:rPr>
          <w:rFonts w:ascii="Arial" w:eastAsia="Arial" w:hAnsi="Arial" w:cs="Arial"/>
          <w:b/>
          <w:color w:val="000000"/>
        </w:rPr>
        <w:t xml:space="preserve">Requesting Permission: </w:t>
      </w:r>
      <w:r w:rsidRPr="00345107">
        <w:rPr>
          <w:rFonts w:ascii="Arial" w:eastAsia="Arial" w:hAnsi="Arial" w:cs="Arial"/>
          <w:bCs/>
          <w:color w:val="000000"/>
        </w:rPr>
        <w:t>A letter was sent to each district requesting permission to survey their area. Once the letter was received and the district expressed willingness to participate, the survey was initiated.</w:t>
      </w:r>
    </w:p>
    <w:p w14:paraId="29E2EA4B" w14:textId="6B6A4C65" w:rsidR="007B5D8D"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Cs/>
          <w:color w:val="000000"/>
        </w:rPr>
      </w:pPr>
      <w:r w:rsidRPr="00345107">
        <w:rPr>
          <w:rFonts w:ascii="Arial" w:eastAsia="Arial" w:hAnsi="Arial" w:cs="Arial"/>
          <w:b/>
          <w:color w:val="000000"/>
        </w:rPr>
        <w:t xml:space="preserve">Distributing Survey Questionnaire and Informed Consent Form: </w:t>
      </w:r>
      <w:r w:rsidRPr="00345107">
        <w:rPr>
          <w:rFonts w:ascii="Arial" w:eastAsia="Arial" w:hAnsi="Arial" w:cs="Arial"/>
          <w:bCs/>
          <w:color w:val="000000"/>
        </w:rPr>
        <w:t>Permission was requested from each respondent to participate in the research. An overview of the study was provided, along with an informed consent form, to ensure that respondents understood that their participation was voluntary. The questionnaire was distributed and collected either at school or at the respondent's home, depending on what was most convenient for them, particularly for those assigned to far-flung areas.</w:t>
      </w:r>
    </w:p>
    <w:p w14:paraId="0547A280" w14:textId="4F6E97F7" w:rsidR="007B5D8D" w:rsidRDefault="007B5D8D" w:rsidP="007B5D8D">
      <w:pPr>
        <w:keepNext/>
        <w:pBdr>
          <w:top w:val="nil"/>
          <w:left w:val="nil"/>
          <w:bottom w:val="nil"/>
          <w:right w:val="nil"/>
          <w:between w:val="nil"/>
        </w:pBdr>
        <w:jc w:val="both"/>
        <w:rPr>
          <w:rFonts w:ascii="Arial" w:eastAsia="Arial" w:hAnsi="Arial" w:cs="Arial"/>
          <w:color w:val="000000"/>
        </w:rPr>
      </w:pPr>
    </w:p>
    <w:p w14:paraId="7B0B58A8" w14:textId="77777777" w:rsidR="007B5D8D" w:rsidRDefault="007B5D8D" w:rsidP="007B5D8D">
      <w:pPr>
        <w:keepNext/>
        <w:pBdr>
          <w:top w:val="nil"/>
          <w:left w:val="nil"/>
          <w:bottom w:val="nil"/>
          <w:right w:val="nil"/>
          <w:between w:val="nil"/>
        </w:pBdr>
        <w:jc w:val="both"/>
        <w:rPr>
          <w:rFonts w:ascii="Arial" w:eastAsia="Arial" w:hAnsi="Arial" w:cs="Arial"/>
          <w:b/>
          <w:smallCaps/>
          <w:color w:val="000000"/>
          <w:sz w:val="22"/>
          <w:szCs w:val="22"/>
        </w:rPr>
      </w:pPr>
    </w:p>
    <w:p w14:paraId="7DF68475" w14:textId="6BF8D865" w:rsidR="000B1D44" w:rsidRDefault="009D5498"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993CF36" w14:textId="77777777" w:rsidR="007C5F1E" w:rsidRDefault="007C5F1E" w:rsidP="007C5F1E">
      <w:pPr>
        <w:spacing w:before="100" w:beforeAutospacing="1" w:after="100" w:afterAutospacing="1"/>
        <w:ind w:firstLine="720"/>
        <w:jc w:val="both"/>
        <w:rPr>
          <w:rFonts w:ascii="Arial" w:eastAsiaTheme="minorEastAsia" w:hAnsi="Arial" w:cs="Arial"/>
          <w:color w:val="000000" w:themeColor="text1"/>
          <w:lang w:eastAsia="zh-CN"/>
        </w:rPr>
      </w:pPr>
      <w:r w:rsidRPr="007C5F1E">
        <w:rPr>
          <w:rFonts w:ascii="Arial" w:eastAsiaTheme="minorEastAsia" w:hAnsi="Arial" w:cs="Arial"/>
          <w:color w:val="000000" w:themeColor="text1"/>
          <w:lang w:eastAsia="zh-CN"/>
        </w:rPr>
        <w:t xml:space="preserve">This chapter presents results and discussion based on the study’s specific problems. Thirty-seven supervisors from public and private schools in District 1, Davao Oriental, participated through complete enumeration. Ethical protocols were followed, with approved consent and coordination from district supervisors. Questionnaires adapted from </w:t>
      </w:r>
      <w:proofErr w:type="spellStart"/>
      <w:r w:rsidRPr="007C5F1E">
        <w:rPr>
          <w:rFonts w:ascii="Arial" w:eastAsiaTheme="minorEastAsia" w:hAnsi="Arial" w:cs="Arial"/>
          <w:color w:val="000000" w:themeColor="text1"/>
          <w:lang w:eastAsia="zh-CN"/>
        </w:rPr>
        <w:t>Salendab</w:t>
      </w:r>
      <w:proofErr w:type="spellEnd"/>
      <w:r w:rsidRPr="007C5F1E">
        <w:rPr>
          <w:rFonts w:ascii="Arial" w:eastAsiaTheme="minorEastAsia" w:hAnsi="Arial" w:cs="Arial"/>
          <w:color w:val="000000" w:themeColor="text1"/>
          <w:lang w:eastAsia="zh-CN"/>
        </w:rPr>
        <w:t xml:space="preserve"> et al. (2023) were distributed with consent forms to accessible locations.</w:t>
      </w:r>
    </w:p>
    <w:p w14:paraId="73323C52" w14:textId="301BE7AE" w:rsidR="005F1BEC" w:rsidRPr="005F1BEC" w:rsidRDefault="005F1BEC" w:rsidP="005F1BEC">
      <w:pPr>
        <w:spacing w:before="100" w:beforeAutospacing="1" w:after="100" w:afterAutospacing="1"/>
        <w:jc w:val="both"/>
        <w:rPr>
          <w:rFonts w:ascii="Arial" w:eastAsia="Times New Roman" w:hAnsi="Arial" w:cs="Arial"/>
          <w:b/>
        </w:rPr>
      </w:pPr>
      <w:r w:rsidRPr="005F1BEC">
        <w:rPr>
          <w:rFonts w:ascii="Arial" w:eastAsia="Times New Roman" w:hAnsi="Arial" w:cs="Arial"/>
          <w:b/>
        </w:rPr>
        <w:t>Profile of the Respondents</w:t>
      </w:r>
    </w:p>
    <w:p w14:paraId="6940F864" w14:textId="4AB9A0EA" w:rsidR="005F1BEC" w:rsidRPr="005F1BEC" w:rsidRDefault="005F1BEC" w:rsidP="005F1BEC">
      <w:pPr>
        <w:spacing w:before="100" w:beforeAutospacing="1" w:after="100" w:afterAutospacing="1"/>
        <w:ind w:firstLine="720"/>
        <w:jc w:val="both"/>
        <w:rPr>
          <w:rFonts w:ascii="Arial" w:eastAsia="Times New Roman" w:hAnsi="Arial" w:cs="Arial"/>
        </w:rPr>
      </w:pPr>
      <w:r w:rsidRPr="005F1BEC">
        <w:rPr>
          <w:rFonts w:ascii="Arial" w:eastAsia="Times New Roman" w:hAnsi="Arial" w:cs="Arial"/>
        </w:rPr>
        <w:t xml:space="preserve">Table </w:t>
      </w:r>
      <w:r w:rsidR="001E0372">
        <w:rPr>
          <w:rFonts w:ascii="Arial" w:eastAsia="Times New Roman" w:hAnsi="Arial" w:cs="Arial"/>
        </w:rPr>
        <w:t>1</w:t>
      </w:r>
      <w:r w:rsidRPr="005F1BEC">
        <w:rPr>
          <w:rFonts w:ascii="Arial" w:eastAsia="Times New Roman" w:hAnsi="Arial" w:cs="Arial"/>
        </w:rPr>
        <w:t xml:space="preserve"> presents the age profile of the respondents. A substantial portion of the respondents (67.57%) falls within the 41 to 60 age </w:t>
      </w:r>
      <w:proofErr w:type="gramStart"/>
      <w:r w:rsidRPr="005F1BEC">
        <w:rPr>
          <w:rFonts w:ascii="Arial" w:eastAsia="Times New Roman" w:hAnsi="Arial" w:cs="Arial"/>
        </w:rPr>
        <w:t>bracket</w:t>
      </w:r>
      <w:proofErr w:type="gramEnd"/>
      <w:r w:rsidRPr="005F1BEC">
        <w:rPr>
          <w:rFonts w:ascii="Arial" w:eastAsia="Times New Roman" w:hAnsi="Arial" w:cs="Arial"/>
        </w:rPr>
        <w:t>, indicating that the majority of feedback was derived from older educators</w:t>
      </w:r>
    </w:p>
    <w:p w14:paraId="7C861607" w14:textId="77777777" w:rsidR="005F1BEC" w:rsidRPr="005F1BEC" w:rsidRDefault="005F1BEC" w:rsidP="005F1BEC">
      <w:pPr>
        <w:spacing w:before="100" w:beforeAutospacing="1" w:after="100" w:afterAutospacing="1"/>
        <w:jc w:val="both"/>
        <w:rPr>
          <w:rFonts w:ascii="Arial" w:eastAsia="Times New Roman" w:hAnsi="Arial" w:cs="Arial"/>
        </w:rPr>
      </w:pPr>
      <w:r w:rsidRPr="005F1BEC">
        <w:rPr>
          <w:rFonts w:ascii="Arial" w:eastAsia="Times New Roman" w:hAnsi="Arial" w:cs="Arial"/>
        </w:rPr>
        <w:t>with considerable professional experience. Only 10.81% of the respondents belonged to the age groups 34 years old and below, 35 to 40 years old, and 61 years old and above.</w:t>
      </w:r>
    </w:p>
    <w:p w14:paraId="3F07F47E" w14:textId="36328A7A" w:rsidR="005F1BEC" w:rsidRPr="005F1BEC" w:rsidRDefault="005F1BEC" w:rsidP="005F1BEC">
      <w:pPr>
        <w:jc w:val="both"/>
        <w:outlineLvl w:val="2"/>
        <w:rPr>
          <w:rFonts w:ascii="Arial" w:eastAsia="Times New Roman" w:hAnsi="Arial" w:cs="Arial"/>
          <w:bCs/>
          <w:i/>
        </w:rPr>
      </w:pPr>
      <w:r w:rsidRPr="005F1BEC">
        <w:rPr>
          <w:rFonts w:ascii="Arial" w:eastAsia="Times New Roman" w:hAnsi="Arial" w:cs="Arial"/>
        </w:rPr>
        <w:t xml:space="preserve">Table </w:t>
      </w:r>
      <w:r w:rsidR="001E0372">
        <w:rPr>
          <w:rFonts w:ascii="Arial" w:eastAsia="Times New Roman" w:hAnsi="Arial" w:cs="Arial"/>
        </w:rPr>
        <w:t>1</w:t>
      </w:r>
      <w:r w:rsidRPr="005F1BEC">
        <w:rPr>
          <w:rFonts w:ascii="Arial" w:eastAsia="Times New Roman" w:hAnsi="Arial" w:cs="Arial"/>
        </w:rPr>
        <w:t>.</w:t>
      </w:r>
      <w:r w:rsidRPr="005F1BEC">
        <w:rPr>
          <w:rFonts w:ascii="Arial" w:eastAsia="Times New Roman" w:hAnsi="Arial" w:cs="Arial"/>
          <w:b/>
          <w:bCs/>
        </w:rPr>
        <w:t xml:space="preserve"> </w:t>
      </w:r>
      <w:r w:rsidRPr="005F1BEC">
        <w:rPr>
          <w:rFonts w:ascii="Arial" w:eastAsia="Times New Roman" w:hAnsi="Arial" w:cs="Arial"/>
          <w:bCs/>
          <w:iCs/>
        </w:rPr>
        <w:t>Demographic profile of the respondents in terms of age</w:t>
      </w:r>
    </w:p>
    <w:tbl>
      <w:tblPr>
        <w:tblW w:w="8460" w:type="dxa"/>
        <w:jc w:val="center"/>
        <w:tblLayout w:type="fixed"/>
        <w:tblLook w:val="04A0" w:firstRow="1" w:lastRow="0" w:firstColumn="1" w:lastColumn="0" w:noHBand="0" w:noVBand="1"/>
      </w:tblPr>
      <w:tblGrid>
        <w:gridCol w:w="2790"/>
        <w:gridCol w:w="2790"/>
        <w:gridCol w:w="2880"/>
      </w:tblGrid>
      <w:tr w:rsidR="005F1BEC" w:rsidRPr="005F1BEC" w14:paraId="4796B172"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2F3B599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Age Bracket</w:t>
            </w:r>
          </w:p>
        </w:tc>
        <w:tc>
          <w:tcPr>
            <w:tcW w:w="2790" w:type="dxa"/>
            <w:tcBorders>
              <w:top w:val="single" w:sz="4" w:space="0" w:color="auto"/>
              <w:left w:val="nil"/>
              <w:bottom w:val="single" w:sz="4" w:space="0" w:color="auto"/>
              <w:right w:val="nil"/>
            </w:tcBorders>
            <w:vAlign w:val="center"/>
          </w:tcPr>
          <w:p w14:paraId="12E9E60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Frequency</w:t>
            </w:r>
          </w:p>
        </w:tc>
        <w:tc>
          <w:tcPr>
            <w:tcW w:w="2880" w:type="dxa"/>
            <w:tcBorders>
              <w:top w:val="single" w:sz="4" w:space="0" w:color="auto"/>
              <w:left w:val="nil"/>
              <w:bottom w:val="single" w:sz="4" w:space="0" w:color="auto"/>
              <w:right w:val="nil"/>
            </w:tcBorders>
            <w:vAlign w:val="center"/>
          </w:tcPr>
          <w:p w14:paraId="322B70E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Percent</w:t>
            </w:r>
          </w:p>
        </w:tc>
      </w:tr>
      <w:tr w:rsidR="005F1BEC" w:rsidRPr="005F1BEC" w14:paraId="0AF02E42"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7B223B5A"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34 years old and below</w:t>
            </w:r>
          </w:p>
        </w:tc>
        <w:tc>
          <w:tcPr>
            <w:tcW w:w="2790" w:type="dxa"/>
            <w:tcBorders>
              <w:top w:val="single" w:sz="4" w:space="0" w:color="auto"/>
              <w:left w:val="nil"/>
              <w:bottom w:val="single" w:sz="4" w:space="0" w:color="auto"/>
              <w:right w:val="nil"/>
            </w:tcBorders>
            <w:noWrap/>
            <w:vAlign w:val="center"/>
          </w:tcPr>
          <w:p w14:paraId="6B4BDCD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4</w:t>
            </w:r>
          </w:p>
        </w:tc>
        <w:tc>
          <w:tcPr>
            <w:tcW w:w="2880" w:type="dxa"/>
            <w:tcBorders>
              <w:top w:val="single" w:sz="4" w:space="0" w:color="auto"/>
              <w:left w:val="nil"/>
              <w:bottom w:val="single" w:sz="4" w:space="0" w:color="auto"/>
              <w:right w:val="nil"/>
            </w:tcBorders>
            <w:noWrap/>
            <w:vAlign w:val="center"/>
          </w:tcPr>
          <w:p w14:paraId="5863E25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10.81</w:t>
            </w:r>
          </w:p>
        </w:tc>
      </w:tr>
      <w:tr w:rsidR="005F1BEC" w:rsidRPr="005F1BEC" w14:paraId="20886FD8"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3B2B41FD"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35 to 40 years old</w:t>
            </w:r>
          </w:p>
        </w:tc>
        <w:tc>
          <w:tcPr>
            <w:tcW w:w="2790" w:type="dxa"/>
            <w:tcBorders>
              <w:top w:val="single" w:sz="4" w:space="0" w:color="auto"/>
              <w:left w:val="nil"/>
              <w:bottom w:val="single" w:sz="4" w:space="0" w:color="auto"/>
              <w:right w:val="nil"/>
            </w:tcBorders>
            <w:noWrap/>
            <w:vAlign w:val="center"/>
          </w:tcPr>
          <w:p w14:paraId="058F609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4</w:t>
            </w:r>
          </w:p>
        </w:tc>
        <w:tc>
          <w:tcPr>
            <w:tcW w:w="2880" w:type="dxa"/>
            <w:tcBorders>
              <w:top w:val="single" w:sz="4" w:space="0" w:color="auto"/>
              <w:left w:val="nil"/>
              <w:bottom w:val="single" w:sz="4" w:space="0" w:color="auto"/>
              <w:right w:val="nil"/>
            </w:tcBorders>
            <w:noWrap/>
            <w:vAlign w:val="center"/>
          </w:tcPr>
          <w:p w14:paraId="6879B7A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10.81</w:t>
            </w:r>
          </w:p>
        </w:tc>
      </w:tr>
      <w:tr w:rsidR="005F1BEC" w:rsidRPr="005F1BEC" w14:paraId="0305FAB1"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2D377EF2"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lastRenderedPageBreak/>
              <w:t>41 to 60 years old</w:t>
            </w:r>
          </w:p>
        </w:tc>
        <w:tc>
          <w:tcPr>
            <w:tcW w:w="2790" w:type="dxa"/>
            <w:tcBorders>
              <w:top w:val="single" w:sz="4" w:space="0" w:color="auto"/>
              <w:left w:val="nil"/>
              <w:bottom w:val="single" w:sz="4" w:space="0" w:color="auto"/>
              <w:right w:val="nil"/>
            </w:tcBorders>
            <w:noWrap/>
            <w:vAlign w:val="center"/>
          </w:tcPr>
          <w:p w14:paraId="450DDC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25</w:t>
            </w:r>
          </w:p>
        </w:tc>
        <w:tc>
          <w:tcPr>
            <w:tcW w:w="2880" w:type="dxa"/>
            <w:tcBorders>
              <w:top w:val="single" w:sz="4" w:space="0" w:color="auto"/>
              <w:left w:val="nil"/>
              <w:bottom w:val="single" w:sz="4" w:space="0" w:color="auto"/>
              <w:right w:val="nil"/>
            </w:tcBorders>
            <w:noWrap/>
            <w:vAlign w:val="center"/>
          </w:tcPr>
          <w:p w14:paraId="3FD900F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67.57</w:t>
            </w:r>
          </w:p>
        </w:tc>
      </w:tr>
      <w:tr w:rsidR="005F1BEC" w:rsidRPr="005F1BEC" w14:paraId="2453FFE0" w14:textId="77777777" w:rsidTr="0037632B">
        <w:trPr>
          <w:trHeight w:val="291"/>
          <w:jc w:val="center"/>
        </w:trPr>
        <w:tc>
          <w:tcPr>
            <w:tcW w:w="2790" w:type="dxa"/>
            <w:tcBorders>
              <w:top w:val="single" w:sz="4" w:space="0" w:color="auto"/>
              <w:left w:val="nil"/>
              <w:bottom w:val="single" w:sz="4" w:space="0" w:color="auto"/>
              <w:right w:val="nil"/>
            </w:tcBorders>
            <w:vAlign w:val="center"/>
          </w:tcPr>
          <w:p w14:paraId="176F0350"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61 years old and above</w:t>
            </w:r>
          </w:p>
        </w:tc>
        <w:tc>
          <w:tcPr>
            <w:tcW w:w="2790" w:type="dxa"/>
            <w:tcBorders>
              <w:top w:val="single" w:sz="4" w:space="0" w:color="auto"/>
              <w:left w:val="nil"/>
              <w:bottom w:val="single" w:sz="4" w:space="0" w:color="auto"/>
              <w:right w:val="nil"/>
            </w:tcBorders>
            <w:noWrap/>
            <w:vAlign w:val="center"/>
          </w:tcPr>
          <w:p w14:paraId="18DED19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4</w:t>
            </w:r>
          </w:p>
        </w:tc>
        <w:tc>
          <w:tcPr>
            <w:tcW w:w="2880" w:type="dxa"/>
            <w:tcBorders>
              <w:top w:val="single" w:sz="4" w:space="0" w:color="auto"/>
              <w:left w:val="nil"/>
              <w:bottom w:val="single" w:sz="4" w:space="0" w:color="auto"/>
              <w:right w:val="nil"/>
            </w:tcBorders>
            <w:noWrap/>
            <w:vAlign w:val="center"/>
          </w:tcPr>
          <w:p w14:paraId="371B107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10.81</w:t>
            </w:r>
          </w:p>
        </w:tc>
      </w:tr>
      <w:tr w:rsidR="005F1BEC" w:rsidRPr="005F1BEC" w14:paraId="7DE575B1" w14:textId="77777777" w:rsidTr="0037632B">
        <w:trPr>
          <w:trHeight w:val="287"/>
          <w:jc w:val="center"/>
        </w:trPr>
        <w:tc>
          <w:tcPr>
            <w:tcW w:w="2790" w:type="dxa"/>
            <w:tcBorders>
              <w:top w:val="single" w:sz="4" w:space="0" w:color="auto"/>
              <w:left w:val="nil"/>
              <w:bottom w:val="single" w:sz="4" w:space="0" w:color="auto"/>
              <w:right w:val="nil"/>
            </w:tcBorders>
            <w:vAlign w:val="center"/>
          </w:tcPr>
          <w:p w14:paraId="458BE8E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Total</w:t>
            </w:r>
          </w:p>
        </w:tc>
        <w:tc>
          <w:tcPr>
            <w:tcW w:w="2790" w:type="dxa"/>
            <w:tcBorders>
              <w:top w:val="single" w:sz="4" w:space="0" w:color="auto"/>
              <w:left w:val="nil"/>
              <w:bottom w:val="single" w:sz="4" w:space="0" w:color="auto"/>
              <w:right w:val="nil"/>
            </w:tcBorders>
            <w:noWrap/>
            <w:vAlign w:val="center"/>
          </w:tcPr>
          <w:p w14:paraId="2372A60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37</w:t>
            </w:r>
          </w:p>
        </w:tc>
        <w:tc>
          <w:tcPr>
            <w:tcW w:w="2880" w:type="dxa"/>
            <w:tcBorders>
              <w:top w:val="single" w:sz="4" w:space="0" w:color="auto"/>
              <w:left w:val="nil"/>
              <w:bottom w:val="single" w:sz="4" w:space="0" w:color="auto"/>
              <w:right w:val="nil"/>
            </w:tcBorders>
            <w:noWrap/>
            <w:vAlign w:val="center"/>
          </w:tcPr>
          <w:p w14:paraId="0059538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100.00</w:t>
            </w:r>
          </w:p>
        </w:tc>
      </w:tr>
    </w:tbl>
    <w:p w14:paraId="66E114D7" w14:textId="77777777" w:rsidR="005F1BEC" w:rsidRPr="005F1BEC" w:rsidRDefault="005F1BEC" w:rsidP="005F1BEC">
      <w:pPr>
        <w:jc w:val="both"/>
        <w:rPr>
          <w:rFonts w:ascii="Arial" w:eastAsia="Times New Roman" w:hAnsi="Arial" w:cs="Arial"/>
        </w:rPr>
      </w:pPr>
    </w:p>
    <w:p w14:paraId="2C6092A4" w14:textId="5D1D38A1" w:rsidR="007C5F1E" w:rsidRDefault="007C5F1E" w:rsidP="005F1BEC">
      <w:pPr>
        <w:jc w:val="both"/>
        <w:rPr>
          <w:rFonts w:ascii="Arial" w:eastAsia="Times New Roman" w:hAnsi="Arial" w:cs="Arial"/>
        </w:rPr>
      </w:pPr>
      <w:r w:rsidRPr="007C5F1E">
        <w:rPr>
          <w:rFonts w:ascii="Arial" w:eastAsia="Times New Roman" w:hAnsi="Arial" w:cs="Arial"/>
        </w:rPr>
        <w:t xml:space="preserve">This finding supports studies (Myung et al., 2016; McCray et al., 2017; </w:t>
      </w:r>
      <w:proofErr w:type="spellStart"/>
      <w:r w:rsidRPr="007C5F1E">
        <w:rPr>
          <w:rFonts w:ascii="Arial" w:eastAsia="Times New Roman" w:hAnsi="Arial" w:cs="Arial"/>
        </w:rPr>
        <w:t>Béteille</w:t>
      </w:r>
      <w:proofErr w:type="spellEnd"/>
      <w:r w:rsidRPr="007C5F1E">
        <w:rPr>
          <w:rFonts w:ascii="Arial" w:eastAsia="Times New Roman" w:hAnsi="Arial" w:cs="Arial"/>
        </w:rPr>
        <w:t xml:space="preserve"> et al., 2019) showing that educators aged 41–60 often hold leadership roles due to experience and competence. Table </w:t>
      </w:r>
      <w:r w:rsidR="001E0372">
        <w:rPr>
          <w:rFonts w:ascii="Arial" w:eastAsia="Times New Roman" w:hAnsi="Arial" w:cs="Arial"/>
        </w:rPr>
        <w:t>2</w:t>
      </w:r>
      <w:r w:rsidRPr="007C5F1E">
        <w:rPr>
          <w:rFonts w:ascii="Arial" w:eastAsia="Times New Roman" w:hAnsi="Arial" w:cs="Arial"/>
        </w:rPr>
        <w:t xml:space="preserve"> also shows that 59.46% of respondents are female, reflecting the gender trend in the teaching profession.</w:t>
      </w:r>
    </w:p>
    <w:p w14:paraId="4FE7C21C" w14:textId="6940AFA0" w:rsidR="005F1BEC" w:rsidRPr="005F1BEC" w:rsidRDefault="005F1BEC" w:rsidP="005F1BEC">
      <w:pPr>
        <w:jc w:val="both"/>
        <w:rPr>
          <w:rFonts w:ascii="Arial" w:eastAsia="Times New Roman" w:hAnsi="Arial" w:cs="Arial"/>
        </w:rPr>
      </w:pPr>
      <w:r w:rsidRPr="005F1BEC">
        <w:rPr>
          <w:rFonts w:ascii="Arial" w:eastAsia="Times New Roman" w:hAnsi="Arial" w:cs="Arial"/>
          <w:lang w:bidi="ar"/>
        </w:rPr>
        <w:t xml:space="preserve">Table </w:t>
      </w:r>
      <w:r w:rsidR="001E0372">
        <w:rPr>
          <w:rFonts w:ascii="Arial" w:eastAsia="Times New Roman" w:hAnsi="Arial" w:cs="Arial"/>
          <w:lang w:bidi="ar"/>
        </w:rPr>
        <w:t>2</w:t>
      </w:r>
      <w:r w:rsidRPr="005F1BEC">
        <w:rPr>
          <w:rFonts w:ascii="Arial" w:eastAsia="Times New Roman" w:hAnsi="Arial" w:cs="Arial"/>
          <w:lang w:bidi="ar"/>
        </w:rPr>
        <w:t>. Demographic profile of the respondents in terms of gender</w:t>
      </w:r>
    </w:p>
    <w:tbl>
      <w:tblPr>
        <w:tblW w:w="8450" w:type="dxa"/>
        <w:tblInd w:w="107" w:type="dxa"/>
        <w:tblLook w:val="04A0" w:firstRow="1" w:lastRow="0" w:firstColumn="1" w:lastColumn="0" w:noHBand="0" w:noVBand="1"/>
      </w:tblPr>
      <w:tblGrid>
        <w:gridCol w:w="4730"/>
        <w:gridCol w:w="2081"/>
        <w:gridCol w:w="1639"/>
      </w:tblGrid>
      <w:tr w:rsidR="005F1BEC" w:rsidRPr="005F1BEC" w14:paraId="20C1B41D" w14:textId="77777777" w:rsidTr="0037632B">
        <w:trPr>
          <w:trHeight w:val="90"/>
        </w:trPr>
        <w:tc>
          <w:tcPr>
            <w:tcW w:w="4730" w:type="dxa"/>
            <w:tcBorders>
              <w:top w:val="single" w:sz="4" w:space="0" w:color="auto"/>
              <w:left w:val="nil"/>
              <w:bottom w:val="single" w:sz="4" w:space="0" w:color="auto"/>
              <w:right w:val="nil"/>
            </w:tcBorders>
            <w:vAlign w:val="center"/>
          </w:tcPr>
          <w:p w14:paraId="090E8CD5"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Gender</w:t>
            </w:r>
          </w:p>
        </w:tc>
        <w:tc>
          <w:tcPr>
            <w:tcW w:w="2081" w:type="dxa"/>
            <w:tcBorders>
              <w:top w:val="single" w:sz="4" w:space="0" w:color="auto"/>
              <w:left w:val="nil"/>
              <w:bottom w:val="single" w:sz="4" w:space="0" w:color="auto"/>
              <w:right w:val="nil"/>
            </w:tcBorders>
            <w:vAlign w:val="center"/>
          </w:tcPr>
          <w:p w14:paraId="0E3D86F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Frequency</w:t>
            </w:r>
          </w:p>
        </w:tc>
        <w:tc>
          <w:tcPr>
            <w:tcW w:w="1639" w:type="dxa"/>
            <w:tcBorders>
              <w:top w:val="single" w:sz="4" w:space="0" w:color="auto"/>
              <w:left w:val="nil"/>
              <w:bottom w:val="single" w:sz="4" w:space="0" w:color="auto"/>
              <w:right w:val="nil"/>
            </w:tcBorders>
            <w:vAlign w:val="center"/>
          </w:tcPr>
          <w:p w14:paraId="6970A04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Percent</w:t>
            </w:r>
          </w:p>
        </w:tc>
      </w:tr>
      <w:tr w:rsidR="005F1BEC" w:rsidRPr="005F1BEC" w14:paraId="3E8E90A8" w14:textId="77777777" w:rsidTr="0037632B">
        <w:trPr>
          <w:trHeight w:val="256"/>
        </w:trPr>
        <w:tc>
          <w:tcPr>
            <w:tcW w:w="4730" w:type="dxa"/>
            <w:tcBorders>
              <w:top w:val="single" w:sz="4" w:space="0" w:color="auto"/>
              <w:left w:val="nil"/>
              <w:bottom w:val="single" w:sz="4" w:space="0" w:color="auto"/>
              <w:right w:val="nil"/>
            </w:tcBorders>
            <w:vAlign w:val="center"/>
          </w:tcPr>
          <w:p w14:paraId="42277AB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Female</w:t>
            </w:r>
          </w:p>
        </w:tc>
        <w:tc>
          <w:tcPr>
            <w:tcW w:w="2081" w:type="dxa"/>
            <w:tcBorders>
              <w:top w:val="single" w:sz="4" w:space="0" w:color="auto"/>
              <w:left w:val="nil"/>
              <w:bottom w:val="single" w:sz="4" w:space="0" w:color="auto"/>
              <w:right w:val="nil"/>
            </w:tcBorders>
            <w:noWrap/>
            <w:vAlign w:val="center"/>
          </w:tcPr>
          <w:p w14:paraId="7F9C024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22</w:t>
            </w:r>
          </w:p>
        </w:tc>
        <w:tc>
          <w:tcPr>
            <w:tcW w:w="1639" w:type="dxa"/>
            <w:tcBorders>
              <w:top w:val="single" w:sz="4" w:space="0" w:color="auto"/>
              <w:left w:val="nil"/>
              <w:bottom w:val="single" w:sz="4" w:space="0" w:color="auto"/>
              <w:right w:val="nil"/>
            </w:tcBorders>
            <w:noWrap/>
            <w:vAlign w:val="center"/>
          </w:tcPr>
          <w:p w14:paraId="1F0FDC9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59.46</w:t>
            </w:r>
          </w:p>
        </w:tc>
      </w:tr>
      <w:tr w:rsidR="005F1BEC" w:rsidRPr="005F1BEC" w14:paraId="5D01C286" w14:textId="77777777" w:rsidTr="0037632B">
        <w:trPr>
          <w:trHeight w:val="256"/>
        </w:trPr>
        <w:tc>
          <w:tcPr>
            <w:tcW w:w="4730" w:type="dxa"/>
            <w:tcBorders>
              <w:top w:val="single" w:sz="4" w:space="0" w:color="auto"/>
              <w:left w:val="nil"/>
              <w:bottom w:val="single" w:sz="4" w:space="0" w:color="auto"/>
              <w:right w:val="nil"/>
            </w:tcBorders>
            <w:vAlign w:val="center"/>
          </w:tcPr>
          <w:p w14:paraId="7E5043E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Male</w:t>
            </w:r>
          </w:p>
        </w:tc>
        <w:tc>
          <w:tcPr>
            <w:tcW w:w="2081" w:type="dxa"/>
            <w:tcBorders>
              <w:top w:val="single" w:sz="4" w:space="0" w:color="auto"/>
              <w:left w:val="nil"/>
              <w:bottom w:val="single" w:sz="4" w:space="0" w:color="auto"/>
              <w:right w:val="nil"/>
            </w:tcBorders>
            <w:noWrap/>
            <w:vAlign w:val="center"/>
          </w:tcPr>
          <w:p w14:paraId="684A3B6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15</w:t>
            </w:r>
          </w:p>
        </w:tc>
        <w:tc>
          <w:tcPr>
            <w:tcW w:w="1639" w:type="dxa"/>
            <w:tcBorders>
              <w:top w:val="single" w:sz="4" w:space="0" w:color="auto"/>
              <w:left w:val="nil"/>
              <w:bottom w:val="single" w:sz="4" w:space="0" w:color="auto"/>
              <w:right w:val="nil"/>
            </w:tcBorders>
            <w:noWrap/>
            <w:vAlign w:val="center"/>
          </w:tcPr>
          <w:p w14:paraId="02D5BEB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40.54</w:t>
            </w:r>
          </w:p>
        </w:tc>
      </w:tr>
      <w:tr w:rsidR="005F1BEC" w:rsidRPr="005F1BEC" w14:paraId="002F787F" w14:textId="77777777" w:rsidTr="0037632B">
        <w:trPr>
          <w:trHeight w:val="256"/>
        </w:trPr>
        <w:tc>
          <w:tcPr>
            <w:tcW w:w="4730" w:type="dxa"/>
            <w:tcBorders>
              <w:top w:val="single" w:sz="4" w:space="0" w:color="auto"/>
              <w:left w:val="nil"/>
              <w:bottom w:val="single" w:sz="4" w:space="0" w:color="auto"/>
              <w:right w:val="nil"/>
            </w:tcBorders>
            <w:vAlign w:val="center"/>
          </w:tcPr>
          <w:p w14:paraId="2790854C"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Total</w:t>
            </w:r>
          </w:p>
        </w:tc>
        <w:tc>
          <w:tcPr>
            <w:tcW w:w="2081" w:type="dxa"/>
            <w:tcBorders>
              <w:top w:val="single" w:sz="4" w:space="0" w:color="auto"/>
              <w:left w:val="nil"/>
              <w:bottom w:val="single" w:sz="4" w:space="0" w:color="auto"/>
              <w:right w:val="nil"/>
            </w:tcBorders>
            <w:noWrap/>
            <w:vAlign w:val="center"/>
          </w:tcPr>
          <w:p w14:paraId="6E566D5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37</w:t>
            </w:r>
          </w:p>
        </w:tc>
        <w:tc>
          <w:tcPr>
            <w:tcW w:w="1639" w:type="dxa"/>
            <w:tcBorders>
              <w:top w:val="single" w:sz="4" w:space="0" w:color="auto"/>
              <w:left w:val="nil"/>
              <w:bottom w:val="single" w:sz="4" w:space="0" w:color="auto"/>
              <w:right w:val="nil"/>
            </w:tcBorders>
            <w:noWrap/>
            <w:vAlign w:val="center"/>
          </w:tcPr>
          <w:p w14:paraId="04AD1C9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100.00</w:t>
            </w:r>
          </w:p>
        </w:tc>
      </w:tr>
    </w:tbl>
    <w:p w14:paraId="19787390" w14:textId="352A8FF1" w:rsidR="0037632B" w:rsidRDefault="007C5F1E" w:rsidP="0037632B">
      <w:pPr>
        <w:jc w:val="both"/>
        <w:rPr>
          <w:rFonts w:ascii="Arial" w:eastAsia="Times New Roman" w:hAnsi="Arial" w:cs="Arial"/>
        </w:rPr>
      </w:pPr>
      <w:r w:rsidRPr="007C5F1E">
        <w:rPr>
          <w:rFonts w:ascii="Arial" w:eastAsia="Times New Roman" w:hAnsi="Arial" w:cs="Arial"/>
        </w:rPr>
        <w:t>This reflects national trends where women dominate the teaching profession, especially in basic education (PCW, 2022). Studies by Fox et al. (2015) and Ahmad et al. (2020) also highlight the rise of female leadership, reinforcing the strong presence of women in both instructional and leadership roles.</w:t>
      </w:r>
    </w:p>
    <w:p w14:paraId="3CE0EF8F" w14:textId="77777777" w:rsidR="007C5F1E" w:rsidRPr="0037632B" w:rsidRDefault="007C5F1E" w:rsidP="0037632B">
      <w:pPr>
        <w:jc w:val="both"/>
        <w:rPr>
          <w:rFonts w:ascii="Arial" w:eastAsia="Times New Roman" w:hAnsi="Arial" w:cs="Arial"/>
        </w:rPr>
      </w:pPr>
    </w:p>
    <w:p w14:paraId="6C178460" w14:textId="19C0D538" w:rsidR="005F1BEC" w:rsidRDefault="0037632B" w:rsidP="0037632B">
      <w:pPr>
        <w:jc w:val="both"/>
        <w:rPr>
          <w:rFonts w:ascii="Arial" w:eastAsia="Times New Roman" w:hAnsi="Arial" w:cs="Arial"/>
        </w:rPr>
      </w:pPr>
      <w:r w:rsidRPr="0037632B">
        <w:rPr>
          <w:rFonts w:ascii="Arial" w:eastAsia="Times New Roman" w:hAnsi="Arial" w:cs="Arial"/>
        </w:rPr>
        <w:t xml:space="preserve">Table </w:t>
      </w:r>
      <w:r w:rsidR="001E0372">
        <w:rPr>
          <w:rFonts w:ascii="Arial" w:eastAsia="Times New Roman" w:hAnsi="Arial" w:cs="Arial"/>
        </w:rPr>
        <w:t>3</w:t>
      </w:r>
      <w:r w:rsidRPr="0037632B">
        <w:rPr>
          <w:rFonts w:ascii="Arial" w:eastAsia="Times New Roman" w:hAnsi="Arial" w:cs="Arial"/>
        </w:rPr>
        <w:t xml:space="preserve"> shows that the respondents included school principals (37.84%), head teachers (32.43%), and school heads or officers-in-charge (29.73%). This distribution confirms that the feedback came from individuals in supervisory and leadership positions, thus lending credibility to the performance evaluations, as they are directly involved in assessing and guiding teacher performance within their institutions.</w:t>
      </w:r>
    </w:p>
    <w:p w14:paraId="7D52FC90" w14:textId="05EF3E82" w:rsidR="001E0372" w:rsidRDefault="001E0372" w:rsidP="0037632B">
      <w:pPr>
        <w:jc w:val="both"/>
        <w:rPr>
          <w:rFonts w:ascii="Arial" w:eastAsia="Times New Roman" w:hAnsi="Arial" w:cs="Arial"/>
        </w:rPr>
      </w:pPr>
      <w:proofErr w:type="gramStart"/>
      <w:r>
        <w:rPr>
          <w:rFonts w:ascii="Arial" w:eastAsia="Times New Roman" w:hAnsi="Arial" w:cs="Arial"/>
        </w:rPr>
        <w:t>Table  3</w:t>
      </w:r>
      <w:proofErr w:type="gramEnd"/>
      <w:r>
        <w:rPr>
          <w:rFonts w:ascii="Arial" w:eastAsia="Times New Roman" w:hAnsi="Arial" w:cs="Arial"/>
        </w:rPr>
        <w:t>-</w:t>
      </w:r>
      <w:r w:rsidR="009B4418">
        <w:rPr>
          <w:rFonts w:ascii="Arial" w:eastAsia="Times New Roman" w:hAnsi="Arial" w:cs="Arial"/>
        </w:rPr>
        <w:t xml:space="preserve"> </w:t>
      </w:r>
      <w:r w:rsidR="009B4418" w:rsidRPr="009B4418">
        <w:rPr>
          <w:rFonts w:ascii="Arial" w:eastAsia="Times New Roman" w:hAnsi="Arial" w:cs="Arial"/>
        </w:rPr>
        <w:t xml:space="preserve">Demographic profile of the respondents in terms of </w:t>
      </w:r>
      <w:r w:rsidR="009B4418">
        <w:rPr>
          <w:rFonts w:ascii="Arial" w:eastAsia="Times New Roman" w:hAnsi="Arial" w:cs="Arial"/>
        </w:rPr>
        <w:t>Position</w:t>
      </w:r>
    </w:p>
    <w:p w14:paraId="67A5E4D5" w14:textId="77777777" w:rsidR="0037632B" w:rsidRPr="005F1BEC" w:rsidRDefault="0037632B" w:rsidP="0037632B">
      <w:pPr>
        <w:jc w:val="both"/>
        <w:rPr>
          <w:rFonts w:ascii="Arial" w:eastAsia="Times New Roman" w:hAnsi="Arial" w:cs="Arial"/>
          <w:b/>
          <w:bCs/>
        </w:rPr>
      </w:pPr>
    </w:p>
    <w:tbl>
      <w:tblPr>
        <w:tblStyle w:val="TableGridLight1"/>
        <w:tblW w:w="8614" w:type="dxa"/>
        <w:jc w:val="center"/>
        <w:tblInd w:w="0" w:type="dxa"/>
        <w:tblLook w:val="04A0" w:firstRow="1" w:lastRow="0" w:firstColumn="1" w:lastColumn="0" w:noHBand="0" w:noVBand="1"/>
      </w:tblPr>
      <w:tblGrid>
        <w:gridCol w:w="4530"/>
        <w:gridCol w:w="2026"/>
        <w:gridCol w:w="2058"/>
      </w:tblGrid>
      <w:tr w:rsidR="005F1BEC" w:rsidRPr="005F1BEC" w14:paraId="0B3A361D" w14:textId="77777777" w:rsidTr="001E0372">
        <w:trPr>
          <w:trHeight w:val="318"/>
          <w:jc w:val="center"/>
        </w:trPr>
        <w:tc>
          <w:tcPr>
            <w:tcW w:w="4530" w:type="dxa"/>
            <w:tcBorders>
              <w:top w:val="single" w:sz="4" w:space="0" w:color="auto"/>
              <w:left w:val="nil"/>
              <w:bottom w:val="single" w:sz="4" w:space="0" w:color="auto"/>
              <w:right w:val="nil"/>
            </w:tcBorders>
          </w:tcPr>
          <w:p w14:paraId="5D3E34D5"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Position</w:t>
            </w:r>
          </w:p>
        </w:tc>
        <w:tc>
          <w:tcPr>
            <w:tcW w:w="2026" w:type="dxa"/>
            <w:tcBorders>
              <w:top w:val="single" w:sz="4" w:space="0" w:color="auto"/>
              <w:left w:val="nil"/>
              <w:bottom w:val="single" w:sz="4" w:space="0" w:color="auto"/>
              <w:right w:val="nil"/>
            </w:tcBorders>
          </w:tcPr>
          <w:p w14:paraId="367DC731"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Frequency</w:t>
            </w:r>
          </w:p>
        </w:tc>
        <w:tc>
          <w:tcPr>
            <w:tcW w:w="2058" w:type="dxa"/>
            <w:tcBorders>
              <w:top w:val="single" w:sz="4" w:space="0" w:color="auto"/>
              <w:left w:val="nil"/>
              <w:bottom w:val="single" w:sz="4" w:space="0" w:color="auto"/>
              <w:right w:val="nil"/>
            </w:tcBorders>
          </w:tcPr>
          <w:p w14:paraId="124F674A"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Percent</w:t>
            </w:r>
          </w:p>
        </w:tc>
      </w:tr>
      <w:tr w:rsidR="005F1BEC" w:rsidRPr="005F1BEC" w14:paraId="721A4C7F" w14:textId="77777777" w:rsidTr="001E0372">
        <w:trPr>
          <w:trHeight w:val="318"/>
          <w:jc w:val="center"/>
        </w:trPr>
        <w:tc>
          <w:tcPr>
            <w:tcW w:w="4530" w:type="dxa"/>
            <w:tcBorders>
              <w:top w:val="single" w:sz="4" w:space="0" w:color="auto"/>
              <w:left w:val="nil"/>
              <w:bottom w:val="single" w:sz="4" w:space="0" w:color="auto"/>
              <w:right w:val="nil"/>
            </w:tcBorders>
          </w:tcPr>
          <w:p w14:paraId="533A9ACD" w14:textId="77777777" w:rsidR="005F1BEC" w:rsidRPr="005F1BEC" w:rsidRDefault="005F1BEC" w:rsidP="005F1BEC">
            <w:pPr>
              <w:jc w:val="both"/>
              <w:rPr>
                <w:rFonts w:ascii="Arial" w:eastAsia="Times New Roman" w:hAnsi="Arial" w:cs="Arial" w:hint="default"/>
              </w:rPr>
            </w:pPr>
            <w:r w:rsidRPr="005F1BEC">
              <w:rPr>
                <w:rFonts w:ascii="Arial" w:eastAsia="Times New Roman" w:hAnsi="Arial" w:cs="Arial" w:hint="default"/>
                <w:lang w:bidi="ar"/>
              </w:rPr>
              <w:t>School In-charge/Head</w:t>
            </w:r>
          </w:p>
        </w:tc>
        <w:tc>
          <w:tcPr>
            <w:tcW w:w="2026" w:type="dxa"/>
            <w:tcBorders>
              <w:top w:val="single" w:sz="4" w:space="0" w:color="auto"/>
              <w:left w:val="nil"/>
              <w:bottom w:val="single" w:sz="4" w:space="0" w:color="auto"/>
              <w:right w:val="nil"/>
            </w:tcBorders>
            <w:noWrap/>
          </w:tcPr>
          <w:p w14:paraId="0A518105"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11</w:t>
            </w:r>
          </w:p>
        </w:tc>
        <w:tc>
          <w:tcPr>
            <w:tcW w:w="2058" w:type="dxa"/>
            <w:tcBorders>
              <w:top w:val="single" w:sz="4" w:space="0" w:color="auto"/>
              <w:left w:val="nil"/>
              <w:bottom w:val="single" w:sz="4" w:space="0" w:color="auto"/>
              <w:right w:val="nil"/>
            </w:tcBorders>
            <w:noWrap/>
          </w:tcPr>
          <w:p w14:paraId="73CF486C"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29.73</w:t>
            </w:r>
          </w:p>
        </w:tc>
      </w:tr>
      <w:tr w:rsidR="005F1BEC" w:rsidRPr="005F1BEC" w14:paraId="30DE873A" w14:textId="77777777" w:rsidTr="001E0372">
        <w:trPr>
          <w:trHeight w:val="318"/>
          <w:jc w:val="center"/>
        </w:trPr>
        <w:tc>
          <w:tcPr>
            <w:tcW w:w="4530" w:type="dxa"/>
            <w:tcBorders>
              <w:top w:val="single" w:sz="4" w:space="0" w:color="auto"/>
              <w:left w:val="nil"/>
              <w:bottom w:val="single" w:sz="4" w:space="0" w:color="auto"/>
              <w:right w:val="nil"/>
            </w:tcBorders>
          </w:tcPr>
          <w:p w14:paraId="75F58850" w14:textId="77777777" w:rsidR="005F1BEC" w:rsidRPr="005F1BEC" w:rsidRDefault="005F1BEC" w:rsidP="005F1BEC">
            <w:pPr>
              <w:jc w:val="both"/>
              <w:rPr>
                <w:rFonts w:ascii="Arial" w:eastAsia="Times New Roman" w:hAnsi="Arial" w:cs="Arial" w:hint="default"/>
              </w:rPr>
            </w:pPr>
            <w:r w:rsidRPr="005F1BEC">
              <w:rPr>
                <w:rFonts w:ascii="Arial" w:eastAsia="Times New Roman" w:hAnsi="Arial" w:cs="Arial" w:hint="default"/>
                <w:lang w:bidi="ar"/>
              </w:rPr>
              <w:t>Head Teacher</w:t>
            </w:r>
          </w:p>
        </w:tc>
        <w:tc>
          <w:tcPr>
            <w:tcW w:w="2026" w:type="dxa"/>
            <w:tcBorders>
              <w:top w:val="single" w:sz="4" w:space="0" w:color="auto"/>
              <w:left w:val="nil"/>
              <w:bottom w:val="single" w:sz="4" w:space="0" w:color="auto"/>
              <w:right w:val="nil"/>
            </w:tcBorders>
            <w:noWrap/>
          </w:tcPr>
          <w:p w14:paraId="677B5FB8"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12</w:t>
            </w:r>
          </w:p>
        </w:tc>
        <w:tc>
          <w:tcPr>
            <w:tcW w:w="2058" w:type="dxa"/>
            <w:tcBorders>
              <w:top w:val="single" w:sz="4" w:space="0" w:color="auto"/>
              <w:left w:val="nil"/>
              <w:bottom w:val="single" w:sz="4" w:space="0" w:color="auto"/>
              <w:right w:val="nil"/>
            </w:tcBorders>
            <w:noWrap/>
          </w:tcPr>
          <w:p w14:paraId="0313FD06"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32.43</w:t>
            </w:r>
          </w:p>
        </w:tc>
      </w:tr>
      <w:tr w:rsidR="005F1BEC" w:rsidRPr="005F1BEC" w14:paraId="4852DFCC" w14:textId="77777777" w:rsidTr="001E0372">
        <w:trPr>
          <w:trHeight w:val="318"/>
          <w:jc w:val="center"/>
        </w:trPr>
        <w:tc>
          <w:tcPr>
            <w:tcW w:w="4530" w:type="dxa"/>
            <w:tcBorders>
              <w:top w:val="single" w:sz="4" w:space="0" w:color="auto"/>
              <w:left w:val="nil"/>
              <w:bottom w:val="single" w:sz="4" w:space="0" w:color="auto"/>
              <w:right w:val="nil"/>
            </w:tcBorders>
          </w:tcPr>
          <w:p w14:paraId="63F690D1" w14:textId="77777777" w:rsidR="005F1BEC" w:rsidRPr="005F1BEC" w:rsidRDefault="005F1BEC" w:rsidP="005F1BEC">
            <w:pPr>
              <w:jc w:val="both"/>
              <w:rPr>
                <w:rFonts w:ascii="Arial" w:eastAsia="Times New Roman" w:hAnsi="Arial" w:cs="Arial" w:hint="default"/>
              </w:rPr>
            </w:pPr>
            <w:r w:rsidRPr="005F1BEC">
              <w:rPr>
                <w:rFonts w:ascii="Arial" w:eastAsia="Times New Roman" w:hAnsi="Arial" w:cs="Arial" w:hint="default"/>
                <w:lang w:bidi="ar"/>
              </w:rPr>
              <w:t>School Principal</w:t>
            </w:r>
          </w:p>
        </w:tc>
        <w:tc>
          <w:tcPr>
            <w:tcW w:w="2026" w:type="dxa"/>
            <w:tcBorders>
              <w:top w:val="single" w:sz="4" w:space="0" w:color="auto"/>
              <w:left w:val="nil"/>
              <w:bottom w:val="single" w:sz="4" w:space="0" w:color="auto"/>
              <w:right w:val="nil"/>
            </w:tcBorders>
            <w:noWrap/>
          </w:tcPr>
          <w:p w14:paraId="051E7D1E"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14</w:t>
            </w:r>
          </w:p>
        </w:tc>
        <w:tc>
          <w:tcPr>
            <w:tcW w:w="2058" w:type="dxa"/>
            <w:tcBorders>
              <w:top w:val="single" w:sz="4" w:space="0" w:color="auto"/>
              <w:left w:val="nil"/>
              <w:bottom w:val="single" w:sz="4" w:space="0" w:color="auto"/>
              <w:right w:val="nil"/>
            </w:tcBorders>
            <w:noWrap/>
          </w:tcPr>
          <w:p w14:paraId="7DB29D8B"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37.84</w:t>
            </w:r>
          </w:p>
        </w:tc>
      </w:tr>
      <w:tr w:rsidR="005F1BEC" w:rsidRPr="005F1BEC" w14:paraId="17F2315F" w14:textId="77777777" w:rsidTr="001E0372">
        <w:trPr>
          <w:trHeight w:val="318"/>
          <w:jc w:val="center"/>
        </w:trPr>
        <w:tc>
          <w:tcPr>
            <w:tcW w:w="4530" w:type="dxa"/>
            <w:tcBorders>
              <w:top w:val="single" w:sz="4" w:space="0" w:color="auto"/>
              <w:left w:val="nil"/>
              <w:bottom w:val="single" w:sz="4" w:space="0" w:color="auto"/>
              <w:right w:val="nil"/>
            </w:tcBorders>
          </w:tcPr>
          <w:p w14:paraId="2E606A28"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Total</w:t>
            </w:r>
          </w:p>
        </w:tc>
        <w:tc>
          <w:tcPr>
            <w:tcW w:w="2026" w:type="dxa"/>
            <w:tcBorders>
              <w:top w:val="single" w:sz="4" w:space="0" w:color="auto"/>
              <w:left w:val="nil"/>
              <w:bottom w:val="single" w:sz="4" w:space="0" w:color="auto"/>
              <w:right w:val="nil"/>
            </w:tcBorders>
            <w:noWrap/>
          </w:tcPr>
          <w:p w14:paraId="43D53A3A"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37</w:t>
            </w:r>
          </w:p>
        </w:tc>
        <w:tc>
          <w:tcPr>
            <w:tcW w:w="2058" w:type="dxa"/>
            <w:tcBorders>
              <w:top w:val="single" w:sz="4" w:space="0" w:color="auto"/>
              <w:left w:val="nil"/>
              <w:bottom w:val="single" w:sz="4" w:space="0" w:color="auto"/>
              <w:right w:val="nil"/>
            </w:tcBorders>
            <w:noWrap/>
          </w:tcPr>
          <w:p w14:paraId="662797AA"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100.00</w:t>
            </w:r>
          </w:p>
        </w:tc>
      </w:tr>
    </w:tbl>
    <w:p w14:paraId="415CD078" w14:textId="77777777" w:rsidR="005F1BEC" w:rsidRPr="005F1BEC" w:rsidRDefault="005F1BEC" w:rsidP="005F1BEC">
      <w:pPr>
        <w:jc w:val="both"/>
        <w:rPr>
          <w:rFonts w:ascii="Arial" w:eastAsia="Times New Roman" w:hAnsi="Arial" w:cs="Arial"/>
        </w:rPr>
      </w:pPr>
    </w:p>
    <w:p w14:paraId="044F79C6" w14:textId="77777777" w:rsidR="0037632B" w:rsidRPr="0037632B" w:rsidRDefault="0037632B" w:rsidP="0037632B">
      <w:pPr>
        <w:jc w:val="both"/>
        <w:rPr>
          <w:rFonts w:ascii="Arial" w:eastAsia="DengXian" w:hAnsi="Arial" w:cs="Arial"/>
        </w:rPr>
      </w:pPr>
      <w:r w:rsidRPr="0037632B">
        <w:rPr>
          <w:rFonts w:ascii="Arial" w:eastAsia="DengXian" w:hAnsi="Arial" w:cs="Arial"/>
        </w:rPr>
        <w:t xml:space="preserve">Principals are consistently identified as the main source of employer feedback, as they directly observe and assess newly hired teachers. Aquino et al. (2015) and </w:t>
      </w:r>
      <w:proofErr w:type="spellStart"/>
      <w:r w:rsidRPr="0037632B">
        <w:rPr>
          <w:rFonts w:ascii="Arial" w:eastAsia="DengXian" w:hAnsi="Arial" w:cs="Arial"/>
        </w:rPr>
        <w:t>Oboza</w:t>
      </w:r>
      <w:proofErr w:type="spellEnd"/>
      <w:r w:rsidRPr="0037632B">
        <w:rPr>
          <w:rFonts w:ascii="Arial" w:eastAsia="DengXian" w:hAnsi="Arial" w:cs="Arial"/>
        </w:rPr>
        <w:t xml:space="preserve"> (2017) emphasized that most tracer studies rely on principals for performance evaluations due to their authoritative insight. Likewise, </w:t>
      </w:r>
      <w:proofErr w:type="spellStart"/>
      <w:r w:rsidRPr="0037632B">
        <w:rPr>
          <w:rFonts w:ascii="Arial" w:eastAsia="DengXian" w:hAnsi="Arial" w:cs="Arial"/>
        </w:rPr>
        <w:t>Ulanday</w:t>
      </w:r>
      <w:proofErr w:type="spellEnd"/>
      <w:r w:rsidRPr="0037632B">
        <w:rPr>
          <w:rFonts w:ascii="Arial" w:eastAsia="DengXian" w:hAnsi="Arial" w:cs="Arial"/>
        </w:rPr>
        <w:t xml:space="preserve"> (2021) confirmed their central role in evaluating teacher performance, particularly in public elementary schools.</w:t>
      </w:r>
    </w:p>
    <w:p w14:paraId="77FF64BD" w14:textId="77777777" w:rsidR="0037632B" w:rsidRPr="0037632B" w:rsidRDefault="0037632B" w:rsidP="0037632B">
      <w:pPr>
        <w:jc w:val="both"/>
        <w:rPr>
          <w:rFonts w:ascii="Arial" w:eastAsia="DengXian" w:hAnsi="Arial" w:cs="Arial"/>
        </w:rPr>
      </w:pPr>
    </w:p>
    <w:p w14:paraId="0AAB0944" w14:textId="55065162" w:rsidR="005F1BEC" w:rsidRPr="005F1BEC" w:rsidRDefault="0037632B" w:rsidP="0037632B">
      <w:pPr>
        <w:jc w:val="both"/>
        <w:rPr>
          <w:rFonts w:ascii="Arial" w:eastAsia="DengXian" w:hAnsi="Arial" w:cs="Arial"/>
        </w:rPr>
      </w:pPr>
      <w:r w:rsidRPr="0037632B">
        <w:rPr>
          <w:rFonts w:ascii="Arial" w:eastAsia="DengXian" w:hAnsi="Arial" w:cs="Arial"/>
        </w:rPr>
        <w:t xml:space="preserve">Table </w:t>
      </w:r>
      <w:r w:rsidR="003733BF">
        <w:rPr>
          <w:rFonts w:ascii="Arial" w:eastAsia="DengXian" w:hAnsi="Arial" w:cs="Arial"/>
        </w:rPr>
        <w:t>4</w:t>
      </w:r>
      <w:r w:rsidRPr="0037632B">
        <w:rPr>
          <w:rFonts w:ascii="Arial" w:eastAsia="DengXian" w:hAnsi="Arial" w:cs="Arial"/>
        </w:rPr>
        <w:t xml:space="preserve"> shows that 59.46% of respondents have 16 or more years of service, indicating extensive experience that strengthens the c</w:t>
      </w:r>
      <w:r>
        <w:rPr>
          <w:rFonts w:ascii="Arial" w:eastAsia="DengXian" w:hAnsi="Arial" w:cs="Arial"/>
        </w:rPr>
        <w:t>redibility of their evaluations</w:t>
      </w:r>
      <w:r w:rsidR="005F1BEC" w:rsidRPr="005F1BEC">
        <w:rPr>
          <w:rFonts w:ascii="Arial" w:eastAsia="DengXian" w:hAnsi="Arial" w:cs="Arial"/>
        </w:rPr>
        <w:t xml:space="preserve">. </w:t>
      </w:r>
    </w:p>
    <w:p w14:paraId="5E8F2030" w14:textId="3C9A2E83" w:rsidR="005F1BEC" w:rsidRPr="005F1BEC" w:rsidRDefault="005F1BEC" w:rsidP="005F1BEC">
      <w:pPr>
        <w:jc w:val="both"/>
        <w:rPr>
          <w:rFonts w:ascii="Arial" w:eastAsia="DengXian" w:hAnsi="Arial" w:cs="Arial"/>
        </w:rPr>
      </w:pPr>
      <w:r w:rsidRPr="005F1BEC">
        <w:rPr>
          <w:rFonts w:ascii="Arial" w:eastAsia="Calibri" w:hAnsi="Arial" w:cs="Arial"/>
          <w:lang w:bidi="ar"/>
        </w:rPr>
        <w:t xml:space="preserve">Table </w:t>
      </w:r>
      <w:r w:rsidR="003733BF">
        <w:rPr>
          <w:rFonts w:ascii="Arial" w:eastAsia="Calibri" w:hAnsi="Arial" w:cs="Arial"/>
          <w:lang w:bidi="ar"/>
        </w:rPr>
        <w:t>4</w:t>
      </w:r>
      <w:r w:rsidRPr="005F1BEC">
        <w:rPr>
          <w:rFonts w:ascii="Arial" w:eastAsia="Calibri" w:hAnsi="Arial" w:cs="Arial"/>
          <w:lang w:bidi="ar"/>
        </w:rPr>
        <w:t>. Demographic profile of the respondents in terms of years in service</w:t>
      </w:r>
    </w:p>
    <w:tbl>
      <w:tblPr>
        <w:tblW w:w="8373" w:type="dxa"/>
        <w:tblInd w:w="146" w:type="dxa"/>
        <w:tblLook w:val="04A0" w:firstRow="1" w:lastRow="0" w:firstColumn="1" w:lastColumn="0" w:noHBand="0" w:noVBand="1"/>
      </w:tblPr>
      <w:tblGrid>
        <w:gridCol w:w="4421"/>
        <w:gridCol w:w="1961"/>
        <w:gridCol w:w="1991"/>
      </w:tblGrid>
      <w:tr w:rsidR="005F1BEC" w:rsidRPr="005F1BEC" w14:paraId="5E217AF9" w14:textId="77777777" w:rsidTr="0037632B">
        <w:trPr>
          <w:trHeight w:val="309"/>
        </w:trPr>
        <w:tc>
          <w:tcPr>
            <w:tcW w:w="4421" w:type="dxa"/>
            <w:tcBorders>
              <w:top w:val="single" w:sz="4" w:space="0" w:color="auto"/>
              <w:left w:val="nil"/>
              <w:bottom w:val="single" w:sz="4" w:space="0" w:color="auto"/>
              <w:right w:val="nil"/>
            </w:tcBorders>
          </w:tcPr>
          <w:p w14:paraId="33D2AAE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Years in Service</w:t>
            </w:r>
          </w:p>
        </w:tc>
        <w:tc>
          <w:tcPr>
            <w:tcW w:w="1961" w:type="dxa"/>
            <w:tcBorders>
              <w:top w:val="single" w:sz="4" w:space="0" w:color="auto"/>
              <w:left w:val="nil"/>
              <w:bottom w:val="single" w:sz="4" w:space="0" w:color="auto"/>
              <w:right w:val="nil"/>
            </w:tcBorders>
          </w:tcPr>
          <w:p w14:paraId="33F3351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Frequency</w:t>
            </w:r>
          </w:p>
        </w:tc>
        <w:tc>
          <w:tcPr>
            <w:tcW w:w="1991" w:type="dxa"/>
            <w:tcBorders>
              <w:top w:val="single" w:sz="4" w:space="0" w:color="auto"/>
              <w:left w:val="nil"/>
              <w:bottom w:val="single" w:sz="4" w:space="0" w:color="auto"/>
              <w:right w:val="nil"/>
            </w:tcBorders>
          </w:tcPr>
          <w:p w14:paraId="1449612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Percent</w:t>
            </w:r>
          </w:p>
        </w:tc>
      </w:tr>
      <w:tr w:rsidR="005F1BEC" w:rsidRPr="005F1BEC" w14:paraId="2844C29E" w14:textId="77777777" w:rsidTr="0037632B">
        <w:trPr>
          <w:trHeight w:val="309"/>
        </w:trPr>
        <w:tc>
          <w:tcPr>
            <w:tcW w:w="4421" w:type="dxa"/>
            <w:tcBorders>
              <w:top w:val="single" w:sz="4" w:space="0" w:color="auto"/>
              <w:left w:val="nil"/>
              <w:bottom w:val="single" w:sz="4" w:space="0" w:color="auto"/>
              <w:right w:val="nil"/>
            </w:tcBorders>
          </w:tcPr>
          <w:p w14:paraId="45777FD1"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1 to 5 years</w:t>
            </w:r>
          </w:p>
        </w:tc>
        <w:tc>
          <w:tcPr>
            <w:tcW w:w="1961" w:type="dxa"/>
            <w:tcBorders>
              <w:top w:val="single" w:sz="4" w:space="0" w:color="auto"/>
              <w:left w:val="nil"/>
              <w:bottom w:val="single" w:sz="4" w:space="0" w:color="auto"/>
              <w:right w:val="nil"/>
            </w:tcBorders>
            <w:noWrap/>
          </w:tcPr>
          <w:p w14:paraId="146F5B3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w:t>
            </w:r>
          </w:p>
        </w:tc>
        <w:tc>
          <w:tcPr>
            <w:tcW w:w="1991" w:type="dxa"/>
            <w:tcBorders>
              <w:top w:val="single" w:sz="4" w:space="0" w:color="auto"/>
              <w:left w:val="nil"/>
              <w:bottom w:val="single" w:sz="4" w:space="0" w:color="auto"/>
              <w:right w:val="nil"/>
            </w:tcBorders>
            <w:noWrap/>
          </w:tcPr>
          <w:p w14:paraId="0F0AB16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10.81</w:t>
            </w:r>
          </w:p>
        </w:tc>
      </w:tr>
      <w:tr w:rsidR="005F1BEC" w:rsidRPr="005F1BEC" w14:paraId="05FC72FA" w14:textId="77777777" w:rsidTr="0037632B">
        <w:trPr>
          <w:trHeight w:val="309"/>
        </w:trPr>
        <w:tc>
          <w:tcPr>
            <w:tcW w:w="4421" w:type="dxa"/>
            <w:tcBorders>
              <w:top w:val="single" w:sz="4" w:space="0" w:color="auto"/>
              <w:left w:val="nil"/>
              <w:bottom w:val="single" w:sz="4" w:space="0" w:color="auto"/>
              <w:right w:val="nil"/>
            </w:tcBorders>
          </w:tcPr>
          <w:p w14:paraId="70EAE71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6 to 10 years</w:t>
            </w:r>
          </w:p>
        </w:tc>
        <w:tc>
          <w:tcPr>
            <w:tcW w:w="1961" w:type="dxa"/>
            <w:tcBorders>
              <w:top w:val="single" w:sz="4" w:space="0" w:color="auto"/>
              <w:left w:val="nil"/>
              <w:bottom w:val="single" w:sz="4" w:space="0" w:color="auto"/>
              <w:right w:val="nil"/>
            </w:tcBorders>
            <w:noWrap/>
          </w:tcPr>
          <w:p w14:paraId="7EB01FF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3</w:t>
            </w:r>
          </w:p>
        </w:tc>
        <w:tc>
          <w:tcPr>
            <w:tcW w:w="1991" w:type="dxa"/>
            <w:tcBorders>
              <w:top w:val="single" w:sz="4" w:space="0" w:color="auto"/>
              <w:left w:val="nil"/>
              <w:bottom w:val="single" w:sz="4" w:space="0" w:color="auto"/>
              <w:right w:val="nil"/>
            </w:tcBorders>
            <w:noWrap/>
          </w:tcPr>
          <w:p w14:paraId="45C7330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8.11</w:t>
            </w:r>
          </w:p>
        </w:tc>
      </w:tr>
      <w:tr w:rsidR="005F1BEC" w:rsidRPr="005F1BEC" w14:paraId="00C17687" w14:textId="77777777" w:rsidTr="0037632B">
        <w:trPr>
          <w:trHeight w:val="309"/>
        </w:trPr>
        <w:tc>
          <w:tcPr>
            <w:tcW w:w="4421" w:type="dxa"/>
            <w:tcBorders>
              <w:top w:val="single" w:sz="4" w:space="0" w:color="auto"/>
              <w:left w:val="nil"/>
              <w:bottom w:val="single" w:sz="4" w:space="0" w:color="auto"/>
              <w:right w:val="nil"/>
            </w:tcBorders>
          </w:tcPr>
          <w:p w14:paraId="40D38A7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11 to 15 years</w:t>
            </w:r>
          </w:p>
        </w:tc>
        <w:tc>
          <w:tcPr>
            <w:tcW w:w="1961" w:type="dxa"/>
            <w:tcBorders>
              <w:top w:val="single" w:sz="4" w:space="0" w:color="auto"/>
              <w:left w:val="nil"/>
              <w:bottom w:val="single" w:sz="4" w:space="0" w:color="auto"/>
              <w:right w:val="nil"/>
            </w:tcBorders>
            <w:noWrap/>
          </w:tcPr>
          <w:p w14:paraId="0E746A3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w:t>
            </w:r>
          </w:p>
        </w:tc>
        <w:tc>
          <w:tcPr>
            <w:tcW w:w="1991" w:type="dxa"/>
            <w:tcBorders>
              <w:top w:val="single" w:sz="4" w:space="0" w:color="auto"/>
              <w:left w:val="nil"/>
              <w:bottom w:val="single" w:sz="4" w:space="0" w:color="auto"/>
              <w:right w:val="nil"/>
            </w:tcBorders>
            <w:noWrap/>
          </w:tcPr>
          <w:p w14:paraId="231BE8D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21.62</w:t>
            </w:r>
          </w:p>
        </w:tc>
      </w:tr>
      <w:tr w:rsidR="005F1BEC" w:rsidRPr="005F1BEC" w14:paraId="60C28AD3" w14:textId="77777777" w:rsidTr="0037632B">
        <w:trPr>
          <w:trHeight w:val="309"/>
        </w:trPr>
        <w:tc>
          <w:tcPr>
            <w:tcW w:w="4421" w:type="dxa"/>
            <w:tcBorders>
              <w:top w:val="single" w:sz="4" w:space="0" w:color="auto"/>
              <w:left w:val="nil"/>
              <w:bottom w:val="single" w:sz="4" w:space="0" w:color="auto"/>
              <w:right w:val="nil"/>
            </w:tcBorders>
          </w:tcPr>
          <w:p w14:paraId="18ECBF69"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16 years and above</w:t>
            </w:r>
          </w:p>
        </w:tc>
        <w:tc>
          <w:tcPr>
            <w:tcW w:w="1961" w:type="dxa"/>
            <w:tcBorders>
              <w:top w:val="single" w:sz="4" w:space="0" w:color="auto"/>
              <w:left w:val="nil"/>
              <w:bottom w:val="single" w:sz="4" w:space="0" w:color="auto"/>
              <w:right w:val="nil"/>
            </w:tcBorders>
            <w:noWrap/>
          </w:tcPr>
          <w:p w14:paraId="4D77D29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22</w:t>
            </w:r>
          </w:p>
        </w:tc>
        <w:tc>
          <w:tcPr>
            <w:tcW w:w="1991" w:type="dxa"/>
            <w:tcBorders>
              <w:top w:val="single" w:sz="4" w:space="0" w:color="auto"/>
              <w:left w:val="nil"/>
              <w:bottom w:val="single" w:sz="4" w:space="0" w:color="auto"/>
              <w:right w:val="nil"/>
            </w:tcBorders>
            <w:noWrap/>
          </w:tcPr>
          <w:p w14:paraId="08D7FAF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59.46</w:t>
            </w:r>
          </w:p>
        </w:tc>
      </w:tr>
      <w:tr w:rsidR="005F1BEC" w:rsidRPr="005F1BEC" w14:paraId="1E437C3B" w14:textId="77777777" w:rsidTr="0037632B">
        <w:trPr>
          <w:trHeight w:val="309"/>
        </w:trPr>
        <w:tc>
          <w:tcPr>
            <w:tcW w:w="4421" w:type="dxa"/>
            <w:tcBorders>
              <w:top w:val="single" w:sz="4" w:space="0" w:color="auto"/>
              <w:left w:val="nil"/>
              <w:bottom w:val="single" w:sz="4" w:space="0" w:color="auto"/>
              <w:right w:val="nil"/>
            </w:tcBorders>
          </w:tcPr>
          <w:p w14:paraId="22549EF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Total</w:t>
            </w:r>
          </w:p>
        </w:tc>
        <w:tc>
          <w:tcPr>
            <w:tcW w:w="1961" w:type="dxa"/>
            <w:tcBorders>
              <w:top w:val="single" w:sz="4" w:space="0" w:color="auto"/>
              <w:left w:val="nil"/>
              <w:bottom w:val="single" w:sz="4" w:space="0" w:color="auto"/>
              <w:right w:val="nil"/>
            </w:tcBorders>
            <w:noWrap/>
          </w:tcPr>
          <w:p w14:paraId="23641DB0"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37</w:t>
            </w:r>
          </w:p>
        </w:tc>
        <w:tc>
          <w:tcPr>
            <w:tcW w:w="1991" w:type="dxa"/>
            <w:tcBorders>
              <w:top w:val="single" w:sz="4" w:space="0" w:color="auto"/>
              <w:left w:val="nil"/>
              <w:bottom w:val="single" w:sz="4" w:space="0" w:color="auto"/>
              <w:right w:val="nil"/>
            </w:tcBorders>
            <w:noWrap/>
          </w:tcPr>
          <w:p w14:paraId="52D3B13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100.00</w:t>
            </w:r>
          </w:p>
        </w:tc>
      </w:tr>
    </w:tbl>
    <w:p w14:paraId="1E019BB5" w14:textId="77777777" w:rsidR="005F1BEC" w:rsidRPr="005F1BEC" w:rsidRDefault="005F1BEC" w:rsidP="005F1BEC">
      <w:pPr>
        <w:jc w:val="both"/>
        <w:rPr>
          <w:rFonts w:ascii="Arial" w:eastAsia="DengXian" w:hAnsi="Arial" w:cs="Arial"/>
        </w:rPr>
      </w:pPr>
    </w:p>
    <w:p w14:paraId="12D05C43" w14:textId="01D7D1D5" w:rsidR="0037632B" w:rsidRDefault="007C5F1E" w:rsidP="0037632B">
      <w:pPr>
        <w:jc w:val="both"/>
        <w:rPr>
          <w:rFonts w:ascii="Arial" w:eastAsia="DengXian" w:hAnsi="Arial" w:cs="Arial"/>
        </w:rPr>
      </w:pPr>
      <w:r w:rsidRPr="007C5F1E">
        <w:rPr>
          <w:rFonts w:ascii="Arial" w:eastAsia="DengXian" w:hAnsi="Arial" w:cs="Arial"/>
        </w:rPr>
        <w:lastRenderedPageBreak/>
        <w:t xml:space="preserve">he respondents’ long service enhances data reliability, as experience improves evaluation accuracy. Studies by </w:t>
      </w:r>
      <w:proofErr w:type="spellStart"/>
      <w:r w:rsidRPr="007C5F1E">
        <w:rPr>
          <w:rFonts w:ascii="Arial" w:eastAsia="DengXian" w:hAnsi="Arial" w:cs="Arial"/>
        </w:rPr>
        <w:t>Bayocot</w:t>
      </w:r>
      <w:proofErr w:type="spellEnd"/>
      <w:r w:rsidRPr="007C5F1E">
        <w:rPr>
          <w:rFonts w:ascii="Arial" w:eastAsia="DengXian" w:hAnsi="Arial" w:cs="Arial"/>
        </w:rPr>
        <w:t xml:space="preserve"> &amp; </w:t>
      </w:r>
      <w:proofErr w:type="spellStart"/>
      <w:r w:rsidRPr="007C5F1E">
        <w:rPr>
          <w:rFonts w:ascii="Arial" w:eastAsia="DengXian" w:hAnsi="Arial" w:cs="Arial"/>
        </w:rPr>
        <w:t>Dagdag</w:t>
      </w:r>
      <w:proofErr w:type="spellEnd"/>
      <w:r w:rsidRPr="007C5F1E">
        <w:rPr>
          <w:rFonts w:ascii="Arial" w:eastAsia="DengXian" w:hAnsi="Arial" w:cs="Arial"/>
        </w:rPr>
        <w:t xml:space="preserve"> (2016) and </w:t>
      </w:r>
      <w:proofErr w:type="spellStart"/>
      <w:r w:rsidRPr="007C5F1E">
        <w:rPr>
          <w:rFonts w:ascii="Arial" w:eastAsia="DengXian" w:hAnsi="Arial" w:cs="Arial"/>
        </w:rPr>
        <w:t>Padios</w:t>
      </w:r>
      <w:proofErr w:type="spellEnd"/>
      <w:r w:rsidRPr="007C5F1E">
        <w:rPr>
          <w:rFonts w:ascii="Arial" w:eastAsia="DengXian" w:hAnsi="Arial" w:cs="Arial"/>
        </w:rPr>
        <w:t xml:space="preserve"> (2021) support that seasoned supervisors (16+ years) are well-suited to assess graduate competencies.</w:t>
      </w:r>
    </w:p>
    <w:p w14:paraId="4F9977D9" w14:textId="77777777" w:rsidR="007C5F1E" w:rsidRPr="0037632B" w:rsidRDefault="007C5F1E" w:rsidP="0037632B">
      <w:pPr>
        <w:jc w:val="both"/>
        <w:rPr>
          <w:rFonts w:ascii="Arial" w:eastAsia="DengXian" w:hAnsi="Arial" w:cs="Arial"/>
        </w:rPr>
      </w:pPr>
    </w:p>
    <w:p w14:paraId="5E70332E" w14:textId="1BC9A0B1" w:rsidR="0037632B" w:rsidRPr="0037632B" w:rsidRDefault="0037632B" w:rsidP="0037632B">
      <w:pPr>
        <w:jc w:val="both"/>
        <w:rPr>
          <w:rFonts w:ascii="Arial" w:eastAsia="DengXian" w:hAnsi="Arial" w:cs="Arial"/>
        </w:rPr>
      </w:pPr>
      <w:r w:rsidRPr="0037632B">
        <w:rPr>
          <w:rFonts w:ascii="Arial" w:eastAsia="DengXian" w:hAnsi="Arial" w:cs="Arial"/>
        </w:rPr>
        <w:t xml:space="preserve">Table </w:t>
      </w:r>
      <w:r w:rsidR="003733BF">
        <w:rPr>
          <w:rFonts w:ascii="Arial" w:eastAsia="DengXian" w:hAnsi="Arial" w:cs="Arial"/>
        </w:rPr>
        <w:t>5</w:t>
      </w:r>
      <w:r w:rsidRPr="0037632B">
        <w:rPr>
          <w:rFonts w:ascii="Arial" w:eastAsia="DengXian" w:hAnsi="Arial" w:cs="Arial"/>
        </w:rPr>
        <w:t xml:space="preserve"> shows that 48.65% of respondents were from </w:t>
      </w:r>
      <w:proofErr w:type="spellStart"/>
      <w:r w:rsidRPr="0037632B">
        <w:rPr>
          <w:rFonts w:ascii="Arial" w:eastAsia="DengXian" w:hAnsi="Arial" w:cs="Arial"/>
        </w:rPr>
        <w:t>Cateel</w:t>
      </w:r>
      <w:proofErr w:type="spellEnd"/>
      <w:r w:rsidRPr="0037632B">
        <w:rPr>
          <w:rFonts w:ascii="Arial" w:eastAsia="DengXian" w:hAnsi="Arial" w:cs="Arial"/>
        </w:rPr>
        <w:t xml:space="preserve"> 2, with the rest from </w:t>
      </w:r>
      <w:proofErr w:type="spellStart"/>
      <w:r w:rsidRPr="0037632B">
        <w:rPr>
          <w:rFonts w:ascii="Arial" w:eastAsia="DengXian" w:hAnsi="Arial" w:cs="Arial"/>
        </w:rPr>
        <w:t>Cateel</w:t>
      </w:r>
      <w:proofErr w:type="spellEnd"/>
      <w:r w:rsidRPr="0037632B">
        <w:rPr>
          <w:rFonts w:ascii="Arial" w:eastAsia="DengXian" w:hAnsi="Arial" w:cs="Arial"/>
        </w:rPr>
        <w:t xml:space="preserve"> 1 (21.62%), Boston (21.62%), and </w:t>
      </w:r>
      <w:proofErr w:type="spellStart"/>
      <w:r w:rsidRPr="0037632B">
        <w:rPr>
          <w:rFonts w:ascii="Arial" w:eastAsia="DengXian" w:hAnsi="Arial" w:cs="Arial"/>
        </w:rPr>
        <w:t>Baganga</w:t>
      </w:r>
      <w:proofErr w:type="spellEnd"/>
      <w:r w:rsidRPr="0037632B">
        <w:rPr>
          <w:rFonts w:ascii="Arial" w:eastAsia="DengXian" w:hAnsi="Arial" w:cs="Arial"/>
        </w:rPr>
        <w:t xml:space="preserve"> North and South (8.11%). This reflects a broad district representation, supporting the study's validity.</w:t>
      </w:r>
    </w:p>
    <w:p w14:paraId="4B3A4321" w14:textId="2D2399B8" w:rsidR="005F1BEC" w:rsidRPr="005F1BEC" w:rsidRDefault="005F1BEC" w:rsidP="005F1BEC">
      <w:pPr>
        <w:jc w:val="both"/>
        <w:rPr>
          <w:rFonts w:ascii="Arial" w:eastAsia="Times New Roman" w:hAnsi="Arial" w:cs="Arial"/>
          <w:b/>
          <w:bCs/>
          <w:i/>
          <w:iCs/>
        </w:rPr>
      </w:pPr>
      <w:r w:rsidRPr="005F1BEC">
        <w:rPr>
          <w:rFonts w:ascii="Arial" w:eastAsia="Times New Roman" w:hAnsi="Arial" w:cs="Arial"/>
          <w:lang w:bidi="ar"/>
        </w:rPr>
        <w:t xml:space="preserve">Table </w:t>
      </w:r>
      <w:r w:rsidR="003733BF">
        <w:rPr>
          <w:rFonts w:ascii="Arial" w:eastAsia="Times New Roman" w:hAnsi="Arial" w:cs="Arial"/>
          <w:lang w:bidi="ar"/>
        </w:rPr>
        <w:t>5</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lang w:bidi="ar"/>
        </w:rPr>
        <w:t>Demographic profile of the respondents in terms of district</w:t>
      </w:r>
    </w:p>
    <w:tbl>
      <w:tblPr>
        <w:tblW w:w="8370" w:type="dxa"/>
        <w:tblInd w:w="88" w:type="dxa"/>
        <w:tblLook w:val="04A0" w:firstRow="1" w:lastRow="0" w:firstColumn="1" w:lastColumn="0" w:noHBand="0" w:noVBand="1"/>
      </w:tblPr>
      <w:tblGrid>
        <w:gridCol w:w="4821"/>
        <w:gridCol w:w="1761"/>
        <w:gridCol w:w="1788"/>
      </w:tblGrid>
      <w:tr w:rsidR="005F1BEC" w:rsidRPr="005F1BEC" w14:paraId="570EB099" w14:textId="77777777" w:rsidTr="0037632B">
        <w:trPr>
          <w:trHeight w:val="281"/>
        </w:trPr>
        <w:tc>
          <w:tcPr>
            <w:tcW w:w="4821" w:type="dxa"/>
            <w:tcBorders>
              <w:top w:val="single" w:sz="4" w:space="0" w:color="auto"/>
              <w:left w:val="nil"/>
              <w:bottom w:val="single" w:sz="4" w:space="0" w:color="auto"/>
              <w:right w:val="nil"/>
            </w:tcBorders>
          </w:tcPr>
          <w:p w14:paraId="152E198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School District</w:t>
            </w:r>
          </w:p>
        </w:tc>
        <w:tc>
          <w:tcPr>
            <w:tcW w:w="1761" w:type="dxa"/>
            <w:tcBorders>
              <w:top w:val="single" w:sz="4" w:space="0" w:color="auto"/>
              <w:left w:val="nil"/>
              <w:bottom w:val="single" w:sz="4" w:space="0" w:color="auto"/>
              <w:right w:val="nil"/>
            </w:tcBorders>
          </w:tcPr>
          <w:p w14:paraId="249680B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Frequency</w:t>
            </w:r>
          </w:p>
        </w:tc>
        <w:tc>
          <w:tcPr>
            <w:tcW w:w="1788" w:type="dxa"/>
            <w:tcBorders>
              <w:top w:val="single" w:sz="4" w:space="0" w:color="auto"/>
              <w:left w:val="nil"/>
              <w:bottom w:val="single" w:sz="4" w:space="0" w:color="auto"/>
              <w:right w:val="nil"/>
            </w:tcBorders>
          </w:tcPr>
          <w:p w14:paraId="3CD51EE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Percent</w:t>
            </w:r>
          </w:p>
        </w:tc>
      </w:tr>
      <w:tr w:rsidR="005F1BEC" w:rsidRPr="005F1BEC" w14:paraId="55E0B255" w14:textId="77777777" w:rsidTr="0037632B">
        <w:trPr>
          <w:trHeight w:val="281"/>
        </w:trPr>
        <w:tc>
          <w:tcPr>
            <w:tcW w:w="4821" w:type="dxa"/>
            <w:tcBorders>
              <w:top w:val="single" w:sz="4" w:space="0" w:color="auto"/>
              <w:left w:val="nil"/>
              <w:bottom w:val="single" w:sz="4" w:space="0" w:color="auto"/>
              <w:right w:val="nil"/>
            </w:tcBorders>
          </w:tcPr>
          <w:p w14:paraId="6999B805" w14:textId="77777777" w:rsidR="005F1BEC" w:rsidRPr="005F1BEC" w:rsidRDefault="005F1BEC" w:rsidP="005F1BEC">
            <w:pPr>
              <w:jc w:val="both"/>
              <w:rPr>
                <w:rFonts w:ascii="Arial" w:eastAsia="Times New Roman" w:hAnsi="Arial" w:cs="Arial"/>
                <w:color w:val="000000"/>
              </w:rPr>
            </w:pPr>
            <w:proofErr w:type="spellStart"/>
            <w:r w:rsidRPr="005F1BEC">
              <w:rPr>
                <w:rFonts w:ascii="Arial" w:eastAsia="Times New Roman" w:hAnsi="Arial" w:cs="Arial"/>
                <w:color w:val="000000"/>
                <w:lang w:bidi="ar"/>
              </w:rPr>
              <w:t>Baganga</w:t>
            </w:r>
            <w:proofErr w:type="spellEnd"/>
            <w:r w:rsidRPr="005F1BEC">
              <w:rPr>
                <w:rFonts w:ascii="Arial" w:eastAsia="Times New Roman" w:hAnsi="Arial" w:cs="Arial"/>
                <w:color w:val="000000"/>
                <w:lang w:bidi="ar"/>
              </w:rPr>
              <w:t xml:space="preserve"> North and South District</w:t>
            </w:r>
          </w:p>
        </w:tc>
        <w:tc>
          <w:tcPr>
            <w:tcW w:w="1761" w:type="dxa"/>
            <w:tcBorders>
              <w:top w:val="single" w:sz="4" w:space="0" w:color="auto"/>
              <w:left w:val="nil"/>
              <w:bottom w:val="single" w:sz="4" w:space="0" w:color="auto"/>
              <w:right w:val="nil"/>
            </w:tcBorders>
            <w:noWrap/>
          </w:tcPr>
          <w:p w14:paraId="49357AD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3</w:t>
            </w:r>
          </w:p>
        </w:tc>
        <w:tc>
          <w:tcPr>
            <w:tcW w:w="1788" w:type="dxa"/>
            <w:tcBorders>
              <w:top w:val="single" w:sz="4" w:space="0" w:color="auto"/>
              <w:left w:val="nil"/>
              <w:bottom w:val="single" w:sz="4" w:space="0" w:color="auto"/>
              <w:right w:val="nil"/>
            </w:tcBorders>
            <w:noWrap/>
          </w:tcPr>
          <w:p w14:paraId="23B79BC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8.11</w:t>
            </w:r>
          </w:p>
        </w:tc>
      </w:tr>
      <w:tr w:rsidR="005F1BEC" w:rsidRPr="005F1BEC" w14:paraId="4DA3F4A6" w14:textId="77777777" w:rsidTr="0037632B">
        <w:trPr>
          <w:trHeight w:val="281"/>
        </w:trPr>
        <w:tc>
          <w:tcPr>
            <w:tcW w:w="4821" w:type="dxa"/>
            <w:tcBorders>
              <w:top w:val="single" w:sz="4" w:space="0" w:color="auto"/>
              <w:left w:val="nil"/>
              <w:bottom w:val="single" w:sz="4" w:space="0" w:color="auto"/>
              <w:right w:val="nil"/>
            </w:tcBorders>
          </w:tcPr>
          <w:p w14:paraId="28263CD3" w14:textId="77777777" w:rsidR="005F1BEC" w:rsidRPr="005F1BEC" w:rsidRDefault="005F1BEC" w:rsidP="005F1BEC">
            <w:pPr>
              <w:jc w:val="both"/>
              <w:rPr>
                <w:rFonts w:ascii="Arial" w:eastAsia="Times New Roman" w:hAnsi="Arial" w:cs="Arial"/>
                <w:color w:val="000000"/>
              </w:rPr>
            </w:pPr>
            <w:proofErr w:type="spellStart"/>
            <w:r w:rsidRPr="005F1BEC">
              <w:rPr>
                <w:rFonts w:ascii="Arial" w:eastAsia="Times New Roman" w:hAnsi="Arial" w:cs="Arial"/>
                <w:color w:val="000000"/>
                <w:lang w:bidi="ar"/>
              </w:rPr>
              <w:t>Cateel</w:t>
            </w:r>
            <w:proofErr w:type="spellEnd"/>
            <w:r w:rsidRPr="005F1BEC">
              <w:rPr>
                <w:rFonts w:ascii="Arial" w:eastAsia="Times New Roman" w:hAnsi="Arial" w:cs="Arial"/>
                <w:color w:val="000000"/>
                <w:lang w:bidi="ar"/>
              </w:rPr>
              <w:t xml:space="preserve"> 2 District</w:t>
            </w:r>
          </w:p>
        </w:tc>
        <w:tc>
          <w:tcPr>
            <w:tcW w:w="1761" w:type="dxa"/>
            <w:tcBorders>
              <w:top w:val="single" w:sz="4" w:space="0" w:color="auto"/>
              <w:left w:val="nil"/>
              <w:bottom w:val="single" w:sz="4" w:space="0" w:color="auto"/>
              <w:right w:val="nil"/>
            </w:tcBorders>
            <w:noWrap/>
          </w:tcPr>
          <w:p w14:paraId="5DF82B3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18</w:t>
            </w:r>
          </w:p>
        </w:tc>
        <w:tc>
          <w:tcPr>
            <w:tcW w:w="1788" w:type="dxa"/>
            <w:tcBorders>
              <w:top w:val="single" w:sz="4" w:space="0" w:color="auto"/>
              <w:left w:val="nil"/>
              <w:bottom w:val="single" w:sz="4" w:space="0" w:color="auto"/>
              <w:right w:val="nil"/>
            </w:tcBorders>
            <w:noWrap/>
          </w:tcPr>
          <w:p w14:paraId="149FB30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48.65</w:t>
            </w:r>
          </w:p>
        </w:tc>
      </w:tr>
      <w:tr w:rsidR="005F1BEC" w:rsidRPr="005F1BEC" w14:paraId="07DD2481" w14:textId="77777777" w:rsidTr="0037632B">
        <w:trPr>
          <w:trHeight w:val="281"/>
        </w:trPr>
        <w:tc>
          <w:tcPr>
            <w:tcW w:w="4821" w:type="dxa"/>
            <w:tcBorders>
              <w:top w:val="single" w:sz="4" w:space="0" w:color="auto"/>
              <w:left w:val="nil"/>
              <w:bottom w:val="single" w:sz="4" w:space="0" w:color="auto"/>
              <w:right w:val="nil"/>
            </w:tcBorders>
          </w:tcPr>
          <w:p w14:paraId="25ED6DBB" w14:textId="77777777" w:rsidR="005F1BEC" w:rsidRPr="005F1BEC" w:rsidRDefault="005F1BEC" w:rsidP="005F1BEC">
            <w:pPr>
              <w:jc w:val="both"/>
              <w:rPr>
                <w:rFonts w:ascii="Arial" w:eastAsia="Times New Roman" w:hAnsi="Arial" w:cs="Arial"/>
                <w:color w:val="000000"/>
              </w:rPr>
            </w:pPr>
            <w:proofErr w:type="spellStart"/>
            <w:r w:rsidRPr="005F1BEC">
              <w:rPr>
                <w:rFonts w:ascii="Arial" w:eastAsia="Times New Roman" w:hAnsi="Arial" w:cs="Arial"/>
                <w:color w:val="000000"/>
                <w:lang w:bidi="ar"/>
              </w:rPr>
              <w:t>Cateel</w:t>
            </w:r>
            <w:proofErr w:type="spellEnd"/>
            <w:r w:rsidRPr="005F1BEC">
              <w:rPr>
                <w:rFonts w:ascii="Arial" w:eastAsia="Times New Roman" w:hAnsi="Arial" w:cs="Arial"/>
                <w:color w:val="000000"/>
                <w:lang w:bidi="ar"/>
              </w:rPr>
              <w:t xml:space="preserve"> 1 District</w:t>
            </w:r>
          </w:p>
        </w:tc>
        <w:tc>
          <w:tcPr>
            <w:tcW w:w="1761" w:type="dxa"/>
            <w:tcBorders>
              <w:top w:val="single" w:sz="4" w:space="0" w:color="auto"/>
              <w:left w:val="nil"/>
              <w:bottom w:val="single" w:sz="4" w:space="0" w:color="auto"/>
              <w:right w:val="nil"/>
            </w:tcBorders>
            <w:noWrap/>
          </w:tcPr>
          <w:p w14:paraId="2097683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w:t>
            </w:r>
          </w:p>
        </w:tc>
        <w:tc>
          <w:tcPr>
            <w:tcW w:w="1788" w:type="dxa"/>
            <w:tcBorders>
              <w:top w:val="single" w:sz="4" w:space="0" w:color="auto"/>
              <w:left w:val="nil"/>
              <w:bottom w:val="single" w:sz="4" w:space="0" w:color="auto"/>
              <w:right w:val="nil"/>
            </w:tcBorders>
            <w:noWrap/>
          </w:tcPr>
          <w:p w14:paraId="6B85D22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21.62</w:t>
            </w:r>
          </w:p>
        </w:tc>
      </w:tr>
      <w:tr w:rsidR="005F1BEC" w:rsidRPr="005F1BEC" w14:paraId="32B2D173" w14:textId="77777777" w:rsidTr="0037632B">
        <w:trPr>
          <w:trHeight w:val="281"/>
        </w:trPr>
        <w:tc>
          <w:tcPr>
            <w:tcW w:w="4821" w:type="dxa"/>
            <w:tcBorders>
              <w:top w:val="single" w:sz="4" w:space="0" w:color="auto"/>
              <w:left w:val="nil"/>
              <w:bottom w:val="single" w:sz="4" w:space="0" w:color="auto"/>
              <w:right w:val="nil"/>
            </w:tcBorders>
          </w:tcPr>
          <w:p w14:paraId="49CE0AA8"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Boston District</w:t>
            </w:r>
          </w:p>
        </w:tc>
        <w:tc>
          <w:tcPr>
            <w:tcW w:w="1761" w:type="dxa"/>
            <w:tcBorders>
              <w:top w:val="single" w:sz="4" w:space="0" w:color="auto"/>
              <w:left w:val="nil"/>
              <w:bottom w:val="single" w:sz="4" w:space="0" w:color="auto"/>
              <w:right w:val="nil"/>
            </w:tcBorders>
            <w:noWrap/>
          </w:tcPr>
          <w:p w14:paraId="007BA5C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w:t>
            </w:r>
          </w:p>
        </w:tc>
        <w:tc>
          <w:tcPr>
            <w:tcW w:w="1788" w:type="dxa"/>
            <w:tcBorders>
              <w:top w:val="single" w:sz="4" w:space="0" w:color="auto"/>
              <w:left w:val="nil"/>
              <w:bottom w:val="single" w:sz="4" w:space="0" w:color="auto"/>
              <w:right w:val="nil"/>
            </w:tcBorders>
            <w:noWrap/>
          </w:tcPr>
          <w:p w14:paraId="229469F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21.62</w:t>
            </w:r>
          </w:p>
        </w:tc>
      </w:tr>
      <w:tr w:rsidR="005F1BEC" w:rsidRPr="005F1BEC" w14:paraId="24E606D1" w14:textId="77777777" w:rsidTr="0037632B">
        <w:trPr>
          <w:trHeight w:val="281"/>
        </w:trPr>
        <w:tc>
          <w:tcPr>
            <w:tcW w:w="4821" w:type="dxa"/>
            <w:tcBorders>
              <w:top w:val="single" w:sz="4" w:space="0" w:color="auto"/>
              <w:left w:val="nil"/>
              <w:bottom w:val="single" w:sz="4" w:space="0" w:color="auto"/>
              <w:right w:val="nil"/>
            </w:tcBorders>
          </w:tcPr>
          <w:p w14:paraId="1119F32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Total</w:t>
            </w:r>
          </w:p>
        </w:tc>
        <w:tc>
          <w:tcPr>
            <w:tcW w:w="1761" w:type="dxa"/>
            <w:tcBorders>
              <w:top w:val="single" w:sz="4" w:space="0" w:color="auto"/>
              <w:left w:val="nil"/>
              <w:bottom w:val="single" w:sz="4" w:space="0" w:color="auto"/>
              <w:right w:val="nil"/>
            </w:tcBorders>
            <w:noWrap/>
          </w:tcPr>
          <w:p w14:paraId="2B91A3C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37</w:t>
            </w:r>
          </w:p>
        </w:tc>
        <w:tc>
          <w:tcPr>
            <w:tcW w:w="1788" w:type="dxa"/>
            <w:tcBorders>
              <w:top w:val="single" w:sz="4" w:space="0" w:color="auto"/>
              <w:left w:val="nil"/>
              <w:bottom w:val="single" w:sz="4" w:space="0" w:color="auto"/>
              <w:right w:val="nil"/>
            </w:tcBorders>
            <w:noWrap/>
          </w:tcPr>
          <w:p w14:paraId="0D44D68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100.00</w:t>
            </w:r>
          </w:p>
        </w:tc>
      </w:tr>
    </w:tbl>
    <w:p w14:paraId="27A049FF" w14:textId="77777777" w:rsidR="005F1BEC" w:rsidRPr="005F1BEC" w:rsidRDefault="005F1BEC" w:rsidP="005F1BEC">
      <w:pPr>
        <w:widowControl w:val="0"/>
        <w:autoSpaceDE w:val="0"/>
        <w:autoSpaceDN w:val="0"/>
        <w:jc w:val="both"/>
        <w:rPr>
          <w:rFonts w:ascii="Arial" w:eastAsia="Times New Roman" w:hAnsi="Arial" w:cs="Arial"/>
        </w:rPr>
      </w:pPr>
    </w:p>
    <w:p w14:paraId="2C0B85CB" w14:textId="2F472E99" w:rsidR="0037632B" w:rsidRDefault="007C5F1E" w:rsidP="005F1BEC">
      <w:pPr>
        <w:widowControl w:val="0"/>
        <w:autoSpaceDE w:val="0"/>
        <w:autoSpaceDN w:val="0"/>
        <w:jc w:val="both"/>
        <w:rPr>
          <w:rFonts w:ascii="Arial" w:eastAsia="Arial" w:hAnsi="Arial" w:cs="Arial"/>
        </w:rPr>
      </w:pPr>
      <w:r w:rsidRPr="007C5F1E">
        <w:rPr>
          <w:rFonts w:ascii="Arial" w:eastAsia="Arial" w:hAnsi="Arial" w:cs="Arial"/>
        </w:rPr>
        <w:t xml:space="preserve">Including respondents from multiple districts ensures a more representative and meaningful assessment. As noted by </w:t>
      </w:r>
      <w:proofErr w:type="spellStart"/>
      <w:r w:rsidRPr="007C5F1E">
        <w:rPr>
          <w:rFonts w:ascii="Arial" w:eastAsia="Arial" w:hAnsi="Arial" w:cs="Arial"/>
        </w:rPr>
        <w:t>Batucan</w:t>
      </w:r>
      <w:proofErr w:type="spellEnd"/>
      <w:r w:rsidRPr="007C5F1E">
        <w:rPr>
          <w:rFonts w:ascii="Arial" w:eastAsia="Arial" w:hAnsi="Arial" w:cs="Arial"/>
        </w:rPr>
        <w:t xml:space="preserve"> (2024), </w:t>
      </w:r>
      <w:proofErr w:type="spellStart"/>
      <w:r w:rsidRPr="007C5F1E">
        <w:rPr>
          <w:rFonts w:ascii="Arial" w:eastAsia="Arial" w:hAnsi="Arial" w:cs="Arial"/>
        </w:rPr>
        <w:t>Camara</w:t>
      </w:r>
      <w:proofErr w:type="spellEnd"/>
      <w:r w:rsidRPr="007C5F1E">
        <w:rPr>
          <w:rFonts w:ascii="Arial" w:eastAsia="Arial" w:hAnsi="Arial" w:cs="Arial"/>
        </w:rPr>
        <w:t xml:space="preserve"> (2024), and Orleans (2007), local context and school location influence performance evaluations and support fair, holistic insights.</w:t>
      </w:r>
    </w:p>
    <w:p w14:paraId="58D373AE" w14:textId="77777777" w:rsidR="007C5F1E" w:rsidRDefault="007C5F1E" w:rsidP="005F1BEC">
      <w:pPr>
        <w:widowControl w:val="0"/>
        <w:autoSpaceDE w:val="0"/>
        <w:autoSpaceDN w:val="0"/>
        <w:jc w:val="both"/>
        <w:rPr>
          <w:rFonts w:ascii="Arial" w:eastAsia="Times New Roman" w:hAnsi="Arial" w:cs="Arial"/>
          <w:b/>
          <w:bCs/>
        </w:rPr>
      </w:pPr>
    </w:p>
    <w:p w14:paraId="18BC29C9" w14:textId="2E9BDA1E" w:rsidR="005F1BEC" w:rsidRPr="005F1BEC" w:rsidRDefault="005F1BEC" w:rsidP="005F1BEC">
      <w:pPr>
        <w:widowControl w:val="0"/>
        <w:autoSpaceDE w:val="0"/>
        <w:autoSpaceDN w:val="0"/>
        <w:jc w:val="both"/>
        <w:rPr>
          <w:rFonts w:ascii="Arial" w:eastAsia="Times New Roman" w:hAnsi="Arial" w:cs="Arial"/>
          <w:b/>
          <w:bCs/>
        </w:rPr>
      </w:pPr>
      <w:r w:rsidRPr="005F1BEC">
        <w:rPr>
          <w:rFonts w:ascii="Arial" w:eastAsia="Times New Roman" w:hAnsi="Arial" w:cs="Arial"/>
          <w:b/>
          <w:bCs/>
        </w:rPr>
        <w:t>Level of Employer Feedback on BEED Graduates</w:t>
      </w:r>
    </w:p>
    <w:p w14:paraId="059BCC7B" w14:textId="02CBD269" w:rsidR="005F1BEC" w:rsidRPr="005F1BEC" w:rsidRDefault="005F1BEC" w:rsidP="005F1BEC">
      <w:pPr>
        <w:widowControl w:val="0"/>
        <w:autoSpaceDE w:val="0"/>
        <w:autoSpaceDN w:val="0"/>
        <w:ind w:firstLine="720"/>
        <w:jc w:val="both"/>
        <w:rPr>
          <w:rFonts w:ascii="Arial" w:eastAsia="Arial" w:hAnsi="Arial" w:cs="Arial"/>
        </w:rPr>
      </w:pPr>
      <w:r w:rsidRPr="005F1BEC">
        <w:rPr>
          <w:rFonts w:ascii="Arial" w:eastAsia="Arial" w:hAnsi="Arial" w:cs="Arial"/>
        </w:rPr>
        <w:t xml:space="preserve">Table </w:t>
      </w:r>
      <w:r w:rsidR="003733BF">
        <w:rPr>
          <w:rFonts w:ascii="Arial" w:eastAsia="Arial" w:hAnsi="Arial" w:cs="Arial"/>
        </w:rPr>
        <w:t>6</w:t>
      </w:r>
      <w:r w:rsidRPr="005F1BEC">
        <w:rPr>
          <w:rFonts w:ascii="Arial" w:eastAsia="Arial" w:hAnsi="Arial" w:cs="Arial"/>
        </w:rPr>
        <w:t xml:space="preserve"> shows the overall performance of BEED graduates, as evaluated by their employers. The graduates' overall performance is </w:t>
      </w:r>
      <w:r w:rsidRPr="005F1BEC">
        <w:rPr>
          <w:rFonts w:ascii="Arial" w:eastAsia="Arial" w:hAnsi="Arial" w:cs="Arial"/>
          <w:color w:val="000000"/>
        </w:rPr>
        <w:t>very satisfactory</w:t>
      </w:r>
      <w:r w:rsidRPr="005F1BEC">
        <w:rPr>
          <w:rFonts w:ascii="Arial" w:eastAsia="Arial" w:hAnsi="Arial" w:cs="Arial"/>
          <w:color w:val="4472C4"/>
        </w:rPr>
        <w:t xml:space="preserve"> </w:t>
      </w:r>
      <w:r w:rsidRPr="005F1BEC">
        <w:rPr>
          <w:rFonts w:ascii="Arial" w:eastAsia="Arial" w:hAnsi="Arial" w:cs="Arial"/>
        </w:rPr>
        <w:t>(x̄ = 4.44, s = 0.35). This overall rating indicates a strong and consistent level of competency across a broad range of teaching domains.</w:t>
      </w:r>
    </w:p>
    <w:p w14:paraId="45003099" w14:textId="0070ACA7" w:rsidR="005F1BEC" w:rsidRPr="005F1BEC" w:rsidRDefault="005F1BEC" w:rsidP="005F1BEC">
      <w:pPr>
        <w:jc w:val="both"/>
        <w:rPr>
          <w:rFonts w:ascii="Arial" w:eastAsia="Times New Roman" w:hAnsi="Arial" w:cs="Arial"/>
          <w:iCs/>
        </w:rPr>
      </w:pPr>
      <w:r w:rsidRPr="005F1BEC">
        <w:rPr>
          <w:rFonts w:ascii="Arial" w:eastAsia="Times New Roman" w:hAnsi="Arial" w:cs="Arial"/>
          <w:lang w:bidi="ar"/>
        </w:rPr>
        <w:t xml:space="preserve">Table </w:t>
      </w:r>
      <w:r w:rsidR="003733BF">
        <w:rPr>
          <w:rFonts w:ascii="Arial" w:eastAsia="Times New Roman" w:hAnsi="Arial" w:cs="Arial"/>
          <w:lang w:bidi="ar"/>
        </w:rPr>
        <w:t>6</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w:t>
      </w:r>
    </w:p>
    <w:tbl>
      <w:tblPr>
        <w:tblW w:w="8419" w:type="dxa"/>
        <w:jc w:val="center"/>
        <w:tblLook w:val="04A0" w:firstRow="1" w:lastRow="0" w:firstColumn="1" w:lastColumn="0" w:noHBand="0" w:noVBand="1"/>
      </w:tblPr>
      <w:tblGrid>
        <w:gridCol w:w="3951"/>
        <w:gridCol w:w="974"/>
        <w:gridCol w:w="1422"/>
        <w:gridCol w:w="2072"/>
      </w:tblGrid>
      <w:tr w:rsidR="005F1BEC" w:rsidRPr="005F1BEC" w14:paraId="64CC4EE5" w14:textId="77777777" w:rsidTr="0037632B">
        <w:trPr>
          <w:trHeight w:val="560"/>
          <w:jc w:val="center"/>
        </w:trPr>
        <w:tc>
          <w:tcPr>
            <w:tcW w:w="3951" w:type="dxa"/>
            <w:tcBorders>
              <w:top w:val="single" w:sz="4" w:space="0" w:color="auto"/>
              <w:left w:val="nil"/>
              <w:bottom w:val="single" w:sz="4" w:space="0" w:color="auto"/>
              <w:right w:val="nil"/>
            </w:tcBorders>
            <w:vAlign w:val="center"/>
          </w:tcPr>
          <w:p w14:paraId="335533F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Factors</w:t>
            </w:r>
          </w:p>
        </w:tc>
        <w:tc>
          <w:tcPr>
            <w:tcW w:w="974" w:type="dxa"/>
            <w:tcBorders>
              <w:top w:val="single" w:sz="4" w:space="0" w:color="auto"/>
              <w:left w:val="nil"/>
              <w:bottom w:val="single" w:sz="4" w:space="0" w:color="auto"/>
              <w:right w:val="nil"/>
            </w:tcBorders>
            <w:vAlign w:val="center"/>
          </w:tcPr>
          <w:p w14:paraId="66B7C1D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22" w:type="dxa"/>
            <w:tcBorders>
              <w:top w:val="single" w:sz="4" w:space="0" w:color="auto"/>
              <w:left w:val="nil"/>
              <w:bottom w:val="single" w:sz="4" w:space="0" w:color="auto"/>
              <w:right w:val="nil"/>
            </w:tcBorders>
            <w:vAlign w:val="center"/>
          </w:tcPr>
          <w:p w14:paraId="3294C5B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2072" w:type="dxa"/>
            <w:tcBorders>
              <w:top w:val="single" w:sz="4" w:space="0" w:color="auto"/>
              <w:left w:val="nil"/>
              <w:bottom w:val="single" w:sz="4" w:space="0" w:color="auto"/>
              <w:right w:val="nil"/>
            </w:tcBorders>
            <w:noWrap/>
            <w:vAlign w:val="center"/>
          </w:tcPr>
          <w:p w14:paraId="10714763"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64C7C68A" w14:textId="77777777" w:rsidTr="0037632B">
        <w:trPr>
          <w:trHeight w:val="294"/>
          <w:jc w:val="center"/>
        </w:trPr>
        <w:tc>
          <w:tcPr>
            <w:tcW w:w="3951" w:type="dxa"/>
            <w:tcBorders>
              <w:top w:val="single" w:sz="4" w:space="0" w:color="auto"/>
              <w:left w:val="nil"/>
              <w:bottom w:val="single" w:sz="4" w:space="0" w:color="auto"/>
              <w:right w:val="nil"/>
            </w:tcBorders>
          </w:tcPr>
          <w:p w14:paraId="0CFB8E4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Subject Knowledge</w:t>
            </w:r>
          </w:p>
        </w:tc>
        <w:tc>
          <w:tcPr>
            <w:tcW w:w="974" w:type="dxa"/>
            <w:tcBorders>
              <w:top w:val="single" w:sz="4" w:space="0" w:color="auto"/>
              <w:left w:val="nil"/>
              <w:bottom w:val="single" w:sz="4" w:space="0" w:color="auto"/>
              <w:right w:val="nil"/>
            </w:tcBorders>
            <w:noWrap/>
            <w:vAlign w:val="center"/>
          </w:tcPr>
          <w:p w14:paraId="298EAAB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4.45</w:t>
            </w:r>
          </w:p>
        </w:tc>
        <w:tc>
          <w:tcPr>
            <w:tcW w:w="1422" w:type="dxa"/>
            <w:tcBorders>
              <w:top w:val="single" w:sz="4" w:space="0" w:color="auto"/>
              <w:left w:val="nil"/>
              <w:bottom w:val="single" w:sz="4" w:space="0" w:color="auto"/>
              <w:right w:val="nil"/>
            </w:tcBorders>
            <w:noWrap/>
            <w:vAlign w:val="center"/>
          </w:tcPr>
          <w:p w14:paraId="6136FAC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0.35</w:t>
            </w:r>
          </w:p>
        </w:tc>
        <w:tc>
          <w:tcPr>
            <w:tcW w:w="2072" w:type="dxa"/>
            <w:tcBorders>
              <w:top w:val="single" w:sz="4" w:space="0" w:color="auto"/>
              <w:left w:val="nil"/>
              <w:bottom w:val="single" w:sz="4" w:space="0" w:color="auto"/>
              <w:right w:val="nil"/>
            </w:tcBorders>
            <w:noWrap/>
            <w:vAlign w:val="bottom"/>
          </w:tcPr>
          <w:p w14:paraId="154074A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DD975BB" w14:textId="77777777" w:rsidTr="0037632B">
        <w:trPr>
          <w:trHeight w:val="294"/>
          <w:jc w:val="center"/>
        </w:trPr>
        <w:tc>
          <w:tcPr>
            <w:tcW w:w="3951" w:type="dxa"/>
            <w:tcBorders>
              <w:top w:val="single" w:sz="4" w:space="0" w:color="auto"/>
              <w:left w:val="nil"/>
              <w:bottom w:val="single" w:sz="4" w:space="0" w:color="auto"/>
              <w:right w:val="nil"/>
            </w:tcBorders>
          </w:tcPr>
          <w:p w14:paraId="5F188BD9"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Management of Learning</w:t>
            </w:r>
          </w:p>
        </w:tc>
        <w:tc>
          <w:tcPr>
            <w:tcW w:w="974" w:type="dxa"/>
            <w:tcBorders>
              <w:top w:val="single" w:sz="4" w:space="0" w:color="auto"/>
              <w:left w:val="nil"/>
              <w:bottom w:val="single" w:sz="4" w:space="0" w:color="auto"/>
              <w:right w:val="nil"/>
            </w:tcBorders>
            <w:noWrap/>
            <w:vAlign w:val="center"/>
          </w:tcPr>
          <w:p w14:paraId="4BB9FD5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22" w:type="dxa"/>
            <w:tcBorders>
              <w:top w:val="single" w:sz="4" w:space="0" w:color="auto"/>
              <w:left w:val="nil"/>
              <w:bottom w:val="single" w:sz="4" w:space="0" w:color="auto"/>
              <w:right w:val="nil"/>
            </w:tcBorders>
            <w:noWrap/>
            <w:vAlign w:val="center"/>
          </w:tcPr>
          <w:p w14:paraId="3939CA7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2072" w:type="dxa"/>
            <w:tcBorders>
              <w:top w:val="single" w:sz="4" w:space="0" w:color="auto"/>
              <w:left w:val="nil"/>
              <w:bottom w:val="single" w:sz="4" w:space="0" w:color="auto"/>
              <w:right w:val="nil"/>
            </w:tcBorders>
            <w:noWrap/>
            <w:vAlign w:val="bottom"/>
          </w:tcPr>
          <w:p w14:paraId="79188CA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DE7B952" w14:textId="77777777" w:rsidTr="0037632B">
        <w:trPr>
          <w:trHeight w:val="294"/>
          <w:jc w:val="center"/>
        </w:trPr>
        <w:tc>
          <w:tcPr>
            <w:tcW w:w="3951" w:type="dxa"/>
            <w:tcBorders>
              <w:top w:val="single" w:sz="4" w:space="0" w:color="auto"/>
              <w:left w:val="nil"/>
              <w:bottom w:val="single" w:sz="4" w:space="0" w:color="auto"/>
              <w:right w:val="nil"/>
            </w:tcBorders>
          </w:tcPr>
          <w:p w14:paraId="5A86594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Assessment and Evaluation</w:t>
            </w:r>
          </w:p>
        </w:tc>
        <w:tc>
          <w:tcPr>
            <w:tcW w:w="974" w:type="dxa"/>
            <w:tcBorders>
              <w:top w:val="single" w:sz="4" w:space="0" w:color="auto"/>
              <w:left w:val="nil"/>
              <w:bottom w:val="single" w:sz="4" w:space="0" w:color="auto"/>
              <w:right w:val="nil"/>
            </w:tcBorders>
            <w:noWrap/>
            <w:vAlign w:val="center"/>
          </w:tcPr>
          <w:p w14:paraId="6F1BEA8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22" w:type="dxa"/>
            <w:tcBorders>
              <w:top w:val="single" w:sz="4" w:space="0" w:color="auto"/>
              <w:left w:val="nil"/>
              <w:bottom w:val="single" w:sz="4" w:space="0" w:color="auto"/>
              <w:right w:val="nil"/>
            </w:tcBorders>
            <w:noWrap/>
            <w:vAlign w:val="center"/>
          </w:tcPr>
          <w:p w14:paraId="1D01594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0.36</w:t>
            </w:r>
          </w:p>
        </w:tc>
        <w:tc>
          <w:tcPr>
            <w:tcW w:w="2072" w:type="dxa"/>
            <w:tcBorders>
              <w:top w:val="single" w:sz="4" w:space="0" w:color="auto"/>
              <w:left w:val="nil"/>
              <w:bottom w:val="single" w:sz="4" w:space="0" w:color="auto"/>
              <w:right w:val="nil"/>
            </w:tcBorders>
            <w:noWrap/>
            <w:vAlign w:val="bottom"/>
          </w:tcPr>
          <w:p w14:paraId="57CA7B44"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776C05F7" w14:textId="77777777" w:rsidTr="0037632B">
        <w:trPr>
          <w:trHeight w:val="294"/>
          <w:jc w:val="center"/>
        </w:trPr>
        <w:tc>
          <w:tcPr>
            <w:tcW w:w="3951" w:type="dxa"/>
            <w:tcBorders>
              <w:top w:val="single" w:sz="4" w:space="0" w:color="auto"/>
              <w:left w:val="nil"/>
              <w:bottom w:val="single" w:sz="4" w:space="0" w:color="auto"/>
              <w:right w:val="nil"/>
            </w:tcBorders>
          </w:tcPr>
          <w:p w14:paraId="0DBD3B8F"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Flexibility and Adaptability</w:t>
            </w:r>
          </w:p>
        </w:tc>
        <w:tc>
          <w:tcPr>
            <w:tcW w:w="974" w:type="dxa"/>
            <w:tcBorders>
              <w:top w:val="single" w:sz="4" w:space="0" w:color="auto"/>
              <w:left w:val="nil"/>
              <w:bottom w:val="single" w:sz="4" w:space="0" w:color="auto"/>
              <w:right w:val="nil"/>
            </w:tcBorders>
            <w:noWrap/>
            <w:vAlign w:val="center"/>
          </w:tcPr>
          <w:p w14:paraId="2FA29C5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4.36</w:t>
            </w:r>
          </w:p>
        </w:tc>
        <w:tc>
          <w:tcPr>
            <w:tcW w:w="1422" w:type="dxa"/>
            <w:tcBorders>
              <w:top w:val="single" w:sz="4" w:space="0" w:color="auto"/>
              <w:left w:val="nil"/>
              <w:bottom w:val="single" w:sz="4" w:space="0" w:color="auto"/>
              <w:right w:val="nil"/>
            </w:tcBorders>
            <w:noWrap/>
            <w:vAlign w:val="center"/>
          </w:tcPr>
          <w:p w14:paraId="0C5482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0.36</w:t>
            </w:r>
          </w:p>
        </w:tc>
        <w:tc>
          <w:tcPr>
            <w:tcW w:w="2072" w:type="dxa"/>
            <w:tcBorders>
              <w:top w:val="single" w:sz="4" w:space="0" w:color="auto"/>
              <w:left w:val="nil"/>
              <w:bottom w:val="single" w:sz="4" w:space="0" w:color="auto"/>
              <w:right w:val="nil"/>
            </w:tcBorders>
            <w:noWrap/>
            <w:vAlign w:val="bottom"/>
          </w:tcPr>
          <w:p w14:paraId="2127301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E53EB3D" w14:textId="77777777" w:rsidTr="0037632B">
        <w:trPr>
          <w:trHeight w:val="294"/>
          <w:jc w:val="center"/>
        </w:trPr>
        <w:tc>
          <w:tcPr>
            <w:tcW w:w="3951" w:type="dxa"/>
            <w:tcBorders>
              <w:top w:val="single" w:sz="4" w:space="0" w:color="auto"/>
              <w:left w:val="nil"/>
              <w:bottom w:val="single" w:sz="4" w:space="0" w:color="auto"/>
              <w:right w:val="nil"/>
            </w:tcBorders>
          </w:tcPr>
          <w:p w14:paraId="062DD65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Dependability</w:t>
            </w:r>
          </w:p>
        </w:tc>
        <w:tc>
          <w:tcPr>
            <w:tcW w:w="974" w:type="dxa"/>
            <w:tcBorders>
              <w:top w:val="single" w:sz="4" w:space="0" w:color="auto"/>
              <w:left w:val="nil"/>
              <w:bottom w:val="single" w:sz="4" w:space="0" w:color="auto"/>
              <w:right w:val="nil"/>
            </w:tcBorders>
            <w:noWrap/>
            <w:vAlign w:val="center"/>
          </w:tcPr>
          <w:p w14:paraId="2785443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4.45</w:t>
            </w:r>
          </w:p>
        </w:tc>
        <w:tc>
          <w:tcPr>
            <w:tcW w:w="1422" w:type="dxa"/>
            <w:tcBorders>
              <w:top w:val="single" w:sz="4" w:space="0" w:color="auto"/>
              <w:left w:val="nil"/>
              <w:bottom w:val="single" w:sz="4" w:space="0" w:color="auto"/>
              <w:right w:val="nil"/>
            </w:tcBorders>
            <w:noWrap/>
            <w:vAlign w:val="center"/>
          </w:tcPr>
          <w:p w14:paraId="3E95CB3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2072" w:type="dxa"/>
            <w:tcBorders>
              <w:top w:val="single" w:sz="4" w:space="0" w:color="auto"/>
              <w:left w:val="nil"/>
              <w:bottom w:val="single" w:sz="4" w:space="0" w:color="auto"/>
              <w:right w:val="nil"/>
            </w:tcBorders>
            <w:noWrap/>
            <w:vAlign w:val="bottom"/>
          </w:tcPr>
          <w:p w14:paraId="13A0E3E8"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37C2E01" w14:textId="77777777" w:rsidTr="0037632B">
        <w:trPr>
          <w:trHeight w:val="294"/>
          <w:jc w:val="center"/>
        </w:trPr>
        <w:tc>
          <w:tcPr>
            <w:tcW w:w="3951" w:type="dxa"/>
            <w:tcBorders>
              <w:top w:val="single" w:sz="4" w:space="0" w:color="auto"/>
              <w:left w:val="nil"/>
              <w:bottom w:val="single" w:sz="4" w:space="0" w:color="auto"/>
              <w:right w:val="nil"/>
            </w:tcBorders>
          </w:tcPr>
          <w:p w14:paraId="1474403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Communication Skills</w:t>
            </w:r>
          </w:p>
        </w:tc>
        <w:tc>
          <w:tcPr>
            <w:tcW w:w="974" w:type="dxa"/>
            <w:tcBorders>
              <w:top w:val="single" w:sz="4" w:space="0" w:color="auto"/>
              <w:left w:val="nil"/>
              <w:bottom w:val="single" w:sz="4" w:space="0" w:color="auto"/>
              <w:right w:val="nil"/>
            </w:tcBorders>
            <w:noWrap/>
            <w:vAlign w:val="center"/>
          </w:tcPr>
          <w:p w14:paraId="4AD0CC5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22" w:type="dxa"/>
            <w:tcBorders>
              <w:top w:val="single" w:sz="4" w:space="0" w:color="auto"/>
              <w:left w:val="nil"/>
              <w:bottom w:val="single" w:sz="4" w:space="0" w:color="auto"/>
              <w:right w:val="nil"/>
            </w:tcBorders>
            <w:noWrap/>
            <w:vAlign w:val="center"/>
          </w:tcPr>
          <w:p w14:paraId="473BBBD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2072" w:type="dxa"/>
            <w:tcBorders>
              <w:top w:val="single" w:sz="4" w:space="0" w:color="auto"/>
              <w:left w:val="nil"/>
              <w:bottom w:val="single" w:sz="4" w:space="0" w:color="auto"/>
              <w:right w:val="nil"/>
            </w:tcBorders>
            <w:noWrap/>
            <w:vAlign w:val="bottom"/>
          </w:tcPr>
          <w:p w14:paraId="59A2BEB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775071E" w14:textId="77777777" w:rsidTr="0037632B">
        <w:trPr>
          <w:trHeight w:val="294"/>
          <w:jc w:val="center"/>
        </w:trPr>
        <w:tc>
          <w:tcPr>
            <w:tcW w:w="3951" w:type="dxa"/>
            <w:tcBorders>
              <w:top w:val="single" w:sz="4" w:space="0" w:color="auto"/>
              <w:left w:val="nil"/>
              <w:bottom w:val="single" w:sz="4" w:space="0" w:color="auto"/>
              <w:right w:val="nil"/>
            </w:tcBorders>
          </w:tcPr>
          <w:p w14:paraId="5DFDB1EE"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Leadership Skills</w:t>
            </w:r>
          </w:p>
        </w:tc>
        <w:tc>
          <w:tcPr>
            <w:tcW w:w="974" w:type="dxa"/>
            <w:tcBorders>
              <w:top w:val="single" w:sz="4" w:space="0" w:color="auto"/>
              <w:left w:val="nil"/>
              <w:bottom w:val="single" w:sz="4" w:space="0" w:color="auto"/>
              <w:right w:val="nil"/>
            </w:tcBorders>
            <w:noWrap/>
            <w:vAlign w:val="center"/>
          </w:tcPr>
          <w:p w14:paraId="689FE1E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22" w:type="dxa"/>
            <w:tcBorders>
              <w:top w:val="single" w:sz="4" w:space="0" w:color="auto"/>
              <w:left w:val="nil"/>
              <w:bottom w:val="single" w:sz="4" w:space="0" w:color="auto"/>
              <w:right w:val="nil"/>
            </w:tcBorders>
            <w:noWrap/>
            <w:vAlign w:val="center"/>
          </w:tcPr>
          <w:p w14:paraId="58AB6BE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2072" w:type="dxa"/>
            <w:tcBorders>
              <w:top w:val="single" w:sz="4" w:space="0" w:color="auto"/>
              <w:left w:val="nil"/>
              <w:bottom w:val="single" w:sz="4" w:space="0" w:color="auto"/>
              <w:right w:val="nil"/>
            </w:tcBorders>
            <w:noWrap/>
            <w:vAlign w:val="bottom"/>
          </w:tcPr>
          <w:p w14:paraId="43588F0F"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A7AA4F8" w14:textId="77777777" w:rsidTr="0037632B">
        <w:trPr>
          <w:trHeight w:val="294"/>
          <w:jc w:val="center"/>
        </w:trPr>
        <w:tc>
          <w:tcPr>
            <w:tcW w:w="3951" w:type="dxa"/>
            <w:tcBorders>
              <w:top w:val="single" w:sz="4" w:space="0" w:color="auto"/>
              <w:left w:val="nil"/>
              <w:bottom w:val="single" w:sz="4" w:space="0" w:color="auto"/>
              <w:right w:val="nil"/>
            </w:tcBorders>
          </w:tcPr>
          <w:p w14:paraId="1F9EED7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Commitment</w:t>
            </w:r>
          </w:p>
        </w:tc>
        <w:tc>
          <w:tcPr>
            <w:tcW w:w="974" w:type="dxa"/>
            <w:tcBorders>
              <w:top w:val="single" w:sz="4" w:space="0" w:color="auto"/>
              <w:left w:val="nil"/>
              <w:bottom w:val="single" w:sz="4" w:space="0" w:color="auto"/>
              <w:right w:val="nil"/>
            </w:tcBorders>
            <w:noWrap/>
            <w:vAlign w:val="center"/>
          </w:tcPr>
          <w:p w14:paraId="2F094A8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4.41</w:t>
            </w:r>
          </w:p>
        </w:tc>
        <w:tc>
          <w:tcPr>
            <w:tcW w:w="1422" w:type="dxa"/>
            <w:tcBorders>
              <w:top w:val="single" w:sz="4" w:space="0" w:color="auto"/>
              <w:left w:val="nil"/>
              <w:bottom w:val="single" w:sz="4" w:space="0" w:color="auto"/>
              <w:right w:val="nil"/>
            </w:tcBorders>
            <w:noWrap/>
            <w:vAlign w:val="center"/>
          </w:tcPr>
          <w:p w14:paraId="127CAB0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072" w:type="dxa"/>
            <w:tcBorders>
              <w:top w:val="single" w:sz="4" w:space="0" w:color="auto"/>
              <w:left w:val="nil"/>
              <w:bottom w:val="single" w:sz="4" w:space="0" w:color="auto"/>
              <w:right w:val="nil"/>
            </w:tcBorders>
            <w:noWrap/>
            <w:vAlign w:val="bottom"/>
          </w:tcPr>
          <w:p w14:paraId="53BB10A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76895C3" w14:textId="77777777" w:rsidTr="0037632B">
        <w:trPr>
          <w:trHeight w:val="294"/>
          <w:jc w:val="center"/>
        </w:trPr>
        <w:tc>
          <w:tcPr>
            <w:tcW w:w="3951" w:type="dxa"/>
            <w:tcBorders>
              <w:top w:val="single" w:sz="4" w:space="0" w:color="auto"/>
              <w:left w:val="nil"/>
              <w:bottom w:val="single" w:sz="4" w:space="0" w:color="auto"/>
              <w:right w:val="nil"/>
            </w:tcBorders>
          </w:tcPr>
          <w:p w14:paraId="5E1790D0"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Collaboration</w:t>
            </w:r>
          </w:p>
        </w:tc>
        <w:tc>
          <w:tcPr>
            <w:tcW w:w="974" w:type="dxa"/>
            <w:tcBorders>
              <w:top w:val="single" w:sz="4" w:space="0" w:color="auto"/>
              <w:left w:val="nil"/>
              <w:bottom w:val="single" w:sz="4" w:space="0" w:color="auto"/>
              <w:right w:val="nil"/>
            </w:tcBorders>
            <w:noWrap/>
            <w:vAlign w:val="center"/>
          </w:tcPr>
          <w:p w14:paraId="491B69C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4.50</w:t>
            </w:r>
          </w:p>
        </w:tc>
        <w:tc>
          <w:tcPr>
            <w:tcW w:w="1422" w:type="dxa"/>
            <w:tcBorders>
              <w:top w:val="single" w:sz="4" w:space="0" w:color="auto"/>
              <w:left w:val="nil"/>
              <w:bottom w:val="single" w:sz="4" w:space="0" w:color="auto"/>
              <w:right w:val="nil"/>
            </w:tcBorders>
            <w:noWrap/>
            <w:vAlign w:val="center"/>
          </w:tcPr>
          <w:p w14:paraId="3BB5FEE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072" w:type="dxa"/>
            <w:tcBorders>
              <w:top w:val="single" w:sz="4" w:space="0" w:color="auto"/>
              <w:left w:val="nil"/>
              <w:bottom w:val="single" w:sz="4" w:space="0" w:color="auto"/>
              <w:right w:val="nil"/>
            </w:tcBorders>
            <w:noWrap/>
            <w:vAlign w:val="bottom"/>
          </w:tcPr>
          <w:p w14:paraId="50012801"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04CD8B37" w14:textId="77777777" w:rsidTr="0037632B">
        <w:trPr>
          <w:trHeight w:val="294"/>
          <w:jc w:val="center"/>
        </w:trPr>
        <w:tc>
          <w:tcPr>
            <w:tcW w:w="3951" w:type="dxa"/>
            <w:tcBorders>
              <w:top w:val="single" w:sz="4" w:space="0" w:color="auto"/>
              <w:left w:val="nil"/>
              <w:bottom w:val="single" w:sz="4" w:space="0" w:color="auto"/>
              <w:right w:val="nil"/>
            </w:tcBorders>
          </w:tcPr>
          <w:p w14:paraId="62464D2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Overall Performance</w:t>
            </w:r>
          </w:p>
        </w:tc>
        <w:tc>
          <w:tcPr>
            <w:tcW w:w="974" w:type="dxa"/>
            <w:tcBorders>
              <w:top w:val="single" w:sz="4" w:space="0" w:color="auto"/>
              <w:left w:val="nil"/>
              <w:bottom w:val="single" w:sz="4" w:space="0" w:color="auto"/>
              <w:right w:val="nil"/>
            </w:tcBorders>
            <w:noWrap/>
            <w:vAlign w:val="center"/>
          </w:tcPr>
          <w:p w14:paraId="3E0ABFE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4.44</w:t>
            </w:r>
          </w:p>
        </w:tc>
        <w:tc>
          <w:tcPr>
            <w:tcW w:w="1422" w:type="dxa"/>
            <w:tcBorders>
              <w:top w:val="single" w:sz="4" w:space="0" w:color="auto"/>
              <w:left w:val="nil"/>
              <w:bottom w:val="single" w:sz="4" w:space="0" w:color="auto"/>
              <w:right w:val="nil"/>
            </w:tcBorders>
            <w:noWrap/>
            <w:vAlign w:val="center"/>
          </w:tcPr>
          <w:p w14:paraId="3D71395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0.35</w:t>
            </w:r>
          </w:p>
        </w:tc>
        <w:tc>
          <w:tcPr>
            <w:tcW w:w="2072" w:type="dxa"/>
            <w:tcBorders>
              <w:top w:val="single" w:sz="4" w:space="0" w:color="auto"/>
              <w:left w:val="nil"/>
              <w:bottom w:val="single" w:sz="4" w:space="0" w:color="auto"/>
              <w:right w:val="nil"/>
            </w:tcBorders>
            <w:noWrap/>
            <w:vAlign w:val="bottom"/>
          </w:tcPr>
          <w:p w14:paraId="3BB0B2F1"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5C627147" w14:textId="77777777" w:rsidR="005F1BEC" w:rsidRPr="005F1BEC" w:rsidRDefault="005F1BEC" w:rsidP="005F1BEC">
      <w:pPr>
        <w:widowControl w:val="0"/>
        <w:autoSpaceDE w:val="0"/>
        <w:autoSpaceDN w:val="0"/>
        <w:jc w:val="both"/>
        <w:rPr>
          <w:rFonts w:ascii="Arial" w:eastAsia="Arial" w:hAnsi="Arial" w:cs="Arial"/>
        </w:rPr>
      </w:pPr>
      <w:r w:rsidRPr="005F1BEC">
        <w:rPr>
          <w:rFonts w:ascii="Arial" w:eastAsia="Arial" w:hAnsi="Arial" w:cs="Arial"/>
        </w:rPr>
        <w:t xml:space="preserve">  </w:t>
      </w:r>
    </w:p>
    <w:p w14:paraId="0DF557B0" w14:textId="039D28CD" w:rsidR="0037632B" w:rsidRDefault="005F1BEC" w:rsidP="007C5F1E">
      <w:pPr>
        <w:widowControl w:val="0"/>
        <w:autoSpaceDE w:val="0"/>
        <w:autoSpaceDN w:val="0"/>
        <w:ind w:firstLine="720"/>
        <w:jc w:val="both"/>
        <w:rPr>
          <w:rFonts w:ascii="Arial" w:eastAsia="Arial" w:hAnsi="Arial" w:cs="Arial"/>
        </w:rPr>
      </w:pPr>
      <w:r w:rsidRPr="005F1BEC">
        <w:rPr>
          <w:rFonts w:ascii="Arial" w:eastAsia="Arial" w:hAnsi="Arial" w:cs="Arial"/>
        </w:rPr>
        <w:t xml:space="preserve"> </w:t>
      </w:r>
      <w:r w:rsidR="007C5F1E" w:rsidRPr="007C5F1E">
        <w:rPr>
          <w:rFonts w:ascii="Arial" w:eastAsia="Arial" w:hAnsi="Arial" w:cs="Arial"/>
        </w:rPr>
        <w:t>Collaboration received the highest mean rating (x̄ = 4.50), marking it as the only outstanding domain, while Flexibility and Adaptability had the lowest (x̄ = 4.36), indicating room for growth in managing classroom changes. Overall, high scores across domains affirm the BEED program’s effectiveness. Supporting studies (</w:t>
      </w:r>
      <w:proofErr w:type="spellStart"/>
      <w:r w:rsidR="007C5F1E" w:rsidRPr="007C5F1E">
        <w:rPr>
          <w:rFonts w:ascii="Arial" w:eastAsia="Arial" w:hAnsi="Arial" w:cs="Arial"/>
        </w:rPr>
        <w:t>Salendab</w:t>
      </w:r>
      <w:proofErr w:type="spellEnd"/>
      <w:r w:rsidR="007C5F1E" w:rsidRPr="007C5F1E">
        <w:rPr>
          <w:rFonts w:ascii="Arial" w:eastAsia="Arial" w:hAnsi="Arial" w:cs="Arial"/>
        </w:rPr>
        <w:t xml:space="preserve"> &amp; </w:t>
      </w:r>
      <w:proofErr w:type="spellStart"/>
      <w:r w:rsidR="007C5F1E" w:rsidRPr="007C5F1E">
        <w:rPr>
          <w:rFonts w:ascii="Arial" w:eastAsia="Arial" w:hAnsi="Arial" w:cs="Arial"/>
        </w:rPr>
        <w:t>Ocariza-Salendab</w:t>
      </w:r>
      <w:proofErr w:type="spellEnd"/>
      <w:r w:rsidR="007C5F1E" w:rsidRPr="007C5F1E">
        <w:rPr>
          <w:rFonts w:ascii="Arial" w:eastAsia="Arial" w:hAnsi="Arial" w:cs="Arial"/>
        </w:rPr>
        <w:t xml:space="preserve">, 2023; </w:t>
      </w:r>
      <w:proofErr w:type="spellStart"/>
      <w:r w:rsidR="007C5F1E" w:rsidRPr="007C5F1E">
        <w:rPr>
          <w:rFonts w:ascii="Arial" w:eastAsia="Arial" w:hAnsi="Arial" w:cs="Arial"/>
        </w:rPr>
        <w:t>Batisla-ong</w:t>
      </w:r>
      <w:proofErr w:type="spellEnd"/>
      <w:r w:rsidR="007C5F1E" w:rsidRPr="007C5F1E">
        <w:rPr>
          <w:rFonts w:ascii="Arial" w:eastAsia="Arial" w:hAnsi="Arial" w:cs="Arial"/>
        </w:rPr>
        <w:t xml:space="preserve">, 2022; </w:t>
      </w:r>
      <w:proofErr w:type="spellStart"/>
      <w:r w:rsidR="007C5F1E" w:rsidRPr="007C5F1E">
        <w:rPr>
          <w:rFonts w:ascii="Arial" w:eastAsia="Arial" w:hAnsi="Arial" w:cs="Arial"/>
        </w:rPr>
        <w:t>Sinsay</w:t>
      </w:r>
      <w:proofErr w:type="spellEnd"/>
      <w:r w:rsidR="007C5F1E" w:rsidRPr="007C5F1E">
        <w:rPr>
          <w:rFonts w:ascii="Arial" w:eastAsia="Arial" w:hAnsi="Arial" w:cs="Arial"/>
        </w:rPr>
        <w:t xml:space="preserve">-Villanueva et al., 2025; Khoo et al., 2020; </w:t>
      </w:r>
      <w:proofErr w:type="spellStart"/>
      <w:r w:rsidR="007C5F1E" w:rsidRPr="007C5F1E">
        <w:rPr>
          <w:rFonts w:ascii="Arial" w:eastAsia="Arial" w:hAnsi="Arial" w:cs="Arial"/>
        </w:rPr>
        <w:t>Favoretto</w:t>
      </w:r>
      <w:proofErr w:type="spellEnd"/>
      <w:r w:rsidR="007C5F1E" w:rsidRPr="007C5F1E">
        <w:rPr>
          <w:rFonts w:ascii="Arial" w:eastAsia="Arial" w:hAnsi="Arial" w:cs="Arial"/>
        </w:rPr>
        <w:t xml:space="preserve"> et al., 2019) confirm strong graduate performance in teaching and leadership, aligning with global employer expectations.</w:t>
      </w:r>
    </w:p>
    <w:p w14:paraId="3F32F154" w14:textId="77777777" w:rsidR="007C5F1E" w:rsidRDefault="007C5F1E" w:rsidP="007C5F1E">
      <w:pPr>
        <w:widowControl w:val="0"/>
        <w:autoSpaceDE w:val="0"/>
        <w:autoSpaceDN w:val="0"/>
        <w:ind w:firstLine="720"/>
        <w:jc w:val="both"/>
        <w:rPr>
          <w:rFonts w:ascii="Arial" w:eastAsia="Arial" w:hAnsi="Arial" w:cs="Arial"/>
        </w:rPr>
      </w:pPr>
    </w:p>
    <w:p w14:paraId="31FA725A" w14:textId="5F59AAAB" w:rsidR="005F1BEC" w:rsidRPr="005F1BEC" w:rsidRDefault="005F1BEC" w:rsidP="0037632B">
      <w:pPr>
        <w:widowControl w:val="0"/>
        <w:autoSpaceDE w:val="0"/>
        <w:autoSpaceDN w:val="0"/>
        <w:jc w:val="both"/>
        <w:rPr>
          <w:rFonts w:ascii="Arial" w:eastAsia="Times New Roman" w:hAnsi="Arial" w:cs="Arial"/>
          <w:b/>
          <w:bCs/>
        </w:rPr>
      </w:pPr>
      <w:r w:rsidRPr="005F1BEC">
        <w:rPr>
          <w:rFonts w:ascii="Arial" w:eastAsia="Times New Roman" w:hAnsi="Arial" w:cs="Arial"/>
          <w:b/>
          <w:bCs/>
        </w:rPr>
        <w:t>Level of Employer Feedback on BEED Graduates</w:t>
      </w:r>
    </w:p>
    <w:p w14:paraId="7001BD29" w14:textId="5E5AD532" w:rsidR="005F1BEC" w:rsidRPr="005F1BEC" w:rsidRDefault="005F1BEC" w:rsidP="005F1BEC">
      <w:pPr>
        <w:widowControl w:val="0"/>
        <w:autoSpaceDE w:val="0"/>
        <w:autoSpaceDN w:val="0"/>
        <w:ind w:firstLine="720"/>
        <w:jc w:val="both"/>
        <w:rPr>
          <w:rFonts w:ascii="Arial" w:eastAsia="Arial" w:hAnsi="Arial" w:cs="Arial"/>
        </w:rPr>
      </w:pPr>
      <w:r w:rsidRPr="005F1BEC">
        <w:rPr>
          <w:rFonts w:ascii="Arial" w:eastAsia="Arial" w:hAnsi="Arial" w:cs="Arial"/>
        </w:rPr>
        <w:t xml:space="preserve">Table </w:t>
      </w:r>
      <w:r w:rsidR="003733BF">
        <w:rPr>
          <w:rFonts w:ascii="Arial" w:eastAsia="Arial" w:hAnsi="Arial" w:cs="Arial"/>
        </w:rPr>
        <w:t>7</w:t>
      </w:r>
      <w:r w:rsidRPr="005F1BEC">
        <w:rPr>
          <w:rFonts w:ascii="Arial" w:eastAsia="Arial" w:hAnsi="Arial" w:cs="Arial"/>
        </w:rPr>
        <w:t xml:space="preserve"> presents the evaluation of BEED graduates in the Subject Knowledge domain, </w:t>
      </w:r>
      <w:r w:rsidRPr="005F1BEC">
        <w:rPr>
          <w:rFonts w:ascii="Arial" w:eastAsia="Arial" w:hAnsi="Arial" w:cs="Arial"/>
        </w:rPr>
        <w:lastRenderedPageBreak/>
        <w:t xml:space="preserve">yielding a mean of 4.45 (SD = 0.35), which is interpreted </w:t>
      </w:r>
      <w:r w:rsidRPr="005F1BEC">
        <w:rPr>
          <w:rFonts w:ascii="Arial" w:eastAsia="Arial" w:hAnsi="Arial" w:cs="Arial"/>
          <w:color w:val="000000"/>
        </w:rPr>
        <w:t>as very satisfactory</w:t>
      </w:r>
      <w:r w:rsidRPr="005F1BEC">
        <w:rPr>
          <w:rFonts w:ascii="Arial" w:eastAsia="Arial" w:hAnsi="Arial" w:cs="Arial"/>
        </w:rPr>
        <w:t>. This indicates that graduates possess a strong grasp of the content they are expected to teach, as well as the ability to apply this knowledge effectively in classroom settings.</w:t>
      </w:r>
    </w:p>
    <w:tbl>
      <w:tblPr>
        <w:tblW w:w="8367" w:type="dxa"/>
        <w:tblInd w:w="93" w:type="dxa"/>
        <w:tblLook w:val="04A0" w:firstRow="1" w:lastRow="0" w:firstColumn="1" w:lastColumn="0" w:noHBand="0" w:noVBand="1"/>
      </w:tblPr>
      <w:tblGrid>
        <w:gridCol w:w="4612"/>
        <w:gridCol w:w="960"/>
        <w:gridCol w:w="1400"/>
        <w:gridCol w:w="1395"/>
      </w:tblGrid>
      <w:tr w:rsidR="005F1BEC" w:rsidRPr="005F1BEC" w14:paraId="03304070" w14:textId="77777777" w:rsidTr="0037632B">
        <w:trPr>
          <w:trHeight w:val="570"/>
        </w:trPr>
        <w:tc>
          <w:tcPr>
            <w:tcW w:w="8367" w:type="dxa"/>
            <w:gridSpan w:val="4"/>
            <w:tcBorders>
              <w:top w:val="nil"/>
              <w:left w:val="nil"/>
              <w:bottom w:val="single" w:sz="4" w:space="0" w:color="auto"/>
              <w:right w:val="nil"/>
            </w:tcBorders>
            <w:vAlign w:val="center"/>
          </w:tcPr>
          <w:p w14:paraId="0DC2BF44" w14:textId="6C8D4323" w:rsidR="005F1BEC" w:rsidRPr="005F1BEC" w:rsidRDefault="005F1BEC" w:rsidP="005F1BEC">
            <w:pPr>
              <w:jc w:val="both"/>
              <w:rPr>
                <w:rFonts w:ascii="Arial" w:eastAsia="Times New Roman" w:hAnsi="Arial" w:cs="Arial"/>
                <w:b/>
                <w:bCs/>
              </w:rPr>
            </w:pPr>
            <w:r w:rsidRPr="005F1BEC">
              <w:rPr>
                <w:rFonts w:ascii="Arial" w:eastAsia="Times New Roman" w:hAnsi="Arial" w:cs="Arial"/>
                <w:lang w:bidi="ar"/>
              </w:rPr>
              <w:t xml:space="preserve">Table </w:t>
            </w:r>
            <w:r w:rsidR="003733BF">
              <w:rPr>
                <w:rFonts w:ascii="Arial" w:eastAsia="Times New Roman" w:hAnsi="Arial" w:cs="Arial"/>
                <w:lang w:bidi="ar"/>
              </w:rPr>
              <w:t>7</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terms of subject knowledge domain</w:t>
            </w:r>
          </w:p>
        </w:tc>
      </w:tr>
      <w:tr w:rsidR="005F1BEC" w:rsidRPr="005F1BEC" w14:paraId="1F151972" w14:textId="77777777" w:rsidTr="0037632B">
        <w:trPr>
          <w:trHeight w:val="570"/>
        </w:trPr>
        <w:tc>
          <w:tcPr>
            <w:tcW w:w="4860" w:type="dxa"/>
            <w:tcBorders>
              <w:top w:val="single" w:sz="4" w:space="0" w:color="auto"/>
              <w:left w:val="nil"/>
              <w:bottom w:val="single" w:sz="4" w:space="0" w:color="auto"/>
              <w:right w:val="nil"/>
            </w:tcBorders>
            <w:vAlign w:val="center"/>
          </w:tcPr>
          <w:p w14:paraId="6D24CD05"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37DA2BD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47D0744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147" w:type="dxa"/>
            <w:tcBorders>
              <w:top w:val="single" w:sz="4" w:space="0" w:color="auto"/>
              <w:left w:val="nil"/>
              <w:bottom w:val="single" w:sz="4" w:space="0" w:color="auto"/>
              <w:right w:val="nil"/>
            </w:tcBorders>
            <w:noWrap/>
            <w:vAlign w:val="center"/>
          </w:tcPr>
          <w:p w14:paraId="2308AE58"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60103B8B" w14:textId="77777777" w:rsidTr="0037632B">
        <w:trPr>
          <w:trHeight w:val="300"/>
        </w:trPr>
        <w:tc>
          <w:tcPr>
            <w:tcW w:w="4860" w:type="dxa"/>
            <w:tcBorders>
              <w:top w:val="single" w:sz="4" w:space="0" w:color="auto"/>
              <w:left w:val="nil"/>
              <w:bottom w:val="single" w:sz="4" w:space="0" w:color="auto"/>
              <w:right w:val="nil"/>
            </w:tcBorders>
            <w:vAlign w:val="center"/>
          </w:tcPr>
          <w:p w14:paraId="077DFC17"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Demonstrates a solid understanding of the key concepts, facts, and skills taught at the elementary level.</w:t>
            </w:r>
          </w:p>
        </w:tc>
        <w:tc>
          <w:tcPr>
            <w:tcW w:w="960" w:type="dxa"/>
            <w:tcBorders>
              <w:top w:val="single" w:sz="4" w:space="0" w:color="auto"/>
              <w:left w:val="nil"/>
              <w:bottom w:val="single" w:sz="4" w:space="0" w:color="auto"/>
              <w:right w:val="nil"/>
            </w:tcBorders>
            <w:noWrap/>
            <w:vAlign w:val="center"/>
          </w:tcPr>
          <w:p w14:paraId="073CB16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4.51</w:t>
            </w:r>
          </w:p>
        </w:tc>
        <w:tc>
          <w:tcPr>
            <w:tcW w:w="1400" w:type="dxa"/>
            <w:tcBorders>
              <w:top w:val="single" w:sz="4" w:space="0" w:color="auto"/>
              <w:left w:val="nil"/>
              <w:bottom w:val="single" w:sz="4" w:space="0" w:color="auto"/>
              <w:right w:val="nil"/>
            </w:tcBorders>
            <w:noWrap/>
            <w:vAlign w:val="center"/>
          </w:tcPr>
          <w:p w14:paraId="3E6DCAD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0.38</w:t>
            </w:r>
          </w:p>
        </w:tc>
        <w:tc>
          <w:tcPr>
            <w:tcW w:w="1147" w:type="dxa"/>
            <w:tcBorders>
              <w:top w:val="single" w:sz="4" w:space="0" w:color="auto"/>
              <w:left w:val="nil"/>
              <w:bottom w:val="single" w:sz="4" w:space="0" w:color="auto"/>
              <w:right w:val="nil"/>
            </w:tcBorders>
            <w:noWrap/>
            <w:vAlign w:val="center"/>
          </w:tcPr>
          <w:p w14:paraId="150AF2C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3D21F0BF" w14:textId="77777777" w:rsidTr="0037632B">
        <w:trPr>
          <w:trHeight w:val="300"/>
        </w:trPr>
        <w:tc>
          <w:tcPr>
            <w:tcW w:w="4860" w:type="dxa"/>
            <w:tcBorders>
              <w:top w:val="single" w:sz="4" w:space="0" w:color="auto"/>
              <w:left w:val="nil"/>
              <w:bottom w:val="single" w:sz="4" w:space="0" w:color="auto"/>
              <w:right w:val="nil"/>
            </w:tcBorders>
            <w:vAlign w:val="center"/>
          </w:tcPr>
          <w:p w14:paraId="69C92460"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Discusses the topic without relying exclusively on the required reading.</w:t>
            </w:r>
          </w:p>
        </w:tc>
        <w:tc>
          <w:tcPr>
            <w:tcW w:w="960" w:type="dxa"/>
            <w:tcBorders>
              <w:top w:val="single" w:sz="4" w:space="0" w:color="auto"/>
              <w:left w:val="nil"/>
              <w:bottom w:val="single" w:sz="4" w:space="0" w:color="auto"/>
              <w:right w:val="nil"/>
            </w:tcBorders>
            <w:noWrap/>
            <w:vAlign w:val="center"/>
          </w:tcPr>
          <w:p w14:paraId="648571C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4.31</w:t>
            </w:r>
          </w:p>
        </w:tc>
        <w:tc>
          <w:tcPr>
            <w:tcW w:w="1400" w:type="dxa"/>
            <w:tcBorders>
              <w:top w:val="single" w:sz="4" w:space="0" w:color="auto"/>
              <w:left w:val="nil"/>
              <w:bottom w:val="single" w:sz="4" w:space="0" w:color="auto"/>
              <w:right w:val="nil"/>
            </w:tcBorders>
            <w:noWrap/>
            <w:vAlign w:val="center"/>
          </w:tcPr>
          <w:p w14:paraId="6E69F51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1147" w:type="dxa"/>
            <w:tcBorders>
              <w:top w:val="single" w:sz="4" w:space="0" w:color="auto"/>
              <w:left w:val="nil"/>
              <w:bottom w:val="single" w:sz="4" w:space="0" w:color="auto"/>
              <w:right w:val="nil"/>
            </w:tcBorders>
            <w:noWrap/>
            <w:vAlign w:val="center"/>
          </w:tcPr>
          <w:p w14:paraId="71ED715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A112989" w14:textId="77777777" w:rsidTr="0037632B">
        <w:trPr>
          <w:trHeight w:val="300"/>
        </w:trPr>
        <w:tc>
          <w:tcPr>
            <w:tcW w:w="4860" w:type="dxa"/>
            <w:tcBorders>
              <w:top w:val="single" w:sz="4" w:space="0" w:color="auto"/>
              <w:left w:val="nil"/>
              <w:bottom w:val="single" w:sz="4" w:space="0" w:color="auto"/>
              <w:right w:val="nil"/>
            </w:tcBorders>
            <w:vAlign w:val="center"/>
          </w:tcPr>
          <w:p w14:paraId="5A1D96A4"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Integrates subject matter with students' practical contexts and learning objectives/goals.</w:t>
            </w:r>
          </w:p>
        </w:tc>
        <w:tc>
          <w:tcPr>
            <w:tcW w:w="960" w:type="dxa"/>
            <w:tcBorders>
              <w:top w:val="single" w:sz="4" w:space="0" w:color="auto"/>
              <w:left w:val="nil"/>
              <w:bottom w:val="single" w:sz="4" w:space="0" w:color="auto"/>
              <w:right w:val="nil"/>
            </w:tcBorders>
            <w:noWrap/>
            <w:vAlign w:val="center"/>
          </w:tcPr>
          <w:p w14:paraId="3C2907D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4.52</w:t>
            </w:r>
          </w:p>
        </w:tc>
        <w:tc>
          <w:tcPr>
            <w:tcW w:w="1400" w:type="dxa"/>
            <w:tcBorders>
              <w:top w:val="single" w:sz="4" w:space="0" w:color="auto"/>
              <w:left w:val="nil"/>
              <w:bottom w:val="single" w:sz="4" w:space="0" w:color="auto"/>
              <w:right w:val="nil"/>
            </w:tcBorders>
            <w:noWrap/>
            <w:vAlign w:val="center"/>
          </w:tcPr>
          <w:p w14:paraId="0D1DA88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0.37</w:t>
            </w:r>
          </w:p>
        </w:tc>
        <w:tc>
          <w:tcPr>
            <w:tcW w:w="1147" w:type="dxa"/>
            <w:tcBorders>
              <w:top w:val="single" w:sz="4" w:space="0" w:color="auto"/>
              <w:left w:val="nil"/>
              <w:bottom w:val="single" w:sz="4" w:space="0" w:color="auto"/>
              <w:right w:val="nil"/>
            </w:tcBorders>
            <w:noWrap/>
            <w:vAlign w:val="center"/>
          </w:tcPr>
          <w:p w14:paraId="45D72772"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29245019" w14:textId="77777777" w:rsidTr="0037632B">
        <w:trPr>
          <w:trHeight w:val="300"/>
        </w:trPr>
        <w:tc>
          <w:tcPr>
            <w:tcW w:w="4860" w:type="dxa"/>
            <w:tcBorders>
              <w:top w:val="single" w:sz="4" w:space="0" w:color="auto"/>
              <w:left w:val="nil"/>
              <w:bottom w:val="single" w:sz="4" w:space="0" w:color="auto"/>
              <w:right w:val="nil"/>
            </w:tcBorders>
            <w:vAlign w:val="center"/>
          </w:tcPr>
          <w:p w14:paraId="2F7366E7"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Shows expertise in using educational technology in the classroom.</w:t>
            </w:r>
          </w:p>
        </w:tc>
        <w:tc>
          <w:tcPr>
            <w:tcW w:w="960" w:type="dxa"/>
            <w:tcBorders>
              <w:top w:val="single" w:sz="4" w:space="0" w:color="auto"/>
              <w:left w:val="nil"/>
              <w:bottom w:val="single" w:sz="4" w:space="0" w:color="auto"/>
              <w:right w:val="nil"/>
            </w:tcBorders>
            <w:noWrap/>
            <w:vAlign w:val="center"/>
          </w:tcPr>
          <w:p w14:paraId="793F889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4.48</w:t>
            </w:r>
          </w:p>
        </w:tc>
        <w:tc>
          <w:tcPr>
            <w:tcW w:w="1400" w:type="dxa"/>
            <w:tcBorders>
              <w:top w:val="single" w:sz="4" w:space="0" w:color="auto"/>
              <w:left w:val="nil"/>
              <w:bottom w:val="single" w:sz="4" w:space="0" w:color="auto"/>
              <w:right w:val="nil"/>
            </w:tcBorders>
            <w:noWrap/>
            <w:vAlign w:val="center"/>
          </w:tcPr>
          <w:p w14:paraId="1568703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1147" w:type="dxa"/>
            <w:tcBorders>
              <w:top w:val="single" w:sz="4" w:space="0" w:color="auto"/>
              <w:left w:val="nil"/>
              <w:bottom w:val="single" w:sz="4" w:space="0" w:color="auto"/>
              <w:right w:val="nil"/>
            </w:tcBorders>
            <w:noWrap/>
            <w:vAlign w:val="center"/>
          </w:tcPr>
          <w:p w14:paraId="62A6840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415AFE6" w14:textId="77777777" w:rsidTr="0037632B">
        <w:trPr>
          <w:trHeight w:val="300"/>
        </w:trPr>
        <w:tc>
          <w:tcPr>
            <w:tcW w:w="4860" w:type="dxa"/>
            <w:tcBorders>
              <w:top w:val="single" w:sz="4" w:space="0" w:color="auto"/>
              <w:left w:val="nil"/>
              <w:bottom w:val="single" w:sz="4" w:space="0" w:color="auto"/>
              <w:right w:val="nil"/>
            </w:tcBorders>
            <w:vAlign w:val="center"/>
          </w:tcPr>
          <w:p w14:paraId="7121881A"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Explain the relevance of current topics to prior lessons and relate the topic to pertinent current issues or daily activities.</w:t>
            </w:r>
          </w:p>
        </w:tc>
        <w:tc>
          <w:tcPr>
            <w:tcW w:w="960" w:type="dxa"/>
            <w:tcBorders>
              <w:top w:val="single" w:sz="4" w:space="0" w:color="auto"/>
              <w:left w:val="nil"/>
              <w:bottom w:val="single" w:sz="4" w:space="0" w:color="auto"/>
              <w:right w:val="nil"/>
            </w:tcBorders>
            <w:noWrap/>
            <w:vAlign w:val="center"/>
          </w:tcPr>
          <w:p w14:paraId="2E6F300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00" w:type="dxa"/>
            <w:tcBorders>
              <w:top w:val="single" w:sz="4" w:space="0" w:color="auto"/>
              <w:left w:val="nil"/>
              <w:bottom w:val="single" w:sz="4" w:space="0" w:color="auto"/>
              <w:right w:val="nil"/>
            </w:tcBorders>
            <w:noWrap/>
            <w:vAlign w:val="center"/>
          </w:tcPr>
          <w:p w14:paraId="7A933E0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1147" w:type="dxa"/>
            <w:tcBorders>
              <w:top w:val="single" w:sz="4" w:space="0" w:color="auto"/>
              <w:left w:val="nil"/>
              <w:bottom w:val="single" w:sz="4" w:space="0" w:color="auto"/>
              <w:right w:val="nil"/>
            </w:tcBorders>
            <w:noWrap/>
            <w:vAlign w:val="center"/>
          </w:tcPr>
          <w:p w14:paraId="7DC0AF6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245B74DD" w14:textId="77777777" w:rsidTr="0037632B">
        <w:trPr>
          <w:trHeight w:val="300"/>
        </w:trPr>
        <w:tc>
          <w:tcPr>
            <w:tcW w:w="4860" w:type="dxa"/>
            <w:tcBorders>
              <w:top w:val="single" w:sz="4" w:space="0" w:color="auto"/>
              <w:left w:val="nil"/>
              <w:bottom w:val="single" w:sz="4" w:space="0" w:color="auto"/>
              <w:right w:val="nil"/>
            </w:tcBorders>
            <w:vAlign w:val="center"/>
          </w:tcPr>
          <w:p w14:paraId="2F09EE49"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top w:val="single" w:sz="4" w:space="0" w:color="auto"/>
              <w:left w:val="nil"/>
              <w:bottom w:val="single" w:sz="4" w:space="0" w:color="auto"/>
              <w:right w:val="nil"/>
            </w:tcBorders>
            <w:noWrap/>
            <w:vAlign w:val="center"/>
          </w:tcPr>
          <w:p w14:paraId="2B07374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4.45</w:t>
            </w:r>
          </w:p>
        </w:tc>
        <w:tc>
          <w:tcPr>
            <w:tcW w:w="1400" w:type="dxa"/>
            <w:tcBorders>
              <w:top w:val="single" w:sz="4" w:space="0" w:color="auto"/>
              <w:left w:val="nil"/>
              <w:bottom w:val="single" w:sz="4" w:space="0" w:color="auto"/>
              <w:right w:val="nil"/>
            </w:tcBorders>
            <w:noWrap/>
            <w:vAlign w:val="center"/>
          </w:tcPr>
          <w:p w14:paraId="4EE10AB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0.35</w:t>
            </w:r>
          </w:p>
        </w:tc>
        <w:tc>
          <w:tcPr>
            <w:tcW w:w="1147" w:type="dxa"/>
            <w:tcBorders>
              <w:top w:val="single" w:sz="4" w:space="0" w:color="auto"/>
              <w:left w:val="nil"/>
              <w:bottom w:val="single" w:sz="4" w:space="0" w:color="auto"/>
              <w:right w:val="nil"/>
            </w:tcBorders>
            <w:noWrap/>
            <w:vAlign w:val="center"/>
          </w:tcPr>
          <w:p w14:paraId="2A65F457"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639F1228" w14:textId="77777777" w:rsidR="005F1BEC" w:rsidRPr="005F1BEC" w:rsidRDefault="005F1BEC" w:rsidP="005F1BEC">
      <w:pPr>
        <w:widowControl w:val="0"/>
        <w:autoSpaceDE w:val="0"/>
        <w:autoSpaceDN w:val="0"/>
        <w:jc w:val="both"/>
        <w:rPr>
          <w:rFonts w:ascii="Arial" w:eastAsia="Arial" w:hAnsi="Arial" w:cs="Arial"/>
        </w:rPr>
      </w:pPr>
      <w:r w:rsidRPr="005F1BEC">
        <w:rPr>
          <w:rFonts w:ascii="Arial" w:eastAsia="Arial" w:hAnsi="Arial" w:cs="Arial"/>
        </w:rPr>
        <w:t xml:space="preserve"> </w:t>
      </w:r>
    </w:p>
    <w:p w14:paraId="3F1BEE4C" w14:textId="77777777" w:rsidR="007C5F1E" w:rsidRPr="007C5F1E" w:rsidRDefault="007C5F1E" w:rsidP="007C5F1E">
      <w:pPr>
        <w:widowControl w:val="0"/>
        <w:autoSpaceDE w:val="0"/>
        <w:autoSpaceDN w:val="0"/>
        <w:ind w:firstLine="720"/>
        <w:jc w:val="both"/>
        <w:rPr>
          <w:rFonts w:ascii="Arial" w:eastAsia="Arial" w:hAnsi="Arial" w:cs="Arial"/>
        </w:rPr>
      </w:pPr>
      <w:r w:rsidRPr="007C5F1E">
        <w:rPr>
          <w:rFonts w:ascii="Arial" w:eastAsia="Arial" w:hAnsi="Arial" w:cs="Arial"/>
        </w:rPr>
        <w:t xml:space="preserve">BEED graduates scored highest in integrating subject matter with students’ goals (x̄ = 4.52) and demonstrating strong content knowledge (x̄ = 4.51), reflecting excellence in contextualized instruction. The lowest score was in using varied sources beyond required readings (x̄ = 4.31), highlighting a need for broader resource use. These results align with studies (Estacio &amp; Cabrera, 2018; Rodriguez &amp; Cuesta, 2022; </w:t>
      </w:r>
      <w:proofErr w:type="spellStart"/>
      <w:r w:rsidRPr="007C5F1E">
        <w:rPr>
          <w:rFonts w:ascii="Arial" w:eastAsia="Arial" w:hAnsi="Arial" w:cs="Arial"/>
        </w:rPr>
        <w:t>Malahay</w:t>
      </w:r>
      <w:proofErr w:type="spellEnd"/>
      <w:r w:rsidRPr="007C5F1E">
        <w:rPr>
          <w:rFonts w:ascii="Arial" w:eastAsia="Arial" w:hAnsi="Arial" w:cs="Arial"/>
        </w:rPr>
        <w:t>, 2021; Espiritu, 2021; Rubio &amp; Saenz, 2023) affirming strong content mastery and planning.</w:t>
      </w:r>
    </w:p>
    <w:p w14:paraId="10EFBC14" w14:textId="2D91BFAA" w:rsidR="005F1BEC" w:rsidRPr="005F1BEC" w:rsidRDefault="007C5F1E" w:rsidP="007C5F1E">
      <w:pPr>
        <w:widowControl w:val="0"/>
        <w:autoSpaceDE w:val="0"/>
        <w:autoSpaceDN w:val="0"/>
        <w:ind w:firstLine="720"/>
        <w:jc w:val="both"/>
        <w:rPr>
          <w:rFonts w:ascii="Arial" w:eastAsia="Arial" w:hAnsi="Arial" w:cs="Arial"/>
        </w:rPr>
      </w:pPr>
      <w:r w:rsidRPr="007C5F1E">
        <w:rPr>
          <w:rFonts w:ascii="Arial" w:eastAsia="Arial" w:hAnsi="Arial" w:cs="Arial"/>
        </w:rPr>
        <w:t>In Learning Management, the overall mean was 4.46. Encouraging curiosity scored highest (x̄ = 4.53), while facilitating constructive dialogue scored lowest (x̄ = 4.38), suggesting room for growth in inclusive interactions. These findings echo prior research confirming BEED graduates’ competence in managing learning environments.</w:t>
      </w:r>
    </w:p>
    <w:p w14:paraId="580EF2D4" w14:textId="77777777" w:rsidR="005F1BEC" w:rsidRPr="005F1BEC" w:rsidRDefault="005F1BEC" w:rsidP="005F1BEC">
      <w:pPr>
        <w:widowControl w:val="0"/>
        <w:autoSpaceDE w:val="0"/>
        <w:autoSpaceDN w:val="0"/>
        <w:ind w:firstLine="720"/>
        <w:jc w:val="both"/>
        <w:rPr>
          <w:rFonts w:ascii="Arial" w:eastAsia="Arial" w:hAnsi="Arial" w:cs="Arial"/>
        </w:rPr>
      </w:pPr>
    </w:p>
    <w:p w14:paraId="50868542" w14:textId="4595DF58"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8</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 management of the learning domain</w:t>
      </w:r>
    </w:p>
    <w:tbl>
      <w:tblPr>
        <w:tblW w:w="8362" w:type="dxa"/>
        <w:tblInd w:w="93" w:type="dxa"/>
        <w:tblLook w:val="04A0" w:firstRow="1" w:lastRow="0" w:firstColumn="1" w:lastColumn="0" w:noHBand="0" w:noVBand="1"/>
      </w:tblPr>
      <w:tblGrid>
        <w:gridCol w:w="4368"/>
        <w:gridCol w:w="960"/>
        <w:gridCol w:w="1400"/>
        <w:gridCol w:w="1634"/>
      </w:tblGrid>
      <w:tr w:rsidR="005F1BEC" w:rsidRPr="005F1BEC" w14:paraId="4316F051" w14:textId="77777777" w:rsidTr="0037632B">
        <w:trPr>
          <w:trHeight w:val="570"/>
        </w:trPr>
        <w:tc>
          <w:tcPr>
            <w:tcW w:w="4368" w:type="dxa"/>
            <w:tcBorders>
              <w:top w:val="single" w:sz="4" w:space="0" w:color="auto"/>
              <w:left w:val="nil"/>
              <w:bottom w:val="single" w:sz="4" w:space="0" w:color="auto"/>
              <w:right w:val="nil"/>
            </w:tcBorders>
            <w:vAlign w:val="center"/>
          </w:tcPr>
          <w:p w14:paraId="53B31170"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17B0D51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75EAF62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634" w:type="dxa"/>
            <w:tcBorders>
              <w:top w:val="single" w:sz="4" w:space="0" w:color="auto"/>
              <w:left w:val="nil"/>
              <w:bottom w:val="single" w:sz="4" w:space="0" w:color="auto"/>
              <w:right w:val="nil"/>
            </w:tcBorders>
            <w:noWrap/>
            <w:vAlign w:val="center"/>
          </w:tcPr>
          <w:p w14:paraId="51F1C4C7"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5586E045" w14:textId="77777777" w:rsidTr="0037632B">
        <w:trPr>
          <w:trHeight w:val="300"/>
        </w:trPr>
        <w:tc>
          <w:tcPr>
            <w:tcW w:w="4368" w:type="dxa"/>
            <w:tcBorders>
              <w:top w:val="single" w:sz="4" w:space="0" w:color="auto"/>
              <w:left w:val="nil"/>
              <w:bottom w:val="single" w:sz="4" w:space="0" w:color="auto"/>
              <w:right w:val="nil"/>
            </w:tcBorders>
            <w:vAlign w:val="center"/>
          </w:tcPr>
          <w:p w14:paraId="620E2E1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Facilitates opportunities for students to engage in class activities through active, intensive, or extensive participation.</w:t>
            </w:r>
          </w:p>
        </w:tc>
        <w:tc>
          <w:tcPr>
            <w:tcW w:w="960" w:type="dxa"/>
            <w:tcBorders>
              <w:top w:val="single" w:sz="4" w:space="0" w:color="auto"/>
              <w:left w:val="nil"/>
              <w:bottom w:val="single" w:sz="4" w:space="0" w:color="auto"/>
              <w:right w:val="nil"/>
            </w:tcBorders>
            <w:noWrap/>
            <w:vAlign w:val="center"/>
          </w:tcPr>
          <w:p w14:paraId="550AF9F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2123D81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0.53</w:t>
            </w:r>
          </w:p>
        </w:tc>
        <w:tc>
          <w:tcPr>
            <w:tcW w:w="1634" w:type="dxa"/>
            <w:tcBorders>
              <w:top w:val="single" w:sz="4" w:space="0" w:color="auto"/>
              <w:left w:val="nil"/>
              <w:bottom w:val="single" w:sz="4" w:space="0" w:color="auto"/>
              <w:right w:val="nil"/>
            </w:tcBorders>
            <w:noWrap/>
            <w:vAlign w:val="center"/>
          </w:tcPr>
          <w:p w14:paraId="7724B028"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A8A46D9" w14:textId="77777777" w:rsidTr="0037632B">
        <w:trPr>
          <w:trHeight w:val="300"/>
        </w:trPr>
        <w:tc>
          <w:tcPr>
            <w:tcW w:w="4368" w:type="dxa"/>
            <w:tcBorders>
              <w:top w:val="single" w:sz="4" w:space="0" w:color="auto"/>
              <w:left w:val="nil"/>
              <w:bottom w:val="single" w:sz="4" w:space="0" w:color="auto"/>
              <w:right w:val="nil"/>
            </w:tcBorders>
            <w:vAlign w:val="center"/>
          </w:tcPr>
          <w:p w14:paraId="3256AD1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Undertakes several responsibilities within the educational context, including that of a teacher, resource person, coach, adviser, and referee.</w:t>
            </w:r>
          </w:p>
        </w:tc>
        <w:tc>
          <w:tcPr>
            <w:tcW w:w="960" w:type="dxa"/>
            <w:tcBorders>
              <w:top w:val="single" w:sz="4" w:space="0" w:color="auto"/>
              <w:left w:val="nil"/>
              <w:bottom w:val="single" w:sz="4" w:space="0" w:color="auto"/>
              <w:right w:val="nil"/>
            </w:tcBorders>
            <w:noWrap/>
            <w:vAlign w:val="center"/>
          </w:tcPr>
          <w:p w14:paraId="423AB55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614B21E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0.41</w:t>
            </w:r>
          </w:p>
        </w:tc>
        <w:tc>
          <w:tcPr>
            <w:tcW w:w="1634" w:type="dxa"/>
            <w:tcBorders>
              <w:top w:val="single" w:sz="4" w:space="0" w:color="auto"/>
              <w:left w:val="nil"/>
              <w:bottom w:val="single" w:sz="4" w:space="0" w:color="auto"/>
              <w:right w:val="nil"/>
            </w:tcBorders>
            <w:noWrap/>
            <w:vAlign w:val="center"/>
          </w:tcPr>
          <w:p w14:paraId="1A611C6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33928B6" w14:textId="77777777" w:rsidTr="0037632B">
        <w:trPr>
          <w:trHeight w:val="300"/>
        </w:trPr>
        <w:tc>
          <w:tcPr>
            <w:tcW w:w="4368" w:type="dxa"/>
            <w:tcBorders>
              <w:top w:val="single" w:sz="4" w:space="0" w:color="auto"/>
              <w:left w:val="nil"/>
              <w:bottom w:val="single" w:sz="4" w:space="0" w:color="auto"/>
              <w:right w:val="nil"/>
            </w:tcBorders>
            <w:vAlign w:val="center"/>
          </w:tcPr>
          <w:p w14:paraId="45CCC09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Develop and execute educational environments and opportunities that facilitate constructive dialogue or interactions.</w:t>
            </w:r>
          </w:p>
        </w:tc>
        <w:tc>
          <w:tcPr>
            <w:tcW w:w="960" w:type="dxa"/>
            <w:tcBorders>
              <w:top w:val="single" w:sz="4" w:space="0" w:color="auto"/>
              <w:left w:val="nil"/>
              <w:bottom w:val="single" w:sz="4" w:space="0" w:color="auto"/>
              <w:right w:val="nil"/>
            </w:tcBorders>
            <w:noWrap/>
            <w:vAlign w:val="center"/>
          </w:tcPr>
          <w:p w14:paraId="5B05E8F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4.38</w:t>
            </w:r>
          </w:p>
        </w:tc>
        <w:tc>
          <w:tcPr>
            <w:tcW w:w="1400" w:type="dxa"/>
            <w:tcBorders>
              <w:top w:val="single" w:sz="4" w:space="0" w:color="auto"/>
              <w:left w:val="nil"/>
              <w:bottom w:val="single" w:sz="4" w:space="0" w:color="auto"/>
              <w:right w:val="nil"/>
            </w:tcBorders>
            <w:noWrap/>
            <w:vAlign w:val="center"/>
          </w:tcPr>
          <w:p w14:paraId="0CC7A38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1634" w:type="dxa"/>
            <w:tcBorders>
              <w:top w:val="single" w:sz="4" w:space="0" w:color="auto"/>
              <w:left w:val="nil"/>
              <w:bottom w:val="single" w:sz="4" w:space="0" w:color="auto"/>
              <w:right w:val="nil"/>
            </w:tcBorders>
            <w:noWrap/>
            <w:vAlign w:val="center"/>
          </w:tcPr>
          <w:p w14:paraId="61D92A5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7CCCC44" w14:textId="77777777" w:rsidTr="0037632B">
        <w:trPr>
          <w:trHeight w:val="300"/>
        </w:trPr>
        <w:tc>
          <w:tcPr>
            <w:tcW w:w="4368" w:type="dxa"/>
            <w:tcBorders>
              <w:top w:val="single" w:sz="4" w:space="0" w:color="auto"/>
              <w:left w:val="nil"/>
              <w:bottom w:val="single" w:sz="4" w:space="0" w:color="auto"/>
              <w:right w:val="nil"/>
            </w:tcBorders>
            <w:vAlign w:val="center"/>
          </w:tcPr>
          <w:p w14:paraId="22DBAC4E"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Structure or restructure the learning and teaching context to facilitate the achievement of collective learning goals.</w:t>
            </w:r>
          </w:p>
        </w:tc>
        <w:tc>
          <w:tcPr>
            <w:tcW w:w="960" w:type="dxa"/>
            <w:tcBorders>
              <w:top w:val="single" w:sz="4" w:space="0" w:color="auto"/>
              <w:left w:val="nil"/>
              <w:bottom w:val="single" w:sz="4" w:space="0" w:color="auto"/>
              <w:right w:val="nil"/>
            </w:tcBorders>
            <w:noWrap/>
            <w:vAlign w:val="center"/>
          </w:tcPr>
          <w:p w14:paraId="606DEC2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740A4AE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1634" w:type="dxa"/>
            <w:tcBorders>
              <w:top w:val="single" w:sz="4" w:space="0" w:color="auto"/>
              <w:left w:val="nil"/>
              <w:bottom w:val="single" w:sz="4" w:space="0" w:color="auto"/>
              <w:right w:val="nil"/>
            </w:tcBorders>
            <w:noWrap/>
            <w:vAlign w:val="center"/>
          </w:tcPr>
          <w:p w14:paraId="49E8172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BF8A8B2" w14:textId="77777777" w:rsidTr="0037632B">
        <w:trPr>
          <w:trHeight w:val="300"/>
        </w:trPr>
        <w:tc>
          <w:tcPr>
            <w:tcW w:w="4368" w:type="dxa"/>
            <w:tcBorders>
              <w:top w:val="single" w:sz="4" w:space="0" w:color="auto"/>
              <w:left w:val="nil"/>
              <w:bottom w:val="single" w:sz="4" w:space="0" w:color="auto"/>
              <w:right w:val="nil"/>
            </w:tcBorders>
            <w:vAlign w:val="center"/>
          </w:tcPr>
          <w:p w14:paraId="36C54723"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Encourages students' curiosity and desire to learn more about the topic.</w:t>
            </w:r>
          </w:p>
        </w:tc>
        <w:tc>
          <w:tcPr>
            <w:tcW w:w="960" w:type="dxa"/>
            <w:tcBorders>
              <w:top w:val="single" w:sz="4" w:space="0" w:color="auto"/>
              <w:left w:val="nil"/>
              <w:bottom w:val="single" w:sz="4" w:space="0" w:color="auto"/>
              <w:right w:val="nil"/>
            </w:tcBorders>
            <w:noWrap/>
            <w:vAlign w:val="center"/>
          </w:tcPr>
          <w:p w14:paraId="4946DBE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4.53</w:t>
            </w:r>
          </w:p>
        </w:tc>
        <w:tc>
          <w:tcPr>
            <w:tcW w:w="1400" w:type="dxa"/>
            <w:tcBorders>
              <w:top w:val="single" w:sz="4" w:space="0" w:color="auto"/>
              <w:left w:val="nil"/>
              <w:bottom w:val="single" w:sz="4" w:space="0" w:color="auto"/>
              <w:right w:val="nil"/>
            </w:tcBorders>
            <w:noWrap/>
            <w:vAlign w:val="center"/>
          </w:tcPr>
          <w:p w14:paraId="3E6F5D7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634" w:type="dxa"/>
            <w:tcBorders>
              <w:top w:val="single" w:sz="4" w:space="0" w:color="auto"/>
              <w:left w:val="nil"/>
              <w:bottom w:val="single" w:sz="4" w:space="0" w:color="auto"/>
              <w:right w:val="nil"/>
            </w:tcBorders>
            <w:noWrap/>
            <w:vAlign w:val="center"/>
          </w:tcPr>
          <w:p w14:paraId="5160DC8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6CFA2159" w14:textId="77777777" w:rsidTr="0037632B">
        <w:trPr>
          <w:trHeight w:val="300"/>
        </w:trPr>
        <w:tc>
          <w:tcPr>
            <w:tcW w:w="4368" w:type="dxa"/>
            <w:tcBorders>
              <w:top w:val="single" w:sz="4" w:space="0" w:color="auto"/>
              <w:left w:val="nil"/>
              <w:bottom w:val="single" w:sz="4" w:space="0" w:color="auto"/>
              <w:right w:val="nil"/>
            </w:tcBorders>
            <w:vAlign w:val="center"/>
          </w:tcPr>
          <w:p w14:paraId="5D6C67F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lastRenderedPageBreak/>
              <w:t>Average</w:t>
            </w:r>
          </w:p>
        </w:tc>
        <w:tc>
          <w:tcPr>
            <w:tcW w:w="960" w:type="dxa"/>
            <w:tcBorders>
              <w:top w:val="single" w:sz="4" w:space="0" w:color="auto"/>
              <w:left w:val="nil"/>
              <w:bottom w:val="single" w:sz="4" w:space="0" w:color="auto"/>
              <w:right w:val="nil"/>
            </w:tcBorders>
            <w:noWrap/>
            <w:vAlign w:val="center"/>
          </w:tcPr>
          <w:p w14:paraId="22DE3F0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4.46</w:t>
            </w:r>
          </w:p>
        </w:tc>
        <w:tc>
          <w:tcPr>
            <w:tcW w:w="1400" w:type="dxa"/>
            <w:tcBorders>
              <w:top w:val="single" w:sz="4" w:space="0" w:color="auto"/>
              <w:left w:val="nil"/>
              <w:bottom w:val="single" w:sz="4" w:space="0" w:color="auto"/>
              <w:right w:val="nil"/>
            </w:tcBorders>
            <w:noWrap/>
            <w:vAlign w:val="center"/>
          </w:tcPr>
          <w:p w14:paraId="4324115C"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0.42</w:t>
            </w:r>
          </w:p>
        </w:tc>
        <w:tc>
          <w:tcPr>
            <w:tcW w:w="1634" w:type="dxa"/>
            <w:tcBorders>
              <w:top w:val="single" w:sz="4" w:space="0" w:color="auto"/>
              <w:left w:val="nil"/>
              <w:bottom w:val="single" w:sz="4" w:space="0" w:color="auto"/>
              <w:right w:val="nil"/>
            </w:tcBorders>
            <w:noWrap/>
            <w:vAlign w:val="center"/>
          </w:tcPr>
          <w:p w14:paraId="59BAC3E6"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52DE4885" w14:textId="77777777" w:rsidR="005F1BEC" w:rsidRPr="005F1BEC" w:rsidRDefault="005F1BEC" w:rsidP="005F1BEC">
      <w:pPr>
        <w:widowControl w:val="0"/>
        <w:autoSpaceDE w:val="0"/>
        <w:autoSpaceDN w:val="0"/>
        <w:jc w:val="both"/>
        <w:rPr>
          <w:rFonts w:ascii="Arial" w:eastAsia="Arial" w:hAnsi="Arial" w:cs="Arial"/>
        </w:rPr>
      </w:pPr>
    </w:p>
    <w:p w14:paraId="3EB3AE58" w14:textId="77777777" w:rsidR="008636AD" w:rsidRPr="008636AD" w:rsidRDefault="008636AD" w:rsidP="008636AD">
      <w:pPr>
        <w:widowControl w:val="0"/>
        <w:autoSpaceDE w:val="0"/>
        <w:autoSpaceDN w:val="0"/>
        <w:ind w:firstLine="720"/>
        <w:jc w:val="both"/>
        <w:rPr>
          <w:rFonts w:ascii="Arial" w:eastAsia="Arial" w:hAnsi="Arial" w:cs="Arial"/>
        </w:rPr>
      </w:pPr>
      <w:proofErr w:type="spellStart"/>
      <w:r w:rsidRPr="008636AD">
        <w:rPr>
          <w:rFonts w:ascii="Arial" w:eastAsia="Arial" w:hAnsi="Arial" w:cs="Arial"/>
        </w:rPr>
        <w:t>Gepila</w:t>
      </w:r>
      <w:proofErr w:type="spellEnd"/>
      <w:r w:rsidRPr="008636AD">
        <w:rPr>
          <w:rFonts w:ascii="Arial" w:eastAsia="Arial" w:hAnsi="Arial" w:cs="Arial"/>
        </w:rPr>
        <w:t xml:space="preserve"> Jr. (2020) emphasized that adherence to PPST Domains 2 and 4 enhances teachers’ capacity to manage inclusive classrooms—affirming the BEED program’s effectiveness.</w:t>
      </w:r>
    </w:p>
    <w:p w14:paraId="7AB6F54D" w14:textId="4FF64564" w:rsidR="005F1BEC" w:rsidRPr="005F1BEC" w:rsidRDefault="008636AD" w:rsidP="008636AD">
      <w:pPr>
        <w:widowControl w:val="0"/>
        <w:autoSpaceDE w:val="0"/>
        <w:autoSpaceDN w:val="0"/>
        <w:ind w:firstLine="720"/>
        <w:jc w:val="both"/>
        <w:rPr>
          <w:rFonts w:ascii="Arial" w:eastAsia="Arial" w:hAnsi="Arial" w:cs="Arial"/>
        </w:rPr>
      </w:pPr>
      <w:r w:rsidRPr="008636AD">
        <w:rPr>
          <w:rFonts w:ascii="Arial" w:eastAsia="Arial" w:hAnsi="Arial" w:cs="Arial"/>
        </w:rPr>
        <w:t xml:space="preserve">As shown in Table </w:t>
      </w:r>
      <w:r w:rsidR="003733BF">
        <w:rPr>
          <w:rFonts w:ascii="Arial" w:eastAsia="Arial" w:hAnsi="Arial" w:cs="Arial"/>
        </w:rPr>
        <w:t>9</w:t>
      </w:r>
      <w:r w:rsidRPr="008636AD">
        <w:rPr>
          <w:rFonts w:ascii="Arial" w:eastAsia="Arial" w:hAnsi="Arial" w:cs="Arial"/>
        </w:rPr>
        <w:t>, Assessment and Evaluation scored a mean of 4.46 (s = 0.36), with top indicators being alignment of assessments with objectives and timely evaluation (both x̄ = 4.49). The lowest, yet still strong, was the use of performance-based assessments (x̄ = 4.40, s = 0.46), suggesting room for growth in authentic assessment practices. These results confirm BEED graduates’ strong outcome-based and reflective teaching skills.</w:t>
      </w:r>
    </w:p>
    <w:p w14:paraId="5D76E2D1" w14:textId="6CB49D8A" w:rsidR="005F1BEC" w:rsidRPr="005F1BEC" w:rsidRDefault="005F1BEC" w:rsidP="002200F1">
      <w:pPr>
        <w:widowControl w:val="0"/>
        <w:tabs>
          <w:tab w:val="left" w:pos="3840"/>
        </w:tabs>
        <w:autoSpaceDE w:val="0"/>
        <w:autoSpaceDN w:val="0"/>
        <w:jc w:val="both"/>
        <w:rPr>
          <w:rFonts w:ascii="Arial" w:eastAsia="Arial" w:hAnsi="Arial" w:cs="Arial"/>
        </w:rPr>
      </w:pPr>
    </w:p>
    <w:p w14:paraId="34E85B32" w14:textId="6B49E7E9" w:rsidR="005F1BEC" w:rsidRPr="005F1BEC" w:rsidRDefault="005F1BEC" w:rsidP="005F1BEC">
      <w:pPr>
        <w:widowControl w:val="0"/>
        <w:autoSpaceDE w:val="0"/>
        <w:autoSpaceDN w:val="0"/>
        <w:jc w:val="both"/>
        <w:rPr>
          <w:rFonts w:ascii="Arial" w:eastAsia="Arial" w:hAnsi="Arial" w:cs="Arial"/>
          <w:iCs/>
        </w:rPr>
      </w:pPr>
      <w:r w:rsidRPr="005F1BEC">
        <w:rPr>
          <w:rFonts w:ascii="Arial" w:eastAsia="Times New Roman" w:hAnsi="Arial" w:cs="Arial"/>
          <w:lang w:bidi="ar"/>
        </w:rPr>
        <w:t xml:space="preserve">Table </w:t>
      </w:r>
      <w:r w:rsidR="003733BF">
        <w:rPr>
          <w:rFonts w:ascii="Arial" w:eastAsia="Times New Roman" w:hAnsi="Arial" w:cs="Arial"/>
          <w:lang w:bidi="ar"/>
        </w:rPr>
        <w:t>9</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 xml:space="preserve">Level of employer feedback on BEED graduates’ workplace performance in the </w:t>
      </w:r>
      <w:r w:rsidRPr="005F1BEC">
        <w:rPr>
          <w:rFonts w:ascii="Arial" w:eastAsia="Arial" w:hAnsi="Arial" w:cs="Arial"/>
          <w:iCs/>
          <w:lang w:bidi="ar"/>
        </w:rPr>
        <w:t>assessment and evaluation</w:t>
      </w:r>
    </w:p>
    <w:tbl>
      <w:tblPr>
        <w:tblW w:w="8479" w:type="dxa"/>
        <w:jc w:val="center"/>
        <w:tblLook w:val="04A0" w:firstRow="1" w:lastRow="0" w:firstColumn="1" w:lastColumn="0" w:noHBand="0" w:noVBand="1"/>
      </w:tblPr>
      <w:tblGrid>
        <w:gridCol w:w="3934"/>
        <w:gridCol w:w="961"/>
        <w:gridCol w:w="1401"/>
        <w:gridCol w:w="2183"/>
      </w:tblGrid>
      <w:tr w:rsidR="005F1BEC" w:rsidRPr="005F1BEC" w14:paraId="7D1CFA70" w14:textId="77777777" w:rsidTr="0037632B">
        <w:trPr>
          <w:trHeight w:val="568"/>
          <w:jc w:val="center"/>
        </w:trPr>
        <w:tc>
          <w:tcPr>
            <w:tcW w:w="3934" w:type="dxa"/>
            <w:tcBorders>
              <w:top w:val="single" w:sz="4" w:space="0" w:color="auto"/>
              <w:left w:val="nil"/>
              <w:bottom w:val="single" w:sz="4" w:space="0" w:color="auto"/>
              <w:right w:val="nil"/>
            </w:tcBorders>
            <w:vAlign w:val="center"/>
          </w:tcPr>
          <w:p w14:paraId="50FF5CE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61" w:type="dxa"/>
            <w:tcBorders>
              <w:top w:val="single" w:sz="4" w:space="0" w:color="auto"/>
              <w:left w:val="nil"/>
              <w:bottom w:val="single" w:sz="4" w:space="0" w:color="auto"/>
              <w:right w:val="nil"/>
            </w:tcBorders>
            <w:vAlign w:val="center"/>
          </w:tcPr>
          <w:p w14:paraId="6F9B547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401" w:type="dxa"/>
            <w:tcBorders>
              <w:top w:val="single" w:sz="4" w:space="0" w:color="auto"/>
              <w:left w:val="nil"/>
              <w:bottom w:val="single" w:sz="4" w:space="0" w:color="auto"/>
              <w:right w:val="nil"/>
            </w:tcBorders>
            <w:vAlign w:val="center"/>
          </w:tcPr>
          <w:p w14:paraId="3505526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2183" w:type="dxa"/>
            <w:tcBorders>
              <w:top w:val="single" w:sz="4" w:space="0" w:color="auto"/>
              <w:left w:val="nil"/>
              <w:bottom w:val="single" w:sz="4" w:space="0" w:color="auto"/>
              <w:right w:val="nil"/>
            </w:tcBorders>
            <w:noWrap/>
            <w:vAlign w:val="center"/>
          </w:tcPr>
          <w:p w14:paraId="2837BB6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57543492" w14:textId="77777777" w:rsidTr="0037632B">
        <w:trPr>
          <w:trHeight w:val="299"/>
          <w:jc w:val="center"/>
        </w:trPr>
        <w:tc>
          <w:tcPr>
            <w:tcW w:w="3934" w:type="dxa"/>
            <w:tcBorders>
              <w:top w:val="single" w:sz="4" w:space="0" w:color="auto"/>
              <w:left w:val="nil"/>
              <w:bottom w:val="single" w:sz="4" w:space="0" w:color="auto"/>
              <w:right w:val="nil"/>
            </w:tcBorders>
          </w:tcPr>
          <w:p w14:paraId="5BC0985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Design assessment strategies that align with the lesson objectives or learning goals.</w:t>
            </w:r>
          </w:p>
        </w:tc>
        <w:tc>
          <w:tcPr>
            <w:tcW w:w="961" w:type="dxa"/>
            <w:tcBorders>
              <w:top w:val="single" w:sz="4" w:space="0" w:color="auto"/>
              <w:left w:val="nil"/>
              <w:bottom w:val="single" w:sz="4" w:space="0" w:color="auto"/>
              <w:right w:val="nil"/>
            </w:tcBorders>
            <w:noWrap/>
            <w:vAlign w:val="center"/>
          </w:tcPr>
          <w:p w14:paraId="06A132F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4.49</w:t>
            </w:r>
          </w:p>
        </w:tc>
        <w:tc>
          <w:tcPr>
            <w:tcW w:w="1401" w:type="dxa"/>
            <w:tcBorders>
              <w:top w:val="single" w:sz="4" w:space="0" w:color="auto"/>
              <w:left w:val="nil"/>
              <w:bottom w:val="single" w:sz="4" w:space="0" w:color="auto"/>
              <w:right w:val="nil"/>
            </w:tcBorders>
            <w:noWrap/>
            <w:vAlign w:val="center"/>
          </w:tcPr>
          <w:p w14:paraId="712D4D7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0.38</w:t>
            </w:r>
          </w:p>
        </w:tc>
        <w:tc>
          <w:tcPr>
            <w:tcW w:w="2183" w:type="dxa"/>
            <w:tcBorders>
              <w:top w:val="single" w:sz="4" w:space="0" w:color="auto"/>
              <w:left w:val="nil"/>
              <w:bottom w:val="single" w:sz="4" w:space="0" w:color="auto"/>
              <w:right w:val="nil"/>
            </w:tcBorders>
            <w:noWrap/>
            <w:vAlign w:val="center"/>
          </w:tcPr>
          <w:p w14:paraId="7202250C"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2202DEB" w14:textId="77777777" w:rsidTr="0037632B">
        <w:trPr>
          <w:trHeight w:val="299"/>
          <w:jc w:val="center"/>
        </w:trPr>
        <w:tc>
          <w:tcPr>
            <w:tcW w:w="3934" w:type="dxa"/>
            <w:tcBorders>
              <w:top w:val="single" w:sz="4" w:space="0" w:color="auto"/>
              <w:left w:val="nil"/>
              <w:bottom w:val="single" w:sz="4" w:space="0" w:color="auto"/>
              <w:right w:val="nil"/>
            </w:tcBorders>
          </w:tcPr>
          <w:p w14:paraId="54719E9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Assess the lesson to determine the desired outcome within the allotted time.</w:t>
            </w:r>
          </w:p>
        </w:tc>
        <w:tc>
          <w:tcPr>
            <w:tcW w:w="961" w:type="dxa"/>
            <w:tcBorders>
              <w:top w:val="single" w:sz="4" w:space="0" w:color="auto"/>
              <w:left w:val="nil"/>
              <w:bottom w:val="single" w:sz="4" w:space="0" w:color="auto"/>
              <w:right w:val="nil"/>
            </w:tcBorders>
            <w:noWrap/>
            <w:vAlign w:val="center"/>
          </w:tcPr>
          <w:p w14:paraId="25DD6FE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4.49</w:t>
            </w:r>
          </w:p>
        </w:tc>
        <w:tc>
          <w:tcPr>
            <w:tcW w:w="1401" w:type="dxa"/>
            <w:tcBorders>
              <w:top w:val="single" w:sz="4" w:space="0" w:color="auto"/>
              <w:left w:val="nil"/>
              <w:bottom w:val="single" w:sz="4" w:space="0" w:color="auto"/>
              <w:right w:val="nil"/>
            </w:tcBorders>
            <w:noWrap/>
            <w:vAlign w:val="center"/>
          </w:tcPr>
          <w:p w14:paraId="3B1BC0F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0.41</w:t>
            </w:r>
          </w:p>
        </w:tc>
        <w:tc>
          <w:tcPr>
            <w:tcW w:w="2183" w:type="dxa"/>
            <w:tcBorders>
              <w:top w:val="single" w:sz="4" w:space="0" w:color="auto"/>
              <w:left w:val="nil"/>
              <w:bottom w:val="single" w:sz="4" w:space="0" w:color="auto"/>
              <w:right w:val="nil"/>
            </w:tcBorders>
            <w:noWrap/>
            <w:vAlign w:val="center"/>
          </w:tcPr>
          <w:p w14:paraId="32C6DD2F"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430B887" w14:textId="77777777" w:rsidTr="0037632B">
        <w:trPr>
          <w:trHeight w:val="299"/>
          <w:jc w:val="center"/>
        </w:trPr>
        <w:tc>
          <w:tcPr>
            <w:tcW w:w="3934" w:type="dxa"/>
            <w:tcBorders>
              <w:top w:val="single" w:sz="4" w:space="0" w:color="auto"/>
              <w:left w:val="nil"/>
              <w:bottom w:val="single" w:sz="4" w:space="0" w:color="auto"/>
              <w:right w:val="nil"/>
            </w:tcBorders>
          </w:tcPr>
          <w:p w14:paraId="778E3BA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Employs performance-based assessment and criteria or rubrics to measure students’ performance authentically.</w:t>
            </w:r>
          </w:p>
        </w:tc>
        <w:tc>
          <w:tcPr>
            <w:tcW w:w="961" w:type="dxa"/>
            <w:tcBorders>
              <w:top w:val="single" w:sz="4" w:space="0" w:color="auto"/>
              <w:left w:val="nil"/>
              <w:bottom w:val="single" w:sz="4" w:space="0" w:color="auto"/>
              <w:right w:val="nil"/>
            </w:tcBorders>
            <w:noWrap/>
            <w:vAlign w:val="center"/>
          </w:tcPr>
          <w:p w14:paraId="26945B9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401" w:type="dxa"/>
            <w:tcBorders>
              <w:top w:val="single" w:sz="4" w:space="0" w:color="auto"/>
              <w:left w:val="nil"/>
              <w:bottom w:val="single" w:sz="4" w:space="0" w:color="auto"/>
              <w:right w:val="nil"/>
            </w:tcBorders>
            <w:noWrap/>
            <w:vAlign w:val="center"/>
          </w:tcPr>
          <w:p w14:paraId="248AF13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2183" w:type="dxa"/>
            <w:tcBorders>
              <w:top w:val="single" w:sz="4" w:space="0" w:color="auto"/>
              <w:left w:val="nil"/>
              <w:bottom w:val="single" w:sz="4" w:space="0" w:color="auto"/>
              <w:right w:val="nil"/>
            </w:tcBorders>
            <w:noWrap/>
            <w:vAlign w:val="center"/>
          </w:tcPr>
          <w:p w14:paraId="0155D09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093AD8C" w14:textId="77777777" w:rsidTr="0037632B">
        <w:trPr>
          <w:trHeight w:val="299"/>
          <w:jc w:val="center"/>
        </w:trPr>
        <w:tc>
          <w:tcPr>
            <w:tcW w:w="3934" w:type="dxa"/>
            <w:tcBorders>
              <w:top w:val="single" w:sz="4" w:space="0" w:color="auto"/>
              <w:left w:val="nil"/>
              <w:bottom w:val="single" w:sz="4" w:space="0" w:color="auto"/>
              <w:right w:val="nil"/>
            </w:tcBorders>
          </w:tcPr>
          <w:p w14:paraId="6C23F44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Compiles learners' output with a summary of results.</w:t>
            </w:r>
          </w:p>
        </w:tc>
        <w:tc>
          <w:tcPr>
            <w:tcW w:w="961" w:type="dxa"/>
            <w:tcBorders>
              <w:top w:val="single" w:sz="4" w:space="0" w:color="auto"/>
              <w:left w:val="nil"/>
              <w:bottom w:val="single" w:sz="4" w:space="0" w:color="auto"/>
              <w:right w:val="nil"/>
            </w:tcBorders>
            <w:noWrap/>
            <w:vAlign w:val="center"/>
          </w:tcPr>
          <w:p w14:paraId="3A600A6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1" w:type="dxa"/>
            <w:tcBorders>
              <w:top w:val="single" w:sz="4" w:space="0" w:color="auto"/>
              <w:left w:val="nil"/>
              <w:bottom w:val="single" w:sz="4" w:space="0" w:color="auto"/>
              <w:right w:val="nil"/>
            </w:tcBorders>
            <w:noWrap/>
            <w:vAlign w:val="center"/>
          </w:tcPr>
          <w:p w14:paraId="117D23D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2183" w:type="dxa"/>
            <w:tcBorders>
              <w:top w:val="single" w:sz="4" w:space="0" w:color="auto"/>
              <w:left w:val="nil"/>
              <w:bottom w:val="single" w:sz="4" w:space="0" w:color="auto"/>
              <w:right w:val="nil"/>
            </w:tcBorders>
            <w:noWrap/>
            <w:vAlign w:val="center"/>
          </w:tcPr>
          <w:p w14:paraId="08D5791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53F47C7" w14:textId="77777777" w:rsidTr="0037632B">
        <w:trPr>
          <w:trHeight w:val="299"/>
          <w:jc w:val="center"/>
        </w:trPr>
        <w:tc>
          <w:tcPr>
            <w:tcW w:w="3934" w:type="dxa"/>
            <w:tcBorders>
              <w:top w:val="single" w:sz="4" w:space="0" w:color="auto"/>
              <w:left w:val="nil"/>
              <w:bottom w:val="single" w:sz="4" w:space="0" w:color="auto"/>
              <w:right w:val="nil"/>
            </w:tcBorders>
          </w:tcPr>
          <w:p w14:paraId="3C7571D5"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Communicate promptly and clearly to the learners as to the result of the assessment and evaluation</w:t>
            </w:r>
          </w:p>
        </w:tc>
        <w:tc>
          <w:tcPr>
            <w:tcW w:w="961" w:type="dxa"/>
            <w:tcBorders>
              <w:top w:val="single" w:sz="4" w:space="0" w:color="auto"/>
              <w:left w:val="nil"/>
              <w:bottom w:val="single" w:sz="4" w:space="0" w:color="auto"/>
              <w:right w:val="nil"/>
            </w:tcBorders>
            <w:noWrap/>
            <w:vAlign w:val="center"/>
          </w:tcPr>
          <w:p w14:paraId="009CC50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1" w:type="dxa"/>
            <w:tcBorders>
              <w:top w:val="single" w:sz="4" w:space="0" w:color="auto"/>
              <w:left w:val="nil"/>
              <w:bottom w:val="single" w:sz="4" w:space="0" w:color="auto"/>
              <w:right w:val="nil"/>
            </w:tcBorders>
            <w:noWrap/>
            <w:vAlign w:val="center"/>
          </w:tcPr>
          <w:p w14:paraId="193FA23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183" w:type="dxa"/>
            <w:tcBorders>
              <w:top w:val="single" w:sz="4" w:space="0" w:color="auto"/>
              <w:left w:val="nil"/>
              <w:bottom w:val="single" w:sz="4" w:space="0" w:color="auto"/>
              <w:right w:val="nil"/>
            </w:tcBorders>
            <w:noWrap/>
            <w:vAlign w:val="center"/>
          </w:tcPr>
          <w:p w14:paraId="393FF24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8A4374A" w14:textId="77777777" w:rsidTr="0037632B">
        <w:trPr>
          <w:trHeight w:val="299"/>
          <w:jc w:val="center"/>
        </w:trPr>
        <w:tc>
          <w:tcPr>
            <w:tcW w:w="3934" w:type="dxa"/>
            <w:tcBorders>
              <w:top w:val="single" w:sz="4" w:space="0" w:color="auto"/>
              <w:left w:val="nil"/>
              <w:bottom w:val="single" w:sz="4" w:space="0" w:color="auto"/>
              <w:right w:val="nil"/>
            </w:tcBorders>
          </w:tcPr>
          <w:p w14:paraId="47B190A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1" w:type="dxa"/>
            <w:tcBorders>
              <w:top w:val="single" w:sz="4" w:space="0" w:color="auto"/>
              <w:left w:val="nil"/>
              <w:bottom w:val="single" w:sz="4" w:space="0" w:color="auto"/>
              <w:right w:val="nil"/>
            </w:tcBorders>
            <w:noWrap/>
            <w:vAlign w:val="center"/>
          </w:tcPr>
          <w:p w14:paraId="020858E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4.46</w:t>
            </w:r>
          </w:p>
        </w:tc>
        <w:tc>
          <w:tcPr>
            <w:tcW w:w="1401" w:type="dxa"/>
            <w:tcBorders>
              <w:top w:val="single" w:sz="4" w:space="0" w:color="auto"/>
              <w:left w:val="nil"/>
              <w:bottom w:val="single" w:sz="4" w:space="0" w:color="auto"/>
              <w:right w:val="nil"/>
            </w:tcBorders>
            <w:noWrap/>
            <w:vAlign w:val="center"/>
          </w:tcPr>
          <w:p w14:paraId="15483D4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0.36</w:t>
            </w:r>
          </w:p>
        </w:tc>
        <w:tc>
          <w:tcPr>
            <w:tcW w:w="2183" w:type="dxa"/>
            <w:tcBorders>
              <w:top w:val="single" w:sz="4" w:space="0" w:color="auto"/>
              <w:left w:val="nil"/>
              <w:bottom w:val="single" w:sz="4" w:space="0" w:color="auto"/>
              <w:right w:val="nil"/>
            </w:tcBorders>
            <w:noWrap/>
            <w:vAlign w:val="center"/>
          </w:tcPr>
          <w:p w14:paraId="0F63F46A"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1EE9CEE0" w14:textId="77777777" w:rsidR="005F1BEC" w:rsidRPr="005F1BEC" w:rsidRDefault="005F1BEC" w:rsidP="005F1BEC">
      <w:pPr>
        <w:widowControl w:val="0"/>
        <w:autoSpaceDE w:val="0"/>
        <w:autoSpaceDN w:val="0"/>
        <w:jc w:val="both"/>
        <w:rPr>
          <w:rFonts w:ascii="Arial" w:eastAsia="Arial" w:hAnsi="Arial" w:cs="Arial"/>
        </w:rPr>
      </w:pPr>
    </w:p>
    <w:p w14:paraId="370B25A9" w14:textId="77777777" w:rsidR="008636AD" w:rsidRPr="008636AD" w:rsidRDefault="008636AD" w:rsidP="008636AD">
      <w:pPr>
        <w:ind w:firstLine="720"/>
        <w:jc w:val="both"/>
        <w:rPr>
          <w:rFonts w:ascii="Arial" w:eastAsia="Arial" w:hAnsi="Arial" w:cs="Arial"/>
        </w:rPr>
      </w:pPr>
      <w:proofErr w:type="spellStart"/>
      <w:r w:rsidRPr="008636AD">
        <w:rPr>
          <w:rFonts w:ascii="Arial" w:eastAsia="Arial" w:hAnsi="Arial" w:cs="Arial"/>
        </w:rPr>
        <w:t>Pacpaco</w:t>
      </w:r>
      <w:proofErr w:type="spellEnd"/>
      <w:r w:rsidRPr="008636AD">
        <w:rPr>
          <w:rFonts w:ascii="Arial" w:eastAsia="Arial" w:hAnsi="Arial" w:cs="Arial"/>
        </w:rPr>
        <w:t xml:space="preserve"> et al. (2022) found that BEED graduates excelled in PPST Domain 5, especially in aligning assessments with learning goals. </w:t>
      </w:r>
      <w:proofErr w:type="spellStart"/>
      <w:r w:rsidRPr="008636AD">
        <w:rPr>
          <w:rFonts w:ascii="Arial" w:eastAsia="Arial" w:hAnsi="Arial" w:cs="Arial"/>
        </w:rPr>
        <w:t>Gepila</w:t>
      </w:r>
      <w:proofErr w:type="spellEnd"/>
      <w:r w:rsidRPr="008636AD">
        <w:rPr>
          <w:rFonts w:ascii="Arial" w:eastAsia="Arial" w:hAnsi="Arial" w:cs="Arial"/>
        </w:rPr>
        <w:t xml:space="preserve"> Jr. (2020) noted effective use of formative and summative tools, while </w:t>
      </w:r>
      <w:proofErr w:type="spellStart"/>
      <w:r w:rsidRPr="008636AD">
        <w:rPr>
          <w:rFonts w:ascii="Arial" w:eastAsia="Arial" w:hAnsi="Arial" w:cs="Arial"/>
        </w:rPr>
        <w:t>Sinsay</w:t>
      </w:r>
      <w:proofErr w:type="spellEnd"/>
      <w:r w:rsidRPr="008636AD">
        <w:rPr>
          <w:rFonts w:ascii="Arial" w:eastAsia="Arial" w:hAnsi="Arial" w:cs="Arial"/>
        </w:rPr>
        <w:t>-Villanueva et al. (2025) stressed the role of assessment literacy in top-performing institutions.</w:t>
      </w:r>
    </w:p>
    <w:p w14:paraId="41B09731" w14:textId="4215127E" w:rsidR="008636AD" w:rsidRPr="008636AD" w:rsidRDefault="008636AD" w:rsidP="008636AD">
      <w:pPr>
        <w:ind w:firstLine="720"/>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10</w:t>
      </w:r>
      <w:r w:rsidRPr="008636AD">
        <w:rPr>
          <w:rFonts w:ascii="Arial" w:eastAsia="Arial" w:hAnsi="Arial" w:cs="Arial"/>
        </w:rPr>
        <w:t xml:space="preserve"> shows Flexibility and Adaptability had a mean of 4.36 (s = 0.36), with “Demonstrates exceptional flexibility” rated highest (x̄ = 4.44) and “Thrives in ambiguous situations” lowest (x̄ = 4.28), indicating a need for greater confidence in complex settings.</w:t>
      </w:r>
    </w:p>
    <w:p w14:paraId="5DEB2499" w14:textId="77777777" w:rsidR="008636AD" w:rsidRDefault="008636AD" w:rsidP="008636AD">
      <w:pPr>
        <w:jc w:val="both"/>
        <w:rPr>
          <w:rFonts w:ascii="Arial" w:eastAsia="Arial" w:hAnsi="Arial" w:cs="Arial"/>
        </w:rPr>
      </w:pPr>
      <w:r w:rsidRPr="008636AD">
        <w:rPr>
          <w:rFonts w:ascii="Arial" w:eastAsia="Arial" w:hAnsi="Arial" w:cs="Arial"/>
        </w:rPr>
        <w:t xml:space="preserve">These align with </w:t>
      </w:r>
      <w:proofErr w:type="spellStart"/>
      <w:r w:rsidRPr="008636AD">
        <w:rPr>
          <w:rFonts w:ascii="Arial" w:eastAsia="Arial" w:hAnsi="Arial" w:cs="Arial"/>
        </w:rPr>
        <w:t>Panlaqui</w:t>
      </w:r>
      <w:proofErr w:type="spellEnd"/>
      <w:r w:rsidRPr="008636AD">
        <w:rPr>
          <w:rFonts w:ascii="Arial" w:eastAsia="Arial" w:hAnsi="Arial" w:cs="Arial"/>
        </w:rPr>
        <w:t xml:space="preserve"> et al. (2022), Pardo and </w:t>
      </w:r>
      <w:proofErr w:type="spellStart"/>
      <w:r w:rsidRPr="008636AD">
        <w:rPr>
          <w:rFonts w:ascii="Arial" w:eastAsia="Arial" w:hAnsi="Arial" w:cs="Arial"/>
        </w:rPr>
        <w:t>Relon</w:t>
      </w:r>
      <w:proofErr w:type="spellEnd"/>
      <w:r w:rsidRPr="008636AD">
        <w:rPr>
          <w:rFonts w:ascii="Arial" w:eastAsia="Arial" w:hAnsi="Arial" w:cs="Arial"/>
        </w:rPr>
        <w:t xml:space="preserve"> (2023), </w:t>
      </w:r>
      <w:proofErr w:type="spellStart"/>
      <w:r w:rsidRPr="008636AD">
        <w:rPr>
          <w:rFonts w:ascii="Arial" w:eastAsia="Arial" w:hAnsi="Arial" w:cs="Arial"/>
        </w:rPr>
        <w:t>Domine</w:t>
      </w:r>
      <w:proofErr w:type="spellEnd"/>
      <w:r w:rsidRPr="008636AD">
        <w:rPr>
          <w:rFonts w:ascii="Arial" w:eastAsia="Arial" w:hAnsi="Arial" w:cs="Arial"/>
        </w:rPr>
        <w:t xml:space="preserve"> (2025), and Abana et al. (2021), who highlighted flexibility as vital to teacher success, especially in digital and blended learning contexts.</w:t>
      </w:r>
    </w:p>
    <w:p w14:paraId="13FD4C2B" w14:textId="3847B2BA" w:rsidR="005F1BEC" w:rsidRPr="008636AD" w:rsidRDefault="005F1BEC" w:rsidP="008636AD">
      <w:pPr>
        <w:jc w:val="both"/>
        <w:rPr>
          <w:rFonts w:ascii="Arial" w:eastAsia="Arial" w:hAnsi="Arial" w:cs="Arial"/>
        </w:rPr>
      </w:pPr>
      <w:r w:rsidRPr="005F1BEC">
        <w:rPr>
          <w:rFonts w:ascii="Arial" w:eastAsia="Times New Roman" w:hAnsi="Arial" w:cs="Arial"/>
          <w:lang w:bidi="ar"/>
        </w:rPr>
        <w:t xml:space="preserve">Table </w:t>
      </w:r>
      <w:r w:rsidR="003733BF">
        <w:rPr>
          <w:rFonts w:ascii="Arial" w:eastAsia="Times New Roman" w:hAnsi="Arial" w:cs="Arial"/>
          <w:lang w:bidi="ar"/>
        </w:rPr>
        <w:t>10</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 flexibility and adaptability</w:t>
      </w:r>
    </w:p>
    <w:tbl>
      <w:tblPr>
        <w:tblW w:w="8531" w:type="dxa"/>
        <w:jc w:val="center"/>
        <w:tblLook w:val="04A0" w:firstRow="1" w:lastRow="0" w:firstColumn="1" w:lastColumn="0" w:noHBand="0" w:noVBand="1"/>
      </w:tblPr>
      <w:tblGrid>
        <w:gridCol w:w="4379"/>
        <w:gridCol w:w="960"/>
        <w:gridCol w:w="1400"/>
        <w:gridCol w:w="1792"/>
      </w:tblGrid>
      <w:tr w:rsidR="005F1BEC" w:rsidRPr="005F1BEC" w14:paraId="510979A8" w14:textId="77777777" w:rsidTr="0037632B">
        <w:trPr>
          <w:trHeight w:val="570"/>
          <w:jc w:val="center"/>
        </w:trPr>
        <w:tc>
          <w:tcPr>
            <w:tcW w:w="4379" w:type="dxa"/>
            <w:tcBorders>
              <w:top w:val="single" w:sz="4" w:space="0" w:color="auto"/>
              <w:left w:val="nil"/>
              <w:bottom w:val="single" w:sz="4" w:space="0" w:color="auto"/>
              <w:right w:val="nil"/>
            </w:tcBorders>
            <w:vAlign w:val="center"/>
          </w:tcPr>
          <w:p w14:paraId="775FCBB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60" w:type="dxa"/>
            <w:tcBorders>
              <w:top w:val="single" w:sz="4" w:space="0" w:color="auto"/>
              <w:left w:val="nil"/>
              <w:bottom w:val="single" w:sz="4" w:space="0" w:color="auto"/>
              <w:right w:val="nil"/>
            </w:tcBorders>
            <w:vAlign w:val="center"/>
          </w:tcPr>
          <w:p w14:paraId="3117DB6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400" w:type="dxa"/>
            <w:tcBorders>
              <w:top w:val="single" w:sz="4" w:space="0" w:color="auto"/>
              <w:left w:val="nil"/>
              <w:bottom w:val="single" w:sz="4" w:space="0" w:color="auto"/>
              <w:right w:val="nil"/>
            </w:tcBorders>
            <w:vAlign w:val="center"/>
          </w:tcPr>
          <w:p w14:paraId="7B485AF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1792" w:type="dxa"/>
            <w:tcBorders>
              <w:top w:val="single" w:sz="4" w:space="0" w:color="auto"/>
              <w:left w:val="nil"/>
              <w:bottom w:val="single" w:sz="4" w:space="0" w:color="auto"/>
              <w:right w:val="nil"/>
            </w:tcBorders>
            <w:noWrap/>
            <w:vAlign w:val="center"/>
          </w:tcPr>
          <w:p w14:paraId="21D705E2"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6557DC8F" w14:textId="77777777" w:rsidTr="0037632B">
        <w:trPr>
          <w:trHeight w:val="300"/>
          <w:jc w:val="center"/>
        </w:trPr>
        <w:tc>
          <w:tcPr>
            <w:tcW w:w="4379" w:type="dxa"/>
            <w:tcBorders>
              <w:top w:val="single" w:sz="4" w:space="0" w:color="auto"/>
              <w:left w:val="nil"/>
              <w:bottom w:val="single" w:sz="4" w:space="0" w:color="auto"/>
              <w:right w:val="nil"/>
            </w:tcBorders>
          </w:tcPr>
          <w:p w14:paraId="738CF19A"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Demonstrates exceptional flexibility by easily adjusting to changing priorities and deadlines.</w:t>
            </w:r>
          </w:p>
        </w:tc>
        <w:tc>
          <w:tcPr>
            <w:tcW w:w="960" w:type="dxa"/>
            <w:tcBorders>
              <w:top w:val="single" w:sz="4" w:space="0" w:color="auto"/>
              <w:left w:val="nil"/>
              <w:bottom w:val="single" w:sz="4" w:space="0" w:color="auto"/>
              <w:right w:val="nil"/>
            </w:tcBorders>
            <w:noWrap/>
            <w:vAlign w:val="center"/>
          </w:tcPr>
          <w:p w14:paraId="011D9D6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682C470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1792" w:type="dxa"/>
            <w:tcBorders>
              <w:top w:val="single" w:sz="4" w:space="0" w:color="auto"/>
              <w:left w:val="nil"/>
              <w:bottom w:val="single" w:sz="4" w:space="0" w:color="auto"/>
              <w:right w:val="nil"/>
            </w:tcBorders>
            <w:noWrap/>
            <w:vAlign w:val="center"/>
          </w:tcPr>
          <w:p w14:paraId="05AD530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C70C8D2" w14:textId="77777777" w:rsidTr="0037632B">
        <w:trPr>
          <w:trHeight w:val="300"/>
          <w:jc w:val="center"/>
        </w:trPr>
        <w:tc>
          <w:tcPr>
            <w:tcW w:w="4379" w:type="dxa"/>
            <w:tcBorders>
              <w:top w:val="single" w:sz="4" w:space="0" w:color="auto"/>
              <w:left w:val="nil"/>
              <w:bottom w:val="single" w:sz="4" w:space="0" w:color="auto"/>
              <w:right w:val="nil"/>
            </w:tcBorders>
          </w:tcPr>
          <w:p w14:paraId="76B534AF"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Displays high adaptability by quickly learning and mastering new technologies, tools, and processes.</w:t>
            </w:r>
          </w:p>
        </w:tc>
        <w:tc>
          <w:tcPr>
            <w:tcW w:w="960" w:type="dxa"/>
            <w:tcBorders>
              <w:top w:val="single" w:sz="4" w:space="0" w:color="auto"/>
              <w:left w:val="nil"/>
              <w:bottom w:val="single" w:sz="4" w:space="0" w:color="auto"/>
              <w:right w:val="nil"/>
            </w:tcBorders>
            <w:noWrap/>
            <w:vAlign w:val="center"/>
          </w:tcPr>
          <w:p w14:paraId="20B31C8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400" w:type="dxa"/>
            <w:tcBorders>
              <w:top w:val="single" w:sz="4" w:space="0" w:color="auto"/>
              <w:left w:val="nil"/>
              <w:bottom w:val="single" w:sz="4" w:space="0" w:color="auto"/>
              <w:right w:val="nil"/>
            </w:tcBorders>
            <w:noWrap/>
            <w:vAlign w:val="center"/>
          </w:tcPr>
          <w:p w14:paraId="12594F5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1792" w:type="dxa"/>
            <w:tcBorders>
              <w:top w:val="single" w:sz="4" w:space="0" w:color="auto"/>
              <w:left w:val="nil"/>
              <w:bottom w:val="single" w:sz="4" w:space="0" w:color="auto"/>
              <w:right w:val="nil"/>
            </w:tcBorders>
            <w:noWrap/>
            <w:vAlign w:val="center"/>
          </w:tcPr>
          <w:p w14:paraId="074490B9"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AF37DDD" w14:textId="77777777" w:rsidTr="0037632B">
        <w:trPr>
          <w:trHeight w:val="300"/>
          <w:jc w:val="center"/>
        </w:trPr>
        <w:tc>
          <w:tcPr>
            <w:tcW w:w="4379" w:type="dxa"/>
            <w:tcBorders>
              <w:top w:val="single" w:sz="4" w:space="0" w:color="auto"/>
              <w:left w:val="nil"/>
              <w:bottom w:val="single" w:sz="4" w:space="0" w:color="auto"/>
              <w:right w:val="nil"/>
            </w:tcBorders>
          </w:tcPr>
          <w:p w14:paraId="3DD5024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lastRenderedPageBreak/>
              <w:t>Exhibits flexibility in collaborating with diverse teams, effectively adjusting communication and work styles to accommodate different perspectives and personalities.</w:t>
            </w:r>
          </w:p>
        </w:tc>
        <w:tc>
          <w:tcPr>
            <w:tcW w:w="960" w:type="dxa"/>
            <w:tcBorders>
              <w:top w:val="single" w:sz="4" w:space="0" w:color="auto"/>
              <w:left w:val="nil"/>
              <w:bottom w:val="single" w:sz="4" w:space="0" w:color="auto"/>
              <w:right w:val="nil"/>
            </w:tcBorders>
            <w:noWrap/>
            <w:vAlign w:val="center"/>
          </w:tcPr>
          <w:p w14:paraId="2FC5E79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4.38</w:t>
            </w:r>
          </w:p>
        </w:tc>
        <w:tc>
          <w:tcPr>
            <w:tcW w:w="1400" w:type="dxa"/>
            <w:tcBorders>
              <w:top w:val="single" w:sz="4" w:space="0" w:color="auto"/>
              <w:left w:val="nil"/>
              <w:bottom w:val="single" w:sz="4" w:space="0" w:color="auto"/>
              <w:right w:val="nil"/>
            </w:tcBorders>
            <w:noWrap/>
            <w:vAlign w:val="center"/>
          </w:tcPr>
          <w:p w14:paraId="565163D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792" w:type="dxa"/>
            <w:tcBorders>
              <w:top w:val="single" w:sz="4" w:space="0" w:color="auto"/>
              <w:left w:val="nil"/>
              <w:bottom w:val="single" w:sz="4" w:space="0" w:color="auto"/>
              <w:right w:val="nil"/>
            </w:tcBorders>
            <w:noWrap/>
            <w:vAlign w:val="center"/>
          </w:tcPr>
          <w:p w14:paraId="0B710C5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9611E9C" w14:textId="77777777" w:rsidTr="0037632B">
        <w:trPr>
          <w:trHeight w:val="300"/>
          <w:jc w:val="center"/>
        </w:trPr>
        <w:tc>
          <w:tcPr>
            <w:tcW w:w="4379" w:type="dxa"/>
            <w:tcBorders>
              <w:top w:val="single" w:sz="4" w:space="0" w:color="auto"/>
              <w:left w:val="nil"/>
              <w:bottom w:val="single" w:sz="4" w:space="0" w:color="auto"/>
              <w:right w:val="nil"/>
            </w:tcBorders>
          </w:tcPr>
          <w:p w14:paraId="3A303E5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Thrives in ambiguous situations, displaying adaptability by embracing uncertainty and finding innovative solutions to complex problems.</w:t>
            </w:r>
          </w:p>
        </w:tc>
        <w:tc>
          <w:tcPr>
            <w:tcW w:w="960" w:type="dxa"/>
            <w:tcBorders>
              <w:top w:val="single" w:sz="4" w:space="0" w:color="auto"/>
              <w:left w:val="nil"/>
              <w:bottom w:val="single" w:sz="4" w:space="0" w:color="auto"/>
              <w:right w:val="nil"/>
            </w:tcBorders>
            <w:noWrap/>
            <w:vAlign w:val="center"/>
          </w:tcPr>
          <w:p w14:paraId="67D5164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4.28</w:t>
            </w:r>
          </w:p>
        </w:tc>
        <w:tc>
          <w:tcPr>
            <w:tcW w:w="1400" w:type="dxa"/>
            <w:tcBorders>
              <w:top w:val="single" w:sz="4" w:space="0" w:color="auto"/>
              <w:left w:val="nil"/>
              <w:bottom w:val="single" w:sz="4" w:space="0" w:color="auto"/>
              <w:right w:val="nil"/>
            </w:tcBorders>
            <w:noWrap/>
            <w:vAlign w:val="center"/>
          </w:tcPr>
          <w:p w14:paraId="74C581B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0.38</w:t>
            </w:r>
          </w:p>
        </w:tc>
        <w:tc>
          <w:tcPr>
            <w:tcW w:w="1792" w:type="dxa"/>
            <w:tcBorders>
              <w:top w:val="single" w:sz="4" w:space="0" w:color="auto"/>
              <w:left w:val="nil"/>
              <w:bottom w:val="single" w:sz="4" w:space="0" w:color="auto"/>
              <w:right w:val="nil"/>
            </w:tcBorders>
            <w:noWrap/>
            <w:vAlign w:val="center"/>
          </w:tcPr>
          <w:p w14:paraId="580EC324"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776624B5" w14:textId="77777777" w:rsidTr="0037632B">
        <w:trPr>
          <w:trHeight w:val="300"/>
          <w:jc w:val="center"/>
        </w:trPr>
        <w:tc>
          <w:tcPr>
            <w:tcW w:w="4379" w:type="dxa"/>
            <w:tcBorders>
              <w:top w:val="single" w:sz="4" w:space="0" w:color="auto"/>
              <w:left w:val="nil"/>
              <w:bottom w:val="single" w:sz="4" w:space="0" w:color="auto"/>
              <w:right w:val="nil"/>
            </w:tcBorders>
          </w:tcPr>
          <w:p w14:paraId="2DE01B0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Shows flexibility in balancing multiple projects simultaneously, efficiently reallocating resources, and adapting strategies to meet evolving needs</w:t>
            </w:r>
          </w:p>
        </w:tc>
        <w:tc>
          <w:tcPr>
            <w:tcW w:w="960" w:type="dxa"/>
            <w:tcBorders>
              <w:top w:val="single" w:sz="4" w:space="0" w:color="auto"/>
              <w:left w:val="nil"/>
              <w:bottom w:val="single" w:sz="4" w:space="0" w:color="auto"/>
              <w:right w:val="nil"/>
            </w:tcBorders>
            <w:noWrap/>
            <w:vAlign w:val="center"/>
          </w:tcPr>
          <w:p w14:paraId="097A3CB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4.31</w:t>
            </w:r>
          </w:p>
        </w:tc>
        <w:tc>
          <w:tcPr>
            <w:tcW w:w="1400" w:type="dxa"/>
            <w:tcBorders>
              <w:top w:val="single" w:sz="4" w:space="0" w:color="auto"/>
              <w:left w:val="nil"/>
              <w:bottom w:val="single" w:sz="4" w:space="0" w:color="auto"/>
              <w:right w:val="nil"/>
            </w:tcBorders>
            <w:noWrap/>
            <w:vAlign w:val="center"/>
          </w:tcPr>
          <w:p w14:paraId="317798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0.41</w:t>
            </w:r>
          </w:p>
        </w:tc>
        <w:tc>
          <w:tcPr>
            <w:tcW w:w="1792" w:type="dxa"/>
            <w:tcBorders>
              <w:top w:val="single" w:sz="4" w:space="0" w:color="auto"/>
              <w:left w:val="nil"/>
              <w:bottom w:val="single" w:sz="4" w:space="0" w:color="auto"/>
              <w:right w:val="nil"/>
            </w:tcBorders>
            <w:noWrap/>
            <w:vAlign w:val="center"/>
          </w:tcPr>
          <w:p w14:paraId="542A575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45BFE23" w14:textId="77777777" w:rsidTr="0037632B">
        <w:trPr>
          <w:trHeight w:val="300"/>
          <w:jc w:val="center"/>
        </w:trPr>
        <w:tc>
          <w:tcPr>
            <w:tcW w:w="4379" w:type="dxa"/>
            <w:tcBorders>
              <w:top w:val="single" w:sz="4" w:space="0" w:color="auto"/>
              <w:left w:val="nil"/>
              <w:bottom w:val="single" w:sz="4" w:space="0" w:color="auto"/>
              <w:right w:val="nil"/>
            </w:tcBorders>
            <w:vAlign w:val="center"/>
          </w:tcPr>
          <w:p w14:paraId="249B2E1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Average</w:t>
            </w:r>
          </w:p>
        </w:tc>
        <w:tc>
          <w:tcPr>
            <w:tcW w:w="960" w:type="dxa"/>
            <w:tcBorders>
              <w:top w:val="single" w:sz="4" w:space="0" w:color="auto"/>
              <w:left w:val="nil"/>
              <w:bottom w:val="single" w:sz="4" w:space="0" w:color="auto"/>
              <w:right w:val="nil"/>
            </w:tcBorders>
            <w:noWrap/>
            <w:vAlign w:val="center"/>
          </w:tcPr>
          <w:p w14:paraId="7044D9D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4.36</w:t>
            </w:r>
          </w:p>
        </w:tc>
        <w:tc>
          <w:tcPr>
            <w:tcW w:w="1400" w:type="dxa"/>
            <w:tcBorders>
              <w:top w:val="single" w:sz="4" w:space="0" w:color="auto"/>
              <w:left w:val="nil"/>
              <w:bottom w:val="single" w:sz="4" w:space="0" w:color="auto"/>
              <w:right w:val="nil"/>
            </w:tcBorders>
            <w:noWrap/>
            <w:vAlign w:val="center"/>
          </w:tcPr>
          <w:p w14:paraId="1C65D5A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0.36</w:t>
            </w:r>
          </w:p>
        </w:tc>
        <w:tc>
          <w:tcPr>
            <w:tcW w:w="1792" w:type="dxa"/>
            <w:tcBorders>
              <w:top w:val="single" w:sz="4" w:space="0" w:color="auto"/>
              <w:left w:val="nil"/>
              <w:bottom w:val="single" w:sz="4" w:space="0" w:color="auto"/>
              <w:right w:val="nil"/>
            </w:tcBorders>
            <w:noWrap/>
            <w:vAlign w:val="center"/>
          </w:tcPr>
          <w:p w14:paraId="09C1A177"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bl>
    <w:p w14:paraId="38316F7D" w14:textId="77777777" w:rsidR="005F1BEC" w:rsidRPr="005F1BEC" w:rsidRDefault="005F1BEC" w:rsidP="005F1BEC">
      <w:pPr>
        <w:widowControl w:val="0"/>
        <w:autoSpaceDE w:val="0"/>
        <w:autoSpaceDN w:val="0"/>
        <w:jc w:val="both"/>
        <w:rPr>
          <w:rFonts w:ascii="Arial" w:eastAsia="Arial" w:hAnsi="Arial" w:cs="Arial"/>
        </w:rPr>
      </w:pPr>
    </w:p>
    <w:p w14:paraId="1AF3B876" w14:textId="77777777" w:rsidR="008636AD" w:rsidRPr="008636AD" w:rsidRDefault="008636AD" w:rsidP="008636AD">
      <w:pPr>
        <w:widowControl w:val="0"/>
        <w:autoSpaceDE w:val="0"/>
        <w:autoSpaceDN w:val="0"/>
        <w:adjustRightInd w:val="0"/>
        <w:ind w:firstLine="720"/>
        <w:jc w:val="both"/>
        <w:rPr>
          <w:rFonts w:ascii="Arial" w:eastAsia="Arial" w:hAnsi="Arial" w:cs="Arial"/>
        </w:rPr>
      </w:pPr>
      <w:r w:rsidRPr="008636AD">
        <w:rPr>
          <w:rFonts w:ascii="Arial" w:eastAsia="Arial" w:hAnsi="Arial" w:cs="Arial"/>
        </w:rPr>
        <w:t>Andres, De la Cruz, and Gonzaga (2021) emphasized adaptability as a key trait of Filipino teachers across modalities.</w:t>
      </w:r>
    </w:p>
    <w:p w14:paraId="12F84343" w14:textId="67681EF4" w:rsidR="008636AD" w:rsidRPr="008636AD" w:rsidRDefault="008636AD" w:rsidP="008636AD">
      <w:pPr>
        <w:widowControl w:val="0"/>
        <w:autoSpaceDE w:val="0"/>
        <w:autoSpaceDN w:val="0"/>
        <w:adjustRightInd w:val="0"/>
        <w:ind w:firstLine="720"/>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11</w:t>
      </w:r>
      <w:r w:rsidRPr="008636AD">
        <w:rPr>
          <w:rFonts w:ascii="Arial" w:eastAsia="Arial" w:hAnsi="Arial" w:cs="Arial"/>
        </w:rPr>
        <w:t xml:space="preserve"> shows Dependability had a very satisfactory mean (x̄ = 4.45, s = 0.40). “Inspires trust and confidence” was highest (x̄ = 4.53), while “Understands the importance of punctuality” was lowest (x̄ = 4.38).</w:t>
      </w:r>
    </w:p>
    <w:p w14:paraId="7CBAA5DC" w14:textId="59392440" w:rsidR="005F1BEC" w:rsidRPr="005F1BEC" w:rsidRDefault="008636AD" w:rsidP="008636AD">
      <w:pPr>
        <w:widowControl w:val="0"/>
        <w:autoSpaceDE w:val="0"/>
        <w:autoSpaceDN w:val="0"/>
        <w:adjustRightInd w:val="0"/>
        <w:ind w:firstLine="720"/>
        <w:jc w:val="both"/>
        <w:rPr>
          <w:rFonts w:ascii="Arial" w:eastAsia="Arial" w:hAnsi="Arial" w:cs="Arial"/>
        </w:rPr>
      </w:pPr>
      <w:r w:rsidRPr="008636AD">
        <w:rPr>
          <w:rFonts w:ascii="Arial" w:eastAsia="Arial" w:hAnsi="Arial" w:cs="Arial"/>
        </w:rPr>
        <w:t>Overall, BEED graduates are viewed as reliable, accountable, and professional, meeting expectations in trust and responsibility.</w:t>
      </w:r>
    </w:p>
    <w:p w14:paraId="1F79D831" w14:textId="77777777" w:rsidR="005F1BEC" w:rsidRPr="005F1BEC" w:rsidRDefault="005F1BEC" w:rsidP="005F1BEC">
      <w:pPr>
        <w:widowControl w:val="0"/>
        <w:autoSpaceDE w:val="0"/>
        <w:autoSpaceDN w:val="0"/>
        <w:adjustRightInd w:val="0"/>
        <w:jc w:val="both"/>
        <w:rPr>
          <w:rFonts w:ascii="Arial" w:eastAsia="Times New Roman" w:hAnsi="Arial" w:cs="Arial"/>
          <w:bCs/>
        </w:rPr>
      </w:pPr>
    </w:p>
    <w:p w14:paraId="20679F9A" w14:textId="2753E72E" w:rsidR="005F1BEC" w:rsidRPr="005F1BEC" w:rsidRDefault="005F1BEC" w:rsidP="005F1BEC">
      <w:pPr>
        <w:jc w:val="both"/>
        <w:rPr>
          <w:rFonts w:ascii="Arial" w:eastAsia="Times New Roman" w:hAnsi="Arial" w:cs="Arial"/>
          <w:bCs/>
          <w:i/>
        </w:rPr>
      </w:pPr>
      <w:r w:rsidRPr="005F1BEC">
        <w:rPr>
          <w:rFonts w:ascii="Arial" w:eastAsia="Times New Roman" w:hAnsi="Arial" w:cs="Arial"/>
          <w:lang w:bidi="ar"/>
        </w:rPr>
        <w:t xml:space="preserve">Table </w:t>
      </w:r>
      <w:r w:rsidR="003733BF">
        <w:rPr>
          <w:rFonts w:ascii="Arial" w:eastAsia="Times New Roman" w:hAnsi="Arial" w:cs="Arial"/>
          <w:lang w:bidi="ar"/>
        </w:rPr>
        <w:t>11</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w:t>
      </w:r>
      <w:r w:rsidRPr="005F1BEC">
        <w:rPr>
          <w:rFonts w:ascii="Arial" w:eastAsia="Calibri" w:hAnsi="Arial" w:cs="Arial"/>
          <w:iCs/>
          <w:lang w:bidi="ar"/>
        </w:rPr>
        <w:t xml:space="preserve"> </w:t>
      </w:r>
      <w:r w:rsidRPr="005F1BEC">
        <w:rPr>
          <w:rFonts w:ascii="Arial" w:eastAsia="Times New Roman" w:hAnsi="Arial" w:cs="Arial"/>
          <w:bCs/>
          <w:iCs/>
          <w:lang w:bidi="ar"/>
        </w:rPr>
        <w:t>Dependability</w:t>
      </w:r>
      <w:r w:rsidRPr="005F1BEC">
        <w:rPr>
          <w:rFonts w:ascii="Arial" w:eastAsia="Times New Roman" w:hAnsi="Arial" w:cs="Arial"/>
          <w:bCs/>
          <w:i/>
          <w:lang w:bidi="ar"/>
        </w:rPr>
        <w:t xml:space="preserve">     </w:t>
      </w:r>
    </w:p>
    <w:tbl>
      <w:tblPr>
        <w:tblW w:w="8604" w:type="dxa"/>
        <w:tblInd w:w="93" w:type="dxa"/>
        <w:tblBorders>
          <w:insideH w:val="single" w:sz="4" w:space="0" w:color="auto"/>
        </w:tblBorders>
        <w:tblLook w:val="04A0" w:firstRow="1" w:lastRow="0" w:firstColumn="1" w:lastColumn="0" w:noHBand="0" w:noVBand="1"/>
      </w:tblPr>
      <w:tblGrid>
        <w:gridCol w:w="4191"/>
        <w:gridCol w:w="960"/>
        <w:gridCol w:w="1400"/>
        <w:gridCol w:w="2053"/>
      </w:tblGrid>
      <w:tr w:rsidR="005F1BEC" w:rsidRPr="005F1BEC" w14:paraId="09D96C60" w14:textId="77777777" w:rsidTr="0037632B">
        <w:trPr>
          <w:trHeight w:val="570"/>
        </w:trPr>
        <w:tc>
          <w:tcPr>
            <w:tcW w:w="4191" w:type="dxa"/>
            <w:tcBorders>
              <w:top w:val="single" w:sz="4" w:space="0" w:color="auto"/>
              <w:left w:val="nil"/>
              <w:right w:val="nil"/>
            </w:tcBorders>
            <w:vAlign w:val="center"/>
          </w:tcPr>
          <w:p w14:paraId="42629B9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60" w:type="dxa"/>
            <w:tcBorders>
              <w:top w:val="single" w:sz="4" w:space="0" w:color="auto"/>
              <w:left w:val="nil"/>
              <w:right w:val="nil"/>
            </w:tcBorders>
            <w:vAlign w:val="center"/>
          </w:tcPr>
          <w:p w14:paraId="5BF7654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400" w:type="dxa"/>
            <w:tcBorders>
              <w:top w:val="single" w:sz="4" w:space="0" w:color="auto"/>
              <w:left w:val="nil"/>
              <w:right w:val="nil"/>
            </w:tcBorders>
            <w:vAlign w:val="center"/>
          </w:tcPr>
          <w:p w14:paraId="3CF5B0A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2053" w:type="dxa"/>
            <w:tcBorders>
              <w:top w:val="single" w:sz="4" w:space="0" w:color="auto"/>
              <w:left w:val="nil"/>
              <w:right w:val="nil"/>
            </w:tcBorders>
            <w:noWrap/>
            <w:vAlign w:val="center"/>
          </w:tcPr>
          <w:p w14:paraId="38860E2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5A3AC80F" w14:textId="77777777" w:rsidTr="0037632B">
        <w:trPr>
          <w:trHeight w:val="300"/>
        </w:trPr>
        <w:tc>
          <w:tcPr>
            <w:tcW w:w="4191" w:type="dxa"/>
            <w:tcBorders>
              <w:left w:val="nil"/>
              <w:right w:val="nil"/>
            </w:tcBorders>
          </w:tcPr>
          <w:p w14:paraId="751F4490"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Ensures that tasks and responsibilities are completed consistently and on time.</w:t>
            </w:r>
          </w:p>
        </w:tc>
        <w:tc>
          <w:tcPr>
            <w:tcW w:w="960" w:type="dxa"/>
            <w:tcBorders>
              <w:left w:val="nil"/>
              <w:right w:val="nil"/>
            </w:tcBorders>
            <w:noWrap/>
            <w:vAlign w:val="center"/>
          </w:tcPr>
          <w:p w14:paraId="4B96302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4.42</w:t>
            </w:r>
          </w:p>
        </w:tc>
        <w:tc>
          <w:tcPr>
            <w:tcW w:w="1400" w:type="dxa"/>
            <w:tcBorders>
              <w:left w:val="nil"/>
              <w:right w:val="nil"/>
            </w:tcBorders>
            <w:noWrap/>
            <w:vAlign w:val="center"/>
          </w:tcPr>
          <w:p w14:paraId="5BC28BC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0.47</w:t>
            </w:r>
          </w:p>
        </w:tc>
        <w:tc>
          <w:tcPr>
            <w:tcW w:w="2053" w:type="dxa"/>
            <w:tcBorders>
              <w:left w:val="nil"/>
              <w:right w:val="nil"/>
            </w:tcBorders>
            <w:noWrap/>
            <w:vAlign w:val="center"/>
          </w:tcPr>
          <w:p w14:paraId="517A41C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ED15CFF" w14:textId="77777777" w:rsidTr="0037632B">
        <w:trPr>
          <w:trHeight w:val="300"/>
        </w:trPr>
        <w:tc>
          <w:tcPr>
            <w:tcW w:w="4191" w:type="dxa"/>
            <w:tcBorders>
              <w:left w:val="nil"/>
              <w:right w:val="nil"/>
            </w:tcBorders>
          </w:tcPr>
          <w:p w14:paraId="1C19D3F3"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Follows through on commitment and delivering high-quality work, even when faced with challenges or obstacles.</w:t>
            </w:r>
          </w:p>
        </w:tc>
        <w:tc>
          <w:tcPr>
            <w:tcW w:w="960" w:type="dxa"/>
            <w:tcBorders>
              <w:left w:val="nil"/>
              <w:right w:val="nil"/>
            </w:tcBorders>
            <w:noWrap/>
            <w:vAlign w:val="center"/>
          </w:tcPr>
          <w:p w14:paraId="25E4C55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00" w:type="dxa"/>
            <w:tcBorders>
              <w:left w:val="nil"/>
              <w:right w:val="nil"/>
            </w:tcBorders>
            <w:noWrap/>
            <w:vAlign w:val="center"/>
          </w:tcPr>
          <w:p w14:paraId="5473F0C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2053" w:type="dxa"/>
            <w:tcBorders>
              <w:left w:val="nil"/>
              <w:right w:val="nil"/>
            </w:tcBorders>
            <w:noWrap/>
            <w:vAlign w:val="center"/>
          </w:tcPr>
          <w:p w14:paraId="7EE7D488"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1F0680E" w14:textId="77777777" w:rsidTr="0037632B">
        <w:trPr>
          <w:trHeight w:val="300"/>
        </w:trPr>
        <w:tc>
          <w:tcPr>
            <w:tcW w:w="4191" w:type="dxa"/>
            <w:tcBorders>
              <w:left w:val="nil"/>
              <w:right w:val="nil"/>
            </w:tcBorders>
          </w:tcPr>
          <w:p w14:paraId="60E9523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Inspires trust and confidence among colleagues, superiors, and students.</w:t>
            </w:r>
          </w:p>
        </w:tc>
        <w:tc>
          <w:tcPr>
            <w:tcW w:w="960" w:type="dxa"/>
            <w:tcBorders>
              <w:left w:val="nil"/>
              <w:right w:val="nil"/>
            </w:tcBorders>
            <w:noWrap/>
            <w:vAlign w:val="center"/>
          </w:tcPr>
          <w:p w14:paraId="7203EEE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4.53</w:t>
            </w:r>
          </w:p>
        </w:tc>
        <w:tc>
          <w:tcPr>
            <w:tcW w:w="1400" w:type="dxa"/>
            <w:tcBorders>
              <w:left w:val="nil"/>
              <w:right w:val="nil"/>
            </w:tcBorders>
            <w:noWrap/>
            <w:vAlign w:val="center"/>
          </w:tcPr>
          <w:p w14:paraId="1BF2105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2053" w:type="dxa"/>
            <w:tcBorders>
              <w:left w:val="nil"/>
              <w:right w:val="nil"/>
            </w:tcBorders>
            <w:noWrap/>
            <w:vAlign w:val="center"/>
          </w:tcPr>
          <w:p w14:paraId="306947B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7B9CD044" w14:textId="77777777" w:rsidTr="0037632B">
        <w:trPr>
          <w:trHeight w:val="300"/>
        </w:trPr>
        <w:tc>
          <w:tcPr>
            <w:tcW w:w="4191" w:type="dxa"/>
            <w:tcBorders>
              <w:left w:val="nil"/>
              <w:right w:val="nil"/>
            </w:tcBorders>
          </w:tcPr>
          <w:p w14:paraId="0ED4CC9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Proactively works, takes initiative, and anticipates needs or potential issues to ensure smooth academic operations.</w:t>
            </w:r>
          </w:p>
        </w:tc>
        <w:tc>
          <w:tcPr>
            <w:tcW w:w="960" w:type="dxa"/>
            <w:tcBorders>
              <w:left w:val="nil"/>
              <w:right w:val="nil"/>
            </w:tcBorders>
            <w:noWrap/>
            <w:vAlign w:val="center"/>
          </w:tcPr>
          <w:p w14:paraId="14BA494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left w:val="nil"/>
              <w:right w:val="nil"/>
            </w:tcBorders>
            <w:noWrap/>
            <w:vAlign w:val="center"/>
          </w:tcPr>
          <w:p w14:paraId="4998E82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053" w:type="dxa"/>
            <w:tcBorders>
              <w:left w:val="nil"/>
              <w:right w:val="nil"/>
            </w:tcBorders>
            <w:noWrap/>
            <w:vAlign w:val="center"/>
          </w:tcPr>
          <w:p w14:paraId="0A0EFA1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F227300" w14:textId="77777777" w:rsidTr="0037632B">
        <w:trPr>
          <w:trHeight w:val="300"/>
        </w:trPr>
        <w:tc>
          <w:tcPr>
            <w:tcW w:w="4191" w:type="dxa"/>
            <w:tcBorders>
              <w:left w:val="nil"/>
              <w:right w:val="nil"/>
            </w:tcBorders>
          </w:tcPr>
          <w:p w14:paraId="49EEBC5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Understand the importance of punctuality and reliability, consistently showing up on time and fulfilling their obligations.</w:t>
            </w:r>
          </w:p>
        </w:tc>
        <w:tc>
          <w:tcPr>
            <w:tcW w:w="960" w:type="dxa"/>
            <w:tcBorders>
              <w:left w:val="nil"/>
              <w:right w:val="nil"/>
            </w:tcBorders>
            <w:noWrap/>
            <w:vAlign w:val="center"/>
          </w:tcPr>
          <w:p w14:paraId="66BBFDF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4.38</w:t>
            </w:r>
          </w:p>
        </w:tc>
        <w:tc>
          <w:tcPr>
            <w:tcW w:w="1400" w:type="dxa"/>
            <w:tcBorders>
              <w:left w:val="nil"/>
              <w:right w:val="nil"/>
            </w:tcBorders>
            <w:noWrap/>
            <w:vAlign w:val="center"/>
          </w:tcPr>
          <w:p w14:paraId="550BCF7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2053" w:type="dxa"/>
            <w:tcBorders>
              <w:left w:val="nil"/>
              <w:right w:val="nil"/>
            </w:tcBorders>
            <w:noWrap/>
            <w:vAlign w:val="center"/>
          </w:tcPr>
          <w:p w14:paraId="4121F78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2C1B2C56" w14:textId="77777777" w:rsidTr="0037632B">
        <w:trPr>
          <w:trHeight w:val="300"/>
        </w:trPr>
        <w:tc>
          <w:tcPr>
            <w:tcW w:w="4191" w:type="dxa"/>
            <w:tcBorders>
              <w:left w:val="nil"/>
              <w:bottom w:val="single" w:sz="4" w:space="0" w:color="auto"/>
              <w:right w:val="nil"/>
            </w:tcBorders>
          </w:tcPr>
          <w:p w14:paraId="77A2A93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left w:val="nil"/>
              <w:bottom w:val="single" w:sz="4" w:space="0" w:color="auto"/>
              <w:right w:val="nil"/>
            </w:tcBorders>
            <w:noWrap/>
            <w:vAlign w:val="center"/>
          </w:tcPr>
          <w:p w14:paraId="36431B4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4.45</w:t>
            </w:r>
          </w:p>
        </w:tc>
        <w:tc>
          <w:tcPr>
            <w:tcW w:w="1400" w:type="dxa"/>
            <w:tcBorders>
              <w:left w:val="nil"/>
              <w:bottom w:val="single" w:sz="4" w:space="0" w:color="auto"/>
              <w:right w:val="nil"/>
            </w:tcBorders>
            <w:noWrap/>
            <w:vAlign w:val="center"/>
          </w:tcPr>
          <w:p w14:paraId="477AE49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0.40</w:t>
            </w:r>
          </w:p>
        </w:tc>
        <w:tc>
          <w:tcPr>
            <w:tcW w:w="2053" w:type="dxa"/>
            <w:tcBorders>
              <w:left w:val="nil"/>
              <w:bottom w:val="single" w:sz="4" w:space="0" w:color="auto"/>
              <w:right w:val="nil"/>
            </w:tcBorders>
            <w:noWrap/>
            <w:vAlign w:val="center"/>
          </w:tcPr>
          <w:p w14:paraId="50A02E40"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2980A5FA" w14:textId="77777777" w:rsidR="005F1BEC" w:rsidRPr="005F1BEC" w:rsidRDefault="005F1BEC" w:rsidP="005F1BEC">
      <w:pPr>
        <w:widowControl w:val="0"/>
        <w:autoSpaceDE w:val="0"/>
        <w:autoSpaceDN w:val="0"/>
        <w:jc w:val="both"/>
        <w:rPr>
          <w:rFonts w:ascii="Arial" w:eastAsia="Arial" w:hAnsi="Arial" w:cs="Arial"/>
        </w:rPr>
      </w:pPr>
    </w:p>
    <w:p w14:paraId="53D1EDD6" w14:textId="7C36D116" w:rsidR="008636AD" w:rsidRPr="008636AD" w:rsidRDefault="008636AD" w:rsidP="008636AD">
      <w:pPr>
        <w:widowControl w:val="0"/>
        <w:autoSpaceDE w:val="0"/>
        <w:autoSpaceDN w:val="0"/>
        <w:ind w:firstLine="720"/>
        <w:jc w:val="both"/>
        <w:rPr>
          <w:rFonts w:ascii="Arial" w:eastAsia="Arial" w:hAnsi="Arial" w:cs="Arial"/>
        </w:rPr>
      </w:pPr>
      <w:r w:rsidRPr="008636AD">
        <w:rPr>
          <w:rFonts w:ascii="Arial" w:eastAsia="Arial" w:hAnsi="Arial" w:cs="Arial"/>
        </w:rPr>
        <w:t xml:space="preserve">Albay et al. (2024) reported that BEED graduates in Central Luzon showed strong reliability and punctuality, echoed by </w:t>
      </w:r>
      <w:proofErr w:type="spellStart"/>
      <w:r w:rsidRPr="008636AD">
        <w:rPr>
          <w:rFonts w:ascii="Arial" w:eastAsia="Arial" w:hAnsi="Arial" w:cs="Arial"/>
        </w:rPr>
        <w:t>Samonte</w:t>
      </w:r>
      <w:proofErr w:type="spellEnd"/>
      <w:r w:rsidRPr="008636AD">
        <w:rPr>
          <w:rFonts w:ascii="Arial" w:eastAsia="Arial" w:hAnsi="Arial" w:cs="Arial"/>
        </w:rPr>
        <w:t xml:space="preserve"> and De Guzman (2018) for NEUST education majors. Nationally, Cunningham and </w:t>
      </w:r>
      <w:proofErr w:type="spellStart"/>
      <w:r w:rsidRPr="008636AD">
        <w:rPr>
          <w:rFonts w:ascii="Arial" w:eastAsia="Arial" w:hAnsi="Arial" w:cs="Arial"/>
        </w:rPr>
        <w:t>Villaseñor</w:t>
      </w:r>
      <w:proofErr w:type="spellEnd"/>
      <w:r w:rsidRPr="008636AD">
        <w:rPr>
          <w:rFonts w:ascii="Arial" w:eastAsia="Arial" w:hAnsi="Arial" w:cs="Arial"/>
        </w:rPr>
        <w:t xml:space="preserve"> (2014) found punctuality, honesty, and commitment as top employer priorities. </w:t>
      </w:r>
      <w:proofErr w:type="spellStart"/>
      <w:r w:rsidRPr="008636AD">
        <w:rPr>
          <w:rFonts w:ascii="Arial" w:eastAsia="Arial" w:hAnsi="Arial" w:cs="Arial"/>
        </w:rPr>
        <w:t>Panlaqui</w:t>
      </w:r>
      <w:proofErr w:type="spellEnd"/>
      <w:r w:rsidRPr="008636AD">
        <w:rPr>
          <w:rFonts w:ascii="Arial" w:eastAsia="Arial" w:hAnsi="Arial" w:cs="Arial"/>
        </w:rPr>
        <w:t xml:space="preserve"> et al. (2022) and </w:t>
      </w:r>
      <w:proofErr w:type="spellStart"/>
      <w:r w:rsidRPr="008636AD">
        <w:rPr>
          <w:rFonts w:ascii="Arial" w:eastAsia="Arial" w:hAnsi="Arial" w:cs="Arial"/>
        </w:rPr>
        <w:t>Tapadera</w:t>
      </w:r>
      <w:proofErr w:type="spellEnd"/>
      <w:r w:rsidRPr="008636AD">
        <w:rPr>
          <w:rFonts w:ascii="Arial" w:eastAsia="Arial" w:hAnsi="Arial" w:cs="Arial"/>
        </w:rPr>
        <w:t xml:space="preserve"> et al. (2024) also highlighted dependability and </w:t>
      </w:r>
      <w:r>
        <w:rPr>
          <w:rFonts w:ascii="Arial" w:eastAsia="Arial" w:hAnsi="Arial" w:cs="Arial"/>
        </w:rPr>
        <w:t>initiative as top-rated traits.</w:t>
      </w:r>
    </w:p>
    <w:p w14:paraId="6E12866B" w14:textId="62BF4459" w:rsidR="008636AD" w:rsidRDefault="008636AD" w:rsidP="008636AD">
      <w:pPr>
        <w:widowControl w:val="0"/>
        <w:autoSpaceDE w:val="0"/>
        <w:autoSpaceDN w:val="0"/>
        <w:ind w:firstLine="720"/>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12</w:t>
      </w:r>
      <w:r w:rsidRPr="008636AD">
        <w:rPr>
          <w:rFonts w:ascii="Arial" w:eastAsia="Arial" w:hAnsi="Arial" w:cs="Arial"/>
        </w:rPr>
        <w:t xml:space="preserve"> shows Communication Skills had a very satisfactory mean of 4.44 (s = 0.40). Top indicators were active listening (x̄ = 4.49) and verbal engagement (x̄ = 4.47), while clarity and empathy (both x̄ = 4.40) were slightly lower, suggesting minor areas for growth. Overall, results affirm BEED graduates’ strong interpersonal and classroom communication skills.</w:t>
      </w:r>
    </w:p>
    <w:p w14:paraId="75945D4D" w14:textId="7B279CD7" w:rsidR="005F1BEC" w:rsidRPr="005F1BEC" w:rsidRDefault="005F1BEC" w:rsidP="008636AD">
      <w:pPr>
        <w:widowControl w:val="0"/>
        <w:autoSpaceDE w:val="0"/>
        <w:autoSpaceDN w:val="0"/>
        <w:jc w:val="both"/>
        <w:rPr>
          <w:rFonts w:ascii="Arial" w:eastAsia="Arial" w:hAnsi="Arial" w:cs="Arial"/>
        </w:rPr>
      </w:pPr>
      <w:r w:rsidRPr="005F1BEC">
        <w:rPr>
          <w:rFonts w:ascii="Arial" w:eastAsia="Arial" w:hAnsi="Arial" w:cs="Arial"/>
        </w:rPr>
        <w:t xml:space="preserve">Table </w:t>
      </w:r>
      <w:r w:rsidR="003733BF">
        <w:rPr>
          <w:rFonts w:ascii="Arial" w:eastAsia="Arial" w:hAnsi="Arial" w:cs="Arial"/>
        </w:rPr>
        <w:t>12</w:t>
      </w:r>
      <w:r w:rsidRPr="005F1BEC">
        <w:rPr>
          <w:rFonts w:ascii="Arial" w:eastAsia="Arial" w:hAnsi="Arial" w:cs="Arial"/>
        </w:rPr>
        <w:t xml:space="preserve">. Level of employer feedback on BEED graduates' workplace performance in communication skills     </w:t>
      </w:r>
    </w:p>
    <w:tbl>
      <w:tblPr>
        <w:tblW w:w="8668" w:type="dxa"/>
        <w:tblInd w:w="93" w:type="dxa"/>
        <w:tblLook w:val="04A0" w:firstRow="1" w:lastRow="0" w:firstColumn="1" w:lastColumn="0" w:noHBand="0" w:noVBand="1"/>
      </w:tblPr>
      <w:tblGrid>
        <w:gridCol w:w="4264"/>
        <w:gridCol w:w="930"/>
        <w:gridCol w:w="1357"/>
        <w:gridCol w:w="2117"/>
      </w:tblGrid>
      <w:tr w:rsidR="005F1BEC" w:rsidRPr="005F1BEC" w14:paraId="42ECFC2F" w14:textId="77777777" w:rsidTr="0037632B">
        <w:trPr>
          <w:trHeight w:val="408"/>
        </w:trPr>
        <w:tc>
          <w:tcPr>
            <w:tcW w:w="4264" w:type="dxa"/>
            <w:tcBorders>
              <w:top w:val="single" w:sz="4" w:space="0" w:color="auto"/>
              <w:left w:val="nil"/>
              <w:bottom w:val="single" w:sz="4" w:space="0" w:color="auto"/>
              <w:right w:val="nil"/>
            </w:tcBorders>
            <w:vAlign w:val="center"/>
          </w:tcPr>
          <w:p w14:paraId="57CC54B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lastRenderedPageBreak/>
              <w:t>Indicators</w:t>
            </w:r>
          </w:p>
        </w:tc>
        <w:tc>
          <w:tcPr>
            <w:tcW w:w="930" w:type="dxa"/>
            <w:tcBorders>
              <w:top w:val="single" w:sz="4" w:space="0" w:color="auto"/>
              <w:left w:val="nil"/>
              <w:bottom w:val="single" w:sz="4" w:space="0" w:color="auto"/>
              <w:right w:val="nil"/>
            </w:tcBorders>
            <w:vAlign w:val="center"/>
          </w:tcPr>
          <w:p w14:paraId="54DC144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357" w:type="dxa"/>
            <w:tcBorders>
              <w:top w:val="single" w:sz="4" w:space="0" w:color="auto"/>
              <w:left w:val="nil"/>
              <w:bottom w:val="single" w:sz="4" w:space="0" w:color="auto"/>
              <w:right w:val="nil"/>
            </w:tcBorders>
            <w:vAlign w:val="center"/>
          </w:tcPr>
          <w:p w14:paraId="1A03C3E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2117" w:type="dxa"/>
            <w:tcBorders>
              <w:top w:val="single" w:sz="4" w:space="0" w:color="auto"/>
              <w:left w:val="nil"/>
              <w:bottom w:val="single" w:sz="4" w:space="0" w:color="auto"/>
              <w:right w:val="nil"/>
            </w:tcBorders>
            <w:noWrap/>
            <w:vAlign w:val="center"/>
          </w:tcPr>
          <w:p w14:paraId="1D7F97B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48FF4F81" w14:textId="77777777" w:rsidTr="0037632B">
        <w:trPr>
          <w:trHeight w:val="214"/>
        </w:trPr>
        <w:tc>
          <w:tcPr>
            <w:tcW w:w="4264" w:type="dxa"/>
            <w:tcBorders>
              <w:top w:val="single" w:sz="4" w:space="0" w:color="auto"/>
              <w:left w:val="nil"/>
              <w:bottom w:val="single" w:sz="4" w:space="0" w:color="auto"/>
              <w:right w:val="nil"/>
            </w:tcBorders>
          </w:tcPr>
          <w:p w14:paraId="18937EB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Develop strong verbal communication skills to effectively engage students in discussion and posters in a participatory learning environment.</w:t>
            </w:r>
          </w:p>
        </w:tc>
        <w:tc>
          <w:tcPr>
            <w:tcW w:w="930" w:type="dxa"/>
            <w:tcBorders>
              <w:top w:val="single" w:sz="4" w:space="0" w:color="auto"/>
              <w:left w:val="nil"/>
              <w:bottom w:val="single" w:sz="4" w:space="0" w:color="auto"/>
              <w:right w:val="nil"/>
            </w:tcBorders>
            <w:noWrap/>
            <w:vAlign w:val="center"/>
          </w:tcPr>
          <w:p w14:paraId="6D707AE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357" w:type="dxa"/>
            <w:tcBorders>
              <w:top w:val="single" w:sz="4" w:space="0" w:color="auto"/>
              <w:left w:val="nil"/>
              <w:bottom w:val="single" w:sz="4" w:space="0" w:color="auto"/>
              <w:right w:val="nil"/>
            </w:tcBorders>
            <w:noWrap/>
            <w:vAlign w:val="center"/>
          </w:tcPr>
          <w:p w14:paraId="0F27127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2117" w:type="dxa"/>
            <w:tcBorders>
              <w:top w:val="single" w:sz="4" w:space="0" w:color="auto"/>
              <w:left w:val="nil"/>
              <w:bottom w:val="single" w:sz="4" w:space="0" w:color="auto"/>
              <w:right w:val="nil"/>
            </w:tcBorders>
            <w:noWrap/>
            <w:vAlign w:val="center"/>
          </w:tcPr>
          <w:p w14:paraId="68FCE58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DC7FE70" w14:textId="77777777" w:rsidTr="0037632B">
        <w:trPr>
          <w:trHeight w:val="214"/>
        </w:trPr>
        <w:tc>
          <w:tcPr>
            <w:tcW w:w="4264" w:type="dxa"/>
            <w:tcBorders>
              <w:top w:val="single" w:sz="4" w:space="0" w:color="auto"/>
              <w:left w:val="nil"/>
              <w:bottom w:val="single" w:sz="4" w:space="0" w:color="auto"/>
              <w:right w:val="nil"/>
            </w:tcBorders>
          </w:tcPr>
          <w:p w14:paraId="0599D651"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Fosters a positive learning atmosphere rather than relying on negative teacher-student interactions.</w:t>
            </w:r>
          </w:p>
        </w:tc>
        <w:tc>
          <w:tcPr>
            <w:tcW w:w="930" w:type="dxa"/>
            <w:tcBorders>
              <w:top w:val="single" w:sz="4" w:space="0" w:color="auto"/>
              <w:left w:val="nil"/>
              <w:bottom w:val="single" w:sz="4" w:space="0" w:color="auto"/>
              <w:right w:val="nil"/>
            </w:tcBorders>
            <w:noWrap/>
            <w:vAlign w:val="center"/>
          </w:tcPr>
          <w:p w14:paraId="79BF9BB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357" w:type="dxa"/>
            <w:tcBorders>
              <w:top w:val="single" w:sz="4" w:space="0" w:color="auto"/>
              <w:left w:val="nil"/>
              <w:bottom w:val="single" w:sz="4" w:space="0" w:color="auto"/>
              <w:right w:val="nil"/>
            </w:tcBorders>
            <w:noWrap/>
            <w:vAlign w:val="center"/>
          </w:tcPr>
          <w:p w14:paraId="46C5C7D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2117" w:type="dxa"/>
            <w:tcBorders>
              <w:top w:val="single" w:sz="4" w:space="0" w:color="auto"/>
              <w:left w:val="nil"/>
              <w:bottom w:val="single" w:sz="4" w:space="0" w:color="auto"/>
              <w:right w:val="nil"/>
            </w:tcBorders>
            <w:noWrap/>
            <w:vAlign w:val="center"/>
          </w:tcPr>
          <w:p w14:paraId="2C8FA55F"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693C176" w14:textId="77777777" w:rsidTr="0037632B">
        <w:trPr>
          <w:trHeight w:val="214"/>
        </w:trPr>
        <w:tc>
          <w:tcPr>
            <w:tcW w:w="4264" w:type="dxa"/>
            <w:tcBorders>
              <w:top w:val="single" w:sz="4" w:space="0" w:color="auto"/>
              <w:left w:val="nil"/>
              <w:bottom w:val="single" w:sz="4" w:space="0" w:color="auto"/>
              <w:right w:val="nil"/>
            </w:tcBorders>
          </w:tcPr>
          <w:p w14:paraId="1C78C8C2"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Conveys information clearly and concisely to their students.</w:t>
            </w:r>
          </w:p>
        </w:tc>
        <w:tc>
          <w:tcPr>
            <w:tcW w:w="930" w:type="dxa"/>
            <w:tcBorders>
              <w:top w:val="single" w:sz="4" w:space="0" w:color="auto"/>
              <w:left w:val="nil"/>
              <w:bottom w:val="single" w:sz="4" w:space="0" w:color="auto"/>
              <w:right w:val="nil"/>
            </w:tcBorders>
            <w:noWrap/>
            <w:vAlign w:val="center"/>
          </w:tcPr>
          <w:p w14:paraId="60BA8B8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357" w:type="dxa"/>
            <w:tcBorders>
              <w:top w:val="single" w:sz="4" w:space="0" w:color="auto"/>
              <w:left w:val="nil"/>
              <w:bottom w:val="single" w:sz="4" w:space="0" w:color="auto"/>
              <w:right w:val="nil"/>
            </w:tcBorders>
            <w:noWrap/>
            <w:vAlign w:val="center"/>
          </w:tcPr>
          <w:p w14:paraId="6F88683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2117" w:type="dxa"/>
            <w:tcBorders>
              <w:top w:val="single" w:sz="4" w:space="0" w:color="auto"/>
              <w:left w:val="nil"/>
              <w:bottom w:val="single" w:sz="4" w:space="0" w:color="auto"/>
              <w:right w:val="nil"/>
            </w:tcBorders>
            <w:noWrap/>
            <w:vAlign w:val="center"/>
          </w:tcPr>
          <w:p w14:paraId="5F13684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B80C6E9" w14:textId="77777777" w:rsidTr="0037632B">
        <w:trPr>
          <w:trHeight w:val="214"/>
        </w:trPr>
        <w:tc>
          <w:tcPr>
            <w:tcW w:w="4264" w:type="dxa"/>
            <w:tcBorders>
              <w:top w:val="single" w:sz="4" w:space="0" w:color="auto"/>
              <w:left w:val="nil"/>
              <w:bottom w:val="single" w:sz="4" w:space="0" w:color="auto"/>
              <w:right w:val="nil"/>
            </w:tcBorders>
          </w:tcPr>
          <w:p w14:paraId="6D718DA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Practices empathy to connect with students emotionally and create a supportive learning environment.</w:t>
            </w:r>
          </w:p>
        </w:tc>
        <w:tc>
          <w:tcPr>
            <w:tcW w:w="930" w:type="dxa"/>
            <w:tcBorders>
              <w:top w:val="single" w:sz="4" w:space="0" w:color="auto"/>
              <w:left w:val="nil"/>
              <w:bottom w:val="single" w:sz="4" w:space="0" w:color="auto"/>
              <w:right w:val="nil"/>
            </w:tcBorders>
            <w:noWrap/>
            <w:vAlign w:val="center"/>
          </w:tcPr>
          <w:p w14:paraId="38542BF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357" w:type="dxa"/>
            <w:tcBorders>
              <w:top w:val="single" w:sz="4" w:space="0" w:color="auto"/>
              <w:left w:val="nil"/>
              <w:bottom w:val="single" w:sz="4" w:space="0" w:color="auto"/>
              <w:right w:val="nil"/>
            </w:tcBorders>
            <w:noWrap/>
            <w:vAlign w:val="center"/>
          </w:tcPr>
          <w:p w14:paraId="1026822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0.48</w:t>
            </w:r>
          </w:p>
        </w:tc>
        <w:tc>
          <w:tcPr>
            <w:tcW w:w="2117" w:type="dxa"/>
            <w:tcBorders>
              <w:top w:val="single" w:sz="4" w:space="0" w:color="auto"/>
              <w:left w:val="nil"/>
              <w:bottom w:val="single" w:sz="4" w:space="0" w:color="auto"/>
              <w:right w:val="nil"/>
            </w:tcBorders>
            <w:noWrap/>
            <w:vAlign w:val="center"/>
          </w:tcPr>
          <w:p w14:paraId="305C2EE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F416844" w14:textId="77777777" w:rsidTr="0037632B">
        <w:trPr>
          <w:trHeight w:val="214"/>
        </w:trPr>
        <w:tc>
          <w:tcPr>
            <w:tcW w:w="4264" w:type="dxa"/>
            <w:tcBorders>
              <w:top w:val="single" w:sz="4" w:space="0" w:color="auto"/>
              <w:left w:val="nil"/>
              <w:bottom w:val="single" w:sz="4" w:space="0" w:color="auto"/>
              <w:right w:val="nil"/>
            </w:tcBorders>
          </w:tcPr>
          <w:p w14:paraId="765BB4CE"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Practices active listening to understand the student's needs and concerns.</w:t>
            </w:r>
          </w:p>
        </w:tc>
        <w:tc>
          <w:tcPr>
            <w:tcW w:w="930" w:type="dxa"/>
            <w:tcBorders>
              <w:top w:val="single" w:sz="4" w:space="0" w:color="auto"/>
              <w:left w:val="nil"/>
              <w:bottom w:val="single" w:sz="4" w:space="0" w:color="auto"/>
              <w:right w:val="nil"/>
            </w:tcBorders>
            <w:noWrap/>
            <w:vAlign w:val="center"/>
          </w:tcPr>
          <w:p w14:paraId="37342C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4.49</w:t>
            </w:r>
          </w:p>
        </w:tc>
        <w:tc>
          <w:tcPr>
            <w:tcW w:w="1357" w:type="dxa"/>
            <w:tcBorders>
              <w:top w:val="single" w:sz="4" w:space="0" w:color="auto"/>
              <w:left w:val="nil"/>
              <w:bottom w:val="single" w:sz="4" w:space="0" w:color="auto"/>
              <w:right w:val="nil"/>
            </w:tcBorders>
            <w:noWrap/>
            <w:vAlign w:val="center"/>
          </w:tcPr>
          <w:p w14:paraId="67A40EE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2117" w:type="dxa"/>
            <w:tcBorders>
              <w:top w:val="single" w:sz="4" w:space="0" w:color="auto"/>
              <w:left w:val="nil"/>
              <w:bottom w:val="single" w:sz="4" w:space="0" w:color="auto"/>
              <w:right w:val="nil"/>
            </w:tcBorders>
            <w:noWrap/>
            <w:vAlign w:val="center"/>
          </w:tcPr>
          <w:p w14:paraId="1BDD2E2E"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1DF8AE2" w14:textId="77777777" w:rsidTr="0037632B">
        <w:trPr>
          <w:trHeight w:val="214"/>
        </w:trPr>
        <w:tc>
          <w:tcPr>
            <w:tcW w:w="4264" w:type="dxa"/>
            <w:tcBorders>
              <w:top w:val="single" w:sz="4" w:space="0" w:color="auto"/>
              <w:left w:val="nil"/>
              <w:bottom w:val="single" w:sz="4" w:space="0" w:color="auto"/>
              <w:right w:val="nil"/>
            </w:tcBorders>
          </w:tcPr>
          <w:p w14:paraId="5B49AC1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30" w:type="dxa"/>
            <w:tcBorders>
              <w:top w:val="single" w:sz="4" w:space="0" w:color="auto"/>
              <w:left w:val="nil"/>
              <w:bottom w:val="single" w:sz="4" w:space="0" w:color="auto"/>
              <w:right w:val="nil"/>
            </w:tcBorders>
            <w:noWrap/>
            <w:vAlign w:val="center"/>
          </w:tcPr>
          <w:p w14:paraId="345C528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4.44</w:t>
            </w:r>
          </w:p>
        </w:tc>
        <w:tc>
          <w:tcPr>
            <w:tcW w:w="1357" w:type="dxa"/>
            <w:tcBorders>
              <w:top w:val="single" w:sz="4" w:space="0" w:color="auto"/>
              <w:left w:val="nil"/>
              <w:bottom w:val="single" w:sz="4" w:space="0" w:color="auto"/>
              <w:right w:val="nil"/>
            </w:tcBorders>
            <w:noWrap/>
            <w:vAlign w:val="center"/>
          </w:tcPr>
          <w:p w14:paraId="54D64919"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0.40</w:t>
            </w:r>
          </w:p>
        </w:tc>
        <w:tc>
          <w:tcPr>
            <w:tcW w:w="2117" w:type="dxa"/>
            <w:tcBorders>
              <w:top w:val="single" w:sz="4" w:space="0" w:color="auto"/>
              <w:left w:val="nil"/>
              <w:bottom w:val="single" w:sz="4" w:space="0" w:color="auto"/>
              <w:right w:val="nil"/>
            </w:tcBorders>
            <w:noWrap/>
            <w:vAlign w:val="center"/>
          </w:tcPr>
          <w:p w14:paraId="3BBF384C"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67DFE0AF" w14:textId="77777777" w:rsidR="005F1BEC" w:rsidRPr="005F1BEC" w:rsidRDefault="005F1BEC" w:rsidP="005F1BEC">
      <w:pPr>
        <w:widowControl w:val="0"/>
        <w:autoSpaceDE w:val="0"/>
        <w:autoSpaceDN w:val="0"/>
        <w:jc w:val="both"/>
        <w:rPr>
          <w:rFonts w:ascii="Arial" w:eastAsia="Arial" w:hAnsi="Arial" w:cs="Arial"/>
        </w:rPr>
      </w:pPr>
    </w:p>
    <w:p w14:paraId="6DE0171A" w14:textId="5CA140A2" w:rsidR="008636AD" w:rsidRPr="008636AD" w:rsidRDefault="008636AD" w:rsidP="008636AD">
      <w:pPr>
        <w:jc w:val="both"/>
        <w:rPr>
          <w:rFonts w:ascii="Arial" w:eastAsia="Arial" w:hAnsi="Arial" w:cs="Arial"/>
        </w:rPr>
      </w:pPr>
      <w:r w:rsidRPr="008636AD">
        <w:rPr>
          <w:rFonts w:ascii="Arial" w:eastAsia="Arial" w:hAnsi="Arial" w:cs="Arial"/>
        </w:rPr>
        <w:t xml:space="preserve">High scores in communication reflect BEED graduates’ clarity, empathy, and listening skills. </w:t>
      </w:r>
      <w:proofErr w:type="spellStart"/>
      <w:r w:rsidRPr="008636AD">
        <w:rPr>
          <w:rFonts w:ascii="Arial" w:eastAsia="Arial" w:hAnsi="Arial" w:cs="Arial"/>
        </w:rPr>
        <w:t>Salendab</w:t>
      </w:r>
      <w:proofErr w:type="spellEnd"/>
      <w:r w:rsidRPr="008636AD">
        <w:rPr>
          <w:rFonts w:ascii="Arial" w:eastAsia="Arial" w:hAnsi="Arial" w:cs="Arial"/>
        </w:rPr>
        <w:t xml:space="preserve"> and </w:t>
      </w:r>
      <w:proofErr w:type="spellStart"/>
      <w:r w:rsidRPr="008636AD">
        <w:rPr>
          <w:rFonts w:ascii="Arial" w:eastAsia="Arial" w:hAnsi="Arial" w:cs="Arial"/>
        </w:rPr>
        <w:t>Ocariza-Salendab</w:t>
      </w:r>
      <w:proofErr w:type="spellEnd"/>
      <w:r w:rsidRPr="008636AD">
        <w:rPr>
          <w:rFonts w:ascii="Arial" w:eastAsia="Arial" w:hAnsi="Arial" w:cs="Arial"/>
        </w:rPr>
        <w:t xml:space="preserve"> (2023) and </w:t>
      </w:r>
      <w:proofErr w:type="spellStart"/>
      <w:r w:rsidRPr="008636AD">
        <w:rPr>
          <w:rFonts w:ascii="Arial" w:eastAsia="Arial" w:hAnsi="Arial" w:cs="Arial"/>
        </w:rPr>
        <w:t>Mamaclay</w:t>
      </w:r>
      <w:proofErr w:type="spellEnd"/>
      <w:r w:rsidRPr="008636AD">
        <w:rPr>
          <w:rFonts w:ascii="Arial" w:eastAsia="Arial" w:hAnsi="Arial" w:cs="Arial"/>
        </w:rPr>
        <w:t xml:space="preserve"> and Santos (2023) emphasized empathetic and precise communication for inclusive classrooms. </w:t>
      </w:r>
      <w:proofErr w:type="spellStart"/>
      <w:r w:rsidRPr="008636AD">
        <w:rPr>
          <w:rFonts w:ascii="Arial" w:eastAsia="Arial" w:hAnsi="Arial" w:cs="Arial"/>
        </w:rPr>
        <w:t>Sarsale</w:t>
      </w:r>
      <w:proofErr w:type="spellEnd"/>
      <w:r w:rsidRPr="008636AD">
        <w:rPr>
          <w:rFonts w:ascii="Arial" w:eastAsia="Arial" w:hAnsi="Arial" w:cs="Arial"/>
        </w:rPr>
        <w:t xml:space="preserve"> et al. (2024), Miranda et al. (2022), and </w:t>
      </w:r>
      <w:proofErr w:type="spellStart"/>
      <w:r w:rsidRPr="008636AD">
        <w:rPr>
          <w:rFonts w:ascii="Arial" w:eastAsia="Arial" w:hAnsi="Arial" w:cs="Arial"/>
        </w:rPr>
        <w:t>Leabres</w:t>
      </w:r>
      <w:proofErr w:type="spellEnd"/>
      <w:r w:rsidRPr="008636AD">
        <w:rPr>
          <w:rFonts w:ascii="Arial" w:eastAsia="Arial" w:hAnsi="Arial" w:cs="Arial"/>
        </w:rPr>
        <w:t xml:space="preserve"> Jr. (2020) linked strong communication to employability and employer satisfaction, aligning with PPST Domain </w:t>
      </w:r>
      <w:r>
        <w:rPr>
          <w:rFonts w:ascii="Arial" w:eastAsia="Arial" w:hAnsi="Arial" w:cs="Arial"/>
        </w:rPr>
        <w:t>4 and socio-emotional learning.</w:t>
      </w:r>
    </w:p>
    <w:p w14:paraId="48E32779" w14:textId="77777777" w:rsidR="008636AD" w:rsidRPr="008636AD" w:rsidRDefault="008636AD" w:rsidP="008636AD">
      <w:pPr>
        <w:jc w:val="both"/>
        <w:rPr>
          <w:rFonts w:ascii="Arial" w:eastAsia="Arial" w:hAnsi="Arial" w:cs="Arial"/>
        </w:rPr>
      </w:pPr>
      <w:r w:rsidRPr="008636AD">
        <w:rPr>
          <w:rFonts w:ascii="Arial" w:eastAsia="Arial" w:hAnsi="Arial" w:cs="Arial"/>
        </w:rPr>
        <w:t>Leadership Skills:</w:t>
      </w:r>
    </w:p>
    <w:p w14:paraId="56F985A5" w14:textId="461A4437" w:rsidR="008636AD" w:rsidRDefault="008636AD" w:rsidP="008636AD">
      <w:pPr>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13</w:t>
      </w:r>
      <w:r w:rsidRPr="008636AD">
        <w:rPr>
          <w:rFonts w:ascii="Arial" w:eastAsia="Arial" w:hAnsi="Arial" w:cs="Arial"/>
        </w:rPr>
        <w:t xml:space="preserve"> shows a very satisfactory mean of 4.47 (s = 0.39). Top-rated was “Establishes a supportive classroom” (x̄ = 4.53); lowest was on decision-making and peer influence (x̄ = 4.44), suggesting room for growth in broader leadership roles.</w:t>
      </w:r>
    </w:p>
    <w:p w14:paraId="5E345023" w14:textId="77777777" w:rsidR="008636AD" w:rsidRDefault="008636AD" w:rsidP="008636AD">
      <w:pPr>
        <w:jc w:val="both"/>
        <w:rPr>
          <w:rFonts w:ascii="Arial" w:eastAsia="Arial" w:hAnsi="Arial" w:cs="Arial"/>
        </w:rPr>
      </w:pPr>
    </w:p>
    <w:p w14:paraId="21F0EAAA" w14:textId="0DC6035A" w:rsidR="005F1BEC" w:rsidRPr="005F1BEC" w:rsidRDefault="005F1BEC" w:rsidP="008636AD">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13</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leadership skills.</w:t>
      </w:r>
    </w:p>
    <w:tbl>
      <w:tblPr>
        <w:tblW w:w="8272" w:type="dxa"/>
        <w:tblInd w:w="93" w:type="dxa"/>
        <w:tblLook w:val="04A0" w:firstRow="1" w:lastRow="0" w:firstColumn="1" w:lastColumn="0" w:noHBand="0" w:noVBand="1"/>
      </w:tblPr>
      <w:tblGrid>
        <w:gridCol w:w="4278"/>
        <w:gridCol w:w="960"/>
        <w:gridCol w:w="1400"/>
        <w:gridCol w:w="1634"/>
      </w:tblGrid>
      <w:tr w:rsidR="005F1BEC" w:rsidRPr="005F1BEC" w14:paraId="6633BA23" w14:textId="77777777" w:rsidTr="0037632B">
        <w:trPr>
          <w:trHeight w:val="570"/>
        </w:trPr>
        <w:tc>
          <w:tcPr>
            <w:tcW w:w="4278" w:type="dxa"/>
            <w:tcBorders>
              <w:top w:val="single" w:sz="4" w:space="0" w:color="auto"/>
              <w:left w:val="nil"/>
              <w:bottom w:val="single" w:sz="4" w:space="0" w:color="auto"/>
              <w:right w:val="nil"/>
            </w:tcBorders>
            <w:vAlign w:val="center"/>
          </w:tcPr>
          <w:p w14:paraId="32673AB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3D43AEA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6891384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634" w:type="dxa"/>
            <w:tcBorders>
              <w:top w:val="single" w:sz="4" w:space="0" w:color="auto"/>
              <w:left w:val="nil"/>
              <w:bottom w:val="single" w:sz="4" w:space="0" w:color="auto"/>
              <w:right w:val="nil"/>
            </w:tcBorders>
            <w:noWrap/>
            <w:vAlign w:val="center"/>
          </w:tcPr>
          <w:p w14:paraId="2627F6CC"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4D7D39B6" w14:textId="77777777" w:rsidTr="0037632B">
        <w:trPr>
          <w:trHeight w:val="300"/>
        </w:trPr>
        <w:tc>
          <w:tcPr>
            <w:tcW w:w="4278" w:type="dxa"/>
            <w:tcBorders>
              <w:top w:val="single" w:sz="4" w:space="0" w:color="auto"/>
              <w:left w:val="nil"/>
              <w:bottom w:val="single" w:sz="4" w:space="0" w:color="auto"/>
              <w:right w:val="nil"/>
            </w:tcBorders>
          </w:tcPr>
          <w:p w14:paraId="6978BC3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Establishes a supportive and valuable classroom environment where students feel supported and valued.</w:t>
            </w:r>
          </w:p>
        </w:tc>
        <w:tc>
          <w:tcPr>
            <w:tcW w:w="960" w:type="dxa"/>
            <w:tcBorders>
              <w:top w:val="single" w:sz="4" w:space="0" w:color="auto"/>
              <w:left w:val="nil"/>
              <w:bottom w:val="single" w:sz="4" w:space="0" w:color="auto"/>
              <w:right w:val="nil"/>
            </w:tcBorders>
            <w:noWrap/>
            <w:vAlign w:val="center"/>
          </w:tcPr>
          <w:p w14:paraId="57DA3CB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4.53</w:t>
            </w:r>
          </w:p>
        </w:tc>
        <w:tc>
          <w:tcPr>
            <w:tcW w:w="1400" w:type="dxa"/>
            <w:tcBorders>
              <w:top w:val="single" w:sz="4" w:space="0" w:color="auto"/>
              <w:left w:val="nil"/>
              <w:bottom w:val="single" w:sz="4" w:space="0" w:color="auto"/>
              <w:right w:val="nil"/>
            </w:tcBorders>
            <w:noWrap/>
            <w:vAlign w:val="center"/>
          </w:tcPr>
          <w:p w14:paraId="6A58EA8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1634" w:type="dxa"/>
            <w:tcBorders>
              <w:top w:val="single" w:sz="4" w:space="0" w:color="auto"/>
              <w:left w:val="nil"/>
              <w:bottom w:val="single" w:sz="4" w:space="0" w:color="auto"/>
              <w:right w:val="nil"/>
            </w:tcBorders>
            <w:noWrap/>
            <w:vAlign w:val="center"/>
          </w:tcPr>
          <w:p w14:paraId="702B7039"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45294394" w14:textId="77777777" w:rsidTr="0037632B">
        <w:trPr>
          <w:trHeight w:val="300"/>
        </w:trPr>
        <w:tc>
          <w:tcPr>
            <w:tcW w:w="4278" w:type="dxa"/>
            <w:tcBorders>
              <w:top w:val="single" w:sz="4" w:space="0" w:color="auto"/>
              <w:left w:val="nil"/>
              <w:bottom w:val="single" w:sz="4" w:space="0" w:color="auto"/>
              <w:right w:val="nil"/>
            </w:tcBorders>
          </w:tcPr>
          <w:p w14:paraId="581BD07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Manages and organizes classroom activities effectively, ensuring that instructional time is maximized and students are engaged in meaningful learning experiences.</w:t>
            </w:r>
          </w:p>
        </w:tc>
        <w:tc>
          <w:tcPr>
            <w:tcW w:w="960" w:type="dxa"/>
            <w:tcBorders>
              <w:top w:val="single" w:sz="4" w:space="0" w:color="auto"/>
              <w:left w:val="nil"/>
              <w:bottom w:val="single" w:sz="4" w:space="0" w:color="auto"/>
              <w:right w:val="nil"/>
            </w:tcBorders>
            <w:noWrap/>
            <w:vAlign w:val="center"/>
          </w:tcPr>
          <w:p w14:paraId="3E19147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6331D0C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1634" w:type="dxa"/>
            <w:tcBorders>
              <w:top w:val="single" w:sz="4" w:space="0" w:color="auto"/>
              <w:left w:val="nil"/>
              <w:bottom w:val="single" w:sz="4" w:space="0" w:color="auto"/>
              <w:right w:val="nil"/>
            </w:tcBorders>
            <w:noWrap/>
            <w:vAlign w:val="center"/>
          </w:tcPr>
          <w:p w14:paraId="09240039"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DE9DBC8" w14:textId="77777777" w:rsidTr="0037632B">
        <w:trPr>
          <w:trHeight w:val="300"/>
        </w:trPr>
        <w:tc>
          <w:tcPr>
            <w:tcW w:w="4278" w:type="dxa"/>
            <w:tcBorders>
              <w:top w:val="single" w:sz="4" w:space="0" w:color="auto"/>
              <w:left w:val="nil"/>
              <w:bottom w:val="single" w:sz="4" w:space="0" w:color="auto"/>
              <w:right w:val="nil"/>
            </w:tcBorders>
          </w:tcPr>
          <w:p w14:paraId="5B12596F"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 xml:space="preserve"> Demonstrates strong communication skills, effectively conveying information and ideas to students, colleagues, and parents.</w:t>
            </w:r>
          </w:p>
        </w:tc>
        <w:tc>
          <w:tcPr>
            <w:tcW w:w="960" w:type="dxa"/>
            <w:tcBorders>
              <w:top w:val="single" w:sz="4" w:space="0" w:color="auto"/>
              <w:left w:val="nil"/>
              <w:bottom w:val="single" w:sz="4" w:space="0" w:color="auto"/>
              <w:right w:val="nil"/>
            </w:tcBorders>
            <w:noWrap/>
            <w:vAlign w:val="center"/>
          </w:tcPr>
          <w:p w14:paraId="69FDDAE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4AC3B91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1634" w:type="dxa"/>
            <w:tcBorders>
              <w:top w:val="single" w:sz="4" w:space="0" w:color="auto"/>
              <w:left w:val="nil"/>
              <w:bottom w:val="single" w:sz="4" w:space="0" w:color="auto"/>
              <w:right w:val="nil"/>
            </w:tcBorders>
            <w:noWrap/>
            <w:vAlign w:val="center"/>
          </w:tcPr>
          <w:p w14:paraId="51A18EA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BF0516D" w14:textId="77777777" w:rsidTr="0037632B">
        <w:trPr>
          <w:trHeight w:val="300"/>
        </w:trPr>
        <w:tc>
          <w:tcPr>
            <w:tcW w:w="4278" w:type="dxa"/>
            <w:tcBorders>
              <w:top w:val="single" w:sz="4" w:space="0" w:color="auto"/>
              <w:left w:val="nil"/>
              <w:bottom w:val="single" w:sz="4" w:space="0" w:color="auto"/>
              <w:right w:val="nil"/>
            </w:tcBorders>
          </w:tcPr>
          <w:p w14:paraId="4FA155F5"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 xml:space="preserve"> Possess strong decision-making skills, making informed choices that benefit student learning.</w:t>
            </w:r>
          </w:p>
        </w:tc>
        <w:tc>
          <w:tcPr>
            <w:tcW w:w="960" w:type="dxa"/>
            <w:tcBorders>
              <w:top w:val="single" w:sz="4" w:space="0" w:color="auto"/>
              <w:left w:val="nil"/>
              <w:bottom w:val="single" w:sz="4" w:space="0" w:color="auto"/>
              <w:right w:val="nil"/>
            </w:tcBorders>
            <w:noWrap/>
            <w:vAlign w:val="center"/>
          </w:tcPr>
          <w:p w14:paraId="7B6B6AB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62EA296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634" w:type="dxa"/>
            <w:tcBorders>
              <w:top w:val="single" w:sz="4" w:space="0" w:color="auto"/>
              <w:left w:val="nil"/>
              <w:bottom w:val="single" w:sz="4" w:space="0" w:color="auto"/>
              <w:right w:val="nil"/>
            </w:tcBorders>
            <w:noWrap/>
            <w:vAlign w:val="center"/>
          </w:tcPr>
          <w:p w14:paraId="4C441BEE"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2F1D0B9" w14:textId="77777777" w:rsidTr="0037632B">
        <w:trPr>
          <w:trHeight w:val="300"/>
        </w:trPr>
        <w:tc>
          <w:tcPr>
            <w:tcW w:w="4278" w:type="dxa"/>
            <w:tcBorders>
              <w:top w:val="single" w:sz="4" w:space="0" w:color="auto"/>
              <w:left w:val="nil"/>
              <w:bottom w:val="single" w:sz="4" w:space="0" w:color="auto"/>
              <w:right w:val="nil"/>
            </w:tcBorders>
          </w:tcPr>
          <w:p w14:paraId="7D70A5E0"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Influences others to take professional development and other teaching endeavors to improve student outcomes</w:t>
            </w:r>
          </w:p>
        </w:tc>
        <w:tc>
          <w:tcPr>
            <w:tcW w:w="960" w:type="dxa"/>
            <w:tcBorders>
              <w:top w:val="single" w:sz="4" w:space="0" w:color="auto"/>
              <w:left w:val="nil"/>
              <w:bottom w:val="single" w:sz="4" w:space="0" w:color="auto"/>
              <w:right w:val="nil"/>
            </w:tcBorders>
            <w:noWrap/>
            <w:vAlign w:val="center"/>
          </w:tcPr>
          <w:p w14:paraId="6598762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24F90EF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1634" w:type="dxa"/>
            <w:tcBorders>
              <w:top w:val="single" w:sz="4" w:space="0" w:color="auto"/>
              <w:left w:val="nil"/>
              <w:bottom w:val="single" w:sz="4" w:space="0" w:color="auto"/>
              <w:right w:val="nil"/>
            </w:tcBorders>
            <w:noWrap/>
            <w:vAlign w:val="center"/>
          </w:tcPr>
          <w:p w14:paraId="01C08D1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5EC9C3C" w14:textId="77777777" w:rsidTr="0037632B">
        <w:trPr>
          <w:trHeight w:val="300"/>
        </w:trPr>
        <w:tc>
          <w:tcPr>
            <w:tcW w:w="4278" w:type="dxa"/>
            <w:tcBorders>
              <w:top w:val="single" w:sz="4" w:space="0" w:color="auto"/>
              <w:left w:val="nil"/>
              <w:bottom w:val="single" w:sz="4" w:space="0" w:color="auto"/>
              <w:right w:val="nil"/>
            </w:tcBorders>
            <w:vAlign w:val="center"/>
          </w:tcPr>
          <w:p w14:paraId="21E11E7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top w:val="single" w:sz="4" w:space="0" w:color="auto"/>
              <w:left w:val="nil"/>
              <w:bottom w:val="single" w:sz="4" w:space="0" w:color="auto"/>
              <w:right w:val="nil"/>
            </w:tcBorders>
            <w:noWrap/>
            <w:vAlign w:val="center"/>
          </w:tcPr>
          <w:p w14:paraId="545B13EC"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4.47</w:t>
            </w:r>
          </w:p>
        </w:tc>
        <w:tc>
          <w:tcPr>
            <w:tcW w:w="1400" w:type="dxa"/>
            <w:tcBorders>
              <w:top w:val="single" w:sz="4" w:space="0" w:color="auto"/>
              <w:left w:val="nil"/>
              <w:bottom w:val="single" w:sz="4" w:space="0" w:color="auto"/>
              <w:right w:val="nil"/>
            </w:tcBorders>
            <w:noWrap/>
            <w:vAlign w:val="center"/>
          </w:tcPr>
          <w:p w14:paraId="45182A4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0.39</w:t>
            </w:r>
          </w:p>
        </w:tc>
        <w:tc>
          <w:tcPr>
            <w:tcW w:w="1634" w:type="dxa"/>
            <w:tcBorders>
              <w:top w:val="single" w:sz="4" w:space="0" w:color="auto"/>
              <w:left w:val="nil"/>
              <w:bottom w:val="single" w:sz="4" w:space="0" w:color="auto"/>
              <w:right w:val="nil"/>
            </w:tcBorders>
            <w:noWrap/>
            <w:vAlign w:val="center"/>
          </w:tcPr>
          <w:p w14:paraId="4B1A2AE6"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21328C1B" w14:textId="77777777" w:rsidR="005F1BEC" w:rsidRPr="005F1BEC" w:rsidRDefault="005F1BEC" w:rsidP="005F1BEC">
      <w:pPr>
        <w:widowControl w:val="0"/>
        <w:autoSpaceDE w:val="0"/>
        <w:autoSpaceDN w:val="0"/>
        <w:jc w:val="both"/>
        <w:rPr>
          <w:rFonts w:ascii="Arial" w:eastAsia="Arial" w:hAnsi="Arial" w:cs="Arial"/>
        </w:rPr>
      </w:pPr>
    </w:p>
    <w:p w14:paraId="22FAB886" w14:textId="77777777" w:rsidR="008636AD" w:rsidRPr="008636AD" w:rsidRDefault="008636AD" w:rsidP="008636AD">
      <w:pPr>
        <w:jc w:val="both"/>
        <w:rPr>
          <w:rFonts w:ascii="Arial" w:eastAsia="Times New Roman" w:hAnsi="Arial" w:cs="Arial"/>
          <w:bCs/>
        </w:rPr>
      </w:pPr>
      <w:r w:rsidRPr="008636AD">
        <w:rPr>
          <w:rFonts w:ascii="Arial" w:eastAsia="Times New Roman" w:hAnsi="Arial" w:cs="Arial"/>
          <w:bCs/>
        </w:rPr>
        <w:lastRenderedPageBreak/>
        <w:t xml:space="preserve">BEED graduates are viewed as strong classroom leaders with effective communication, teamwork, and decision-making skills. </w:t>
      </w:r>
      <w:proofErr w:type="spellStart"/>
      <w:r w:rsidRPr="008636AD">
        <w:rPr>
          <w:rFonts w:ascii="Arial" w:eastAsia="Times New Roman" w:hAnsi="Arial" w:cs="Arial"/>
          <w:bCs/>
        </w:rPr>
        <w:t>Otermans</w:t>
      </w:r>
      <w:proofErr w:type="spellEnd"/>
      <w:r w:rsidRPr="008636AD">
        <w:rPr>
          <w:rFonts w:ascii="Arial" w:eastAsia="Times New Roman" w:hAnsi="Arial" w:cs="Arial"/>
          <w:bCs/>
        </w:rPr>
        <w:t xml:space="preserve"> et al. (2024) noted that soft skills are top global employer priorities. Salvador (2024), Orr (2024), and </w:t>
      </w:r>
      <w:proofErr w:type="spellStart"/>
      <w:r w:rsidRPr="008636AD">
        <w:rPr>
          <w:rFonts w:ascii="Arial" w:eastAsia="Times New Roman" w:hAnsi="Arial" w:cs="Arial"/>
          <w:bCs/>
        </w:rPr>
        <w:t>Shivarajan</w:t>
      </w:r>
      <w:proofErr w:type="spellEnd"/>
      <w:r w:rsidRPr="008636AD">
        <w:rPr>
          <w:rFonts w:ascii="Arial" w:eastAsia="Times New Roman" w:hAnsi="Arial" w:cs="Arial"/>
          <w:bCs/>
        </w:rPr>
        <w:t xml:space="preserve"> &amp; </w:t>
      </w:r>
      <w:proofErr w:type="spellStart"/>
      <w:r w:rsidRPr="008636AD">
        <w:rPr>
          <w:rFonts w:ascii="Arial" w:eastAsia="Times New Roman" w:hAnsi="Arial" w:cs="Arial"/>
          <w:bCs/>
        </w:rPr>
        <w:t>Skowronski</w:t>
      </w:r>
      <w:proofErr w:type="spellEnd"/>
      <w:r w:rsidRPr="008636AD">
        <w:rPr>
          <w:rFonts w:ascii="Arial" w:eastAsia="Times New Roman" w:hAnsi="Arial" w:cs="Arial"/>
          <w:bCs/>
        </w:rPr>
        <w:t xml:space="preserve"> (2024) emphasized the value of initiative, collaboration, and adaptability, while Daugaard and Colbeck (2024) highlighted the role of real-world tasks in building leadership.</w:t>
      </w:r>
    </w:p>
    <w:p w14:paraId="0785B823" w14:textId="77777777" w:rsidR="008636AD" w:rsidRPr="008636AD" w:rsidRDefault="008636AD" w:rsidP="008636AD">
      <w:pPr>
        <w:jc w:val="both"/>
        <w:rPr>
          <w:rFonts w:ascii="Arial" w:eastAsia="Times New Roman" w:hAnsi="Arial" w:cs="Arial"/>
          <w:bCs/>
        </w:rPr>
      </w:pPr>
    </w:p>
    <w:p w14:paraId="273247D2" w14:textId="1AA34D89" w:rsidR="005F1BEC" w:rsidRPr="005F1BEC" w:rsidRDefault="008636AD" w:rsidP="008636AD">
      <w:pPr>
        <w:jc w:val="both"/>
        <w:rPr>
          <w:rFonts w:ascii="Arial" w:eastAsia="Times New Roman" w:hAnsi="Arial" w:cs="Arial"/>
          <w:bCs/>
        </w:rPr>
      </w:pPr>
      <w:r w:rsidRPr="008636AD">
        <w:rPr>
          <w:rFonts w:ascii="Arial" w:eastAsia="Times New Roman" w:hAnsi="Arial" w:cs="Arial"/>
          <w:bCs/>
        </w:rPr>
        <w:t xml:space="preserve">Table </w:t>
      </w:r>
      <w:r w:rsidR="003733BF">
        <w:rPr>
          <w:rFonts w:ascii="Arial" w:eastAsia="Times New Roman" w:hAnsi="Arial" w:cs="Arial"/>
          <w:bCs/>
        </w:rPr>
        <w:t>14</w:t>
      </w:r>
      <w:r w:rsidRPr="008636AD">
        <w:rPr>
          <w:rFonts w:ascii="Arial" w:eastAsia="Times New Roman" w:hAnsi="Arial" w:cs="Arial"/>
          <w:bCs/>
        </w:rPr>
        <w:t xml:space="preserve"> shows a very satisfactory Commitment mean of 4.41 (s = 0.44). “Provides personalized guidance” was highest (x̄ = 4.47), showing inclusivity; “Practices effective attendance and punctuality” was lowest (x̄ = 4.37), indicating slight improvement needed in time management.</w:t>
      </w:r>
    </w:p>
    <w:tbl>
      <w:tblPr>
        <w:tblW w:w="8182" w:type="dxa"/>
        <w:tblInd w:w="93" w:type="dxa"/>
        <w:tblLook w:val="04A0" w:firstRow="1" w:lastRow="0" w:firstColumn="1" w:lastColumn="0" w:noHBand="0" w:noVBand="1"/>
      </w:tblPr>
      <w:tblGrid>
        <w:gridCol w:w="4188"/>
        <w:gridCol w:w="960"/>
        <w:gridCol w:w="1400"/>
        <w:gridCol w:w="1634"/>
      </w:tblGrid>
      <w:tr w:rsidR="005F1BEC" w:rsidRPr="005F1BEC" w14:paraId="6B2B38F2" w14:textId="77777777" w:rsidTr="0037632B">
        <w:trPr>
          <w:trHeight w:val="570"/>
        </w:trPr>
        <w:tc>
          <w:tcPr>
            <w:tcW w:w="8182" w:type="dxa"/>
            <w:gridSpan w:val="4"/>
            <w:tcBorders>
              <w:top w:val="nil"/>
              <w:left w:val="nil"/>
              <w:bottom w:val="single" w:sz="4" w:space="0" w:color="auto"/>
              <w:right w:val="nil"/>
            </w:tcBorders>
            <w:vAlign w:val="bottom"/>
          </w:tcPr>
          <w:p w14:paraId="4EFA1602" w14:textId="699268E6" w:rsidR="005F1BEC" w:rsidRPr="005F1BEC" w:rsidRDefault="005F1BEC" w:rsidP="005F1BEC">
            <w:pPr>
              <w:rPr>
                <w:rFonts w:ascii="Arial" w:eastAsia="Times New Roman" w:hAnsi="Arial" w:cs="Arial"/>
                <w:bCs/>
              </w:rPr>
            </w:pPr>
            <w:r w:rsidRPr="005F1BEC">
              <w:rPr>
                <w:rFonts w:ascii="Arial" w:eastAsia="Times New Roman" w:hAnsi="Arial" w:cs="Arial"/>
                <w:bCs/>
                <w:lang w:bidi="ar"/>
              </w:rPr>
              <w:t xml:space="preserve">Table </w:t>
            </w:r>
            <w:r w:rsidR="003733BF">
              <w:rPr>
                <w:rFonts w:ascii="Arial" w:eastAsia="Times New Roman" w:hAnsi="Arial" w:cs="Arial"/>
                <w:bCs/>
                <w:lang w:bidi="ar"/>
              </w:rPr>
              <w:t>14</w:t>
            </w:r>
            <w:r w:rsidRPr="005F1BEC">
              <w:rPr>
                <w:rFonts w:ascii="Arial" w:eastAsia="Times New Roman" w:hAnsi="Arial" w:cs="Arial"/>
                <w:bCs/>
                <w:lang w:bidi="ar"/>
              </w:rPr>
              <w:t>. Level of employer feedback on BEED graduates’ workplace performance in the commitment.</w:t>
            </w:r>
          </w:p>
        </w:tc>
      </w:tr>
      <w:tr w:rsidR="005F1BEC" w:rsidRPr="005F1BEC" w14:paraId="503B6C17" w14:textId="77777777" w:rsidTr="0037632B">
        <w:trPr>
          <w:trHeight w:val="570"/>
        </w:trPr>
        <w:tc>
          <w:tcPr>
            <w:tcW w:w="4188" w:type="dxa"/>
            <w:tcBorders>
              <w:top w:val="single" w:sz="4" w:space="0" w:color="auto"/>
              <w:left w:val="nil"/>
              <w:bottom w:val="single" w:sz="4" w:space="0" w:color="auto"/>
              <w:right w:val="nil"/>
            </w:tcBorders>
            <w:vAlign w:val="center"/>
          </w:tcPr>
          <w:p w14:paraId="74347D2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1CB2D222"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1334316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634" w:type="dxa"/>
            <w:tcBorders>
              <w:top w:val="single" w:sz="4" w:space="0" w:color="auto"/>
              <w:left w:val="nil"/>
              <w:bottom w:val="single" w:sz="4" w:space="0" w:color="auto"/>
              <w:right w:val="nil"/>
            </w:tcBorders>
            <w:noWrap/>
            <w:vAlign w:val="center"/>
          </w:tcPr>
          <w:p w14:paraId="54580818"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447AF780" w14:textId="77777777" w:rsidTr="0037632B">
        <w:trPr>
          <w:trHeight w:val="300"/>
        </w:trPr>
        <w:tc>
          <w:tcPr>
            <w:tcW w:w="4188" w:type="dxa"/>
            <w:tcBorders>
              <w:top w:val="single" w:sz="4" w:space="0" w:color="auto"/>
              <w:left w:val="nil"/>
              <w:bottom w:val="single" w:sz="4" w:space="0" w:color="auto"/>
              <w:right w:val="nil"/>
            </w:tcBorders>
          </w:tcPr>
          <w:p w14:paraId="12AE935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Practices effective attendance and punctuality, shows up on time and is present for classes and meetings</w:t>
            </w:r>
          </w:p>
        </w:tc>
        <w:tc>
          <w:tcPr>
            <w:tcW w:w="960" w:type="dxa"/>
            <w:tcBorders>
              <w:top w:val="single" w:sz="4" w:space="0" w:color="auto"/>
              <w:left w:val="nil"/>
              <w:bottom w:val="single" w:sz="4" w:space="0" w:color="auto"/>
              <w:right w:val="nil"/>
            </w:tcBorders>
            <w:noWrap/>
            <w:vAlign w:val="center"/>
          </w:tcPr>
          <w:p w14:paraId="4E58049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4.37</w:t>
            </w:r>
          </w:p>
        </w:tc>
        <w:tc>
          <w:tcPr>
            <w:tcW w:w="1400" w:type="dxa"/>
            <w:tcBorders>
              <w:top w:val="single" w:sz="4" w:space="0" w:color="auto"/>
              <w:left w:val="nil"/>
              <w:bottom w:val="single" w:sz="4" w:space="0" w:color="auto"/>
              <w:right w:val="nil"/>
            </w:tcBorders>
            <w:noWrap/>
            <w:vAlign w:val="center"/>
          </w:tcPr>
          <w:p w14:paraId="21B407D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1634" w:type="dxa"/>
            <w:tcBorders>
              <w:top w:val="single" w:sz="4" w:space="0" w:color="auto"/>
              <w:left w:val="nil"/>
              <w:bottom w:val="single" w:sz="4" w:space="0" w:color="auto"/>
              <w:right w:val="nil"/>
            </w:tcBorders>
            <w:noWrap/>
            <w:vAlign w:val="center"/>
          </w:tcPr>
          <w:p w14:paraId="129DA2C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EC887EC" w14:textId="77777777" w:rsidTr="0037632B">
        <w:trPr>
          <w:trHeight w:val="300"/>
        </w:trPr>
        <w:tc>
          <w:tcPr>
            <w:tcW w:w="4188" w:type="dxa"/>
            <w:tcBorders>
              <w:top w:val="single" w:sz="4" w:space="0" w:color="auto"/>
              <w:left w:val="nil"/>
              <w:bottom w:val="single" w:sz="4" w:space="0" w:color="auto"/>
              <w:right w:val="nil"/>
            </w:tcBorders>
          </w:tcPr>
          <w:p w14:paraId="3C75B45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Demonstrates unwavering dedication to the education and well-being of the students.</w:t>
            </w:r>
          </w:p>
        </w:tc>
        <w:tc>
          <w:tcPr>
            <w:tcW w:w="960" w:type="dxa"/>
            <w:tcBorders>
              <w:top w:val="single" w:sz="4" w:space="0" w:color="auto"/>
              <w:left w:val="nil"/>
              <w:bottom w:val="single" w:sz="4" w:space="0" w:color="auto"/>
              <w:right w:val="nil"/>
            </w:tcBorders>
            <w:noWrap/>
            <w:vAlign w:val="center"/>
          </w:tcPr>
          <w:p w14:paraId="0A94CC2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400" w:type="dxa"/>
            <w:tcBorders>
              <w:top w:val="single" w:sz="4" w:space="0" w:color="auto"/>
              <w:left w:val="nil"/>
              <w:bottom w:val="single" w:sz="4" w:space="0" w:color="auto"/>
              <w:right w:val="nil"/>
            </w:tcBorders>
            <w:noWrap/>
            <w:vAlign w:val="center"/>
          </w:tcPr>
          <w:p w14:paraId="09686D0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0.48</w:t>
            </w:r>
          </w:p>
        </w:tc>
        <w:tc>
          <w:tcPr>
            <w:tcW w:w="1634" w:type="dxa"/>
            <w:tcBorders>
              <w:top w:val="single" w:sz="4" w:space="0" w:color="auto"/>
              <w:left w:val="nil"/>
              <w:bottom w:val="single" w:sz="4" w:space="0" w:color="auto"/>
              <w:right w:val="nil"/>
            </w:tcBorders>
            <w:noWrap/>
            <w:vAlign w:val="center"/>
          </w:tcPr>
          <w:p w14:paraId="062C5BC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7783F7A" w14:textId="77777777" w:rsidTr="0037632B">
        <w:trPr>
          <w:trHeight w:val="300"/>
        </w:trPr>
        <w:tc>
          <w:tcPr>
            <w:tcW w:w="4188" w:type="dxa"/>
            <w:tcBorders>
              <w:top w:val="single" w:sz="4" w:space="0" w:color="auto"/>
              <w:left w:val="nil"/>
              <w:bottom w:val="single" w:sz="4" w:space="0" w:color="auto"/>
              <w:right w:val="nil"/>
            </w:tcBorders>
          </w:tcPr>
          <w:p w14:paraId="1E136B43"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Invests time and resources to enhance their teaching methods and stay current with the latest educational practices.</w:t>
            </w:r>
          </w:p>
        </w:tc>
        <w:tc>
          <w:tcPr>
            <w:tcW w:w="960" w:type="dxa"/>
            <w:tcBorders>
              <w:top w:val="single" w:sz="4" w:space="0" w:color="auto"/>
              <w:left w:val="nil"/>
              <w:bottom w:val="single" w:sz="4" w:space="0" w:color="auto"/>
              <w:right w:val="nil"/>
            </w:tcBorders>
            <w:noWrap/>
            <w:vAlign w:val="center"/>
          </w:tcPr>
          <w:p w14:paraId="6A06ACF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4.41</w:t>
            </w:r>
          </w:p>
        </w:tc>
        <w:tc>
          <w:tcPr>
            <w:tcW w:w="1400" w:type="dxa"/>
            <w:tcBorders>
              <w:top w:val="single" w:sz="4" w:space="0" w:color="auto"/>
              <w:left w:val="nil"/>
              <w:bottom w:val="single" w:sz="4" w:space="0" w:color="auto"/>
              <w:right w:val="nil"/>
            </w:tcBorders>
            <w:noWrap/>
            <w:vAlign w:val="center"/>
          </w:tcPr>
          <w:p w14:paraId="1D27B3A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634" w:type="dxa"/>
            <w:tcBorders>
              <w:top w:val="single" w:sz="4" w:space="0" w:color="auto"/>
              <w:left w:val="nil"/>
              <w:bottom w:val="single" w:sz="4" w:space="0" w:color="auto"/>
              <w:right w:val="nil"/>
            </w:tcBorders>
            <w:noWrap/>
            <w:vAlign w:val="center"/>
          </w:tcPr>
          <w:p w14:paraId="1724525C"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28EA033" w14:textId="77777777" w:rsidTr="0037632B">
        <w:trPr>
          <w:trHeight w:val="300"/>
        </w:trPr>
        <w:tc>
          <w:tcPr>
            <w:tcW w:w="4188" w:type="dxa"/>
            <w:tcBorders>
              <w:top w:val="single" w:sz="4" w:space="0" w:color="auto"/>
              <w:left w:val="nil"/>
              <w:bottom w:val="single" w:sz="4" w:space="0" w:color="auto"/>
              <w:right w:val="nil"/>
            </w:tcBorders>
          </w:tcPr>
          <w:p w14:paraId="0B282409"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Fosters a positive and inclusive classroom environment where students feel valued, supported, and motivated to learn.</w:t>
            </w:r>
          </w:p>
        </w:tc>
        <w:tc>
          <w:tcPr>
            <w:tcW w:w="960" w:type="dxa"/>
            <w:tcBorders>
              <w:top w:val="single" w:sz="4" w:space="0" w:color="auto"/>
              <w:left w:val="nil"/>
              <w:bottom w:val="single" w:sz="4" w:space="0" w:color="auto"/>
              <w:right w:val="nil"/>
            </w:tcBorders>
            <w:noWrap/>
            <w:vAlign w:val="center"/>
          </w:tcPr>
          <w:p w14:paraId="1DFB124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4.41</w:t>
            </w:r>
          </w:p>
        </w:tc>
        <w:tc>
          <w:tcPr>
            <w:tcW w:w="1400" w:type="dxa"/>
            <w:tcBorders>
              <w:top w:val="single" w:sz="4" w:space="0" w:color="auto"/>
              <w:left w:val="nil"/>
              <w:bottom w:val="single" w:sz="4" w:space="0" w:color="auto"/>
              <w:right w:val="nil"/>
            </w:tcBorders>
            <w:noWrap/>
            <w:vAlign w:val="center"/>
          </w:tcPr>
          <w:p w14:paraId="43F94A0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1634" w:type="dxa"/>
            <w:tcBorders>
              <w:top w:val="single" w:sz="4" w:space="0" w:color="auto"/>
              <w:left w:val="nil"/>
              <w:bottom w:val="single" w:sz="4" w:space="0" w:color="auto"/>
              <w:right w:val="nil"/>
            </w:tcBorders>
            <w:noWrap/>
            <w:vAlign w:val="center"/>
          </w:tcPr>
          <w:p w14:paraId="4D9970F1"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1F94590" w14:textId="77777777" w:rsidTr="0037632B">
        <w:trPr>
          <w:trHeight w:val="300"/>
        </w:trPr>
        <w:tc>
          <w:tcPr>
            <w:tcW w:w="4188" w:type="dxa"/>
            <w:tcBorders>
              <w:top w:val="single" w:sz="4" w:space="0" w:color="auto"/>
              <w:left w:val="nil"/>
              <w:bottom w:val="single" w:sz="4" w:space="0" w:color="auto"/>
              <w:right w:val="nil"/>
            </w:tcBorders>
          </w:tcPr>
          <w:p w14:paraId="04A4856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Understand each student's unique needs and challenges and provide personalized attention and guidance to help them reach their full potential.</w:t>
            </w:r>
          </w:p>
        </w:tc>
        <w:tc>
          <w:tcPr>
            <w:tcW w:w="960" w:type="dxa"/>
            <w:tcBorders>
              <w:top w:val="single" w:sz="4" w:space="0" w:color="auto"/>
              <w:left w:val="nil"/>
              <w:bottom w:val="single" w:sz="4" w:space="0" w:color="auto"/>
              <w:right w:val="nil"/>
            </w:tcBorders>
            <w:noWrap/>
            <w:vAlign w:val="center"/>
          </w:tcPr>
          <w:p w14:paraId="369F18E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108A8D1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0.47</w:t>
            </w:r>
          </w:p>
        </w:tc>
        <w:tc>
          <w:tcPr>
            <w:tcW w:w="1634" w:type="dxa"/>
            <w:tcBorders>
              <w:top w:val="single" w:sz="4" w:space="0" w:color="auto"/>
              <w:left w:val="nil"/>
              <w:bottom w:val="single" w:sz="4" w:space="0" w:color="auto"/>
              <w:right w:val="nil"/>
            </w:tcBorders>
            <w:noWrap/>
            <w:vAlign w:val="center"/>
          </w:tcPr>
          <w:p w14:paraId="2E536FE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E2B5E23" w14:textId="77777777" w:rsidTr="0037632B">
        <w:trPr>
          <w:trHeight w:val="300"/>
        </w:trPr>
        <w:tc>
          <w:tcPr>
            <w:tcW w:w="4188" w:type="dxa"/>
            <w:tcBorders>
              <w:top w:val="single" w:sz="4" w:space="0" w:color="auto"/>
              <w:left w:val="nil"/>
              <w:bottom w:val="single" w:sz="4" w:space="0" w:color="auto"/>
              <w:right w:val="nil"/>
            </w:tcBorders>
            <w:vAlign w:val="center"/>
          </w:tcPr>
          <w:p w14:paraId="62EE922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top w:val="single" w:sz="4" w:space="0" w:color="auto"/>
              <w:left w:val="nil"/>
              <w:bottom w:val="single" w:sz="4" w:space="0" w:color="auto"/>
              <w:right w:val="nil"/>
            </w:tcBorders>
            <w:noWrap/>
            <w:vAlign w:val="center"/>
          </w:tcPr>
          <w:p w14:paraId="756AEBF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4.41</w:t>
            </w:r>
          </w:p>
        </w:tc>
        <w:tc>
          <w:tcPr>
            <w:tcW w:w="1400" w:type="dxa"/>
            <w:tcBorders>
              <w:top w:val="single" w:sz="4" w:space="0" w:color="auto"/>
              <w:left w:val="nil"/>
              <w:bottom w:val="single" w:sz="4" w:space="0" w:color="auto"/>
              <w:right w:val="nil"/>
            </w:tcBorders>
            <w:noWrap/>
            <w:vAlign w:val="center"/>
          </w:tcPr>
          <w:p w14:paraId="21EC3DB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0.44</w:t>
            </w:r>
          </w:p>
        </w:tc>
        <w:tc>
          <w:tcPr>
            <w:tcW w:w="1634" w:type="dxa"/>
            <w:tcBorders>
              <w:top w:val="single" w:sz="4" w:space="0" w:color="auto"/>
              <w:left w:val="nil"/>
              <w:bottom w:val="single" w:sz="4" w:space="0" w:color="auto"/>
              <w:right w:val="nil"/>
            </w:tcBorders>
            <w:noWrap/>
            <w:vAlign w:val="center"/>
          </w:tcPr>
          <w:p w14:paraId="7F08C2F0"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30C71C63" w14:textId="77777777" w:rsidR="005F1BEC" w:rsidRPr="005F1BEC" w:rsidRDefault="005F1BEC" w:rsidP="005F1BEC">
      <w:pPr>
        <w:ind w:firstLine="720"/>
        <w:jc w:val="both"/>
        <w:rPr>
          <w:rFonts w:ascii="Arial" w:eastAsia="Times New Roman" w:hAnsi="Arial" w:cs="Arial"/>
          <w:bCs/>
        </w:rPr>
      </w:pPr>
    </w:p>
    <w:p w14:paraId="3808E42F" w14:textId="66736D9D" w:rsidR="002200F1" w:rsidRPr="002200F1" w:rsidRDefault="002200F1" w:rsidP="002200F1">
      <w:pPr>
        <w:jc w:val="both"/>
        <w:rPr>
          <w:rFonts w:ascii="Arial" w:eastAsia="Times New Roman" w:hAnsi="Arial" w:cs="Arial"/>
          <w:bCs/>
        </w:rPr>
      </w:pPr>
      <w:r w:rsidRPr="002200F1">
        <w:rPr>
          <w:rFonts w:ascii="Arial" w:eastAsia="Times New Roman" w:hAnsi="Arial" w:cs="Arial"/>
          <w:bCs/>
        </w:rPr>
        <w:t xml:space="preserve">High ratings in the Commitment domain—especially in understanding student needs and offering individualized support—are supported by global studies. Mlambo et al. (2019) noted that teacher punctuality, consistency, and inclusive support are key to education quality. Dar and Jan (2023) highlighted employer focus on professional reliability and student engagement. Bonsu (2021) linked teacher commitment to job performance in Ghana, while </w:t>
      </w:r>
      <w:proofErr w:type="spellStart"/>
      <w:r w:rsidRPr="002200F1">
        <w:rPr>
          <w:rFonts w:ascii="Arial" w:eastAsia="Times New Roman" w:hAnsi="Arial" w:cs="Arial"/>
          <w:bCs/>
        </w:rPr>
        <w:t>Khodadad</w:t>
      </w:r>
      <w:proofErr w:type="spellEnd"/>
      <w:r w:rsidRPr="002200F1">
        <w:rPr>
          <w:rFonts w:ascii="Arial" w:eastAsia="Times New Roman" w:hAnsi="Arial" w:cs="Arial"/>
          <w:bCs/>
        </w:rPr>
        <w:t xml:space="preserve"> (2023) identified preparation and punctuality as key traits in Europe. Gao and Mohamad (2025) confirmed that soft skill development improves employer satisfa</w:t>
      </w:r>
      <w:r>
        <w:rPr>
          <w:rFonts w:ascii="Arial" w:eastAsia="Times New Roman" w:hAnsi="Arial" w:cs="Arial"/>
          <w:bCs/>
        </w:rPr>
        <w:t>ction with teacher performance.</w:t>
      </w:r>
    </w:p>
    <w:p w14:paraId="4826ADD3" w14:textId="77777777" w:rsidR="002200F1" w:rsidRPr="002200F1" w:rsidRDefault="002200F1" w:rsidP="002200F1">
      <w:pPr>
        <w:jc w:val="both"/>
        <w:rPr>
          <w:rFonts w:ascii="Arial" w:eastAsia="Times New Roman" w:hAnsi="Arial" w:cs="Arial"/>
          <w:bCs/>
        </w:rPr>
      </w:pPr>
      <w:r w:rsidRPr="002200F1">
        <w:rPr>
          <w:rFonts w:ascii="Arial" w:eastAsia="Times New Roman" w:hAnsi="Arial" w:cs="Arial"/>
          <w:bCs/>
        </w:rPr>
        <w:t>Collaboration</w:t>
      </w:r>
    </w:p>
    <w:p w14:paraId="5AA146C8" w14:textId="781F5E11" w:rsidR="002200F1" w:rsidRPr="002200F1" w:rsidRDefault="002200F1" w:rsidP="002200F1">
      <w:pPr>
        <w:ind w:firstLine="720"/>
        <w:jc w:val="both"/>
        <w:rPr>
          <w:rFonts w:ascii="Arial" w:eastAsia="Times New Roman" w:hAnsi="Arial" w:cs="Arial"/>
          <w:bCs/>
        </w:rPr>
      </w:pPr>
      <w:r w:rsidRPr="002200F1">
        <w:rPr>
          <w:rFonts w:ascii="Arial" w:eastAsia="Times New Roman" w:hAnsi="Arial" w:cs="Arial"/>
          <w:bCs/>
        </w:rPr>
        <w:t xml:space="preserve">Table </w:t>
      </w:r>
      <w:r w:rsidR="003733BF">
        <w:rPr>
          <w:rFonts w:ascii="Arial" w:eastAsia="Times New Roman" w:hAnsi="Arial" w:cs="Arial"/>
          <w:bCs/>
        </w:rPr>
        <w:t>15</w:t>
      </w:r>
      <w:r w:rsidRPr="002200F1">
        <w:rPr>
          <w:rFonts w:ascii="Arial" w:eastAsia="Times New Roman" w:hAnsi="Arial" w:cs="Arial"/>
          <w:bCs/>
        </w:rPr>
        <w:t xml:space="preserve"> shows the highest average score across domains (x̄ = 4.50, s = 0.44), rated Exceptional. The top indicator</w:t>
      </w:r>
      <w:proofErr w:type="gramStart"/>
      <w:r w:rsidRPr="002200F1">
        <w:rPr>
          <w:rFonts w:ascii="Arial" w:eastAsia="Times New Roman" w:hAnsi="Arial" w:cs="Arial"/>
          <w:bCs/>
        </w:rPr>
        <w:t>—“</w:t>
      </w:r>
      <w:proofErr w:type="gramEnd"/>
      <w:r w:rsidRPr="002200F1">
        <w:rPr>
          <w:rFonts w:ascii="Arial" w:eastAsia="Times New Roman" w:hAnsi="Arial" w:cs="Arial"/>
          <w:bCs/>
        </w:rPr>
        <w:t>Promotes a positive image of the organization through effective student service” (x̄ = 4.52)—reflects graduates’ professionalism and school advocacy. Strong participation in collaborative planning (x̄ = 4.51) shows their role in shared decision-making. The lowest-rated items, “Cooperates with others” and “Creates a sense of family” (x̄ = 4.47), remain Very Satisfactory but point to areas for gr</w:t>
      </w:r>
      <w:r>
        <w:rPr>
          <w:rFonts w:ascii="Arial" w:eastAsia="Times New Roman" w:hAnsi="Arial" w:cs="Arial"/>
          <w:bCs/>
        </w:rPr>
        <w:t>owth in interpersonal dynamics.</w:t>
      </w:r>
    </w:p>
    <w:p w14:paraId="41593DB0" w14:textId="77777777" w:rsidR="003733BF" w:rsidRDefault="002200F1" w:rsidP="002200F1">
      <w:pPr>
        <w:ind w:firstLine="720"/>
        <w:jc w:val="both"/>
        <w:rPr>
          <w:rFonts w:ascii="Arial" w:eastAsia="Times New Roman" w:hAnsi="Arial" w:cs="Arial"/>
          <w:bCs/>
        </w:rPr>
      </w:pPr>
      <w:r w:rsidRPr="002200F1">
        <w:rPr>
          <w:rFonts w:ascii="Arial" w:eastAsia="Times New Roman" w:hAnsi="Arial" w:cs="Arial"/>
          <w:bCs/>
        </w:rPr>
        <w:t>These findings highlight BEED graduates’ strengths not only in teaching but also in building collegial and community-oriented school environments, aligning with PPST Domains 6 and 7.</w:t>
      </w:r>
    </w:p>
    <w:p w14:paraId="3769E25E" w14:textId="3800BF3A" w:rsidR="005F1BEC" w:rsidRPr="005F1BEC" w:rsidRDefault="005F1BEC" w:rsidP="002200F1">
      <w:pPr>
        <w:ind w:firstLine="720"/>
        <w:jc w:val="both"/>
        <w:rPr>
          <w:rFonts w:ascii="Arial" w:eastAsia="Times New Roman" w:hAnsi="Arial" w:cs="Arial"/>
          <w:b/>
          <w:bCs/>
        </w:rPr>
      </w:pPr>
      <w:r w:rsidRPr="005F1BEC">
        <w:rPr>
          <w:rFonts w:ascii="Arial" w:eastAsia="Times New Roman" w:hAnsi="Arial" w:cs="Arial"/>
          <w:lang w:bidi="ar"/>
        </w:rPr>
        <w:lastRenderedPageBreak/>
        <w:t xml:space="preserve">Table </w:t>
      </w:r>
      <w:r w:rsidR="003733BF">
        <w:rPr>
          <w:rFonts w:ascii="Arial" w:eastAsia="Times New Roman" w:hAnsi="Arial" w:cs="Arial"/>
          <w:lang w:bidi="ar"/>
        </w:rPr>
        <w:t>15</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w:t>
      </w:r>
      <w:r w:rsidRPr="005F1BEC">
        <w:rPr>
          <w:rFonts w:ascii="Arial" w:eastAsia="Calibri" w:hAnsi="Arial" w:cs="Arial"/>
          <w:iCs/>
          <w:lang w:bidi="ar"/>
        </w:rPr>
        <w:t xml:space="preserve"> </w:t>
      </w:r>
      <w:r w:rsidRPr="005F1BEC">
        <w:rPr>
          <w:rFonts w:ascii="Arial" w:eastAsia="Times New Roman" w:hAnsi="Arial" w:cs="Arial"/>
          <w:bCs/>
          <w:iCs/>
          <w:lang w:bidi="ar"/>
        </w:rPr>
        <w:t>collaboration</w:t>
      </w:r>
    </w:p>
    <w:tbl>
      <w:tblPr>
        <w:tblW w:w="8902" w:type="dxa"/>
        <w:tblInd w:w="93" w:type="dxa"/>
        <w:tblLook w:val="04A0" w:firstRow="1" w:lastRow="0" w:firstColumn="1" w:lastColumn="0" w:noHBand="0" w:noVBand="1"/>
      </w:tblPr>
      <w:tblGrid>
        <w:gridCol w:w="4188"/>
        <w:gridCol w:w="1024"/>
        <w:gridCol w:w="1530"/>
        <w:gridCol w:w="2160"/>
      </w:tblGrid>
      <w:tr w:rsidR="005F1BEC" w:rsidRPr="005F1BEC" w14:paraId="13E8611E" w14:textId="77777777" w:rsidTr="0037632B">
        <w:trPr>
          <w:trHeight w:val="570"/>
        </w:trPr>
        <w:tc>
          <w:tcPr>
            <w:tcW w:w="4188" w:type="dxa"/>
            <w:tcBorders>
              <w:top w:val="single" w:sz="4" w:space="0" w:color="auto"/>
              <w:left w:val="nil"/>
              <w:bottom w:val="single" w:sz="4" w:space="0" w:color="auto"/>
              <w:right w:val="nil"/>
            </w:tcBorders>
            <w:vAlign w:val="center"/>
          </w:tcPr>
          <w:p w14:paraId="741DF920"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1024" w:type="dxa"/>
            <w:tcBorders>
              <w:top w:val="single" w:sz="4" w:space="0" w:color="auto"/>
              <w:left w:val="nil"/>
              <w:bottom w:val="single" w:sz="4" w:space="0" w:color="auto"/>
              <w:right w:val="nil"/>
            </w:tcBorders>
            <w:vAlign w:val="center"/>
          </w:tcPr>
          <w:p w14:paraId="3CEB3DA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530" w:type="dxa"/>
            <w:tcBorders>
              <w:top w:val="single" w:sz="4" w:space="0" w:color="auto"/>
              <w:left w:val="nil"/>
              <w:bottom w:val="single" w:sz="4" w:space="0" w:color="auto"/>
              <w:right w:val="nil"/>
            </w:tcBorders>
            <w:vAlign w:val="center"/>
          </w:tcPr>
          <w:p w14:paraId="27AA1C32"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2160" w:type="dxa"/>
            <w:tcBorders>
              <w:top w:val="single" w:sz="4" w:space="0" w:color="auto"/>
              <w:left w:val="nil"/>
              <w:bottom w:val="single" w:sz="4" w:space="0" w:color="auto"/>
              <w:right w:val="nil"/>
            </w:tcBorders>
            <w:noWrap/>
            <w:vAlign w:val="center"/>
          </w:tcPr>
          <w:p w14:paraId="440877CA"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3E37633E" w14:textId="77777777" w:rsidTr="0037632B">
        <w:trPr>
          <w:trHeight w:val="300"/>
        </w:trPr>
        <w:tc>
          <w:tcPr>
            <w:tcW w:w="4188" w:type="dxa"/>
            <w:tcBorders>
              <w:top w:val="single" w:sz="4" w:space="0" w:color="auto"/>
              <w:left w:val="nil"/>
              <w:bottom w:val="single" w:sz="4" w:space="0" w:color="auto"/>
              <w:right w:val="nil"/>
            </w:tcBorders>
          </w:tcPr>
          <w:p w14:paraId="54E2827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Participates in collaborative planning and decision-making to collectively identify and address the diverse needs of the students.</w:t>
            </w:r>
          </w:p>
        </w:tc>
        <w:tc>
          <w:tcPr>
            <w:tcW w:w="1024" w:type="dxa"/>
            <w:tcBorders>
              <w:top w:val="single" w:sz="4" w:space="0" w:color="auto"/>
              <w:left w:val="nil"/>
              <w:bottom w:val="single" w:sz="4" w:space="0" w:color="auto"/>
              <w:right w:val="nil"/>
            </w:tcBorders>
            <w:noWrap/>
            <w:vAlign w:val="center"/>
          </w:tcPr>
          <w:p w14:paraId="10B4869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4.51</w:t>
            </w:r>
          </w:p>
        </w:tc>
        <w:tc>
          <w:tcPr>
            <w:tcW w:w="1530" w:type="dxa"/>
            <w:tcBorders>
              <w:top w:val="single" w:sz="4" w:space="0" w:color="auto"/>
              <w:left w:val="nil"/>
              <w:bottom w:val="single" w:sz="4" w:space="0" w:color="auto"/>
              <w:right w:val="nil"/>
            </w:tcBorders>
            <w:noWrap/>
            <w:vAlign w:val="center"/>
          </w:tcPr>
          <w:p w14:paraId="789B595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2160" w:type="dxa"/>
            <w:tcBorders>
              <w:top w:val="single" w:sz="4" w:space="0" w:color="auto"/>
              <w:left w:val="nil"/>
              <w:bottom w:val="single" w:sz="4" w:space="0" w:color="auto"/>
              <w:right w:val="nil"/>
            </w:tcBorders>
            <w:noWrap/>
            <w:vAlign w:val="center"/>
          </w:tcPr>
          <w:p w14:paraId="7AC04C2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277451FD" w14:textId="77777777" w:rsidTr="0037632B">
        <w:trPr>
          <w:trHeight w:val="300"/>
        </w:trPr>
        <w:tc>
          <w:tcPr>
            <w:tcW w:w="4188" w:type="dxa"/>
            <w:tcBorders>
              <w:top w:val="single" w:sz="4" w:space="0" w:color="auto"/>
              <w:left w:val="nil"/>
              <w:bottom w:val="single" w:sz="4" w:space="0" w:color="auto"/>
              <w:right w:val="nil"/>
            </w:tcBorders>
          </w:tcPr>
          <w:p w14:paraId="6DE715F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Cooperates with others to help overcome problems and challenges in the school.</w:t>
            </w:r>
          </w:p>
        </w:tc>
        <w:tc>
          <w:tcPr>
            <w:tcW w:w="1024" w:type="dxa"/>
            <w:tcBorders>
              <w:top w:val="single" w:sz="4" w:space="0" w:color="auto"/>
              <w:left w:val="nil"/>
              <w:bottom w:val="single" w:sz="4" w:space="0" w:color="auto"/>
              <w:right w:val="nil"/>
            </w:tcBorders>
            <w:noWrap/>
            <w:vAlign w:val="center"/>
          </w:tcPr>
          <w:p w14:paraId="554299C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530" w:type="dxa"/>
            <w:tcBorders>
              <w:top w:val="single" w:sz="4" w:space="0" w:color="auto"/>
              <w:left w:val="nil"/>
              <w:bottom w:val="single" w:sz="4" w:space="0" w:color="auto"/>
              <w:right w:val="nil"/>
            </w:tcBorders>
            <w:noWrap/>
            <w:vAlign w:val="center"/>
          </w:tcPr>
          <w:p w14:paraId="7711E9E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0.47</w:t>
            </w:r>
          </w:p>
        </w:tc>
        <w:tc>
          <w:tcPr>
            <w:tcW w:w="2160" w:type="dxa"/>
            <w:tcBorders>
              <w:top w:val="single" w:sz="4" w:space="0" w:color="auto"/>
              <w:left w:val="nil"/>
              <w:bottom w:val="single" w:sz="4" w:space="0" w:color="auto"/>
              <w:right w:val="nil"/>
            </w:tcBorders>
            <w:noWrap/>
            <w:vAlign w:val="center"/>
          </w:tcPr>
          <w:p w14:paraId="05479D9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satisfied</w:t>
            </w:r>
          </w:p>
        </w:tc>
      </w:tr>
      <w:tr w:rsidR="005F1BEC" w:rsidRPr="005F1BEC" w14:paraId="090F4685" w14:textId="77777777" w:rsidTr="0037632B">
        <w:trPr>
          <w:trHeight w:val="300"/>
        </w:trPr>
        <w:tc>
          <w:tcPr>
            <w:tcW w:w="4188" w:type="dxa"/>
            <w:tcBorders>
              <w:top w:val="single" w:sz="4" w:space="0" w:color="auto"/>
              <w:left w:val="nil"/>
              <w:bottom w:val="single" w:sz="4" w:space="0" w:color="auto"/>
              <w:right w:val="nil"/>
            </w:tcBorders>
          </w:tcPr>
          <w:p w14:paraId="347A24F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Creates a sense of family in the workplace by assisting those who are having difficulty completing their assignments</w:t>
            </w:r>
          </w:p>
        </w:tc>
        <w:tc>
          <w:tcPr>
            <w:tcW w:w="1024" w:type="dxa"/>
            <w:tcBorders>
              <w:top w:val="single" w:sz="4" w:space="0" w:color="auto"/>
              <w:left w:val="nil"/>
              <w:bottom w:val="single" w:sz="4" w:space="0" w:color="auto"/>
              <w:right w:val="nil"/>
            </w:tcBorders>
            <w:noWrap/>
            <w:vAlign w:val="center"/>
          </w:tcPr>
          <w:p w14:paraId="4CE9BBB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530" w:type="dxa"/>
            <w:tcBorders>
              <w:top w:val="single" w:sz="4" w:space="0" w:color="auto"/>
              <w:left w:val="nil"/>
              <w:bottom w:val="single" w:sz="4" w:space="0" w:color="auto"/>
              <w:right w:val="nil"/>
            </w:tcBorders>
            <w:noWrap/>
            <w:vAlign w:val="center"/>
          </w:tcPr>
          <w:p w14:paraId="3DD3A2C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2160" w:type="dxa"/>
            <w:tcBorders>
              <w:top w:val="single" w:sz="4" w:space="0" w:color="auto"/>
              <w:left w:val="nil"/>
              <w:bottom w:val="single" w:sz="4" w:space="0" w:color="auto"/>
              <w:right w:val="nil"/>
            </w:tcBorders>
            <w:noWrap/>
            <w:vAlign w:val="center"/>
          </w:tcPr>
          <w:p w14:paraId="7B18FF8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satisfied</w:t>
            </w:r>
          </w:p>
        </w:tc>
      </w:tr>
      <w:tr w:rsidR="005F1BEC" w:rsidRPr="005F1BEC" w14:paraId="52724A65" w14:textId="77777777" w:rsidTr="0037632B">
        <w:trPr>
          <w:trHeight w:val="300"/>
        </w:trPr>
        <w:tc>
          <w:tcPr>
            <w:tcW w:w="4188" w:type="dxa"/>
            <w:tcBorders>
              <w:top w:val="single" w:sz="4" w:space="0" w:color="auto"/>
              <w:left w:val="nil"/>
              <w:bottom w:val="single" w:sz="4" w:space="0" w:color="auto"/>
              <w:right w:val="nil"/>
            </w:tcBorders>
          </w:tcPr>
          <w:p w14:paraId="2A110E98"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Demonstrates the organization's significant values in attaining its vision and mission.</w:t>
            </w:r>
          </w:p>
        </w:tc>
        <w:tc>
          <w:tcPr>
            <w:tcW w:w="1024" w:type="dxa"/>
            <w:tcBorders>
              <w:top w:val="single" w:sz="4" w:space="0" w:color="auto"/>
              <w:left w:val="nil"/>
              <w:bottom w:val="single" w:sz="4" w:space="0" w:color="auto"/>
              <w:right w:val="nil"/>
            </w:tcBorders>
            <w:noWrap/>
            <w:vAlign w:val="center"/>
          </w:tcPr>
          <w:p w14:paraId="6B69B27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4.48</w:t>
            </w:r>
          </w:p>
        </w:tc>
        <w:tc>
          <w:tcPr>
            <w:tcW w:w="1530" w:type="dxa"/>
            <w:tcBorders>
              <w:top w:val="single" w:sz="4" w:space="0" w:color="auto"/>
              <w:left w:val="nil"/>
              <w:bottom w:val="single" w:sz="4" w:space="0" w:color="auto"/>
              <w:right w:val="nil"/>
            </w:tcBorders>
            <w:noWrap/>
            <w:vAlign w:val="center"/>
          </w:tcPr>
          <w:p w14:paraId="50F1340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160" w:type="dxa"/>
            <w:tcBorders>
              <w:top w:val="single" w:sz="4" w:space="0" w:color="auto"/>
              <w:left w:val="nil"/>
              <w:bottom w:val="single" w:sz="4" w:space="0" w:color="auto"/>
              <w:right w:val="nil"/>
            </w:tcBorders>
            <w:noWrap/>
            <w:vAlign w:val="center"/>
          </w:tcPr>
          <w:p w14:paraId="50651F6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satisfied</w:t>
            </w:r>
          </w:p>
        </w:tc>
      </w:tr>
      <w:tr w:rsidR="005F1BEC" w:rsidRPr="005F1BEC" w14:paraId="50276B37" w14:textId="77777777" w:rsidTr="0037632B">
        <w:trPr>
          <w:trHeight w:val="300"/>
        </w:trPr>
        <w:tc>
          <w:tcPr>
            <w:tcW w:w="4188" w:type="dxa"/>
            <w:tcBorders>
              <w:top w:val="single" w:sz="4" w:space="0" w:color="auto"/>
              <w:left w:val="nil"/>
              <w:bottom w:val="single" w:sz="4" w:space="0" w:color="auto"/>
              <w:right w:val="nil"/>
            </w:tcBorders>
          </w:tcPr>
          <w:p w14:paraId="059CE35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Promotes a positive image of the organization through serving the students effectively.</w:t>
            </w:r>
          </w:p>
        </w:tc>
        <w:tc>
          <w:tcPr>
            <w:tcW w:w="1024" w:type="dxa"/>
            <w:tcBorders>
              <w:top w:val="single" w:sz="4" w:space="0" w:color="auto"/>
              <w:left w:val="nil"/>
              <w:bottom w:val="single" w:sz="4" w:space="0" w:color="auto"/>
              <w:right w:val="nil"/>
            </w:tcBorders>
            <w:noWrap/>
            <w:vAlign w:val="center"/>
          </w:tcPr>
          <w:p w14:paraId="6EC9D0C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4.52</w:t>
            </w:r>
          </w:p>
        </w:tc>
        <w:tc>
          <w:tcPr>
            <w:tcW w:w="1530" w:type="dxa"/>
            <w:tcBorders>
              <w:top w:val="single" w:sz="4" w:space="0" w:color="auto"/>
              <w:left w:val="nil"/>
              <w:bottom w:val="single" w:sz="4" w:space="0" w:color="auto"/>
              <w:right w:val="nil"/>
            </w:tcBorders>
            <w:noWrap/>
            <w:vAlign w:val="center"/>
          </w:tcPr>
          <w:p w14:paraId="4F5C26A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2160" w:type="dxa"/>
            <w:tcBorders>
              <w:top w:val="single" w:sz="4" w:space="0" w:color="auto"/>
              <w:left w:val="nil"/>
              <w:bottom w:val="single" w:sz="4" w:space="0" w:color="auto"/>
              <w:right w:val="nil"/>
            </w:tcBorders>
            <w:noWrap/>
            <w:vAlign w:val="center"/>
          </w:tcPr>
          <w:p w14:paraId="1D43E15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3FBA7B89" w14:textId="77777777" w:rsidTr="0037632B">
        <w:trPr>
          <w:trHeight w:val="300"/>
        </w:trPr>
        <w:tc>
          <w:tcPr>
            <w:tcW w:w="4188" w:type="dxa"/>
            <w:tcBorders>
              <w:top w:val="single" w:sz="4" w:space="0" w:color="auto"/>
              <w:left w:val="nil"/>
              <w:bottom w:val="single" w:sz="4" w:space="0" w:color="auto"/>
              <w:right w:val="nil"/>
            </w:tcBorders>
            <w:vAlign w:val="center"/>
          </w:tcPr>
          <w:p w14:paraId="1348FCD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1024" w:type="dxa"/>
            <w:tcBorders>
              <w:top w:val="single" w:sz="4" w:space="0" w:color="auto"/>
              <w:left w:val="nil"/>
              <w:bottom w:val="single" w:sz="4" w:space="0" w:color="auto"/>
              <w:right w:val="nil"/>
            </w:tcBorders>
            <w:noWrap/>
            <w:vAlign w:val="center"/>
          </w:tcPr>
          <w:p w14:paraId="72179D9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4.50</w:t>
            </w:r>
          </w:p>
        </w:tc>
        <w:tc>
          <w:tcPr>
            <w:tcW w:w="1530" w:type="dxa"/>
            <w:tcBorders>
              <w:top w:val="single" w:sz="4" w:space="0" w:color="auto"/>
              <w:left w:val="nil"/>
              <w:bottom w:val="single" w:sz="4" w:space="0" w:color="auto"/>
              <w:right w:val="nil"/>
            </w:tcBorders>
            <w:noWrap/>
            <w:vAlign w:val="center"/>
          </w:tcPr>
          <w:p w14:paraId="0F06790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0.44</w:t>
            </w:r>
          </w:p>
        </w:tc>
        <w:tc>
          <w:tcPr>
            <w:tcW w:w="2160" w:type="dxa"/>
            <w:tcBorders>
              <w:top w:val="single" w:sz="4" w:space="0" w:color="auto"/>
              <w:left w:val="nil"/>
              <w:bottom w:val="single" w:sz="4" w:space="0" w:color="auto"/>
              <w:right w:val="nil"/>
            </w:tcBorders>
            <w:noWrap/>
            <w:vAlign w:val="center"/>
          </w:tcPr>
          <w:p w14:paraId="065D2E00"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Outstanding</w:t>
            </w:r>
          </w:p>
        </w:tc>
      </w:tr>
    </w:tbl>
    <w:p w14:paraId="7021FFD2" w14:textId="77777777" w:rsidR="005F1BEC" w:rsidRPr="005F1BEC" w:rsidRDefault="005F1BEC" w:rsidP="005F1BEC">
      <w:pPr>
        <w:widowControl w:val="0"/>
        <w:autoSpaceDE w:val="0"/>
        <w:autoSpaceDN w:val="0"/>
        <w:jc w:val="both"/>
        <w:rPr>
          <w:rFonts w:ascii="Arial" w:eastAsia="Times New Roman" w:hAnsi="Arial" w:cs="Arial"/>
          <w:bCs/>
        </w:rPr>
      </w:pPr>
    </w:p>
    <w:p w14:paraId="0A707EF3" w14:textId="77777777" w:rsidR="002200F1" w:rsidRDefault="002200F1" w:rsidP="005F1BEC">
      <w:pPr>
        <w:jc w:val="both"/>
        <w:rPr>
          <w:rFonts w:ascii="Arial" w:eastAsia="Times New Roman" w:hAnsi="Arial" w:cs="Arial"/>
          <w:bCs/>
        </w:rPr>
      </w:pPr>
      <w:r w:rsidRPr="002200F1">
        <w:rPr>
          <w:rFonts w:ascii="Arial" w:eastAsia="Times New Roman" w:hAnsi="Arial" w:cs="Arial"/>
          <w:bCs/>
        </w:rPr>
        <w:t xml:space="preserve">The exceptional average rating in the Collaboration domain (x̄ = 4.50) is backed by global research emphasizing the importance of teamwork, collegiality, and shared responsibility in teacher performance. Khoo et al. (2020) highlighted that employers highly value interpersonal collaboration for school integration. Mehrotra and Elias (2017) found that soft skills, particularly teamwork, often outweigh technical qualifications in education settings. </w:t>
      </w:r>
      <w:proofErr w:type="spellStart"/>
      <w:r w:rsidRPr="002200F1">
        <w:rPr>
          <w:rFonts w:ascii="Arial" w:eastAsia="Times New Roman" w:hAnsi="Arial" w:cs="Arial"/>
          <w:bCs/>
        </w:rPr>
        <w:t>Enaifoghe</w:t>
      </w:r>
      <w:proofErr w:type="spellEnd"/>
      <w:r w:rsidRPr="002200F1">
        <w:rPr>
          <w:rFonts w:ascii="Arial" w:eastAsia="Times New Roman" w:hAnsi="Arial" w:cs="Arial"/>
          <w:bCs/>
        </w:rPr>
        <w:t xml:space="preserve"> (2022) noted that collegiality strengthens trust and institutional cohesion. Ferns, Dawson, and Howitt (2019) linked employability to relationship-building and shared planning. Riebe (2022) further emphasized that teamwork boosts both student engagement and teacher satisfaction—echoing the strong evaluations received by BEED graduates.</w:t>
      </w:r>
    </w:p>
    <w:p w14:paraId="388D4F21" w14:textId="77777777" w:rsidR="002200F1" w:rsidRDefault="002200F1" w:rsidP="005F1BEC">
      <w:pPr>
        <w:jc w:val="both"/>
        <w:rPr>
          <w:rFonts w:ascii="Arial" w:eastAsia="Times New Roman" w:hAnsi="Arial" w:cs="Arial"/>
          <w:bCs/>
        </w:rPr>
      </w:pPr>
    </w:p>
    <w:p w14:paraId="799E1BFF" w14:textId="47AC5031" w:rsidR="005F1BEC" w:rsidRPr="005F1BEC" w:rsidRDefault="005F1BEC" w:rsidP="005F1BEC">
      <w:pPr>
        <w:jc w:val="both"/>
        <w:rPr>
          <w:rFonts w:ascii="Arial" w:eastAsia="Times New Roman" w:hAnsi="Arial" w:cs="Arial"/>
          <w:b/>
          <w:bCs/>
        </w:rPr>
      </w:pPr>
      <w:r w:rsidRPr="005F1BEC">
        <w:rPr>
          <w:rFonts w:ascii="Arial" w:eastAsia="Times New Roman" w:hAnsi="Arial" w:cs="Arial"/>
          <w:b/>
          <w:bCs/>
        </w:rPr>
        <w:t>Differences in Employer Feedback in Terms of Age</w:t>
      </w:r>
    </w:p>
    <w:p w14:paraId="41A500F8" w14:textId="51441143" w:rsidR="005F1BEC" w:rsidRPr="005F1BEC" w:rsidRDefault="005F1BEC" w:rsidP="005F1BEC">
      <w:pPr>
        <w:ind w:firstLine="720"/>
        <w:jc w:val="both"/>
        <w:rPr>
          <w:rFonts w:ascii="Arial" w:eastAsia="Times New Roman" w:hAnsi="Arial" w:cs="Arial"/>
        </w:rPr>
      </w:pPr>
      <w:r w:rsidRPr="005F1BEC">
        <w:rPr>
          <w:rFonts w:ascii="Arial" w:eastAsia="Times New Roman" w:hAnsi="Arial" w:cs="Arial"/>
        </w:rPr>
        <w:t xml:space="preserve">Table </w:t>
      </w:r>
      <w:r w:rsidR="003733BF">
        <w:rPr>
          <w:rFonts w:ascii="Arial" w:eastAsia="Times New Roman" w:hAnsi="Arial" w:cs="Arial"/>
        </w:rPr>
        <w:t>16</w:t>
      </w:r>
      <w:r w:rsidRPr="005F1BEC">
        <w:rPr>
          <w:rFonts w:ascii="Arial" w:eastAsia="Times New Roman" w:hAnsi="Arial" w:cs="Arial"/>
        </w:rPr>
        <w:t xml:space="preserve"> presents the ANOVA results (F = 0.197, p = 0.898), which reveal no significant difference in feedback scores when respondents are grouped by age, suggesting that age does not influence employer assessments of BEED graduates. This implies a shared perception of graduate performance among evaluators, regardless of their generational background.</w:t>
      </w:r>
    </w:p>
    <w:p w14:paraId="72230355" w14:textId="77777777" w:rsidR="005F1BEC" w:rsidRPr="005F1BEC" w:rsidRDefault="005F1BEC" w:rsidP="005F1BEC">
      <w:pPr>
        <w:jc w:val="both"/>
        <w:rPr>
          <w:rFonts w:ascii="Arial" w:eastAsia="Times New Roman" w:hAnsi="Arial" w:cs="Arial"/>
        </w:rPr>
      </w:pPr>
    </w:p>
    <w:p w14:paraId="4443BA88" w14:textId="77777777" w:rsidR="005F1BEC" w:rsidRPr="005F1BEC" w:rsidRDefault="005F1BEC" w:rsidP="005F1BEC">
      <w:pPr>
        <w:jc w:val="both"/>
        <w:rPr>
          <w:rFonts w:ascii="Arial" w:eastAsia="Times New Roman" w:hAnsi="Arial" w:cs="Arial"/>
        </w:rPr>
      </w:pPr>
    </w:p>
    <w:p w14:paraId="7557C78C" w14:textId="77777777" w:rsidR="005F1BEC" w:rsidRPr="005F1BEC" w:rsidRDefault="005F1BEC" w:rsidP="005F1BEC">
      <w:pPr>
        <w:jc w:val="both"/>
        <w:rPr>
          <w:rFonts w:ascii="Arial" w:eastAsia="Times New Roman" w:hAnsi="Arial" w:cs="Arial"/>
        </w:rPr>
      </w:pPr>
    </w:p>
    <w:p w14:paraId="438F4563" w14:textId="2845AE96" w:rsidR="005F1BEC" w:rsidRPr="005F1BEC" w:rsidRDefault="005F1BEC" w:rsidP="005F1BEC">
      <w:pPr>
        <w:widowControl w:val="0"/>
        <w:autoSpaceDE w:val="0"/>
        <w:autoSpaceDN w:val="0"/>
        <w:jc w:val="both"/>
        <w:rPr>
          <w:rFonts w:ascii="Arial" w:eastAsia="Times New Roman" w:hAnsi="Arial" w:cs="Arial"/>
          <w:bCs/>
        </w:rPr>
      </w:pPr>
      <w:r w:rsidRPr="005F1BEC">
        <w:rPr>
          <w:rFonts w:ascii="Arial" w:eastAsia="Times New Roman" w:hAnsi="Arial" w:cs="Arial"/>
        </w:rPr>
        <w:t>Table 1</w:t>
      </w:r>
      <w:r w:rsidR="003733BF">
        <w:rPr>
          <w:rFonts w:ascii="Arial" w:eastAsia="Times New Roman" w:hAnsi="Arial" w:cs="Arial"/>
        </w:rPr>
        <w:t>6</w:t>
      </w:r>
      <w:r w:rsidRPr="005F1BEC">
        <w:rPr>
          <w:rFonts w:ascii="Arial" w:eastAsia="Times New Roman" w:hAnsi="Arial" w:cs="Arial"/>
        </w:rPr>
        <w:t>.</w:t>
      </w:r>
      <w:r w:rsidRPr="005F1BEC">
        <w:rPr>
          <w:rFonts w:ascii="Arial" w:eastAsia="Times New Roman" w:hAnsi="Arial" w:cs="Arial"/>
          <w:b/>
          <w:bCs/>
        </w:rPr>
        <w:t xml:space="preserve"> </w:t>
      </w:r>
      <w:r w:rsidRPr="005F1BEC">
        <w:rPr>
          <w:rFonts w:ascii="Arial" w:eastAsia="Times New Roman" w:hAnsi="Arial" w:cs="Arial"/>
          <w:bCs/>
          <w:iCs/>
        </w:rPr>
        <w:t>Significant differences in employer feedback based on demographics (age).</w:t>
      </w: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15"/>
        <w:gridCol w:w="1569"/>
        <w:gridCol w:w="1207"/>
        <w:gridCol w:w="1507"/>
        <w:gridCol w:w="1241"/>
        <w:gridCol w:w="1418"/>
      </w:tblGrid>
      <w:tr w:rsidR="005F1BEC" w:rsidRPr="005F1BEC" w14:paraId="05EC5FBA" w14:textId="77777777" w:rsidTr="0037632B">
        <w:trPr>
          <w:cantSplit/>
          <w:trHeight w:val="387"/>
        </w:trPr>
        <w:tc>
          <w:tcPr>
            <w:tcW w:w="1815" w:type="dxa"/>
            <w:tcBorders>
              <w:top w:val="single" w:sz="4" w:space="0" w:color="auto"/>
              <w:left w:val="nil"/>
              <w:bottom w:val="single" w:sz="4" w:space="0" w:color="auto"/>
              <w:right w:val="nil"/>
            </w:tcBorders>
            <w:shd w:val="clear" w:color="auto" w:fill="FFFFFF"/>
            <w:vAlign w:val="center"/>
          </w:tcPr>
          <w:p w14:paraId="6A65C6CC" w14:textId="77777777" w:rsidR="005F1BEC" w:rsidRPr="005F1BEC" w:rsidRDefault="005F1BEC" w:rsidP="005F1BEC">
            <w:pPr>
              <w:autoSpaceDE w:val="0"/>
              <w:autoSpaceDN w:val="0"/>
              <w:adjustRightInd w:val="0"/>
              <w:jc w:val="both"/>
              <w:rPr>
                <w:rFonts w:ascii="Arial" w:eastAsia="DengXian" w:hAnsi="Arial" w:cs="Arial"/>
              </w:rPr>
            </w:pPr>
          </w:p>
        </w:tc>
        <w:tc>
          <w:tcPr>
            <w:tcW w:w="1569" w:type="dxa"/>
            <w:tcBorders>
              <w:top w:val="single" w:sz="4" w:space="0" w:color="auto"/>
              <w:left w:val="nil"/>
              <w:bottom w:val="single" w:sz="4" w:space="0" w:color="auto"/>
              <w:right w:val="nil"/>
            </w:tcBorders>
            <w:shd w:val="clear" w:color="auto" w:fill="FFFFFF"/>
            <w:vAlign w:val="center"/>
          </w:tcPr>
          <w:p w14:paraId="5D88662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Sum of Squares</w:t>
            </w:r>
          </w:p>
        </w:tc>
        <w:tc>
          <w:tcPr>
            <w:tcW w:w="1207" w:type="dxa"/>
            <w:tcBorders>
              <w:top w:val="single" w:sz="4" w:space="0" w:color="auto"/>
              <w:left w:val="nil"/>
              <w:bottom w:val="single" w:sz="4" w:space="0" w:color="auto"/>
              <w:right w:val="nil"/>
            </w:tcBorders>
            <w:shd w:val="clear" w:color="auto" w:fill="FFFFFF"/>
            <w:vAlign w:val="center"/>
          </w:tcPr>
          <w:p w14:paraId="54C41BD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df</w:t>
            </w:r>
          </w:p>
        </w:tc>
        <w:tc>
          <w:tcPr>
            <w:tcW w:w="1507" w:type="dxa"/>
            <w:tcBorders>
              <w:top w:val="single" w:sz="4" w:space="0" w:color="auto"/>
              <w:left w:val="nil"/>
              <w:bottom w:val="single" w:sz="4" w:space="0" w:color="auto"/>
              <w:right w:val="nil"/>
            </w:tcBorders>
            <w:shd w:val="clear" w:color="auto" w:fill="FFFFFF"/>
            <w:vAlign w:val="center"/>
          </w:tcPr>
          <w:p w14:paraId="026DFFD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Mean Square</w:t>
            </w:r>
          </w:p>
        </w:tc>
        <w:tc>
          <w:tcPr>
            <w:tcW w:w="1241" w:type="dxa"/>
            <w:tcBorders>
              <w:top w:val="single" w:sz="4" w:space="0" w:color="auto"/>
              <w:left w:val="nil"/>
              <w:bottom w:val="single" w:sz="4" w:space="0" w:color="auto"/>
              <w:right w:val="nil"/>
            </w:tcBorders>
            <w:shd w:val="clear" w:color="auto" w:fill="FFFFFF"/>
            <w:vAlign w:val="center"/>
          </w:tcPr>
          <w:p w14:paraId="50FCE66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F</w:t>
            </w:r>
          </w:p>
        </w:tc>
        <w:tc>
          <w:tcPr>
            <w:tcW w:w="1418" w:type="dxa"/>
            <w:tcBorders>
              <w:top w:val="single" w:sz="4" w:space="0" w:color="auto"/>
              <w:left w:val="nil"/>
              <w:bottom w:val="single" w:sz="4" w:space="0" w:color="auto"/>
              <w:right w:val="nil"/>
            </w:tcBorders>
            <w:shd w:val="clear" w:color="auto" w:fill="FFFFFF"/>
            <w:vAlign w:val="center"/>
          </w:tcPr>
          <w:p w14:paraId="111FA43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Sig.</w:t>
            </w:r>
          </w:p>
        </w:tc>
      </w:tr>
      <w:tr w:rsidR="005F1BEC" w:rsidRPr="005F1BEC" w14:paraId="194FE802" w14:textId="77777777" w:rsidTr="0037632B">
        <w:trPr>
          <w:cantSplit/>
          <w:trHeight w:val="387"/>
        </w:trPr>
        <w:tc>
          <w:tcPr>
            <w:tcW w:w="1815" w:type="dxa"/>
            <w:tcBorders>
              <w:top w:val="single" w:sz="4" w:space="0" w:color="auto"/>
              <w:left w:val="nil"/>
              <w:bottom w:val="single" w:sz="4" w:space="0" w:color="auto"/>
              <w:right w:val="nil"/>
            </w:tcBorders>
            <w:shd w:val="clear" w:color="auto" w:fill="FFFFFF"/>
          </w:tcPr>
          <w:p w14:paraId="58211273" w14:textId="77777777" w:rsidR="005F1BEC" w:rsidRPr="005F1BEC" w:rsidRDefault="005F1BEC" w:rsidP="005F1BEC">
            <w:pPr>
              <w:autoSpaceDE w:val="0"/>
              <w:autoSpaceDN w:val="0"/>
              <w:adjustRightInd w:val="0"/>
              <w:jc w:val="both"/>
              <w:rPr>
                <w:rFonts w:ascii="Arial" w:eastAsia="DengXian" w:hAnsi="Arial" w:cs="Arial"/>
                <w:color w:val="000000"/>
              </w:rPr>
            </w:pPr>
            <w:r w:rsidRPr="005F1BEC">
              <w:rPr>
                <w:rFonts w:ascii="Arial" w:eastAsia="DengXian" w:hAnsi="Arial" w:cs="Arial"/>
                <w:color w:val="000000"/>
              </w:rPr>
              <w:t>Between Groups</w:t>
            </w:r>
          </w:p>
        </w:tc>
        <w:tc>
          <w:tcPr>
            <w:tcW w:w="1569" w:type="dxa"/>
            <w:tcBorders>
              <w:top w:val="single" w:sz="4" w:space="0" w:color="auto"/>
              <w:left w:val="nil"/>
              <w:bottom w:val="single" w:sz="4" w:space="0" w:color="auto"/>
              <w:right w:val="nil"/>
            </w:tcBorders>
            <w:shd w:val="clear" w:color="auto" w:fill="FFFFFF"/>
            <w:vAlign w:val="center"/>
          </w:tcPr>
          <w:p w14:paraId="07CDA23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0.079</w:t>
            </w:r>
          </w:p>
        </w:tc>
        <w:tc>
          <w:tcPr>
            <w:tcW w:w="1207" w:type="dxa"/>
            <w:tcBorders>
              <w:top w:val="single" w:sz="4" w:space="0" w:color="auto"/>
              <w:left w:val="nil"/>
              <w:bottom w:val="single" w:sz="4" w:space="0" w:color="auto"/>
              <w:right w:val="nil"/>
            </w:tcBorders>
            <w:shd w:val="clear" w:color="auto" w:fill="FFFFFF"/>
            <w:vAlign w:val="center"/>
          </w:tcPr>
          <w:p w14:paraId="76D5DD8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3</w:t>
            </w:r>
          </w:p>
        </w:tc>
        <w:tc>
          <w:tcPr>
            <w:tcW w:w="1507" w:type="dxa"/>
            <w:tcBorders>
              <w:top w:val="single" w:sz="4" w:space="0" w:color="auto"/>
              <w:left w:val="nil"/>
              <w:bottom w:val="single" w:sz="4" w:space="0" w:color="auto"/>
              <w:right w:val="nil"/>
            </w:tcBorders>
            <w:shd w:val="clear" w:color="auto" w:fill="FFFFFF"/>
            <w:vAlign w:val="center"/>
          </w:tcPr>
          <w:p w14:paraId="05A1001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0.026</w:t>
            </w:r>
          </w:p>
        </w:tc>
        <w:tc>
          <w:tcPr>
            <w:tcW w:w="1241" w:type="dxa"/>
            <w:tcBorders>
              <w:top w:val="single" w:sz="4" w:space="0" w:color="auto"/>
              <w:left w:val="nil"/>
              <w:bottom w:val="single" w:sz="4" w:space="0" w:color="auto"/>
              <w:right w:val="nil"/>
            </w:tcBorders>
            <w:shd w:val="clear" w:color="auto" w:fill="FFFFFF"/>
            <w:vAlign w:val="center"/>
          </w:tcPr>
          <w:p w14:paraId="0C8DC0C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0.197</w:t>
            </w:r>
          </w:p>
        </w:tc>
        <w:tc>
          <w:tcPr>
            <w:tcW w:w="1418" w:type="dxa"/>
            <w:tcBorders>
              <w:top w:val="single" w:sz="4" w:space="0" w:color="auto"/>
              <w:left w:val="nil"/>
              <w:bottom w:val="single" w:sz="4" w:space="0" w:color="auto"/>
              <w:right w:val="nil"/>
            </w:tcBorders>
            <w:shd w:val="clear" w:color="auto" w:fill="FFFFFF"/>
            <w:vAlign w:val="center"/>
          </w:tcPr>
          <w:p w14:paraId="3529A29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0.898</w:t>
            </w:r>
          </w:p>
        </w:tc>
      </w:tr>
      <w:tr w:rsidR="005F1BEC" w:rsidRPr="005F1BEC" w14:paraId="35F70CD4" w14:textId="77777777" w:rsidTr="0037632B">
        <w:trPr>
          <w:cantSplit/>
          <w:trHeight w:val="245"/>
        </w:trPr>
        <w:tc>
          <w:tcPr>
            <w:tcW w:w="1815" w:type="dxa"/>
            <w:tcBorders>
              <w:top w:val="single" w:sz="4" w:space="0" w:color="auto"/>
              <w:left w:val="nil"/>
              <w:bottom w:val="single" w:sz="4" w:space="0" w:color="auto"/>
              <w:right w:val="nil"/>
            </w:tcBorders>
            <w:shd w:val="clear" w:color="auto" w:fill="FFFFFF"/>
          </w:tcPr>
          <w:p w14:paraId="29844415" w14:textId="77777777" w:rsidR="005F1BEC" w:rsidRPr="005F1BEC" w:rsidRDefault="005F1BEC" w:rsidP="005F1BEC">
            <w:pPr>
              <w:autoSpaceDE w:val="0"/>
              <w:autoSpaceDN w:val="0"/>
              <w:adjustRightInd w:val="0"/>
              <w:jc w:val="both"/>
              <w:rPr>
                <w:rFonts w:ascii="Arial" w:eastAsia="DengXian" w:hAnsi="Arial" w:cs="Arial"/>
                <w:color w:val="000000"/>
              </w:rPr>
            </w:pPr>
            <w:r w:rsidRPr="005F1BEC">
              <w:rPr>
                <w:rFonts w:ascii="Arial" w:eastAsia="DengXian" w:hAnsi="Arial" w:cs="Arial"/>
                <w:color w:val="000000"/>
              </w:rPr>
              <w:t>Within Groups</w:t>
            </w:r>
          </w:p>
        </w:tc>
        <w:tc>
          <w:tcPr>
            <w:tcW w:w="1569" w:type="dxa"/>
            <w:tcBorders>
              <w:top w:val="single" w:sz="4" w:space="0" w:color="auto"/>
              <w:left w:val="nil"/>
              <w:bottom w:val="single" w:sz="4" w:space="0" w:color="auto"/>
              <w:right w:val="nil"/>
            </w:tcBorders>
            <w:shd w:val="clear" w:color="auto" w:fill="FFFFFF"/>
            <w:vAlign w:val="center"/>
          </w:tcPr>
          <w:p w14:paraId="5234ABA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4.418</w:t>
            </w:r>
          </w:p>
        </w:tc>
        <w:tc>
          <w:tcPr>
            <w:tcW w:w="1207" w:type="dxa"/>
            <w:tcBorders>
              <w:top w:val="single" w:sz="4" w:space="0" w:color="auto"/>
              <w:left w:val="nil"/>
              <w:bottom w:val="single" w:sz="4" w:space="0" w:color="auto"/>
              <w:right w:val="nil"/>
            </w:tcBorders>
            <w:shd w:val="clear" w:color="auto" w:fill="FFFFFF"/>
            <w:vAlign w:val="center"/>
          </w:tcPr>
          <w:p w14:paraId="49AAE1B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33</w:t>
            </w:r>
          </w:p>
        </w:tc>
        <w:tc>
          <w:tcPr>
            <w:tcW w:w="1507" w:type="dxa"/>
            <w:tcBorders>
              <w:top w:val="single" w:sz="4" w:space="0" w:color="auto"/>
              <w:left w:val="nil"/>
              <w:bottom w:val="single" w:sz="4" w:space="0" w:color="auto"/>
              <w:right w:val="nil"/>
            </w:tcBorders>
            <w:shd w:val="clear" w:color="auto" w:fill="FFFFFF"/>
            <w:vAlign w:val="center"/>
          </w:tcPr>
          <w:p w14:paraId="3BA2097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0.134</w:t>
            </w:r>
          </w:p>
        </w:tc>
        <w:tc>
          <w:tcPr>
            <w:tcW w:w="1241" w:type="dxa"/>
            <w:tcBorders>
              <w:top w:val="single" w:sz="4" w:space="0" w:color="auto"/>
              <w:left w:val="nil"/>
              <w:bottom w:val="single" w:sz="4" w:space="0" w:color="auto"/>
              <w:right w:val="nil"/>
            </w:tcBorders>
            <w:shd w:val="clear" w:color="auto" w:fill="FFFFFF"/>
            <w:vAlign w:val="center"/>
          </w:tcPr>
          <w:p w14:paraId="5251E7DB" w14:textId="77777777" w:rsidR="005F1BEC" w:rsidRPr="005F1BEC" w:rsidRDefault="005F1BEC" w:rsidP="005F1BEC">
            <w:pPr>
              <w:autoSpaceDE w:val="0"/>
              <w:autoSpaceDN w:val="0"/>
              <w:adjustRightInd w:val="0"/>
              <w:jc w:val="center"/>
              <w:rPr>
                <w:rFonts w:ascii="Arial" w:eastAsia="DengXian" w:hAnsi="Arial" w:cs="Arial"/>
              </w:rPr>
            </w:pPr>
          </w:p>
        </w:tc>
        <w:tc>
          <w:tcPr>
            <w:tcW w:w="1418" w:type="dxa"/>
            <w:tcBorders>
              <w:top w:val="single" w:sz="4" w:space="0" w:color="auto"/>
              <w:left w:val="nil"/>
              <w:bottom w:val="single" w:sz="4" w:space="0" w:color="auto"/>
              <w:right w:val="nil"/>
            </w:tcBorders>
            <w:shd w:val="clear" w:color="auto" w:fill="FFFFFF"/>
            <w:vAlign w:val="center"/>
          </w:tcPr>
          <w:p w14:paraId="2B389D4B" w14:textId="77777777" w:rsidR="005F1BEC" w:rsidRPr="005F1BEC" w:rsidRDefault="005F1BEC" w:rsidP="005F1BEC">
            <w:pPr>
              <w:autoSpaceDE w:val="0"/>
              <w:autoSpaceDN w:val="0"/>
              <w:adjustRightInd w:val="0"/>
              <w:jc w:val="center"/>
              <w:rPr>
                <w:rFonts w:ascii="Arial" w:eastAsia="DengXian" w:hAnsi="Arial" w:cs="Arial"/>
              </w:rPr>
            </w:pPr>
          </w:p>
        </w:tc>
      </w:tr>
      <w:tr w:rsidR="005F1BEC" w:rsidRPr="005F1BEC" w14:paraId="405FFFF9" w14:textId="77777777" w:rsidTr="0037632B">
        <w:trPr>
          <w:cantSplit/>
          <w:trHeight w:val="276"/>
        </w:trPr>
        <w:tc>
          <w:tcPr>
            <w:tcW w:w="1815" w:type="dxa"/>
            <w:tcBorders>
              <w:top w:val="single" w:sz="4" w:space="0" w:color="auto"/>
              <w:left w:val="nil"/>
              <w:bottom w:val="single" w:sz="4" w:space="0" w:color="auto"/>
              <w:right w:val="nil"/>
            </w:tcBorders>
            <w:shd w:val="clear" w:color="auto" w:fill="FFFFFF"/>
          </w:tcPr>
          <w:p w14:paraId="61B3FEE6" w14:textId="77777777" w:rsidR="005F1BEC" w:rsidRPr="005F1BEC" w:rsidRDefault="005F1BEC" w:rsidP="005F1BEC">
            <w:pPr>
              <w:autoSpaceDE w:val="0"/>
              <w:autoSpaceDN w:val="0"/>
              <w:adjustRightInd w:val="0"/>
              <w:jc w:val="both"/>
              <w:rPr>
                <w:rFonts w:ascii="Arial" w:eastAsia="DengXian" w:hAnsi="Arial" w:cs="Arial"/>
                <w:color w:val="000000"/>
              </w:rPr>
            </w:pPr>
            <w:r w:rsidRPr="005F1BEC">
              <w:rPr>
                <w:rFonts w:ascii="Arial" w:eastAsia="DengXian" w:hAnsi="Arial" w:cs="Arial"/>
                <w:color w:val="000000"/>
              </w:rPr>
              <w:t>Total</w:t>
            </w:r>
          </w:p>
        </w:tc>
        <w:tc>
          <w:tcPr>
            <w:tcW w:w="1569" w:type="dxa"/>
            <w:tcBorders>
              <w:top w:val="single" w:sz="4" w:space="0" w:color="auto"/>
              <w:left w:val="nil"/>
              <w:bottom w:val="single" w:sz="4" w:space="0" w:color="auto"/>
              <w:right w:val="nil"/>
            </w:tcBorders>
            <w:shd w:val="clear" w:color="auto" w:fill="FFFFFF"/>
            <w:vAlign w:val="center"/>
          </w:tcPr>
          <w:p w14:paraId="5146AE3F"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4.497</w:t>
            </w:r>
          </w:p>
        </w:tc>
        <w:tc>
          <w:tcPr>
            <w:tcW w:w="1207" w:type="dxa"/>
            <w:tcBorders>
              <w:top w:val="single" w:sz="4" w:space="0" w:color="auto"/>
              <w:left w:val="nil"/>
              <w:bottom w:val="single" w:sz="4" w:space="0" w:color="auto"/>
              <w:right w:val="nil"/>
            </w:tcBorders>
            <w:shd w:val="clear" w:color="auto" w:fill="FFFFFF"/>
            <w:vAlign w:val="center"/>
          </w:tcPr>
          <w:p w14:paraId="1F9787E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36</w:t>
            </w:r>
          </w:p>
        </w:tc>
        <w:tc>
          <w:tcPr>
            <w:tcW w:w="1507" w:type="dxa"/>
            <w:tcBorders>
              <w:top w:val="single" w:sz="4" w:space="0" w:color="auto"/>
              <w:left w:val="nil"/>
              <w:bottom w:val="single" w:sz="4" w:space="0" w:color="auto"/>
              <w:right w:val="nil"/>
            </w:tcBorders>
            <w:shd w:val="clear" w:color="auto" w:fill="FFFFFF"/>
            <w:vAlign w:val="center"/>
          </w:tcPr>
          <w:p w14:paraId="134624D4" w14:textId="77777777" w:rsidR="005F1BEC" w:rsidRPr="005F1BEC" w:rsidRDefault="005F1BEC" w:rsidP="005F1BEC">
            <w:pPr>
              <w:autoSpaceDE w:val="0"/>
              <w:autoSpaceDN w:val="0"/>
              <w:adjustRightInd w:val="0"/>
              <w:jc w:val="center"/>
              <w:rPr>
                <w:rFonts w:ascii="Arial" w:eastAsia="DengXian" w:hAnsi="Arial" w:cs="Arial"/>
              </w:rPr>
            </w:pPr>
          </w:p>
        </w:tc>
        <w:tc>
          <w:tcPr>
            <w:tcW w:w="1241" w:type="dxa"/>
            <w:tcBorders>
              <w:top w:val="single" w:sz="4" w:space="0" w:color="auto"/>
              <w:left w:val="nil"/>
              <w:bottom w:val="single" w:sz="4" w:space="0" w:color="auto"/>
              <w:right w:val="nil"/>
            </w:tcBorders>
            <w:shd w:val="clear" w:color="auto" w:fill="FFFFFF"/>
            <w:vAlign w:val="center"/>
          </w:tcPr>
          <w:p w14:paraId="04FFA66C" w14:textId="77777777" w:rsidR="005F1BEC" w:rsidRPr="005F1BEC" w:rsidRDefault="005F1BEC" w:rsidP="005F1BEC">
            <w:pPr>
              <w:autoSpaceDE w:val="0"/>
              <w:autoSpaceDN w:val="0"/>
              <w:adjustRightInd w:val="0"/>
              <w:jc w:val="center"/>
              <w:rPr>
                <w:rFonts w:ascii="Arial" w:eastAsia="DengXian" w:hAnsi="Arial" w:cs="Arial"/>
              </w:rPr>
            </w:pPr>
          </w:p>
        </w:tc>
        <w:tc>
          <w:tcPr>
            <w:tcW w:w="1418" w:type="dxa"/>
            <w:tcBorders>
              <w:top w:val="single" w:sz="4" w:space="0" w:color="auto"/>
              <w:left w:val="nil"/>
              <w:bottom w:val="single" w:sz="4" w:space="0" w:color="auto"/>
              <w:right w:val="nil"/>
            </w:tcBorders>
            <w:shd w:val="clear" w:color="auto" w:fill="FFFFFF"/>
            <w:vAlign w:val="center"/>
          </w:tcPr>
          <w:p w14:paraId="5EA022B2" w14:textId="77777777" w:rsidR="005F1BEC" w:rsidRPr="005F1BEC" w:rsidRDefault="005F1BEC" w:rsidP="005F1BEC">
            <w:pPr>
              <w:autoSpaceDE w:val="0"/>
              <w:autoSpaceDN w:val="0"/>
              <w:adjustRightInd w:val="0"/>
              <w:jc w:val="center"/>
              <w:rPr>
                <w:rFonts w:ascii="Arial" w:eastAsia="DengXian" w:hAnsi="Arial" w:cs="Arial"/>
              </w:rPr>
            </w:pPr>
          </w:p>
        </w:tc>
      </w:tr>
    </w:tbl>
    <w:p w14:paraId="3DEBD038" w14:textId="77777777" w:rsidR="005F1BEC" w:rsidRPr="005F1BEC" w:rsidRDefault="005F1BEC" w:rsidP="005F1BEC">
      <w:pPr>
        <w:rPr>
          <w:rFonts w:ascii="Arial" w:eastAsia="DengXian" w:hAnsi="Arial" w:cs="Arial"/>
        </w:rPr>
      </w:pPr>
    </w:p>
    <w:p w14:paraId="4AC98342" w14:textId="77777777" w:rsidR="002200F1" w:rsidRDefault="002200F1" w:rsidP="005F1BEC">
      <w:pPr>
        <w:jc w:val="both"/>
        <w:rPr>
          <w:rFonts w:ascii="Arial" w:eastAsia="Times New Roman" w:hAnsi="Arial" w:cs="Arial"/>
        </w:rPr>
      </w:pPr>
      <w:r w:rsidRPr="002200F1">
        <w:rPr>
          <w:rFonts w:ascii="Arial" w:eastAsia="Times New Roman" w:hAnsi="Arial" w:cs="Arial"/>
        </w:rPr>
        <w:t xml:space="preserve">Similarly, </w:t>
      </w:r>
      <w:proofErr w:type="spellStart"/>
      <w:r w:rsidRPr="002200F1">
        <w:rPr>
          <w:rFonts w:ascii="Arial" w:eastAsia="Times New Roman" w:hAnsi="Arial" w:cs="Arial"/>
        </w:rPr>
        <w:t>Salendab</w:t>
      </w:r>
      <w:proofErr w:type="spellEnd"/>
      <w:r w:rsidRPr="002200F1">
        <w:rPr>
          <w:rFonts w:ascii="Arial" w:eastAsia="Times New Roman" w:hAnsi="Arial" w:cs="Arial"/>
        </w:rPr>
        <w:t xml:space="preserve"> and </w:t>
      </w:r>
      <w:proofErr w:type="spellStart"/>
      <w:r w:rsidRPr="002200F1">
        <w:rPr>
          <w:rFonts w:ascii="Arial" w:eastAsia="Times New Roman" w:hAnsi="Arial" w:cs="Arial"/>
        </w:rPr>
        <w:t>Ocariza-Salendab</w:t>
      </w:r>
      <w:proofErr w:type="spellEnd"/>
      <w:r w:rsidRPr="002200F1">
        <w:rPr>
          <w:rFonts w:ascii="Arial" w:eastAsia="Times New Roman" w:hAnsi="Arial" w:cs="Arial"/>
        </w:rPr>
        <w:t xml:space="preserve"> (2023) found no significant differences in employer feedback based on demographics, including age, in evaluating BEED graduates. </w:t>
      </w:r>
      <w:proofErr w:type="spellStart"/>
      <w:r w:rsidRPr="002200F1">
        <w:rPr>
          <w:rFonts w:ascii="Arial" w:eastAsia="Times New Roman" w:hAnsi="Arial" w:cs="Arial"/>
        </w:rPr>
        <w:t>Gaytos</w:t>
      </w:r>
      <w:proofErr w:type="spellEnd"/>
      <w:r w:rsidRPr="002200F1">
        <w:rPr>
          <w:rFonts w:ascii="Arial" w:eastAsia="Times New Roman" w:hAnsi="Arial" w:cs="Arial"/>
        </w:rPr>
        <w:t xml:space="preserve"> et al. (2023) also noted consistent perceptions across age groups, suggesting that professional standards are upheld regardless of evaluator age.</w:t>
      </w:r>
    </w:p>
    <w:p w14:paraId="60699637" w14:textId="77777777" w:rsidR="002200F1" w:rsidRDefault="002200F1" w:rsidP="005F1BEC">
      <w:pPr>
        <w:jc w:val="both"/>
        <w:rPr>
          <w:rFonts w:ascii="Arial" w:eastAsia="Times New Roman" w:hAnsi="Arial" w:cs="Arial"/>
        </w:rPr>
      </w:pPr>
    </w:p>
    <w:p w14:paraId="7EF7FB47" w14:textId="4104637D" w:rsidR="005F1BEC" w:rsidRPr="005F1BEC" w:rsidRDefault="005F1BEC" w:rsidP="005F1BEC">
      <w:pPr>
        <w:jc w:val="both"/>
        <w:rPr>
          <w:rFonts w:ascii="Arial" w:eastAsia="Times New Roman" w:hAnsi="Arial" w:cs="Arial"/>
          <w:b/>
          <w:bCs/>
        </w:rPr>
      </w:pPr>
      <w:r w:rsidRPr="005F1BEC">
        <w:rPr>
          <w:rFonts w:ascii="Arial" w:eastAsia="Times New Roman" w:hAnsi="Arial" w:cs="Arial"/>
          <w:b/>
          <w:bCs/>
        </w:rPr>
        <w:t>Differences in Employer Feedback in Terms of Gender</w:t>
      </w:r>
    </w:p>
    <w:p w14:paraId="0A6FD5FF" w14:textId="40967FAD" w:rsidR="005F1BEC" w:rsidRPr="005F1BEC" w:rsidRDefault="005F1BEC" w:rsidP="005F1BEC">
      <w:pPr>
        <w:ind w:firstLine="720"/>
        <w:jc w:val="both"/>
        <w:rPr>
          <w:rFonts w:ascii="Arial" w:eastAsia="Times New Roman" w:hAnsi="Arial" w:cs="Arial"/>
          <w:bCs/>
        </w:rPr>
      </w:pPr>
      <w:r w:rsidRPr="005F1BEC">
        <w:rPr>
          <w:rFonts w:ascii="Arial" w:eastAsia="Times New Roman" w:hAnsi="Arial" w:cs="Arial"/>
          <w:bCs/>
        </w:rPr>
        <w:lastRenderedPageBreak/>
        <w:t xml:space="preserve">Table </w:t>
      </w:r>
      <w:r w:rsidR="003733BF">
        <w:rPr>
          <w:rFonts w:ascii="Arial" w:eastAsia="Times New Roman" w:hAnsi="Arial" w:cs="Arial"/>
          <w:bCs/>
        </w:rPr>
        <w:t>17</w:t>
      </w:r>
      <w:r w:rsidRPr="005F1BEC">
        <w:rPr>
          <w:rFonts w:ascii="Arial" w:eastAsia="Times New Roman" w:hAnsi="Arial" w:cs="Arial"/>
          <w:bCs/>
        </w:rPr>
        <w:t xml:space="preserve"> shows that, using a t-test, the result (t = 0.436, p = .666) indicates no statistically significant difference in graduate performance evaluation scores between the male and female groups. This suggests that gender does not influence employer perception of BEED graduates' teaching competencies. </w:t>
      </w:r>
    </w:p>
    <w:p w14:paraId="7F714D35" w14:textId="5A05F508"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17</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(gender).</w:t>
      </w:r>
    </w:p>
    <w:tbl>
      <w:tblPr>
        <w:tblW w:w="8779" w:type="dxa"/>
        <w:tblInd w:w="93" w:type="dxa"/>
        <w:tblLook w:val="04A0" w:firstRow="1" w:lastRow="0" w:firstColumn="1" w:lastColumn="0" w:noHBand="0" w:noVBand="1"/>
      </w:tblPr>
      <w:tblGrid>
        <w:gridCol w:w="1542"/>
        <w:gridCol w:w="792"/>
        <w:gridCol w:w="922"/>
        <w:gridCol w:w="843"/>
        <w:gridCol w:w="1270"/>
        <w:gridCol w:w="1270"/>
        <w:gridCol w:w="1106"/>
        <w:gridCol w:w="1034"/>
      </w:tblGrid>
      <w:tr w:rsidR="005F1BEC" w:rsidRPr="005F1BEC" w14:paraId="7757E095" w14:textId="77777777" w:rsidTr="0037632B">
        <w:trPr>
          <w:trHeight w:val="365"/>
        </w:trPr>
        <w:tc>
          <w:tcPr>
            <w:tcW w:w="1542" w:type="dxa"/>
            <w:vMerge w:val="restart"/>
            <w:tcBorders>
              <w:top w:val="single" w:sz="4" w:space="0" w:color="auto"/>
              <w:left w:val="nil"/>
              <w:bottom w:val="single" w:sz="4" w:space="0" w:color="auto"/>
              <w:right w:val="nil"/>
            </w:tcBorders>
            <w:vAlign w:val="bottom"/>
          </w:tcPr>
          <w:p w14:paraId="38ABE59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 </w:t>
            </w:r>
          </w:p>
        </w:tc>
        <w:tc>
          <w:tcPr>
            <w:tcW w:w="7237" w:type="dxa"/>
            <w:gridSpan w:val="7"/>
            <w:tcBorders>
              <w:top w:val="single" w:sz="4" w:space="0" w:color="auto"/>
              <w:left w:val="nil"/>
              <w:bottom w:val="single" w:sz="4" w:space="0" w:color="auto"/>
              <w:right w:val="nil"/>
            </w:tcBorders>
            <w:vAlign w:val="bottom"/>
          </w:tcPr>
          <w:p w14:paraId="359384B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ANOVA for Equality of Means</w:t>
            </w:r>
          </w:p>
        </w:tc>
      </w:tr>
      <w:tr w:rsidR="005F1BEC" w:rsidRPr="005F1BEC" w14:paraId="6814BABA" w14:textId="77777777" w:rsidTr="0037632B">
        <w:trPr>
          <w:trHeight w:val="688"/>
        </w:trPr>
        <w:tc>
          <w:tcPr>
            <w:tcW w:w="1542" w:type="dxa"/>
            <w:vMerge/>
            <w:tcBorders>
              <w:top w:val="single" w:sz="4" w:space="0" w:color="auto"/>
              <w:left w:val="nil"/>
              <w:bottom w:val="single" w:sz="4" w:space="0" w:color="auto"/>
              <w:right w:val="nil"/>
            </w:tcBorders>
            <w:vAlign w:val="bottom"/>
          </w:tcPr>
          <w:p w14:paraId="014FAE7E" w14:textId="77777777" w:rsidR="005F1BEC" w:rsidRPr="005F1BEC" w:rsidRDefault="005F1BEC" w:rsidP="005F1BEC">
            <w:pPr>
              <w:rPr>
                <w:rFonts w:ascii="Arial" w:eastAsia="DengXian" w:hAnsi="Arial" w:cs="Arial"/>
              </w:rPr>
            </w:pPr>
          </w:p>
        </w:tc>
        <w:tc>
          <w:tcPr>
            <w:tcW w:w="792" w:type="dxa"/>
            <w:vMerge w:val="restart"/>
            <w:tcBorders>
              <w:top w:val="single" w:sz="4" w:space="0" w:color="auto"/>
              <w:left w:val="nil"/>
              <w:bottom w:val="single" w:sz="4" w:space="0" w:color="auto"/>
              <w:right w:val="nil"/>
            </w:tcBorders>
            <w:vAlign w:val="center"/>
          </w:tcPr>
          <w:p w14:paraId="68E5BC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t</w:t>
            </w:r>
          </w:p>
        </w:tc>
        <w:tc>
          <w:tcPr>
            <w:tcW w:w="922" w:type="dxa"/>
            <w:vMerge w:val="restart"/>
            <w:tcBorders>
              <w:top w:val="single" w:sz="4" w:space="0" w:color="auto"/>
              <w:left w:val="nil"/>
              <w:bottom w:val="single" w:sz="4" w:space="0" w:color="auto"/>
              <w:right w:val="nil"/>
            </w:tcBorders>
            <w:vAlign w:val="center"/>
          </w:tcPr>
          <w:p w14:paraId="5085810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df</w:t>
            </w:r>
          </w:p>
        </w:tc>
        <w:tc>
          <w:tcPr>
            <w:tcW w:w="843" w:type="dxa"/>
            <w:vMerge w:val="restart"/>
            <w:tcBorders>
              <w:top w:val="single" w:sz="4" w:space="0" w:color="auto"/>
              <w:left w:val="nil"/>
              <w:bottom w:val="single" w:sz="4" w:space="0" w:color="auto"/>
              <w:right w:val="nil"/>
            </w:tcBorders>
            <w:vAlign w:val="center"/>
          </w:tcPr>
          <w:p w14:paraId="2CB32EC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Sig. (2-tailed)</w:t>
            </w:r>
          </w:p>
        </w:tc>
        <w:tc>
          <w:tcPr>
            <w:tcW w:w="1270" w:type="dxa"/>
            <w:vMerge w:val="restart"/>
            <w:tcBorders>
              <w:top w:val="single" w:sz="4" w:space="0" w:color="auto"/>
              <w:left w:val="nil"/>
              <w:bottom w:val="single" w:sz="4" w:space="0" w:color="auto"/>
              <w:right w:val="nil"/>
            </w:tcBorders>
            <w:vAlign w:val="center"/>
          </w:tcPr>
          <w:p w14:paraId="711738B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 Difference</w:t>
            </w:r>
          </w:p>
        </w:tc>
        <w:tc>
          <w:tcPr>
            <w:tcW w:w="1270" w:type="dxa"/>
            <w:vMerge w:val="restart"/>
            <w:tcBorders>
              <w:top w:val="single" w:sz="4" w:space="0" w:color="auto"/>
              <w:left w:val="nil"/>
              <w:bottom w:val="single" w:sz="4" w:space="0" w:color="auto"/>
              <w:right w:val="nil"/>
            </w:tcBorders>
            <w:vAlign w:val="center"/>
          </w:tcPr>
          <w:p w14:paraId="22E811A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Error Difference</w:t>
            </w:r>
          </w:p>
        </w:tc>
        <w:tc>
          <w:tcPr>
            <w:tcW w:w="2140" w:type="dxa"/>
            <w:gridSpan w:val="2"/>
            <w:tcBorders>
              <w:top w:val="single" w:sz="4" w:space="0" w:color="auto"/>
              <w:left w:val="nil"/>
              <w:bottom w:val="single" w:sz="4" w:space="0" w:color="auto"/>
              <w:right w:val="nil"/>
            </w:tcBorders>
            <w:vAlign w:val="center"/>
          </w:tcPr>
          <w:p w14:paraId="3BF95A9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95% Confidence Interval of the Difference</w:t>
            </w:r>
          </w:p>
        </w:tc>
      </w:tr>
      <w:tr w:rsidR="005F1BEC" w:rsidRPr="005F1BEC" w14:paraId="267CA73B" w14:textId="77777777" w:rsidTr="0037632B">
        <w:trPr>
          <w:trHeight w:val="349"/>
        </w:trPr>
        <w:tc>
          <w:tcPr>
            <w:tcW w:w="1542" w:type="dxa"/>
            <w:vMerge/>
            <w:tcBorders>
              <w:top w:val="single" w:sz="4" w:space="0" w:color="auto"/>
              <w:left w:val="nil"/>
              <w:bottom w:val="single" w:sz="4" w:space="0" w:color="auto"/>
              <w:right w:val="nil"/>
            </w:tcBorders>
            <w:vAlign w:val="bottom"/>
          </w:tcPr>
          <w:p w14:paraId="7E4C5F09" w14:textId="77777777" w:rsidR="005F1BEC" w:rsidRPr="005F1BEC" w:rsidRDefault="005F1BEC" w:rsidP="005F1BEC">
            <w:pPr>
              <w:rPr>
                <w:rFonts w:ascii="Arial" w:eastAsia="DengXian" w:hAnsi="Arial" w:cs="Arial"/>
              </w:rPr>
            </w:pPr>
          </w:p>
        </w:tc>
        <w:tc>
          <w:tcPr>
            <w:tcW w:w="792" w:type="dxa"/>
            <w:vMerge/>
            <w:tcBorders>
              <w:top w:val="single" w:sz="4" w:space="0" w:color="auto"/>
              <w:left w:val="nil"/>
              <w:bottom w:val="single" w:sz="4" w:space="0" w:color="auto"/>
              <w:right w:val="nil"/>
            </w:tcBorders>
            <w:vAlign w:val="center"/>
          </w:tcPr>
          <w:p w14:paraId="52E6EAEF" w14:textId="77777777" w:rsidR="005F1BEC" w:rsidRPr="005F1BEC" w:rsidRDefault="005F1BEC" w:rsidP="005F1BEC">
            <w:pPr>
              <w:rPr>
                <w:rFonts w:ascii="Arial" w:eastAsia="DengXian" w:hAnsi="Arial" w:cs="Arial"/>
              </w:rPr>
            </w:pPr>
          </w:p>
        </w:tc>
        <w:tc>
          <w:tcPr>
            <w:tcW w:w="922" w:type="dxa"/>
            <w:vMerge/>
            <w:tcBorders>
              <w:top w:val="single" w:sz="4" w:space="0" w:color="auto"/>
              <w:left w:val="nil"/>
              <w:bottom w:val="single" w:sz="4" w:space="0" w:color="auto"/>
              <w:right w:val="nil"/>
            </w:tcBorders>
            <w:vAlign w:val="center"/>
          </w:tcPr>
          <w:p w14:paraId="7FCFA6AA" w14:textId="77777777" w:rsidR="005F1BEC" w:rsidRPr="005F1BEC" w:rsidRDefault="005F1BEC" w:rsidP="005F1BEC">
            <w:pPr>
              <w:rPr>
                <w:rFonts w:ascii="Arial" w:eastAsia="DengXian" w:hAnsi="Arial" w:cs="Arial"/>
              </w:rPr>
            </w:pPr>
          </w:p>
        </w:tc>
        <w:tc>
          <w:tcPr>
            <w:tcW w:w="843" w:type="dxa"/>
            <w:vMerge/>
            <w:tcBorders>
              <w:top w:val="single" w:sz="4" w:space="0" w:color="auto"/>
              <w:left w:val="nil"/>
              <w:bottom w:val="single" w:sz="4" w:space="0" w:color="auto"/>
              <w:right w:val="nil"/>
            </w:tcBorders>
            <w:vAlign w:val="center"/>
          </w:tcPr>
          <w:p w14:paraId="5C39D1C6" w14:textId="77777777" w:rsidR="005F1BEC" w:rsidRPr="005F1BEC" w:rsidRDefault="005F1BEC" w:rsidP="005F1BEC">
            <w:pPr>
              <w:rPr>
                <w:rFonts w:ascii="Arial" w:eastAsia="DengXian" w:hAnsi="Arial" w:cs="Arial"/>
              </w:rPr>
            </w:pPr>
          </w:p>
        </w:tc>
        <w:tc>
          <w:tcPr>
            <w:tcW w:w="1270" w:type="dxa"/>
            <w:vMerge/>
            <w:tcBorders>
              <w:top w:val="single" w:sz="4" w:space="0" w:color="auto"/>
              <w:left w:val="nil"/>
              <w:bottom w:val="single" w:sz="4" w:space="0" w:color="auto"/>
              <w:right w:val="nil"/>
            </w:tcBorders>
            <w:vAlign w:val="center"/>
          </w:tcPr>
          <w:p w14:paraId="31318940" w14:textId="77777777" w:rsidR="005F1BEC" w:rsidRPr="005F1BEC" w:rsidRDefault="005F1BEC" w:rsidP="005F1BEC">
            <w:pPr>
              <w:rPr>
                <w:rFonts w:ascii="Arial" w:eastAsia="DengXian" w:hAnsi="Arial" w:cs="Arial"/>
              </w:rPr>
            </w:pPr>
          </w:p>
        </w:tc>
        <w:tc>
          <w:tcPr>
            <w:tcW w:w="1270" w:type="dxa"/>
            <w:vMerge/>
            <w:tcBorders>
              <w:top w:val="single" w:sz="4" w:space="0" w:color="auto"/>
              <w:left w:val="nil"/>
              <w:bottom w:val="single" w:sz="4" w:space="0" w:color="auto"/>
              <w:right w:val="nil"/>
            </w:tcBorders>
            <w:vAlign w:val="center"/>
          </w:tcPr>
          <w:p w14:paraId="546B1A71" w14:textId="77777777" w:rsidR="005F1BEC" w:rsidRPr="005F1BEC" w:rsidRDefault="005F1BEC" w:rsidP="005F1BEC">
            <w:pPr>
              <w:rPr>
                <w:rFonts w:ascii="Arial" w:eastAsia="DengXian" w:hAnsi="Arial" w:cs="Arial"/>
              </w:rPr>
            </w:pPr>
          </w:p>
        </w:tc>
        <w:tc>
          <w:tcPr>
            <w:tcW w:w="1106" w:type="dxa"/>
            <w:tcBorders>
              <w:top w:val="single" w:sz="4" w:space="0" w:color="auto"/>
              <w:left w:val="nil"/>
              <w:bottom w:val="single" w:sz="4" w:space="0" w:color="auto"/>
              <w:right w:val="nil"/>
            </w:tcBorders>
            <w:vAlign w:val="center"/>
          </w:tcPr>
          <w:p w14:paraId="2BE231C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Lower</w:t>
            </w:r>
          </w:p>
        </w:tc>
        <w:tc>
          <w:tcPr>
            <w:tcW w:w="1034" w:type="dxa"/>
            <w:tcBorders>
              <w:top w:val="single" w:sz="4" w:space="0" w:color="auto"/>
              <w:left w:val="nil"/>
              <w:bottom w:val="single" w:sz="4" w:space="0" w:color="auto"/>
              <w:right w:val="nil"/>
            </w:tcBorders>
            <w:vAlign w:val="center"/>
          </w:tcPr>
          <w:p w14:paraId="1F9B5E4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Upper</w:t>
            </w:r>
          </w:p>
        </w:tc>
      </w:tr>
      <w:tr w:rsidR="005F1BEC" w:rsidRPr="005F1BEC" w14:paraId="75152B7C" w14:textId="77777777" w:rsidTr="0037632B">
        <w:trPr>
          <w:trHeight w:val="665"/>
        </w:trPr>
        <w:tc>
          <w:tcPr>
            <w:tcW w:w="1542" w:type="dxa"/>
            <w:tcBorders>
              <w:top w:val="single" w:sz="4" w:space="0" w:color="auto"/>
              <w:left w:val="nil"/>
              <w:bottom w:val="single" w:sz="4" w:space="0" w:color="auto"/>
              <w:right w:val="nil"/>
            </w:tcBorders>
            <w:vAlign w:val="center"/>
          </w:tcPr>
          <w:p w14:paraId="17284952"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Overall Performance</w:t>
            </w:r>
          </w:p>
        </w:tc>
        <w:tc>
          <w:tcPr>
            <w:tcW w:w="792" w:type="dxa"/>
            <w:tcBorders>
              <w:top w:val="single" w:sz="4" w:space="0" w:color="auto"/>
              <w:left w:val="nil"/>
              <w:bottom w:val="single" w:sz="4" w:space="0" w:color="auto"/>
              <w:right w:val="nil"/>
            </w:tcBorders>
            <w:noWrap/>
            <w:vAlign w:val="center"/>
          </w:tcPr>
          <w:p w14:paraId="7F917BD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0.436</w:t>
            </w:r>
          </w:p>
        </w:tc>
        <w:tc>
          <w:tcPr>
            <w:tcW w:w="922" w:type="dxa"/>
            <w:tcBorders>
              <w:top w:val="single" w:sz="4" w:space="0" w:color="auto"/>
              <w:left w:val="nil"/>
              <w:bottom w:val="single" w:sz="4" w:space="0" w:color="auto"/>
              <w:right w:val="nil"/>
            </w:tcBorders>
            <w:noWrap/>
            <w:vAlign w:val="center"/>
          </w:tcPr>
          <w:p w14:paraId="0B48078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35.000</w:t>
            </w:r>
          </w:p>
        </w:tc>
        <w:tc>
          <w:tcPr>
            <w:tcW w:w="843" w:type="dxa"/>
            <w:tcBorders>
              <w:top w:val="single" w:sz="4" w:space="0" w:color="auto"/>
              <w:left w:val="nil"/>
              <w:bottom w:val="single" w:sz="4" w:space="0" w:color="auto"/>
              <w:right w:val="nil"/>
            </w:tcBorders>
            <w:noWrap/>
            <w:vAlign w:val="center"/>
          </w:tcPr>
          <w:p w14:paraId="655475A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0.666</w:t>
            </w:r>
          </w:p>
        </w:tc>
        <w:tc>
          <w:tcPr>
            <w:tcW w:w="1270" w:type="dxa"/>
            <w:tcBorders>
              <w:top w:val="single" w:sz="4" w:space="0" w:color="auto"/>
              <w:left w:val="nil"/>
              <w:bottom w:val="single" w:sz="4" w:space="0" w:color="auto"/>
              <w:right w:val="nil"/>
            </w:tcBorders>
            <w:noWrap/>
            <w:vAlign w:val="center"/>
          </w:tcPr>
          <w:p w14:paraId="7432F57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0.052</w:t>
            </w:r>
          </w:p>
        </w:tc>
        <w:tc>
          <w:tcPr>
            <w:tcW w:w="1270" w:type="dxa"/>
            <w:tcBorders>
              <w:top w:val="single" w:sz="4" w:space="0" w:color="auto"/>
              <w:left w:val="nil"/>
              <w:bottom w:val="single" w:sz="4" w:space="0" w:color="auto"/>
              <w:right w:val="nil"/>
            </w:tcBorders>
            <w:noWrap/>
            <w:vAlign w:val="center"/>
          </w:tcPr>
          <w:p w14:paraId="6200AA7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0.120</w:t>
            </w:r>
          </w:p>
        </w:tc>
        <w:tc>
          <w:tcPr>
            <w:tcW w:w="1106" w:type="dxa"/>
            <w:tcBorders>
              <w:top w:val="single" w:sz="4" w:space="0" w:color="auto"/>
              <w:left w:val="nil"/>
              <w:bottom w:val="single" w:sz="4" w:space="0" w:color="auto"/>
              <w:right w:val="nil"/>
            </w:tcBorders>
            <w:noWrap/>
            <w:vAlign w:val="center"/>
          </w:tcPr>
          <w:p w14:paraId="4E99041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-0.191</w:t>
            </w:r>
          </w:p>
        </w:tc>
        <w:tc>
          <w:tcPr>
            <w:tcW w:w="1034" w:type="dxa"/>
            <w:tcBorders>
              <w:top w:val="single" w:sz="4" w:space="0" w:color="auto"/>
              <w:left w:val="nil"/>
              <w:bottom w:val="single" w:sz="4" w:space="0" w:color="auto"/>
              <w:right w:val="nil"/>
            </w:tcBorders>
            <w:noWrap/>
            <w:vAlign w:val="center"/>
          </w:tcPr>
          <w:p w14:paraId="5F3E537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0.295</w:t>
            </w:r>
          </w:p>
        </w:tc>
      </w:tr>
    </w:tbl>
    <w:p w14:paraId="48322EC7" w14:textId="77777777"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Supporting this, Reyes et al. (2021) found no significant gender difference in STEAM assessment and instructional competence among higher education teachers. Similarly, Pascua and </w:t>
      </w:r>
      <w:proofErr w:type="spellStart"/>
      <w:r w:rsidRPr="005F1BEC">
        <w:rPr>
          <w:rFonts w:ascii="Arial" w:eastAsia="Times New Roman" w:hAnsi="Arial" w:cs="Arial"/>
          <w:bCs/>
        </w:rPr>
        <w:t>Navalta</w:t>
      </w:r>
      <w:proofErr w:type="spellEnd"/>
      <w:r w:rsidRPr="005F1BEC">
        <w:rPr>
          <w:rFonts w:ascii="Arial" w:eastAsia="Times New Roman" w:hAnsi="Arial" w:cs="Arial"/>
          <w:bCs/>
        </w:rPr>
        <w:t xml:space="preserve"> (2011) reported that gender did not significantly affect English proficiency or performance in teacher licensure outcomes. In a study of BEED graduates, </w:t>
      </w:r>
      <w:proofErr w:type="spellStart"/>
      <w:r w:rsidRPr="005F1BEC">
        <w:rPr>
          <w:rFonts w:ascii="Arial" w:eastAsia="Times New Roman" w:hAnsi="Arial" w:cs="Arial"/>
          <w:bCs/>
        </w:rPr>
        <w:t>Amanonce</w:t>
      </w:r>
      <w:proofErr w:type="spellEnd"/>
      <w:r w:rsidRPr="005F1BEC">
        <w:rPr>
          <w:rFonts w:ascii="Arial" w:eastAsia="Times New Roman" w:hAnsi="Arial" w:cs="Arial"/>
          <w:bCs/>
        </w:rPr>
        <w:t xml:space="preserve"> (2020) revealed that professional success and instructional ratings were consistent across gender lines. Lastly, </w:t>
      </w:r>
      <w:proofErr w:type="spellStart"/>
      <w:r w:rsidRPr="005F1BEC">
        <w:rPr>
          <w:rFonts w:ascii="Arial" w:eastAsia="Times New Roman" w:hAnsi="Arial" w:cs="Arial"/>
          <w:bCs/>
        </w:rPr>
        <w:t>Panlaqui</w:t>
      </w:r>
      <w:proofErr w:type="spellEnd"/>
      <w:r w:rsidRPr="005F1BEC">
        <w:rPr>
          <w:rFonts w:ascii="Arial" w:eastAsia="Times New Roman" w:hAnsi="Arial" w:cs="Arial"/>
          <w:bCs/>
        </w:rPr>
        <w:t xml:space="preserve"> et al. (2022) applied a t-test to compare perceptions of teaching quality and reported no significant variation between male and female respondents. These findings validate the neutrality of gender in evaluating BEED graduate performance in your study.</w:t>
      </w:r>
    </w:p>
    <w:p w14:paraId="48397683" w14:textId="77777777" w:rsidR="005F1BEC" w:rsidRPr="005F1BEC" w:rsidRDefault="005F1BEC" w:rsidP="005F1BEC">
      <w:pPr>
        <w:spacing w:before="100" w:beforeAutospacing="1" w:after="100" w:afterAutospacing="1"/>
        <w:jc w:val="both"/>
        <w:outlineLvl w:val="2"/>
        <w:rPr>
          <w:rFonts w:ascii="Arial" w:eastAsia="Times New Roman" w:hAnsi="Arial" w:cs="Arial"/>
          <w:b/>
          <w:bCs/>
        </w:rPr>
      </w:pPr>
      <w:r w:rsidRPr="005F1BEC">
        <w:rPr>
          <w:rFonts w:ascii="Arial" w:eastAsia="Times New Roman" w:hAnsi="Arial" w:cs="Arial"/>
          <w:b/>
          <w:bCs/>
        </w:rPr>
        <w:t>Differences in Employer Feedback in Terms of Position</w:t>
      </w:r>
    </w:p>
    <w:p w14:paraId="5F8460D8" w14:textId="538555D1"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Table </w:t>
      </w:r>
      <w:r w:rsidR="003733BF">
        <w:rPr>
          <w:rFonts w:ascii="Arial" w:eastAsia="Times New Roman" w:hAnsi="Arial" w:cs="Arial"/>
          <w:bCs/>
        </w:rPr>
        <w:t>18</w:t>
      </w:r>
      <w:r w:rsidRPr="005F1BEC">
        <w:rPr>
          <w:rFonts w:ascii="Arial" w:eastAsia="Times New Roman" w:hAnsi="Arial" w:cs="Arial"/>
          <w:bCs/>
        </w:rPr>
        <w:t xml:space="preserve"> shows the ANOVA output (F = 0.094, p = .911), which confirms that the respondents' job titles—whether principal, head teacher, or school in charge—did not significantly influence their evaluations of BEED graduates. This finding implies a consistent perception of graduate competencies across supervisory roles. </w:t>
      </w:r>
    </w:p>
    <w:p w14:paraId="748435D4" w14:textId="14E3C7FE"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18</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(position).</w:t>
      </w:r>
    </w:p>
    <w:tbl>
      <w:tblPr>
        <w:tblW w:w="8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37"/>
        <w:gridCol w:w="1673"/>
        <w:gridCol w:w="1167"/>
        <w:gridCol w:w="1605"/>
        <w:gridCol w:w="1167"/>
        <w:gridCol w:w="1167"/>
      </w:tblGrid>
      <w:tr w:rsidR="005F1BEC" w:rsidRPr="005F1BEC" w14:paraId="00E6B098" w14:textId="77777777" w:rsidTr="0037632B">
        <w:trPr>
          <w:cantSplit/>
          <w:trHeight w:val="357"/>
        </w:trPr>
        <w:tc>
          <w:tcPr>
            <w:tcW w:w="1937" w:type="dxa"/>
            <w:tcBorders>
              <w:top w:val="single" w:sz="4" w:space="0" w:color="auto"/>
              <w:left w:val="nil"/>
              <w:bottom w:val="single" w:sz="4" w:space="0" w:color="auto"/>
              <w:right w:val="nil"/>
            </w:tcBorders>
            <w:shd w:val="clear" w:color="auto" w:fill="FFFFFF"/>
            <w:vAlign w:val="bottom"/>
          </w:tcPr>
          <w:p w14:paraId="0F11ED6C" w14:textId="77777777" w:rsidR="005F1BEC" w:rsidRPr="005F1BEC" w:rsidRDefault="005F1BEC" w:rsidP="005F1BEC">
            <w:pPr>
              <w:autoSpaceDE w:val="0"/>
              <w:autoSpaceDN w:val="0"/>
              <w:adjustRightInd w:val="0"/>
              <w:jc w:val="both"/>
              <w:rPr>
                <w:rFonts w:ascii="Arial" w:eastAsia="DengXian" w:hAnsi="Arial" w:cs="Arial"/>
              </w:rPr>
            </w:pPr>
          </w:p>
        </w:tc>
        <w:tc>
          <w:tcPr>
            <w:tcW w:w="1673" w:type="dxa"/>
            <w:tcBorders>
              <w:top w:val="single" w:sz="4" w:space="0" w:color="auto"/>
              <w:left w:val="nil"/>
              <w:bottom w:val="single" w:sz="4" w:space="0" w:color="auto"/>
              <w:right w:val="nil"/>
            </w:tcBorders>
            <w:shd w:val="clear" w:color="auto" w:fill="FFFFFF"/>
            <w:vAlign w:val="center"/>
          </w:tcPr>
          <w:p w14:paraId="3DCDEED3"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Sum of Squares</w:t>
            </w:r>
          </w:p>
        </w:tc>
        <w:tc>
          <w:tcPr>
            <w:tcW w:w="1167" w:type="dxa"/>
            <w:tcBorders>
              <w:top w:val="single" w:sz="4" w:space="0" w:color="auto"/>
              <w:left w:val="nil"/>
              <w:bottom w:val="single" w:sz="4" w:space="0" w:color="auto"/>
              <w:right w:val="nil"/>
            </w:tcBorders>
            <w:shd w:val="clear" w:color="auto" w:fill="FFFFFF"/>
            <w:vAlign w:val="center"/>
          </w:tcPr>
          <w:p w14:paraId="204FDD0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df</w:t>
            </w:r>
          </w:p>
        </w:tc>
        <w:tc>
          <w:tcPr>
            <w:tcW w:w="1605" w:type="dxa"/>
            <w:tcBorders>
              <w:top w:val="single" w:sz="4" w:space="0" w:color="auto"/>
              <w:left w:val="nil"/>
              <w:bottom w:val="single" w:sz="4" w:space="0" w:color="auto"/>
              <w:right w:val="nil"/>
            </w:tcBorders>
            <w:shd w:val="clear" w:color="auto" w:fill="FFFFFF"/>
            <w:vAlign w:val="center"/>
          </w:tcPr>
          <w:p w14:paraId="32DF679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Mean Square</w:t>
            </w:r>
          </w:p>
        </w:tc>
        <w:tc>
          <w:tcPr>
            <w:tcW w:w="1167" w:type="dxa"/>
            <w:tcBorders>
              <w:top w:val="single" w:sz="4" w:space="0" w:color="auto"/>
              <w:left w:val="nil"/>
              <w:bottom w:val="single" w:sz="4" w:space="0" w:color="auto"/>
              <w:right w:val="nil"/>
            </w:tcBorders>
            <w:shd w:val="clear" w:color="auto" w:fill="FFFFFF"/>
            <w:vAlign w:val="center"/>
          </w:tcPr>
          <w:p w14:paraId="3F957348"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F</w:t>
            </w:r>
          </w:p>
        </w:tc>
        <w:tc>
          <w:tcPr>
            <w:tcW w:w="1167" w:type="dxa"/>
            <w:tcBorders>
              <w:top w:val="single" w:sz="4" w:space="0" w:color="auto"/>
              <w:left w:val="nil"/>
              <w:bottom w:val="single" w:sz="4" w:space="0" w:color="auto"/>
              <w:right w:val="nil"/>
            </w:tcBorders>
            <w:shd w:val="clear" w:color="auto" w:fill="FFFFFF"/>
            <w:vAlign w:val="center"/>
          </w:tcPr>
          <w:p w14:paraId="637454D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Sig.</w:t>
            </w:r>
          </w:p>
        </w:tc>
      </w:tr>
      <w:tr w:rsidR="005F1BEC" w:rsidRPr="005F1BEC" w14:paraId="5F1470D5" w14:textId="77777777" w:rsidTr="0037632B">
        <w:trPr>
          <w:cantSplit/>
          <w:trHeight w:val="357"/>
        </w:trPr>
        <w:tc>
          <w:tcPr>
            <w:tcW w:w="1937" w:type="dxa"/>
            <w:tcBorders>
              <w:top w:val="single" w:sz="4" w:space="0" w:color="auto"/>
              <w:left w:val="nil"/>
              <w:bottom w:val="single" w:sz="4" w:space="0" w:color="auto"/>
              <w:right w:val="nil"/>
            </w:tcBorders>
            <w:shd w:val="clear" w:color="auto" w:fill="FFFFFF"/>
            <w:vAlign w:val="center"/>
          </w:tcPr>
          <w:p w14:paraId="2D116274"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Between Groups</w:t>
            </w:r>
          </w:p>
        </w:tc>
        <w:tc>
          <w:tcPr>
            <w:tcW w:w="1673" w:type="dxa"/>
            <w:tcBorders>
              <w:top w:val="single" w:sz="4" w:space="0" w:color="auto"/>
              <w:left w:val="nil"/>
              <w:bottom w:val="single" w:sz="4" w:space="0" w:color="auto"/>
              <w:right w:val="nil"/>
            </w:tcBorders>
            <w:shd w:val="clear" w:color="auto" w:fill="FFFFFF"/>
            <w:vAlign w:val="center"/>
          </w:tcPr>
          <w:p w14:paraId="0EFACE9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0.025</w:t>
            </w:r>
          </w:p>
        </w:tc>
        <w:tc>
          <w:tcPr>
            <w:tcW w:w="1167" w:type="dxa"/>
            <w:tcBorders>
              <w:top w:val="single" w:sz="4" w:space="0" w:color="auto"/>
              <w:left w:val="nil"/>
              <w:bottom w:val="single" w:sz="4" w:space="0" w:color="auto"/>
              <w:right w:val="nil"/>
            </w:tcBorders>
            <w:shd w:val="clear" w:color="auto" w:fill="FFFFFF"/>
            <w:vAlign w:val="center"/>
          </w:tcPr>
          <w:p w14:paraId="46D3482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2</w:t>
            </w:r>
          </w:p>
        </w:tc>
        <w:tc>
          <w:tcPr>
            <w:tcW w:w="1605" w:type="dxa"/>
            <w:tcBorders>
              <w:top w:val="single" w:sz="4" w:space="0" w:color="auto"/>
              <w:left w:val="nil"/>
              <w:bottom w:val="single" w:sz="4" w:space="0" w:color="auto"/>
              <w:right w:val="nil"/>
            </w:tcBorders>
            <w:shd w:val="clear" w:color="auto" w:fill="FFFFFF"/>
            <w:vAlign w:val="center"/>
          </w:tcPr>
          <w:p w14:paraId="328426E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0.012</w:t>
            </w:r>
          </w:p>
        </w:tc>
        <w:tc>
          <w:tcPr>
            <w:tcW w:w="1167" w:type="dxa"/>
            <w:tcBorders>
              <w:top w:val="single" w:sz="4" w:space="0" w:color="auto"/>
              <w:left w:val="nil"/>
              <w:bottom w:val="single" w:sz="4" w:space="0" w:color="auto"/>
              <w:right w:val="nil"/>
            </w:tcBorders>
            <w:shd w:val="clear" w:color="auto" w:fill="FFFFFF"/>
            <w:vAlign w:val="center"/>
          </w:tcPr>
          <w:p w14:paraId="12D5FB9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0.094</w:t>
            </w:r>
          </w:p>
        </w:tc>
        <w:tc>
          <w:tcPr>
            <w:tcW w:w="1167" w:type="dxa"/>
            <w:tcBorders>
              <w:top w:val="single" w:sz="4" w:space="0" w:color="auto"/>
              <w:left w:val="nil"/>
              <w:bottom w:val="single" w:sz="4" w:space="0" w:color="auto"/>
              <w:right w:val="nil"/>
            </w:tcBorders>
            <w:shd w:val="clear" w:color="auto" w:fill="FFFFFF"/>
            <w:vAlign w:val="center"/>
          </w:tcPr>
          <w:p w14:paraId="36225B4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0.911</w:t>
            </w:r>
          </w:p>
        </w:tc>
      </w:tr>
      <w:tr w:rsidR="005F1BEC" w:rsidRPr="005F1BEC" w14:paraId="6AE3B42F" w14:textId="77777777" w:rsidTr="0037632B">
        <w:trPr>
          <w:cantSplit/>
          <w:trHeight w:val="298"/>
        </w:trPr>
        <w:tc>
          <w:tcPr>
            <w:tcW w:w="1937" w:type="dxa"/>
            <w:tcBorders>
              <w:top w:val="single" w:sz="4" w:space="0" w:color="auto"/>
              <w:left w:val="nil"/>
              <w:bottom w:val="single" w:sz="4" w:space="0" w:color="auto"/>
              <w:right w:val="nil"/>
            </w:tcBorders>
            <w:shd w:val="clear" w:color="auto" w:fill="FFFFFF"/>
            <w:vAlign w:val="center"/>
          </w:tcPr>
          <w:p w14:paraId="2E398481"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Within Groups</w:t>
            </w:r>
          </w:p>
        </w:tc>
        <w:tc>
          <w:tcPr>
            <w:tcW w:w="1673" w:type="dxa"/>
            <w:tcBorders>
              <w:top w:val="single" w:sz="4" w:space="0" w:color="auto"/>
              <w:left w:val="nil"/>
              <w:bottom w:val="single" w:sz="4" w:space="0" w:color="auto"/>
              <w:right w:val="nil"/>
            </w:tcBorders>
            <w:shd w:val="clear" w:color="auto" w:fill="FFFFFF"/>
            <w:vAlign w:val="center"/>
          </w:tcPr>
          <w:p w14:paraId="6F9D1CA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4.473</w:t>
            </w:r>
          </w:p>
        </w:tc>
        <w:tc>
          <w:tcPr>
            <w:tcW w:w="1167" w:type="dxa"/>
            <w:tcBorders>
              <w:top w:val="single" w:sz="4" w:space="0" w:color="auto"/>
              <w:left w:val="nil"/>
              <w:bottom w:val="single" w:sz="4" w:space="0" w:color="auto"/>
              <w:right w:val="nil"/>
            </w:tcBorders>
            <w:shd w:val="clear" w:color="auto" w:fill="FFFFFF"/>
            <w:vAlign w:val="center"/>
          </w:tcPr>
          <w:p w14:paraId="79604F8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34</w:t>
            </w:r>
          </w:p>
        </w:tc>
        <w:tc>
          <w:tcPr>
            <w:tcW w:w="1605" w:type="dxa"/>
            <w:tcBorders>
              <w:top w:val="single" w:sz="4" w:space="0" w:color="auto"/>
              <w:left w:val="nil"/>
              <w:bottom w:val="single" w:sz="4" w:space="0" w:color="auto"/>
              <w:right w:val="nil"/>
            </w:tcBorders>
            <w:shd w:val="clear" w:color="auto" w:fill="FFFFFF"/>
            <w:vAlign w:val="center"/>
          </w:tcPr>
          <w:p w14:paraId="7ED82F2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0.132</w:t>
            </w:r>
          </w:p>
        </w:tc>
        <w:tc>
          <w:tcPr>
            <w:tcW w:w="1167" w:type="dxa"/>
            <w:tcBorders>
              <w:top w:val="single" w:sz="4" w:space="0" w:color="auto"/>
              <w:left w:val="nil"/>
              <w:bottom w:val="single" w:sz="4" w:space="0" w:color="auto"/>
              <w:right w:val="nil"/>
            </w:tcBorders>
            <w:shd w:val="clear" w:color="auto" w:fill="FFFFFF"/>
            <w:vAlign w:val="center"/>
          </w:tcPr>
          <w:p w14:paraId="469508A3" w14:textId="77777777" w:rsidR="005F1BEC" w:rsidRPr="005F1BEC" w:rsidRDefault="005F1BEC" w:rsidP="005F1BEC">
            <w:pPr>
              <w:autoSpaceDE w:val="0"/>
              <w:autoSpaceDN w:val="0"/>
              <w:adjustRightInd w:val="0"/>
              <w:jc w:val="center"/>
              <w:rPr>
                <w:rFonts w:ascii="Arial" w:eastAsia="DengXian" w:hAnsi="Arial" w:cs="Arial"/>
              </w:rPr>
            </w:pPr>
          </w:p>
        </w:tc>
        <w:tc>
          <w:tcPr>
            <w:tcW w:w="1167" w:type="dxa"/>
            <w:tcBorders>
              <w:top w:val="single" w:sz="4" w:space="0" w:color="auto"/>
              <w:left w:val="nil"/>
              <w:bottom w:val="single" w:sz="4" w:space="0" w:color="auto"/>
              <w:right w:val="nil"/>
            </w:tcBorders>
            <w:shd w:val="clear" w:color="auto" w:fill="FFFFFF"/>
            <w:vAlign w:val="center"/>
          </w:tcPr>
          <w:p w14:paraId="5E793499" w14:textId="77777777" w:rsidR="005F1BEC" w:rsidRPr="005F1BEC" w:rsidRDefault="005F1BEC" w:rsidP="005F1BEC">
            <w:pPr>
              <w:autoSpaceDE w:val="0"/>
              <w:autoSpaceDN w:val="0"/>
              <w:adjustRightInd w:val="0"/>
              <w:jc w:val="center"/>
              <w:rPr>
                <w:rFonts w:ascii="Arial" w:eastAsia="DengXian" w:hAnsi="Arial" w:cs="Arial"/>
              </w:rPr>
            </w:pPr>
          </w:p>
        </w:tc>
      </w:tr>
      <w:tr w:rsidR="005F1BEC" w:rsidRPr="005F1BEC" w14:paraId="7913DC2C" w14:textId="77777777" w:rsidTr="0037632B">
        <w:trPr>
          <w:cantSplit/>
          <w:trHeight w:val="229"/>
        </w:trPr>
        <w:tc>
          <w:tcPr>
            <w:tcW w:w="1937" w:type="dxa"/>
            <w:tcBorders>
              <w:top w:val="single" w:sz="4" w:space="0" w:color="auto"/>
              <w:left w:val="nil"/>
              <w:bottom w:val="single" w:sz="4" w:space="0" w:color="auto"/>
              <w:right w:val="nil"/>
            </w:tcBorders>
            <w:shd w:val="clear" w:color="auto" w:fill="FFFFFF"/>
            <w:vAlign w:val="center"/>
          </w:tcPr>
          <w:p w14:paraId="3C8470C7"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Total</w:t>
            </w:r>
          </w:p>
        </w:tc>
        <w:tc>
          <w:tcPr>
            <w:tcW w:w="1673" w:type="dxa"/>
            <w:tcBorders>
              <w:top w:val="single" w:sz="4" w:space="0" w:color="auto"/>
              <w:left w:val="nil"/>
              <w:bottom w:val="single" w:sz="4" w:space="0" w:color="auto"/>
              <w:right w:val="nil"/>
            </w:tcBorders>
            <w:shd w:val="clear" w:color="auto" w:fill="FFFFFF"/>
            <w:vAlign w:val="center"/>
          </w:tcPr>
          <w:p w14:paraId="3FE745F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4.497</w:t>
            </w:r>
          </w:p>
        </w:tc>
        <w:tc>
          <w:tcPr>
            <w:tcW w:w="1167" w:type="dxa"/>
            <w:tcBorders>
              <w:top w:val="single" w:sz="4" w:space="0" w:color="auto"/>
              <w:left w:val="nil"/>
              <w:bottom w:val="single" w:sz="4" w:space="0" w:color="auto"/>
              <w:right w:val="nil"/>
            </w:tcBorders>
            <w:shd w:val="clear" w:color="auto" w:fill="FFFFFF"/>
            <w:vAlign w:val="center"/>
          </w:tcPr>
          <w:p w14:paraId="26737C4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36</w:t>
            </w:r>
          </w:p>
        </w:tc>
        <w:tc>
          <w:tcPr>
            <w:tcW w:w="1605" w:type="dxa"/>
            <w:tcBorders>
              <w:top w:val="single" w:sz="4" w:space="0" w:color="auto"/>
              <w:left w:val="nil"/>
              <w:bottom w:val="single" w:sz="4" w:space="0" w:color="auto"/>
              <w:right w:val="nil"/>
            </w:tcBorders>
            <w:shd w:val="clear" w:color="auto" w:fill="FFFFFF"/>
            <w:vAlign w:val="center"/>
          </w:tcPr>
          <w:p w14:paraId="37748DEF" w14:textId="77777777" w:rsidR="005F1BEC" w:rsidRPr="005F1BEC" w:rsidRDefault="005F1BEC" w:rsidP="005F1BEC">
            <w:pPr>
              <w:autoSpaceDE w:val="0"/>
              <w:autoSpaceDN w:val="0"/>
              <w:adjustRightInd w:val="0"/>
              <w:jc w:val="center"/>
              <w:rPr>
                <w:rFonts w:ascii="Arial" w:eastAsia="DengXian" w:hAnsi="Arial" w:cs="Arial"/>
              </w:rPr>
            </w:pPr>
          </w:p>
        </w:tc>
        <w:tc>
          <w:tcPr>
            <w:tcW w:w="1167" w:type="dxa"/>
            <w:tcBorders>
              <w:top w:val="single" w:sz="4" w:space="0" w:color="auto"/>
              <w:left w:val="nil"/>
              <w:bottom w:val="single" w:sz="4" w:space="0" w:color="auto"/>
              <w:right w:val="nil"/>
            </w:tcBorders>
            <w:shd w:val="clear" w:color="auto" w:fill="FFFFFF"/>
            <w:vAlign w:val="center"/>
          </w:tcPr>
          <w:p w14:paraId="0D75DC40" w14:textId="77777777" w:rsidR="005F1BEC" w:rsidRPr="005F1BEC" w:rsidRDefault="005F1BEC" w:rsidP="005F1BEC">
            <w:pPr>
              <w:autoSpaceDE w:val="0"/>
              <w:autoSpaceDN w:val="0"/>
              <w:adjustRightInd w:val="0"/>
              <w:jc w:val="center"/>
              <w:rPr>
                <w:rFonts w:ascii="Arial" w:eastAsia="DengXian" w:hAnsi="Arial" w:cs="Arial"/>
              </w:rPr>
            </w:pPr>
          </w:p>
        </w:tc>
        <w:tc>
          <w:tcPr>
            <w:tcW w:w="1167" w:type="dxa"/>
            <w:tcBorders>
              <w:top w:val="single" w:sz="4" w:space="0" w:color="auto"/>
              <w:left w:val="nil"/>
              <w:bottom w:val="single" w:sz="4" w:space="0" w:color="auto"/>
              <w:right w:val="nil"/>
            </w:tcBorders>
            <w:shd w:val="clear" w:color="auto" w:fill="FFFFFF"/>
            <w:vAlign w:val="center"/>
          </w:tcPr>
          <w:p w14:paraId="7D8F2F3B" w14:textId="77777777" w:rsidR="005F1BEC" w:rsidRPr="005F1BEC" w:rsidRDefault="005F1BEC" w:rsidP="005F1BEC">
            <w:pPr>
              <w:autoSpaceDE w:val="0"/>
              <w:autoSpaceDN w:val="0"/>
              <w:adjustRightInd w:val="0"/>
              <w:jc w:val="center"/>
              <w:rPr>
                <w:rFonts w:ascii="Arial" w:eastAsia="DengXian" w:hAnsi="Arial" w:cs="Arial"/>
              </w:rPr>
            </w:pPr>
          </w:p>
        </w:tc>
      </w:tr>
    </w:tbl>
    <w:p w14:paraId="09F27A00" w14:textId="77777777"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Supporting this, </w:t>
      </w:r>
      <w:proofErr w:type="spellStart"/>
      <w:r w:rsidRPr="005F1BEC">
        <w:rPr>
          <w:rFonts w:ascii="Arial" w:eastAsia="Times New Roman" w:hAnsi="Arial" w:cs="Arial"/>
          <w:bCs/>
        </w:rPr>
        <w:t>Salendab</w:t>
      </w:r>
      <w:proofErr w:type="spellEnd"/>
      <w:r w:rsidRPr="005F1BEC">
        <w:rPr>
          <w:rFonts w:ascii="Arial" w:eastAsia="Times New Roman" w:hAnsi="Arial" w:cs="Arial"/>
          <w:bCs/>
        </w:rPr>
        <w:t xml:space="preserve"> and </w:t>
      </w:r>
      <w:proofErr w:type="spellStart"/>
      <w:r w:rsidRPr="005F1BEC">
        <w:rPr>
          <w:rFonts w:ascii="Arial" w:eastAsia="Times New Roman" w:hAnsi="Arial" w:cs="Arial"/>
          <w:bCs/>
        </w:rPr>
        <w:t>Ocariza-Salendab</w:t>
      </w:r>
      <w:proofErr w:type="spellEnd"/>
      <w:r w:rsidRPr="005F1BEC">
        <w:rPr>
          <w:rFonts w:ascii="Arial" w:eastAsia="Times New Roman" w:hAnsi="Arial" w:cs="Arial"/>
          <w:bCs/>
        </w:rPr>
        <w:t xml:space="preserve"> (2023) found that assessments of BEED graduates were statistically similar regardless of the professional designation of the evaluators. German et al. (2021) also used ANOVA and reported uniform performance ratings of engineering graduates across different managerial evaluators, reinforcing the neutrality of job titles in such evaluations. </w:t>
      </w:r>
    </w:p>
    <w:p w14:paraId="363F08C6" w14:textId="77777777"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Similarly, </w:t>
      </w:r>
      <w:proofErr w:type="spellStart"/>
      <w:r w:rsidRPr="005F1BEC">
        <w:rPr>
          <w:rFonts w:ascii="Arial" w:eastAsia="Times New Roman" w:hAnsi="Arial" w:cs="Arial"/>
          <w:bCs/>
        </w:rPr>
        <w:t>Panlaqui</w:t>
      </w:r>
      <w:proofErr w:type="spellEnd"/>
      <w:r w:rsidRPr="005F1BEC">
        <w:rPr>
          <w:rFonts w:ascii="Arial" w:eastAsia="Times New Roman" w:hAnsi="Arial" w:cs="Arial"/>
          <w:bCs/>
        </w:rPr>
        <w:t xml:space="preserve"> et al. (2022) noted that respondents' job positions did not influence their ratings of the employability of education graduates. </w:t>
      </w:r>
      <w:proofErr w:type="spellStart"/>
      <w:r w:rsidRPr="005F1BEC">
        <w:rPr>
          <w:rFonts w:ascii="Arial" w:eastAsia="Times New Roman" w:hAnsi="Arial" w:cs="Arial"/>
          <w:bCs/>
        </w:rPr>
        <w:t>Cuizon</w:t>
      </w:r>
      <w:proofErr w:type="spellEnd"/>
      <w:r w:rsidRPr="005F1BEC">
        <w:rPr>
          <w:rFonts w:ascii="Arial" w:eastAsia="Times New Roman" w:hAnsi="Arial" w:cs="Arial"/>
          <w:bCs/>
        </w:rPr>
        <w:t xml:space="preserve"> (2020) emphasized the value of role-independent criteria when assessing teacher competencies, especially in large-scale tracer or evaluation studies. These findings collectively support the conclusion that job title is not a determinant of employer perception, thereby enhancing the credibility of your data set.</w:t>
      </w:r>
    </w:p>
    <w:p w14:paraId="2B40654E" w14:textId="77777777" w:rsidR="005F1BEC" w:rsidRPr="005F1BEC" w:rsidRDefault="005F1BEC" w:rsidP="005F1BEC">
      <w:pPr>
        <w:spacing w:before="100" w:beforeAutospacing="1" w:after="100" w:afterAutospacing="1"/>
        <w:jc w:val="both"/>
        <w:outlineLvl w:val="2"/>
        <w:rPr>
          <w:rFonts w:ascii="Arial" w:eastAsia="Times New Roman" w:hAnsi="Arial" w:cs="Arial"/>
          <w:bCs/>
        </w:rPr>
      </w:pPr>
      <w:r w:rsidRPr="005F1BEC">
        <w:rPr>
          <w:rFonts w:ascii="Arial" w:eastAsia="Times New Roman" w:hAnsi="Arial" w:cs="Arial"/>
          <w:b/>
          <w:bCs/>
        </w:rPr>
        <w:lastRenderedPageBreak/>
        <w:t>Differences in Employer Feedback in Terms of Years in Service</w:t>
      </w:r>
    </w:p>
    <w:p w14:paraId="347A4A24" w14:textId="77777777" w:rsidR="002200F1" w:rsidRDefault="002200F1" w:rsidP="005F1BEC">
      <w:pPr>
        <w:jc w:val="both"/>
        <w:rPr>
          <w:rFonts w:ascii="Arial" w:eastAsia="Times New Roman" w:hAnsi="Arial" w:cs="Arial"/>
        </w:rPr>
      </w:pPr>
      <w:r w:rsidRPr="002200F1">
        <w:rPr>
          <w:rFonts w:ascii="Arial" w:eastAsia="Times New Roman" w:hAnsi="Arial" w:cs="Arial"/>
        </w:rPr>
        <w:t>ANOVA results (F = 1.475, p = .239) showed no significant difference in feedback based on respondents’ years of service, indicating consistent evaluations of BEED graduates across experience levels. This aligns with Donahue and Vogel (2018), who found that both novice and veteran educators provide valid assessments when using standardized rubrics that reduce experience-based bias.</w:t>
      </w:r>
    </w:p>
    <w:p w14:paraId="63A452D6" w14:textId="77777777" w:rsidR="002200F1" w:rsidRDefault="002200F1" w:rsidP="005F1BEC">
      <w:pPr>
        <w:jc w:val="both"/>
        <w:rPr>
          <w:rFonts w:ascii="Arial" w:eastAsia="Times New Roman" w:hAnsi="Arial" w:cs="Arial"/>
        </w:rPr>
      </w:pPr>
    </w:p>
    <w:p w14:paraId="44E0E189" w14:textId="3C7D90A0" w:rsidR="005F1BEC" w:rsidRPr="005F1BEC" w:rsidRDefault="005F1BEC" w:rsidP="005F1BEC">
      <w:pPr>
        <w:jc w:val="both"/>
        <w:rPr>
          <w:rFonts w:ascii="Arial" w:eastAsia="Times New Roman" w:hAnsi="Arial" w:cs="Arial"/>
          <w:b/>
          <w:bCs/>
        </w:rPr>
      </w:pPr>
      <w:r w:rsidRPr="005F1BEC">
        <w:rPr>
          <w:rFonts w:ascii="Arial" w:eastAsia="Times New Roman" w:hAnsi="Arial" w:cs="Arial"/>
          <w:lang w:bidi="ar"/>
        </w:rPr>
        <w:t xml:space="preserve">Table </w:t>
      </w:r>
      <w:r w:rsidR="003733BF">
        <w:rPr>
          <w:rFonts w:ascii="Arial" w:eastAsia="Times New Roman" w:hAnsi="Arial" w:cs="Arial"/>
          <w:lang w:bidi="ar"/>
        </w:rPr>
        <w:t>19</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(years in service).</w:t>
      </w:r>
    </w:p>
    <w:tbl>
      <w:tblPr>
        <w:tblW w:w="8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09"/>
        <w:gridCol w:w="1651"/>
        <w:gridCol w:w="1151"/>
        <w:gridCol w:w="1584"/>
        <w:gridCol w:w="1151"/>
        <w:gridCol w:w="1152"/>
      </w:tblGrid>
      <w:tr w:rsidR="005F1BEC" w:rsidRPr="005F1BEC" w14:paraId="6428F458" w14:textId="77777777" w:rsidTr="0037632B">
        <w:trPr>
          <w:cantSplit/>
          <w:trHeight w:val="228"/>
        </w:trPr>
        <w:tc>
          <w:tcPr>
            <w:tcW w:w="1909" w:type="dxa"/>
            <w:tcBorders>
              <w:top w:val="single" w:sz="4" w:space="0" w:color="auto"/>
              <w:left w:val="nil"/>
              <w:bottom w:val="single" w:sz="4" w:space="0" w:color="auto"/>
              <w:right w:val="nil"/>
            </w:tcBorders>
            <w:shd w:val="clear" w:color="auto" w:fill="FFFFFF"/>
            <w:vAlign w:val="bottom"/>
          </w:tcPr>
          <w:p w14:paraId="02391EEA" w14:textId="77777777" w:rsidR="005F1BEC" w:rsidRPr="005F1BEC" w:rsidRDefault="005F1BEC" w:rsidP="005F1BEC">
            <w:pPr>
              <w:autoSpaceDE w:val="0"/>
              <w:autoSpaceDN w:val="0"/>
              <w:adjustRightInd w:val="0"/>
              <w:jc w:val="both"/>
              <w:rPr>
                <w:rFonts w:ascii="Arial" w:eastAsia="DengXian" w:hAnsi="Arial" w:cs="Arial"/>
              </w:rPr>
            </w:pPr>
          </w:p>
        </w:tc>
        <w:tc>
          <w:tcPr>
            <w:tcW w:w="1651" w:type="dxa"/>
            <w:tcBorders>
              <w:top w:val="single" w:sz="4" w:space="0" w:color="auto"/>
              <w:left w:val="nil"/>
              <w:bottom w:val="single" w:sz="4" w:space="0" w:color="auto"/>
              <w:right w:val="nil"/>
            </w:tcBorders>
            <w:shd w:val="clear" w:color="auto" w:fill="FFFFFF"/>
            <w:vAlign w:val="center"/>
          </w:tcPr>
          <w:p w14:paraId="646397D3"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Sum of Squares</w:t>
            </w:r>
          </w:p>
        </w:tc>
        <w:tc>
          <w:tcPr>
            <w:tcW w:w="1151" w:type="dxa"/>
            <w:tcBorders>
              <w:top w:val="single" w:sz="4" w:space="0" w:color="auto"/>
              <w:left w:val="nil"/>
              <w:bottom w:val="single" w:sz="4" w:space="0" w:color="auto"/>
              <w:right w:val="nil"/>
            </w:tcBorders>
            <w:shd w:val="clear" w:color="auto" w:fill="FFFFFF"/>
            <w:vAlign w:val="center"/>
          </w:tcPr>
          <w:p w14:paraId="5BC468E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df</w:t>
            </w:r>
          </w:p>
        </w:tc>
        <w:tc>
          <w:tcPr>
            <w:tcW w:w="1584" w:type="dxa"/>
            <w:tcBorders>
              <w:top w:val="single" w:sz="4" w:space="0" w:color="auto"/>
              <w:left w:val="nil"/>
              <w:bottom w:val="single" w:sz="4" w:space="0" w:color="auto"/>
              <w:right w:val="nil"/>
            </w:tcBorders>
            <w:shd w:val="clear" w:color="auto" w:fill="FFFFFF"/>
            <w:vAlign w:val="center"/>
          </w:tcPr>
          <w:p w14:paraId="18FA0C7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Mean Square</w:t>
            </w:r>
          </w:p>
        </w:tc>
        <w:tc>
          <w:tcPr>
            <w:tcW w:w="1151" w:type="dxa"/>
            <w:tcBorders>
              <w:top w:val="single" w:sz="4" w:space="0" w:color="auto"/>
              <w:left w:val="nil"/>
              <w:bottom w:val="single" w:sz="4" w:space="0" w:color="auto"/>
              <w:right w:val="nil"/>
            </w:tcBorders>
            <w:shd w:val="clear" w:color="auto" w:fill="FFFFFF"/>
            <w:vAlign w:val="center"/>
          </w:tcPr>
          <w:p w14:paraId="4BBCE5D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F</w:t>
            </w:r>
          </w:p>
        </w:tc>
        <w:tc>
          <w:tcPr>
            <w:tcW w:w="1152" w:type="dxa"/>
            <w:tcBorders>
              <w:top w:val="single" w:sz="4" w:space="0" w:color="auto"/>
              <w:left w:val="nil"/>
              <w:bottom w:val="single" w:sz="4" w:space="0" w:color="auto"/>
              <w:right w:val="nil"/>
            </w:tcBorders>
            <w:shd w:val="clear" w:color="auto" w:fill="FFFFFF"/>
            <w:vAlign w:val="center"/>
          </w:tcPr>
          <w:p w14:paraId="28C9E37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Sig.</w:t>
            </w:r>
          </w:p>
        </w:tc>
      </w:tr>
      <w:tr w:rsidR="005F1BEC" w:rsidRPr="005F1BEC" w14:paraId="138D7430" w14:textId="77777777" w:rsidTr="0037632B">
        <w:trPr>
          <w:cantSplit/>
          <w:trHeight w:val="355"/>
        </w:trPr>
        <w:tc>
          <w:tcPr>
            <w:tcW w:w="1909" w:type="dxa"/>
            <w:tcBorders>
              <w:top w:val="single" w:sz="4" w:space="0" w:color="auto"/>
              <w:left w:val="nil"/>
              <w:bottom w:val="single" w:sz="4" w:space="0" w:color="auto"/>
              <w:right w:val="nil"/>
            </w:tcBorders>
            <w:shd w:val="clear" w:color="auto" w:fill="FFFFFF"/>
            <w:vAlign w:val="center"/>
          </w:tcPr>
          <w:p w14:paraId="1232CE2E"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Between Groups</w:t>
            </w:r>
          </w:p>
        </w:tc>
        <w:tc>
          <w:tcPr>
            <w:tcW w:w="1651" w:type="dxa"/>
            <w:tcBorders>
              <w:top w:val="single" w:sz="4" w:space="0" w:color="auto"/>
              <w:left w:val="nil"/>
              <w:bottom w:val="single" w:sz="4" w:space="0" w:color="auto"/>
              <w:right w:val="nil"/>
            </w:tcBorders>
            <w:shd w:val="clear" w:color="auto" w:fill="FFFFFF"/>
            <w:vAlign w:val="center"/>
          </w:tcPr>
          <w:p w14:paraId="421C780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0.532</w:t>
            </w:r>
          </w:p>
        </w:tc>
        <w:tc>
          <w:tcPr>
            <w:tcW w:w="1151" w:type="dxa"/>
            <w:tcBorders>
              <w:top w:val="single" w:sz="4" w:space="0" w:color="auto"/>
              <w:left w:val="nil"/>
              <w:bottom w:val="single" w:sz="4" w:space="0" w:color="auto"/>
              <w:right w:val="nil"/>
            </w:tcBorders>
            <w:shd w:val="clear" w:color="auto" w:fill="FFFFFF"/>
            <w:vAlign w:val="center"/>
          </w:tcPr>
          <w:p w14:paraId="5934882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w:t>
            </w:r>
          </w:p>
        </w:tc>
        <w:tc>
          <w:tcPr>
            <w:tcW w:w="1584" w:type="dxa"/>
            <w:tcBorders>
              <w:top w:val="single" w:sz="4" w:space="0" w:color="auto"/>
              <w:left w:val="nil"/>
              <w:bottom w:val="single" w:sz="4" w:space="0" w:color="auto"/>
              <w:right w:val="nil"/>
            </w:tcBorders>
            <w:shd w:val="clear" w:color="auto" w:fill="FFFFFF"/>
            <w:vAlign w:val="center"/>
          </w:tcPr>
          <w:p w14:paraId="4F58B03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0.177</w:t>
            </w:r>
          </w:p>
        </w:tc>
        <w:tc>
          <w:tcPr>
            <w:tcW w:w="1151" w:type="dxa"/>
            <w:tcBorders>
              <w:top w:val="single" w:sz="4" w:space="0" w:color="auto"/>
              <w:left w:val="nil"/>
              <w:bottom w:val="single" w:sz="4" w:space="0" w:color="auto"/>
              <w:right w:val="nil"/>
            </w:tcBorders>
            <w:shd w:val="clear" w:color="auto" w:fill="FFFFFF"/>
            <w:vAlign w:val="center"/>
          </w:tcPr>
          <w:p w14:paraId="186DED1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1.475</w:t>
            </w:r>
          </w:p>
        </w:tc>
        <w:tc>
          <w:tcPr>
            <w:tcW w:w="1152" w:type="dxa"/>
            <w:tcBorders>
              <w:top w:val="single" w:sz="4" w:space="0" w:color="auto"/>
              <w:left w:val="nil"/>
              <w:bottom w:val="single" w:sz="4" w:space="0" w:color="auto"/>
              <w:right w:val="nil"/>
            </w:tcBorders>
            <w:shd w:val="clear" w:color="auto" w:fill="FFFFFF"/>
            <w:vAlign w:val="center"/>
          </w:tcPr>
          <w:p w14:paraId="4C2DC93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0.239</w:t>
            </w:r>
          </w:p>
        </w:tc>
      </w:tr>
      <w:tr w:rsidR="005F1BEC" w:rsidRPr="005F1BEC" w14:paraId="6CCDF4F8" w14:textId="77777777" w:rsidTr="0037632B">
        <w:trPr>
          <w:cantSplit/>
          <w:trHeight w:val="172"/>
        </w:trPr>
        <w:tc>
          <w:tcPr>
            <w:tcW w:w="1909" w:type="dxa"/>
            <w:tcBorders>
              <w:top w:val="single" w:sz="4" w:space="0" w:color="auto"/>
              <w:left w:val="nil"/>
              <w:bottom w:val="single" w:sz="4" w:space="0" w:color="auto"/>
              <w:right w:val="nil"/>
            </w:tcBorders>
            <w:shd w:val="clear" w:color="auto" w:fill="FFFFFF"/>
            <w:vAlign w:val="center"/>
          </w:tcPr>
          <w:p w14:paraId="34AF1F2B"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Within Groups</w:t>
            </w:r>
          </w:p>
        </w:tc>
        <w:tc>
          <w:tcPr>
            <w:tcW w:w="1651" w:type="dxa"/>
            <w:tcBorders>
              <w:top w:val="single" w:sz="4" w:space="0" w:color="auto"/>
              <w:left w:val="nil"/>
              <w:bottom w:val="single" w:sz="4" w:space="0" w:color="auto"/>
              <w:right w:val="nil"/>
            </w:tcBorders>
            <w:shd w:val="clear" w:color="auto" w:fill="FFFFFF"/>
            <w:vAlign w:val="center"/>
          </w:tcPr>
          <w:p w14:paraId="3D4B844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3.966</w:t>
            </w:r>
          </w:p>
        </w:tc>
        <w:tc>
          <w:tcPr>
            <w:tcW w:w="1151" w:type="dxa"/>
            <w:tcBorders>
              <w:top w:val="single" w:sz="4" w:space="0" w:color="auto"/>
              <w:left w:val="nil"/>
              <w:bottom w:val="single" w:sz="4" w:space="0" w:color="auto"/>
              <w:right w:val="nil"/>
            </w:tcBorders>
            <w:shd w:val="clear" w:color="auto" w:fill="FFFFFF"/>
            <w:vAlign w:val="center"/>
          </w:tcPr>
          <w:p w14:paraId="151E282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33</w:t>
            </w:r>
          </w:p>
        </w:tc>
        <w:tc>
          <w:tcPr>
            <w:tcW w:w="1584" w:type="dxa"/>
            <w:tcBorders>
              <w:top w:val="single" w:sz="4" w:space="0" w:color="auto"/>
              <w:left w:val="nil"/>
              <w:bottom w:val="single" w:sz="4" w:space="0" w:color="auto"/>
              <w:right w:val="nil"/>
            </w:tcBorders>
            <w:shd w:val="clear" w:color="auto" w:fill="FFFFFF"/>
            <w:vAlign w:val="center"/>
          </w:tcPr>
          <w:p w14:paraId="40F6446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0.120</w:t>
            </w:r>
          </w:p>
        </w:tc>
        <w:tc>
          <w:tcPr>
            <w:tcW w:w="1151" w:type="dxa"/>
            <w:tcBorders>
              <w:top w:val="single" w:sz="4" w:space="0" w:color="auto"/>
              <w:left w:val="nil"/>
              <w:bottom w:val="single" w:sz="4" w:space="0" w:color="auto"/>
              <w:right w:val="nil"/>
            </w:tcBorders>
            <w:shd w:val="clear" w:color="auto" w:fill="FFFFFF"/>
            <w:vAlign w:val="center"/>
          </w:tcPr>
          <w:p w14:paraId="42AA9854" w14:textId="77777777" w:rsidR="005F1BEC" w:rsidRPr="005F1BEC" w:rsidRDefault="005F1BEC" w:rsidP="005F1BEC">
            <w:pPr>
              <w:autoSpaceDE w:val="0"/>
              <w:autoSpaceDN w:val="0"/>
              <w:adjustRightInd w:val="0"/>
              <w:jc w:val="center"/>
              <w:rPr>
                <w:rFonts w:ascii="Arial" w:eastAsia="DengXian" w:hAnsi="Arial" w:cs="Arial"/>
              </w:rPr>
            </w:pPr>
          </w:p>
        </w:tc>
        <w:tc>
          <w:tcPr>
            <w:tcW w:w="1152" w:type="dxa"/>
            <w:tcBorders>
              <w:top w:val="single" w:sz="4" w:space="0" w:color="auto"/>
              <w:left w:val="nil"/>
              <w:bottom w:val="single" w:sz="4" w:space="0" w:color="auto"/>
              <w:right w:val="nil"/>
            </w:tcBorders>
            <w:shd w:val="clear" w:color="auto" w:fill="FFFFFF"/>
            <w:vAlign w:val="center"/>
          </w:tcPr>
          <w:p w14:paraId="25A2ACDA" w14:textId="77777777" w:rsidR="005F1BEC" w:rsidRPr="005F1BEC" w:rsidRDefault="005F1BEC" w:rsidP="005F1BEC">
            <w:pPr>
              <w:autoSpaceDE w:val="0"/>
              <w:autoSpaceDN w:val="0"/>
              <w:adjustRightInd w:val="0"/>
              <w:jc w:val="center"/>
              <w:rPr>
                <w:rFonts w:ascii="Arial" w:eastAsia="DengXian" w:hAnsi="Arial" w:cs="Arial"/>
              </w:rPr>
            </w:pPr>
          </w:p>
        </w:tc>
      </w:tr>
      <w:tr w:rsidR="005F1BEC" w:rsidRPr="005F1BEC" w14:paraId="62328C6E" w14:textId="77777777" w:rsidTr="0037632B">
        <w:trPr>
          <w:cantSplit/>
          <w:trHeight w:val="240"/>
        </w:trPr>
        <w:tc>
          <w:tcPr>
            <w:tcW w:w="1909" w:type="dxa"/>
            <w:tcBorders>
              <w:top w:val="single" w:sz="4" w:space="0" w:color="auto"/>
              <w:left w:val="nil"/>
              <w:bottom w:val="single" w:sz="4" w:space="0" w:color="auto"/>
              <w:right w:val="nil"/>
            </w:tcBorders>
            <w:shd w:val="clear" w:color="auto" w:fill="FFFFFF"/>
            <w:vAlign w:val="center"/>
          </w:tcPr>
          <w:p w14:paraId="343BBCC4"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Total</w:t>
            </w:r>
          </w:p>
        </w:tc>
        <w:tc>
          <w:tcPr>
            <w:tcW w:w="1651" w:type="dxa"/>
            <w:tcBorders>
              <w:top w:val="single" w:sz="4" w:space="0" w:color="auto"/>
              <w:left w:val="nil"/>
              <w:bottom w:val="single" w:sz="4" w:space="0" w:color="auto"/>
              <w:right w:val="nil"/>
            </w:tcBorders>
            <w:shd w:val="clear" w:color="auto" w:fill="FFFFFF"/>
            <w:vAlign w:val="center"/>
          </w:tcPr>
          <w:p w14:paraId="72C5699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4.497</w:t>
            </w:r>
          </w:p>
        </w:tc>
        <w:tc>
          <w:tcPr>
            <w:tcW w:w="1151" w:type="dxa"/>
            <w:tcBorders>
              <w:top w:val="single" w:sz="4" w:space="0" w:color="auto"/>
              <w:left w:val="nil"/>
              <w:bottom w:val="single" w:sz="4" w:space="0" w:color="auto"/>
              <w:right w:val="nil"/>
            </w:tcBorders>
            <w:shd w:val="clear" w:color="auto" w:fill="FFFFFF"/>
            <w:vAlign w:val="center"/>
          </w:tcPr>
          <w:p w14:paraId="1A71B80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36</w:t>
            </w:r>
          </w:p>
        </w:tc>
        <w:tc>
          <w:tcPr>
            <w:tcW w:w="1584" w:type="dxa"/>
            <w:tcBorders>
              <w:top w:val="single" w:sz="4" w:space="0" w:color="auto"/>
              <w:left w:val="nil"/>
              <w:bottom w:val="single" w:sz="4" w:space="0" w:color="auto"/>
              <w:right w:val="nil"/>
            </w:tcBorders>
            <w:shd w:val="clear" w:color="auto" w:fill="FFFFFF"/>
            <w:vAlign w:val="center"/>
          </w:tcPr>
          <w:p w14:paraId="17ACBD88" w14:textId="77777777" w:rsidR="005F1BEC" w:rsidRPr="005F1BEC" w:rsidRDefault="005F1BEC" w:rsidP="005F1BEC">
            <w:pPr>
              <w:autoSpaceDE w:val="0"/>
              <w:autoSpaceDN w:val="0"/>
              <w:adjustRightInd w:val="0"/>
              <w:jc w:val="center"/>
              <w:rPr>
                <w:rFonts w:ascii="Arial" w:eastAsia="DengXian" w:hAnsi="Arial" w:cs="Arial"/>
              </w:rPr>
            </w:pPr>
          </w:p>
        </w:tc>
        <w:tc>
          <w:tcPr>
            <w:tcW w:w="1151" w:type="dxa"/>
            <w:tcBorders>
              <w:top w:val="single" w:sz="4" w:space="0" w:color="auto"/>
              <w:left w:val="nil"/>
              <w:bottom w:val="single" w:sz="4" w:space="0" w:color="auto"/>
              <w:right w:val="nil"/>
            </w:tcBorders>
            <w:shd w:val="clear" w:color="auto" w:fill="FFFFFF"/>
            <w:vAlign w:val="center"/>
          </w:tcPr>
          <w:p w14:paraId="58EFC29A" w14:textId="77777777" w:rsidR="005F1BEC" w:rsidRPr="005F1BEC" w:rsidRDefault="005F1BEC" w:rsidP="005F1BEC">
            <w:pPr>
              <w:autoSpaceDE w:val="0"/>
              <w:autoSpaceDN w:val="0"/>
              <w:adjustRightInd w:val="0"/>
              <w:jc w:val="center"/>
              <w:rPr>
                <w:rFonts w:ascii="Arial" w:eastAsia="DengXian" w:hAnsi="Arial" w:cs="Arial"/>
              </w:rPr>
            </w:pPr>
          </w:p>
        </w:tc>
        <w:tc>
          <w:tcPr>
            <w:tcW w:w="1152" w:type="dxa"/>
            <w:tcBorders>
              <w:top w:val="single" w:sz="4" w:space="0" w:color="auto"/>
              <w:left w:val="nil"/>
              <w:bottom w:val="single" w:sz="4" w:space="0" w:color="auto"/>
              <w:right w:val="nil"/>
            </w:tcBorders>
            <w:shd w:val="clear" w:color="auto" w:fill="FFFFFF"/>
            <w:vAlign w:val="center"/>
          </w:tcPr>
          <w:p w14:paraId="010970A1" w14:textId="77777777" w:rsidR="005F1BEC" w:rsidRPr="005F1BEC" w:rsidRDefault="005F1BEC" w:rsidP="005F1BEC">
            <w:pPr>
              <w:autoSpaceDE w:val="0"/>
              <w:autoSpaceDN w:val="0"/>
              <w:adjustRightInd w:val="0"/>
              <w:jc w:val="center"/>
              <w:rPr>
                <w:rFonts w:ascii="Arial" w:eastAsia="DengXian" w:hAnsi="Arial" w:cs="Arial"/>
              </w:rPr>
            </w:pPr>
          </w:p>
        </w:tc>
      </w:tr>
    </w:tbl>
    <w:p w14:paraId="48423DCA" w14:textId="77777777" w:rsidR="005F1BEC" w:rsidRPr="005F1BEC" w:rsidRDefault="005F1BEC" w:rsidP="005F1BEC">
      <w:pPr>
        <w:ind w:firstLine="720"/>
        <w:jc w:val="both"/>
        <w:rPr>
          <w:rFonts w:ascii="Arial" w:eastAsia="Times New Roman" w:hAnsi="Arial" w:cs="Arial"/>
          <w:bCs/>
          <w:lang w:bidi="ar"/>
        </w:rPr>
      </w:pPr>
    </w:p>
    <w:p w14:paraId="34877834" w14:textId="2EB31922" w:rsidR="002200F1" w:rsidRDefault="002200F1" w:rsidP="005F1BEC">
      <w:pPr>
        <w:ind w:firstLine="720"/>
        <w:jc w:val="both"/>
        <w:rPr>
          <w:rFonts w:ascii="Arial" w:eastAsia="Times New Roman" w:hAnsi="Arial" w:cs="Arial"/>
          <w:bCs/>
          <w:lang w:bidi="ar"/>
        </w:rPr>
      </w:pPr>
      <w:r w:rsidRPr="002200F1">
        <w:rPr>
          <w:rFonts w:ascii="Arial" w:eastAsia="Times New Roman" w:hAnsi="Arial" w:cs="Arial"/>
          <w:bCs/>
          <w:lang w:bidi="ar"/>
        </w:rPr>
        <w:t xml:space="preserve">Similarly, </w:t>
      </w:r>
      <w:proofErr w:type="spellStart"/>
      <w:r w:rsidRPr="002200F1">
        <w:rPr>
          <w:rFonts w:ascii="Arial" w:eastAsia="Times New Roman" w:hAnsi="Arial" w:cs="Arial"/>
          <w:bCs/>
          <w:lang w:bidi="ar"/>
        </w:rPr>
        <w:t>Trygstad</w:t>
      </w:r>
      <w:proofErr w:type="spellEnd"/>
      <w:r w:rsidRPr="002200F1">
        <w:rPr>
          <w:rFonts w:ascii="Arial" w:eastAsia="Times New Roman" w:hAnsi="Arial" w:cs="Arial"/>
          <w:bCs/>
          <w:lang w:bidi="ar"/>
        </w:rPr>
        <w:t xml:space="preserve"> (2020) found no significant difference in feedback reliability between novice and veteran science educators when institutional training was in place. Williams and Hebert (2020) emphasized that evaluation systems are most effective when guided by shared standards, regardless of evaluator tenure. </w:t>
      </w:r>
      <w:proofErr w:type="spellStart"/>
      <w:r w:rsidRPr="002200F1">
        <w:rPr>
          <w:rFonts w:ascii="Arial" w:eastAsia="Times New Roman" w:hAnsi="Arial" w:cs="Arial"/>
          <w:bCs/>
          <w:lang w:bidi="ar"/>
        </w:rPr>
        <w:t>Losser</w:t>
      </w:r>
      <w:proofErr w:type="spellEnd"/>
      <w:r w:rsidRPr="002200F1">
        <w:rPr>
          <w:rFonts w:ascii="Arial" w:eastAsia="Times New Roman" w:hAnsi="Arial" w:cs="Arial"/>
          <w:bCs/>
          <w:lang w:bidi="ar"/>
        </w:rPr>
        <w:t xml:space="preserve"> et al. (2018) also reported aligned evaluation outcomes across experience levels due to professional development. Kraft and Gilmour (2016) concluded that consistency in evaluations depends more on system design and leadership than on evaluator experience.</w:t>
      </w:r>
    </w:p>
    <w:p w14:paraId="27D7F8BB" w14:textId="77777777" w:rsidR="002200F1" w:rsidRPr="005F1BEC" w:rsidRDefault="002200F1" w:rsidP="005F1BEC">
      <w:pPr>
        <w:ind w:firstLine="720"/>
        <w:jc w:val="both"/>
        <w:rPr>
          <w:rFonts w:ascii="Arial" w:eastAsia="Times New Roman" w:hAnsi="Arial" w:cs="Arial"/>
          <w:bCs/>
        </w:rPr>
      </w:pPr>
    </w:p>
    <w:p w14:paraId="073EFA8E" w14:textId="77777777" w:rsidR="005F1BEC" w:rsidRPr="005F1BEC" w:rsidRDefault="005F1BEC" w:rsidP="005F1BEC">
      <w:pPr>
        <w:widowControl w:val="0"/>
        <w:autoSpaceDE w:val="0"/>
        <w:autoSpaceDN w:val="0"/>
        <w:jc w:val="both"/>
        <w:rPr>
          <w:rFonts w:ascii="Arial" w:eastAsia="Times New Roman" w:hAnsi="Arial" w:cs="Arial"/>
        </w:rPr>
      </w:pPr>
      <w:r w:rsidRPr="005F1BEC">
        <w:rPr>
          <w:rFonts w:ascii="Arial" w:eastAsia="Times New Roman" w:hAnsi="Arial" w:cs="Arial"/>
          <w:b/>
          <w:bCs/>
        </w:rPr>
        <w:t>Differences in Employer Feedback in Terms of District</w:t>
      </w:r>
    </w:p>
    <w:p w14:paraId="161EC652" w14:textId="77777777" w:rsidR="005F1BEC" w:rsidRPr="005F1BEC" w:rsidRDefault="005F1BEC" w:rsidP="005F1BEC">
      <w:pPr>
        <w:widowControl w:val="0"/>
        <w:autoSpaceDE w:val="0"/>
        <w:autoSpaceDN w:val="0"/>
        <w:ind w:firstLine="720"/>
        <w:jc w:val="both"/>
        <w:rPr>
          <w:rFonts w:ascii="Arial" w:eastAsia="Times New Roman" w:hAnsi="Arial" w:cs="Arial"/>
        </w:rPr>
      </w:pPr>
      <w:proofErr w:type="gramStart"/>
      <w:r w:rsidRPr="005F1BEC">
        <w:rPr>
          <w:rFonts w:ascii="Arial" w:eastAsia="Times New Roman" w:hAnsi="Arial" w:cs="Arial"/>
        </w:rPr>
        <w:t>The  ANOVA</w:t>
      </w:r>
      <w:proofErr w:type="gramEnd"/>
      <w:r w:rsidRPr="005F1BEC">
        <w:rPr>
          <w:rFonts w:ascii="Arial" w:eastAsia="Times New Roman" w:hAnsi="Arial" w:cs="Arial"/>
        </w:rPr>
        <w:t xml:space="preserve"> result (F = 0.620, p = .607) reveals no significant difference in feedback across district groupings, suggesting a high degree of consistency in how BEED graduates are evaluated regardless of school location. This supports the implication that employer perceptions remain stable across geographic divisions, reinforcing the credibility of the feedback. </w:t>
      </w:r>
    </w:p>
    <w:p w14:paraId="35AAFC20" w14:textId="3A589AD9"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20</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(district).</w:t>
      </w:r>
    </w:p>
    <w:tbl>
      <w:tblPr>
        <w:tblW w:w="8657" w:type="dxa"/>
        <w:tblBorders>
          <w:top w:val="single" w:sz="2" w:space="0" w:color="FFFFFF"/>
          <w:left w:val="single" w:sz="2" w:space="0" w:color="FFFFFF"/>
          <w:bottom w:val="single" w:sz="2" w:space="0" w:color="FFFFFF"/>
          <w:right w:val="single" w:sz="2" w:space="0" w:color="FFFFFF"/>
        </w:tblBorders>
        <w:tblLayout w:type="fixed"/>
        <w:tblCellMar>
          <w:left w:w="0" w:type="dxa"/>
          <w:right w:w="0" w:type="dxa"/>
        </w:tblCellMar>
        <w:tblLook w:val="04A0" w:firstRow="1" w:lastRow="0" w:firstColumn="1" w:lastColumn="0" w:noHBand="0" w:noVBand="1"/>
      </w:tblPr>
      <w:tblGrid>
        <w:gridCol w:w="1923"/>
        <w:gridCol w:w="1663"/>
        <w:gridCol w:w="1159"/>
        <w:gridCol w:w="1594"/>
        <w:gridCol w:w="1159"/>
        <w:gridCol w:w="1159"/>
      </w:tblGrid>
      <w:tr w:rsidR="005F1BEC" w:rsidRPr="005F1BEC" w14:paraId="0EEA305E" w14:textId="77777777" w:rsidTr="0037632B">
        <w:trPr>
          <w:cantSplit/>
          <w:trHeight w:val="502"/>
        </w:trPr>
        <w:tc>
          <w:tcPr>
            <w:tcW w:w="1923" w:type="dxa"/>
            <w:tcBorders>
              <w:top w:val="single" w:sz="4" w:space="0" w:color="auto"/>
              <w:left w:val="nil"/>
              <w:bottom w:val="single" w:sz="4" w:space="0" w:color="auto"/>
              <w:right w:val="nil"/>
              <w:tl2br w:val="nil"/>
              <w:tr2bl w:val="nil"/>
            </w:tcBorders>
            <w:shd w:val="clear" w:color="auto" w:fill="FFFFFF"/>
            <w:vAlign w:val="bottom"/>
          </w:tcPr>
          <w:p w14:paraId="7B972446" w14:textId="77777777" w:rsidR="005F1BEC" w:rsidRPr="005F1BEC" w:rsidRDefault="005F1BEC" w:rsidP="005F1BEC">
            <w:pPr>
              <w:autoSpaceDE w:val="0"/>
              <w:autoSpaceDN w:val="0"/>
              <w:adjustRightInd w:val="0"/>
              <w:jc w:val="both"/>
              <w:rPr>
                <w:rFonts w:ascii="Arial" w:eastAsia="DengXian" w:hAnsi="Arial" w:cs="Arial"/>
                <w:color w:val="000000"/>
              </w:rPr>
            </w:pPr>
          </w:p>
        </w:tc>
        <w:tc>
          <w:tcPr>
            <w:tcW w:w="1663" w:type="dxa"/>
            <w:tcBorders>
              <w:top w:val="single" w:sz="4" w:space="0" w:color="auto"/>
              <w:left w:val="nil"/>
              <w:bottom w:val="single" w:sz="4" w:space="0" w:color="auto"/>
              <w:right w:val="nil"/>
              <w:tl2br w:val="nil"/>
              <w:tr2bl w:val="nil"/>
            </w:tcBorders>
            <w:shd w:val="clear" w:color="auto" w:fill="FFFFFF"/>
            <w:vAlign w:val="bottom"/>
          </w:tcPr>
          <w:p w14:paraId="70578AA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Sum of Squares</w:t>
            </w:r>
          </w:p>
        </w:tc>
        <w:tc>
          <w:tcPr>
            <w:tcW w:w="1159" w:type="dxa"/>
            <w:tcBorders>
              <w:top w:val="single" w:sz="4" w:space="0" w:color="auto"/>
              <w:left w:val="nil"/>
              <w:bottom w:val="single" w:sz="4" w:space="0" w:color="auto"/>
              <w:right w:val="nil"/>
              <w:tl2br w:val="nil"/>
              <w:tr2bl w:val="nil"/>
            </w:tcBorders>
            <w:shd w:val="clear" w:color="auto" w:fill="FFFFFF"/>
            <w:vAlign w:val="bottom"/>
          </w:tcPr>
          <w:p w14:paraId="696F71B3"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df</w:t>
            </w:r>
          </w:p>
        </w:tc>
        <w:tc>
          <w:tcPr>
            <w:tcW w:w="1594" w:type="dxa"/>
            <w:tcBorders>
              <w:top w:val="single" w:sz="4" w:space="0" w:color="auto"/>
              <w:left w:val="nil"/>
              <w:bottom w:val="single" w:sz="4" w:space="0" w:color="auto"/>
              <w:right w:val="nil"/>
              <w:tl2br w:val="nil"/>
              <w:tr2bl w:val="nil"/>
            </w:tcBorders>
            <w:shd w:val="clear" w:color="auto" w:fill="FFFFFF"/>
            <w:vAlign w:val="bottom"/>
          </w:tcPr>
          <w:p w14:paraId="7369C70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Mean Square</w:t>
            </w:r>
          </w:p>
        </w:tc>
        <w:tc>
          <w:tcPr>
            <w:tcW w:w="1159" w:type="dxa"/>
            <w:tcBorders>
              <w:top w:val="single" w:sz="4" w:space="0" w:color="auto"/>
              <w:left w:val="nil"/>
              <w:bottom w:val="single" w:sz="4" w:space="0" w:color="auto"/>
              <w:right w:val="nil"/>
              <w:tl2br w:val="nil"/>
              <w:tr2bl w:val="nil"/>
            </w:tcBorders>
            <w:shd w:val="clear" w:color="auto" w:fill="FFFFFF"/>
            <w:vAlign w:val="bottom"/>
          </w:tcPr>
          <w:p w14:paraId="3C06348F"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F</w:t>
            </w:r>
          </w:p>
        </w:tc>
        <w:tc>
          <w:tcPr>
            <w:tcW w:w="1159" w:type="dxa"/>
            <w:tcBorders>
              <w:top w:val="single" w:sz="4" w:space="0" w:color="auto"/>
              <w:left w:val="nil"/>
              <w:bottom w:val="single" w:sz="4" w:space="0" w:color="auto"/>
              <w:right w:val="nil"/>
              <w:tl2br w:val="nil"/>
              <w:tr2bl w:val="nil"/>
            </w:tcBorders>
            <w:shd w:val="clear" w:color="auto" w:fill="FFFFFF"/>
            <w:vAlign w:val="bottom"/>
          </w:tcPr>
          <w:p w14:paraId="551B2F16"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Sig.</w:t>
            </w:r>
          </w:p>
        </w:tc>
      </w:tr>
      <w:tr w:rsidR="005F1BEC" w:rsidRPr="005F1BEC" w14:paraId="1CD21180" w14:textId="77777777" w:rsidTr="0037632B">
        <w:trPr>
          <w:cantSplit/>
          <w:trHeight w:val="502"/>
        </w:trPr>
        <w:tc>
          <w:tcPr>
            <w:tcW w:w="1923" w:type="dxa"/>
            <w:tcBorders>
              <w:top w:val="single" w:sz="4" w:space="0" w:color="auto"/>
              <w:left w:val="nil"/>
              <w:bottom w:val="single" w:sz="4" w:space="0" w:color="auto"/>
              <w:right w:val="nil"/>
              <w:tl2br w:val="nil"/>
              <w:tr2bl w:val="nil"/>
            </w:tcBorders>
            <w:shd w:val="clear" w:color="auto" w:fill="FFFFFF"/>
            <w:vAlign w:val="center"/>
          </w:tcPr>
          <w:p w14:paraId="494E43AA"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Between Groups</w:t>
            </w:r>
          </w:p>
        </w:tc>
        <w:tc>
          <w:tcPr>
            <w:tcW w:w="1663" w:type="dxa"/>
            <w:tcBorders>
              <w:top w:val="single" w:sz="4" w:space="0" w:color="auto"/>
              <w:left w:val="nil"/>
              <w:bottom w:val="single" w:sz="4" w:space="0" w:color="auto"/>
              <w:right w:val="nil"/>
              <w:tl2br w:val="nil"/>
              <w:tr2bl w:val="nil"/>
            </w:tcBorders>
            <w:shd w:val="clear" w:color="auto" w:fill="FFFFFF"/>
            <w:vAlign w:val="center"/>
          </w:tcPr>
          <w:p w14:paraId="5A86AF7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0.240</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7C0658D8"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w:t>
            </w:r>
          </w:p>
        </w:tc>
        <w:tc>
          <w:tcPr>
            <w:tcW w:w="1594" w:type="dxa"/>
            <w:tcBorders>
              <w:top w:val="single" w:sz="4" w:space="0" w:color="auto"/>
              <w:left w:val="nil"/>
              <w:bottom w:val="single" w:sz="4" w:space="0" w:color="auto"/>
              <w:right w:val="nil"/>
              <w:tl2br w:val="nil"/>
              <w:tr2bl w:val="nil"/>
            </w:tcBorders>
            <w:shd w:val="clear" w:color="auto" w:fill="FFFFFF"/>
            <w:vAlign w:val="center"/>
          </w:tcPr>
          <w:p w14:paraId="1A8B56E6"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0.080</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6E9175E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0.620</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5D65935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0.607</w:t>
            </w:r>
          </w:p>
        </w:tc>
      </w:tr>
      <w:tr w:rsidR="005F1BEC" w:rsidRPr="005F1BEC" w14:paraId="40A01933" w14:textId="77777777" w:rsidTr="0037632B">
        <w:trPr>
          <w:cantSplit/>
          <w:trHeight w:val="401"/>
        </w:trPr>
        <w:tc>
          <w:tcPr>
            <w:tcW w:w="1923" w:type="dxa"/>
            <w:tcBorders>
              <w:top w:val="single" w:sz="4" w:space="0" w:color="auto"/>
              <w:left w:val="nil"/>
              <w:bottom w:val="single" w:sz="4" w:space="0" w:color="auto"/>
              <w:right w:val="nil"/>
              <w:tl2br w:val="nil"/>
              <w:tr2bl w:val="nil"/>
            </w:tcBorders>
            <w:shd w:val="clear" w:color="auto" w:fill="FFFFFF"/>
            <w:vAlign w:val="center"/>
          </w:tcPr>
          <w:p w14:paraId="41F62B60"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Within Groups</w:t>
            </w:r>
          </w:p>
        </w:tc>
        <w:tc>
          <w:tcPr>
            <w:tcW w:w="1663" w:type="dxa"/>
            <w:tcBorders>
              <w:top w:val="single" w:sz="4" w:space="0" w:color="auto"/>
              <w:left w:val="nil"/>
              <w:bottom w:val="single" w:sz="4" w:space="0" w:color="auto"/>
              <w:right w:val="nil"/>
              <w:tl2br w:val="nil"/>
              <w:tr2bl w:val="nil"/>
            </w:tcBorders>
            <w:shd w:val="clear" w:color="auto" w:fill="FFFFFF"/>
            <w:vAlign w:val="center"/>
          </w:tcPr>
          <w:p w14:paraId="1BEACD7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4.257</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19D9A5B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33</w:t>
            </w:r>
          </w:p>
        </w:tc>
        <w:tc>
          <w:tcPr>
            <w:tcW w:w="1594" w:type="dxa"/>
            <w:tcBorders>
              <w:top w:val="single" w:sz="4" w:space="0" w:color="auto"/>
              <w:left w:val="nil"/>
              <w:bottom w:val="single" w:sz="4" w:space="0" w:color="auto"/>
              <w:right w:val="nil"/>
              <w:tl2br w:val="nil"/>
              <w:tr2bl w:val="nil"/>
            </w:tcBorders>
            <w:shd w:val="clear" w:color="auto" w:fill="FFFFFF"/>
            <w:vAlign w:val="center"/>
          </w:tcPr>
          <w:p w14:paraId="4DB7935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0.129</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169BF7A7" w14:textId="77777777" w:rsidR="005F1BEC" w:rsidRPr="005F1BEC" w:rsidRDefault="005F1BEC" w:rsidP="005F1BEC">
            <w:pPr>
              <w:autoSpaceDE w:val="0"/>
              <w:autoSpaceDN w:val="0"/>
              <w:adjustRightInd w:val="0"/>
              <w:jc w:val="center"/>
              <w:rPr>
                <w:rFonts w:ascii="Arial" w:eastAsia="DengXian" w:hAnsi="Arial" w:cs="Arial"/>
                <w:color w:val="000000"/>
              </w:rPr>
            </w:pPr>
          </w:p>
        </w:tc>
        <w:tc>
          <w:tcPr>
            <w:tcW w:w="1159" w:type="dxa"/>
            <w:tcBorders>
              <w:top w:val="single" w:sz="4" w:space="0" w:color="auto"/>
              <w:left w:val="nil"/>
              <w:bottom w:val="single" w:sz="4" w:space="0" w:color="auto"/>
              <w:right w:val="nil"/>
              <w:tl2br w:val="nil"/>
              <w:tr2bl w:val="nil"/>
            </w:tcBorders>
            <w:shd w:val="clear" w:color="auto" w:fill="FFFFFF"/>
            <w:vAlign w:val="center"/>
          </w:tcPr>
          <w:p w14:paraId="787877FD" w14:textId="77777777" w:rsidR="005F1BEC" w:rsidRPr="005F1BEC" w:rsidRDefault="005F1BEC" w:rsidP="005F1BEC">
            <w:pPr>
              <w:autoSpaceDE w:val="0"/>
              <w:autoSpaceDN w:val="0"/>
              <w:adjustRightInd w:val="0"/>
              <w:jc w:val="center"/>
              <w:rPr>
                <w:rFonts w:ascii="Arial" w:eastAsia="DengXian" w:hAnsi="Arial" w:cs="Arial"/>
                <w:color w:val="000000"/>
              </w:rPr>
            </w:pPr>
          </w:p>
        </w:tc>
      </w:tr>
      <w:tr w:rsidR="005F1BEC" w:rsidRPr="005F1BEC" w14:paraId="274AC52A" w14:textId="77777777" w:rsidTr="0037632B">
        <w:trPr>
          <w:cantSplit/>
          <w:trHeight w:val="311"/>
        </w:trPr>
        <w:tc>
          <w:tcPr>
            <w:tcW w:w="1923" w:type="dxa"/>
            <w:tcBorders>
              <w:top w:val="single" w:sz="4" w:space="0" w:color="auto"/>
              <w:left w:val="nil"/>
              <w:bottom w:val="single" w:sz="4" w:space="0" w:color="auto"/>
              <w:right w:val="nil"/>
              <w:tl2br w:val="nil"/>
              <w:tr2bl w:val="nil"/>
            </w:tcBorders>
            <w:shd w:val="clear" w:color="auto" w:fill="FFFFFF"/>
            <w:vAlign w:val="center"/>
          </w:tcPr>
          <w:p w14:paraId="58F38FC5"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Total</w:t>
            </w:r>
          </w:p>
        </w:tc>
        <w:tc>
          <w:tcPr>
            <w:tcW w:w="1663" w:type="dxa"/>
            <w:tcBorders>
              <w:top w:val="single" w:sz="4" w:space="0" w:color="auto"/>
              <w:left w:val="nil"/>
              <w:bottom w:val="single" w:sz="4" w:space="0" w:color="auto"/>
              <w:right w:val="nil"/>
              <w:tl2br w:val="nil"/>
              <w:tr2bl w:val="nil"/>
            </w:tcBorders>
            <w:shd w:val="clear" w:color="auto" w:fill="FFFFFF"/>
            <w:vAlign w:val="center"/>
          </w:tcPr>
          <w:p w14:paraId="12DF5508"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4.497</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1CCDCCE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36</w:t>
            </w:r>
          </w:p>
        </w:tc>
        <w:tc>
          <w:tcPr>
            <w:tcW w:w="1594" w:type="dxa"/>
            <w:tcBorders>
              <w:top w:val="single" w:sz="4" w:space="0" w:color="auto"/>
              <w:left w:val="nil"/>
              <w:bottom w:val="single" w:sz="4" w:space="0" w:color="auto"/>
              <w:right w:val="nil"/>
              <w:tl2br w:val="nil"/>
              <w:tr2bl w:val="nil"/>
            </w:tcBorders>
            <w:shd w:val="clear" w:color="auto" w:fill="FFFFFF"/>
            <w:vAlign w:val="center"/>
          </w:tcPr>
          <w:p w14:paraId="1E3B82B5" w14:textId="77777777" w:rsidR="005F1BEC" w:rsidRPr="005F1BEC" w:rsidRDefault="005F1BEC" w:rsidP="005F1BEC">
            <w:pPr>
              <w:autoSpaceDE w:val="0"/>
              <w:autoSpaceDN w:val="0"/>
              <w:adjustRightInd w:val="0"/>
              <w:jc w:val="center"/>
              <w:rPr>
                <w:rFonts w:ascii="Arial" w:eastAsia="DengXian" w:hAnsi="Arial" w:cs="Arial"/>
                <w:color w:val="000000"/>
              </w:rPr>
            </w:pPr>
          </w:p>
        </w:tc>
        <w:tc>
          <w:tcPr>
            <w:tcW w:w="1159" w:type="dxa"/>
            <w:tcBorders>
              <w:top w:val="single" w:sz="4" w:space="0" w:color="auto"/>
              <w:left w:val="nil"/>
              <w:bottom w:val="single" w:sz="4" w:space="0" w:color="auto"/>
              <w:right w:val="nil"/>
              <w:tl2br w:val="nil"/>
              <w:tr2bl w:val="nil"/>
            </w:tcBorders>
            <w:shd w:val="clear" w:color="auto" w:fill="FFFFFF"/>
            <w:vAlign w:val="center"/>
          </w:tcPr>
          <w:p w14:paraId="6C120EBA" w14:textId="77777777" w:rsidR="005F1BEC" w:rsidRPr="005F1BEC" w:rsidRDefault="005F1BEC" w:rsidP="005F1BEC">
            <w:pPr>
              <w:autoSpaceDE w:val="0"/>
              <w:autoSpaceDN w:val="0"/>
              <w:adjustRightInd w:val="0"/>
              <w:jc w:val="center"/>
              <w:rPr>
                <w:rFonts w:ascii="Arial" w:eastAsia="DengXian" w:hAnsi="Arial" w:cs="Arial"/>
                <w:color w:val="000000"/>
              </w:rPr>
            </w:pPr>
          </w:p>
        </w:tc>
        <w:tc>
          <w:tcPr>
            <w:tcW w:w="1159" w:type="dxa"/>
            <w:tcBorders>
              <w:top w:val="single" w:sz="4" w:space="0" w:color="auto"/>
              <w:left w:val="nil"/>
              <w:bottom w:val="single" w:sz="4" w:space="0" w:color="auto"/>
              <w:right w:val="nil"/>
              <w:tl2br w:val="nil"/>
              <w:tr2bl w:val="nil"/>
            </w:tcBorders>
            <w:shd w:val="clear" w:color="auto" w:fill="FFFFFF"/>
            <w:vAlign w:val="center"/>
          </w:tcPr>
          <w:p w14:paraId="0BCBDF86" w14:textId="77777777" w:rsidR="005F1BEC" w:rsidRPr="005F1BEC" w:rsidRDefault="005F1BEC" w:rsidP="005F1BEC">
            <w:pPr>
              <w:autoSpaceDE w:val="0"/>
              <w:autoSpaceDN w:val="0"/>
              <w:adjustRightInd w:val="0"/>
              <w:jc w:val="center"/>
              <w:rPr>
                <w:rFonts w:ascii="Arial" w:eastAsia="DengXian" w:hAnsi="Arial" w:cs="Arial"/>
                <w:color w:val="000000"/>
              </w:rPr>
            </w:pPr>
          </w:p>
        </w:tc>
      </w:tr>
    </w:tbl>
    <w:p w14:paraId="7A7A998C" w14:textId="77777777" w:rsidR="005F1BEC" w:rsidRPr="005F1BEC" w:rsidRDefault="005F1BEC" w:rsidP="005F1BEC">
      <w:pPr>
        <w:widowControl w:val="0"/>
        <w:autoSpaceDE w:val="0"/>
        <w:autoSpaceDN w:val="0"/>
        <w:jc w:val="both"/>
        <w:rPr>
          <w:rFonts w:ascii="Arial" w:eastAsia="Times New Roman" w:hAnsi="Arial" w:cs="Arial"/>
        </w:rPr>
      </w:pPr>
    </w:p>
    <w:p w14:paraId="358539EB" w14:textId="77777777" w:rsidR="002200F1" w:rsidRPr="002200F1" w:rsidRDefault="002200F1" w:rsidP="002200F1">
      <w:pPr>
        <w:ind w:right="-630"/>
        <w:jc w:val="both"/>
        <w:rPr>
          <w:rFonts w:ascii="Arial" w:eastAsia="Times New Roman" w:hAnsi="Arial" w:cs="Arial"/>
        </w:rPr>
      </w:pPr>
      <w:r w:rsidRPr="002200F1">
        <w:rPr>
          <w:rFonts w:ascii="Arial" w:eastAsia="Times New Roman" w:hAnsi="Arial" w:cs="Arial"/>
        </w:rPr>
        <w:t>The finding that school district grouping does not significantly affect how BEED graduates are evaluated reinforces the consistency and objectivity of employer feedback. Smith et al. (2020) and Larios (2025) found that standardized evaluation frameworks and mentorship systems yield consistent results across districts. McMaster and Lembke (2024) similarly confirmed inter-district alignment through training-based frameworks, while Saunders et al. (2019) emphasized that structured leadership protocols reduce district-level discrepancies.</w:t>
      </w:r>
    </w:p>
    <w:p w14:paraId="530BAA56" w14:textId="77777777" w:rsidR="002200F1" w:rsidRPr="002200F1" w:rsidRDefault="002200F1" w:rsidP="002200F1">
      <w:pPr>
        <w:ind w:right="-630"/>
        <w:jc w:val="both"/>
        <w:rPr>
          <w:rFonts w:ascii="Arial" w:eastAsia="Times New Roman" w:hAnsi="Arial" w:cs="Arial"/>
        </w:rPr>
      </w:pPr>
    </w:p>
    <w:p w14:paraId="01928767" w14:textId="77777777" w:rsidR="002200F1" w:rsidRPr="002200F1" w:rsidRDefault="002200F1" w:rsidP="002200F1">
      <w:pPr>
        <w:ind w:right="-630"/>
        <w:jc w:val="both"/>
        <w:rPr>
          <w:rFonts w:ascii="Arial" w:eastAsia="Times New Roman" w:hAnsi="Arial" w:cs="Arial"/>
        </w:rPr>
      </w:pPr>
      <w:r w:rsidRPr="002200F1">
        <w:rPr>
          <w:rFonts w:ascii="Arial" w:eastAsia="Times New Roman" w:hAnsi="Arial" w:cs="Arial"/>
        </w:rPr>
        <w:t>These results support the strong and consistent performance ratings of BEED graduates in collaboration (x̄ = 4.50), leadership (x̄ = 4.47), and assessment (x̄ = 4.46), affirming Becker’s Human Capital Theory (1964). This theory highlights how education enhances productivity and labor market value. The BEED program clearly transforms student potential into employable, competent professionals by cultivating both cognitive (e.g., subject knowledge) and non-cognitive skills (e.g., communication, flexibility).</w:t>
      </w:r>
    </w:p>
    <w:p w14:paraId="6D612BF1" w14:textId="77777777" w:rsidR="002200F1" w:rsidRPr="002200F1" w:rsidRDefault="002200F1" w:rsidP="002200F1">
      <w:pPr>
        <w:ind w:right="-630"/>
        <w:jc w:val="both"/>
        <w:rPr>
          <w:rFonts w:ascii="Arial" w:eastAsia="Times New Roman" w:hAnsi="Arial" w:cs="Arial"/>
        </w:rPr>
      </w:pPr>
    </w:p>
    <w:p w14:paraId="1C5A7E0D" w14:textId="43DFBF3A" w:rsidR="000B1D44" w:rsidRPr="005F1BEC" w:rsidRDefault="002200F1" w:rsidP="002200F1">
      <w:pPr>
        <w:ind w:right="-630"/>
        <w:jc w:val="both"/>
        <w:rPr>
          <w:rFonts w:ascii="Arial" w:eastAsia="Arial" w:hAnsi="Arial" w:cs="Arial"/>
        </w:rPr>
      </w:pPr>
      <w:r w:rsidRPr="002200F1">
        <w:rPr>
          <w:rFonts w:ascii="Arial" w:eastAsia="Times New Roman" w:hAnsi="Arial" w:cs="Arial"/>
        </w:rPr>
        <w:lastRenderedPageBreak/>
        <w:t xml:space="preserve">Supporting this, </w:t>
      </w:r>
      <w:proofErr w:type="spellStart"/>
      <w:r w:rsidRPr="002200F1">
        <w:rPr>
          <w:rFonts w:ascii="Arial" w:eastAsia="Times New Roman" w:hAnsi="Arial" w:cs="Arial"/>
        </w:rPr>
        <w:t>Salendab</w:t>
      </w:r>
      <w:proofErr w:type="spellEnd"/>
      <w:r w:rsidRPr="002200F1">
        <w:rPr>
          <w:rFonts w:ascii="Arial" w:eastAsia="Times New Roman" w:hAnsi="Arial" w:cs="Arial"/>
        </w:rPr>
        <w:t xml:space="preserve"> and </w:t>
      </w:r>
      <w:proofErr w:type="spellStart"/>
      <w:r w:rsidRPr="002200F1">
        <w:rPr>
          <w:rFonts w:ascii="Arial" w:eastAsia="Times New Roman" w:hAnsi="Arial" w:cs="Arial"/>
        </w:rPr>
        <w:t>Ocariza-Salendab</w:t>
      </w:r>
      <w:proofErr w:type="spellEnd"/>
      <w:r w:rsidRPr="002200F1">
        <w:rPr>
          <w:rFonts w:ascii="Arial" w:eastAsia="Times New Roman" w:hAnsi="Arial" w:cs="Arial"/>
        </w:rPr>
        <w:t xml:space="preserve"> (2023) and </w:t>
      </w:r>
      <w:proofErr w:type="spellStart"/>
      <w:r w:rsidRPr="002200F1">
        <w:rPr>
          <w:rFonts w:ascii="Arial" w:eastAsia="Times New Roman" w:hAnsi="Arial" w:cs="Arial"/>
        </w:rPr>
        <w:t>Tapadera</w:t>
      </w:r>
      <w:proofErr w:type="spellEnd"/>
      <w:r w:rsidRPr="002200F1">
        <w:rPr>
          <w:rFonts w:ascii="Arial" w:eastAsia="Times New Roman" w:hAnsi="Arial" w:cs="Arial"/>
        </w:rPr>
        <w:t xml:space="preserve"> et al. (2024) found that BEED graduates exhibit strong teaching adaptability and interpersonal skills. Gonzales and </w:t>
      </w:r>
      <w:proofErr w:type="spellStart"/>
      <w:r w:rsidRPr="002200F1">
        <w:rPr>
          <w:rFonts w:ascii="Arial" w:eastAsia="Times New Roman" w:hAnsi="Arial" w:cs="Arial"/>
        </w:rPr>
        <w:t>Vinluan</w:t>
      </w:r>
      <w:proofErr w:type="spellEnd"/>
      <w:r w:rsidRPr="002200F1">
        <w:rPr>
          <w:rFonts w:ascii="Arial" w:eastAsia="Times New Roman" w:hAnsi="Arial" w:cs="Arial"/>
        </w:rPr>
        <w:t xml:space="preserve"> (2019) linked employer satisfaction to robust academic training, while </w:t>
      </w:r>
      <w:proofErr w:type="spellStart"/>
      <w:r w:rsidRPr="002200F1">
        <w:rPr>
          <w:rFonts w:ascii="Arial" w:eastAsia="Times New Roman" w:hAnsi="Arial" w:cs="Arial"/>
        </w:rPr>
        <w:t>Batisla-ong</w:t>
      </w:r>
      <w:proofErr w:type="spellEnd"/>
      <w:r w:rsidRPr="002200F1">
        <w:rPr>
          <w:rFonts w:ascii="Arial" w:eastAsia="Times New Roman" w:hAnsi="Arial" w:cs="Arial"/>
        </w:rPr>
        <w:t xml:space="preserve"> (2022) and </w:t>
      </w:r>
      <w:proofErr w:type="spellStart"/>
      <w:r w:rsidRPr="002200F1">
        <w:rPr>
          <w:rFonts w:ascii="Arial" w:eastAsia="Times New Roman" w:hAnsi="Arial" w:cs="Arial"/>
        </w:rPr>
        <w:t>Caingcoy</w:t>
      </w:r>
      <w:proofErr w:type="spellEnd"/>
      <w:r w:rsidRPr="002200F1">
        <w:rPr>
          <w:rFonts w:ascii="Arial" w:eastAsia="Times New Roman" w:hAnsi="Arial" w:cs="Arial"/>
        </w:rPr>
        <w:t xml:space="preserve"> and Barroso (2020) highlighted key workplace competencies like leadership and collaboration. Altogether, these findings demonstrate that BEED graduates represent strong returns on educational investment, as predicted by Human Capital Theory.</w:t>
      </w: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26871B2"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6</w:t>
      </w:r>
      <w:r w:rsidR="00DA622F">
        <w:rPr>
          <w:rFonts w:ascii="Arial" w:eastAsia="Arial" w:hAnsi="Arial" w:cs="Arial"/>
          <w:b/>
          <w:smallCaps/>
          <w:color w:val="000000"/>
          <w:sz w:val="22"/>
          <w:szCs w:val="22"/>
        </w:rPr>
        <w:t xml:space="preserve">.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5B06BBEE" w:rsidR="00026464" w:rsidRPr="00026464" w:rsidRDefault="005F1BEC" w:rsidP="00026464">
      <w:pPr>
        <w:ind w:firstLine="360"/>
        <w:jc w:val="both"/>
        <w:rPr>
          <w:rFonts w:ascii="Arial" w:eastAsia="Arial" w:hAnsi="Arial" w:cs="Arial"/>
          <w:color w:val="000000"/>
        </w:rPr>
      </w:pPr>
      <w:r w:rsidRPr="005F1BEC">
        <w:rPr>
          <w:rFonts w:ascii="Arial" w:eastAsia="Arial" w:hAnsi="Arial" w:cs="Arial"/>
          <w:color w:val="000000"/>
        </w:rPr>
        <w:t>Based on the findings, this paper concluded:</w:t>
      </w:r>
    </w:p>
    <w:p w14:paraId="2248D0BF" w14:textId="77777777" w:rsidR="005F1BEC" w:rsidRPr="005F1BEC" w:rsidRDefault="005F1BEC" w:rsidP="005F1BEC">
      <w:pPr>
        <w:pStyle w:val="ListParagraph"/>
        <w:numPr>
          <w:ilvl w:val="0"/>
          <w:numId w:val="3"/>
        </w:numPr>
        <w:jc w:val="both"/>
        <w:rPr>
          <w:rFonts w:ascii="Arial" w:eastAsia="Arial" w:hAnsi="Arial" w:cs="Arial"/>
          <w:color w:val="000000"/>
        </w:rPr>
      </w:pPr>
      <w:r w:rsidRPr="005F1BEC">
        <w:rPr>
          <w:rFonts w:ascii="Arial" w:eastAsia="Arial" w:hAnsi="Arial" w:cs="Arial"/>
          <w:color w:val="000000"/>
        </w:rPr>
        <w:t xml:space="preserve">Most respondents providing feedback on BEED graduates are female school principals, aged 41–60, with over 16 years of service, and predominantly from the </w:t>
      </w:r>
      <w:proofErr w:type="spellStart"/>
      <w:r w:rsidRPr="005F1BEC">
        <w:rPr>
          <w:rFonts w:ascii="Arial" w:eastAsia="Arial" w:hAnsi="Arial" w:cs="Arial"/>
          <w:color w:val="000000"/>
        </w:rPr>
        <w:t>Cateel</w:t>
      </w:r>
      <w:proofErr w:type="spellEnd"/>
      <w:r w:rsidRPr="005F1BEC">
        <w:rPr>
          <w:rFonts w:ascii="Arial" w:eastAsia="Arial" w:hAnsi="Arial" w:cs="Arial"/>
          <w:color w:val="000000"/>
        </w:rPr>
        <w:t xml:space="preserve"> 2 District. Their extensive experience and leadership roles underscore the credibility and reliability of the feedback gathered, offering valuable insights into the graduates’ workplace performance.</w:t>
      </w:r>
    </w:p>
    <w:p w14:paraId="5E7CFC90" w14:textId="77777777" w:rsidR="005F1BEC" w:rsidRPr="005F1BEC" w:rsidRDefault="005F1BEC" w:rsidP="005F1BEC">
      <w:pPr>
        <w:pStyle w:val="ListParagraph"/>
        <w:numPr>
          <w:ilvl w:val="0"/>
          <w:numId w:val="3"/>
        </w:numPr>
        <w:jc w:val="both"/>
        <w:rPr>
          <w:rFonts w:ascii="Arial" w:eastAsia="Arial" w:hAnsi="Arial" w:cs="Arial"/>
          <w:color w:val="000000"/>
        </w:rPr>
      </w:pPr>
      <w:r w:rsidRPr="005F1BEC">
        <w:rPr>
          <w:rFonts w:ascii="Arial" w:eastAsia="Arial" w:hAnsi="Arial" w:cs="Arial"/>
          <w:color w:val="000000"/>
        </w:rPr>
        <w:t xml:space="preserve">The BEED graduates of Davao Oriental State University – </w:t>
      </w:r>
      <w:proofErr w:type="spellStart"/>
      <w:r w:rsidRPr="005F1BEC">
        <w:rPr>
          <w:rFonts w:ascii="Arial" w:eastAsia="Arial" w:hAnsi="Arial" w:cs="Arial"/>
          <w:color w:val="000000"/>
        </w:rPr>
        <w:t>Cateel</w:t>
      </w:r>
      <w:proofErr w:type="spellEnd"/>
      <w:r w:rsidRPr="005F1BEC">
        <w:rPr>
          <w:rFonts w:ascii="Arial" w:eastAsia="Arial" w:hAnsi="Arial" w:cs="Arial"/>
          <w:color w:val="000000"/>
        </w:rPr>
        <w:t xml:space="preserve"> Campus are performing at a very satisfactory level across key teaching domains, as perceived by their employers. The highest rating was in collaboration, indicating strong teamwork, professionalism, and community engagement. Other areas, such as Leadership, Subject Knowledge, Classroom Management, Assessment, Communication, and Dependability, were also rated highly, confirming the graduates' readiness for professional teaching roles. While Flexibility and Adaptability received the lowest score among the domains, it still reflected a strong performance, indicating a need for further enhancement in managing educational changes. Overall, the study affirms that the BEED program is effective in preparing competent, reliable, and collaborative educators, with minor areas for improvement that could be addressed through targeted curriculum and training development.</w:t>
      </w:r>
    </w:p>
    <w:p w14:paraId="27ABAC31" w14:textId="7BF1FD98" w:rsidR="00026464" w:rsidRPr="00026464" w:rsidRDefault="005F1BEC" w:rsidP="005F1BEC">
      <w:pPr>
        <w:pStyle w:val="ListParagraph"/>
        <w:numPr>
          <w:ilvl w:val="0"/>
          <w:numId w:val="3"/>
        </w:numPr>
        <w:jc w:val="both"/>
        <w:rPr>
          <w:rFonts w:ascii="Arial" w:eastAsia="Arial" w:hAnsi="Arial" w:cs="Arial"/>
          <w:color w:val="000000"/>
        </w:rPr>
      </w:pPr>
      <w:r w:rsidRPr="005F1BEC">
        <w:rPr>
          <w:rFonts w:ascii="Arial" w:eastAsia="Arial" w:hAnsi="Arial" w:cs="Arial"/>
          <w:color w:val="000000"/>
        </w:rPr>
        <w:t xml:space="preserve">The absence of significant differences in employer feedback across demographic variables—age, gender, position, years in service, and district—strongly affirms the consistency, impartiality, and credibility of the evaluations. This indicates that BEED graduates from Davao Oriental State University – </w:t>
      </w:r>
      <w:proofErr w:type="spellStart"/>
      <w:r w:rsidRPr="005F1BEC">
        <w:rPr>
          <w:rFonts w:ascii="Arial" w:eastAsia="Arial" w:hAnsi="Arial" w:cs="Arial"/>
          <w:color w:val="000000"/>
        </w:rPr>
        <w:t>Cateel</w:t>
      </w:r>
      <w:proofErr w:type="spellEnd"/>
      <w:r w:rsidRPr="005F1BEC">
        <w:rPr>
          <w:rFonts w:ascii="Arial" w:eastAsia="Arial" w:hAnsi="Arial" w:cs="Arial"/>
          <w:color w:val="000000"/>
        </w:rPr>
        <w:t xml:space="preserve"> Campus are perceived to perform consistently well regardless of who evaluates them or where they are deployed. The findings reinforce that the assessment of their competencies is grounded in shared professional standards, not influenced by personal or positional biases, thereby validating the strength and reliability of the employer feedback in this study.</w:t>
      </w:r>
    </w:p>
    <w:p w14:paraId="23C36720" w14:textId="301B7D72" w:rsidR="00AF3C8B" w:rsidRPr="00AF3C8B" w:rsidRDefault="00AF3C8B" w:rsidP="00026464">
      <w:pPr>
        <w:pStyle w:val="ListParagraph"/>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168A1FAC"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Recommendation</w:t>
      </w:r>
    </w:p>
    <w:p w14:paraId="4BEDC5CD" w14:textId="31E56197" w:rsidR="007B5D8D" w:rsidRDefault="007B5D8D">
      <w:pPr>
        <w:pBdr>
          <w:top w:val="nil"/>
          <w:left w:val="nil"/>
          <w:bottom w:val="nil"/>
          <w:right w:val="nil"/>
          <w:between w:val="nil"/>
        </w:pBdr>
        <w:jc w:val="both"/>
        <w:rPr>
          <w:rFonts w:ascii="Arial" w:eastAsia="Arial" w:hAnsi="Arial" w:cs="Arial"/>
          <w:b/>
          <w:color w:val="000000"/>
          <w:highlight w:val="white"/>
        </w:rPr>
      </w:pPr>
    </w:p>
    <w:p w14:paraId="47DDA2DD" w14:textId="103B5616" w:rsidR="007B5D8D" w:rsidRPr="007B5D8D" w:rsidRDefault="007B5D8D">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ab/>
      </w:r>
      <w:r w:rsidR="005F1BEC" w:rsidRPr="005F1BEC">
        <w:rPr>
          <w:rFonts w:ascii="Arial" w:eastAsia="Arial" w:hAnsi="Arial" w:cs="Arial"/>
          <w:color w:val="000000"/>
        </w:rPr>
        <w:t>Based on the study’s results and conclusion, the following recommendations were made:</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DB3D8E1" w14:textId="77777777" w:rsidR="005F1BEC" w:rsidRPr="005F1BEC" w:rsidRDefault="005F1BEC" w:rsidP="005F1BEC">
      <w:pPr>
        <w:pStyle w:val="ListParagraph"/>
        <w:numPr>
          <w:ilvl w:val="0"/>
          <w:numId w:val="4"/>
        </w:numPr>
        <w:jc w:val="both"/>
        <w:rPr>
          <w:rFonts w:ascii="Arial" w:eastAsia="Arial" w:hAnsi="Arial" w:cs="Arial"/>
          <w:color w:val="000000"/>
        </w:rPr>
      </w:pPr>
      <w:r w:rsidRPr="005F1BEC">
        <w:rPr>
          <w:rFonts w:ascii="Arial" w:eastAsia="Arial" w:hAnsi="Arial" w:cs="Arial"/>
          <w:color w:val="000000"/>
        </w:rPr>
        <w:t xml:space="preserve">Future tracer studies may aim for a broader geographical reach, extending beyond the three municipalities (Boston, </w:t>
      </w:r>
      <w:proofErr w:type="spellStart"/>
      <w:r w:rsidRPr="005F1BEC">
        <w:rPr>
          <w:rFonts w:ascii="Arial" w:eastAsia="Arial" w:hAnsi="Arial" w:cs="Arial"/>
          <w:color w:val="000000"/>
        </w:rPr>
        <w:t>Cateel</w:t>
      </w:r>
      <w:proofErr w:type="spellEnd"/>
      <w:r w:rsidRPr="005F1BEC">
        <w:rPr>
          <w:rFonts w:ascii="Arial" w:eastAsia="Arial" w:hAnsi="Arial" w:cs="Arial"/>
          <w:color w:val="000000"/>
        </w:rPr>
        <w:t xml:space="preserve">, and </w:t>
      </w:r>
      <w:proofErr w:type="spellStart"/>
      <w:r w:rsidRPr="005F1BEC">
        <w:rPr>
          <w:rFonts w:ascii="Arial" w:eastAsia="Arial" w:hAnsi="Arial" w:cs="Arial"/>
          <w:color w:val="000000"/>
        </w:rPr>
        <w:t>Baganga</w:t>
      </w:r>
      <w:proofErr w:type="spellEnd"/>
      <w:r w:rsidRPr="005F1BEC">
        <w:rPr>
          <w:rFonts w:ascii="Arial" w:eastAsia="Arial" w:hAnsi="Arial" w:cs="Arial"/>
          <w:color w:val="000000"/>
        </w:rPr>
        <w:t>) to gather more diverse employer insights, thereby enhancing the generalizability of the findings.</w:t>
      </w:r>
    </w:p>
    <w:p w14:paraId="379415A4" w14:textId="77777777" w:rsidR="005F1BEC" w:rsidRPr="005F1BEC" w:rsidRDefault="005F1BEC" w:rsidP="005F1BEC">
      <w:pPr>
        <w:pStyle w:val="ListParagraph"/>
        <w:numPr>
          <w:ilvl w:val="0"/>
          <w:numId w:val="4"/>
        </w:numPr>
        <w:jc w:val="both"/>
        <w:rPr>
          <w:rFonts w:ascii="Arial" w:eastAsia="Arial" w:hAnsi="Arial" w:cs="Arial"/>
          <w:color w:val="000000"/>
        </w:rPr>
      </w:pPr>
      <w:r w:rsidRPr="005F1BEC">
        <w:rPr>
          <w:rFonts w:ascii="Arial" w:eastAsia="Arial" w:hAnsi="Arial" w:cs="Arial"/>
          <w:color w:val="000000"/>
        </w:rPr>
        <w:t>Intensify Experiential and Contextual Learning- Provide more exposure to diverse teaching situations through enhanced practicum placements, immersion in remote or multi-grade schools, and scenario-based classroom simulations to strengthen real-time decision-making and responsiveness.</w:t>
      </w:r>
    </w:p>
    <w:p w14:paraId="2E812897" w14:textId="470F0F9E" w:rsidR="00026464" w:rsidRDefault="005F1BEC" w:rsidP="005F1BEC">
      <w:pPr>
        <w:pStyle w:val="ListParagraph"/>
        <w:numPr>
          <w:ilvl w:val="0"/>
          <w:numId w:val="4"/>
        </w:numPr>
        <w:jc w:val="both"/>
        <w:rPr>
          <w:rFonts w:ascii="Arial" w:eastAsia="Arial" w:hAnsi="Arial" w:cs="Arial"/>
          <w:color w:val="000000"/>
        </w:rPr>
      </w:pPr>
      <w:r w:rsidRPr="005F1BEC">
        <w:rPr>
          <w:rFonts w:ascii="Arial" w:eastAsia="Arial" w:hAnsi="Arial" w:cs="Arial"/>
          <w:color w:val="000000"/>
        </w:rPr>
        <w:lastRenderedPageBreak/>
        <w:t>Future researchers may explore qualitative insights for depth, as quantitative data revealed no significant differences. Future studies may benefit from qualitative interviews or focus groups to gain deeper insights into subtle perceptions or context-based observations that statistical measures may not capture.</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bookmarkStart w:id="0" w:name="_GoBack"/>
      <w:bookmarkEnd w:id="0"/>
    </w:p>
    <w:p w14:paraId="5B66E60A" w14:textId="77777777" w:rsidR="000B1D44" w:rsidRDefault="00DA622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06929651"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Albay, E. M., Aquino, R. L., </w:t>
      </w:r>
      <w:proofErr w:type="spellStart"/>
      <w:r w:rsidRPr="005F1BEC">
        <w:rPr>
          <w:rFonts w:ascii="Arial" w:eastAsia="Arial" w:hAnsi="Arial" w:cs="Arial"/>
          <w:color w:val="000000"/>
        </w:rPr>
        <w:t>Alambra</w:t>
      </w:r>
      <w:proofErr w:type="spellEnd"/>
      <w:r w:rsidRPr="005F1BEC">
        <w:rPr>
          <w:rFonts w:ascii="Arial" w:eastAsia="Arial" w:hAnsi="Arial" w:cs="Arial"/>
          <w:color w:val="000000"/>
        </w:rPr>
        <w:t xml:space="preserve">, R. V. E., </w:t>
      </w:r>
      <w:proofErr w:type="spellStart"/>
      <w:r w:rsidRPr="005F1BEC">
        <w:rPr>
          <w:rFonts w:ascii="Arial" w:eastAsia="Arial" w:hAnsi="Arial" w:cs="Arial"/>
          <w:color w:val="000000"/>
        </w:rPr>
        <w:t>Eisma</w:t>
      </w:r>
      <w:proofErr w:type="spellEnd"/>
      <w:r w:rsidRPr="005F1BEC">
        <w:rPr>
          <w:rFonts w:ascii="Arial" w:eastAsia="Arial" w:hAnsi="Arial" w:cs="Arial"/>
          <w:color w:val="000000"/>
        </w:rPr>
        <w:t>, D. V., &amp; Quiambao, R. D. (2024). Assessing graduates’ attributes and job performance for program curriculum enhancement. International Journal of Evaluation and Research in Education, 13(4), 2689–2697.</w:t>
      </w:r>
    </w:p>
    <w:p w14:paraId="7AA09871"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Aquino, A., &amp; </w:t>
      </w:r>
      <w:proofErr w:type="spellStart"/>
      <w:r w:rsidRPr="005F1BEC">
        <w:rPr>
          <w:rFonts w:ascii="Arial" w:eastAsia="Arial" w:hAnsi="Arial" w:cs="Arial"/>
          <w:color w:val="000000"/>
        </w:rPr>
        <w:t>Balilla</w:t>
      </w:r>
      <w:proofErr w:type="spellEnd"/>
      <w:r w:rsidRPr="005F1BEC">
        <w:rPr>
          <w:rFonts w:ascii="Arial" w:eastAsia="Arial" w:hAnsi="Arial" w:cs="Arial"/>
          <w:color w:val="000000"/>
        </w:rPr>
        <w:t>, L. (2015). Pre-service teachers’ licensure examination plans and content knowledge. Asia Pacific Journal of Education, Arts and Sciences, 2(2), 110–116.</w:t>
      </w:r>
    </w:p>
    <w:p w14:paraId="3E4875DD"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Baird, A. M., &amp; </w:t>
      </w:r>
      <w:proofErr w:type="spellStart"/>
      <w:r w:rsidRPr="005F1BEC">
        <w:rPr>
          <w:rFonts w:ascii="Arial" w:eastAsia="Arial" w:hAnsi="Arial" w:cs="Arial"/>
          <w:color w:val="000000"/>
        </w:rPr>
        <w:t>Parayitam</w:t>
      </w:r>
      <w:proofErr w:type="spellEnd"/>
      <w:r w:rsidRPr="005F1BEC">
        <w:rPr>
          <w:rFonts w:ascii="Arial" w:eastAsia="Arial" w:hAnsi="Arial" w:cs="Arial"/>
          <w:color w:val="000000"/>
        </w:rPr>
        <w:t>, S. (2019). Employers’ ratings of importance of skills and competencies college graduates need to get hired. Education + Training, 61(5), 622–634. https://doi.org/10.1108/et-12-2018-0250</w:t>
      </w:r>
    </w:p>
    <w:p w14:paraId="6E5895F0"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Batisla-ong</w:t>
      </w:r>
      <w:proofErr w:type="spellEnd"/>
      <w:r w:rsidRPr="005F1BEC">
        <w:rPr>
          <w:rFonts w:ascii="Arial" w:eastAsia="Arial" w:hAnsi="Arial" w:cs="Arial"/>
          <w:color w:val="000000"/>
        </w:rPr>
        <w:t>, S. N. (2022). Immediate supervisor’s satisfaction on teaching competence of teachers produced by one state college in Western Visayas, Philippines. International Research Journal of Science, Technology, Education, &amp; Management (IRJSTEM), 2(1).</w:t>
      </w:r>
    </w:p>
    <w:p w14:paraId="577D0BCD"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Batucan</w:t>
      </w:r>
      <w:proofErr w:type="spellEnd"/>
      <w:r w:rsidRPr="005F1BEC">
        <w:rPr>
          <w:rFonts w:ascii="Arial" w:eastAsia="Arial" w:hAnsi="Arial" w:cs="Arial"/>
          <w:color w:val="000000"/>
        </w:rPr>
        <w:t>, N. A. (2024). Demographic profile of senior high schools as a predictor of Grade 12 National Achievement Test (NAT) results: Basis for an intervention program. Science International (Lahore), 36(6), 677–688.</w:t>
      </w:r>
    </w:p>
    <w:p w14:paraId="2A8A2E4B"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Becker, G. S. (1964). Human capital: A theoretical and empirical analysis, with special reference to education. SSRN Electronic Journal. https://papers.ssrn.com/sol3/papers.cfm?abstract_id=1496221</w:t>
      </w:r>
    </w:p>
    <w:p w14:paraId="4E42D3BE"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Berry, T. E. S. (2020). Teacher absenteeism and its impact on student achievement in a middle rural school [Doctoral dissertation, ProQuest]. https://search.proquest.com/openview/b7d43ea9096f952207e6e4213cf587ac</w:t>
      </w:r>
    </w:p>
    <w:p w14:paraId="29D75859"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Bonsu, D. (2021). The influence of in-service education and training on teacher’s job performance at senior high schools of the </w:t>
      </w:r>
      <w:proofErr w:type="spellStart"/>
      <w:r w:rsidRPr="005F1BEC">
        <w:rPr>
          <w:rFonts w:ascii="Arial" w:eastAsia="Arial" w:hAnsi="Arial" w:cs="Arial"/>
          <w:color w:val="000000"/>
        </w:rPr>
        <w:t>Atwima</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Nwabiagya</w:t>
      </w:r>
      <w:proofErr w:type="spellEnd"/>
      <w:r w:rsidRPr="005F1BEC">
        <w:rPr>
          <w:rFonts w:ascii="Arial" w:eastAsia="Arial" w:hAnsi="Arial" w:cs="Arial"/>
          <w:color w:val="000000"/>
        </w:rPr>
        <w:t xml:space="preserve"> South [Doctoral dissertation, University of Education, Winneba].</w:t>
      </w:r>
    </w:p>
    <w:p w14:paraId="45650E3F"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Brown, G. T. L., </w:t>
      </w:r>
      <w:proofErr w:type="spellStart"/>
      <w:r w:rsidRPr="005F1BEC">
        <w:rPr>
          <w:rFonts w:ascii="Arial" w:eastAsia="Arial" w:hAnsi="Arial" w:cs="Arial"/>
          <w:color w:val="000000"/>
        </w:rPr>
        <w:t>Gebril</w:t>
      </w:r>
      <w:proofErr w:type="spellEnd"/>
      <w:r w:rsidRPr="005F1BEC">
        <w:rPr>
          <w:rFonts w:ascii="Arial" w:eastAsia="Arial" w:hAnsi="Arial" w:cs="Arial"/>
          <w:color w:val="000000"/>
        </w:rPr>
        <w:t xml:space="preserve">, A., &amp; </w:t>
      </w:r>
      <w:proofErr w:type="spellStart"/>
      <w:r w:rsidRPr="005F1BEC">
        <w:rPr>
          <w:rFonts w:ascii="Arial" w:eastAsia="Arial" w:hAnsi="Arial" w:cs="Arial"/>
          <w:color w:val="000000"/>
        </w:rPr>
        <w:t>Michaelides</w:t>
      </w:r>
      <w:proofErr w:type="spellEnd"/>
      <w:r w:rsidRPr="005F1BEC">
        <w:rPr>
          <w:rFonts w:ascii="Arial" w:eastAsia="Arial" w:hAnsi="Arial" w:cs="Arial"/>
          <w:color w:val="000000"/>
        </w:rPr>
        <w:t>, M. P. (2019). Teachers’ conceptions of assessment: A global phenomenon or a global localism. Frontiers in Education, 4. https://doi.org/10.3389/feduc.2019.00016</w:t>
      </w:r>
    </w:p>
    <w:p w14:paraId="382ADEF9"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Camara</w:t>
      </w:r>
      <w:proofErr w:type="spellEnd"/>
      <w:r w:rsidRPr="005F1BEC">
        <w:rPr>
          <w:rFonts w:ascii="Arial" w:eastAsia="Arial" w:hAnsi="Arial" w:cs="Arial"/>
          <w:color w:val="000000"/>
        </w:rPr>
        <w:t xml:space="preserve">, J. S. (2024). The correlation between principal’s gender, school geography and school success. </w:t>
      </w:r>
      <w:proofErr w:type="spellStart"/>
      <w:r w:rsidRPr="005F1BEC">
        <w:rPr>
          <w:rFonts w:ascii="Arial" w:eastAsia="Arial" w:hAnsi="Arial" w:cs="Arial"/>
          <w:color w:val="000000"/>
        </w:rPr>
        <w:t>Jurnal</w:t>
      </w:r>
      <w:proofErr w:type="spellEnd"/>
      <w:r w:rsidRPr="005F1BEC">
        <w:rPr>
          <w:rFonts w:ascii="Arial" w:eastAsia="Arial" w:hAnsi="Arial" w:cs="Arial"/>
          <w:color w:val="000000"/>
        </w:rPr>
        <w:t xml:space="preserve"> Pendidikan Indonesia </w:t>
      </w:r>
      <w:proofErr w:type="spellStart"/>
      <w:r w:rsidRPr="005F1BEC">
        <w:rPr>
          <w:rFonts w:ascii="Arial" w:eastAsia="Arial" w:hAnsi="Arial" w:cs="Arial"/>
          <w:color w:val="000000"/>
        </w:rPr>
        <w:t>Gemilang</w:t>
      </w:r>
      <w:proofErr w:type="spellEnd"/>
      <w:r w:rsidRPr="005F1BEC">
        <w:rPr>
          <w:rFonts w:ascii="Arial" w:eastAsia="Arial" w:hAnsi="Arial" w:cs="Arial"/>
          <w:color w:val="000000"/>
        </w:rPr>
        <w:t>, 4(1), 20–32. https://doi.org/10.53889/jpig.v4i1.345</w:t>
      </w:r>
    </w:p>
    <w:p w14:paraId="4EEFD2C1"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Cruz, S., &amp; Vargas, D. (2021). Open high school program (OHSP): Efficacy in its implementation. SSRN. https://doi.org/10.2139/ssrn.3800933</w:t>
      </w:r>
    </w:p>
    <w:p w14:paraId="617521B5"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Cunningham, W., &amp; </w:t>
      </w:r>
      <w:proofErr w:type="spellStart"/>
      <w:r w:rsidRPr="005F1BEC">
        <w:rPr>
          <w:rFonts w:ascii="Arial" w:eastAsia="Arial" w:hAnsi="Arial" w:cs="Arial"/>
          <w:color w:val="000000"/>
        </w:rPr>
        <w:t>Villaseñor</w:t>
      </w:r>
      <w:proofErr w:type="spellEnd"/>
      <w:r w:rsidRPr="005F1BEC">
        <w:rPr>
          <w:rFonts w:ascii="Arial" w:eastAsia="Arial" w:hAnsi="Arial" w:cs="Arial"/>
          <w:color w:val="000000"/>
        </w:rPr>
        <w:t>, P. (2014). Employer voices, employer demands, and implications for public skills development policy (World Bank Policy Research Paper No. 6853). https://documents1.worldbank.org/curated/en/424791468149389907/pdf/WPS6853.pdf</w:t>
      </w:r>
    </w:p>
    <w:p w14:paraId="09C13F8B"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Dar, R. A., &amp; Jan, T. (2023). Changing role of teacher educators in view of NEP 2020. Journal of Xi'an University of Architecture &amp; Technology, 15(1), 144–156.</w:t>
      </w:r>
    </w:p>
    <w:p w14:paraId="55AF6B6C"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Daugaard, D., &amp; Colbeck, R. (2024). Innovative pedagogy for sustainable finance: Integrating SDGs, experiential learning, and certificates in finance education. [Publication pending or not provided]</w:t>
      </w:r>
    </w:p>
    <w:p w14:paraId="60F6DAB8"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Diaz-Fernandez, M., </w:t>
      </w:r>
      <w:proofErr w:type="spellStart"/>
      <w:r w:rsidRPr="005F1BEC">
        <w:rPr>
          <w:rFonts w:ascii="Arial" w:eastAsia="Arial" w:hAnsi="Arial" w:cs="Arial"/>
          <w:color w:val="000000"/>
        </w:rPr>
        <w:t>Pasamar</w:t>
      </w:r>
      <w:proofErr w:type="spellEnd"/>
      <w:r w:rsidRPr="005F1BEC">
        <w:rPr>
          <w:rFonts w:ascii="Arial" w:eastAsia="Arial" w:hAnsi="Arial" w:cs="Arial"/>
          <w:color w:val="000000"/>
        </w:rPr>
        <w:t>-Reyes, S., &amp; Valle-Cabrera, R. (2016). Human capital and human resource management to achieve ambidextrous learning: A structural perspective. BRQ Business Research Quarterly, 20(1), 63–77. https://doi.org/10.1016/j.brq.2016.03.002</w:t>
      </w:r>
    </w:p>
    <w:p w14:paraId="23F46B0A"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lastRenderedPageBreak/>
        <w:t>Donahue, E., &amp; Vogel, L. R. (2018). Teacher perceptions of the impact of an evaluation system on classroom instructional practices. Journal of School Leadership, 28(1), 31–55.</w:t>
      </w:r>
    </w:p>
    <w:p w14:paraId="40A9D616"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Espiritu, R. (2021). Awareness and competency of pre-service teachers on the Philippine professional standards for teachers (PPST): A basis for training program. Journal NX: A Multidisciplinary Peer Reviewed Journal, 7(11).</w:t>
      </w:r>
    </w:p>
    <w:p w14:paraId="4E86EA59"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Estacio, A. D. L., &amp; Cabrera, W. (2018). Instructional leadership in Philippine public schools: A gendered perspective on school heads’ role in teacher evaluation. [Publication information not provided]</w:t>
      </w:r>
    </w:p>
    <w:p w14:paraId="32CAAC9A"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Favoretto</w:t>
      </w:r>
      <w:proofErr w:type="spellEnd"/>
      <w:r w:rsidRPr="005F1BEC">
        <w:rPr>
          <w:rFonts w:ascii="Arial" w:eastAsia="Arial" w:hAnsi="Arial" w:cs="Arial"/>
          <w:color w:val="000000"/>
        </w:rPr>
        <w:t xml:space="preserve">, L., </w:t>
      </w:r>
      <w:proofErr w:type="spellStart"/>
      <w:r w:rsidRPr="005F1BEC">
        <w:rPr>
          <w:rFonts w:ascii="Arial" w:eastAsia="Arial" w:hAnsi="Arial" w:cs="Arial"/>
          <w:color w:val="000000"/>
        </w:rPr>
        <w:t>Mowling</w:t>
      </w:r>
      <w:proofErr w:type="spellEnd"/>
      <w:r w:rsidRPr="005F1BEC">
        <w:rPr>
          <w:rFonts w:ascii="Arial" w:eastAsia="Arial" w:hAnsi="Arial" w:cs="Arial"/>
          <w:color w:val="000000"/>
        </w:rPr>
        <w:t xml:space="preserve">, C. M., Belisario, J., Spurling, R., </w:t>
      </w:r>
      <w:proofErr w:type="spellStart"/>
      <w:r w:rsidRPr="005F1BEC">
        <w:rPr>
          <w:rFonts w:ascii="Arial" w:eastAsia="Arial" w:hAnsi="Arial" w:cs="Arial"/>
          <w:color w:val="000000"/>
        </w:rPr>
        <w:t>Hagensick</w:t>
      </w:r>
      <w:proofErr w:type="spellEnd"/>
      <w:r w:rsidRPr="005F1BEC">
        <w:rPr>
          <w:rFonts w:ascii="Arial" w:eastAsia="Arial" w:hAnsi="Arial" w:cs="Arial"/>
          <w:color w:val="000000"/>
        </w:rPr>
        <w:t>, M., &amp; Pangelinan, M. M. (2019). Behavioral supports to increase skill learning, on-task behavior, and enjoyment of an adapted tennis program (</w:t>
      </w:r>
      <w:proofErr w:type="spellStart"/>
      <w:r w:rsidRPr="005F1BEC">
        <w:rPr>
          <w:rFonts w:ascii="Arial" w:eastAsia="Arial" w:hAnsi="Arial" w:cs="Arial"/>
          <w:color w:val="000000"/>
        </w:rPr>
        <w:t>ACEing</w:t>
      </w:r>
      <w:proofErr w:type="spellEnd"/>
      <w:r w:rsidRPr="005F1BEC">
        <w:rPr>
          <w:rFonts w:ascii="Arial" w:eastAsia="Arial" w:hAnsi="Arial" w:cs="Arial"/>
          <w:color w:val="000000"/>
        </w:rPr>
        <w:t xml:space="preserve"> Autism) for children and adolescents with autism spectrum disorder. </w:t>
      </w:r>
      <w:proofErr w:type="spellStart"/>
      <w:r w:rsidRPr="005F1BEC">
        <w:rPr>
          <w:rFonts w:ascii="Arial" w:eastAsia="Arial" w:hAnsi="Arial" w:cs="Arial"/>
          <w:color w:val="000000"/>
        </w:rPr>
        <w:t>Palaestra</w:t>
      </w:r>
      <w:proofErr w:type="spellEnd"/>
      <w:r w:rsidRPr="005F1BEC">
        <w:rPr>
          <w:rFonts w:ascii="Arial" w:eastAsia="Arial" w:hAnsi="Arial" w:cs="Arial"/>
          <w:color w:val="000000"/>
        </w:rPr>
        <w:t>, 33(4).</w:t>
      </w:r>
    </w:p>
    <w:p w14:paraId="2A140A0F" w14:textId="457D2389" w:rsidR="005F1BEC" w:rsidRPr="009259DD" w:rsidRDefault="005F1BEC" w:rsidP="009259DD">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Fernandez, M. D., &amp; </w:t>
      </w:r>
      <w:proofErr w:type="spellStart"/>
      <w:r w:rsidRPr="005F1BEC">
        <w:rPr>
          <w:rFonts w:ascii="Arial" w:eastAsia="Arial" w:hAnsi="Arial" w:cs="Arial"/>
          <w:color w:val="000000"/>
        </w:rPr>
        <w:t>Tagadiad</w:t>
      </w:r>
      <w:proofErr w:type="spellEnd"/>
      <w:r w:rsidRPr="005F1BEC">
        <w:rPr>
          <w:rFonts w:ascii="Arial" w:eastAsia="Arial" w:hAnsi="Arial" w:cs="Arial"/>
          <w:color w:val="000000"/>
        </w:rPr>
        <w:t>, C. L. (2024). Instructional leadership, work engagement, self-efficacy of school heads: A structural equation model. International Journal of Research and Innovation in Social Science, 8(9), 3350–</w:t>
      </w:r>
      <w:proofErr w:type="gramStart"/>
      <w:r w:rsidRPr="005F1BEC">
        <w:rPr>
          <w:rFonts w:ascii="Arial" w:eastAsia="Arial" w:hAnsi="Arial" w:cs="Arial"/>
          <w:color w:val="000000"/>
        </w:rPr>
        <w:t>3367.</w:t>
      </w:r>
      <w:r w:rsidRPr="009259DD">
        <w:rPr>
          <w:rFonts w:ascii="Arial" w:eastAsia="Arial" w:hAnsi="Arial" w:cs="Arial"/>
          <w:color w:val="000000"/>
        </w:rPr>
        <w:t>.</w:t>
      </w:r>
      <w:proofErr w:type="gramEnd"/>
    </w:p>
    <w:p w14:paraId="68BADDCA"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Gao, Y., &amp; Mohamad, S. H. (2025). Unraveling the learning behaviors of Chinese private college students and effective guiding strategies. Nusantara Journal of Behavioral and Social Science, 4(1), 9–22.</w:t>
      </w:r>
    </w:p>
    <w:p w14:paraId="63DB8930"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Gaytos</w:t>
      </w:r>
      <w:proofErr w:type="spellEnd"/>
      <w:r w:rsidRPr="005F1BEC">
        <w:rPr>
          <w:rFonts w:ascii="Arial" w:eastAsia="Arial" w:hAnsi="Arial" w:cs="Arial"/>
          <w:color w:val="000000"/>
        </w:rPr>
        <w:t xml:space="preserve">, C. E. G., </w:t>
      </w:r>
      <w:proofErr w:type="spellStart"/>
      <w:r w:rsidRPr="005F1BEC">
        <w:rPr>
          <w:rFonts w:ascii="Arial" w:eastAsia="Arial" w:hAnsi="Arial" w:cs="Arial"/>
          <w:color w:val="000000"/>
        </w:rPr>
        <w:t>Lacay</w:t>
      </w:r>
      <w:proofErr w:type="spellEnd"/>
      <w:r w:rsidRPr="005F1BEC">
        <w:rPr>
          <w:rFonts w:ascii="Arial" w:eastAsia="Arial" w:hAnsi="Arial" w:cs="Arial"/>
          <w:color w:val="000000"/>
        </w:rPr>
        <w:t>, S. C., &amp; Manzano, E. C. (2023). Demographic profile, employment status, competencies, skills and values acquired among Bachelor of Elementary Education graduates. Academia.edu. https://www.academia.edu/</w:t>
      </w:r>
    </w:p>
    <w:p w14:paraId="21987686"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Gepila</w:t>
      </w:r>
      <w:proofErr w:type="spellEnd"/>
      <w:r w:rsidRPr="005F1BEC">
        <w:rPr>
          <w:rFonts w:ascii="Arial" w:eastAsia="Arial" w:hAnsi="Arial" w:cs="Arial"/>
          <w:color w:val="000000"/>
        </w:rPr>
        <w:t xml:space="preserve"> Jr, E. (2020). Assessing teachers using Philippine standards for teachers. Universal Journal of Educational Research, 8(3), 739–746.</w:t>
      </w:r>
    </w:p>
    <w:p w14:paraId="7107A601"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German, J. D., </w:t>
      </w:r>
      <w:proofErr w:type="spellStart"/>
      <w:r w:rsidRPr="005F1BEC">
        <w:rPr>
          <w:rFonts w:ascii="Arial" w:eastAsia="Arial" w:hAnsi="Arial" w:cs="Arial"/>
          <w:color w:val="000000"/>
        </w:rPr>
        <w:t>Buan</w:t>
      </w:r>
      <w:proofErr w:type="spellEnd"/>
      <w:r w:rsidRPr="005F1BEC">
        <w:rPr>
          <w:rFonts w:ascii="Arial" w:eastAsia="Arial" w:hAnsi="Arial" w:cs="Arial"/>
          <w:color w:val="000000"/>
        </w:rPr>
        <w:t>, M. L. O., Carreon, A. B. G., &amp; Ochoa, M. J. D. (2016). Employability and achievement of program educational objectives: A graduate tracer study for industrial engineering (IE), engineering management (EMG), and service engineering management (SEM) programs of an HEI in the Philippines. In Proceedings of the International Conference on Industrial Engineering and Operations Management (pp. 2565–2574).</w:t>
      </w:r>
    </w:p>
    <w:p w14:paraId="293141D8"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Hattie, J. A., &amp; Learning, V. (2009). A synthesis of over 800 meta-analyses relating to achievement. New York: Routledge.</w:t>
      </w:r>
    </w:p>
    <w:p w14:paraId="633A37FC"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Hennessy, S., D’Angelo, S., McIntyre, N., </w:t>
      </w:r>
      <w:proofErr w:type="spellStart"/>
      <w:r w:rsidRPr="005F1BEC">
        <w:rPr>
          <w:rFonts w:ascii="Arial" w:eastAsia="Arial" w:hAnsi="Arial" w:cs="Arial"/>
          <w:color w:val="000000"/>
        </w:rPr>
        <w:t>Koomar</w:t>
      </w:r>
      <w:proofErr w:type="spellEnd"/>
      <w:r w:rsidRPr="005F1BEC">
        <w:rPr>
          <w:rFonts w:ascii="Arial" w:eastAsia="Arial" w:hAnsi="Arial" w:cs="Arial"/>
          <w:color w:val="000000"/>
        </w:rPr>
        <w:t xml:space="preserve">, S., </w:t>
      </w:r>
      <w:proofErr w:type="spellStart"/>
      <w:r w:rsidRPr="005F1BEC">
        <w:rPr>
          <w:rFonts w:ascii="Arial" w:eastAsia="Arial" w:hAnsi="Arial" w:cs="Arial"/>
          <w:color w:val="000000"/>
        </w:rPr>
        <w:t>Kreimeia</w:t>
      </w:r>
      <w:proofErr w:type="spellEnd"/>
      <w:r w:rsidRPr="005F1BEC">
        <w:rPr>
          <w:rFonts w:ascii="Arial" w:eastAsia="Arial" w:hAnsi="Arial" w:cs="Arial"/>
          <w:color w:val="000000"/>
        </w:rPr>
        <w:t xml:space="preserve">, A., Cao, L., </w:t>
      </w:r>
      <w:proofErr w:type="spellStart"/>
      <w:r w:rsidRPr="005F1BEC">
        <w:rPr>
          <w:rFonts w:ascii="Arial" w:eastAsia="Arial" w:hAnsi="Arial" w:cs="Arial"/>
          <w:color w:val="000000"/>
        </w:rPr>
        <w:t>Brugha</w:t>
      </w:r>
      <w:proofErr w:type="spellEnd"/>
      <w:r w:rsidRPr="005F1BEC">
        <w:rPr>
          <w:rFonts w:ascii="Arial" w:eastAsia="Arial" w:hAnsi="Arial" w:cs="Arial"/>
          <w:color w:val="000000"/>
        </w:rPr>
        <w:t xml:space="preserve">, M., &amp; </w:t>
      </w:r>
      <w:proofErr w:type="spellStart"/>
      <w:r w:rsidRPr="005F1BEC">
        <w:rPr>
          <w:rFonts w:ascii="Arial" w:eastAsia="Arial" w:hAnsi="Arial" w:cs="Arial"/>
          <w:color w:val="000000"/>
        </w:rPr>
        <w:t>Zubairi</w:t>
      </w:r>
      <w:proofErr w:type="spellEnd"/>
      <w:r w:rsidRPr="005F1BEC">
        <w:rPr>
          <w:rFonts w:ascii="Arial" w:eastAsia="Arial" w:hAnsi="Arial" w:cs="Arial"/>
          <w:color w:val="000000"/>
        </w:rPr>
        <w:t>, A. (2022). Technology use for teacher professional development in low- and middle-income countries: A systematic review. Computers and Education Open, 3, 100080. https://doi.org/10.1016/j.caeo.2022.100080</w:t>
      </w:r>
    </w:p>
    <w:p w14:paraId="6CD7B73A"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Hester, O. R., Bridges, S. A., &amp; Rollins, L. H. (2020). ‘Overworked and underappreciated’: Special education teachers describe stress and attrition. Teacher Development, 24(3), 348–365. https://doi.org/10.1080/13664530.2020.1767189</w:t>
      </w:r>
    </w:p>
    <w:p w14:paraId="04112D0C"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Kaiser, G., &amp; König, J. (2019). Competence measurement in (mathematics) teacher education and beyond: Implications for policy. Higher Education Policy, 32(4), 597–615. https://doi.org/10.1057/s41307-019-00139-z</w:t>
      </w:r>
    </w:p>
    <w:p w14:paraId="46D10FDD"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Khodadad</w:t>
      </w:r>
      <w:proofErr w:type="spellEnd"/>
      <w:r w:rsidRPr="005F1BEC">
        <w:rPr>
          <w:rFonts w:ascii="Arial" w:eastAsia="Arial" w:hAnsi="Arial" w:cs="Arial"/>
          <w:color w:val="000000"/>
        </w:rPr>
        <w:t>, D. (2023). Creating a supportive and effective learning environment for engineering students: Pedagogical strategies, engagement, and enhanced outcomes. International Journal of Engineering Pedagogy, 13(8), 33–50.</w:t>
      </w:r>
    </w:p>
    <w:p w14:paraId="018EBC90"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Kraft, M. A., &amp; Gilmour, A. F. (2016). Can principals promote teacher development as evaluators? A case study of principals’ views and experiences. Educational Administration Quarterly, 52(5), 711–753.</w:t>
      </w:r>
    </w:p>
    <w:p w14:paraId="01092465"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Manfra</w:t>
      </w:r>
      <w:proofErr w:type="spellEnd"/>
      <w:r w:rsidRPr="005F1BEC">
        <w:rPr>
          <w:rFonts w:ascii="Arial" w:eastAsia="Arial" w:hAnsi="Arial" w:cs="Arial"/>
          <w:color w:val="000000"/>
        </w:rPr>
        <w:t>, M. M. (2019). Action research and systematic, intentional change in teaching practice. Review of Research in Education, 43(1), 163–196. https://doi.org/10.3102/0091732x18821132</w:t>
      </w:r>
    </w:p>
    <w:p w14:paraId="3BE51BE9"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Nurhadi</w:t>
      </w:r>
      <w:proofErr w:type="spellEnd"/>
      <w:r w:rsidRPr="005F1BEC">
        <w:rPr>
          <w:rFonts w:ascii="Arial" w:eastAsia="Arial" w:hAnsi="Arial" w:cs="Arial"/>
          <w:color w:val="000000"/>
        </w:rPr>
        <w:t xml:space="preserve">, D., </w:t>
      </w:r>
      <w:proofErr w:type="spellStart"/>
      <w:r w:rsidRPr="005F1BEC">
        <w:rPr>
          <w:rFonts w:ascii="Arial" w:eastAsia="Arial" w:hAnsi="Arial" w:cs="Arial"/>
          <w:color w:val="000000"/>
        </w:rPr>
        <w:t>Wardani</w:t>
      </w:r>
      <w:proofErr w:type="spellEnd"/>
      <w:r w:rsidRPr="005F1BEC">
        <w:rPr>
          <w:rFonts w:ascii="Arial" w:eastAsia="Arial" w:hAnsi="Arial" w:cs="Arial"/>
          <w:color w:val="000000"/>
        </w:rPr>
        <w:t xml:space="preserve">, K. K., &amp; </w:t>
      </w:r>
      <w:proofErr w:type="spellStart"/>
      <w:r w:rsidRPr="005F1BEC">
        <w:rPr>
          <w:rFonts w:ascii="Arial" w:eastAsia="Arial" w:hAnsi="Arial" w:cs="Arial"/>
          <w:color w:val="000000"/>
        </w:rPr>
        <w:t>Haryono</w:t>
      </w:r>
      <w:proofErr w:type="spellEnd"/>
      <w:r w:rsidRPr="005F1BEC">
        <w:rPr>
          <w:rFonts w:ascii="Arial" w:eastAsia="Arial" w:hAnsi="Arial" w:cs="Arial"/>
          <w:color w:val="000000"/>
        </w:rPr>
        <w:t xml:space="preserve">, A. (2017). Analysis of teacher competence in implementing the 2013 curriculum for vocational high school teachers. </w:t>
      </w:r>
      <w:proofErr w:type="spellStart"/>
      <w:r w:rsidRPr="005F1BEC">
        <w:rPr>
          <w:rFonts w:ascii="Arial" w:eastAsia="Arial" w:hAnsi="Arial" w:cs="Arial"/>
          <w:color w:val="000000"/>
        </w:rPr>
        <w:t>Jurnal</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Teknologi</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Kejuruan</w:t>
      </w:r>
      <w:proofErr w:type="spellEnd"/>
      <w:r w:rsidRPr="005F1BEC">
        <w:rPr>
          <w:rFonts w:ascii="Arial" w:eastAsia="Arial" w:hAnsi="Arial" w:cs="Arial"/>
          <w:color w:val="000000"/>
        </w:rPr>
        <w:t xml:space="preserve">, dan </w:t>
      </w:r>
      <w:proofErr w:type="spellStart"/>
      <w:r w:rsidRPr="005F1BEC">
        <w:rPr>
          <w:rFonts w:ascii="Arial" w:eastAsia="Arial" w:hAnsi="Arial" w:cs="Arial"/>
          <w:color w:val="000000"/>
        </w:rPr>
        <w:t>Pengajarannya</w:t>
      </w:r>
      <w:proofErr w:type="spellEnd"/>
      <w:r w:rsidRPr="005F1BEC">
        <w:rPr>
          <w:rFonts w:ascii="Arial" w:eastAsia="Arial" w:hAnsi="Arial" w:cs="Arial"/>
          <w:color w:val="000000"/>
        </w:rPr>
        <w:t>.</w:t>
      </w:r>
    </w:p>
    <w:p w14:paraId="5F6C9654"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lastRenderedPageBreak/>
        <w:t xml:space="preserve">Okeke, C. I., &amp; </w:t>
      </w:r>
      <w:proofErr w:type="spellStart"/>
      <w:r w:rsidRPr="005F1BEC">
        <w:rPr>
          <w:rFonts w:ascii="Arial" w:eastAsia="Arial" w:hAnsi="Arial" w:cs="Arial"/>
          <w:color w:val="000000"/>
        </w:rPr>
        <w:t>Mtyuda</w:t>
      </w:r>
      <w:proofErr w:type="spellEnd"/>
      <w:r w:rsidRPr="005F1BEC">
        <w:rPr>
          <w:rFonts w:ascii="Arial" w:eastAsia="Arial" w:hAnsi="Arial" w:cs="Arial"/>
          <w:color w:val="000000"/>
        </w:rPr>
        <w:t>, P. N. (2017). Teacher job dissatisfaction: Implications for teacher sustainability and social transformation. Journal of Teacher Education for Sustainability, 19(1), 54–68. https://doi.org/10.1515/jtes-2017-0004</w:t>
      </w:r>
    </w:p>
    <w:p w14:paraId="63D008CD"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Okolie</w:t>
      </w:r>
      <w:proofErr w:type="spellEnd"/>
      <w:r w:rsidRPr="005F1BEC">
        <w:rPr>
          <w:rFonts w:ascii="Arial" w:eastAsia="Arial" w:hAnsi="Arial" w:cs="Arial"/>
          <w:color w:val="000000"/>
        </w:rPr>
        <w:t xml:space="preserve">, U. C., Nwosu, H. E., &amp; </w:t>
      </w:r>
      <w:proofErr w:type="spellStart"/>
      <w:r w:rsidRPr="005F1BEC">
        <w:rPr>
          <w:rFonts w:ascii="Arial" w:eastAsia="Arial" w:hAnsi="Arial" w:cs="Arial"/>
          <w:color w:val="000000"/>
        </w:rPr>
        <w:t>Mlanga</w:t>
      </w:r>
      <w:proofErr w:type="spellEnd"/>
      <w:r w:rsidRPr="005F1BEC">
        <w:rPr>
          <w:rFonts w:ascii="Arial" w:eastAsia="Arial" w:hAnsi="Arial" w:cs="Arial"/>
          <w:color w:val="000000"/>
        </w:rPr>
        <w:t>, S. (2019). Graduate employability. Higher Education Skills and Work-Based Learning, 9(4), 620–636. https://doi.org/10.1108/heswbl-09-2018-0089</w:t>
      </w:r>
    </w:p>
    <w:p w14:paraId="3EEE9D14"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Orleans, A. V. (2007). The condition of secondary school physics education in the Philippines: Recent developments and remaining challenges for substantive improvements. The Australian Educational Researcher, 34(1), 33–54.</w:t>
      </w:r>
    </w:p>
    <w:p w14:paraId="630CE4BA"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Orr, M. A. (2024). A community of collaboration: Putting pathways into practice at a comprehensive high school [Doctoral dissertation, Northeastern University].</w:t>
      </w:r>
    </w:p>
    <w:p w14:paraId="00AF92F5"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Otermans</w:t>
      </w:r>
      <w:proofErr w:type="spellEnd"/>
      <w:r w:rsidRPr="005F1BEC">
        <w:rPr>
          <w:rFonts w:ascii="Arial" w:eastAsia="Arial" w:hAnsi="Arial" w:cs="Arial"/>
          <w:color w:val="000000"/>
        </w:rPr>
        <w:t xml:space="preserve">, P. C., </w:t>
      </w:r>
      <w:proofErr w:type="spellStart"/>
      <w:r w:rsidRPr="005F1BEC">
        <w:rPr>
          <w:rFonts w:ascii="Arial" w:eastAsia="Arial" w:hAnsi="Arial" w:cs="Arial"/>
          <w:color w:val="000000"/>
        </w:rPr>
        <w:t>Nagada</w:t>
      </w:r>
      <w:proofErr w:type="spellEnd"/>
      <w:r w:rsidRPr="005F1BEC">
        <w:rPr>
          <w:rFonts w:ascii="Arial" w:eastAsia="Arial" w:hAnsi="Arial" w:cs="Arial"/>
          <w:color w:val="000000"/>
        </w:rPr>
        <w:t>, U., Aditya, D., &amp; Pereira, M. (2024). A systematic literature review of teaching employability: A focus on soft skills. [Journal not specified – citation incomplete]</w:t>
      </w:r>
    </w:p>
    <w:p w14:paraId="6AA57D3E"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Pacpaco</w:t>
      </w:r>
      <w:proofErr w:type="spellEnd"/>
      <w:r w:rsidRPr="005F1BEC">
        <w:rPr>
          <w:rFonts w:ascii="Arial" w:eastAsia="Arial" w:hAnsi="Arial" w:cs="Arial"/>
          <w:color w:val="000000"/>
        </w:rPr>
        <w:t xml:space="preserve">, E. R., Romo, N. C. V., &amp; </w:t>
      </w:r>
      <w:proofErr w:type="spellStart"/>
      <w:r w:rsidRPr="005F1BEC">
        <w:rPr>
          <w:rFonts w:ascii="Arial" w:eastAsia="Arial" w:hAnsi="Arial" w:cs="Arial"/>
          <w:color w:val="000000"/>
        </w:rPr>
        <w:t>Galapon</w:t>
      </w:r>
      <w:proofErr w:type="spellEnd"/>
      <w:r w:rsidRPr="005F1BEC">
        <w:rPr>
          <w:rFonts w:ascii="Arial" w:eastAsia="Arial" w:hAnsi="Arial" w:cs="Arial"/>
          <w:color w:val="000000"/>
        </w:rPr>
        <w:t>, E. U. (2022). Performance of the pre-service teachers. Scientific International Journal. https://www.researchgate.net/publication/373166956</w:t>
      </w:r>
    </w:p>
    <w:p w14:paraId="69C2B539"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Panlaqui</w:t>
      </w:r>
      <w:proofErr w:type="spellEnd"/>
      <w:r w:rsidRPr="005F1BEC">
        <w:rPr>
          <w:rFonts w:ascii="Arial" w:eastAsia="Arial" w:hAnsi="Arial" w:cs="Arial"/>
          <w:color w:val="000000"/>
        </w:rPr>
        <w:t xml:space="preserve">, C. P., </w:t>
      </w:r>
      <w:proofErr w:type="spellStart"/>
      <w:r w:rsidRPr="005F1BEC">
        <w:rPr>
          <w:rFonts w:ascii="Arial" w:eastAsia="Arial" w:hAnsi="Arial" w:cs="Arial"/>
          <w:color w:val="000000"/>
        </w:rPr>
        <w:t>Bardemorilla</w:t>
      </w:r>
      <w:proofErr w:type="spellEnd"/>
      <w:r w:rsidRPr="005F1BEC">
        <w:rPr>
          <w:rFonts w:ascii="Arial" w:eastAsia="Arial" w:hAnsi="Arial" w:cs="Arial"/>
          <w:color w:val="000000"/>
        </w:rPr>
        <w:t>, N. G., &amp; Monica, R. C. (2022). Perceptions of selected employers on the job performance of BEED graduates. https://www.researchgate.net/publication/364243480</w:t>
      </w:r>
    </w:p>
    <w:p w14:paraId="6DAF411E"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Pardo, C. G., &amp; </w:t>
      </w:r>
      <w:proofErr w:type="spellStart"/>
      <w:r w:rsidRPr="005F1BEC">
        <w:rPr>
          <w:rFonts w:ascii="Arial" w:eastAsia="Arial" w:hAnsi="Arial" w:cs="Arial"/>
          <w:color w:val="000000"/>
        </w:rPr>
        <w:t>Pichay</w:t>
      </w:r>
      <w:proofErr w:type="spellEnd"/>
      <w:r w:rsidRPr="005F1BEC">
        <w:rPr>
          <w:rFonts w:ascii="Arial" w:eastAsia="Arial" w:hAnsi="Arial" w:cs="Arial"/>
          <w:color w:val="000000"/>
        </w:rPr>
        <w:t>, J. P. (2019). A tracer study on the College of Teacher Education graduates of a university in Northern Philippines. The Vector: International Journal of Emerging Science, Technology and Management, 28(1).</w:t>
      </w:r>
    </w:p>
    <w:p w14:paraId="77620DF0"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Pascua, J. B., &amp; </w:t>
      </w:r>
      <w:proofErr w:type="spellStart"/>
      <w:r w:rsidRPr="005F1BEC">
        <w:rPr>
          <w:rFonts w:ascii="Arial" w:eastAsia="Arial" w:hAnsi="Arial" w:cs="Arial"/>
          <w:color w:val="000000"/>
        </w:rPr>
        <w:t>Navalta</w:t>
      </w:r>
      <w:proofErr w:type="spellEnd"/>
      <w:r w:rsidRPr="005F1BEC">
        <w:rPr>
          <w:rFonts w:ascii="Arial" w:eastAsia="Arial" w:hAnsi="Arial" w:cs="Arial"/>
          <w:color w:val="000000"/>
        </w:rPr>
        <w:t>, J. D. (2011). Determinants of LET performance of the teacher education graduates in a state university. JPAIR Multidisciplinary Research, 6(1), 90–102.</w:t>
      </w:r>
    </w:p>
    <w:p w14:paraId="100B61C6"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Mlambo, Y., Nielsen, A., </w:t>
      </w:r>
      <w:proofErr w:type="spellStart"/>
      <w:r w:rsidRPr="005F1BEC">
        <w:rPr>
          <w:rFonts w:ascii="Arial" w:eastAsia="Arial" w:hAnsi="Arial" w:cs="Arial"/>
          <w:color w:val="000000"/>
        </w:rPr>
        <w:t>Silova</w:t>
      </w:r>
      <w:proofErr w:type="spellEnd"/>
      <w:r w:rsidRPr="005F1BEC">
        <w:rPr>
          <w:rFonts w:ascii="Arial" w:eastAsia="Arial" w:hAnsi="Arial" w:cs="Arial"/>
          <w:color w:val="000000"/>
        </w:rPr>
        <w:t xml:space="preserve">, I., Wolfenden, F., </w:t>
      </w:r>
      <w:proofErr w:type="spellStart"/>
      <w:r w:rsidRPr="005F1BEC">
        <w:rPr>
          <w:rFonts w:ascii="Arial" w:eastAsia="Arial" w:hAnsi="Arial" w:cs="Arial"/>
          <w:color w:val="000000"/>
        </w:rPr>
        <w:t>Rafaeli</w:t>
      </w:r>
      <w:proofErr w:type="spellEnd"/>
      <w:r w:rsidRPr="005F1BEC">
        <w:rPr>
          <w:rFonts w:ascii="Arial" w:eastAsia="Arial" w:hAnsi="Arial" w:cs="Arial"/>
          <w:color w:val="000000"/>
        </w:rPr>
        <w:t>, T., &amp; Jones, C. (2019). Redesigning the education workforce: A design thinking approach.</w:t>
      </w:r>
    </w:p>
    <w:p w14:paraId="2C990AF9" w14:textId="3AA7A51F" w:rsidR="005F1BEC" w:rsidRPr="000C043C" w:rsidRDefault="005F1BEC" w:rsidP="000C043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Reyes, W., </w:t>
      </w:r>
      <w:proofErr w:type="spellStart"/>
      <w:r w:rsidRPr="005F1BEC">
        <w:rPr>
          <w:rFonts w:ascii="Arial" w:eastAsia="Arial" w:hAnsi="Arial" w:cs="Arial"/>
          <w:color w:val="000000"/>
        </w:rPr>
        <w:t>Bayten</w:t>
      </w:r>
      <w:proofErr w:type="spellEnd"/>
      <w:r w:rsidRPr="005F1BEC">
        <w:rPr>
          <w:rFonts w:ascii="Arial" w:eastAsia="Arial" w:hAnsi="Arial" w:cs="Arial"/>
          <w:color w:val="000000"/>
        </w:rPr>
        <w:t>, E., &amp; Mercado, F. (2021). Differences in gender perceptions of higher education institutions (HEI) students and teachers on STEAM education. The Normal Lights, 15(2</w:t>
      </w:r>
      <w:proofErr w:type="gramStart"/>
      <w:r w:rsidRPr="005F1BEC">
        <w:rPr>
          <w:rFonts w:ascii="Arial" w:eastAsia="Arial" w:hAnsi="Arial" w:cs="Arial"/>
          <w:color w:val="000000"/>
        </w:rPr>
        <w:t>).</w:t>
      </w:r>
      <w:r w:rsidRPr="000C043C">
        <w:rPr>
          <w:rFonts w:ascii="Arial" w:eastAsia="Arial" w:hAnsi="Arial" w:cs="Arial"/>
          <w:color w:val="000000"/>
        </w:rPr>
        <w:t>.</w:t>
      </w:r>
      <w:proofErr w:type="gramEnd"/>
    </w:p>
    <w:p w14:paraId="5533A454"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Rubio, J., &amp; Saenz, C. (2023). Pre-service teacher competence in a teacher education institution. The Quest: Journal of Multidisciplinary Research and Development, 2(2).</w:t>
      </w:r>
    </w:p>
    <w:p w14:paraId="793209C8"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Salendab</w:t>
      </w:r>
      <w:proofErr w:type="spellEnd"/>
      <w:r w:rsidRPr="005F1BEC">
        <w:rPr>
          <w:rFonts w:ascii="Arial" w:eastAsia="Arial" w:hAnsi="Arial" w:cs="Arial"/>
          <w:color w:val="000000"/>
        </w:rPr>
        <w:t xml:space="preserve">, F. A., &amp; </w:t>
      </w:r>
      <w:proofErr w:type="spellStart"/>
      <w:r w:rsidRPr="005F1BEC">
        <w:rPr>
          <w:rFonts w:ascii="Arial" w:eastAsia="Arial" w:hAnsi="Arial" w:cs="Arial"/>
          <w:color w:val="000000"/>
        </w:rPr>
        <w:t>Dapitan</w:t>
      </w:r>
      <w:proofErr w:type="spellEnd"/>
      <w:r w:rsidRPr="005F1BEC">
        <w:rPr>
          <w:rFonts w:ascii="Arial" w:eastAsia="Arial" w:hAnsi="Arial" w:cs="Arial"/>
          <w:color w:val="000000"/>
        </w:rPr>
        <w:t>, Y. C. (2021). Performance of private higher education institutions and the school heads’ supervision in South Central Mindanao. Psychology and Education, 58(3), 3980–3997.</w:t>
      </w:r>
    </w:p>
    <w:p w14:paraId="0FAE28BB"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Salendab</w:t>
      </w:r>
      <w:proofErr w:type="spellEnd"/>
      <w:r w:rsidRPr="005F1BEC">
        <w:rPr>
          <w:rFonts w:ascii="Arial" w:eastAsia="Arial" w:hAnsi="Arial" w:cs="Arial"/>
          <w:color w:val="000000"/>
        </w:rPr>
        <w:t xml:space="preserve">, F. A., </w:t>
      </w:r>
      <w:proofErr w:type="spellStart"/>
      <w:r w:rsidRPr="005F1BEC">
        <w:rPr>
          <w:rFonts w:ascii="Arial" w:eastAsia="Arial" w:hAnsi="Arial" w:cs="Arial"/>
          <w:color w:val="000000"/>
        </w:rPr>
        <w:t>Ocariza</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Salendab</w:t>
      </w:r>
      <w:proofErr w:type="spellEnd"/>
      <w:r w:rsidRPr="005F1BEC">
        <w:rPr>
          <w:rFonts w:ascii="Arial" w:eastAsia="Arial" w:hAnsi="Arial" w:cs="Arial"/>
          <w:color w:val="000000"/>
        </w:rPr>
        <w:t xml:space="preserve">, R. L. A., &amp; Sanchez, R. D. (2023). Employers’ feedback on the performance of Bachelor of Elementary Education (BEED) graduates in the workplace: A </w:t>
      </w:r>
      <w:proofErr w:type="gramStart"/>
      <w:r w:rsidRPr="005F1BEC">
        <w:rPr>
          <w:rFonts w:ascii="Arial" w:eastAsia="Arial" w:hAnsi="Arial" w:cs="Arial"/>
          <w:color w:val="000000"/>
        </w:rPr>
        <w:t>pre deployment</w:t>
      </w:r>
      <w:proofErr w:type="gramEnd"/>
      <w:r w:rsidRPr="005F1BEC">
        <w:rPr>
          <w:rFonts w:ascii="Arial" w:eastAsia="Arial" w:hAnsi="Arial" w:cs="Arial"/>
          <w:color w:val="000000"/>
        </w:rPr>
        <w:t xml:space="preserve"> training remediation implications. International Journal of Open access, Interdisciplinary and New Educational Discoveries of ETCOR Educational Research Center (</w:t>
      </w:r>
      <w:proofErr w:type="spellStart"/>
      <w:r w:rsidRPr="005F1BEC">
        <w:rPr>
          <w:rFonts w:ascii="Arial" w:eastAsia="Arial" w:hAnsi="Arial" w:cs="Arial"/>
          <w:color w:val="000000"/>
        </w:rPr>
        <w:t>iJOINED</w:t>
      </w:r>
      <w:proofErr w:type="spellEnd"/>
      <w:r w:rsidRPr="005F1BEC">
        <w:rPr>
          <w:rFonts w:ascii="Arial" w:eastAsia="Arial" w:hAnsi="Arial" w:cs="Arial"/>
          <w:color w:val="000000"/>
        </w:rPr>
        <w:t xml:space="preserve"> ETCOR), 2(3), 882–897. https://etcor.org/storage/iJOINED/Vol.%20II(3),%20882-897.pdf</w:t>
      </w:r>
    </w:p>
    <w:p w14:paraId="275D5724"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Salvador, C. N. L. (2024). Evaluating MOL Magsaysay Maritime Academy’s educational program: Performance of first graduates and stakeholders’ feedback. Asia Pacific Journal of Advanced Education and Technology, 3(3).</w:t>
      </w:r>
    </w:p>
    <w:p w14:paraId="42E4C550"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Samonte</w:t>
      </w:r>
      <w:proofErr w:type="spellEnd"/>
      <w:r w:rsidRPr="005F1BEC">
        <w:rPr>
          <w:rFonts w:ascii="Arial" w:eastAsia="Arial" w:hAnsi="Arial" w:cs="Arial"/>
          <w:color w:val="000000"/>
        </w:rPr>
        <w:t>, K., &amp; De Guzman, P. (2018). Predictors of internship performance among graduating teacher education of Nueva Ecija University of Science and Technology. JPAIR Institutional Research, 11(1), 92–109.</w:t>
      </w:r>
    </w:p>
    <w:p w14:paraId="08176575"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Sari, T., &amp; </w:t>
      </w:r>
      <w:proofErr w:type="spellStart"/>
      <w:r w:rsidRPr="005F1BEC">
        <w:rPr>
          <w:rFonts w:ascii="Arial" w:eastAsia="Arial" w:hAnsi="Arial" w:cs="Arial"/>
          <w:color w:val="000000"/>
        </w:rPr>
        <w:t>Nayır</w:t>
      </w:r>
      <w:proofErr w:type="spellEnd"/>
      <w:r w:rsidRPr="005F1BEC">
        <w:rPr>
          <w:rFonts w:ascii="Arial" w:eastAsia="Arial" w:hAnsi="Arial" w:cs="Arial"/>
          <w:color w:val="000000"/>
        </w:rPr>
        <w:t>, F. (2020). Challenges in distance education during the (COVID 19) pandemic period. Qualitative Research in Education, 9(3), 328. https://doi.org/10.17583/qre.2020.5872</w:t>
      </w:r>
    </w:p>
    <w:p w14:paraId="1204A8B5"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Skowronski</w:t>
      </w:r>
      <w:proofErr w:type="spellEnd"/>
      <w:r w:rsidRPr="005F1BEC">
        <w:rPr>
          <w:rFonts w:ascii="Arial" w:eastAsia="Arial" w:hAnsi="Arial" w:cs="Arial"/>
          <w:color w:val="000000"/>
        </w:rPr>
        <w:t xml:space="preserve">, M. S., &amp; </w:t>
      </w:r>
      <w:proofErr w:type="spellStart"/>
      <w:r w:rsidRPr="005F1BEC">
        <w:rPr>
          <w:rFonts w:ascii="Arial" w:eastAsia="Arial" w:hAnsi="Arial" w:cs="Arial"/>
          <w:color w:val="000000"/>
        </w:rPr>
        <w:t>Shivarajan</w:t>
      </w:r>
      <w:proofErr w:type="spellEnd"/>
      <w:r w:rsidRPr="005F1BEC">
        <w:rPr>
          <w:rFonts w:ascii="Arial" w:eastAsia="Arial" w:hAnsi="Arial" w:cs="Arial"/>
          <w:color w:val="000000"/>
        </w:rPr>
        <w:t>, S. (2024). Using “mini mock trials” to explore the legalities and ethics of federal court cases. Management Teaching Review. https://doi.org/10.1177/23792981241299760</w:t>
      </w:r>
    </w:p>
    <w:p w14:paraId="6907DB67"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lastRenderedPageBreak/>
        <w:t>Tapadera</w:t>
      </w:r>
      <w:proofErr w:type="spellEnd"/>
      <w:r w:rsidRPr="005F1BEC">
        <w:rPr>
          <w:rFonts w:ascii="Arial" w:eastAsia="Arial" w:hAnsi="Arial" w:cs="Arial"/>
          <w:color w:val="000000"/>
        </w:rPr>
        <w:t xml:space="preserve">, M. R., Tomas, M. J. L., Andres, D. M., </w:t>
      </w:r>
      <w:proofErr w:type="spellStart"/>
      <w:r w:rsidRPr="005F1BEC">
        <w:rPr>
          <w:rFonts w:ascii="Arial" w:eastAsia="Arial" w:hAnsi="Arial" w:cs="Arial"/>
          <w:color w:val="000000"/>
        </w:rPr>
        <w:t>Cabacungan</w:t>
      </w:r>
      <w:proofErr w:type="spellEnd"/>
      <w:r w:rsidRPr="005F1BEC">
        <w:rPr>
          <w:rFonts w:ascii="Arial" w:eastAsia="Arial" w:hAnsi="Arial" w:cs="Arial"/>
          <w:color w:val="000000"/>
        </w:rPr>
        <w:t>, M. A. A., Cortez, A. O., De Guzman, D. D., ... &amp; Veloso, L. D. (2024). Assessing job performance: Employers’ feedback on Bachelor of Elementary Education graduates of Nueva Ecija University of Science and Technology. Journal of Education and Teaching (JET), 5(2), 201–214.</w:t>
      </w:r>
    </w:p>
    <w:p w14:paraId="50D384B9"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Toledo, W. A., &amp; Western Leyte College. (2025). Resource management strategies of school head in supporting MATATAG curriculum and performance of teachers and learners. International Journal of Advanced Multidisciplinary Studies, 5(3), 442–443. https://www.ijams-bbp.net/wp-content/uploads/2025/04/WELFE-A.-TOLEDO.pdf</w:t>
      </w:r>
    </w:p>
    <w:p w14:paraId="1C7782C1"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Trygstad</w:t>
      </w:r>
      <w:proofErr w:type="spellEnd"/>
      <w:r w:rsidRPr="005F1BEC">
        <w:rPr>
          <w:rFonts w:ascii="Arial" w:eastAsia="Arial" w:hAnsi="Arial" w:cs="Arial"/>
          <w:color w:val="000000"/>
        </w:rPr>
        <w:t>, P. J. (2020). A comparison of novice and veteran science teachers: Data from the 2018 NSSME+. Horizon Research, Inc.</w:t>
      </w:r>
    </w:p>
    <w:p w14:paraId="062AE6A2" w14:textId="77777777" w:rsidR="005F1BEC" w:rsidRPr="005F1BEC" w:rsidRDefault="005F1BE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Williams, K., &amp; Hebert, D. (2020). Teacher evaluation systems: A literature review on issues and impact. Research Issues in Contemporary Education, 5(1), 42–50.</w:t>
      </w:r>
    </w:p>
    <w:p w14:paraId="2410044D" w14:textId="0EF5254C" w:rsidR="00026464" w:rsidRPr="005F1BEC" w:rsidRDefault="00026464" w:rsidP="003D2F31">
      <w:pPr>
        <w:pBdr>
          <w:top w:val="nil"/>
          <w:left w:val="nil"/>
          <w:bottom w:val="nil"/>
          <w:right w:val="nil"/>
          <w:between w:val="nil"/>
        </w:pBdr>
        <w:ind w:left="360"/>
        <w:jc w:val="both"/>
        <w:rPr>
          <w:rFonts w:ascii="Arial" w:eastAsia="Arial" w:hAnsi="Arial" w:cs="Arial"/>
          <w:color w:val="000000"/>
          <w:highlight w:val="white"/>
        </w:rPr>
      </w:pPr>
    </w:p>
    <w:sectPr w:rsidR="00026464" w:rsidRPr="005F1BEC" w:rsidSect="00867AF2">
      <w:headerReference w:type="even" r:id="rId14"/>
      <w:headerReference w:type="default" r:id="rId15"/>
      <w:footerReference w:type="default" r:id="rId16"/>
      <w:headerReference w:type="first" r:id="rId17"/>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D97A1" w14:textId="77777777" w:rsidR="00655BFB" w:rsidRDefault="00655BFB">
      <w:r>
        <w:separator/>
      </w:r>
    </w:p>
  </w:endnote>
  <w:endnote w:type="continuationSeparator" w:id="0">
    <w:p w14:paraId="18017123" w14:textId="77777777" w:rsidR="00655BFB" w:rsidRDefault="0065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1" w:fontKey="{35C9EDAF-573D-4AEC-B172-2572BF124C5A}"/>
    <w:embedBold r:id="rId2" w:fontKey="{BE1628F8-BB93-4EF4-B48E-DF57ED4EC459}"/>
  </w:font>
  <w:font w:name="Georgia">
    <w:panose1 w:val="02040502050405020303"/>
    <w:charset w:val="00"/>
    <w:family w:val="roman"/>
    <w:pitch w:val="variable"/>
    <w:sig w:usb0="00000287" w:usb1="00000000" w:usb2="00000000" w:usb3="00000000" w:csb0="0000009F" w:csb1="00000000"/>
    <w:embedRegular r:id="rId3" w:fontKey="{386F52F5-FB82-4E2A-8EEF-38FBEC2108CC}"/>
    <w:embedItalic r:id="rId4" w:fontKey="{8C882310-67C6-4D9F-B189-79FB73A16EA0}"/>
  </w:font>
  <w:font w:name="Calibri">
    <w:panose1 w:val="020F0502020204030204"/>
    <w:charset w:val="00"/>
    <w:family w:val="swiss"/>
    <w:pitch w:val="variable"/>
    <w:sig w:usb0="E1002AFF" w:usb1="4000ACFF" w:usb2="00000009" w:usb3="00000000" w:csb0="000001FF" w:csb1="00000000"/>
    <w:embedRegular r:id="rId5" w:fontKey="{6D14D47B-12BE-4B82-B5FA-9AF6AC1E2139}"/>
  </w:font>
  <w:font w:name="Cambria">
    <w:panose1 w:val="02040503050406030204"/>
    <w:charset w:val="00"/>
    <w:family w:val="roman"/>
    <w:pitch w:val="variable"/>
    <w:sig w:usb0="E00006FF" w:usb1="420024FF" w:usb2="02000000" w:usb3="00000000" w:csb0="0000019F" w:csb1="00000000"/>
    <w:embedRegular r:id="rId6" w:fontKey="{ED156F7A-EAD9-4A55-A3F5-C0C1F2C198DF}"/>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624A8" w14:textId="77777777" w:rsidR="00867AF2" w:rsidRDefault="00867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2680" w14:textId="3E9047F7" w:rsidR="009C4469" w:rsidRDefault="009C446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3B86" w14:textId="77777777" w:rsidR="009C4469" w:rsidRDefault="009C446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2E1702E" w14:textId="77777777" w:rsidR="009C4469" w:rsidRDefault="009C446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D9948C9" w14:textId="77777777" w:rsidR="009C4469" w:rsidRDefault="009C446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C8A2A14" w14:textId="77777777" w:rsidR="009C4469" w:rsidRDefault="009C446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9C4469" w:rsidRDefault="009C446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2AC7D" w14:textId="77777777" w:rsidR="00655BFB" w:rsidRDefault="00655BFB">
      <w:r>
        <w:separator/>
      </w:r>
    </w:p>
  </w:footnote>
  <w:footnote w:type="continuationSeparator" w:id="0">
    <w:p w14:paraId="21356FB8" w14:textId="77777777" w:rsidR="00655BFB" w:rsidRDefault="00655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673B6" w14:textId="55BB2924" w:rsidR="00867AF2" w:rsidRDefault="00867AF2">
    <w:pPr>
      <w:pStyle w:val="Header"/>
    </w:pPr>
    <w:r>
      <w:rPr>
        <w:noProof/>
      </w:rPr>
      <w:pict w14:anchorId="63768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9504" w14:textId="7A11672F" w:rsidR="00867AF2" w:rsidRDefault="00867AF2">
    <w:pPr>
      <w:pStyle w:val="Header"/>
    </w:pPr>
    <w:r>
      <w:rPr>
        <w:noProof/>
      </w:rPr>
      <w:pict w14:anchorId="08C14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74B28F17" w:rsidR="009C4469" w:rsidRDefault="00867AF2">
    <w:pPr>
      <w:ind w:left="2160"/>
      <w:jc w:val="center"/>
      <w:rPr>
        <w:rFonts w:ascii="Times New Roman" w:eastAsia="Times New Roman" w:hAnsi="Times New Roman" w:cs="Times New Roman"/>
        <w:i/>
        <w:sz w:val="18"/>
        <w:szCs w:val="18"/>
      </w:rPr>
    </w:pPr>
    <w:r>
      <w:rPr>
        <w:noProof/>
      </w:rPr>
      <w:pict w14:anchorId="4B00B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E516F4F" w14:textId="77777777" w:rsidR="009C4469" w:rsidRDefault="009C446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9C4469" w:rsidRDefault="009C446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9C4469" w:rsidRDefault="009C446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9C4469" w:rsidRDefault="009C446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9C4469" w:rsidRDefault="009C446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9C4469" w:rsidRDefault="009C446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057E" w14:textId="7FBAD0AE" w:rsidR="00867AF2" w:rsidRDefault="00867AF2">
    <w:pPr>
      <w:pStyle w:val="Header"/>
    </w:pPr>
    <w:r>
      <w:rPr>
        <w:noProof/>
      </w:rPr>
      <w:pict w14:anchorId="7DC81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D05B" w14:textId="7156EBE5" w:rsidR="00867AF2" w:rsidRDefault="00867AF2">
    <w:pPr>
      <w:pStyle w:val="Header"/>
    </w:pPr>
    <w:r>
      <w:rPr>
        <w:noProof/>
      </w:rPr>
      <w:pict w14:anchorId="60211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C88B" w14:textId="6D058C29" w:rsidR="00867AF2" w:rsidRDefault="00867AF2">
    <w:pPr>
      <w:pStyle w:val="Header"/>
    </w:pPr>
    <w:r>
      <w:rPr>
        <w:noProof/>
      </w:rPr>
      <w:pict w14:anchorId="0E264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CF2669"/>
    <w:multiLevelType w:val="multilevel"/>
    <w:tmpl w:val="C5CF26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D0614671"/>
    <w:multiLevelType w:val="singleLevel"/>
    <w:tmpl w:val="D0614671"/>
    <w:lvl w:ilvl="0">
      <w:start w:val="2"/>
      <w:numFmt w:val="decimal"/>
      <w:lvlText w:val="%1."/>
      <w:lvlJc w:val="left"/>
      <w:pPr>
        <w:tabs>
          <w:tab w:val="left" w:pos="432"/>
        </w:tabs>
        <w:ind w:left="432" w:hanging="432"/>
      </w:pPr>
      <w:rPr>
        <w:rFonts w:hint="default"/>
      </w:rPr>
    </w:lvl>
  </w:abstractNum>
  <w:abstractNum w:abstractNumId="2" w15:restartNumberingAfterBreak="0">
    <w:nsid w:val="D4F1A713"/>
    <w:multiLevelType w:val="singleLevel"/>
    <w:tmpl w:val="D4F1A713"/>
    <w:lvl w:ilvl="0">
      <w:start w:val="1"/>
      <w:numFmt w:val="decimal"/>
      <w:lvlText w:val="%1."/>
      <w:lvlJc w:val="left"/>
      <w:pPr>
        <w:tabs>
          <w:tab w:val="left" w:pos="425"/>
        </w:tabs>
        <w:ind w:left="425" w:hanging="425"/>
      </w:pPr>
      <w:rPr>
        <w:rFonts w:hint="default"/>
      </w:rPr>
    </w:lvl>
  </w:abstractNum>
  <w:abstractNum w:abstractNumId="3" w15:restartNumberingAfterBreak="0">
    <w:nsid w:val="DAA87032"/>
    <w:multiLevelType w:val="multilevel"/>
    <w:tmpl w:val="DAA8703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0AF64AB"/>
    <w:multiLevelType w:val="hybridMultilevel"/>
    <w:tmpl w:val="2AD6D6A8"/>
    <w:lvl w:ilvl="0" w:tplc="984658A0">
      <w:start w:val="5"/>
      <w:numFmt w:val="bullet"/>
      <w:lvlText w:val="•"/>
      <w:lvlJc w:val="left"/>
      <w:pPr>
        <w:ind w:left="1608" w:hanging="888"/>
      </w:pPr>
      <w:rPr>
        <w:rFonts w:ascii="Arial" w:eastAsia="Arial" w:hAnsi="Arial" w:cs="Arial" w:hint="default"/>
      </w:rPr>
    </w:lvl>
    <w:lvl w:ilvl="1" w:tplc="9B685484">
      <w:start w:val="5"/>
      <w:numFmt w:val="bullet"/>
      <w:lvlText w:val=""/>
      <w:lvlJc w:val="left"/>
      <w:pPr>
        <w:ind w:left="1968" w:hanging="888"/>
      </w:pPr>
      <w:rPr>
        <w:rFonts w:ascii="Symbol" w:eastAsia="Arial" w:hAnsi="Symbo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E36341"/>
    <w:multiLevelType w:val="hybridMultilevel"/>
    <w:tmpl w:val="F4EA732A"/>
    <w:lvl w:ilvl="0" w:tplc="D35ACA98">
      <w:start w:val="1"/>
      <w:numFmt w:val="decimal"/>
      <w:lvlText w:val="%1."/>
      <w:lvlJc w:val="left"/>
      <w:pPr>
        <w:ind w:left="1440" w:hanging="360"/>
      </w:pPr>
    </w:lvl>
    <w:lvl w:ilvl="1" w:tplc="B6E4D31E" w:tentative="1">
      <w:start w:val="1"/>
      <w:numFmt w:val="lowerLetter"/>
      <w:lvlText w:val="%2."/>
      <w:lvlJc w:val="left"/>
      <w:pPr>
        <w:ind w:left="2160" w:hanging="360"/>
      </w:pPr>
    </w:lvl>
    <w:lvl w:ilvl="2" w:tplc="D1F0A13E" w:tentative="1">
      <w:start w:val="1"/>
      <w:numFmt w:val="lowerRoman"/>
      <w:lvlText w:val="%3."/>
      <w:lvlJc w:val="right"/>
      <w:pPr>
        <w:ind w:left="2880" w:hanging="180"/>
      </w:pPr>
    </w:lvl>
    <w:lvl w:ilvl="3" w:tplc="59D0E274" w:tentative="1">
      <w:start w:val="1"/>
      <w:numFmt w:val="decimal"/>
      <w:lvlText w:val="%4."/>
      <w:lvlJc w:val="left"/>
      <w:pPr>
        <w:ind w:left="3600" w:hanging="360"/>
      </w:pPr>
    </w:lvl>
    <w:lvl w:ilvl="4" w:tplc="42B218F4" w:tentative="1">
      <w:start w:val="1"/>
      <w:numFmt w:val="lowerLetter"/>
      <w:lvlText w:val="%5."/>
      <w:lvlJc w:val="left"/>
      <w:pPr>
        <w:ind w:left="4320" w:hanging="360"/>
      </w:pPr>
    </w:lvl>
    <w:lvl w:ilvl="5" w:tplc="9A08B59A" w:tentative="1">
      <w:start w:val="1"/>
      <w:numFmt w:val="lowerRoman"/>
      <w:lvlText w:val="%6."/>
      <w:lvlJc w:val="right"/>
      <w:pPr>
        <w:ind w:left="5040" w:hanging="180"/>
      </w:pPr>
    </w:lvl>
    <w:lvl w:ilvl="6" w:tplc="81D0A258" w:tentative="1">
      <w:start w:val="1"/>
      <w:numFmt w:val="decimal"/>
      <w:lvlText w:val="%7."/>
      <w:lvlJc w:val="left"/>
      <w:pPr>
        <w:ind w:left="5760" w:hanging="360"/>
      </w:pPr>
    </w:lvl>
    <w:lvl w:ilvl="7" w:tplc="AC98C1FC" w:tentative="1">
      <w:start w:val="1"/>
      <w:numFmt w:val="lowerLetter"/>
      <w:lvlText w:val="%8."/>
      <w:lvlJc w:val="left"/>
      <w:pPr>
        <w:ind w:left="6480" w:hanging="360"/>
      </w:pPr>
    </w:lvl>
    <w:lvl w:ilvl="8" w:tplc="8DBA97AC" w:tentative="1">
      <w:start w:val="1"/>
      <w:numFmt w:val="lowerRoman"/>
      <w:lvlText w:val="%9."/>
      <w:lvlJc w:val="right"/>
      <w:pPr>
        <w:ind w:left="7200" w:hanging="180"/>
      </w:pPr>
    </w:lvl>
  </w:abstractNum>
  <w:abstractNum w:abstractNumId="7" w15:restartNumberingAfterBreak="0">
    <w:nsid w:val="08D2053F"/>
    <w:multiLevelType w:val="hybridMultilevel"/>
    <w:tmpl w:val="DB8E7204"/>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176EBDF9"/>
    <w:multiLevelType w:val="multilevel"/>
    <w:tmpl w:val="176EBD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CC5DD8"/>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E52563"/>
    <w:multiLevelType w:val="hybridMultilevel"/>
    <w:tmpl w:val="1664817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15:restartNumberingAfterBreak="0">
    <w:nsid w:val="29FB3C0C"/>
    <w:multiLevelType w:val="hybridMultilevel"/>
    <w:tmpl w:val="C6AEAEA0"/>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300F6A3C"/>
    <w:multiLevelType w:val="hybridMultilevel"/>
    <w:tmpl w:val="C1B2412A"/>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1961205"/>
    <w:multiLevelType w:val="hybridMultilevel"/>
    <w:tmpl w:val="FCBED21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15:restartNumberingAfterBreak="0">
    <w:nsid w:val="3D2872E9"/>
    <w:multiLevelType w:val="hybridMultilevel"/>
    <w:tmpl w:val="76226AB8"/>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47DB5129"/>
    <w:multiLevelType w:val="hybridMultilevel"/>
    <w:tmpl w:val="8BE4234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7" w15:restartNumberingAfterBreak="0">
    <w:nsid w:val="5CC81EC3"/>
    <w:multiLevelType w:val="hybridMultilevel"/>
    <w:tmpl w:val="C44C4B6E"/>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60846EBB"/>
    <w:multiLevelType w:val="hybridMultilevel"/>
    <w:tmpl w:val="9E1E7E9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1CF1FBC"/>
    <w:multiLevelType w:val="hybridMultilevel"/>
    <w:tmpl w:val="4EF69866"/>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6F0308E3"/>
    <w:multiLevelType w:val="hybridMultilevel"/>
    <w:tmpl w:val="1D9A18BA"/>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2"/>
  </w:num>
  <w:num w:numId="3">
    <w:abstractNumId w:val="21"/>
  </w:num>
  <w:num w:numId="4">
    <w:abstractNumId w:val="5"/>
  </w:num>
  <w:num w:numId="5">
    <w:abstractNumId w:val="18"/>
  </w:num>
  <w:num w:numId="6">
    <w:abstractNumId w:val="9"/>
  </w:num>
  <w:num w:numId="7">
    <w:abstractNumId w:val="6"/>
  </w:num>
  <w:num w:numId="8">
    <w:abstractNumId w:val="14"/>
  </w:num>
  <w:num w:numId="9">
    <w:abstractNumId w:val="15"/>
  </w:num>
  <w:num w:numId="10">
    <w:abstractNumId w:val="4"/>
  </w:num>
  <w:num w:numId="11">
    <w:abstractNumId w:val="17"/>
  </w:num>
  <w:num w:numId="12">
    <w:abstractNumId w:val="19"/>
  </w:num>
  <w:num w:numId="13">
    <w:abstractNumId w:val="11"/>
  </w:num>
  <w:num w:numId="14">
    <w:abstractNumId w:val="7"/>
  </w:num>
  <w:num w:numId="15">
    <w:abstractNumId w:val="12"/>
  </w:num>
  <w:num w:numId="16">
    <w:abstractNumId w:val="16"/>
  </w:num>
  <w:num w:numId="17">
    <w:abstractNumId w:val="20"/>
  </w:num>
  <w:num w:numId="18">
    <w:abstractNumId w:val="13"/>
  </w:num>
  <w:num w:numId="19">
    <w:abstractNumId w:val="2"/>
  </w:num>
  <w:num w:numId="20">
    <w:abstractNumId w:val="8"/>
  </w:num>
  <w:num w:numId="21">
    <w:abstractNumId w:val="1"/>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ysDQxNDQxtTA1NrJQ0lEKTi0uzszPAykwrAUAp+LImiwAAAA="/>
  </w:docVars>
  <w:rsids>
    <w:rsidRoot w:val="000B1D44"/>
    <w:rsid w:val="00026464"/>
    <w:rsid w:val="00060459"/>
    <w:rsid w:val="000B1D44"/>
    <w:rsid w:val="000C043C"/>
    <w:rsid w:val="000D3E39"/>
    <w:rsid w:val="00107A6A"/>
    <w:rsid w:val="001C19D9"/>
    <w:rsid w:val="001D4D72"/>
    <w:rsid w:val="001E0372"/>
    <w:rsid w:val="001E1277"/>
    <w:rsid w:val="002200F1"/>
    <w:rsid w:val="00220734"/>
    <w:rsid w:val="002A6084"/>
    <w:rsid w:val="002C3BA7"/>
    <w:rsid w:val="00323335"/>
    <w:rsid w:val="00345107"/>
    <w:rsid w:val="00372B97"/>
    <w:rsid w:val="003733BF"/>
    <w:rsid w:val="0037632B"/>
    <w:rsid w:val="003768C1"/>
    <w:rsid w:val="003770EC"/>
    <w:rsid w:val="003B0CD9"/>
    <w:rsid w:val="003D2F31"/>
    <w:rsid w:val="003D708C"/>
    <w:rsid w:val="00435B64"/>
    <w:rsid w:val="004775B6"/>
    <w:rsid w:val="004C24DF"/>
    <w:rsid w:val="004D5915"/>
    <w:rsid w:val="004F4C96"/>
    <w:rsid w:val="0051046C"/>
    <w:rsid w:val="005215C3"/>
    <w:rsid w:val="00577306"/>
    <w:rsid w:val="005B7A59"/>
    <w:rsid w:val="005E601C"/>
    <w:rsid w:val="005F1BEC"/>
    <w:rsid w:val="00620FD3"/>
    <w:rsid w:val="00625CF6"/>
    <w:rsid w:val="00645ED8"/>
    <w:rsid w:val="00653863"/>
    <w:rsid w:val="00655BFB"/>
    <w:rsid w:val="00656CAC"/>
    <w:rsid w:val="0066505B"/>
    <w:rsid w:val="00676701"/>
    <w:rsid w:val="006C2388"/>
    <w:rsid w:val="007049BF"/>
    <w:rsid w:val="00731C5D"/>
    <w:rsid w:val="00737EAD"/>
    <w:rsid w:val="0076325B"/>
    <w:rsid w:val="00781DB3"/>
    <w:rsid w:val="00783B33"/>
    <w:rsid w:val="007A2EFC"/>
    <w:rsid w:val="007A3C78"/>
    <w:rsid w:val="007B5D8D"/>
    <w:rsid w:val="007C5F1E"/>
    <w:rsid w:val="00802D8C"/>
    <w:rsid w:val="0080382E"/>
    <w:rsid w:val="008174FA"/>
    <w:rsid w:val="00831525"/>
    <w:rsid w:val="00831A33"/>
    <w:rsid w:val="0085238A"/>
    <w:rsid w:val="008636AD"/>
    <w:rsid w:val="00867AF2"/>
    <w:rsid w:val="008E7EB6"/>
    <w:rsid w:val="008F329B"/>
    <w:rsid w:val="009038A9"/>
    <w:rsid w:val="009259DD"/>
    <w:rsid w:val="00977B37"/>
    <w:rsid w:val="009B4418"/>
    <w:rsid w:val="009C4469"/>
    <w:rsid w:val="009D5498"/>
    <w:rsid w:val="009E31D0"/>
    <w:rsid w:val="009F019F"/>
    <w:rsid w:val="00A05C91"/>
    <w:rsid w:val="00A14450"/>
    <w:rsid w:val="00A40F23"/>
    <w:rsid w:val="00A568EB"/>
    <w:rsid w:val="00A949EB"/>
    <w:rsid w:val="00AB6567"/>
    <w:rsid w:val="00AD43E9"/>
    <w:rsid w:val="00AE2101"/>
    <w:rsid w:val="00AF3C8B"/>
    <w:rsid w:val="00B32147"/>
    <w:rsid w:val="00B34EDB"/>
    <w:rsid w:val="00B40869"/>
    <w:rsid w:val="00B80854"/>
    <w:rsid w:val="00BB28AB"/>
    <w:rsid w:val="00BB47CB"/>
    <w:rsid w:val="00BD0C1D"/>
    <w:rsid w:val="00BE3714"/>
    <w:rsid w:val="00C16C0C"/>
    <w:rsid w:val="00C7142C"/>
    <w:rsid w:val="00C81E2A"/>
    <w:rsid w:val="00CB6446"/>
    <w:rsid w:val="00D019BA"/>
    <w:rsid w:val="00D64D9C"/>
    <w:rsid w:val="00DA1C23"/>
    <w:rsid w:val="00DA622F"/>
    <w:rsid w:val="00E26B62"/>
    <w:rsid w:val="00E54FFC"/>
    <w:rsid w:val="00E65376"/>
    <w:rsid w:val="00EE2AE9"/>
    <w:rsid w:val="00EF3867"/>
    <w:rsid w:val="00F00A67"/>
    <w:rsid w:val="00F010F8"/>
    <w:rsid w:val="00F12F4B"/>
    <w:rsid w:val="00F13E1D"/>
    <w:rsid w:val="00F214B1"/>
    <w:rsid w:val="00F75E66"/>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customStyle="1" w:styleId="UnresolvedMention1">
    <w:name w:val="Unresolved Mention1"/>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paragraph" w:styleId="NormalWeb">
    <w:name w:val="Normal (Web)"/>
    <w:basedOn w:val="Normal"/>
    <w:qFormat/>
    <w:rsid w:val="007B5D8D"/>
    <w:rPr>
      <w:rFonts w:ascii="Times New Roman" w:eastAsiaTheme="minorEastAsia" w:hAnsi="Times New Roman" w:cs="Times New Roman"/>
      <w:sz w:val="24"/>
      <w:szCs w:val="24"/>
      <w:lang w:eastAsia="zh-CN"/>
    </w:rPr>
  </w:style>
  <w:style w:type="table" w:styleId="TableGrid">
    <w:name w:val="Table Grid"/>
    <w:basedOn w:val="TableNormal"/>
    <w:uiPriority w:val="39"/>
    <w:qFormat/>
    <w:rsid w:val="007B5D8D"/>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7B5D8D"/>
    <w:rPr>
      <w:b/>
      <w:bCs/>
    </w:rPr>
  </w:style>
  <w:style w:type="table" w:customStyle="1" w:styleId="TableGridLight1">
    <w:name w:val="Table Grid Light1"/>
    <w:qFormat/>
    <w:rsid w:val="005F1BEC"/>
    <w:rPr>
      <w:rFonts w:ascii="Calibri" w:eastAsia="SimSun" w:hAnsi="Calibri" w:cs="Times New Roman" w:hint="eastAsia"/>
      <w:lang w:val="en-PH"/>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Borders>
        <w:top w:val="single" w:sz="4" w:space="0" w:color="BFBFBF"/>
        <w:left w:val="single" w:sz="4" w:space="0" w:color="BFBFBF"/>
        <w:bottom w:val="single" w:sz="4" w:space="0" w:color="BFBFBF"/>
        <w:right w:val="single" w:sz="4" w:space="0" w:color="BFBFBF"/>
      </w:tcBorders>
    </w:tcPr>
  </w:style>
  <w:style w:type="character" w:styleId="UnresolvedMention">
    <w:name w:val="Unresolved Mention"/>
    <w:basedOn w:val="DefaultParagraphFont"/>
    <w:uiPriority w:val="99"/>
    <w:semiHidden/>
    <w:unhideWhenUsed/>
    <w:rsid w:val="00A05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18</Pages>
  <Words>7430</Words>
  <Characters>42357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1180</cp:lastModifiedBy>
  <cp:revision>9</cp:revision>
  <cp:lastPrinted>2025-04-08T00:39:00Z</cp:lastPrinted>
  <dcterms:created xsi:type="dcterms:W3CDTF">2025-07-16T07:20:00Z</dcterms:created>
  <dcterms:modified xsi:type="dcterms:W3CDTF">2025-07-18T09:37:00Z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8c7d0d1f-1310-4bd4-aaa5-88ecf51ef66e</vt:lpwstr>
  </property>
</Properties>
</file>