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F177" w14:textId="5C5E3A4D" w:rsidR="001F2BDE" w:rsidRDefault="00CC4633" w:rsidP="00E705CD">
      <w:pPr>
        <w:spacing w:after="0"/>
        <w:jc w:val="right"/>
        <w:rPr>
          <w:rFonts w:ascii="Arial" w:hAnsi="Arial" w:cs="Arial"/>
          <w:b/>
          <w:sz w:val="36"/>
          <w:szCs w:val="36"/>
        </w:rPr>
      </w:pPr>
      <w:r>
        <w:rPr>
          <w:rFonts w:ascii="Arial" w:hAnsi="Arial" w:cs="Arial"/>
          <w:b/>
          <w:sz w:val="36"/>
          <w:szCs w:val="36"/>
        </w:rPr>
        <w:t>Financial Literacy and Retirement Preparedness among Government Employees</w:t>
      </w:r>
    </w:p>
    <w:p w14:paraId="279448BC" w14:textId="77777777" w:rsidR="00804B23" w:rsidRDefault="00804B23" w:rsidP="008E389C">
      <w:pPr>
        <w:spacing w:after="0"/>
        <w:ind w:left="1440"/>
        <w:jc w:val="right"/>
        <w:rPr>
          <w:rFonts w:ascii="Arial" w:hAnsi="Arial" w:cs="Arial"/>
          <w:b/>
          <w:sz w:val="36"/>
          <w:szCs w:val="36"/>
        </w:rPr>
      </w:pPr>
    </w:p>
    <w:p w14:paraId="6BFFC8C9" w14:textId="741504AF" w:rsidR="003D5167" w:rsidRDefault="00E705CD" w:rsidP="003D5167">
      <w:pPr>
        <w:spacing w:after="0"/>
        <w:rPr>
          <w:rFonts w:ascii="Arial" w:eastAsia="Arial" w:hAnsi="Arial" w:cs="Arial"/>
          <w:b/>
          <w:smallCaps/>
          <w:color w:val="000000"/>
          <w:lang w:val="en-US" w:eastAsia="en-PH"/>
        </w:rPr>
      </w:pPr>
      <w:r w:rsidRPr="00FA3ACF">
        <w:rPr>
          <w:rFonts w:ascii="Arial" w:eastAsia="Arial" w:hAnsi="Arial" w:cs="Arial"/>
          <w:noProof/>
          <w:color w:val="000000"/>
          <w:sz w:val="16"/>
          <w:szCs w:val="16"/>
          <w:lang w:eastAsia="en-PH"/>
        </w:rPr>
        <mc:AlternateContent>
          <mc:Choice Requires="wps">
            <w:drawing>
              <wp:anchor distT="0" distB="0" distL="114300" distR="114300" simplePos="0" relativeHeight="251658240" behindDoc="0" locked="0" layoutInCell="1" allowOverlap="1" wp14:anchorId="71C37906" wp14:editId="7306C5A6">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950BA4"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" strokeweight="1.5pt">
                <w10:wrap type="topAndBottom"/>
              </v:shape>
            </w:pict>
          </mc:Fallback>
        </mc:AlternateContent>
      </w:r>
    </w:p>
    <w:p w14:paraId="4EC6C041" w14:textId="77777777" w:rsidR="003D5167" w:rsidRDefault="003D5167" w:rsidP="003D5167">
      <w:pPr>
        <w:spacing w:after="0"/>
        <w:rPr>
          <w:rFonts w:ascii="Arial" w:eastAsia="Arial" w:hAnsi="Arial" w:cs="Arial"/>
          <w:b/>
          <w:smallCaps/>
          <w:color w:val="000000"/>
          <w:lang w:val="en-US" w:eastAsia="en-PH"/>
        </w:rPr>
      </w:pPr>
    </w:p>
    <w:p w14:paraId="39CA538F" w14:textId="77777777" w:rsidR="00FA3ACF" w:rsidRDefault="003D5167"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21F4558A"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3D5167" w14:paraId="648F4652" w14:textId="77777777" w:rsidTr="007C2C1D">
        <w:tc>
          <w:tcPr>
            <w:tcW w:w="8198" w:type="dxa"/>
            <w:shd w:val="clear" w:color="auto" w:fill="F2F2F2"/>
          </w:tcPr>
          <w:p w14:paraId="358258A3" w14:textId="07AE4A1D" w:rsidR="003D5167" w:rsidRPr="00366F35" w:rsidRDefault="00E426C1" w:rsidP="006F6A94">
            <w:pPr>
              <w:spacing w:after="0" w:line="240" w:lineRule="auto"/>
              <w:jc w:val="both"/>
              <w:rPr>
                <w:rFonts w:ascii="Arial" w:hAnsi="Arial" w:cs="Arial"/>
              </w:rPr>
            </w:pPr>
            <w:r w:rsidRPr="0073474F">
              <w:rPr>
                <w:rFonts w:ascii="Arial" w:hAnsi="Arial" w:cs="Arial"/>
                <w:sz w:val="20"/>
                <w:szCs w:val="20"/>
              </w:rPr>
              <w:t xml:space="preserve">Many senior government employees in the Philippines, particularly in rural areas such as </w:t>
            </w:r>
            <w:proofErr w:type="spellStart"/>
            <w:r w:rsidRPr="0073474F">
              <w:rPr>
                <w:rFonts w:ascii="Arial" w:hAnsi="Arial" w:cs="Arial"/>
                <w:sz w:val="20"/>
                <w:szCs w:val="20"/>
              </w:rPr>
              <w:t>Cateel</w:t>
            </w:r>
            <w:proofErr w:type="spellEnd"/>
            <w:r w:rsidRPr="0073474F">
              <w:rPr>
                <w:rFonts w:ascii="Arial" w:hAnsi="Arial" w:cs="Arial"/>
                <w:sz w:val="20"/>
                <w:szCs w:val="20"/>
              </w:rPr>
              <w:t xml:space="preserve">, Davao Oriental, face financial instability due to inadequate retirement planning, excessive reliance on public pensions, and limited financial education. This study assessed the financial literacy and retirement preparedness of 73 nearing-retirement government employees—38 LGU personnel and 35 public school teachers—in </w:t>
            </w:r>
            <w:proofErr w:type="spellStart"/>
            <w:r w:rsidRPr="0073474F">
              <w:rPr>
                <w:rFonts w:ascii="Arial" w:hAnsi="Arial" w:cs="Arial"/>
                <w:sz w:val="20"/>
                <w:szCs w:val="20"/>
              </w:rPr>
              <w:t>Cateel</w:t>
            </w:r>
            <w:proofErr w:type="spellEnd"/>
            <w:r w:rsidRPr="0073474F">
              <w:rPr>
                <w:rFonts w:ascii="Arial" w:hAnsi="Arial" w:cs="Arial"/>
                <w:sz w:val="20"/>
                <w:szCs w:val="20"/>
              </w:rPr>
              <w:t xml:space="preserve"> using a quantitative descriptive design. Data were collected through standardized surveys and analyzed using descriptive statistics, Pearson correlation, ANOVA, and t-tests. Findings revealed that respondents had a high level of financial literacy (x̄ = 3.75), particularly in the areas of financial behavior, self-efficacy, financial well-being, and financial planning. However, their perception of their current financial status was only moderate (x̄ = 3.25). Retirement preparedness was also rated high (x̄ = 4.00), particularly in terms of saving behavior and planning. No significant differences in financial literacy were observed based on age, gender, or marital status, but salary level showed a significant effect (F = 3.775, p = 0.014). A moderate and significant correlation was found between financial literacy and retirement preparedness (r = 0.559, p &lt; 0.05), particularly in terms of financial behavior and well-being. It recommends further research across varied demographic and socio-economic groups to explore factors influencing financial perception and preparedness. Additionally, future studies recommend examining the sustainability of current retirement plans and developing targeted interventions to bridge the gap between financial perception and actual preparedness.</w:t>
            </w:r>
          </w:p>
        </w:tc>
      </w:tr>
    </w:tbl>
    <w:p w14:paraId="6789A136" w14:textId="77777777" w:rsidR="003D5167" w:rsidRDefault="003D5167" w:rsidP="003D5167">
      <w:pPr>
        <w:spacing w:after="0"/>
        <w:rPr>
          <w:rFonts w:ascii="Arial" w:hAnsi="Arial" w:cs="Arial"/>
          <w:b/>
          <w:sz w:val="36"/>
          <w:szCs w:val="36"/>
        </w:rPr>
      </w:pPr>
    </w:p>
    <w:p w14:paraId="25FA8443" w14:textId="6AE8167F" w:rsidR="00883684" w:rsidRDefault="00883684" w:rsidP="00883684">
      <w:pPr>
        <w:spacing w:after="0"/>
        <w:rPr>
          <w:rFonts w:ascii="Arial" w:hAnsi="Arial" w:cs="Arial"/>
          <w:i/>
          <w:sz w:val="20"/>
          <w:szCs w:val="36"/>
        </w:rPr>
      </w:pPr>
      <w:r w:rsidRPr="00883684">
        <w:rPr>
          <w:rFonts w:ascii="Arial" w:hAnsi="Arial" w:cs="Arial"/>
          <w:i/>
          <w:sz w:val="20"/>
          <w:szCs w:val="36"/>
        </w:rPr>
        <w:t>Keywords:</w:t>
      </w:r>
      <w:r>
        <w:rPr>
          <w:rFonts w:ascii="Arial" w:hAnsi="Arial" w:cs="Arial"/>
          <w:i/>
          <w:sz w:val="20"/>
          <w:szCs w:val="36"/>
        </w:rPr>
        <w:t xml:space="preserve"> </w:t>
      </w:r>
      <w:r w:rsidR="00C5651F" w:rsidRPr="00C5651F">
        <w:rPr>
          <w:rFonts w:ascii="Arial" w:hAnsi="Arial" w:cs="Arial"/>
          <w:i/>
          <w:iCs/>
          <w:color w:val="000000" w:themeColor="text1"/>
          <w:sz w:val="20"/>
          <w:szCs w:val="20"/>
        </w:rPr>
        <w:t>financial literacy, retirement preparedness</w:t>
      </w:r>
      <w:r>
        <w:rPr>
          <w:rFonts w:ascii="Arial" w:hAnsi="Arial" w:cs="Arial"/>
          <w:i/>
          <w:sz w:val="20"/>
          <w:szCs w:val="36"/>
        </w:rPr>
        <w:t xml:space="preserve">, </w:t>
      </w:r>
      <w:r w:rsidR="00056292" w:rsidRPr="00056292">
        <w:rPr>
          <w:rFonts w:ascii="Arial" w:hAnsi="Arial" w:cs="Arial"/>
          <w:i/>
          <w:iCs/>
          <w:color w:val="000000" w:themeColor="text1"/>
          <w:sz w:val="20"/>
          <w:szCs w:val="20"/>
        </w:rPr>
        <w:t>government employees</w:t>
      </w:r>
      <w:r>
        <w:rPr>
          <w:rFonts w:ascii="Arial" w:hAnsi="Arial" w:cs="Arial"/>
          <w:i/>
          <w:sz w:val="20"/>
          <w:szCs w:val="36"/>
        </w:rPr>
        <w:t xml:space="preserve">, </w:t>
      </w:r>
      <w:r w:rsidR="00026E0D">
        <w:rPr>
          <w:rFonts w:ascii="Arial" w:hAnsi="Arial" w:cs="Arial"/>
          <w:i/>
          <w:sz w:val="20"/>
          <w:szCs w:val="36"/>
        </w:rPr>
        <w:t>financial</w:t>
      </w:r>
    </w:p>
    <w:p w14:paraId="16B0CA8B" w14:textId="6A9AC4D5" w:rsidR="00883684" w:rsidRPr="00883684" w:rsidRDefault="00883684" w:rsidP="00883684">
      <w:pPr>
        <w:spacing w:after="0"/>
        <w:rPr>
          <w:rFonts w:ascii="Arial" w:hAnsi="Arial" w:cs="Arial"/>
          <w:i/>
          <w:sz w:val="32"/>
          <w:szCs w:val="36"/>
        </w:rPr>
      </w:pPr>
      <w:r>
        <w:rPr>
          <w:rFonts w:ascii="Arial" w:hAnsi="Arial" w:cs="Arial"/>
          <w:i/>
          <w:sz w:val="20"/>
          <w:szCs w:val="36"/>
        </w:rPr>
        <w:t xml:space="preserve">                  </w:t>
      </w:r>
      <w:r w:rsidR="00691D39">
        <w:rPr>
          <w:rFonts w:ascii="Arial" w:hAnsi="Arial" w:cs="Arial"/>
          <w:i/>
          <w:sz w:val="20"/>
          <w:szCs w:val="36"/>
        </w:rPr>
        <w:t>b</w:t>
      </w:r>
      <w:r w:rsidR="00476862">
        <w:rPr>
          <w:rFonts w:ascii="Arial" w:hAnsi="Arial" w:cs="Arial"/>
          <w:i/>
          <w:sz w:val="20"/>
          <w:szCs w:val="36"/>
        </w:rPr>
        <w:t>ehavior</w:t>
      </w:r>
      <w:r w:rsidR="00691D39">
        <w:rPr>
          <w:rFonts w:ascii="Arial" w:hAnsi="Arial" w:cs="Arial"/>
          <w:i/>
          <w:sz w:val="20"/>
          <w:szCs w:val="36"/>
        </w:rPr>
        <w:t xml:space="preserve">, </w:t>
      </w:r>
      <w:r w:rsidR="00691D39" w:rsidRPr="00691D39">
        <w:rPr>
          <w:rFonts w:ascii="Arial" w:hAnsi="Arial" w:cs="Arial"/>
          <w:i/>
          <w:iCs/>
          <w:color w:val="000000" w:themeColor="text1"/>
          <w:sz w:val="20"/>
          <w:szCs w:val="20"/>
        </w:rPr>
        <w:t>planning, savings behavior, teachers, LGU personnel</w:t>
      </w:r>
      <w:r w:rsidRPr="00691D39">
        <w:rPr>
          <w:rFonts w:ascii="Arial" w:hAnsi="Arial" w:cs="Arial"/>
          <w:i/>
          <w:sz w:val="18"/>
          <w:szCs w:val="32"/>
        </w:rPr>
        <w:t xml:space="preserve"> </w:t>
      </w:r>
    </w:p>
    <w:p w14:paraId="008AF6E5" w14:textId="77777777" w:rsidR="00580FBF" w:rsidRDefault="00580FBF" w:rsidP="003D5167">
      <w:pPr>
        <w:spacing w:after="0"/>
        <w:rPr>
          <w:rFonts w:ascii="Arial" w:hAnsi="Arial" w:cs="Arial"/>
          <w:sz w:val="20"/>
          <w:szCs w:val="36"/>
        </w:rPr>
      </w:pPr>
    </w:p>
    <w:p w14:paraId="6E2E5F98" w14:textId="77777777" w:rsidR="00580FBF" w:rsidRDefault="00580FBF" w:rsidP="003D5167">
      <w:pPr>
        <w:spacing w:after="0"/>
        <w:rPr>
          <w:rFonts w:ascii="Arial" w:eastAsia="Arial" w:hAnsi="Arial" w:cs="Arial"/>
          <w:b/>
          <w:smallCaps/>
          <w:color w:val="000000"/>
          <w:lang w:val="en-US" w:eastAsia="en-PH"/>
        </w:rPr>
      </w:pPr>
      <w:r w:rsidRPr="00580FBF">
        <w:rPr>
          <w:rFonts w:ascii="Arial" w:eastAsia="Arial" w:hAnsi="Arial" w:cs="Arial"/>
          <w:b/>
          <w:smallCaps/>
          <w:color w:val="000000"/>
          <w:lang w:val="en-US" w:eastAsia="en-PH"/>
        </w:rPr>
        <w:t>1. INTRODUCTION</w:t>
      </w:r>
      <w:r>
        <w:rPr>
          <w:rFonts w:ascii="Arial" w:eastAsia="Arial" w:hAnsi="Arial" w:cs="Arial"/>
          <w:b/>
          <w:smallCaps/>
          <w:color w:val="000000"/>
          <w:lang w:val="en-US" w:eastAsia="en-PH"/>
        </w:rPr>
        <w:t xml:space="preserve">   </w:t>
      </w:r>
    </w:p>
    <w:p w14:paraId="0416311A" w14:textId="77777777" w:rsidR="00597F5E" w:rsidRDefault="00597F5E" w:rsidP="003D5167">
      <w:pPr>
        <w:spacing w:after="0"/>
        <w:rPr>
          <w:rFonts w:ascii="Arial" w:eastAsia="Arial" w:hAnsi="Arial" w:cs="Arial"/>
          <w:b/>
          <w:smallCaps/>
          <w:color w:val="000000"/>
          <w:lang w:val="en-US" w:eastAsia="en-PH"/>
        </w:rPr>
      </w:pPr>
    </w:p>
    <w:p w14:paraId="4AA0DA22" w14:textId="77777777" w:rsidR="00D165A9" w:rsidRPr="00B50870" w:rsidRDefault="00D165A9" w:rsidP="00D165A9">
      <w:pPr>
        <w:spacing w:after="0"/>
        <w:ind w:firstLine="720"/>
        <w:jc w:val="both"/>
        <w:rPr>
          <w:rFonts w:ascii="Arial" w:hAnsi="Arial" w:cs="Arial"/>
          <w:sz w:val="20"/>
          <w:szCs w:val="20"/>
        </w:rPr>
      </w:pPr>
      <w:r w:rsidRPr="00B50870">
        <w:rPr>
          <w:rFonts w:ascii="Arial" w:hAnsi="Arial" w:cs="Arial"/>
          <w:sz w:val="20"/>
          <w:szCs w:val="20"/>
        </w:rPr>
        <w:t xml:space="preserve">The increasing number of senior government employees poses significant challenges for the retirement system worldwide. As life expectancy continues to rise, effective retirement planning has become more crucial (OECD, 2019). Financial literacy plays a crucial role in retirement preparedness, equipping individuals with the knowledge and skills necessary to make informed financial decisions (Xiao &amp; O'Neill, 2016). Globally, financial literacy has emerged as a vital component in ensuring individuals are prepared for retirement. However, many senior government employees face financial instability due to inadequate planning, which has long-term implications for their well-being and economic stability (Lusardi &amp; Mitchell, 2017).   </w:t>
      </w:r>
    </w:p>
    <w:p w14:paraId="17DD2910" w14:textId="32A752DD" w:rsidR="00D165A9" w:rsidRPr="00B50870" w:rsidRDefault="00D165A9" w:rsidP="00D165A9">
      <w:pPr>
        <w:spacing w:after="0"/>
        <w:ind w:firstLine="720"/>
        <w:jc w:val="both"/>
        <w:rPr>
          <w:rFonts w:ascii="Arial" w:hAnsi="Arial" w:cs="Arial"/>
          <w:sz w:val="20"/>
          <w:szCs w:val="20"/>
        </w:rPr>
      </w:pPr>
      <w:r w:rsidRPr="00B50870">
        <w:rPr>
          <w:rFonts w:ascii="Arial" w:hAnsi="Arial" w:cs="Arial"/>
          <w:sz w:val="20"/>
          <w:szCs w:val="20"/>
        </w:rPr>
        <w:t>In the Philippines, the growing number of government employees nearing retirement highlights the importance of addressing the financial literacy gap as critical for retirement preparedness (</w:t>
      </w:r>
      <w:r w:rsidR="00965492">
        <w:rPr>
          <w:rFonts w:ascii="Arial" w:hAnsi="Arial" w:cs="Arial"/>
          <w:sz w:val="20"/>
          <w:szCs w:val="20"/>
        </w:rPr>
        <w:t>Abad et al.,</w:t>
      </w:r>
      <w:r w:rsidRPr="00B50870">
        <w:rPr>
          <w:rFonts w:ascii="Arial" w:hAnsi="Arial" w:cs="Arial"/>
          <w:sz w:val="20"/>
          <w:szCs w:val="20"/>
        </w:rPr>
        <w:t xml:space="preserve"> </w:t>
      </w:r>
      <w:r w:rsidRPr="0037002E">
        <w:rPr>
          <w:rFonts w:ascii="Arial" w:hAnsi="Arial" w:cs="Arial"/>
          <w:sz w:val="20"/>
          <w:szCs w:val="20"/>
        </w:rPr>
        <w:t xml:space="preserve">2019). In a study conducted by </w:t>
      </w:r>
      <w:r w:rsidR="0037002E" w:rsidRPr="0037002E">
        <w:rPr>
          <w:rFonts w:ascii="Arial" w:hAnsi="Arial" w:cs="Arial"/>
          <w:color w:val="000000" w:themeColor="text1"/>
          <w:sz w:val="20"/>
          <w:szCs w:val="20"/>
        </w:rPr>
        <w:t>French, E. (2022)</w:t>
      </w:r>
      <w:r w:rsidRPr="0037002E">
        <w:rPr>
          <w:rFonts w:ascii="Arial" w:hAnsi="Arial" w:cs="Arial"/>
          <w:sz w:val="20"/>
          <w:szCs w:val="20"/>
        </w:rPr>
        <w:t>, most elderly individuals want to have personal savings, business income, and support for their old age security. On the other hand, when it comes</w:t>
      </w:r>
      <w:r w:rsidRPr="00B50870">
        <w:rPr>
          <w:rFonts w:ascii="Arial" w:hAnsi="Arial" w:cs="Arial"/>
          <w:sz w:val="20"/>
          <w:szCs w:val="20"/>
        </w:rPr>
        <w:t xml:space="preserve"> to finding allocations, baby boomers focus on their </w:t>
      </w:r>
      <w:r w:rsidRPr="00B50870">
        <w:rPr>
          <w:rFonts w:ascii="Arial" w:hAnsi="Arial" w:cs="Arial"/>
          <w:sz w:val="20"/>
          <w:szCs w:val="20"/>
        </w:rPr>
        <w:lastRenderedPageBreak/>
        <w:t>children and after-retirement plans (</w:t>
      </w:r>
      <w:r w:rsidR="0037002E" w:rsidRPr="0037002E">
        <w:rPr>
          <w:rFonts w:ascii="Arial" w:hAnsi="Arial" w:cs="Arial"/>
          <w:sz w:val="20"/>
          <w:szCs w:val="20"/>
        </w:rPr>
        <w:t>Lusardi and Mitchell</w:t>
      </w:r>
      <w:r w:rsidR="0037002E">
        <w:rPr>
          <w:rFonts w:ascii="Arial" w:hAnsi="Arial" w:cs="Arial"/>
          <w:sz w:val="20"/>
          <w:szCs w:val="20"/>
        </w:rPr>
        <w:t xml:space="preserve">, </w:t>
      </w:r>
      <w:r w:rsidR="0037002E" w:rsidRPr="0037002E">
        <w:rPr>
          <w:rFonts w:ascii="Arial" w:hAnsi="Arial" w:cs="Arial"/>
          <w:sz w:val="20"/>
          <w:szCs w:val="20"/>
        </w:rPr>
        <w:t>2017)</w:t>
      </w:r>
      <w:r w:rsidR="0037002E">
        <w:rPr>
          <w:rFonts w:ascii="Arial" w:hAnsi="Arial" w:cs="Arial"/>
          <w:sz w:val="20"/>
          <w:szCs w:val="20"/>
        </w:rPr>
        <w:t>.</w:t>
      </w:r>
      <w:r w:rsidRPr="00B50870">
        <w:rPr>
          <w:rFonts w:ascii="Arial" w:hAnsi="Arial" w:cs="Arial"/>
          <w:sz w:val="20"/>
          <w:szCs w:val="20"/>
        </w:rPr>
        <w:t xml:space="preserve"> Instead of investing in life insurance and preparing for retirement savings, they expect their children and other relatives to support them after retirement as a form of payback for raising them and sending them to school </w:t>
      </w:r>
      <w:r w:rsidRPr="00197059">
        <w:rPr>
          <w:rFonts w:ascii="Arial" w:hAnsi="Arial" w:cs="Arial"/>
          <w:sz w:val="20"/>
          <w:szCs w:val="20"/>
        </w:rPr>
        <w:t>(</w:t>
      </w:r>
      <w:r w:rsidR="00197059" w:rsidRPr="00197059">
        <w:rPr>
          <w:rFonts w:ascii="Arial" w:hAnsi="Arial" w:cs="Arial"/>
          <w:color w:val="000000" w:themeColor="text1"/>
          <w:sz w:val="20"/>
          <w:szCs w:val="20"/>
        </w:rPr>
        <w:t>Lin and Pei, 2016</w:t>
      </w:r>
      <w:r w:rsidRPr="00197059">
        <w:rPr>
          <w:rFonts w:ascii="Arial" w:hAnsi="Arial" w:cs="Arial"/>
          <w:sz w:val="20"/>
          <w:szCs w:val="20"/>
        </w:rPr>
        <w:t>). A belief from one of the so many Filipino traditions. Moreover, they believe that their economic status will remain stable due to their pensions from GSIS or SSS (</w:t>
      </w:r>
      <w:proofErr w:type="spellStart"/>
      <w:r w:rsidRPr="00197059">
        <w:rPr>
          <w:rFonts w:ascii="Arial" w:hAnsi="Arial" w:cs="Arial"/>
          <w:sz w:val="20"/>
          <w:szCs w:val="20"/>
        </w:rPr>
        <w:t>Cabarrubias</w:t>
      </w:r>
      <w:proofErr w:type="spellEnd"/>
      <w:r w:rsidRPr="00197059">
        <w:rPr>
          <w:rFonts w:ascii="Arial" w:hAnsi="Arial" w:cs="Arial"/>
          <w:sz w:val="20"/>
          <w:szCs w:val="20"/>
        </w:rPr>
        <w:t xml:space="preserve">, 2016). </w:t>
      </w:r>
      <w:proofErr w:type="spellStart"/>
      <w:r w:rsidRPr="00197059">
        <w:rPr>
          <w:rFonts w:ascii="Arial" w:hAnsi="Arial" w:cs="Arial"/>
          <w:sz w:val="20"/>
          <w:szCs w:val="20"/>
        </w:rPr>
        <w:t>Klapper</w:t>
      </w:r>
      <w:proofErr w:type="spellEnd"/>
      <w:r w:rsidRPr="00B50870">
        <w:rPr>
          <w:rFonts w:ascii="Arial" w:hAnsi="Arial" w:cs="Arial"/>
          <w:sz w:val="20"/>
          <w:szCs w:val="20"/>
        </w:rPr>
        <w:t xml:space="preserve"> et al. (2019) found that low financial literacy is a significant barrier to effective retirement planning, leaving many government employees vulnerable to financial challenges.   </w:t>
      </w:r>
    </w:p>
    <w:p w14:paraId="1A7D1512" w14:textId="13FE2A31" w:rsidR="00D165A9" w:rsidRPr="00B50870" w:rsidRDefault="00D165A9" w:rsidP="00D165A9">
      <w:pPr>
        <w:spacing w:after="0"/>
        <w:ind w:firstLine="720"/>
        <w:jc w:val="both"/>
        <w:rPr>
          <w:rFonts w:ascii="Arial" w:hAnsi="Arial" w:cs="Arial"/>
          <w:sz w:val="20"/>
          <w:szCs w:val="20"/>
        </w:rPr>
      </w:pPr>
      <w:r w:rsidRPr="00B50870">
        <w:rPr>
          <w:rFonts w:ascii="Arial" w:hAnsi="Arial" w:cs="Arial"/>
          <w:sz w:val="20"/>
          <w:szCs w:val="20"/>
        </w:rPr>
        <w:t>Concerns about the sustainability of public pension systems have arisen due to excessive dependence on them, highlighting the importance of individuals managing their retirement savings through effective financial planning (</w:t>
      </w:r>
      <w:proofErr w:type="spellStart"/>
      <w:r w:rsidRPr="00B50870">
        <w:rPr>
          <w:rFonts w:ascii="Arial" w:hAnsi="Arial" w:cs="Arial"/>
          <w:sz w:val="20"/>
          <w:szCs w:val="20"/>
        </w:rPr>
        <w:t>Annink</w:t>
      </w:r>
      <w:proofErr w:type="spellEnd"/>
      <w:r w:rsidRPr="00B50870">
        <w:rPr>
          <w:rFonts w:ascii="Arial" w:hAnsi="Arial" w:cs="Arial"/>
          <w:sz w:val="20"/>
          <w:szCs w:val="20"/>
        </w:rPr>
        <w:t xml:space="preserve"> et al., 2016). Poor financial planning can have lasting adverse effects, including insufficient wealth growth and financial stress for retirees, their families, and society (Choi &amp; Jang, 2016; </w:t>
      </w:r>
      <w:proofErr w:type="spellStart"/>
      <w:r w:rsidRPr="00B50870">
        <w:rPr>
          <w:rFonts w:ascii="Arial" w:hAnsi="Arial" w:cs="Arial"/>
          <w:sz w:val="20"/>
          <w:szCs w:val="20"/>
        </w:rPr>
        <w:t>Ekici</w:t>
      </w:r>
      <w:proofErr w:type="spellEnd"/>
      <w:r w:rsidRPr="00B50870">
        <w:rPr>
          <w:rFonts w:ascii="Arial" w:hAnsi="Arial" w:cs="Arial"/>
          <w:sz w:val="20"/>
          <w:szCs w:val="20"/>
        </w:rPr>
        <w:t xml:space="preserve"> &amp; </w:t>
      </w:r>
      <w:proofErr w:type="spellStart"/>
      <w:r w:rsidRPr="00B50870">
        <w:rPr>
          <w:rFonts w:ascii="Arial" w:hAnsi="Arial" w:cs="Arial"/>
          <w:sz w:val="20"/>
          <w:szCs w:val="20"/>
        </w:rPr>
        <w:t>Koydemir</w:t>
      </w:r>
      <w:proofErr w:type="spellEnd"/>
      <w:r w:rsidRPr="00B50870">
        <w:rPr>
          <w:rFonts w:ascii="Arial" w:hAnsi="Arial" w:cs="Arial"/>
          <w:sz w:val="20"/>
          <w:szCs w:val="20"/>
        </w:rPr>
        <w:t>, 2016). Additionally, demographic changes, such as increasing life expectancy and the elimination of mandatory retirement age, highlight the urgent need to bridge the gap between current savings and future retirement needs (</w:t>
      </w:r>
      <w:proofErr w:type="spellStart"/>
      <w:r w:rsidRPr="00B50870">
        <w:rPr>
          <w:rFonts w:ascii="Arial" w:hAnsi="Arial" w:cs="Arial"/>
          <w:sz w:val="20"/>
          <w:szCs w:val="20"/>
        </w:rPr>
        <w:t>Topa</w:t>
      </w:r>
      <w:proofErr w:type="spellEnd"/>
      <w:r w:rsidRPr="00B50870">
        <w:rPr>
          <w:rFonts w:ascii="Arial" w:hAnsi="Arial" w:cs="Arial"/>
          <w:sz w:val="20"/>
          <w:szCs w:val="20"/>
        </w:rPr>
        <w:t xml:space="preserve"> et al., 2017). </w:t>
      </w:r>
    </w:p>
    <w:p w14:paraId="4B9E073D" w14:textId="1B366DB3" w:rsidR="00D165A9" w:rsidRPr="00B50870" w:rsidRDefault="00D165A9" w:rsidP="00D165A9">
      <w:pPr>
        <w:spacing w:after="0"/>
        <w:ind w:firstLine="720"/>
        <w:jc w:val="both"/>
        <w:rPr>
          <w:rFonts w:ascii="Arial" w:hAnsi="Arial" w:cs="Arial"/>
          <w:sz w:val="20"/>
          <w:szCs w:val="20"/>
        </w:rPr>
      </w:pPr>
      <w:r w:rsidRPr="00B50870">
        <w:rPr>
          <w:rFonts w:ascii="Arial" w:hAnsi="Arial" w:cs="Arial"/>
          <w:sz w:val="20"/>
          <w:szCs w:val="20"/>
        </w:rPr>
        <w:t xml:space="preserve">The study by Lusardi and Mitchell (2017) concluded that improving financial literacy can help individuals make informed financial decisions, particularly in managing savings and retirement funds. Similarly, </w:t>
      </w:r>
      <w:proofErr w:type="spellStart"/>
      <w:r w:rsidRPr="00B50870">
        <w:rPr>
          <w:rFonts w:ascii="Arial" w:hAnsi="Arial" w:cs="Arial"/>
          <w:sz w:val="20"/>
          <w:szCs w:val="20"/>
        </w:rPr>
        <w:t>Boisclair</w:t>
      </w:r>
      <w:proofErr w:type="spellEnd"/>
      <w:r w:rsidRPr="00B50870">
        <w:rPr>
          <w:rFonts w:ascii="Arial" w:hAnsi="Arial" w:cs="Arial"/>
          <w:sz w:val="20"/>
          <w:szCs w:val="20"/>
        </w:rPr>
        <w:t>, Lusardi, and Michaud (2017) emphasized that targeted financial education programs significantly contribute to better financial well-being and retirement security. Research also indicates that demographic factors, including age, gender, educational attainment, and income, have a significant impact on financial literacy and retirement preparedness (Hastings et al., 2020</w:t>
      </w:r>
      <w:r w:rsidR="007B490B">
        <w:rPr>
          <w:rFonts w:ascii="Arial" w:hAnsi="Arial" w:cs="Arial"/>
          <w:sz w:val="20"/>
          <w:szCs w:val="20"/>
        </w:rPr>
        <w:t>)</w:t>
      </w:r>
      <w:r w:rsidRPr="00B50870">
        <w:rPr>
          <w:rFonts w:ascii="Arial" w:hAnsi="Arial" w:cs="Arial"/>
          <w:sz w:val="20"/>
          <w:szCs w:val="20"/>
        </w:rPr>
        <w:t xml:space="preserve">. Unfortunately, </w:t>
      </w:r>
      <w:proofErr w:type="spellStart"/>
      <w:r w:rsidRPr="00197059">
        <w:rPr>
          <w:rFonts w:ascii="Arial" w:hAnsi="Arial" w:cs="Arial"/>
          <w:sz w:val="20"/>
          <w:szCs w:val="20"/>
        </w:rPr>
        <w:t>Yakoboski</w:t>
      </w:r>
      <w:proofErr w:type="spellEnd"/>
      <w:r w:rsidRPr="00B50870">
        <w:rPr>
          <w:rFonts w:ascii="Arial" w:hAnsi="Arial" w:cs="Arial"/>
          <w:sz w:val="20"/>
          <w:szCs w:val="20"/>
        </w:rPr>
        <w:t xml:space="preserve"> et al. (202</w:t>
      </w:r>
      <w:r w:rsidR="00197059">
        <w:rPr>
          <w:rFonts w:ascii="Arial" w:hAnsi="Arial" w:cs="Arial"/>
          <w:sz w:val="20"/>
          <w:szCs w:val="20"/>
        </w:rPr>
        <w:t>2</w:t>
      </w:r>
      <w:r w:rsidRPr="00B50870">
        <w:rPr>
          <w:rFonts w:ascii="Arial" w:hAnsi="Arial" w:cs="Arial"/>
          <w:sz w:val="20"/>
          <w:szCs w:val="20"/>
        </w:rPr>
        <w:t xml:space="preserve">) found that many government employees with lower education and income levels remain financially illiterate, resulting in inadequate retirement planning and financial instability.   </w:t>
      </w:r>
    </w:p>
    <w:p w14:paraId="726C3ACE" w14:textId="334BEBAC" w:rsidR="00580FBF" w:rsidRPr="00580FBF" w:rsidRDefault="00D165A9" w:rsidP="00D165A9">
      <w:pPr>
        <w:spacing w:after="0"/>
        <w:ind w:firstLine="720"/>
        <w:jc w:val="both"/>
        <w:rPr>
          <w:rFonts w:ascii="Arial" w:hAnsi="Arial" w:cs="Arial"/>
          <w:sz w:val="20"/>
          <w:szCs w:val="36"/>
        </w:rPr>
      </w:pPr>
      <w:r w:rsidRPr="00B50870">
        <w:rPr>
          <w:rFonts w:ascii="Arial" w:hAnsi="Arial" w:cs="Arial"/>
          <w:sz w:val="20"/>
          <w:szCs w:val="20"/>
        </w:rPr>
        <w:t xml:space="preserve">This study aimed to assess the financial literacy and retirement preparedness of senior government employees, focusing on their financial behavior, self-efficacy, well-being, perception of their financial situation and approaches to personal finance management, as well as retirement savings and planning. </w:t>
      </w:r>
      <w:r w:rsidR="00A02C17" w:rsidRPr="00B50870">
        <w:rPr>
          <w:rFonts w:ascii="Arial" w:hAnsi="Arial" w:cs="Arial"/>
          <w:sz w:val="20"/>
          <w:szCs w:val="20"/>
        </w:rPr>
        <w:t xml:space="preserve">Lusardi and Mitchell (2017) </w:t>
      </w:r>
      <w:r w:rsidRPr="00B50870">
        <w:rPr>
          <w:rFonts w:ascii="Arial" w:hAnsi="Arial" w:cs="Arial"/>
          <w:sz w:val="20"/>
          <w:szCs w:val="20"/>
        </w:rPr>
        <w:t xml:space="preserve">found a positive attitude toward saving for retirement among Filipinos; however, this was not always reflected in effective retirement planning. The researchers identified a gap in studies specifically targeting government employees in rural areas such as </w:t>
      </w:r>
      <w:proofErr w:type="spellStart"/>
      <w:r w:rsidRPr="00B50870">
        <w:rPr>
          <w:rFonts w:ascii="Arial" w:hAnsi="Arial" w:cs="Arial"/>
          <w:sz w:val="20"/>
          <w:szCs w:val="20"/>
        </w:rPr>
        <w:t>Cateel</w:t>
      </w:r>
      <w:proofErr w:type="spellEnd"/>
      <w:r w:rsidRPr="00B50870">
        <w:rPr>
          <w:rFonts w:ascii="Arial" w:hAnsi="Arial" w:cs="Arial"/>
          <w:sz w:val="20"/>
          <w:szCs w:val="20"/>
        </w:rPr>
        <w:t xml:space="preserve"> and Davao Oriental. This study aimed to investigate the level of retirement preparedness among senior government employees, their financial literacy, and whether significant differences existed based on demographic characteristics, financial behavior, self-efficacy, well-being, and retirement-related practices.</w:t>
      </w:r>
      <w:r w:rsidR="00580FBF" w:rsidRPr="00580FBF">
        <w:rPr>
          <w:rFonts w:ascii="Arial" w:hAnsi="Arial" w:cs="Arial"/>
          <w:sz w:val="20"/>
          <w:szCs w:val="36"/>
        </w:rPr>
        <w:t xml:space="preserve">  </w:t>
      </w:r>
    </w:p>
    <w:p w14:paraId="3D18DB16" w14:textId="77777777" w:rsidR="00580FBF" w:rsidRPr="00580FBF" w:rsidRDefault="00580FBF" w:rsidP="00580FBF">
      <w:pPr>
        <w:spacing w:after="0"/>
        <w:jc w:val="both"/>
        <w:rPr>
          <w:rFonts w:ascii="Arial" w:hAnsi="Arial" w:cs="Arial"/>
          <w:sz w:val="20"/>
          <w:szCs w:val="36"/>
        </w:rPr>
      </w:pPr>
    </w:p>
    <w:p w14:paraId="7D99A458" w14:textId="77777777" w:rsidR="00580FBF" w:rsidRDefault="00690128" w:rsidP="00580FBF">
      <w:pPr>
        <w:spacing w:after="0"/>
        <w:jc w:val="both"/>
        <w:rPr>
          <w:rFonts w:ascii="Arial" w:eastAsia="Arial" w:hAnsi="Arial" w:cs="Arial"/>
          <w:b/>
          <w:smallCaps/>
          <w:color w:val="000000"/>
          <w:lang w:val="en-US" w:eastAsia="en-PH"/>
        </w:rPr>
      </w:pPr>
      <w:r w:rsidRPr="00690128">
        <w:rPr>
          <w:rFonts w:ascii="Arial" w:eastAsia="Arial" w:hAnsi="Arial" w:cs="Arial"/>
          <w:b/>
          <w:smallCaps/>
          <w:color w:val="000000"/>
          <w:lang w:val="en-US" w:eastAsia="en-PH"/>
        </w:rPr>
        <w:t>2. OBJECTIVES</w:t>
      </w:r>
    </w:p>
    <w:p w14:paraId="0A42BD82" w14:textId="77777777" w:rsidR="00690128" w:rsidRDefault="00690128" w:rsidP="00580FBF">
      <w:pPr>
        <w:spacing w:after="0"/>
        <w:jc w:val="both"/>
        <w:rPr>
          <w:rFonts w:ascii="Arial" w:eastAsia="Arial" w:hAnsi="Arial" w:cs="Arial"/>
          <w:b/>
          <w:smallCaps/>
          <w:color w:val="000000"/>
          <w:lang w:val="en-US" w:eastAsia="en-PH"/>
        </w:rPr>
      </w:pPr>
    </w:p>
    <w:p w14:paraId="1173FEE5" w14:textId="1AD24514" w:rsidR="00690128" w:rsidRPr="00690128" w:rsidRDefault="00C22E1C" w:rsidP="00437C0F">
      <w:pPr>
        <w:spacing w:after="0"/>
        <w:jc w:val="both"/>
        <w:rPr>
          <w:rFonts w:ascii="Arial" w:hAnsi="Arial" w:cs="Arial"/>
          <w:bCs/>
          <w:sz w:val="20"/>
          <w:szCs w:val="36"/>
        </w:rPr>
      </w:pPr>
      <w:r w:rsidRPr="00B50870">
        <w:rPr>
          <w:rFonts w:ascii="Arial" w:hAnsi="Arial" w:cs="Arial"/>
          <w:sz w:val="20"/>
          <w:szCs w:val="20"/>
        </w:rPr>
        <w:t>This research aimed to achieve the following objectives:</w:t>
      </w:r>
    </w:p>
    <w:p w14:paraId="2A066232" w14:textId="77777777" w:rsidR="00690128" w:rsidRPr="00690128" w:rsidRDefault="00690128" w:rsidP="00690128">
      <w:pPr>
        <w:numPr>
          <w:ilvl w:val="0"/>
          <w:numId w:val="1"/>
        </w:numPr>
        <w:spacing w:after="0"/>
        <w:jc w:val="both"/>
        <w:rPr>
          <w:rFonts w:ascii="Arial" w:hAnsi="Arial" w:cs="Arial"/>
          <w:bCs/>
          <w:sz w:val="20"/>
          <w:szCs w:val="36"/>
          <w:lang w:val="en-US"/>
        </w:rPr>
      </w:pPr>
      <w:r w:rsidRPr="00690128">
        <w:rPr>
          <w:rFonts w:ascii="Arial" w:hAnsi="Arial" w:cs="Arial"/>
          <w:bCs/>
          <w:sz w:val="20"/>
          <w:szCs w:val="36"/>
          <w:lang w:val="en-US"/>
        </w:rPr>
        <w:t>To determine the profile of the respondent in terms of:</w:t>
      </w:r>
    </w:p>
    <w:p w14:paraId="51F1EB2F" w14:textId="5FD198D0"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a. </w:t>
      </w:r>
      <w:r w:rsidR="00C74C2B">
        <w:rPr>
          <w:rFonts w:ascii="Arial" w:hAnsi="Arial" w:cs="Arial"/>
          <w:bCs/>
          <w:sz w:val="20"/>
          <w:szCs w:val="36"/>
          <w:lang w:val="en-US"/>
        </w:rPr>
        <w:t>age</w:t>
      </w:r>
      <w:r w:rsidRPr="00690128">
        <w:rPr>
          <w:rFonts w:ascii="Arial" w:hAnsi="Arial" w:cs="Arial"/>
          <w:bCs/>
          <w:sz w:val="20"/>
          <w:szCs w:val="36"/>
          <w:lang w:val="en-US"/>
        </w:rPr>
        <w:t>;</w:t>
      </w:r>
    </w:p>
    <w:p w14:paraId="48D84DCE" w14:textId="56FA3E2B"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b. </w:t>
      </w:r>
      <w:r w:rsidR="003C2131">
        <w:rPr>
          <w:rFonts w:ascii="Arial" w:hAnsi="Arial" w:cs="Arial"/>
          <w:bCs/>
          <w:sz w:val="20"/>
          <w:szCs w:val="36"/>
          <w:lang w:val="en-US"/>
        </w:rPr>
        <w:t>gender</w:t>
      </w:r>
      <w:r w:rsidRPr="00690128">
        <w:rPr>
          <w:rFonts w:ascii="Arial" w:hAnsi="Arial" w:cs="Arial"/>
          <w:bCs/>
          <w:sz w:val="20"/>
          <w:szCs w:val="36"/>
          <w:lang w:val="en-US"/>
        </w:rPr>
        <w:t>;</w:t>
      </w:r>
    </w:p>
    <w:p w14:paraId="2D2DA89C" w14:textId="7E827120" w:rsidR="00690128" w:rsidRPr="00690128" w:rsidRDefault="00690128" w:rsidP="00690128">
      <w:pPr>
        <w:spacing w:after="0"/>
        <w:ind w:left="360"/>
        <w:jc w:val="both"/>
        <w:rPr>
          <w:rFonts w:ascii="Arial" w:hAnsi="Arial" w:cs="Arial"/>
          <w:b/>
          <w:sz w:val="20"/>
          <w:szCs w:val="36"/>
          <w:lang w:val="en-US"/>
        </w:rPr>
      </w:pPr>
      <w:r w:rsidRPr="00690128">
        <w:rPr>
          <w:rFonts w:ascii="Arial" w:hAnsi="Arial" w:cs="Arial"/>
          <w:bCs/>
          <w:sz w:val="20"/>
          <w:szCs w:val="36"/>
          <w:lang w:val="en-US"/>
        </w:rPr>
        <w:t xml:space="preserve">c. </w:t>
      </w:r>
      <w:r w:rsidR="00B325AD">
        <w:rPr>
          <w:rFonts w:ascii="Arial" w:hAnsi="Arial" w:cs="Arial"/>
          <w:bCs/>
          <w:sz w:val="20"/>
          <w:szCs w:val="36"/>
          <w:lang w:val="en-US"/>
        </w:rPr>
        <w:t>marital</w:t>
      </w:r>
      <w:r w:rsidR="0031083E">
        <w:rPr>
          <w:rFonts w:ascii="Arial" w:hAnsi="Arial" w:cs="Arial"/>
          <w:bCs/>
          <w:sz w:val="20"/>
          <w:szCs w:val="36"/>
          <w:lang w:val="en-US"/>
        </w:rPr>
        <w:t xml:space="preserve"> status</w:t>
      </w:r>
      <w:r w:rsidRPr="00690128">
        <w:rPr>
          <w:rFonts w:ascii="Arial" w:hAnsi="Arial" w:cs="Arial"/>
          <w:bCs/>
          <w:sz w:val="20"/>
          <w:szCs w:val="36"/>
          <w:lang w:val="en-US"/>
        </w:rPr>
        <w:t xml:space="preserve">; </w:t>
      </w:r>
    </w:p>
    <w:p w14:paraId="4BAA3B2B" w14:textId="1BACEC30" w:rsid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d. </w:t>
      </w:r>
      <w:r w:rsidR="0031083E">
        <w:rPr>
          <w:rFonts w:ascii="Arial" w:hAnsi="Arial" w:cs="Arial"/>
          <w:bCs/>
          <w:sz w:val="20"/>
          <w:szCs w:val="36"/>
          <w:lang w:val="en-US"/>
        </w:rPr>
        <w:t>educational attainment</w:t>
      </w:r>
      <w:r w:rsidR="006A4DEB">
        <w:rPr>
          <w:rFonts w:ascii="Arial" w:hAnsi="Arial" w:cs="Arial"/>
          <w:bCs/>
          <w:sz w:val="20"/>
          <w:szCs w:val="36"/>
          <w:lang w:val="en-US"/>
        </w:rPr>
        <w:t>; and</w:t>
      </w:r>
    </w:p>
    <w:p w14:paraId="2A3DADD1" w14:textId="77777777" w:rsidR="00DC187A" w:rsidRDefault="006A4DEB" w:rsidP="00DC187A">
      <w:pPr>
        <w:spacing w:after="0"/>
        <w:ind w:left="360"/>
        <w:jc w:val="both"/>
        <w:rPr>
          <w:rFonts w:ascii="Arial" w:hAnsi="Arial" w:cs="Arial"/>
          <w:bCs/>
          <w:sz w:val="20"/>
          <w:szCs w:val="36"/>
          <w:lang w:val="en-US"/>
        </w:rPr>
      </w:pPr>
      <w:r>
        <w:rPr>
          <w:rFonts w:ascii="Arial" w:hAnsi="Arial" w:cs="Arial"/>
          <w:bCs/>
          <w:sz w:val="20"/>
          <w:szCs w:val="36"/>
          <w:lang w:val="en-US"/>
        </w:rPr>
        <w:t>e. salary</w:t>
      </w:r>
      <w:r w:rsidR="00D6692A">
        <w:rPr>
          <w:rFonts w:ascii="Arial" w:hAnsi="Arial" w:cs="Arial"/>
          <w:bCs/>
          <w:sz w:val="20"/>
          <w:szCs w:val="36"/>
          <w:lang w:val="en-US"/>
        </w:rPr>
        <w:t>.</w:t>
      </w:r>
    </w:p>
    <w:p w14:paraId="2AB60441" w14:textId="7865DDB9" w:rsidR="002431DF" w:rsidRPr="00DC187A" w:rsidRDefault="002431DF" w:rsidP="00DC187A">
      <w:pPr>
        <w:pStyle w:val="ListParagraph"/>
        <w:numPr>
          <w:ilvl w:val="0"/>
          <w:numId w:val="1"/>
        </w:numPr>
        <w:spacing w:line="240" w:lineRule="auto"/>
        <w:rPr>
          <w:rFonts w:cs="Arial"/>
          <w:bCs/>
          <w:sz w:val="20"/>
          <w:szCs w:val="36"/>
          <w:lang w:val="en-US"/>
        </w:rPr>
      </w:pPr>
      <w:r w:rsidRPr="00DC187A">
        <w:rPr>
          <w:rFonts w:cs="Arial"/>
          <w:sz w:val="20"/>
          <w:szCs w:val="20"/>
        </w:rPr>
        <w:t xml:space="preserve">To identify the level of financial literacy among respondents in terms of: </w:t>
      </w:r>
    </w:p>
    <w:p w14:paraId="6965F371" w14:textId="31459B2D"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a. </w:t>
      </w:r>
      <w:r w:rsidR="008A77C4">
        <w:rPr>
          <w:rFonts w:ascii="Arial" w:hAnsi="Arial" w:cs="Arial"/>
          <w:bCs/>
          <w:sz w:val="20"/>
          <w:szCs w:val="36"/>
          <w:lang w:val="en-US"/>
        </w:rPr>
        <w:t>financial behavior</w:t>
      </w:r>
      <w:r w:rsidRPr="00690128">
        <w:rPr>
          <w:rFonts w:ascii="Arial" w:hAnsi="Arial" w:cs="Arial"/>
          <w:bCs/>
          <w:sz w:val="20"/>
          <w:szCs w:val="36"/>
          <w:lang w:val="en-US"/>
        </w:rPr>
        <w:t>;</w:t>
      </w:r>
    </w:p>
    <w:p w14:paraId="07392C4B" w14:textId="5750E4BF"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b. </w:t>
      </w:r>
      <w:r w:rsidR="00462FBE">
        <w:rPr>
          <w:rFonts w:ascii="Arial" w:hAnsi="Arial" w:cs="Arial"/>
          <w:bCs/>
          <w:sz w:val="20"/>
          <w:szCs w:val="36"/>
          <w:lang w:val="en-US"/>
        </w:rPr>
        <w:t>financial self-efficacy</w:t>
      </w:r>
      <w:r w:rsidRPr="00690128">
        <w:rPr>
          <w:rFonts w:ascii="Arial" w:hAnsi="Arial" w:cs="Arial"/>
          <w:bCs/>
          <w:sz w:val="20"/>
          <w:szCs w:val="36"/>
          <w:lang w:val="en-US"/>
        </w:rPr>
        <w:t>;</w:t>
      </w:r>
    </w:p>
    <w:p w14:paraId="3764DE7C" w14:textId="38F9F546"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c. </w:t>
      </w:r>
      <w:r w:rsidR="00A169C6">
        <w:rPr>
          <w:rFonts w:ascii="Arial" w:hAnsi="Arial" w:cs="Arial"/>
          <w:bCs/>
          <w:sz w:val="20"/>
          <w:szCs w:val="36"/>
          <w:lang w:val="en-US"/>
        </w:rPr>
        <w:t>financial well-being</w:t>
      </w:r>
      <w:r w:rsidRPr="00690128">
        <w:rPr>
          <w:rFonts w:ascii="Arial" w:hAnsi="Arial" w:cs="Arial"/>
          <w:bCs/>
          <w:sz w:val="20"/>
          <w:szCs w:val="36"/>
          <w:lang w:val="en-US"/>
        </w:rPr>
        <w:t>;</w:t>
      </w:r>
    </w:p>
    <w:p w14:paraId="33B81F74" w14:textId="2764B68C"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lastRenderedPageBreak/>
        <w:t xml:space="preserve">d. </w:t>
      </w:r>
      <w:r w:rsidR="00085D36">
        <w:rPr>
          <w:rFonts w:ascii="Arial" w:hAnsi="Arial" w:cs="Arial"/>
          <w:bCs/>
          <w:sz w:val="20"/>
          <w:szCs w:val="36"/>
          <w:lang w:val="en-US"/>
        </w:rPr>
        <w:t xml:space="preserve">perception of the </w:t>
      </w:r>
      <w:r w:rsidR="000F35D4">
        <w:rPr>
          <w:rFonts w:ascii="Arial" w:hAnsi="Arial" w:cs="Arial"/>
          <w:bCs/>
          <w:sz w:val="20"/>
          <w:szCs w:val="36"/>
          <w:lang w:val="en-US"/>
        </w:rPr>
        <w:t>current financial situation</w:t>
      </w:r>
      <w:r w:rsidRPr="00690128">
        <w:rPr>
          <w:rFonts w:ascii="Arial" w:hAnsi="Arial" w:cs="Arial"/>
          <w:bCs/>
          <w:sz w:val="20"/>
          <w:szCs w:val="36"/>
          <w:lang w:val="en-US"/>
        </w:rPr>
        <w:t>; and</w:t>
      </w:r>
    </w:p>
    <w:p w14:paraId="399B67E7" w14:textId="30D9357A"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 xml:space="preserve">e. </w:t>
      </w:r>
      <w:r w:rsidR="000F35D4">
        <w:rPr>
          <w:rFonts w:ascii="Arial" w:hAnsi="Arial" w:cs="Arial"/>
          <w:bCs/>
          <w:sz w:val="20"/>
          <w:szCs w:val="36"/>
          <w:lang w:val="en-US"/>
        </w:rPr>
        <w:t>planning</w:t>
      </w:r>
      <w:r w:rsidR="00A83748">
        <w:rPr>
          <w:rFonts w:ascii="Arial" w:hAnsi="Arial" w:cs="Arial"/>
          <w:bCs/>
          <w:sz w:val="20"/>
          <w:szCs w:val="36"/>
          <w:lang w:val="en-US"/>
        </w:rPr>
        <w:t xml:space="preserve"> and controlling personal finances</w:t>
      </w:r>
      <w:r w:rsidRPr="00690128">
        <w:rPr>
          <w:rFonts w:ascii="Arial" w:hAnsi="Arial" w:cs="Arial"/>
          <w:bCs/>
          <w:sz w:val="20"/>
          <w:szCs w:val="36"/>
          <w:lang w:val="en-US"/>
        </w:rPr>
        <w:t>.</w:t>
      </w:r>
    </w:p>
    <w:p w14:paraId="28925F0C" w14:textId="55FBF3A9" w:rsidR="00CE45B3" w:rsidRDefault="00CE45B3" w:rsidP="00CE45B3">
      <w:pPr>
        <w:pStyle w:val="ListParagraph"/>
        <w:numPr>
          <w:ilvl w:val="0"/>
          <w:numId w:val="1"/>
        </w:numPr>
        <w:spacing w:line="240" w:lineRule="auto"/>
        <w:rPr>
          <w:rFonts w:cs="Arial"/>
          <w:sz w:val="20"/>
          <w:szCs w:val="20"/>
        </w:rPr>
      </w:pPr>
      <w:r w:rsidRPr="00CE45B3">
        <w:rPr>
          <w:rFonts w:cs="Arial"/>
          <w:sz w:val="20"/>
          <w:szCs w:val="20"/>
        </w:rPr>
        <w:t>To identify the level of retirement preparedness among respondents in terms of:</w:t>
      </w:r>
    </w:p>
    <w:p w14:paraId="6F96AFDC" w14:textId="0C18F66E" w:rsidR="00CE45B3" w:rsidRDefault="005C4706" w:rsidP="00CE45B3">
      <w:pPr>
        <w:pStyle w:val="ListParagraph"/>
        <w:spacing w:line="240" w:lineRule="auto"/>
        <w:ind w:left="360"/>
        <w:rPr>
          <w:rFonts w:cs="Arial"/>
          <w:sz w:val="20"/>
          <w:szCs w:val="20"/>
        </w:rPr>
      </w:pPr>
      <w:r>
        <w:rPr>
          <w:rFonts w:cs="Arial"/>
          <w:sz w:val="20"/>
          <w:szCs w:val="20"/>
        </w:rPr>
        <w:t>a.</w:t>
      </w:r>
      <w:r w:rsidR="00E267AD">
        <w:rPr>
          <w:rFonts w:cs="Arial"/>
          <w:sz w:val="20"/>
          <w:szCs w:val="20"/>
        </w:rPr>
        <w:t xml:space="preserve"> retirement </w:t>
      </w:r>
      <w:r w:rsidR="00575D3E">
        <w:rPr>
          <w:rFonts w:cs="Arial"/>
          <w:sz w:val="20"/>
          <w:szCs w:val="20"/>
        </w:rPr>
        <w:t xml:space="preserve">saving </w:t>
      </w:r>
      <w:r w:rsidR="009418F7">
        <w:rPr>
          <w:rFonts w:cs="Arial"/>
          <w:sz w:val="20"/>
          <w:szCs w:val="20"/>
        </w:rPr>
        <w:t>behavior</w:t>
      </w:r>
    </w:p>
    <w:p w14:paraId="533F5901" w14:textId="222DB31B" w:rsidR="009418F7" w:rsidRDefault="009418F7" w:rsidP="00CE45B3">
      <w:pPr>
        <w:pStyle w:val="ListParagraph"/>
        <w:spacing w:line="240" w:lineRule="auto"/>
        <w:ind w:left="360"/>
        <w:rPr>
          <w:rFonts w:cs="Arial"/>
          <w:sz w:val="20"/>
          <w:szCs w:val="20"/>
        </w:rPr>
      </w:pPr>
      <w:r>
        <w:rPr>
          <w:rFonts w:cs="Arial"/>
          <w:sz w:val="20"/>
          <w:szCs w:val="20"/>
        </w:rPr>
        <w:t>b. retirement planning</w:t>
      </w:r>
    </w:p>
    <w:p w14:paraId="5ABB0B53" w14:textId="77777777" w:rsidR="00F13EF6" w:rsidRDefault="00F13EF6" w:rsidP="00F13EF6">
      <w:pPr>
        <w:pStyle w:val="ListParagraph"/>
        <w:numPr>
          <w:ilvl w:val="0"/>
          <w:numId w:val="1"/>
        </w:numPr>
        <w:spacing w:line="240" w:lineRule="auto"/>
        <w:rPr>
          <w:rFonts w:cs="Arial"/>
          <w:sz w:val="20"/>
          <w:szCs w:val="20"/>
        </w:rPr>
      </w:pPr>
      <w:r w:rsidRPr="00F13EF6">
        <w:rPr>
          <w:rFonts w:cs="Arial"/>
          <w:sz w:val="20"/>
          <w:szCs w:val="20"/>
        </w:rPr>
        <w:t>To determine the significant difference in the level of financial literacy among respondents grouped according to:</w:t>
      </w:r>
    </w:p>
    <w:p w14:paraId="3C990DC1" w14:textId="77777777" w:rsidR="00E51715" w:rsidRPr="005F6CC4" w:rsidRDefault="00E51715" w:rsidP="005F6CC4">
      <w:pPr>
        <w:spacing w:after="0" w:line="240" w:lineRule="auto"/>
        <w:ind w:left="360"/>
        <w:rPr>
          <w:rFonts w:ascii="Arial" w:hAnsi="Arial" w:cs="Arial"/>
          <w:bCs/>
          <w:sz w:val="20"/>
          <w:szCs w:val="36"/>
          <w:lang w:val="en-US"/>
        </w:rPr>
      </w:pPr>
      <w:r w:rsidRPr="005F6CC4">
        <w:rPr>
          <w:rFonts w:ascii="Arial" w:hAnsi="Arial" w:cs="Arial"/>
          <w:bCs/>
          <w:sz w:val="20"/>
          <w:szCs w:val="36"/>
          <w:lang w:val="en-US"/>
        </w:rPr>
        <w:t>a. age;</w:t>
      </w:r>
    </w:p>
    <w:p w14:paraId="56B18818" w14:textId="77777777" w:rsidR="00E51715" w:rsidRPr="005F6CC4" w:rsidRDefault="00E51715" w:rsidP="005F6CC4">
      <w:pPr>
        <w:spacing w:after="0" w:line="240" w:lineRule="auto"/>
        <w:ind w:left="360"/>
        <w:rPr>
          <w:rFonts w:ascii="Arial" w:hAnsi="Arial" w:cs="Arial"/>
          <w:bCs/>
          <w:sz w:val="20"/>
          <w:szCs w:val="36"/>
          <w:lang w:val="en-US"/>
        </w:rPr>
      </w:pPr>
      <w:r w:rsidRPr="005F6CC4">
        <w:rPr>
          <w:rFonts w:ascii="Arial" w:hAnsi="Arial" w:cs="Arial"/>
          <w:bCs/>
          <w:sz w:val="20"/>
          <w:szCs w:val="36"/>
          <w:lang w:val="en-US"/>
        </w:rPr>
        <w:t>b. gender;</w:t>
      </w:r>
    </w:p>
    <w:p w14:paraId="73BED888" w14:textId="77777777" w:rsidR="00E51715" w:rsidRPr="005F6CC4" w:rsidRDefault="00E51715" w:rsidP="005F6CC4">
      <w:pPr>
        <w:spacing w:after="0" w:line="240" w:lineRule="auto"/>
        <w:ind w:left="360"/>
        <w:rPr>
          <w:rFonts w:ascii="Arial" w:hAnsi="Arial" w:cs="Arial"/>
          <w:b/>
          <w:sz w:val="20"/>
          <w:szCs w:val="36"/>
          <w:lang w:val="en-US"/>
        </w:rPr>
      </w:pPr>
      <w:r w:rsidRPr="005F6CC4">
        <w:rPr>
          <w:rFonts w:ascii="Arial" w:hAnsi="Arial" w:cs="Arial"/>
          <w:bCs/>
          <w:sz w:val="20"/>
          <w:szCs w:val="36"/>
          <w:lang w:val="en-US"/>
        </w:rPr>
        <w:t xml:space="preserve">c. marital status; </w:t>
      </w:r>
    </w:p>
    <w:p w14:paraId="7B85D51C" w14:textId="77777777" w:rsidR="00E51715" w:rsidRPr="005F6CC4" w:rsidRDefault="00E51715" w:rsidP="005F6CC4">
      <w:pPr>
        <w:spacing w:after="0" w:line="240" w:lineRule="auto"/>
        <w:ind w:left="360"/>
        <w:rPr>
          <w:rFonts w:ascii="Arial" w:hAnsi="Arial" w:cs="Arial"/>
          <w:bCs/>
          <w:sz w:val="20"/>
          <w:szCs w:val="36"/>
          <w:lang w:val="en-US"/>
        </w:rPr>
      </w:pPr>
      <w:r w:rsidRPr="005F6CC4">
        <w:rPr>
          <w:rFonts w:ascii="Arial" w:hAnsi="Arial" w:cs="Arial"/>
          <w:bCs/>
          <w:sz w:val="20"/>
          <w:szCs w:val="36"/>
          <w:lang w:val="en-US"/>
        </w:rPr>
        <w:t>d. educational attainment; and</w:t>
      </w:r>
    </w:p>
    <w:p w14:paraId="627F40BA" w14:textId="584D8F2D" w:rsidR="00C95418" w:rsidRPr="005F6CC4" w:rsidRDefault="00E51715" w:rsidP="005F6CC4">
      <w:pPr>
        <w:spacing w:after="0" w:line="240" w:lineRule="auto"/>
        <w:ind w:left="360"/>
        <w:rPr>
          <w:rFonts w:cs="Arial"/>
          <w:sz w:val="20"/>
          <w:szCs w:val="20"/>
        </w:rPr>
      </w:pPr>
      <w:r w:rsidRPr="005F6CC4">
        <w:rPr>
          <w:rFonts w:ascii="Arial" w:hAnsi="Arial" w:cs="Arial"/>
          <w:bCs/>
          <w:sz w:val="20"/>
          <w:szCs w:val="36"/>
          <w:lang w:val="en-US"/>
        </w:rPr>
        <w:t>e. salary</w:t>
      </w:r>
      <w:r w:rsidRPr="005F6CC4">
        <w:rPr>
          <w:rFonts w:cs="Arial"/>
          <w:bCs/>
          <w:sz w:val="20"/>
          <w:szCs w:val="36"/>
          <w:lang w:val="en-US"/>
        </w:rPr>
        <w:t>.</w:t>
      </w:r>
    </w:p>
    <w:p w14:paraId="26ED606A" w14:textId="40F997E5" w:rsidR="009418F7" w:rsidRPr="00DB4503" w:rsidRDefault="00DB4503" w:rsidP="00DB4503">
      <w:pPr>
        <w:pStyle w:val="ListParagraph"/>
        <w:numPr>
          <w:ilvl w:val="0"/>
          <w:numId w:val="1"/>
        </w:numPr>
        <w:spacing w:line="240" w:lineRule="auto"/>
        <w:rPr>
          <w:rFonts w:cs="Arial"/>
          <w:sz w:val="20"/>
          <w:szCs w:val="20"/>
        </w:rPr>
      </w:pPr>
      <w:r w:rsidRPr="00DB4503">
        <w:rPr>
          <w:rFonts w:cs="Arial"/>
          <w:sz w:val="20"/>
          <w:szCs w:val="20"/>
        </w:rPr>
        <w:t>To determine the significant difference in the level of retirement preparedness among respondents grouped according to:</w:t>
      </w:r>
    </w:p>
    <w:p w14:paraId="7143CA0A" w14:textId="77777777" w:rsidR="00DB4503" w:rsidRPr="00DB4503" w:rsidRDefault="00DB4503" w:rsidP="00F45187">
      <w:pPr>
        <w:spacing w:after="0" w:line="240" w:lineRule="auto"/>
        <w:ind w:firstLine="360"/>
        <w:rPr>
          <w:rFonts w:ascii="Arial" w:hAnsi="Arial" w:cs="Arial"/>
          <w:bCs/>
          <w:sz w:val="20"/>
          <w:szCs w:val="36"/>
          <w:lang w:val="en-US"/>
        </w:rPr>
      </w:pPr>
      <w:r w:rsidRPr="00DB4503">
        <w:rPr>
          <w:rFonts w:ascii="Arial" w:hAnsi="Arial" w:cs="Arial"/>
          <w:bCs/>
          <w:sz w:val="20"/>
          <w:szCs w:val="36"/>
          <w:lang w:val="en-US"/>
        </w:rPr>
        <w:t>a. age;</w:t>
      </w:r>
    </w:p>
    <w:p w14:paraId="50AACE0E" w14:textId="77777777" w:rsidR="00DB4503" w:rsidRPr="00DB4503" w:rsidRDefault="00DB4503" w:rsidP="00F45187">
      <w:pPr>
        <w:spacing w:after="0" w:line="240" w:lineRule="auto"/>
        <w:ind w:firstLine="360"/>
        <w:rPr>
          <w:rFonts w:ascii="Arial" w:hAnsi="Arial" w:cs="Arial"/>
          <w:bCs/>
          <w:sz w:val="20"/>
          <w:szCs w:val="36"/>
          <w:lang w:val="en-US"/>
        </w:rPr>
      </w:pPr>
      <w:r w:rsidRPr="00DB4503">
        <w:rPr>
          <w:rFonts w:ascii="Arial" w:hAnsi="Arial" w:cs="Arial"/>
          <w:bCs/>
          <w:sz w:val="20"/>
          <w:szCs w:val="36"/>
          <w:lang w:val="en-US"/>
        </w:rPr>
        <w:t>b. gender;</w:t>
      </w:r>
    </w:p>
    <w:p w14:paraId="43AFC2A2" w14:textId="77777777" w:rsidR="00DB4503" w:rsidRPr="00DB4503" w:rsidRDefault="00DB4503" w:rsidP="00F45187">
      <w:pPr>
        <w:spacing w:after="0" w:line="240" w:lineRule="auto"/>
        <w:ind w:firstLine="360"/>
        <w:rPr>
          <w:rFonts w:ascii="Arial" w:hAnsi="Arial" w:cs="Arial"/>
          <w:b/>
          <w:sz w:val="20"/>
          <w:szCs w:val="36"/>
          <w:lang w:val="en-US"/>
        </w:rPr>
      </w:pPr>
      <w:r w:rsidRPr="00DB4503">
        <w:rPr>
          <w:rFonts w:ascii="Arial" w:hAnsi="Arial" w:cs="Arial"/>
          <w:bCs/>
          <w:sz w:val="20"/>
          <w:szCs w:val="36"/>
          <w:lang w:val="en-US"/>
        </w:rPr>
        <w:t xml:space="preserve">c. marital status; </w:t>
      </w:r>
    </w:p>
    <w:p w14:paraId="48CA88A2" w14:textId="77777777" w:rsidR="00DB4503" w:rsidRPr="00DB4503" w:rsidRDefault="00DB4503" w:rsidP="00F45187">
      <w:pPr>
        <w:spacing w:after="0" w:line="240" w:lineRule="auto"/>
        <w:ind w:firstLine="360"/>
        <w:rPr>
          <w:rFonts w:ascii="Arial" w:hAnsi="Arial" w:cs="Arial"/>
          <w:bCs/>
          <w:sz w:val="20"/>
          <w:szCs w:val="36"/>
          <w:lang w:val="en-US"/>
        </w:rPr>
      </w:pPr>
      <w:r w:rsidRPr="00DB4503">
        <w:rPr>
          <w:rFonts w:ascii="Arial" w:hAnsi="Arial" w:cs="Arial"/>
          <w:bCs/>
          <w:sz w:val="20"/>
          <w:szCs w:val="36"/>
          <w:lang w:val="en-US"/>
        </w:rPr>
        <w:t>d. educational attainment; and</w:t>
      </w:r>
    </w:p>
    <w:p w14:paraId="4D588F29" w14:textId="1CE88925" w:rsidR="00CE45B3" w:rsidRDefault="00DB4503" w:rsidP="00F45187">
      <w:pPr>
        <w:spacing w:after="0"/>
        <w:ind w:firstLine="360"/>
        <w:rPr>
          <w:rFonts w:ascii="Arial" w:hAnsi="Arial" w:cs="Arial"/>
          <w:bCs/>
          <w:sz w:val="20"/>
          <w:szCs w:val="36"/>
          <w:lang w:val="en-US"/>
        </w:rPr>
      </w:pPr>
      <w:r w:rsidRPr="00DB4503">
        <w:rPr>
          <w:rFonts w:ascii="Arial" w:hAnsi="Arial" w:cs="Arial"/>
          <w:bCs/>
          <w:sz w:val="20"/>
          <w:szCs w:val="36"/>
          <w:lang w:val="en-US"/>
        </w:rPr>
        <w:t>e. salary.</w:t>
      </w:r>
    </w:p>
    <w:p w14:paraId="5218CADA" w14:textId="17AD6D35" w:rsidR="00F45187" w:rsidRDefault="00D26E5E" w:rsidP="00D26E5E">
      <w:pPr>
        <w:pStyle w:val="ListParagraph"/>
        <w:numPr>
          <w:ilvl w:val="0"/>
          <w:numId w:val="1"/>
        </w:numPr>
        <w:spacing w:line="240" w:lineRule="auto"/>
        <w:rPr>
          <w:rFonts w:cs="Arial"/>
          <w:sz w:val="20"/>
          <w:szCs w:val="20"/>
        </w:rPr>
      </w:pPr>
      <w:r w:rsidRPr="00D26E5E">
        <w:rPr>
          <w:rFonts w:cs="Arial"/>
          <w:sz w:val="20"/>
          <w:szCs w:val="20"/>
        </w:rPr>
        <w:t>To determine the significant relationship between financial literacy and retirement preparedness.</w:t>
      </w:r>
    </w:p>
    <w:p w14:paraId="688621BA" w14:textId="77777777" w:rsidR="00D26E5E" w:rsidRPr="00D26E5E" w:rsidRDefault="00D26E5E" w:rsidP="00D26E5E">
      <w:pPr>
        <w:pStyle w:val="ListParagraph"/>
        <w:spacing w:line="240" w:lineRule="auto"/>
        <w:ind w:left="360"/>
        <w:rPr>
          <w:rFonts w:cs="Arial"/>
          <w:sz w:val="20"/>
          <w:szCs w:val="20"/>
        </w:rPr>
      </w:pPr>
    </w:p>
    <w:p w14:paraId="667B500C" w14:textId="77777777" w:rsidR="00690128" w:rsidRDefault="00690128" w:rsidP="00690128">
      <w:pPr>
        <w:spacing w:after="0"/>
        <w:jc w:val="both"/>
        <w:rPr>
          <w:rFonts w:ascii="Arial" w:eastAsia="Arial" w:hAnsi="Arial" w:cs="Arial"/>
          <w:b/>
          <w:smallCaps/>
          <w:color w:val="000000"/>
        </w:rPr>
      </w:pPr>
      <w:r>
        <w:rPr>
          <w:rFonts w:ascii="Arial" w:eastAsia="Arial" w:hAnsi="Arial" w:cs="Arial"/>
          <w:b/>
          <w:smallCaps/>
          <w:color w:val="000000"/>
        </w:rPr>
        <w:t>3. MATERIALS AND METHODS</w:t>
      </w:r>
    </w:p>
    <w:p w14:paraId="23BAD8F8" w14:textId="77777777" w:rsidR="00690128" w:rsidRDefault="00690128" w:rsidP="00690128">
      <w:pPr>
        <w:spacing w:after="0"/>
        <w:jc w:val="both"/>
        <w:rPr>
          <w:rFonts w:ascii="Arial" w:eastAsia="Arial" w:hAnsi="Arial" w:cs="Arial"/>
          <w:b/>
          <w:smallCaps/>
          <w:color w:val="000000"/>
        </w:rPr>
      </w:pPr>
    </w:p>
    <w:p w14:paraId="52225831" w14:textId="77777777" w:rsidR="00690128" w:rsidRPr="00690128" w:rsidRDefault="00690128" w:rsidP="00690128">
      <w:pPr>
        <w:spacing w:after="0"/>
        <w:jc w:val="both"/>
        <w:rPr>
          <w:rFonts w:ascii="Arial" w:hAnsi="Arial" w:cs="Arial"/>
          <w:b/>
          <w:bCs/>
          <w:sz w:val="20"/>
          <w:szCs w:val="36"/>
        </w:rPr>
      </w:pPr>
      <w:r w:rsidRPr="00690128">
        <w:rPr>
          <w:rFonts w:ascii="Arial" w:hAnsi="Arial" w:cs="Arial"/>
          <w:b/>
          <w:bCs/>
          <w:sz w:val="20"/>
          <w:szCs w:val="36"/>
        </w:rPr>
        <w:t>Research Design</w:t>
      </w:r>
    </w:p>
    <w:p w14:paraId="08310214" w14:textId="3C45BE5F" w:rsidR="00433C52" w:rsidRPr="00433C52" w:rsidRDefault="00423243" w:rsidP="00433C52">
      <w:pPr>
        <w:spacing w:after="0"/>
        <w:ind w:firstLine="720"/>
        <w:jc w:val="both"/>
        <w:rPr>
          <w:rFonts w:ascii="Arial" w:hAnsi="Arial" w:cs="Arial"/>
          <w:sz w:val="18"/>
          <w:szCs w:val="18"/>
        </w:rPr>
      </w:pPr>
      <w:r w:rsidRPr="006D6409">
        <w:rPr>
          <w:rFonts w:ascii="Arial" w:hAnsi="Arial" w:cs="Arial"/>
          <w:color w:val="000000" w:themeColor="text1"/>
          <w:sz w:val="20"/>
          <w:szCs w:val="20"/>
        </w:rPr>
        <w:t>A quantitative-descriptive correlational design w</w:t>
      </w:r>
      <w:r w:rsidRPr="006D6409">
        <w:rPr>
          <w:rFonts w:ascii="Arial" w:hAnsi="Arial" w:cs="Arial"/>
          <w:color w:val="000000" w:themeColor="text1"/>
          <w:sz w:val="20"/>
          <w:szCs w:val="20"/>
          <w:lang w:val="en-US"/>
        </w:rPr>
        <w:t>as</w:t>
      </w:r>
      <w:r w:rsidRPr="006D6409">
        <w:rPr>
          <w:rFonts w:ascii="Arial" w:hAnsi="Arial" w:cs="Arial"/>
          <w:color w:val="000000" w:themeColor="text1"/>
          <w:sz w:val="20"/>
          <w:szCs w:val="20"/>
        </w:rPr>
        <w:t xml:space="preserve"> used to explore the relationship between financial literacy and retirement preparedness among government employees. As described by </w:t>
      </w:r>
      <w:proofErr w:type="spellStart"/>
      <w:r w:rsidRPr="006D6409">
        <w:rPr>
          <w:rFonts w:ascii="Arial" w:hAnsi="Arial" w:cs="Arial"/>
          <w:color w:val="000000" w:themeColor="text1"/>
          <w:sz w:val="20"/>
          <w:szCs w:val="20"/>
        </w:rPr>
        <w:t>Atmowardoyo</w:t>
      </w:r>
      <w:proofErr w:type="spellEnd"/>
      <w:r w:rsidRPr="006D6409">
        <w:rPr>
          <w:rFonts w:ascii="Arial" w:hAnsi="Arial" w:cs="Arial"/>
          <w:color w:val="000000" w:themeColor="text1"/>
          <w:sz w:val="20"/>
          <w:szCs w:val="20"/>
        </w:rPr>
        <w:t xml:space="preserve"> (2018), descriptive research aims to describe a population or phenomenon systematically. This study is quantitative because it aims to measure the levels of financial literacy and retirement preparedness. It is descriptive because it focuses on observing these variables without manipulating them. The quantitative-descriptive correlational design was chosen to gather reliable data from a diverse group of senior citizens, providing generalizable insights into the relationships between financial literacy and retirement preparedness.</w:t>
      </w:r>
    </w:p>
    <w:p w14:paraId="74F45279" w14:textId="77777777" w:rsidR="00433C52" w:rsidRDefault="00433C52" w:rsidP="009A4A8A">
      <w:pPr>
        <w:spacing w:after="0"/>
        <w:jc w:val="both"/>
        <w:rPr>
          <w:rFonts w:ascii="Arial" w:hAnsi="Arial" w:cs="Arial"/>
          <w:b/>
          <w:bCs/>
          <w:sz w:val="20"/>
          <w:szCs w:val="36"/>
        </w:rPr>
      </w:pPr>
    </w:p>
    <w:p w14:paraId="1677EE8D" w14:textId="641250C3" w:rsidR="009A4A8A" w:rsidRPr="009A4A8A" w:rsidRDefault="009A4A8A" w:rsidP="009A4A8A">
      <w:pPr>
        <w:spacing w:after="0"/>
        <w:jc w:val="both"/>
        <w:rPr>
          <w:rFonts w:ascii="Arial" w:hAnsi="Arial" w:cs="Arial"/>
          <w:b/>
          <w:bCs/>
          <w:sz w:val="20"/>
          <w:szCs w:val="36"/>
        </w:rPr>
      </w:pPr>
      <w:r w:rsidRPr="009A4A8A">
        <w:rPr>
          <w:rFonts w:ascii="Arial" w:hAnsi="Arial" w:cs="Arial"/>
          <w:b/>
          <w:bCs/>
          <w:sz w:val="20"/>
          <w:szCs w:val="36"/>
        </w:rPr>
        <w:t>Research Instrument</w:t>
      </w:r>
    </w:p>
    <w:p w14:paraId="12075AE3" w14:textId="55355CBE" w:rsidR="009A4A8A" w:rsidRPr="00E7431C" w:rsidRDefault="00E7431C" w:rsidP="00E7431C">
      <w:pPr>
        <w:spacing w:after="0"/>
        <w:ind w:firstLine="720"/>
        <w:jc w:val="both"/>
        <w:rPr>
          <w:rFonts w:ascii="Arial" w:hAnsi="Arial" w:cs="Arial"/>
          <w:sz w:val="20"/>
          <w:szCs w:val="20"/>
        </w:rPr>
      </w:pPr>
      <w:r w:rsidRPr="001022A1">
        <w:rPr>
          <w:rFonts w:ascii="Arial" w:hAnsi="Arial" w:cs="Arial"/>
          <w:sz w:val="20"/>
          <w:szCs w:val="20"/>
        </w:rPr>
        <w:t xml:space="preserve">An adopted survey questionnaire was used as the primary tool for data collection. Indicators related to financial literacy, such as retirement savings behavior, were adopted from Sagar's (2024) study. Perceptions of the current financial situation and planning and controlling personal finances were adopted from the study by Almeida et al. (2024). Measures of financial behavior, financial self-efficacy, and financial well-being were derived from the study by Putra et al. (2024). The level of retirement planning was adopted from the work of </w:t>
      </w:r>
      <w:proofErr w:type="spellStart"/>
      <w:r w:rsidRPr="001022A1">
        <w:rPr>
          <w:rFonts w:ascii="Arial" w:hAnsi="Arial" w:cs="Arial"/>
          <w:sz w:val="20"/>
          <w:szCs w:val="20"/>
        </w:rPr>
        <w:t>Yambor</w:t>
      </w:r>
      <w:proofErr w:type="spellEnd"/>
      <w:r w:rsidRPr="001022A1">
        <w:rPr>
          <w:rFonts w:ascii="Arial" w:hAnsi="Arial" w:cs="Arial"/>
          <w:sz w:val="20"/>
          <w:szCs w:val="20"/>
        </w:rPr>
        <w:t xml:space="preserve"> et al. (2021).</w:t>
      </w:r>
    </w:p>
    <w:p w14:paraId="3F366AC4" w14:textId="230F19F2" w:rsidR="009A4A8A" w:rsidRPr="00E7431C" w:rsidRDefault="00E7431C" w:rsidP="00E7431C">
      <w:pPr>
        <w:spacing w:after="0"/>
        <w:ind w:firstLine="720"/>
        <w:jc w:val="both"/>
        <w:rPr>
          <w:rFonts w:ascii="Arial" w:hAnsi="Arial" w:cs="Arial"/>
          <w:sz w:val="20"/>
          <w:szCs w:val="20"/>
        </w:rPr>
      </w:pPr>
      <w:r w:rsidRPr="001022A1">
        <w:rPr>
          <w:rFonts w:ascii="Arial" w:hAnsi="Arial" w:cs="Arial"/>
          <w:sz w:val="20"/>
          <w:szCs w:val="20"/>
        </w:rPr>
        <w:t>Additionally, a Likert scale was used for the questionnaire. The Likert scale involved a series of statements to which respondents rated their level of agreement. This study employed a 5-point Likert scale, with five categories in each construct: Strongly Disagree, Disagree, Neither Agree nor Disagree, Agree, and Strongly Agree. The scoring for each option ranged from one (1) to five (5), respectively.</w:t>
      </w:r>
    </w:p>
    <w:p w14:paraId="25AAB2CD" w14:textId="77777777" w:rsidR="009A4A8A" w:rsidRDefault="009A4A8A" w:rsidP="009A4A8A">
      <w:pPr>
        <w:spacing w:after="0"/>
        <w:jc w:val="both"/>
        <w:rPr>
          <w:rFonts w:ascii="Arial" w:hAnsi="Arial" w:cs="Arial"/>
          <w:bCs/>
          <w:sz w:val="20"/>
          <w:szCs w:val="36"/>
        </w:rPr>
      </w:pPr>
    </w:p>
    <w:p w14:paraId="209A34E5" w14:textId="77777777" w:rsidR="009A4A8A" w:rsidRPr="009A4A8A" w:rsidRDefault="009A4A8A" w:rsidP="009A4A8A">
      <w:pPr>
        <w:spacing w:after="0"/>
        <w:jc w:val="both"/>
        <w:rPr>
          <w:rFonts w:ascii="Arial" w:hAnsi="Arial" w:cs="Arial"/>
          <w:b/>
          <w:bCs/>
          <w:sz w:val="20"/>
          <w:szCs w:val="36"/>
        </w:rPr>
      </w:pPr>
      <w:r w:rsidRPr="00804B23">
        <w:rPr>
          <w:rFonts w:ascii="Arial" w:eastAsia="Arial" w:hAnsi="Arial" w:cs="Arial"/>
          <w:b/>
          <w:color w:val="000000"/>
          <w:sz w:val="20"/>
          <w:highlight w:val="white"/>
        </w:rPr>
        <w:t>Respondents of the Study</w:t>
      </w:r>
    </w:p>
    <w:p w14:paraId="37EA0483" w14:textId="1B25F4D1" w:rsidR="00597F5E" w:rsidRPr="00597F5E" w:rsidRDefault="00E7431C" w:rsidP="00597F5E">
      <w:pPr>
        <w:spacing w:after="0"/>
        <w:ind w:firstLine="720"/>
        <w:jc w:val="both"/>
        <w:rPr>
          <w:rFonts w:ascii="Arial" w:hAnsi="Arial" w:cs="Arial"/>
          <w:bCs/>
          <w:sz w:val="20"/>
          <w:szCs w:val="36"/>
        </w:rPr>
      </w:pPr>
      <w:r w:rsidRPr="001022A1">
        <w:rPr>
          <w:rFonts w:ascii="Arial" w:hAnsi="Arial" w:cs="Arial"/>
          <w:sz w:val="20"/>
          <w:szCs w:val="20"/>
        </w:rPr>
        <w:lastRenderedPageBreak/>
        <w:t xml:space="preserve">The respondents in this study comprised government employees who worked in the Local Government Unit (LGU) of </w:t>
      </w:r>
      <w:proofErr w:type="spellStart"/>
      <w:r w:rsidRPr="001022A1">
        <w:rPr>
          <w:rFonts w:ascii="Arial" w:hAnsi="Arial" w:cs="Arial"/>
          <w:sz w:val="20"/>
          <w:szCs w:val="20"/>
        </w:rPr>
        <w:t>Cateel</w:t>
      </w:r>
      <w:proofErr w:type="spellEnd"/>
      <w:r w:rsidRPr="001022A1">
        <w:rPr>
          <w:rFonts w:ascii="Arial" w:hAnsi="Arial" w:cs="Arial"/>
          <w:sz w:val="20"/>
          <w:szCs w:val="20"/>
        </w:rPr>
        <w:t>, Davao Oriental, as well as DepEd teachers from Districts 1 and 2, aged 55 to 64 years old. A complete enumeration method was used to select respondents, ensuring that all eligible individuals from these groups were included. Specifically, the study involved 21 DepEd teachers from District 1, 13 teachers from District 2, and 39 employees from the local government unit (LGU). This method ensured that the sample fully represented the population of government employees and teachers in the area, providing an accurate picture of financial literacy and retirement readiness among these groups.</w:t>
      </w:r>
    </w:p>
    <w:p w14:paraId="2E9A3DE6" w14:textId="77777777" w:rsidR="009A4A8A" w:rsidRPr="00690128" w:rsidRDefault="009A4A8A" w:rsidP="009A4A8A">
      <w:pPr>
        <w:spacing w:after="0"/>
        <w:jc w:val="both"/>
        <w:rPr>
          <w:rFonts w:ascii="Arial" w:hAnsi="Arial" w:cs="Arial"/>
          <w:bCs/>
          <w:sz w:val="20"/>
          <w:szCs w:val="36"/>
          <w:lang w:val="en-US"/>
        </w:rPr>
      </w:pPr>
    </w:p>
    <w:p w14:paraId="6E456CC1" w14:textId="77777777" w:rsidR="00B109CD" w:rsidRDefault="00B109CD" w:rsidP="00B109CD">
      <w:pPr>
        <w:spacing w:after="0"/>
        <w:jc w:val="both"/>
        <w:rPr>
          <w:rFonts w:ascii="Arial" w:hAnsi="Arial" w:cs="Arial"/>
          <w:sz w:val="20"/>
          <w:szCs w:val="36"/>
        </w:rPr>
      </w:pPr>
      <w:r w:rsidRPr="00B109CD">
        <w:rPr>
          <w:rFonts w:ascii="Arial" w:hAnsi="Arial" w:cs="Arial"/>
          <w:b/>
          <w:sz w:val="20"/>
          <w:szCs w:val="36"/>
          <w:lang w:val="en-US"/>
        </w:rPr>
        <w:t>Data Gathering</w:t>
      </w:r>
    </w:p>
    <w:p w14:paraId="1F573C01" w14:textId="4B66FEA0" w:rsidR="00922D3C" w:rsidRPr="00B109CD" w:rsidRDefault="00E7431C" w:rsidP="00922D3C">
      <w:pPr>
        <w:spacing w:after="0"/>
        <w:ind w:firstLine="720"/>
        <w:jc w:val="both"/>
        <w:rPr>
          <w:rFonts w:ascii="Arial" w:hAnsi="Arial" w:cs="Arial"/>
          <w:bCs/>
          <w:sz w:val="20"/>
          <w:szCs w:val="36"/>
        </w:rPr>
      </w:pPr>
      <w:r w:rsidRPr="0075160B">
        <w:rPr>
          <w:rFonts w:ascii="Arial" w:hAnsi="Arial" w:cs="Arial"/>
          <w:sz w:val="20"/>
          <w:szCs w:val="20"/>
        </w:rPr>
        <w:t xml:space="preserve">The </w:t>
      </w:r>
      <w:r>
        <w:rPr>
          <w:rFonts w:ascii="Arial" w:hAnsi="Arial" w:cs="Arial"/>
          <w:sz w:val="20"/>
          <w:szCs w:val="20"/>
        </w:rPr>
        <w:t xml:space="preserve">researchers </w:t>
      </w:r>
      <w:r w:rsidRPr="0075160B">
        <w:rPr>
          <w:rFonts w:ascii="Arial" w:hAnsi="Arial" w:cs="Arial"/>
          <w:sz w:val="20"/>
          <w:szCs w:val="20"/>
        </w:rPr>
        <w:t>followed the following steps in gathering the data.</w:t>
      </w:r>
      <w:r>
        <w:rPr>
          <w:rFonts w:ascii="Arial" w:hAnsi="Arial" w:cs="Arial"/>
          <w:sz w:val="20"/>
          <w:szCs w:val="20"/>
        </w:rPr>
        <w:t xml:space="preserve"> </w:t>
      </w:r>
      <w:r w:rsidR="0099635E">
        <w:rPr>
          <w:rFonts w:ascii="Arial" w:hAnsi="Arial" w:cs="Arial"/>
          <w:sz w:val="20"/>
          <w:szCs w:val="20"/>
        </w:rPr>
        <w:t>First, the</w:t>
      </w:r>
      <w:r>
        <w:rPr>
          <w:rFonts w:ascii="Arial" w:hAnsi="Arial" w:cs="Arial"/>
          <w:sz w:val="20"/>
          <w:szCs w:val="20"/>
        </w:rPr>
        <w:t xml:space="preserve"> researchers </w:t>
      </w:r>
      <w:r w:rsidRPr="0075160B">
        <w:rPr>
          <w:rFonts w:ascii="Arial" w:hAnsi="Arial" w:cs="Arial"/>
          <w:sz w:val="20"/>
          <w:szCs w:val="20"/>
        </w:rPr>
        <w:t>obtained ethical clearance from the UREB before commencing data gathering. This process ensured informed consent, maintained anonymity, preserved confidentiality, and safeguarded data against breaches.</w:t>
      </w:r>
      <w:r w:rsidR="0099635E">
        <w:rPr>
          <w:rFonts w:ascii="Arial" w:hAnsi="Arial" w:cs="Arial"/>
          <w:sz w:val="20"/>
          <w:szCs w:val="20"/>
        </w:rPr>
        <w:t xml:space="preserve"> Then, the researchers </w:t>
      </w:r>
      <w:r w:rsidRPr="0075160B">
        <w:rPr>
          <w:rFonts w:ascii="Arial" w:hAnsi="Arial" w:cs="Arial"/>
          <w:sz w:val="20"/>
          <w:szCs w:val="20"/>
        </w:rPr>
        <w:t>obtain</w:t>
      </w:r>
      <w:r w:rsidR="0099635E">
        <w:rPr>
          <w:rFonts w:ascii="Arial" w:hAnsi="Arial" w:cs="Arial"/>
          <w:sz w:val="20"/>
          <w:szCs w:val="20"/>
        </w:rPr>
        <w:t>ed</w:t>
      </w:r>
      <w:r w:rsidRPr="0075160B">
        <w:rPr>
          <w:rFonts w:ascii="Arial" w:hAnsi="Arial" w:cs="Arial"/>
          <w:sz w:val="20"/>
          <w:szCs w:val="20"/>
        </w:rPr>
        <w:t xml:space="preserve"> the necessary approvals and permissions from the Local Government Unit (LGU) office in </w:t>
      </w:r>
      <w:proofErr w:type="spellStart"/>
      <w:r w:rsidRPr="0075160B">
        <w:rPr>
          <w:rFonts w:ascii="Arial" w:hAnsi="Arial" w:cs="Arial"/>
          <w:sz w:val="20"/>
          <w:szCs w:val="20"/>
        </w:rPr>
        <w:t>Cateel</w:t>
      </w:r>
      <w:proofErr w:type="spellEnd"/>
      <w:r w:rsidRPr="0075160B">
        <w:rPr>
          <w:rFonts w:ascii="Arial" w:hAnsi="Arial" w:cs="Arial"/>
          <w:sz w:val="20"/>
          <w:szCs w:val="20"/>
        </w:rPr>
        <w:t xml:space="preserve">, Davao Oriental. </w:t>
      </w:r>
      <w:r w:rsidR="0099635E">
        <w:rPr>
          <w:rFonts w:ascii="Arial" w:hAnsi="Arial" w:cs="Arial"/>
          <w:sz w:val="20"/>
          <w:szCs w:val="20"/>
        </w:rPr>
        <w:t>P</w:t>
      </w:r>
      <w:r w:rsidRPr="0075160B">
        <w:rPr>
          <w:rFonts w:ascii="Arial" w:hAnsi="Arial" w:cs="Arial"/>
          <w:sz w:val="20"/>
          <w:szCs w:val="20"/>
        </w:rPr>
        <w:t>ermission was sought from the supervisors of Districts 1 and 2 of DepEd to ensure their approval for the participation of the teachers in the study.</w:t>
      </w:r>
      <w:r w:rsidR="0099635E">
        <w:rPr>
          <w:rFonts w:ascii="Arial" w:hAnsi="Arial" w:cs="Arial"/>
          <w:sz w:val="20"/>
          <w:szCs w:val="20"/>
        </w:rPr>
        <w:t xml:space="preserve"> </w:t>
      </w:r>
      <w:r w:rsidRPr="0075160B">
        <w:rPr>
          <w:rFonts w:ascii="Arial" w:hAnsi="Arial" w:cs="Arial"/>
          <w:sz w:val="20"/>
          <w:szCs w:val="20"/>
        </w:rPr>
        <w:t>After obtaining permission from the relevant offices and supervisors, the researchers requested consent from the respondents. They were informed of the study's purpose, the voluntary nature of participation, and the confidentiality of their responses. Written consent was obtained from each respondent before proceeding with data collection.</w:t>
      </w:r>
      <w:r w:rsidR="00EC6ACA">
        <w:rPr>
          <w:rFonts w:ascii="Arial" w:hAnsi="Arial" w:cs="Arial"/>
          <w:sz w:val="20"/>
          <w:szCs w:val="20"/>
        </w:rPr>
        <w:t xml:space="preserve"> </w:t>
      </w:r>
      <w:r w:rsidR="00922D3C">
        <w:rPr>
          <w:rFonts w:ascii="Arial" w:hAnsi="Arial" w:cs="Arial"/>
          <w:sz w:val="20"/>
          <w:szCs w:val="20"/>
        </w:rPr>
        <w:t xml:space="preserve">After </w:t>
      </w:r>
      <w:r w:rsidR="00EC6ACA">
        <w:rPr>
          <w:rFonts w:ascii="Arial" w:hAnsi="Arial" w:cs="Arial"/>
          <w:sz w:val="20"/>
          <w:szCs w:val="20"/>
        </w:rPr>
        <w:t xml:space="preserve">obtaining respondents </w:t>
      </w:r>
      <w:r w:rsidR="00922D3C">
        <w:rPr>
          <w:rFonts w:ascii="Arial" w:hAnsi="Arial" w:cs="Arial"/>
          <w:sz w:val="20"/>
          <w:szCs w:val="20"/>
        </w:rPr>
        <w:t xml:space="preserve">consent, </w:t>
      </w:r>
      <w:r w:rsidR="00922D3C" w:rsidRPr="0075160B">
        <w:rPr>
          <w:rFonts w:ascii="Arial" w:hAnsi="Arial" w:cs="Arial"/>
          <w:sz w:val="20"/>
          <w:szCs w:val="20"/>
        </w:rPr>
        <w:t>the</w:t>
      </w:r>
      <w:r w:rsidR="00EC6ACA" w:rsidRPr="0075160B">
        <w:rPr>
          <w:rFonts w:ascii="Arial" w:hAnsi="Arial" w:cs="Arial"/>
          <w:sz w:val="20"/>
          <w:szCs w:val="20"/>
        </w:rPr>
        <w:t xml:space="preserve"> data collection process commenced</w:t>
      </w:r>
      <w:r w:rsidR="00EC6ACA">
        <w:rPr>
          <w:rFonts w:ascii="Arial" w:hAnsi="Arial" w:cs="Arial"/>
          <w:sz w:val="20"/>
          <w:szCs w:val="20"/>
        </w:rPr>
        <w:t xml:space="preserve">. </w:t>
      </w:r>
      <w:r w:rsidRPr="0075160B">
        <w:rPr>
          <w:rFonts w:ascii="Arial" w:hAnsi="Arial" w:cs="Arial"/>
          <w:sz w:val="20"/>
          <w:szCs w:val="20"/>
        </w:rPr>
        <w:t>The survey was administered to selected respondents</w:t>
      </w:r>
      <w:r w:rsidR="00922D3C">
        <w:rPr>
          <w:rFonts w:ascii="Arial" w:hAnsi="Arial" w:cs="Arial"/>
          <w:sz w:val="20"/>
          <w:szCs w:val="20"/>
        </w:rPr>
        <w:t xml:space="preserve"> at their </w:t>
      </w:r>
      <w:r w:rsidR="00922D3C" w:rsidRPr="00B109CD">
        <w:rPr>
          <w:rFonts w:ascii="Arial" w:hAnsi="Arial" w:cs="Arial"/>
          <w:sz w:val="20"/>
          <w:szCs w:val="36"/>
        </w:rPr>
        <w:t>convenient time and later retrieved personally by the researchers</w:t>
      </w:r>
      <w:r w:rsidR="00922D3C">
        <w:rPr>
          <w:rFonts w:ascii="Arial" w:hAnsi="Arial" w:cs="Arial"/>
          <w:sz w:val="20"/>
          <w:szCs w:val="36"/>
        </w:rPr>
        <w:t>.</w:t>
      </w:r>
      <w:r w:rsidR="00922D3C">
        <w:rPr>
          <w:rFonts w:ascii="Arial" w:hAnsi="Arial" w:cs="Arial"/>
          <w:sz w:val="20"/>
          <w:szCs w:val="20"/>
        </w:rPr>
        <w:t xml:space="preserve"> The data gathered </w:t>
      </w:r>
      <w:r w:rsidRPr="0075160B">
        <w:rPr>
          <w:rFonts w:ascii="Arial" w:hAnsi="Arial" w:cs="Arial"/>
          <w:sz w:val="20"/>
          <w:szCs w:val="20"/>
        </w:rPr>
        <w:t>were examined for completeness prior to being encoded for analysis</w:t>
      </w:r>
      <w:r w:rsidR="00922D3C">
        <w:rPr>
          <w:rFonts w:ascii="Arial" w:hAnsi="Arial" w:cs="Arial"/>
          <w:sz w:val="20"/>
          <w:szCs w:val="20"/>
        </w:rPr>
        <w:t xml:space="preserve"> using statistical </w:t>
      </w:r>
      <w:r w:rsidR="00922D3C" w:rsidRPr="00223711">
        <w:rPr>
          <w:rFonts w:ascii="Arial" w:hAnsi="Arial" w:cs="Arial"/>
          <w:sz w:val="20"/>
          <w:szCs w:val="20"/>
        </w:rPr>
        <w:t>tools</w:t>
      </w:r>
      <w:r w:rsidRPr="00223711">
        <w:rPr>
          <w:rFonts w:ascii="Arial" w:hAnsi="Arial" w:cs="Arial"/>
          <w:sz w:val="20"/>
          <w:szCs w:val="20"/>
        </w:rPr>
        <w:t>.</w:t>
      </w:r>
      <w:r w:rsidR="00922D3C" w:rsidRPr="00223711">
        <w:rPr>
          <w:rFonts w:ascii="Arial" w:hAnsi="Arial" w:cs="Arial"/>
          <w:sz w:val="20"/>
          <w:szCs w:val="20"/>
        </w:rPr>
        <w:t xml:space="preserve"> These tools included frequency-percentage for respondents’ profile, mean for measuring </w:t>
      </w:r>
      <w:r w:rsidR="00922D3C" w:rsidRPr="00223711">
        <w:rPr>
          <w:rFonts w:ascii="Arial" w:hAnsi="Arial" w:cs="Arial"/>
          <w:color w:val="000000" w:themeColor="text1"/>
          <w:sz w:val="20"/>
          <w:szCs w:val="20"/>
        </w:rPr>
        <w:t xml:space="preserve">financial literacy and retirement preparedness </w:t>
      </w:r>
      <w:r w:rsidR="00223711" w:rsidRPr="00223711">
        <w:rPr>
          <w:rFonts w:ascii="Arial" w:hAnsi="Arial" w:cs="Arial"/>
          <w:sz w:val="20"/>
          <w:szCs w:val="20"/>
        </w:rPr>
        <w:t>levels</w:t>
      </w:r>
      <w:r w:rsidR="00223711">
        <w:rPr>
          <w:rFonts w:ascii="Arial" w:hAnsi="Arial" w:cs="Arial"/>
          <w:sz w:val="20"/>
          <w:szCs w:val="20"/>
        </w:rPr>
        <w:t>, T-</w:t>
      </w:r>
      <w:r w:rsidR="00922D3C" w:rsidRPr="00223711">
        <w:rPr>
          <w:rFonts w:ascii="Arial" w:hAnsi="Arial" w:cs="Arial"/>
          <w:sz w:val="20"/>
          <w:szCs w:val="20"/>
        </w:rPr>
        <w:t xml:space="preserve">test and ANOVA to assess significant differences based on respondents’ profiles and the </w:t>
      </w:r>
      <w:r w:rsidR="00922D3C" w:rsidRPr="00223711">
        <w:rPr>
          <w:rFonts w:ascii="Arial" w:hAnsi="Arial" w:cs="Arial"/>
          <w:color w:val="000000" w:themeColor="text1"/>
          <w:sz w:val="20"/>
          <w:szCs w:val="20"/>
        </w:rPr>
        <w:t>Correlation analysis (Pearson's r) t</w:t>
      </w:r>
      <w:r w:rsidR="00223711" w:rsidRPr="00223711">
        <w:rPr>
          <w:rFonts w:ascii="Arial" w:hAnsi="Arial" w:cs="Arial"/>
          <w:color w:val="000000" w:themeColor="text1"/>
          <w:sz w:val="20"/>
          <w:szCs w:val="20"/>
        </w:rPr>
        <w:t xml:space="preserve">o </w:t>
      </w:r>
      <w:r w:rsidR="00922D3C" w:rsidRPr="00223711">
        <w:rPr>
          <w:rFonts w:ascii="Arial" w:hAnsi="Arial" w:cs="Arial"/>
          <w:color w:val="000000" w:themeColor="text1"/>
          <w:sz w:val="20"/>
          <w:szCs w:val="20"/>
        </w:rPr>
        <w:t>measure the linear relationship between financial literacy and retirement preparedness</w:t>
      </w:r>
      <w:r w:rsidR="00922D3C">
        <w:rPr>
          <w:rFonts w:ascii="Arial" w:hAnsi="Arial" w:cs="Arial"/>
          <w:color w:val="000000" w:themeColor="text1"/>
        </w:rPr>
        <w:t>.</w:t>
      </w:r>
    </w:p>
    <w:p w14:paraId="70A5B2A6" w14:textId="77777777" w:rsidR="00922D3C" w:rsidRDefault="00922D3C" w:rsidP="00922D3C">
      <w:pPr>
        <w:spacing w:after="0"/>
        <w:jc w:val="both"/>
        <w:rPr>
          <w:rFonts w:ascii="Arial" w:hAnsi="Arial" w:cs="Arial"/>
          <w:sz w:val="20"/>
          <w:szCs w:val="36"/>
        </w:rPr>
      </w:pPr>
    </w:p>
    <w:p w14:paraId="1FC384AA" w14:textId="77777777" w:rsidR="00922D3C" w:rsidRDefault="00922D3C" w:rsidP="00922D3C">
      <w:pPr>
        <w:spacing w:after="0"/>
        <w:jc w:val="both"/>
        <w:rPr>
          <w:rFonts w:ascii="Arial" w:eastAsia="Arial" w:hAnsi="Arial" w:cs="Arial"/>
          <w:b/>
          <w:smallCaps/>
          <w:color w:val="000000"/>
          <w:lang w:val="en-US" w:eastAsia="en-PH"/>
        </w:rPr>
      </w:pPr>
      <w:r w:rsidRPr="007C2C1D">
        <w:rPr>
          <w:rFonts w:ascii="Arial" w:eastAsia="Arial" w:hAnsi="Arial" w:cs="Arial"/>
          <w:b/>
          <w:smallCaps/>
          <w:color w:val="000000"/>
          <w:lang w:val="en-US" w:eastAsia="en-PH"/>
        </w:rPr>
        <w:t>4. RESULTS AND DISCUSSION</w:t>
      </w:r>
    </w:p>
    <w:p w14:paraId="44C9496D" w14:textId="77777777" w:rsidR="007C2C1D" w:rsidRDefault="007C2C1D" w:rsidP="00580FBF">
      <w:pPr>
        <w:spacing w:after="0"/>
        <w:jc w:val="both"/>
        <w:rPr>
          <w:rFonts w:ascii="Arial" w:hAnsi="Arial" w:cs="Arial"/>
          <w:sz w:val="20"/>
          <w:szCs w:val="36"/>
        </w:rPr>
      </w:pPr>
    </w:p>
    <w:p w14:paraId="7912C032" w14:textId="77777777" w:rsidR="007C2C1D" w:rsidRDefault="007C2C1D" w:rsidP="00BE59DE">
      <w:pPr>
        <w:shd w:val="clear" w:color="auto" w:fill="FFFFFF" w:themeFill="background1"/>
        <w:spacing w:after="0" w:line="240" w:lineRule="auto"/>
        <w:jc w:val="center"/>
        <w:rPr>
          <w:rFonts w:ascii="Arial" w:hAnsi="Arial" w:cs="Arial"/>
          <w:b/>
          <w:sz w:val="20"/>
        </w:rPr>
      </w:pPr>
      <w:r w:rsidRPr="007C2C1D">
        <w:rPr>
          <w:rFonts w:ascii="Arial" w:hAnsi="Arial" w:cs="Arial"/>
          <w:b/>
          <w:sz w:val="20"/>
        </w:rPr>
        <w:t>Profile of the Respondents</w:t>
      </w:r>
    </w:p>
    <w:p w14:paraId="5F644A0E" w14:textId="77777777" w:rsidR="008A1A9B" w:rsidRPr="00BE59DE" w:rsidRDefault="008A1A9B" w:rsidP="00BE59DE">
      <w:pPr>
        <w:shd w:val="clear" w:color="auto" w:fill="FFFFFF" w:themeFill="background1"/>
        <w:spacing w:after="0" w:line="240" w:lineRule="auto"/>
        <w:jc w:val="center"/>
        <w:rPr>
          <w:rFonts w:ascii="Arial" w:hAnsi="Arial" w:cs="Arial"/>
          <w:b/>
          <w:sz w:val="20"/>
        </w:rPr>
      </w:pPr>
    </w:p>
    <w:p w14:paraId="13F35067" w14:textId="0C2F51B5" w:rsidR="00223711" w:rsidRPr="00223711" w:rsidRDefault="00223711" w:rsidP="00223711">
      <w:pPr>
        <w:spacing w:after="0" w:line="240" w:lineRule="auto"/>
        <w:ind w:firstLine="720"/>
        <w:jc w:val="both"/>
        <w:rPr>
          <w:rFonts w:ascii="Arial" w:hAnsi="Arial" w:cs="Arial"/>
          <w:sz w:val="20"/>
          <w:szCs w:val="20"/>
        </w:rPr>
      </w:pPr>
      <w:r w:rsidRPr="00223711">
        <w:rPr>
          <w:rFonts w:ascii="Arial" w:hAnsi="Arial" w:cs="Arial"/>
          <w:sz w:val="20"/>
          <w:szCs w:val="20"/>
        </w:rPr>
        <w:t xml:space="preserve">Table </w:t>
      </w:r>
      <w:r w:rsidR="001B7571">
        <w:rPr>
          <w:rFonts w:ascii="Arial" w:hAnsi="Arial" w:cs="Arial"/>
          <w:sz w:val="20"/>
          <w:szCs w:val="20"/>
        </w:rPr>
        <w:t>1</w:t>
      </w:r>
      <w:r w:rsidRPr="00223711">
        <w:rPr>
          <w:rFonts w:ascii="Arial" w:hAnsi="Arial" w:cs="Arial"/>
          <w:sz w:val="20"/>
          <w:szCs w:val="20"/>
        </w:rPr>
        <w:t xml:space="preserve"> shows that most respondents (54.79%) are aged 58 to 60, followed by those aged 55 to 57 (41.10%), which supports Lusardi and Mitchell's (2017) view that individuals nearing retirement age are in a critical stage for financial decision-making. On the other hand, (57.53%) of respondents are female, consistent with Womack (2015), who noted that women often face challenges in retirement preparation due to lower income and caregiving roles. Males made up (35.62%) of the sample. In terms of marital status, the majority (78.08%) are married, which aligns with findings by Lusardi and Mitchell (2017) that married individuals are more likely to plan for retirement due to shared financial responsibilities.</w:t>
      </w:r>
    </w:p>
    <w:p w14:paraId="4EA2517E" w14:textId="77777777" w:rsidR="007C2C1D" w:rsidRDefault="007C2C1D" w:rsidP="007C2C1D">
      <w:pPr>
        <w:shd w:val="clear" w:color="auto" w:fill="FFFFFF" w:themeFill="background1"/>
        <w:spacing w:after="0" w:line="240" w:lineRule="auto"/>
        <w:jc w:val="both"/>
        <w:rPr>
          <w:rFonts w:ascii="Arial" w:hAnsi="Arial" w:cs="Arial"/>
        </w:rPr>
      </w:pPr>
    </w:p>
    <w:p w14:paraId="62F11A58" w14:textId="77777777" w:rsidR="00433C52" w:rsidRPr="007A36B7" w:rsidRDefault="00433C52" w:rsidP="00433C52">
      <w:pPr>
        <w:spacing w:after="0" w:line="240" w:lineRule="auto"/>
        <w:ind w:firstLine="720"/>
        <w:jc w:val="both"/>
        <w:rPr>
          <w:rFonts w:ascii="Arial" w:hAnsi="Arial" w:cs="Arial"/>
          <w:sz w:val="20"/>
          <w:szCs w:val="20"/>
        </w:rPr>
      </w:pPr>
      <w:r w:rsidRPr="007A36B7">
        <w:rPr>
          <w:rFonts w:ascii="Arial" w:hAnsi="Arial" w:cs="Arial"/>
          <w:sz w:val="20"/>
          <w:szCs w:val="20"/>
        </w:rPr>
        <w:t>On the other hand, (21.92%) are single, widowed, or separated—groups more likely to experience financial instability, according to Madero-</w:t>
      </w:r>
      <w:proofErr w:type="spellStart"/>
      <w:r w:rsidRPr="007A36B7">
        <w:rPr>
          <w:rFonts w:ascii="Arial" w:hAnsi="Arial" w:cs="Arial"/>
          <w:sz w:val="20"/>
          <w:szCs w:val="20"/>
        </w:rPr>
        <w:t>Cabib</w:t>
      </w:r>
      <w:proofErr w:type="spellEnd"/>
      <w:r w:rsidRPr="007A36B7">
        <w:rPr>
          <w:rFonts w:ascii="Arial" w:hAnsi="Arial" w:cs="Arial"/>
          <w:sz w:val="20"/>
          <w:szCs w:val="20"/>
        </w:rPr>
        <w:t xml:space="preserve"> et al. (2023). All respondents are college graduates, indicating a uniformly high level of educational attainment. Regarding salary, 35.62% earn ₱40,001 and above, while 64.38% earn below ₱40,000. According to </w:t>
      </w:r>
      <w:proofErr w:type="spellStart"/>
      <w:r w:rsidRPr="007A36B7">
        <w:rPr>
          <w:rFonts w:ascii="Arial" w:hAnsi="Arial" w:cs="Arial"/>
          <w:sz w:val="20"/>
          <w:szCs w:val="20"/>
        </w:rPr>
        <w:t>Topa</w:t>
      </w:r>
      <w:proofErr w:type="spellEnd"/>
      <w:r w:rsidRPr="007A36B7">
        <w:rPr>
          <w:rFonts w:ascii="Arial" w:hAnsi="Arial" w:cs="Arial"/>
          <w:sz w:val="20"/>
          <w:szCs w:val="20"/>
        </w:rPr>
        <w:t xml:space="preserve"> et al. (2017), lower income can limit financial planning due to a focus on immediate needs, especially in rural areas with limited financial resources.</w:t>
      </w:r>
    </w:p>
    <w:p w14:paraId="47B7114B" w14:textId="77777777" w:rsidR="00433C52" w:rsidRDefault="00433C52" w:rsidP="007C2C1D">
      <w:pPr>
        <w:shd w:val="clear" w:color="auto" w:fill="FFFFFF" w:themeFill="background1"/>
        <w:spacing w:after="0" w:line="240" w:lineRule="auto"/>
        <w:jc w:val="both"/>
        <w:rPr>
          <w:rFonts w:ascii="Arial" w:hAnsi="Arial" w:cs="Arial"/>
        </w:rPr>
      </w:pPr>
    </w:p>
    <w:p w14:paraId="27C0B6F3" w14:textId="69CFDF16" w:rsidR="007A36B7" w:rsidRPr="007A36B7" w:rsidRDefault="007A36B7" w:rsidP="007A36B7">
      <w:pPr>
        <w:spacing w:after="0" w:line="240" w:lineRule="auto"/>
        <w:jc w:val="both"/>
        <w:rPr>
          <w:rFonts w:ascii="Arial" w:hAnsi="Arial" w:cs="Arial"/>
          <w:color w:val="000000" w:themeColor="text1"/>
          <w:sz w:val="20"/>
          <w:szCs w:val="20"/>
        </w:rPr>
      </w:pPr>
      <w:r w:rsidRPr="007A36B7">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1</w:t>
      </w:r>
      <w:r w:rsidRPr="007A36B7">
        <w:rPr>
          <w:rFonts w:ascii="Arial" w:hAnsi="Arial" w:cs="Arial"/>
          <w:color w:val="000000" w:themeColor="text1"/>
          <w:sz w:val="20"/>
          <w:szCs w:val="20"/>
          <w:lang w:val="en-US"/>
        </w:rPr>
        <w:t>. Profile of respondents</w:t>
      </w:r>
    </w:p>
    <w:tbl>
      <w:tblPr>
        <w:tblStyle w:val="TableGrid"/>
        <w:tblW w:w="8190" w:type="dxa"/>
        <w:tblLook w:val="04A0" w:firstRow="1" w:lastRow="0" w:firstColumn="1" w:lastColumn="0" w:noHBand="0" w:noVBand="1"/>
      </w:tblPr>
      <w:tblGrid>
        <w:gridCol w:w="2766"/>
        <w:gridCol w:w="1989"/>
        <w:gridCol w:w="1455"/>
        <w:gridCol w:w="1980"/>
      </w:tblGrid>
      <w:tr w:rsidR="007A36B7" w:rsidRPr="007A36B7" w14:paraId="4BB9E3E5" w14:textId="77777777" w:rsidTr="00CF7BA2">
        <w:tc>
          <w:tcPr>
            <w:tcW w:w="2766" w:type="dxa"/>
            <w:tcBorders>
              <w:left w:val="nil"/>
              <w:right w:val="nil"/>
            </w:tcBorders>
          </w:tcPr>
          <w:p w14:paraId="27374FFC"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lastRenderedPageBreak/>
              <w:t>Profile Factors</w:t>
            </w:r>
          </w:p>
        </w:tc>
        <w:tc>
          <w:tcPr>
            <w:tcW w:w="1989" w:type="dxa"/>
            <w:tcBorders>
              <w:left w:val="nil"/>
              <w:right w:val="nil"/>
            </w:tcBorders>
          </w:tcPr>
          <w:p w14:paraId="100449DF"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Category</w:t>
            </w:r>
          </w:p>
        </w:tc>
        <w:tc>
          <w:tcPr>
            <w:tcW w:w="1455" w:type="dxa"/>
            <w:tcBorders>
              <w:left w:val="nil"/>
              <w:right w:val="nil"/>
            </w:tcBorders>
          </w:tcPr>
          <w:p w14:paraId="0F92A2E4"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Frequency</w:t>
            </w:r>
          </w:p>
        </w:tc>
        <w:tc>
          <w:tcPr>
            <w:tcW w:w="1980" w:type="dxa"/>
            <w:tcBorders>
              <w:left w:val="nil"/>
              <w:right w:val="nil"/>
            </w:tcBorders>
          </w:tcPr>
          <w:p w14:paraId="077FC51F"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Percentage</w:t>
            </w:r>
          </w:p>
        </w:tc>
      </w:tr>
      <w:tr w:rsidR="007A36B7" w:rsidRPr="007A36B7" w14:paraId="4C6DC246" w14:textId="77777777" w:rsidTr="00CF7BA2">
        <w:tc>
          <w:tcPr>
            <w:tcW w:w="2766" w:type="dxa"/>
            <w:vMerge w:val="restart"/>
            <w:tcBorders>
              <w:left w:val="nil"/>
              <w:right w:val="nil"/>
            </w:tcBorders>
            <w:vAlign w:val="center"/>
          </w:tcPr>
          <w:p w14:paraId="3568936C"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Age</w:t>
            </w:r>
          </w:p>
        </w:tc>
        <w:tc>
          <w:tcPr>
            <w:tcW w:w="1989" w:type="dxa"/>
            <w:tcBorders>
              <w:left w:val="nil"/>
              <w:right w:val="nil"/>
            </w:tcBorders>
          </w:tcPr>
          <w:p w14:paraId="07EC57CD"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55 to 57 years old</w:t>
            </w:r>
          </w:p>
        </w:tc>
        <w:tc>
          <w:tcPr>
            <w:tcW w:w="1455" w:type="dxa"/>
            <w:tcBorders>
              <w:left w:val="nil"/>
              <w:right w:val="nil"/>
            </w:tcBorders>
            <w:vAlign w:val="center"/>
          </w:tcPr>
          <w:p w14:paraId="10F1047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30</w:t>
            </w:r>
          </w:p>
        </w:tc>
        <w:tc>
          <w:tcPr>
            <w:tcW w:w="1980" w:type="dxa"/>
            <w:tcBorders>
              <w:left w:val="nil"/>
              <w:right w:val="nil"/>
            </w:tcBorders>
            <w:vAlign w:val="center"/>
          </w:tcPr>
          <w:p w14:paraId="09458E38"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41.10</w:t>
            </w:r>
          </w:p>
        </w:tc>
      </w:tr>
      <w:tr w:rsidR="007A36B7" w:rsidRPr="007A36B7" w14:paraId="565571E0" w14:textId="77777777" w:rsidTr="00CF7BA2">
        <w:tc>
          <w:tcPr>
            <w:tcW w:w="2766" w:type="dxa"/>
            <w:vMerge/>
            <w:tcBorders>
              <w:left w:val="nil"/>
              <w:right w:val="nil"/>
            </w:tcBorders>
            <w:vAlign w:val="center"/>
          </w:tcPr>
          <w:p w14:paraId="29C2DFA8"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340AFCE9"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58 to 60 years old</w:t>
            </w:r>
          </w:p>
        </w:tc>
        <w:tc>
          <w:tcPr>
            <w:tcW w:w="1455" w:type="dxa"/>
            <w:tcBorders>
              <w:left w:val="nil"/>
              <w:right w:val="nil"/>
            </w:tcBorders>
            <w:vAlign w:val="center"/>
          </w:tcPr>
          <w:p w14:paraId="2495380F"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40</w:t>
            </w:r>
          </w:p>
        </w:tc>
        <w:tc>
          <w:tcPr>
            <w:tcW w:w="1980" w:type="dxa"/>
            <w:tcBorders>
              <w:left w:val="nil"/>
              <w:right w:val="nil"/>
            </w:tcBorders>
            <w:vAlign w:val="center"/>
          </w:tcPr>
          <w:p w14:paraId="0B9460E2"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54.79</w:t>
            </w:r>
          </w:p>
        </w:tc>
      </w:tr>
      <w:tr w:rsidR="007A36B7" w:rsidRPr="007A36B7" w14:paraId="720FD6A5" w14:textId="77777777" w:rsidTr="00CF7BA2">
        <w:tc>
          <w:tcPr>
            <w:tcW w:w="2766" w:type="dxa"/>
            <w:vMerge/>
            <w:tcBorders>
              <w:left w:val="nil"/>
              <w:right w:val="nil"/>
            </w:tcBorders>
            <w:vAlign w:val="center"/>
          </w:tcPr>
          <w:p w14:paraId="26FE8BEC"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0E4AA5A5"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61 to 64 years old</w:t>
            </w:r>
          </w:p>
        </w:tc>
        <w:tc>
          <w:tcPr>
            <w:tcW w:w="1455" w:type="dxa"/>
            <w:tcBorders>
              <w:left w:val="nil"/>
              <w:right w:val="nil"/>
            </w:tcBorders>
            <w:vAlign w:val="center"/>
          </w:tcPr>
          <w:p w14:paraId="60C1544D"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w:t>
            </w:r>
          </w:p>
        </w:tc>
        <w:tc>
          <w:tcPr>
            <w:tcW w:w="1980" w:type="dxa"/>
            <w:tcBorders>
              <w:left w:val="nil"/>
              <w:right w:val="nil"/>
            </w:tcBorders>
            <w:vAlign w:val="center"/>
          </w:tcPr>
          <w:p w14:paraId="73CBF200"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4.11</w:t>
            </w:r>
          </w:p>
        </w:tc>
      </w:tr>
      <w:tr w:rsidR="007A36B7" w:rsidRPr="007A36B7" w14:paraId="49BF7F52" w14:textId="77777777" w:rsidTr="00CF7BA2">
        <w:tc>
          <w:tcPr>
            <w:tcW w:w="2766" w:type="dxa"/>
            <w:vMerge w:val="restart"/>
            <w:tcBorders>
              <w:left w:val="nil"/>
              <w:right w:val="nil"/>
            </w:tcBorders>
            <w:vAlign w:val="center"/>
          </w:tcPr>
          <w:p w14:paraId="64AA6077"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Gender</w:t>
            </w:r>
          </w:p>
        </w:tc>
        <w:tc>
          <w:tcPr>
            <w:tcW w:w="1989" w:type="dxa"/>
            <w:tcBorders>
              <w:top w:val="single" w:sz="4" w:space="0" w:color="auto"/>
              <w:left w:val="nil"/>
              <w:bottom w:val="single" w:sz="4" w:space="0" w:color="auto"/>
              <w:right w:val="nil"/>
            </w:tcBorders>
          </w:tcPr>
          <w:p w14:paraId="77439E0D"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Female</w:t>
            </w:r>
          </w:p>
        </w:tc>
        <w:tc>
          <w:tcPr>
            <w:tcW w:w="1455" w:type="dxa"/>
            <w:tcBorders>
              <w:left w:val="nil"/>
              <w:right w:val="nil"/>
            </w:tcBorders>
            <w:vAlign w:val="center"/>
          </w:tcPr>
          <w:p w14:paraId="78135D58"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42</w:t>
            </w:r>
          </w:p>
        </w:tc>
        <w:tc>
          <w:tcPr>
            <w:tcW w:w="1980" w:type="dxa"/>
            <w:tcBorders>
              <w:left w:val="nil"/>
              <w:right w:val="nil"/>
            </w:tcBorders>
            <w:vAlign w:val="center"/>
          </w:tcPr>
          <w:p w14:paraId="19F0E64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57.53</w:t>
            </w:r>
          </w:p>
        </w:tc>
      </w:tr>
      <w:tr w:rsidR="007A36B7" w:rsidRPr="007A36B7" w14:paraId="22A43987" w14:textId="77777777" w:rsidTr="00CF7BA2">
        <w:tc>
          <w:tcPr>
            <w:tcW w:w="2766" w:type="dxa"/>
            <w:vMerge/>
            <w:tcBorders>
              <w:left w:val="nil"/>
              <w:right w:val="nil"/>
            </w:tcBorders>
            <w:vAlign w:val="center"/>
          </w:tcPr>
          <w:p w14:paraId="52844FD8"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38F7F041"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Male</w:t>
            </w:r>
          </w:p>
        </w:tc>
        <w:tc>
          <w:tcPr>
            <w:tcW w:w="1455" w:type="dxa"/>
            <w:tcBorders>
              <w:left w:val="nil"/>
              <w:right w:val="nil"/>
            </w:tcBorders>
            <w:vAlign w:val="center"/>
          </w:tcPr>
          <w:p w14:paraId="1AC8BED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26</w:t>
            </w:r>
          </w:p>
        </w:tc>
        <w:tc>
          <w:tcPr>
            <w:tcW w:w="1980" w:type="dxa"/>
            <w:tcBorders>
              <w:left w:val="nil"/>
              <w:right w:val="nil"/>
            </w:tcBorders>
            <w:vAlign w:val="center"/>
          </w:tcPr>
          <w:p w14:paraId="224DEDB0"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35.62</w:t>
            </w:r>
          </w:p>
        </w:tc>
      </w:tr>
      <w:tr w:rsidR="007A36B7" w:rsidRPr="007A36B7" w14:paraId="17EAA7C4" w14:textId="77777777" w:rsidTr="00CF7BA2">
        <w:tc>
          <w:tcPr>
            <w:tcW w:w="2766" w:type="dxa"/>
            <w:vMerge/>
            <w:tcBorders>
              <w:left w:val="nil"/>
              <w:right w:val="nil"/>
            </w:tcBorders>
            <w:vAlign w:val="center"/>
          </w:tcPr>
          <w:p w14:paraId="113FB98D"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54BE10F7" w14:textId="77777777" w:rsidR="007A36B7" w:rsidRPr="007A36B7" w:rsidRDefault="007A36B7" w:rsidP="003A197C">
            <w:pPr>
              <w:rPr>
                <w:rFonts w:ascii="Arial" w:hAnsi="Arial" w:cs="Arial"/>
                <w:color w:val="000000" w:themeColor="text1"/>
              </w:rPr>
            </w:pPr>
            <w:r w:rsidRPr="007A36B7">
              <w:rPr>
                <w:rFonts w:ascii="Arial" w:eastAsia="Times New Roman" w:hAnsi="Arial" w:cs="Arial"/>
                <w:color w:val="000000" w:themeColor="text1"/>
                <w:lang w:eastAsia="en-PH"/>
              </w:rPr>
              <w:t>Prefer Not to Say</w:t>
            </w:r>
          </w:p>
        </w:tc>
        <w:tc>
          <w:tcPr>
            <w:tcW w:w="1455" w:type="dxa"/>
            <w:tcBorders>
              <w:left w:val="nil"/>
              <w:right w:val="nil"/>
            </w:tcBorders>
            <w:vAlign w:val="center"/>
          </w:tcPr>
          <w:p w14:paraId="1A9DBD28"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w:t>
            </w:r>
          </w:p>
        </w:tc>
        <w:tc>
          <w:tcPr>
            <w:tcW w:w="1980" w:type="dxa"/>
            <w:tcBorders>
              <w:left w:val="nil"/>
              <w:right w:val="nil"/>
            </w:tcBorders>
            <w:vAlign w:val="center"/>
          </w:tcPr>
          <w:p w14:paraId="306E70D0"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6.85</w:t>
            </w:r>
          </w:p>
        </w:tc>
      </w:tr>
      <w:tr w:rsidR="007A36B7" w:rsidRPr="007A36B7" w14:paraId="592BF863" w14:textId="77777777" w:rsidTr="00CF7BA2">
        <w:tc>
          <w:tcPr>
            <w:tcW w:w="2766" w:type="dxa"/>
            <w:vMerge w:val="restart"/>
            <w:tcBorders>
              <w:left w:val="nil"/>
              <w:right w:val="nil"/>
            </w:tcBorders>
            <w:vAlign w:val="center"/>
          </w:tcPr>
          <w:p w14:paraId="2032D9A1"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Marital Status</w:t>
            </w:r>
          </w:p>
        </w:tc>
        <w:tc>
          <w:tcPr>
            <w:tcW w:w="1989" w:type="dxa"/>
            <w:tcBorders>
              <w:top w:val="single" w:sz="4" w:space="0" w:color="auto"/>
              <w:left w:val="nil"/>
              <w:bottom w:val="single" w:sz="4" w:space="0" w:color="auto"/>
              <w:right w:val="nil"/>
            </w:tcBorders>
          </w:tcPr>
          <w:p w14:paraId="59D3BDA5" w14:textId="77777777" w:rsidR="007A36B7" w:rsidRPr="007A36B7" w:rsidRDefault="007A36B7" w:rsidP="003A197C">
            <w:pP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Single</w:t>
            </w:r>
          </w:p>
        </w:tc>
        <w:tc>
          <w:tcPr>
            <w:tcW w:w="1455" w:type="dxa"/>
            <w:tcBorders>
              <w:left w:val="nil"/>
              <w:right w:val="nil"/>
            </w:tcBorders>
            <w:vAlign w:val="center"/>
          </w:tcPr>
          <w:p w14:paraId="2B1F39B6"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w:t>
            </w:r>
          </w:p>
        </w:tc>
        <w:tc>
          <w:tcPr>
            <w:tcW w:w="1980" w:type="dxa"/>
            <w:tcBorders>
              <w:left w:val="nil"/>
              <w:right w:val="nil"/>
            </w:tcBorders>
            <w:vAlign w:val="center"/>
          </w:tcPr>
          <w:p w14:paraId="67F5BBA1"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6.85</w:t>
            </w:r>
          </w:p>
        </w:tc>
      </w:tr>
      <w:tr w:rsidR="007A36B7" w:rsidRPr="007A36B7" w14:paraId="6DBF2FF6" w14:textId="77777777" w:rsidTr="00CF7BA2">
        <w:tc>
          <w:tcPr>
            <w:tcW w:w="2766" w:type="dxa"/>
            <w:vMerge/>
            <w:tcBorders>
              <w:left w:val="nil"/>
              <w:right w:val="nil"/>
            </w:tcBorders>
            <w:vAlign w:val="center"/>
          </w:tcPr>
          <w:p w14:paraId="06E4D332"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1386E7DA" w14:textId="77777777" w:rsidR="007A36B7" w:rsidRPr="007A36B7" w:rsidRDefault="007A36B7" w:rsidP="003A197C">
            <w:pP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Married</w:t>
            </w:r>
          </w:p>
        </w:tc>
        <w:tc>
          <w:tcPr>
            <w:tcW w:w="1455" w:type="dxa"/>
            <w:tcBorders>
              <w:left w:val="nil"/>
              <w:right w:val="nil"/>
            </w:tcBorders>
            <w:vAlign w:val="center"/>
          </w:tcPr>
          <w:p w14:paraId="397962FF"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57</w:t>
            </w:r>
          </w:p>
        </w:tc>
        <w:tc>
          <w:tcPr>
            <w:tcW w:w="1980" w:type="dxa"/>
            <w:tcBorders>
              <w:left w:val="nil"/>
              <w:right w:val="nil"/>
            </w:tcBorders>
            <w:vAlign w:val="center"/>
          </w:tcPr>
          <w:p w14:paraId="00D7B173"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78.08</w:t>
            </w:r>
          </w:p>
        </w:tc>
      </w:tr>
      <w:tr w:rsidR="007A36B7" w:rsidRPr="007A36B7" w14:paraId="7739DBD2" w14:textId="77777777" w:rsidTr="00CF7BA2">
        <w:tc>
          <w:tcPr>
            <w:tcW w:w="2766" w:type="dxa"/>
            <w:vMerge/>
            <w:tcBorders>
              <w:left w:val="nil"/>
              <w:right w:val="nil"/>
            </w:tcBorders>
            <w:vAlign w:val="center"/>
          </w:tcPr>
          <w:p w14:paraId="5A9FF07F"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44DA0E61" w14:textId="77777777" w:rsidR="007A36B7" w:rsidRPr="007A36B7" w:rsidRDefault="007A36B7" w:rsidP="003A197C">
            <w:pP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Widowed</w:t>
            </w:r>
          </w:p>
        </w:tc>
        <w:tc>
          <w:tcPr>
            <w:tcW w:w="1455" w:type="dxa"/>
            <w:tcBorders>
              <w:left w:val="nil"/>
              <w:right w:val="nil"/>
            </w:tcBorders>
            <w:vAlign w:val="center"/>
          </w:tcPr>
          <w:p w14:paraId="7C667BB2"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4</w:t>
            </w:r>
          </w:p>
        </w:tc>
        <w:tc>
          <w:tcPr>
            <w:tcW w:w="1980" w:type="dxa"/>
            <w:tcBorders>
              <w:left w:val="nil"/>
              <w:right w:val="nil"/>
            </w:tcBorders>
            <w:vAlign w:val="center"/>
          </w:tcPr>
          <w:p w14:paraId="02A4616A"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5.48</w:t>
            </w:r>
          </w:p>
        </w:tc>
      </w:tr>
      <w:tr w:rsidR="007A36B7" w:rsidRPr="007A36B7" w14:paraId="72832602" w14:textId="77777777" w:rsidTr="00CF7BA2">
        <w:tc>
          <w:tcPr>
            <w:tcW w:w="2766" w:type="dxa"/>
            <w:vMerge/>
            <w:tcBorders>
              <w:left w:val="nil"/>
              <w:right w:val="nil"/>
            </w:tcBorders>
            <w:vAlign w:val="center"/>
          </w:tcPr>
          <w:p w14:paraId="01B30FF7"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4D7826E9" w14:textId="77777777" w:rsidR="007A36B7" w:rsidRPr="007A36B7" w:rsidRDefault="007A36B7" w:rsidP="003A197C">
            <w:pP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Separated</w:t>
            </w:r>
          </w:p>
        </w:tc>
        <w:tc>
          <w:tcPr>
            <w:tcW w:w="1455" w:type="dxa"/>
            <w:tcBorders>
              <w:left w:val="nil"/>
              <w:right w:val="nil"/>
            </w:tcBorders>
            <w:vAlign w:val="center"/>
          </w:tcPr>
          <w:p w14:paraId="15798A9F"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7</w:t>
            </w:r>
          </w:p>
        </w:tc>
        <w:tc>
          <w:tcPr>
            <w:tcW w:w="1980" w:type="dxa"/>
            <w:tcBorders>
              <w:left w:val="nil"/>
              <w:right w:val="nil"/>
            </w:tcBorders>
            <w:vAlign w:val="center"/>
          </w:tcPr>
          <w:p w14:paraId="72C7B54C"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9.59</w:t>
            </w:r>
          </w:p>
        </w:tc>
      </w:tr>
      <w:tr w:rsidR="007A36B7" w:rsidRPr="007A36B7" w14:paraId="1584DF63" w14:textId="77777777" w:rsidTr="00CF7BA2">
        <w:trPr>
          <w:trHeight w:val="307"/>
        </w:trPr>
        <w:tc>
          <w:tcPr>
            <w:tcW w:w="2766" w:type="dxa"/>
            <w:tcBorders>
              <w:left w:val="nil"/>
              <w:right w:val="nil"/>
            </w:tcBorders>
            <w:vAlign w:val="center"/>
          </w:tcPr>
          <w:p w14:paraId="2C560F3E"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Educational Attainment</w:t>
            </w:r>
          </w:p>
        </w:tc>
        <w:tc>
          <w:tcPr>
            <w:tcW w:w="1989" w:type="dxa"/>
            <w:tcBorders>
              <w:top w:val="single" w:sz="4" w:space="0" w:color="auto"/>
              <w:left w:val="nil"/>
              <w:bottom w:val="single" w:sz="4" w:space="0" w:color="auto"/>
              <w:right w:val="nil"/>
            </w:tcBorders>
            <w:vAlign w:val="center"/>
          </w:tcPr>
          <w:p w14:paraId="7C938261" w14:textId="77777777" w:rsidR="007A36B7" w:rsidRPr="007A36B7" w:rsidRDefault="007A36B7" w:rsidP="003A197C">
            <w:pP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College Graduate</w:t>
            </w:r>
          </w:p>
        </w:tc>
        <w:tc>
          <w:tcPr>
            <w:tcW w:w="1455" w:type="dxa"/>
            <w:tcBorders>
              <w:left w:val="nil"/>
              <w:right w:val="nil"/>
            </w:tcBorders>
            <w:vAlign w:val="center"/>
          </w:tcPr>
          <w:p w14:paraId="41FDC0A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73</w:t>
            </w:r>
          </w:p>
        </w:tc>
        <w:tc>
          <w:tcPr>
            <w:tcW w:w="1980" w:type="dxa"/>
            <w:tcBorders>
              <w:left w:val="nil"/>
              <w:right w:val="nil"/>
            </w:tcBorders>
            <w:vAlign w:val="center"/>
          </w:tcPr>
          <w:p w14:paraId="3ED53CA8"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100.00</w:t>
            </w:r>
          </w:p>
        </w:tc>
      </w:tr>
      <w:tr w:rsidR="007A36B7" w:rsidRPr="007A36B7" w14:paraId="017696FC" w14:textId="77777777" w:rsidTr="00CF7BA2">
        <w:tc>
          <w:tcPr>
            <w:tcW w:w="2766" w:type="dxa"/>
            <w:vMerge w:val="restart"/>
            <w:tcBorders>
              <w:left w:val="nil"/>
              <w:right w:val="nil"/>
            </w:tcBorders>
            <w:vAlign w:val="center"/>
          </w:tcPr>
          <w:p w14:paraId="257A9117"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Salary</w:t>
            </w:r>
          </w:p>
        </w:tc>
        <w:tc>
          <w:tcPr>
            <w:tcW w:w="1989" w:type="dxa"/>
            <w:tcBorders>
              <w:top w:val="single" w:sz="4" w:space="0" w:color="auto"/>
              <w:left w:val="nil"/>
              <w:bottom w:val="single" w:sz="4" w:space="0" w:color="auto"/>
              <w:right w:val="nil"/>
            </w:tcBorders>
          </w:tcPr>
          <w:p w14:paraId="6A1CD4B4" w14:textId="77777777" w:rsidR="007A36B7" w:rsidRPr="007A36B7" w:rsidRDefault="007A36B7" w:rsidP="003A197C">
            <w:pPr>
              <w:rPr>
                <w:rFonts w:ascii="Arial" w:eastAsia="Times New Roman" w:hAnsi="Arial" w:cs="Arial"/>
                <w:color w:val="000000" w:themeColor="text1"/>
                <w:lang w:eastAsia="en-PH"/>
              </w:rPr>
            </w:pPr>
            <w:r w:rsidRPr="007A36B7">
              <w:rPr>
                <w:rFonts w:ascii="Arial" w:hAnsi="Arial" w:cs="Arial"/>
                <w:color w:val="000000" w:themeColor="text1"/>
              </w:rPr>
              <w:t>₱</w:t>
            </w:r>
            <w:r w:rsidRPr="007A36B7">
              <w:rPr>
                <w:rFonts w:ascii="Arial" w:eastAsia="Times New Roman" w:hAnsi="Arial" w:cs="Arial"/>
                <w:color w:val="000000" w:themeColor="text1"/>
                <w:lang w:eastAsia="en-PH"/>
              </w:rPr>
              <w:t>20,000 and below</w:t>
            </w:r>
          </w:p>
        </w:tc>
        <w:tc>
          <w:tcPr>
            <w:tcW w:w="1455" w:type="dxa"/>
            <w:tcBorders>
              <w:left w:val="nil"/>
              <w:right w:val="nil"/>
            </w:tcBorders>
            <w:vAlign w:val="center"/>
          </w:tcPr>
          <w:p w14:paraId="6F18E3D1"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15</w:t>
            </w:r>
          </w:p>
        </w:tc>
        <w:tc>
          <w:tcPr>
            <w:tcW w:w="1980" w:type="dxa"/>
            <w:tcBorders>
              <w:left w:val="nil"/>
              <w:right w:val="nil"/>
            </w:tcBorders>
            <w:vAlign w:val="center"/>
          </w:tcPr>
          <w:p w14:paraId="28E8AE61"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20.55</w:t>
            </w:r>
          </w:p>
        </w:tc>
      </w:tr>
      <w:tr w:rsidR="007A36B7" w:rsidRPr="007A36B7" w14:paraId="6D105469" w14:textId="77777777" w:rsidTr="00CF7BA2">
        <w:tc>
          <w:tcPr>
            <w:tcW w:w="2766" w:type="dxa"/>
            <w:vMerge/>
            <w:tcBorders>
              <w:left w:val="nil"/>
              <w:right w:val="nil"/>
            </w:tcBorders>
          </w:tcPr>
          <w:p w14:paraId="3D8AE98F"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152EECA4" w14:textId="77777777" w:rsidR="007A36B7" w:rsidRPr="007A36B7" w:rsidRDefault="007A36B7" w:rsidP="003A197C">
            <w:pPr>
              <w:rPr>
                <w:rFonts w:ascii="Arial" w:eastAsia="Times New Roman" w:hAnsi="Arial" w:cs="Arial"/>
                <w:color w:val="000000" w:themeColor="text1"/>
                <w:lang w:eastAsia="en-PH"/>
              </w:rPr>
            </w:pPr>
            <w:r w:rsidRPr="007A36B7">
              <w:rPr>
                <w:rFonts w:ascii="Arial" w:hAnsi="Arial" w:cs="Arial"/>
                <w:color w:val="000000" w:themeColor="text1"/>
              </w:rPr>
              <w:t>₱</w:t>
            </w:r>
            <w:r w:rsidRPr="007A36B7">
              <w:rPr>
                <w:rFonts w:ascii="Arial" w:eastAsia="Times New Roman" w:hAnsi="Arial" w:cs="Arial"/>
                <w:color w:val="000000" w:themeColor="text1"/>
                <w:lang w:eastAsia="en-PH"/>
              </w:rPr>
              <w:t xml:space="preserve">20,001 to </w:t>
            </w:r>
            <w:r w:rsidRPr="007A36B7">
              <w:rPr>
                <w:rFonts w:ascii="Arial" w:hAnsi="Arial" w:cs="Arial"/>
                <w:color w:val="000000" w:themeColor="text1"/>
              </w:rPr>
              <w:t>₱</w:t>
            </w:r>
            <w:r w:rsidRPr="007A36B7">
              <w:rPr>
                <w:rFonts w:ascii="Arial" w:eastAsia="Times New Roman" w:hAnsi="Arial" w:cs="Arial"/>
                <w:color w:val="000000" w:themeColor="text1"/>
                <w:lang w:eastAsia="en-PH"/>
              </w:rPr>
              <w:t>30,000</w:t>
            </w:r>
          </w:p>
        </w:tc>
        <w:tc>
          <w:tcPr>
            <w:tcW w:w="1455" w:type="dxa"/>
            <w:tcBorders>
              <w:left w:val="nil"/>
              <w:right w:val="nil"/>
            </w:tcBorders>
            <w:vAlign w:val="center"/>
          </w:tcPr>
          <w:p w14:paraId="44391EC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17</w:t>
            </w:r>
          </w:p>
        </w:tc>
        <w:tc>
          <w:tcPr>
            <w:tcW w:w="1980" w:type="dxa"/>
            <w:tcBorders>
              <w:left w:val="nil"/>
              <w:right w:val="nil"/>
            </w:tcBorders>
            <w:vAlign w:val="center"/>
          </w:tcPr>
          <w:p w14:paraId="5E5E91E8"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23.29</w:t>
            </w:r>
          </w:p>
        </w:tc>
      </w:tr>
      <w:tr w:rsidR="007A36B7" w:rsidRPr="007A36B7" w14:paraId="52CF4D82" w14:textId="77777777" w:rsidTr="00CF7BA2">
        <w:tc>
          <w:tcPr>
            <w:tcW w:w="2766" w:type="dxa"/>
            <w:vMerge/>
            <w:tcBorders>
              <w:left w:val="nil"/>
              <w:right w:val="nil"/>
            </w:tcBorders>
          </w:tcPr>
          <w:p w14:paraId="268325E6"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1051B5CF" w14:textId="77777777" w:rsidR="007A36B7" w:rsidRPr="007A36B7" w:rsidRDefault="007A36B7" w:rsidP="003A197C">
            <w:pPr>
              <w:rPr>
                <w:rFonts w:ascii="Arial" w:eastAsia="Times New Roman" w:hAnsi="Arial" w:cs="Arial"/>
                <w:color w:val="000000" w:themeColor="text1"/>
                <w:lang w:eastAsia="en-PH"/>
              </w:rPr>
            </w:pPr>
            <w:r w:rsidRPr="007A36B7">
              <w:rPr>
                <w:rFonts w:ascii="Arial" w:hAnsi="Arial" w:cs="Arial"/>
                <w:color w:val="000000" w:themeColor="text1"/>
              </w:rPr>
              <w:t>₱</w:t>
            </w:r>
            <w:r w:rsidRPr="007A36B7">
              <w:rPr>
                <w:rFonts w:ascii="Arial" w:eastAsia="Times New Roman" w:hAnsi="Arial" w:cs="Arial"/>
                <w:color w:val="000000" w:themeColor="text1"/>
                <w:lang w:eastAsia="en-PH"/>
              </w:rPr>
              <w:t xml:space="preserve">30,001 to </w:t>
            </w:r>
            <w:r w:rsidRPr="007A36B7">
              <w:rPr>
                <w:rFonts w:ascii="Arial" w:hAnsi="Arial" w:cs="Arial"/>
                <w:color w:val="000000" w:themeColor="text1"/>
              </w:rPr>
              <w:t>₱</w:t>
            </w:r>
            <w:r w:rsidRPr="007A36B7">
              <w:rPr>
                <w:rFonts w:ascii="Arial" w:eastAsia="Times New Roman" w:hAnsi="Arial" w:cs="Arial"/>
                <w:color w:val="000000" w:themeColor="text1"/>
                <w:lang w:eastAsia="en-PH"/>
              </w:rPr>
              <w:t>40,000</w:t>
            </w:r>
          </w:p>
        </w:tc>
        <w:tc>
          <w:tcPr>
            <w:tcW w:w="1455" w:type="dxa"/>
            <w:tcBorders>
              <w:left w:val="nil"/>
              <w:right w:val="nil"/>
            </w:tcBorders>
            <w:vAlign w:val="center"/>
          </w:tcPr>
          <w:p w14:paraId="29B8841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15</w:t>
            </w:r>
          </w:p>
        </w:tc>
        <w:tc>
          <w:tcPr>
            <w:tcW w:w="1980" w:type="dxa"/>
            <w:tcBorders>
              <w:left w:val="nil"/>
              <w:right w:val="nil"/>
            </w:tcBorders>
            <w:vAlign w:val="center"/>
          </w:tcPr>
          <w:p w14:paraId="26B0418C"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20.55</w:t>
            </w:r>
          </w:p>
        </w:tc>
      </w:tr>
      <w:tr w:rsidR="007A36B7" w:rsidRPr="007A36B7" w14:paraId="5D2E43B0" w14:textId="77777777" w:rsidTr="00CF7BA2">
        <w:tc>
          <w:tcPr>
            <w:tcW w:w="2766" w:type="dxa"/>
            <w:vMerge/>
            <w:tcBorders>
              <w:left w:val="nil"/>
              <w:right w:val="nil"/>
            </w:tcBorders>
          </w:tcPr>
          <w:p w14:paraId="75DD5029" w14:textId="77777777" w:rsidR="007A36B7" w:rsidRPr="007A36B7" w:rsidRDefault="007A36B7" w:rsidP="003A197C">
            <w:pPr>
              <w:rPr>
                <w:rFonts w:ascii="Arial" w:hAnsi="Arial" w:cs="Arial"/>
                <w:color w:val="000000" w:themeColor="text1"/>
              </w:rPr>
            </w:pPr>
          </w:p>
        </w:tc>
        <w:tc>
          <w:tcPr>
            <w:tcW w:w="1989" w:type="dxa"/>
            <w:tcBorders>
              <w:top w:val="single" w:sz="4" w:space="0" w:color="auto"/>
              <w:left w:val="nil"/>
              <w:bottom w:val="single" w:sz="4" w:space="0" w:color="auto"/>
              <w:right w:val="nil"/>
            </w:tcBorders>
          </w:tcPr>
          <w:p w14:paraId="4659303A" w14:textId="77777777" w:rsidR="007A36B7" w:rsidRPr="007A36B7" w:rsidRDefault="007A36B7" w:rsidP="003A197C">
            <w:pPr>
              <w:rPr>
                <w:rFonts w:ascii="Arial" w:eastAsia="Times New Roman" w:hAnsi="Arial" w:cs="Arial"/>
                <w:color w:val="000000" w:themeColor="text1"/>
                <w:lang w:eastAsia="en-PH"/>
              </w:rPr>
            </w:pPr>
            <w:r w:rsidRPr="007A36B7">
              <w:rPr>
                <w:rFonts w:ascii="Arial" w:hAnsi="Arial" w:cs="Arial"/>
                <w:color w:val="000000" w:themeColor="text1"/>
              </w:rPr>
              <w:t>₱</w:t>
            </w:r>
            <w:r w:rsidRPr="007A36B7">
              <w:rPr>
                <w:rFonts w:ascii="Arial" w:eastAsia="Times New Roman" w:hAnsi="Arial" w:cs="Arial"/>
                <w:color w:val="000000" w:themeColor="text1"/>
                <w:lang w:eastAsia="en-PH"/>
              </w:rPr>
              <w:t>40,001 and above</w:t>
            </w:r>
          </w:p>
        </w:tc>
        <w:tc>
          <w:tcPr>
            <w:tcW w:w="1455" w:type="dxa"/>
            <w:tcBorders>
              <w:left w:val="nil"/>
              <w:right w:val="nil"/>
            </w:tcBorders>
            <w:vAlign w:val="center"/>
          </w:tcPr>
          <w:p w14:paraId="669BFA4F"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26</w:t>
            </w:r>
          </w:p>
        </w:tc>
        <w:tc>
          <w:tcPr>
            <w:tcW w:w="1980" w:type="dxa"/>
            <w:tcBorders>
              <w:left w:val="nil"/>
              <w:right w:val="nil"/>
            </w:tcBorders>
            <w:vAlign w:val="center"/>
          </w:tcPr>
          <w:p w14:paraId="08DE8F5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35.62</w:t>
            </w:r>
          </w:p>
        </w:tc>
      </w:tr>
      <w:tr w:rsidR="007A36B7" w:rsidRPr="007A36B7" w14:paraId="1B52D7C4" w14:textId="77777777" w:rsidTr="00CF7BA2">
        <w:tc>
          <w:tcPr>
            <w:tcW w:w="4755" w:type="dxa"/>
            <w:gridSpan w:val="2"/>
            <w:tcBorders>
              <w:left w:val="nil"/>
              <w:right w:val="nil"/>
            </w:tcBorders>
          </w:tcPr>
          <w:p w14:paraId="52E7A887" w14:textId="77777777" w:rsidR="007A36B7" w:rsidRPr="007A36B7" w:rsidRDefault="007A36B7" w:rsidP="003A197C">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TOTAL</w:t>
            </w:r>
          </w:p>
        </w:tc>
        <w:tc>
          <w:tcPr>
            <w:tcW w:w="1455" w:type="dxa"/>
            <w:tcBorders>
              <w:left w:val="nil"/>
              <w:right w:val="nil"/>
            </w:tcBorders>
            <w:vAlign w:val="center"/>
          </w:tcPr>
          <w:p w14:paraId="1C392AF9" w14:textId="77777777" w:rsidR="007A36B7" w:rsidRPr="007A36B7" w:rsidRDefault="007A36B7" w:rsidP="003A197C">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73</w:t>
            </w:r>
          </w:p>
        </w:tc>
        <w:tc>
          <w:tcPr>
            <w:tcW w:w="1980" w:type="dxa"/>
            <w:tcBorders>
              <w:left w:val="nil"/>
              <w:right w:val="nil"/>
            </w:tcBorders>
            <w:vAlign w:val="center"/>
          </w:tcPr>
          <w:p w14:paraId="58324376" w14:textId="77777777" w:rsidR="007A36B7" w:rsidRPr="007A36B7" w:rsidRDefault="007A36B7" w:rsidP="003A197C">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100.00</w:t>
            </w:r>
          </w:p>
        </w:tc>
      </w:tr>
    </w:tbl>
    <w:p w14:paraId="499E7E2D" w14:textId="77777777" w:rsidR="007A36B7" w:rsidRPr="007A36B7" w:rsidRDefault="007A36B7" w:rsidP="000543AC">
      <w:pPr>
        <w:shd w:val="clear" w:color="auto" w:fill="FFFFFF" w:themeFill="background1"/>
        <w:spacing w:after="0" w:line="240" w:lineRule="auto"/>
        <w:jc w:val="both"/>
        <w:rPr>
          <w:rFonts w:ascii="Arial" w:hAnsi="Arial" w:cs="Arial"/>
          <w:sz w:val="20"/>
          <w:szCs w:val="20"/>
        </w:rPr>
      </w:pPr>
    </w:p>
    <w:p w14:paraId="54279BF9" w14:textId="1515B068" w:rsidR="000543AC" w:rsidRDefault="007A36B7" w:rsidP="000543AC">
      <w:pPr>
        <w:pStyle w:val="NoSpacing"/>
        <w:jc w:val="center"/>
        <w:rPr>
          <w:b/>
          <w:bCs/>
          <w:lang w:val="en-US"/>
        </w:rPr>
      </w:pPr>
      <w:bookmarkStart w:id="0" w:name="_Toc201323107"/>
      <w:r w:rsidRPr="000543AC">
        <w:rPr>
          <w:b/>
          <w:bCs/>
          <w:lang w:val="en-US"/>
        </w:rPr>
        <w:t>Level of Financial Literacy</w:t>
      </w:r>
      <w:bookmarkEnd w:id="0"/>
    </w:p>
    <w:p w14:paraId="723658D5" w14:textId="77777777" w:rsidR="000543AC" w:rsidRPr="000543AC" w:rsidRDefault="000543AC" w:rsidP="000543AC">
      <w:pPr>
        <w:pStyle w:val="NoSpacing"/>
        <w:jc w:val="center"/>
        <w:rPr>
          <w:b/>
          <w:bCs/>
          <w:lang w:val="en-US"/>
        </w:rPr>
      </w:pPr>
    </w:p>
    <w:p w14:paraId="3D27247D" w14:textId="5A8B73CF" w:rsidR="007A36B7" w:rsidRDefault="007A36B7" w:rsidP="000543AC">
      <w:pPr>
        <w:spacing w:after="0" w:line="240" w:lineRule="auto"/>
        <w:ind w:firstLine="720"/>
        <w:jc w:val="both"/>
        <w:rPr>
          <w:rFonts w:ascii="Arial" w:hAnsi="Arial" w:cs="Arial"/>
          <w:sz w:val="20"/>
          <w:szCs w:val="20"/>
        </w:rPr>
      </w:pPr>
      <w:r w:rsidRPr="007A36B7">
        <w:rPr>
          <w:rFonts w:ascii="Arial" w:hAnsi="Arial" w:cs="Arial"/>
          <w:sz w:val="20"/>
          <w:szCs w:val="20"/>
        </w:rPr>
        <w:t xml:space="preserve">Table </w:t>
      </w:r>
      <w:r w:rsidR="001B7571">
        <w:rPr>
          <w:rFonts w:ascii="Arial" w:hAnsi="Arial" w:cs="Arial"/>
          <w:sz w:val="20"/>
          <w:szCs w:val="20"/>
        </w:rPr>
        <w:t>2</w:t>
      </w:r>
      <w:r w:rsidRPr="007A36B7">
        <w:rPr>
          <w:rFonts w:ascii="Arial" w:hAnsi="Arial" w:cs="Arial"/>
          <w:sz w:val="20"/>
          <w:szCs w:val="20"/>
        </w:rPr>
        <w:t xml:space="preserve"> shows that the respondents had a high level of financial behavior (x̄ = 3.78, s = 0.37). The highest indicator was confidence in the current financial condition (x̄ = 3.90, s = 0.48), suggesting that most respondents feel secure about their present financial situation. This was followed by having a comprehensive strategy for retirement finances (x̄ = 3.75, s = 0.46) and being informed about investment trends and products on the market (x̄ = 3.68, s = 0.66), both of which also received high interpretations. </w:t>
      </w:r>
    </w:p>
    <w:p w14:paraId="215D15E9" w14:textId="77777777" w:rsidR="007A36B7" w:rsidRDefault="007A36B7" w:rsidP="007A36B7">
      <w:pPr>
        <w:spacing w:after="0" w:line="240" w:lineRule="auto"/>
        <w:ind w:firstLine="720"/>
        <w:jc w:val="both"/>
        <w:rPr>
          <w:rFonts w:ascii="Arial" w:hAnsi="Arial" w:cs="Arial"/>
        </w:rPr>
      </w:pPr>
    </w:p>
    <w:p w14:paraId="7A2AAEBF" w14:textId="51C51CC4" w:rsidR="007A36B7" w:rsidRPr="007A36B7" w:rsidRDefault="007A36B7" w:rsidP="007A36B7">
      <w:pPr>
        <w:spacing w:after="0" w:line="240" w:lineRule="auto"/>
        <w:rPr>
          <w:rFonts w:ascii="Arial" w:hAnsi="Arial" w:cs="Arial"/>
          <w:color w:val="000000" w:themeColor="text1"/>
          <w:sz w:val="20"/>
          <w:szCs w:val="20"/>
        </w:rPr>
      </w:pPr>
      <w:r w:rsidRPr="007A36B7">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2</w:t>
      </w:r>
      <w:r w:rsidRPr="007A36B7">
        <w:rPr>
          <w:rFonts w:ascii="Arial" w:hAnsi="Arial" w:cs="Arial"/>
          <w:color w:val="000000" w:themeColor="text1"/>
          <w:sz w:val="20"/>
          <w:szCs w:val="20"/>
          <w:lang w:val="en-US"/>
        </w:rPr>
        <w:t>. Level of financial behavior</w:t>
      </w:r>
    </w:p>
    <w:tbl>
      <w:tblPr>
        <w:tblStyle w:val="TableGrid"/>
        <w:tblW w:w="8190" w:type="dxa"/>
        <w:tblLayout w:type="fixed"/>
        <w:tblLook w:val="04A0" w:firstRow="1" w:lastRow="0" w:firstColumn="1" w:lastColumn="0" w:noHBand="0" w:noVBand="1"/>
      </w:tblPr>
      <w:tblGrid>
        <w:gridCol w:w="760"/>
        <w:gridCol w:w="3740"/>
        <w:gridCol w:w="1080"/>
        <w:gridCol w:w="1170"/>
        <w:gridCol w:w="1440"/>
      </w:tblGrid>
      <w:tr w:rsidR="007A36B7" w:rsidRPr="007A36B7" w14:paraId="50A57696" w14:textId="77777777" w:rsidTr="00CF7BA2">
        <w:trPr>
          <w:trHeight w:val="236"/>
        </w:trPr>
        <w:tc>
          <w:tcPr>
            <w:tcW w:w="760" w:type="dxa"/>
            <w:tcBorders>
              <w:left w:val="nil"/>
              <w:right w:val="nil"/>
            </w:tcBorders>
            <w:vAlign w:val="center"/>
          </w:tcPr>
          <w:p w14:paraId="527EC4BB"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No.</w:t>
            </w:r>
          </w:p>
        </w:tc>
        <w:tc>
          <w:tcPr>
            <w:tcW w:w="3740" w:type="dxa"/>
            <w:tcBorders>
              <w:left w:val="nil"/>
              <w:right w:val="nil"/>
            </w:tcBorders>
            <w:vAlign w:val="center"/>
          </w:tcPr>
          <w:p w14:paraId="644E10C6"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Description</w:t>
            </w:r>
          </w:p>
        </w:tc>
        <w:tc>
          <w:tcPr>
            <w:tcW w:w="1080" w:type="dxa"/>
            <w:tcBorders>
              <w:left w:val="nil"/>
              <w:right w:val="nil"/>
            </w:tcBorders>
            <w:vAlign w:val="center"/>
          </w:tcPr>
          <w:p w14:paraId="21E669C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Mean</w:t>
            </w:r>
          </w:p>
        </w:tc>
        <w:tc>
          <w:tcPr>
            <w:tcW w:w="1170" w:type="dxa"/>
            <w:tcBorders>
              <w:left w:val="nil"/>
              <w:right w:val="nil"/>
            </w:tcBorders>
            <w:vAlign w:val="center"/>
          </w:tcPr>
          <w:p w14:paraId="1F74B5B6"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Std. Deviation</w:t>
            </w:r>
          </w:p>
        </w:tc>
        <w:tc>
          <w:tcPr>
            <w:tcW w:w="1440" w:type="dxa"/>
            <w:tcBorders>
              <w:left w:val="nil"/>
              <w:right w:val="nil"/>
            </w:tcBorders>
            <w:vAlign w:val="center"/>
          </w:tcPr>
          <w:p w14:paraId="5B6BC65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Interpretation</w:t>
            </w:r>
          </w:p>
        </w:tc>
      </w:tr>
      <w:tr w:rsidR="007A36B7" w:rsidRPr="007A36B7" w14:paraId="4844C114" w14:textId="77777777" w:rsidTr="00CF7BA2">
        <w:tc>
          <w:tcPr>
            <w:tcW w:w="760" w:type="dxa"/>
            <w:tcBorders>
              <w:left w:val="nil"/>
              <w:right w:val="nil"/>
            </w:tcBorders>
          </w:tcPr>
          <w:p w14:paraId="76C3370C"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1</w:t>
            </w:r>
          </w:p>
        </w:tc>
        <w:tc>
          <w:tcPr>
            <w:tcW w:w="3740" w:type="dxa"/>
            <w:tcBorders>
              <w:left w:val="nil"/>
              <w:right w:val="nil"/>
            </w:tcBorders>
          </w:tcPr>
          <w:p w14:paraId="3A23D067"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Confident in the financial condition</w:t>
            </w:r>
          </w:p>
        </w:tc>
        <w:tc>
          <w:tcPr>
            <w:tcW w:w="1080" w:type="dxa"/>
            <w:tcBorders>
              <w:left w:val="nil"/>
              <w:right w:val="nil"/>
            </w:tcBorders>
            <w:vAlign w:val="center"/>
          </w:tcPr>
          <w:p w14:paraId="0AFEE1CD"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3.90</w:t>
            </w:r>
          </w:p>
        </w:tc>
        <w:tc>
          <w:tcPr>
            <w:tcW w:w="1170" w:type="dxa"/>
            <w:tcBorders>
              <w:left w:val="nil"/>
              <w:right w:val="nil"/>
            </w:tcBorders>
            <w:vAlign w:val="center"/>
          </w:tcPr>
          <w:p w14:paraId="6F293BE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0.48</w:t>
            </w:r>
          </w:p>
        </w:tc>
        <w:tc>
          <w:tcPr>
            <w:tcW w:w="1440" w:type="dxa"/>
            <w:tcBorders>
              <w:left w:val="nil"/>
              <w:right w:val="nil"/>
            </w:tcBorders>
            <w:vAlign w:val="center"/>
          </w:tcPr>
          <w:p w14:paraId="1BEC033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49D96841" w14:textId="77777777" w:rsidTr="00CF7BA2">
        <w:tc>
          <w:tcPr>
            <w:tcW w:w="760" w:type="dxa"/>
            <w:tcBorders>
              <w:left w:val="nil"/>
              <w:right w:val="nil"/>
            </w:tcBorders>
          </w:tcPr>
          <w:p w14:paraId="10B00385"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2</w:t>
            </w:r>
          </w:p>
        </w:tc>
        <w:tc>
          <w:tcPr>
            <w:tcW w:w="3740" w:type="dxa"/>
            <w:tcBorders>
              <w:left w:val="nil"/>
              <w:right w:val="nil"/>
            </w:tcBorders>
          </w:tcPr>
          <w:p w14:paraId="4B83C455"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Have a comprehensive strategy for retirement finances</w:t>
            </w:r>
          </w:p>
        </w:tc>
        <w:tc>
          <w:tcPr>
            <w:tcW w:w="1080" w:type="dxa"/>
            <w:tcBorders>
              <w:left w:val="nil"/>
              <w:right w:val="nil"/>
            </w:tcBorders>
            <w:vAlign w:val="center"/>
          </w:tcPr>
          <w:p w14:paraId="190FC181"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3.75</w:t>
            </w:r>
          </w:p>
        </w:tc>
        <w:tc>
          <w:tcPr>
            <w:tcW w:w="1170" w:type="dxa"/>
            <w:tcBorders>
              <w:left w:val="nil"/>
              <w:right w:val="nil"/>
            </w:tcBorders>
            <w:vAlign w:val="center"/>
          </w:tcPr>
          <w:p w14:paraId="0C7F366D"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0.46</w:t>
            </w:r>
          </w:p>
        </w:tc>
        <w:tc>
          <w:tcPr>
            <w:tcW w:w="1440" w:type="dxa"/>
            <w:tcBorders>
              <w:left w:val="nil"/>
              <w:right w:val="nil"/>
            </w:tcBorders>
            <w:vAlign w:val="center"/>
          </w:tcPr>
          <w:p w14:paraId="0757AEC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487E520B" w14:textId="77777777" w:rsidTr="00CF7BA2">
        <w:trPr>
          <w:trHeight w:val="358"/>
        </w:trPr>
        <w:tc>
          <w:tcPr>
            <w:tcW w:w="760" w:type="dxa"/>
            <w:tcBorders>
              <w:left w:val="nil"/>
              <w:right w:val="nil"/>
            </w:tcBorders>
          </w:tcPr>
          <w:p w14:paraId="34815C88" w14:textId="77777777" w:rsidR="007A36B7" w:rsidRPr="007A36B7" w:rsidRDefault="007A36B7" w:rsidP="003A197C">
            <w:pPr>
              <w:jc w:val="center"/>
              <w:rPr>
                <w:rFonts w:ascii="Arial" w:hAnsi="Arial" w:cs="Arial"/>
                <w:color w:val="000000" w:themeColor="text1"/>
              </w:rPr>
            </w:pPr>
            <w:r w:rsidRPr="007A36B7">
              <w:rPr>
                <w:rFonts w:ascii="Arial" w:hAnsi="Arial" w:cs="Arial"/>
                <w:color w:val="000000" w:themeColor="text1"/>
              </w:rPr>
              <w:t>3</w:t>
            </w:r>
          </w:p>
        </w:tc>
        <w:tc>
          <w:tcPr>
            <w:tcW w:w="3740" w:type="dxa"/>
            <w:tcBorders>
              <w:left w:val="nil"/>
              <w:right w:val="nil"/>
            </w:tcBorders>
          </w:tcPr>
          <w:p w14:paraId="61C79BDB" w14:textId="77777777" w:rsidR="007A36B7" w:rsidRPr="007A36B7" w:rsidRDefault="007A36B7" w:rsidP="003A197C">
            <w:pPr>
              <w:rPr>
                <w:rFonts w:ascii="Arial" w:hAnsi="Arial" w:cs="Arial"/>
                <w:color w:val="000000" w:themeColor="text1"/>
              </w:rPr>
            </w:pPr>
            <w:r w:rsidRPr="007A36B7">
              <w:rPr>
                <w:rFonts w:ascii="Arial" w:hAnsi="Arial" w:cs="Arial"/>
                <w:color w:val="000000" w:themeColor="text1"/>
              </w:rPr>
              <w:t>Follow the latest investment trends and products on the market</w:t>
            </w:r>
          </w:p>
        </w:tc>
        <w:tc>
          <w:tcPr>
            <w:tcW w:w="1080" w:type="dxa"/>
            <w:tcBorders>
              <w:left w:val="nil"/>
              <w:right w:val="nil"/>
            </w:tcBorders>
            <w:vAlign w:val="center"/>
          </w:tcPr>
          <w:p w14:paraId="41B3013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3.68</w:t>
            </w:r>
          </w:p>
        </w:tc>
        <w:tc>
          <w:tcPr>
            <w:tcW w:w="1170" w:type="dxa"/>
            <w:tcBorders>
              <w:left w:val="nil"/>
              <w:right w:val="nil"/>
            </w:tcBorders>
            <w:vAlign w:val="center"/>
          </w:tcPr>
          <w:p w14:paraId="0B4280F6"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0.66</w:t>
            </w:r>
          </w:p>
        </w:tc>
        <w:tc>
          <w:tcPr>
            <w:tcW w:w="1440" w:type="dxa"/>
            <w:tcBorders>
              <w:left w:val="nil"/>
              <w:right w:val="nil"/>
            </w:tcBorders>
            <w:vAlign w:val="center"/>
          </w:tcPr>
          <w:p w14:paraId="115A1903"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0B32D7BF" w14:textId="77777777" w:rsidTr="00CF7BA2">
        <w:trPr>
          <w:trHeight w:val="178"/>
        </w:trPr>
        <w:tc>
          <w:tcPr>
            <w:tcW w:w="760" w:type="dxa"/>
            <w:tcBorders>
              <w:left w:val="nil"/>
              <w:right w:val="nil"/>
            </w:tcBorders>
          </w:tcPr>
          <w:p w14:paraId="311E548D" w14:textId="77777777" w:rsidR="007A36B7" w:rsidRPr="007A36B7" w:rsidRDefault="007A36B7" w:rsidP="003A197C">
            <w:pPr>
              <w:rPr>
                <w:rFonts w:ascii="Arial" w:hAnsi="Arial" w:cs="Arial"/>
                <w:color w:val="000000" w:themeColor="text1"/>
              </w:rPr>
            </w:pPr>
          </w:p>
        </w:tc>
        <w:tc>
          <w:tcPr>
            <w:tcW w:w="3740" w:type="dxa"/>
            <w:tcBorders>
              <w:left w:val="nil"/>
              <w:right w:val="nil"/>
            </w:tcBorders>
          </w:tcPr>
          <w:p w14:paraId="739E75EB"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Average</w:t>
            </w:r>
          </w:p>
        </w:tc>
        <w:tc>
          <w:tcPr>
            <w:tcW w:w="1080" w:type="dxa"/>
            <w:tcBorders>
              <w:left w:val="nil"/>
              <w:right w:val="nil"/>
            </w:tcBorders>
            <w:vAlign w:val="center"/>
          </w:tcPr>
          <w:p w14:paraId="211EAA44"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3.78</w:t>
            </w:r>
          </w:p>
        </w:tc>
        <w:tc>
          <w:tcPr>
            <w:tcW w:w="1170" w:type="dxa"/>
            <w:tcBorders>
              <w:left w:val="nil"/>
              <w:right w:val="nil"/>
            </w:tcBorders>
            <w:vAlign w:val="center"/>
          </w:tcPr>
          <w:p w14:paraId="3076A9C7"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0.37</w:t>
            </w:r>
          </w:p>
        </w:tc>
        <w:tc>
          <w:tcPr>
            <w:tcW w:w="1440" w:type="dxa"/>
            <w:tcBorders>
              <w:left w:val="nil"/>
              <w:right w:val="nil"/>
            </w:tcBorders>
            <w:vAlign w:val="center"/>
          </w:tcPr>
          <w:p w14:paraId="535BFE2D" w14:textId="77777777" w:rsidR="007A36B7" w:rsidRPr="007A36B7" w:rsidRDefault="007A36B7" w:rsidP="003A197C">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bl>
    <w:p w14:paraId="61AEED22" w14:textId="77777777" w:rsidR="007A36B7" w:rsidRDefault="007A36B7" w:rsidP="007C2C1D">
      <w:pPr>
        <w:shd w:val="clear" w:color="auto" w:fill="FFFFFF" w:themeFill="background1"/>
        <w:spacing w:after="0" w:line="240" w:lineRule="auto"/>
        <w:jc w:val="both"/>
        <w:rPr>
          <w:rFonts w:ascii="Arial" w:hAnsi="Arial" w:cs="Arial"/>
        </w:rPr>
      </w:pPr>
    </w:p>
    <w:p w14:paraId="7F11CAA5" w14:textId="258AD5D5" w:rsidR="007A36B7" w:rsidRPr="007A36B7" w:rsidRDefault="007A36B7" w:rsidP="007A36B7">
      <w:pPr>
        <w:shd w:val="clear" w:color="auto" w:fill="FFFFFF" w:themeFill="background1"/>
        <w:spacing w:after="0" w:line="240" w:lineRule="auto"/>
        <w:ind w:firstLine="720"/>
        <w:jc w:val="both"/>
        <w:rPr>
          <w:rFonts w:ascii="Arial" w:hAnsi="Arial" w:cs="Arial"/>
        </w:rPr>
      </w:pPr>
      <w:r w:rsidRPr="007A36B7">
        <w:rPr>
          <w:rFonts w:ascii="Arial" w:hAnsi="Arial" w:cs="Arial"/>
          <w:sz w:val="20"/>
          <w:szCs w:val="20"/>
        </w:rPr>
        <w:t xml:space="preserve">These findings indicate that respondents generally exhibit responsible and proactive financial behaviors, reflecting a strong level of financial literacy in both present financial management and future financial planning. These findings are supported by the claims of Xiao and Porto (2017), who assert that financial behavior is a practical reflection of financial literacy and is strongly linked to financial well-being and the quality of decision-making. Therefore, the high average score observed in this study suggests that the government employees in </w:t>
      </w:r>
      <w:proofErr w:type="spellStart"/>
      <w:r w:rsidRPr="007A36B7">
        <w:rPr>
          <w:rFonts w:ascii="Arial" w:hAnsi="Arial" w:cs="Arial"/>
          <w:sz w:val="20"/>
          <w:szCs w:val="20"/>
        </w:rPr>
        <w:t>Cateel</w:t>
      </w:r>
      <w:proofErr w:type="spellEnd"/>
      <w:r w:rsidRPr="007A36B7">
        <w:rPr>
          <w:rFonts w:ascii="Arial" w:hAnsi="Arial" w:cs="Arial"/>
          <w:sz w:val="20"/>
          <w:szCs w:val="20"/>
        </w:rPr>
        <w:t xml:space="preserve"> have developed essential financial skills and behaviors that contribute to their financial security and retirement preparedness.</w:t>
      </w:r>
    </w:p>
    <w:p w14:paraId="5E72DACF" w14:textId="77777777" w:rsidR="007A36B7" w:rsidRDefault="007A36B7" w:rsidP="007C2C1D">
      <w:pPr>
        <w:shd w:val="clear" w:color="auto" w:fill="FFFFFF" w:themeFill="background1"/>
        <w:spacing w:after="0" w:line="240" w:lineRule="auto"/>
        <w:jc w:val="both"/>
        <w:rPr>
          <w:rFonts w:ascii="Arial" w:hAnsi="Arial" w:cs="Arial"/>
        </w:rPr>
      </w:pPr>
    </w:p>
    <w:p w14:paraId="7E449BC9" w14:textId="20C70DA5" w:rsidR="007A36B7" w:rsidRDefault="007A36B7" w:rsidP="00433C52">
      <w:pPr>
        <w:spacing w:after="0" w:line="240" w:lineRule="auto"/>
        <w:ind w:firstLine="720"/>
        <w:jc w:val="both"/>
        <w:rPr>
          <w:rFonts w:ascii="Arial" w:eastAsia="Times New Roman" w:hAnsi="Arial" w:cs="Arial"/>
          <w:sz w:val="20"/>
          <w:szCs w:val="20"/>
        </w:rPr>
      </w:pPr>
      <w:r w:rsidRPr="007A36B7">
        <w:rPr>
          <w:rFonts w:ascii="Arial" w:eastAsia="Times New Roman" w:hAnsi="Arial" w:cs="Arial"/>
          <w:sz w:val="20"/>
          <w:szCs w:val="20"/>
        </w:rPr>
        <w:t xml:space="preserve">Table </w:t>
      </w:r>
      <w:r w:rsidR="001B7571">
        <w:rPr>
          <w:rFonts w:ascii="Arial" w:eastAsia="Times New Roman" w:hAnsi="Arial" w:cs="Arial"/>
          <w:sz w:val="20"/>
          <w:szCs w:val="20"/>
        </w:rPr>
        <w:t>3</w:t>
      </w:r>
      <w:r w:rsidRPr="007A36B7">
        <w:rPr>
          <w:rFonts w:ascii="Arial" w:eastAsia="Times New Roman" w:hAnsi="Arial" w:cs="Arial"/>
          <w:sz w:val="20"/>
          <w:szCs w:val="20"/>
        </w:rPr>
        <w:t xml:space="preserve"> shows that respondents exhibit a high level of financial self-efficacy (x̄ = 3.95, s = 0.40). The highest aspect was the ability to provide for emergency expenses (4.19, s = 0.76), reflecting confidence in managing financial emergencies. The lowest aspect was the capability to invest savings effectively to reach financial objectives (3.88, s = 0.53), which still indicates a high level of confidence. These results suggest that government employees in </w:t>
      </w:r>
      <w:proofErr w:type="spellStart"/>
      <w:r w:rsidRPr="007A36B7">
        <w:rPr>
          <w:rFonts w:ascii="Arial" w:eastAsia="Times New Roman" w:hAnsi="Arial" w:cs="Arial"/>
          <w:sz w:val="20"/>
          <w:szCs w:val="20"/>
        </w:rPr>
        <w:lastRenderedPageBreak/>
        <w:t>Cateel</w:t>
      </w:r>
      <w:proofErr w:type="spellEnd"/>
      <w:r w:rsidRPr="007A36B7">
        <w:rPr>
          <w:rFonts w:ascii="Arial" w:eastAsia="Times New Roman" w:hAnsi="Arial" w:cs="Arial"/>
          <w:sz w:val="20"/>
          <w:szCs w:val="20"/>
        </w:rPr>
        <w:t xml:space="preserve"> generally feel confident in their financial management skills and decision-making. The consistently high scores across all indicators suggest that the respondents not only understand financial principles but also feel empowered to act.</w:t>
      </w:r>
    </w:p>
    <w:p w14:paraId="41F8CF3C" w14:textId="77777777" w:rsidR="007A36B7" w:rsidRPr="007A36B7" w:rsidRDefault="007A36B7" w:rsidP="00433C52">
      <w:pPr>
        <w:spacing w:after="0" w:line="240" w:lineRule="auto"/>
        <w:ind w:firstLine="720"/>
        <w:jc w:val="both"/>
        <w:rPr>
          <w:rFonts w:ascii="Arial" w:eastAsia="Times New Roman" w:hAnsi="Arial" w:cs="Arial"/>
          <w:sz w:val="20"/>
          <w:szCs w:val="20"/>
        </w:rPr>
      </w:pPr>
    </w:p>
    <w:p w14:paraId="29197CD6" w14:textId="5DFB9928" w:rsidR="007A36B7" w:rsidRPr="007A36B7" w:rsidRDefault="007A36B7" w:rsidP="00433C52">
      <w:pPr>
        <w:spacing w:after="0" w:line="240" w:lineRule="auto"/>
        <w:jc w:val="both"/>
        <w:rPr>
          <w:rFonts w:ascii="Arial" w:hAnsi="Arial" w:cs="Arial"/>
          <w:color w:val="000000" w:themeColor="text1"/>
          <w:sz w:val="20"/>
          <w:szCs w:val="20"/>
        </w:rPr>
      </w:pPr>
      <w:r w:rsidRPr="007A36B7">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3</w:t>
      </w:r>
      <w:r w:rsidRPr="007A36B7">
        <w:rPr>
          <w:rFonts w:ascii="Arial" w:hAnsi="Arial" w:cs="Arial"/>
          <w:color w:val="000000" w:themeColor="text1"/>
          <w:sz w:val="20"/>
          <w:szCs w:val="20"/>
          <w:lang w:val="en-US"/>
        </w:rPr>
        <w:t>. Level of financial self-efficacy</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895"/>
        <w:gridCol w:w="900"/>
        <w:gridCol w:w="1260"/>
        <w:gridCol w:w="1440"/>
      </w:tblGrid>
      <w:tr w:rsidR="007A36B7" w:rsidRPr="007A36B7" w14:paraId="5A14FFBE" w14:textId="77777777" w:rsidTr="00CF7BA2">
        <w:tc>
          <w:tcPr>
            <w:tcW w:w="695" w:type="dxa"/>
            <w:tcBorders>
              <w:tl2br w:val="nil"/>
              <w:tr2bl w:val="nil"/>
            </w:tcBorders>
            <w:vAlign w:val="center"/>
          </w:tcPr>
          <w:p w14:paraId="51D6D94F" w14:textId="77777777" w:rsidR="007A36B7" w:rsidRPr="007A36B7" w:rsidRDefault="007A36B7" w:rsidP="00433C52">
            <w:pPr>
              <w:jc w:val="center"/>
              <w:rPr>
                <w:rFonts w:ascii="Arial" w:hAnsi="Arial" w:cs="Arial"/>
                <w:color w:val="000000" w:themeColor="text1"/>
              </w:rPr>
            </w:pPr>
            <w:r w:rsidRPr="007A36B7">
              <w:rPr>
                <w:rFonts w:ascii="Arial" w:hAnsi="Arial" w:cs="Arial"/>
                <w:color w:val="000000" w:themeColor="text1"/>
              </w:rPr>
              <w:t>No.</w:t>
            </w:r>
          </w:p>
        </w:tc>
        <w:tc>
          <w:tcPr>
            <w:tcW w:w="3895" w:type="dxa"/>
            <w:tcBorders>
              <w:tl2br w:val="nil"/>
              <w:tr2bl w:val="nil"/>
            </w:tcBorders>
            <w:vAlign w:val="center"/>
          </w:tcPr>
          <w:p w14:paraId="3A5B950D" w14:textId="77777777" w:rsidR="007A36B7" w:rsidRPr="007A36B7" w:rsidRDefault="007A36B7" w:rsidP="00433C52">
            <w:pPr>
              <w:jc w:val="center"/>
              <w:rPr>
                <w:rFonts w:ascii="Arial" w:hAnsi="Arial" w:cs="Arial"/>
                <w:color w:val="000000" w:themeColor="text1"/>
              </w:rPr>
            </w:pPr>
            <w:r w:rsidRPr="007A36B7">
              <w:rPr>
                <w:rFonts w:ascii="Arial" w:hAnsi="Arial" w:cs="Arial"/>
                <w:color w:val="000000" w:themeColor="text1"/>
              </w:rPr>
              <w:t>Description</w:t>
            </w:r>
          </w:p>
        </w:tc>
        <w:tc>
          <w:tcPr>
            <w:tcW w:w="900" w:type="dxa"/>
            <w:tcBorders>
              <w:tl2br w:val="nil"/>
              <w:tr2bl w:val="nil"/>
            </w:tcBorders>
            <w:vAlign w:val="center"/>
          </w:tcPr>
          <w:p w14:paraId="6671D608" w14:textId="77777777" w:rsidR="007A36B7" w:rsidRPr="007A36B7" w:rsidRDefault="007A36B7" w:rsidP="00433C52">
            <w:pPr>
              <w:jc w:val="center"/>
              <w:rPr>
                <w:rFonts w:ascii="Arial" w:hAnsi="Arial" w:cs="Arial"/>
                <w:color w:val="000000" w:themeColor="text1"/>
              </w:rPr>
            </w:pPr>
            <w:r w:rsidRPr="007A36B7">
              <w:rPr>
                <w:rFonts w:ascii="Arial" w:eastAsia="Times New Roman" w:hAnsi="Arial" w:cs="Arial"/>
                <w:color w:val="000000" w:themeColor="text1"/>
                <w:lang w:eastAsia="en-PH"/>
              </w:rPr>
              <w:t>Mean</w:t>
            </w:r>
          </w:p>
        </w:tc>
        <w:tc>
          <w:tcPr>
            <w:tcW w:w="1260" w:type="dxa"/>
            <w:tcBorders>
              <w:tl2br w:val="nil"/>
              <w:tr2bl w:val="nil"/>
            </w:tcBorders>
            <w:vAlign w:val="center"/>
          </w:tcPr>
          <w:p w14:paraId="382CE798" w14:textId="77777777" w:rsidR="007A36B7" w:rsidRPr="007A36B7" w:rsidRDefault="007A36B7" w:rsidP="00433C52">
            <w:pPr>
              <w:jc w:val="center"/>
              <w:rPr>
                <w:rFonts w:ascii="Arial" w:hAnsi="Arial" w:cs="Arial"/>
                <w:color w:val="000000" w:themeColor="text1"/>
              </w:rPr>
            </w:pPr>
            <w:r w:rsidRPr="007A36B7">
              <w:rPr>
                <w:rFonts w:ascii="Arial" w:eastAsia="Times New Roman" w:hAnsi="Arial" w:cs="Arial"/>
                <w:color w:val="000000" w:themeColor="text1"/>
                <w:lang w:eastAsia="en-PH"/>
              </w:rPr>
              <w:t>Std. Deviation</w:t>
            </w:r>
          </w:p>
        </w:tc>
        <w:tc>
          <w:tcPr>
            <w:tcW w:w="1440" w:type="dxa"/>
            <w:tcBorders>
              <w:tl2br w:val="nil"/>
              <w:tr2bl w:val="nil"/>
            </w:tcBorders>
            <w:vAlign w:val="center"/>
          </w:tcPr>
          <w:p w14:paraId="2DBD8145" w14:textId="77777777" w:rsidR="007A36B7" w:rsidRPr="007A36B7" w:rsidRDefault="007A36B7" w:rsidP="00433C52">
            <w:pPr>
              <w:jc w:val="center"/>
              <w:rPr>
                <w:rFonts w:ascii="Arial" w:hAnsi="Arial" w:cs="Arial"/>
                <w:color w:val="000000" w:themeColor="text1"/>
              </w:rPr>
            </w:pPr>
            <w:r w:rsidRPr="007A36B7">
              <w:rPr>
                <w:rFonts w:ascii="Arial" w:eastAsia="Times New Roman" w:hAnsi="Arial" w:cs="Arial"/>
                <w:color w:val="000000" w:themeColor="text1"/>
                <w:lang w:eastAsia="en-PH"/>
              </w:rPr>
              <w:t>Interpretation</w:t>
            </w:r>
          </w:p>
        </w:tc>
      </w:tr>
      <w:tr w:rsidR="007A36B7" w:rsidRPr="007A36B7" w14:paraId="4E69C673" w14:textId="77777777" w:rsidTr="00CF7BA2">
        <w:trPr>
          <w:trHeight w:val="305"/>
        </w:trPr>
        <w:tc>
          <w:tcPr>
            <w:tcW w:w="695" w:type="dxa"/>
            <w:tcBorders>
              <w:tl2br w:val="nil"/>
              <w:tr2bl w:val="nil"/>
            </w:tcBorders>
          </w:tcPr>
          <w:p w14:paraId="72A40765" w14:textId="77777777" w:rsidR="007A36B7" w:rsidRPr="007A36B7" w:rsidRDefault="007A36B7" w:rsidP="007A36B7">
            <w:pPr>
              <w:jc w:val="center"/>
              <w:rPr>
                <w:rFonts w:ascii="Arial" w:hAnsi="Arial" w:cs="Arial"/>
                <w:color w:val="000000" w:themeColor="text1"/>
              </w:rPr>
            </w:pPr>
            <w:r w:rsidRPr="007A36B7">
              <w:rPr>
                <w:rFonts w:ascii="Arial" w:hAnsi="Arial" w:cs="Arial"/>
                <w:color w:val="000000" w:themeColor="text1"/>
              </w:rPr>
              <w:t>1</w:t>
            </w:r>
          </w:p>
        </w:tc>
        <w:tc>
          <w:tcPr>
            <w:tcW w:w="3895" w:type="dxa"/>
            <w:tcBorders>
              <w:tl2br w:val="nil"/>
              <w:tr2bl w:val="nil"/>
            </w:tcBorders>
          </w:tcPr>
          <w:p w14:paraId="19BC92B3" w14:textId="77777777" w:rsidR="007A36B7" w:rsidRPr="007A36B7" w:rsidRDefault="007A36B7" w:rsidP="007A36B7">
            <w:pPr>
              <w:rPr>
                <w:rFonts w:ascii="Arial" w:hAnsi="Arial" w:cs="Arial"/>
                <w:color w:val="000000" w:themeColor="text1"/>
              </w:rPr>
            </w:pPr>
            <w:r w:rsidRPr="007A36B7">
              <w:rPr>
                <w:rFonts w:ascii="Arial" w:hAnsi="Arial" w:cs="Arial"/>
                <w:color w:val="000000" w:themeColor="text1"/>
              </w:rPr>
              <w:t>Capable of creating a strategy to reach financial objectives</w:t>
            </w:r>
          </w:p>
        </w:tc>
        <w:tc>
          <w:tcPr>
            <w:tcW w:w="900" w:type="dxa"/>
            <w:tcBorders>
              <w:tl2br w:val="nil"/>
              <w:tr2bl w:val="nil"/>
            </w:tcBorders>
            <w:vAlign w:val="center"/>
          </w:tcPr>
          <w:p w14:paraId="72548ACE"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3.93</w:t>
            </w:r>
          </w:p>
        </w:tc>
        <w:tc>
          <w:tcPr>
            <w:tcW w:w="1260" w:type="dxa"/>
            <w:tcBorders>
              <w:tl2br w:val="nil"/>
              <w:tr2bl w:val="nil"/>
            </w:tcBorders>
            <w:vAlign w:val="center"/>
          </w:tcPr>
          <w:p w14:paraId="305E005D"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0.48</w:t>
            </w:r>
          </w:p>
        </w:tc>
        <w:tc>
          <w:tcPr>
            <w:tcW w:w="1440" w:type="dxa"/>
            <w:tcBorders>
              <w:tl2br w:val="nil"/>
              <w:tr2bl w:val="nil"/>
            </w:tcBorders>
            <w:vAlign w:val="center"/>
          </w:tcPr>
          <w:p w14:paraId="2140CF9F"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7764E11E" w14:textId="77777777" w:rsidTr="00CF7BA2">
        <w:tc>
          <w:tcPr>
            <w:tcW w:w="695" w:type="dxa"/>
            <w:tcBorders>
              <w:tl2br w:val="nil"/>
              <w:tr2bl w:val="nil"/>
            </w:tcBorders>
          </w:tcPr>
          <w:p w14:paraId="4AEF12C0" w14:textId="77777777" w:rsidR="007A36B7" w:rsidRPr="007A36B7" w:rsidRDefault="007A36B7" w:rsidP="007A36B7">
            <w:pPr>
              <w:jc w:val="center"/>
              <w:rPr>
                <w:rFonts w:ascii="Arial" w:hAnsi="Arial" w:cs="Arial"/>
                <w:color w:val="000000" w:themeColor="text1"/>
              </w:rPr>
            </w:pPr>
            <w:r w:rsidRPr="007A36B7">
              <w:rPr>
                <w:rFonts w:ascii="Arial" w:hAnsi="Arial" w:cs="Arial"/>
                <w:color w:val="000000" w:themeColor="text1"/>
              </w:rPr>
              <w:t>2</w:t>
            </w:r>
          </w:p>
        </w:tc>
        <w:tc>
          <w:tcPr>
            <w:tcW w:w="3895" w:type="dxa"/>
            <w:tcBorders>
              <w:tl2br w:val="nil"/>
              <w:tr2bl w:val="nil"/>
            </w:tcBorders>
          </w:tcPr>
          <w:p w14:paraId="50AF3BF2" w14:textId="77777777" w:rsidR="007A36B7" w:rsidRPr="007A36B7" w:rsidRDefault="007A36B7" w:rsidP="007A36B7">
            <w:pPr>
              <w:rPr>
                <w:rFonts w:ascii="Arial" w:hAnsi="Arial" w:cs="Arial"/>
                <w:color w:val="000000" w:themeColor="text1"/>
              </w:rPr>
            </w:pPr>
            <w:r w:rsidRPr="007A36B7">
              <w:rPr>
                <w:rFonts w:ascii="Arial" w:hAnsi="Arial" w:cs="Arial"/>
                <w:color w:val="000000" w:themeColor="text1"/>
              </w:rPr>
              <w:t>Able to locate resources that can assist in resolving financial issues</w:t>
            </w:r>
          </w:p>
        </w:tc>
        <w:tc>
          <w:tcPr>
            <w:tcW w:w="900" w:type="dxa"/>
            <w:tcBorders>
              <w:tl2br w:val="nil"/>
              <w:tr2bl w:val="nil"/>
            </w:tcBorders>
            <w:vAlign w:val="center"/>
          </w:tcPr>
          <w:p w14:paraId="6D9B97D7"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3.79</w:t>
            </w:r>
          </w:p>
        </w:tc>
        <w:tc>
          <w:tcPr>
            <w:tcW w:w="1260" w:type="dxa"/>
            <w:tcBorders>
              <w:tl2br w:val="nil"/>
              <w:tr2bl w:val="nil"/>
            </w:tcBorders>
            <w:vAlign w:val="center"/>
          </w:tcPr>
          <w:p w14:paraId="051D06A6"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0.50</w:t>
            </w:r>
          </w:p>
        </w:tc>
        <w:tc>
          <w:tcPr>
            <w:tcW w:w="1440" w:type="dxa"/>
            <w:tcBorders>
              <w:tl2br w:val="nil"/>
              <w:tr2bl w:val="nil"/>
            </w:tcBorders>
            <w:vAlign w:val="center"/>
          </w:tcPr>
          <w:p w14:paraId="4594C561"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7FCE5EB0" w14:textId="77777777" w:rsidTr="00CF7BA2">
        <w:tc>
          <w:tcPr>
            <w:tcW w:w="695" w:type="dxa"/>
            <w:tcBorders>
              <w:tl2br w:val="nil"/>
              <w:tr2bl w:val="nil"/>
            </w:tcBorders>
          </w:tcPr>
          <w:p w14:paraId="741D35A7" w14:textId="77777777" w:rsidR="007A36B7" w:rsidRPr="007A36B7" w:rsidRDefault="007A36B7" w:rsidP="007A36B7">
            <w:pPr>
              <w:jc w:val="center"/>
              <w:rPr>
                <w:rFonts w:ascii="Arial" w:hAnsi="Arial" w:cs="Arial"/>
                <w:color w:val="000000" w:themeColor="text1"/>
              </w:rPr>
            </w:pPr>
            <w:r w:rsidRPr="007A36B7">
              <w:rPr>
                <w:rFonts w:ascii="Arial" w:hAnsi="Arial" w:cs="Arial"/>
                <w:color w:val="000000" w:themeColor="text1"/>
              </w:rPr>
              <w:t>3</w:t>
            </w:r>
          </w:p>
        </w:tc>
        <w:tc>
          <w:tcPr>
            <w:tcW w:w="3895" w:type="dxa"/>
            <w:tcBorders>
              <w:tl2br w:val="nil"/>
              <w:tr2bl w:val="nil"/>
            </w:tcBorders>
          </w:tcPr>
          <w:p w14:paraId="1FA04E51" w14:textId="77777777" w:rsidR="007A36B7" w:rsidRPr="007A36B7" w:rsidRDefault="007A36B7" w:rsidP="007A36B7">
            <w:pPr>
              <w:rPr>
                <w:rFonts w:ascii="Arial" w:hAnsi="Arial" w:cs="Arial"/>
                <w:color w:val="000000" w:themeColor="text1"/>
              </w:rPr>
            </w:pPr>
            <w:r w:rsidRPr="007A36B7">
              <w:rPr>
                <w:rFonts w:ascii="Arial" w:hAnsi="Arial" w:cs="Arial"/>
                <w:color w:val="000000" w:themeColor="text1"/>
              </w:rPr>
              <w:t>Capable of investing savings effectively to reach financial objectives</w:t>
            </w:r>
          </w:p>
        </w:tc>
        <w:tc>
          <w:tcPr>
            <w:tcW w:w="900" w:type="dxa"/>
            <w:tcBorders>
              <w:tl2br w:val="nil"/>
              <w:tr2bl w:val="nil"/>
            </w:tcBorders>
            <w:vAlign w:val="center"/>
          </w:tcPr>
          <w:p w14:paraId="63E93CA2"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3.88</w:t>
            </w:r>
          </w:p>
        </w:tc>
        <w:tc>
          <w:tcPr>
            <w:tcW w:w="1260" w:type="dxa"/>
            <w:tcBorders>
              <w:tl2br w:val="nil"/>
              <w:tr2bl w:val="nil"/>
            </w:tcBorders>
            <w:vAlign w:val="center"/>
          </w:tcPr>
          <w:p w14:paraId="05C8106F"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0.53</w:t>
            </w:r>
          </w:p>
        </w:tc>
        <w:tc>
          <w:tcPr>
            <w:tcW w:w="1440" w:type="dxa"/>
            <w:tcBorders>
              <w:tl2br w:val="nil"/>
              <w:tr2bl w:val="nil"/>
            </w:tcBorders>
            <w:vAlign w:val="center"/>
          </w:tcPr>
          <w:p w14:paraId="672B3648"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64BDFCD2" w14:textId="77777777" w:rsidTr="00CF7BA2">
        <w:tc>
          <w:tcPr>
            <w:tcW w:w="695" w:type="dxa"/>
            <w:tcBorders>
              <w:tl2br w:val="nil"/>
              <w:tr2bl w:val="nil"/>
            </w:tcBorders>
          </w:tcPr>
          <w:p w14:paraId="2B1393C7" w14:textId="77777777" w:rsidR="007A36B7" w:rsidRPr="007A36B7" w:rsidRDefault="007A36B7" w:rsidP="007A36B7">
            <w:pPr>
              <w:jc w:val="center"/>
              <w:rPr>
                <w:rFonts w:ascii="Arial" w:hAnsi="Arial" w:cs="Arial"/>
                <w:color w:val="000000" w:themeColor="text1"/>
              </w:rPr>
            </w:pPr>
            <w:r w:rsidRPr="007A36B7">
              <w:rPr>
                <w:rFonts w:ascii="Arial" w:hAnsi="Arial" w:cs="Arial"/>
                <w:color w:val="000000" w:themeColor="text1"/>
              </w:rPr>
              <w:t>4</w:t>
            </w:r>
          </w:p>
        </w:tc>
        <w:tc>
          <w:tcPr>
            <w:tcW w:w="3895" w:type="dxa"/>
            <w:tcBorders>
              <w:tl2br w:val="nil"/>
              <w:tr2bl w:val="nil"/>
            </w:tcBorders>
          </w:tcPr>
          <w:p w14:paraId="29190D4A" w14:textId="77777777" w:rsidR="007A36B7" w:rsidRPr="007A36B7" w:rsidRDefault="007A36B7" w:rsidP="007A36B7">
            <w:pPr>
              <w:rPr>
                <w:rFonts w:ascii="Arial" w:hAnsi="Arial" w:cs="Arial"/>
                <w:color w:val="000000" w:themeColor="text1"/>
              </w:rPr>
            </w:pPr>
            <w:r w:rsidRPr="007A36B7">
              <w:rPr>
                <w:rFonts w:ascii="Arial" w:hAnsi="Arial" w:cs="Arial"/>
                <w:color w:val="000000" w:themeColor="text1"/>
              </w:rPr>
              <w:t>Able to provide for emergency expenses</w:t>
            </w:r>
          </w:p>
        </w:tc>
        <w:tc>
          <w:tcPr>
            <w:tcW w:w="900" w:type="dxa"/>
            <w:tcBorders>
              <w:tl2br w:val="nil"/>
              <w:tr2bl w:val="nil"/>
            </w:tcBorders>
            <w:vAlign w:val="center"/>
          </w:tcPr>
          <w:p w14:paraId="411F9B1C"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4.19</w:t>
            </w:r>
          </w:p>
        </w:tc>
        <w:tc>
          <w:tcPr>
            <w:tcW w:w="1260" w:type="dxa"/>
            <w:tcBorders>
              <w:tl2br w:val="nil"/>
              <w:tr2bl w:val="nil"/>
            </w:tcBorders>
            <w:vAlign w:val="center"/>
          </w:tcPr>
          <w:p w14:paraId="748E6918"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0.76</w:t>
            </w:r>
          </w:p>
        </w:tc>
        <w:tc>
          <w:tcPr>
            <w:tcW w:w="1440" w:type="dxa"/>
            <w:tcBorders>
              <w:tl2br w:val="nil"/>
              <w:tr2bl w:val="nil"/>
            </w:tcBorders>
            <w:vAlign w:val="center"/>
          </w:tcPr>
          <w:p w14:paraId="1662BB74" w14:textId="77777777" w:rsidR="007A36B7" w:rsidRPr="007A36B7" w:rsidRDefault="007A36B7" w:rsidP="007A36B7">
            <w:pPr>
              <w:jc w:val="center"/>
              <w:rPr>
                <w:rFonts w:ascii="Arial" w:hAnsi="Arial" w:cs="Arial"/>
                <w:color w:val="000000" w:themeColor="text1"/>
              </w:rPr>
            </w:pPr>
            <w:r w:rsidRPr="007A36B7">
              <w:rPr>
                <w:rFonts w:ascii="Arial" w:eastAsia="Times New Roman" w:hAnsi="Arial" w:cs="Arial"/>
                <w:color w:val="000000" w:themeColor="text1"/>
                <w:lang w:eastAsia="en-PH"/>
              </w:rPr>
              <w:t>High</w:t>
            </w:r>
          </w:p>
        </w:tc>
      </w:tr>
      <w:tr w:rsidR="007A36B7" w:rsidRPr="007A36B7" w14:paraId="33C9CB9D" w14:textId="77777777" w:rsidTr="00CF7BA2">
        <w:tc>
          <w:tcPr>
            <w:tcW w:w="695" w:type="dxa"/>
            <w:tcBorders>
              <w:tl2br w:val="nil"/>
              <w:tr2bl w:val="nil"/>
            </w:tcBorders>
          </w:tcPr>
          <w:p w14:paraId="67990085" w14:textId="77777777" w:rsidR="007A36B7" w:rsidRPr="007A36B7" w:rsidRDefault="007A36B7" w:rsidP="007A36B7">
            <w:pPr>
              <w:rPr>
                <w:rFonts w:ascii="Arial" w:hAnsi="Arial" w:cs="Arial"/>
                <w:color w:val="000000" w:themeColor="text1"/>
              </w:rPr>
            </w:pPr>
          </w:p>
        </w:tc>
        <w:tc>
          <w:tcPr>
            <w:tcW w:w="3895" w:type="dxa"/>
            <w:tcBorders>
              <w:tl2br w:val="nil"/>
              <w:tr2bl w:val="nil"/>
            </w:tcBorders>
          </w:tcPr>
          <w:p w14:paraId="73B5CE4C" w14:textId="77777777" w:rsidR="007A36B7" w:rsidRPr="007A36B7" w:rsidRDefault="007A36B7" w:rsidP="007A36B7">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Average</w:t>
            </w:r>
          </w:p>
        </w:tc>
        <w:tc>
          <w:tcPr>
            <w:tcW w:w="900" w:type="dxa"/>
            <w:tcBorders>
              <w:tl2br w:val="nil"/>
              <w:tr2bl w:val="nil"/>
            </w:tcBorders>
            <w:vAlign w:val="center"/>
          </w:tcPr>
          <w:p w14:paraId="20B82D9A" w14:textId="77777777" w:rsidR="007A36B7" w:rsidRPr="007A36B7" w:rsidRDefault="007A36B7" w:rsidP="007A36B7">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3.95</w:t>
            </w:r>
          </w:p>
        </w:tc>
        <w:tc>
          <w:tcPr>
            <w:tcW w:w="1260" w:type="dxa"/>
            <w:tcBorders>
              <w:tl2br w:val="nil"/>
              <w:tr2bl w:val="nil"/>
            </w:tcBorders>
            <w:vAlign w:val="center"/>
          </w:tcPr>
          <w:p w14:paraId="54BA2750" w14:textId="77777777" w:rsidR="007A36B7" w:rsidRPr="007A36B7" w:rsidRDefault="007A36B7" w:rsidP="007A36B7">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0.40</w:t>
            </w:r>
          </w:p>
        </w:tc>
        <w:tc>
          <w:tcPr>
            <w:tcW w:w="1440" w:type="dxa"/>
            <w:tcBorders>
              <w:tl2br w:val="nil"/>
              <w:tr2bl w:val="nil"/>
            </w:tcBorders>
            <w:vAlign w:val="center"/>
          </w:tcPr>
          <w:p w14:paraId="04831503" w14:textId="77777777" w:rsidR="007A36B7" w:rsidRPr="007A36B7" w:rsidRDefault="007A36B7" w:rsidP="007A36B7">
            <w:pPr>
              <w:jc w:val="center"/>
              <w:rPr>
                <w:rFonts w:ascii="Arial" w:eastAsia="Times New Roman" w:hAnsi="Arial" w:cs="Arial"/>
                <w:color w:val="000000" w:themeColor="text1"/>
                <w:lang w:eastAsia="en-PH"/>
              </w:rPr>
            </w:pPr>
            <w:r w:rsidRPr="007A36B7">
              <w:rPr>
                <w:rFonts w:ascii="Arial" w:eastAsia="Times New Roman" w:hAnsi="Arial" w:cs="Arial"/>
                <w:color w:val="000000" w:themeColor="text1"/>
                <w:lang w:eastAsia="en-PH"/>
              </w:rPr>
              <w:t>High</w:t>
            </w:r>
          </w:p>
        </w:tc>
      </w:tr>
    </w:tbl>
    <w:p w14:paraId="5F95105D" w14:textId="77777777" w:rsidR="007A36B7" w:rsidRPr="007A36B7" w:rsidRDefault="007A36B7" w:rsidP="007A36B7">
      <w:pPr>
        <w:spacing w:after="0" w:line="240" w:lineRule="auto"/>
        <w:jc w:val="both"/>
        <w:rPr>
          <w:rFonts w:ascii="Arial" w:eastAsia="Times New Roman" w:hAnsi="Arial" w:cs="Arial"/>
          <w:sz w:val="20"/>
          <w:szCs w:val="20"/>
        </w:rPr>
      </w:pPr>
    </w:p>
    <w:p w14:paraId="74A1A0D0" w14:textId="77777777" w:rsidR="007A36B7" w:rsidRPr="007A36B7" w:rsidRDefault="007A36B7" w:rsidP="007A36B7">
      <w:pPr>
        <w:spacing w:after="0" w:line="240" w:lineRule="auto"/>
        <w:ind w:firstLine="720"/>
        <w:jc w:val="both"/>
        <w:rPr>
          <w:rFonts w:ascii="Arial" w:eastAsia="Times New Roman" w:hAnsi="Arial" w:cs="Arial"/>
          <w:sz w:val="20"/>
          <w:szCs w:val="20"/>
        </w:rPr>
      </w:pPr>
      <w:r w:rsidRPr="007A36B7">
        <w:rPr>
          <w:rFonts w:ascii="Arial" w:eastAsia="Times New Roman" w:hAnsi="Arial" w:cs="Arial"/>
          <w:sz w:val="20"/>
          <w:szCs w:val="20"/>
        </w:rPr>
        <w:t xml:space="preserve">This is supported by </w:t>
      </w:r>
      <w:proofErr w:type="spellStart"/>
      <w:r w:rsidRPr="007A36B7">
        <w:rPr>
          <w:rFonts w:ascii="Arial" w:eastAsia="Times New Roman" w:hAnsi="Arial" w:cs="Arial"/>
          <w:sz w:val="20"/>
          <w:szCs w:val="20"/>
        </w:rPr>
        <w:t>Asebedo</w:t>
      </w:r>
      <w:proofErr w:type="spellEnd"/>
      <w:r w:rsidRPr="007A36B7">
        <w:rPr>
          <w:rFonts w:ascii="Arial" w:eastAsia="Times New Roman" w:hAnsi="Arial" w:cs="Arial"/>
          <w:sz w:val="20"/>
          <w:szCs w:val="20"/>
        </w:rPr>
        <w:t xml:space="preserve"> and Seay (2015), who found that individuals with high financial self-efficacy are more likely to engage in proactive financial behaviors, such as budgeting, saving, and making informed decisions, which contribute to financial well-being and preparedness.</w:t>
      </w:r>
    </w:p>
    <w:p w14:paraId="77A35461" w14:textId="090811F0" w:rsidR="007A36B7" w:rsidRDefault="007A36B7" w:rsidP="007A36B7">
      <w:pPr>
        <w:spacing w:after="0" w:line="240" w:lineRule="auto"/>
        <w:ind w:firstLine="720"/>
        <w:jc w:val="both"/>
        <w:rPr>
          <w:rFonts w:ascii="Arial" w:eastAsia="Times New Roman" w:hAnsi="Arial" w:cs="Arial"/>
          <w:sz w:val="20"/>
          <w:szCs w:val="20"/>
        </w:rPr>
      </w:pPr>
      <w:r w:rsidRPr="007A36B7">
        <w:rPr>
          <w:rFonts w:ascii="Arial" w:eastAsia="Times New Roman" w:hAnsi="Arial" w:cs="Arial"/>
          <w:sz w:val="20"/>
          <w:szCs w:val="20"/>
        </w:rPr>
        <w:t xml:space="preserve"> Table </w:t>
      </w:r>
      <w:r w:rsidR="001B7571">
        <w:rPr>
          <w:rFonts w:ascii="Arial" w:eastAsia="Times New Roman" w:hAnsi="Arial" w:cs="Arial"/>
          <w:sz w:val="20"/>
          <w:szCs w:val="20"/>
        </w:rPr>
        <w:t>4</w:t>
      </w:r>
      <w:r w:rsidRPr="007A36B7">
        <w:rPr>
          <w:rFonts w:ascii="Arial" w:eastAsia="Times New Roman" w:hAnsi="Arial" w:cs="Arial"/>
          <w:sz w:val="20"/>
          <w:szCs w:val="20"/>
        </w:rPr>
        <w:t xml:space="preserve"> shows that the respondents had a high level of financial well-being (x̄ = 3.88, s = 0.39). The highest was the ability to allocate enough money to ensure future life security (x̄ = 3.93, s = 0.48), indicating that most respondents are financially preparing for the future. </w:t>
      </w:r>
    </w:p>
    <w:p w14:paraId="56C32CD8" w14:textId="77777777" w:rsidR="007A36B7" w:rsidRPr="007A36B7" w:rsidRDefault="007A36B7" w:rsidP="007A36B7">
      <w:pPr>
        <w:spacing w:after="0" w:line="240" w:lineRule="auto"/>
        <w:ind w:firstLine="720"/>
        <w:jc w:val="both"/>
        <w:rPr>
          <w:rFonts w:ascii="Arial" w:eastAsia="Times New Roman" w:hAnsi="Arial" w:cs="Arial"/>
          <w:sz w:val="20"/>
          <w:szCs w:val="20"/>
        </w:rPr>
      </w:pPr>
    </w:p>
    <w:p w14:paraId="76D953AB" w14:textId="0C47A601" w:rsidR="007A36B7" w:rsidRDefault="007A36B7" w:rsidP="007C2C1D">
      <w:pPr>
        <w:shd w:val="clear" w:color="auto" w:fill="FFFFFF" w:themeFill="background1"/>
        <w:spacing w:after="0" w:line="240" w:lineRule="auto"/>
        <w:jc w:val="both"/>
        <w:rPr>
          <w:rFonts w:ascii="Arial" w:hAnsi="Arial" w:cs="Arial"/>
        </w:rPr>
      </w:pPr>
      <w:r>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4</w:t>
      </w:r>
      <w:r>
        <w:rPr>
          <w:rFonts w:ascii="Arial" w:hAnsi="Arial" w:cs="Arial"/>
          <w:color w:val="000000" w:themeColor="text1"/>
          <w:sz w:val="20"/>
          <w:szCs w:val="20"/>
          <w:lang w:val="en-US"/>
        </w:rPr>
        <w:t>. Level of financial well-being</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535"/>
        <w:gridCol w:w="1260"/>
        <w:gridCol w:w="1260"/>
        <w:gridCol w:w="1440"/>
      </w:tblGrid>
      <w:tr w:rsidR="007A36B7" w:rsidRPr="000543AC" w14:paraId="7B1A156C" w14:textId="77777777" w:rsidTr="00CF7BA2">
        <w:trPr>
          <w:trHeight w:val="70"/>
        </w:trPr>
        <w:tc>
          <w:tcPr>
            <w:tcW w:w="695" w:type="dxa"/>
            <w:tcBorders>
              <w:tl2br w:val="nil"/>
              <w:tr2bl w:val="nil"/>
            </w:tcBorders>
          </w:tcPr>
          <w:p w14:paraId="07B80699" w14:textId="77777777" w:rsidR="007A36B7" w:rsidRPr="000543AC" w:rsidRDefault="007A36B7" w:rsidP="003A197C">
            <w:pPr>
              <w:jc w:val="center"/>
              <w:rPr>
                <w:rFonts w:ascii="Arial" w:hAnsi="Arial" w:cs="Arial"/>
                <w:color w:val="000000" w:themeColor="text1"/>
              </w:rPr>
            </w:pPr>
            <w:r w:rsidRPr="000543AC">
              <w:rPr>
                <w:rFonts w:ascii="Arial" w:hAnsi="Arial" w:cs="Arial"/>
                <w:color w:val="000000" w:themeColor="text1"/>
              </w:rPr>
              <w:t>No.</w:t>
            </w:r>
          </w:p>
        </w:tc>
        <w:tc>
          <w:tcPr>
            <w:tcW w:w="3535" w:type="dxa"/>
            <w:tcBorders>
              <w:tl2br w:val="nil"/>
              <w:tr2bl w:val="nil"/>
            </w:tcBorders>
          </w:tcPr>
          <w:p w14:paraId="39E1C910" w14:textId="77777777" w:rsidR="007A36B7" w:rsidRPr="000543AC" w:rsidRDefault="007A36B7" w:rsidP="003A197C">
            <w:pPr>
              <w:jc w:val="center"/>
              <w:rPr>
                <w:rFonts w:ascii="Arial" w:hAnsi="Arial" w:cs="Arial"/>
                <w:color w:val="000000" w:themeColor="text1"/>
              </w:rPr>
            </w:pPr>
            <w:r w:rsidRPr="000543AC">
              <w:rPr>
                <w:rFonts w:ascii="Arial" w:hAnsi="Arial" w:cs="Arial"/>
                <w:color w:val="000000" w:themeColor="text1"/>
              </w:rPr>
              <w:t>Description</w:t>
            </w:r>
          </w:p>
        </w:tc>
        <w:tc>
          <w:tcPr>
            <w:tcW w:w="1260" w:type="dxa"/>
            <w:tcBorders>
              <w:tl2br w:val="nil"/>
              <w:tr2bl w:val="nil"/>
            </w:tcBorders>
          </w:tcPr>
          <w:p w14:paraId="25EB4E78"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Mean</w:t>
            </w:r>
          </w:p>
        </w:tc>
        <w:tc>
          <w:tcPr>
            <w:tcW w:w="1260" w:type="dxa"/>
            <w:tcBorders>
              <w:tl2br w:val="nil"/>
              <w:tr2bl w:val="nil"/>
            </w:tcBorders>
          </w:tcPr>
          <w:p w14:paraId="4F2E1B66"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Std. Deviation</w:t>
            </w:r>
          </w:p>
        </w:tc>
        <w:tc>
          <w:tcPr>
            <w:tcW w:w="1440" w:type="dxa"/>
            <w:tcBorders>
              <w:tl2br w:val="nil"/>
              <w:tr2bl w:val="nil"/>
            </w:tcBorders>
          </w:tcPr>
          <w:p w14:paraId="36DDEEAC"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Interpretation</w:t>
            </w:r>
          </w:p>
        </w:tc>
      </w:tr>
      <w:tr w:rsidR="007A36B7" w:rsidRPr="000543AC" w14:paraId="68EA533C" w14:textId="77777777" w:rsidTr="00CF7BA2">
        <w:trPr>
          <w:trHeight w:val="143"/>
        </w:trPr>
        <w:tc>
          <w:tcPr>
            <w:tcW w:w="695" w:type="dxa"/>
            <w:tcBorders>
              <w:tl2br w:val="nil"/>
              <w:tr2bl w:val="nil"/>
            </w:tcBorders>
          </w:tcPr>
          <w:p w14:paraId="32B4C161" w14:textId="77777777" w:rsidR="007A36B7" w:rsidRPr="000543AC" w:rsidRDefault="007A36B7" w:rsidP="003A197C">
            <w:pPr>
              <w:jc w:val="center"/>
              <w:rPr>
                <w:rFonts w:ascii="Arial" w:hAnsi="Arial" w:cs="Arial"/>
                <w:color w:val="000000" w:themeColor="text1"/>
              </w:rPr>
            </w:pPr>
            <w:r w:rsidRPr="000543AC">
              <w:rPr>
                <w:rFonts w:ascii="Arial" w:hAnsi="Arial" w:cs="Arial"/>
                <w:color w:val="000000" w:themeColor="text1"/>
              </w:rPr>
              <w:t>1</w:t>
            </w:r>
          </w:p>
        </w:tc>
        <w:tc>
          <w:tcPr>
            <w:tcW w:w="3535" w:type="dxa"/>
            <w:tcBorders>
              <w:tl2br w:val="nil"/>
              <w:tr2bl w:val="nil"/>
            </w:tcBorders>
          </w:tcPr>
          <w:p w14:paraId="5B6B6481" w14:textId="77777777" w:rsidR="007A36B7" w:rsidRPr="000543AC" w:rsidRDefault="007A36B7" w:rsidP="003A197C">
            <w:pPr>
              <w:rPr>
                <w:rFonts w:ascii="Arial" w:hAnsi="Arial" w:cs="Arial"/>
                <w:color w:val="000000" w:themeColor="text1"/>
              </w:rPr>
            </w:pPr>
            <w:r w:rsidRPr="000543AC">
              <w:rPr>
                <w:rFonts w:ascii="Arial" w:hAnsi="Arial" w:cs="Arial"/>
                <w:color w:val="000000" w:themeColor="text1"/>
              </w:rPr>
              <w:t>Able to allocate enough money to ensure future life</w:t>
            </w:r>
          </w:p>
        </w:tc>
        <w:tc>
          <w:tcPr>
            <w:tcW w:w="1260" w:type="dxa"/>
            <w:tcBorders>
              <w:tl2br w:val="nil"/>
              <w:tr2bl w:val="nil"/>
            </w:tcBorders>
          </w:tcPr>
          <w:p w14:paraId="41FB8088"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3.93</w:t>
            </w:r>
          </w:p>
        </w:tc>
        <w:tc>
          <w:tcPr>
            <w:tcW w:w="1260" w:type="dxa"/>
            <w:tcBorders>
              <w:tl2br w:val="nil"/>
              <w:tr2bl w:val="nil"/>
            </w:tcBorders>
          </w:tcPr>
          <w:p w14:paraId="687EA8D0"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0.48</w:t>
            </w:r>
          </w:p>
        </w:tc>
        <w:tc>
          <w:tcPr>
            <w:tcW w:w="1440" w:type="dxa"/>
            <w:tcBorders>
              <w:tl2br w:val="nil"/>
              <w:tr2bl w:val="nil"/>
            </w:tcBorders>
          </w:tcPr>
          <w:p w14:paraId="5E1F115F"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7A36B7" w:rsidRPr="000543AC" w14:paraId="3AB98FF1" w14:textId="77777777" w:rsidTr="00CF7BA2">
        <w:trPr>
          <w:trHeight w:val="204"/>
        </w:trPr>
        <w:tc>
          <w:tcPr>
            <w:tcW w:w="695" w:type="dxa"/>
            <w:tcBorders>
              <w:tl2br w:val="nil"/>
              <w:tr2bl w:val="nil"/>
            </w:tcBorders>
          </w:tcPr>
          <w:p w14:paraId="008809F4" w14:textId="77777777" w:rsidR="007A36B7" w:rsidRPr="000543AC" w:rsidRDefault="007A36B7" w:rsidP="003A197C">
            <w:pPr>
              <w:jc w:val="center"/>
              <w:rPr>
                <w:rFonts w:ascii="Arial" w:hAnsi="Arial" w:cs="Arial"/>
                <w:color w:val="000000" w:themeColor="text1"/>
              </w:rPr>
            </w:pPr>
            <w:r w:rsidRPr="000543AC">
              <w:rPr>
                <w:rFonts w:ascii="Arial" w:hAnsi="Arial" w:cs="Arial"/>
                <w:color w:val="000000" w:themeColor="text1"/>
              </w:rPr>
              <w:t>2</w:t>
            </w:r>
          </w:p>
        </w:tc>
        <w:tc>
          <w:tcPr>
            <w:tcW w:w="3535" w:type="dxa"/>
            <w:tcBorders>
              <w:tl2br w:val="nil"/>
              <w:tr2bl w:val="nil"/>
            </w:tcBorders>
          </w:tcPr>
          <w:p w14:paraId="7DF2915B" w14:textId="77777777" w:rsidR="007A36B7" w:rsidRPr="000543AC" w:rsidRDefault="007A36B7" w:rsidP="003A197C">
            <w:pPr>
              <w:rPr>
                <w:rFonts w:ascii="Arial" w:hAnsi="Arial" w:cs="Arial"/>
                <w:color w:val="000000" w:themeColor="text1"/>
              </w:rPr>
            </w:pPr>
            <w:r w:rsidRPr="000543AC">
              <w:rPr>
                <w:rFonts w:ascii="Arial" w:hAnsi="Arial" w:cs="Arial"/>
                <w:color w:val="000000" w:themeColor="text1"/>
              </w:rPr>
              <w:t>Comfortable with the current financial situation</w:t>
            </w:r>
          </w:p>
        </w:tc>
        <w:tc>
          <w:tcPr>
            <w:tcW w:w="1260" w:type="dxa"/>
            <w:tcBorders>
              <w:tl2br w:val="nil"/>
              <w:tr2bl w:val="nil"/>
            </w:tcBorders>
          </w:tcPr>
          <w:p w14:paraId="5DBF4758"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3.90</w:t>
            </w:r>
          </w:p>
        </w:tc>
        <w:tc>
          <w:tcPr>
            <w:tcW w:w="1260" w:type="dxa"/>
            <w:tcBorders>
              <w:tl2br w:val="nil"/>
              <w:tr2bl w:val="nil"/>
            </w:tcBorders>
          </w:tcPr>
          <w:p w14:paraId="0E20E6F2"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0.60</w:t>
            </w:r>
          </w:p>
        </w:tc>
        <w:tc>
          <w:tcPr>
            <w:tcW w:w="1440" w:type="dxa"/>
            <w:tcBorders>
              <w:tl2br w:val="nil"/>
              <w:tr2bl w:val="nil"/>
            </w:tcBorders>
          </w:tcPr>
          <w:p w14:paraId="1F487B94"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7A36B7" w:rsidRPr="000543AC" w14:paraId="1C53CDE3" w14:textId="77777777" w:rsidTr="00CF7BA2">
        <w:trPr>
          <w:trHeight w:val="111"/>
        </w:trPr>
        <w:tc>
          <w:tcPr>
            <w:tcW w:w="695" w:type="dxa"/>
            <w:tcBorders>
              <w:tl2br w:val="nil"/>
              <w:tr2bl w:val="nil"/>
            </w:tcBorders>
          </w:tcPr>
          <w:p w14:paraId="7BD3ECB6" w14:textId="77777777" w:rsidR="007A36B7" w:rsidRPr="000543AC" w:rsidRDefault="007A36B7" w:rsidP="003A197C">
            <w:pPr>
              <w:jc w:val="center"/>
              <w:rPr>
                <w:rFonts w:ascii="Arial" w:hAnsi="Arial" w:cs="Arial"/>
                <w:color w:val="000000" w:themeColor="text1"/>
              </w:rPr>
            </w:pPr>
            <w:r w:rsidRPr="000543AC">
              <w:rPr>
                <w:rFonts w:ascii="Arial" w:hAnsi="Arial" w:cs="Arial"/>
                <w:color w:val="000000" w:themeColor="text1"/>
              </w:rPr>
              <w:t>3</w:t>
            </w:r>
          </w:p>
        </w:tc>
        <w:tc>
          <w:tcPr>
            <w:tcW w:w="3535" w:type="dxa"/>
            <w:tcBorders>
              <w:tl2br w:val="nil"/>
              <w:tr2bl w:val="nil"/>
            </w:tcBorders>
          </w:tcPr>
          <w:p w14:paraId="0C2CEBFF" w14:textId="77777777" w:rsidR="007A36B7" w:rsidRPr="000543AC" w:rsidRDefault="007A36B7" w:rsidP="003A197C">
            <w:pPr>
              <w:rPr>
                <w:rFonts w:ascii="Arial" w:hAnsi="Arial" w:cs="Arial"/>
                <w:color w:val="000000" w:themeColor="text1"/>
              </w:rPr>
            </w:pPr>
            <w:r w:rsidRPr="000543AC">
              <w:rPr>
                <w:rFonts w:ascii="Arial" w:hAnsi="Arial" w:cs="Arial"/>
                <w:color w:val="000000" w:themeColor="text1"/>
              </w:rPr>
              <w:t>Able to enjoy life due to belief in financial situation</w:t>
            </w:r>
          </w:p>
        </w:tc>
        <w:tc>
          <w:tcPr>
            <w:tcW w:w="1260" w:type="dxa"/>
            <w:tcBorders>
              <w:tl2br w:val="nil"/>
              <w:tr2bl w:val="nil"/>
            </w:tcBorders>
          </w:tcPr>
          <w:p w14:paraId="32663C13"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3.81</w:t>
            </w:r>
          </w:p>
        </w:tc>
        <w:tc>
          <w:tcPr>
            <w:tcW w:w="1260" w:type="dxa"/>
            <w:tcBorders>
              <w:tl2br w:val="nil"/>
              <w:tr2bl w:val="nil"/>
            </w:tcBorders>
          </w:tcPr>
          <w:p w14:paraId="171B85B6"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0.57</w:t>
            </w:r>
          </w:p>
        </w:tc>
        <w:tc>
          <w:tcPr>
            <w:tcW w:w="1440" w:type="dxa"/>
            <w:tcBorders>
              <w:tl2br w:val="nil"/>
              <w:tr2bl w:val="nil"/>
            </w:tcBorders>
          </w:tcPr>
          <w:p w14:paraId="15E564AC" w14:textId="77777777" w:rsidR="007A36B7" w:rsidRPr="000543AC" w:rsidRDefault="007A36B7" w:rsidP="003A197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7A36B7" w:rsidRPr="000543AC" w14:paraId="0359AF02" w14:textId="77777777" w:rsidTr="00CF7BA2">
        <w:trPr>
          <w:trHeight w:val="70"/>
        </w:trPr>
        <w:tc>
          <w:tcPr>
            <w:tcW w:w="695" w:type="dxa"/>
            <w:tcBorders>
              <w:tl2br w:val="nil"/>
              <w:tr2bl w:val="nil"/>
            </w:tcBorders>
          </w:tcPr>
          <w:p w14:paraId="560E482B" w14:textId="77777777" w:rsidR="007A36B7" w:rsidRPr="000543AC" w:rsidRDefault="007A36B7" w:rsidP="003A197C">
            <w:pPr>
              <w:rPr>
                <w:rFonts w:ascii="Arial" w:hAnsi="Arial" w:cs="Arial"/>
                <w:color w:val="000000" w:themeColor="text1"/>
              </w:rPr>
            </w:pPr>
          </w:p>
        </w:tc>
        <w:tc>
          <w:tcPr>
            <w:tcW w:w="3535" w:type="dxa"/>
            <w:tcBorders>
              <w:tl2br w:val="nil"/>
              <w:tr2bl w:val="nil"/>
            </w:tcBorders>
          </w:tcPr>
          <w:p w14:paraId="7CF37721" w14:textId="77777777" w:rsidR="007A36B7" w:rsidRPr="000543AC" w:rsidRDefault="007A36B7" w:rsidP="003A197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Average</w:t>
            </w:r>
          </w:p>
        </w:tc>
        <w:tc>
          <w:tcPr>
            <w:tcW w:w="1260" w:type="dxa"/>
            <w:tcBorders>
              <w:tl2br w:val="nil"/>
              <w:tr2bl w:val="nil"/>
            </w:tcBorders>
          </w:tcPr>
          <w:p w14:paraId="232E2134" w14:textId="77777777" w:rsidR="007A36B7" w:rsidRPr="000543AC" w:rsidRDefault="007A36B7" w:rsidP="003A197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3.88</w:t>
            </w:r>
          </w:p>
        </w:tc>
        <w:tc>
          <w:tcPr>
            <w:tcW w:w="1260" w:type="dxa"/>
            <w:tcBorders>
              <w:tl2br w:val="nil"/>
              <w:tr2bl w:val="nil"/>
            </w:tcBorders>
          </w:tcPr>
          <w:p w14:paraId="3BBC973E" w14:textId="77777777" w:rsidR="007A36B7" w:rsidRPr="000543AC" w:rsidRDefault="007A36B7" w:rsidP="003A197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0.39</w:t>
            </w:r>
          </w:p>
        </w:tc>
        <w:tc>
          <w:tcPr>
            <w:tcW w:w="1440" w:type="dxa"/>
            <w:tcBorders>
              <w:tl2br w:val="nil"/>
              <w:tr2bl w:val="nil"/>
            </w:tcBorders>
          </w:tcPr>
          <w:p w14:paraId="4D02E6B6" w14:textId="77777777" w:rsidR="007A36B7" w:rsidRPr="000543AC" w:rsidRDefault="007A36B7" w:rsidP="003A197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High</w:t>
            </w:r>
          </w:p>
        </w:tc>
      </w:tr>
    </w:tbl>
    <w:p w14:paraId="057FA573" w14:textId="77777777" w:rsidR="007A36B7" w:rsidRDefault="007A36B7" w:rsidP="00AE22F5">
      <w:pPr>
        <w:spacing w:after="0" w:line="240" w:lineRule="auto"/>
        <w:ind w:firstLine="720"/>
        <w:jc w:val="both"/>
        <w:rPr>
          <w:rFonts w:ascii="Arial" w:hAnsi="Arial" w:cs="Arial"/>
          <w:sz w:val="20"/>
        </w:rPr>
      </w:pPr>
    </w:p>
    <w:p w14:paraId="6A617029" w14:textId="77777777" w:rsidR="000543AC" w:rsidRP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This is supported by Putra's (2024) view, which emphasizes that financial well-being involves planning to secure one's future, especially for those nearing retirement. The lowest was the ability to enjoy life due to belief in their financial situation (x̄ = 3.81, s = 0.57), which still reflects a high level of well-being. This also aligns with Putra's claim that financial well-being includes the capacity to enjoy life without excessive worry about money. The high average further suggests that respondents are confident in their current financial stability and their outlook for the future.</w:t>
      </w:r>
    </w:p>
    <w:p w14:paraId="3718BCF9" w14:textId="2566BE81" w:rsid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 xml:space="preserve">Table </w:t>
      </w:r>
      <w:r w:rsidR="001B7571">
        <w:rPr>
          <w:rFonts w:ascii="Arial" w:eastAsia="Times New Roman" w:hAnsi="Arial" w:cs="Arial"/>
          <w:sz w:val="20"/>
          <w:szCs w:val="20"/>
        </w:rPr>
        <w:t xml:space="preserve">5 </w:t>
      </w:r>
      <w:r w:rsidRPr="000543AC">
        <w:rPr>
          <w:rFonts w:ascii="Arial" w:eastAsia="Times New Roman" w:hAnsi="Arial" w:cs="Arial"/>
          <w:sz w:val="20"/>
          <w:szCs w:val="20"/>
        </w:rPr>
        <w:t>shows that the respondents had a moderate level of perception of their current financial situation (x̄ = 3.25, s = 0.76). The highest was the worry that money would not last forever (x̄ = 3.34, s = 1.00), indicating that many respondents experience financial uncertainty. This supports the findings of Lusardi and Mitchell (2017), who explained that perceptions of financial insecurity can significantly impact financial behavior and future planning. The lowest was the belief that personal finances control life (x̄ = 3.14, s = 0.87), which still reflects a moderate level of concern. This is consistent with Dragos et al. (2020), who noted that negative financial perceptions can weaken long-term financial decisions. The overall average suggests that while respondents have some awareness and control over their finances, there remains a need to strengthen both their financial literacy and confidence in managing future financial challenges.</w:t>
      </w:r>
    </w:p>
    <w:p w14:paraId="41C9F0C3" w14:textId="77777777" w:rsidR="000543AC" w:rsidRPr="000543AC" w:rsidRDefault="000543AC" w:rsidP="000543AC">
      <w:pPr>
        <w:spacing w:after="0" w:line="240" w:lineRule="auto"/>
        <w:ind w:firstLine="720"/>
        <w:jc w:val="both"/>
        <w:rPr>
          <w:rFonts w:ascii="Arial" w:eastAsia="Times New Roman" w:hAnsi="Arial" w:cs="Arial"/>
          <w:sz w:val="20"/>
          <w:szCs w:val="20"/>
        </w:rPr>
      </w:pPr>
    </w:p>
    <w:p w14:paraId="73D2E337" w14:textId="6AF78981" w:rsidR="000543AC" w:rsidRPr="000543AC" w:rsidRDefault="000543AC" w:rsidP="000543AC">
      <w:pPr>
        <w:spacing w:after="0" w:line="240" w:lineRule="auto"/>
        <w:jc w:val="both"/>
        <w:rPr>
          <w:rFonts w:ascii="Arial" w:hAnsi="Arial" w:cs="Arial"/>
          <w:color w:val="000000" w:themeColor="text1"/>
          <w:sz w:val="20"/>
          <w:szCs w:val="20"/>
        </w:rPr>
      </w:pPr>
      <w:r w:rsidRPr="000543AC">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5</w:t>
      </w:r>
      <w:r w:rsidRPr="000543AC">
        <w:rPr>
          <w:rFonts w:ascii="Arial" w:hAnsi="Arial" w:cs="Arial"/>
          <w:color w:val="000000" w:themeColor="text1"/>
          <w:sz w:val="20"/>
          <w:szCs w:val="20"/>
          <w:lang w:val="en-US"/>
        </w:rPr>
        <w:t>. Level of perception of current financial situation</w:t>
      </w:r>
    </w:p>
    <w:tbl>
      <w:tblPr>
        <w:tblStyle w:val="TableGrid"/>
        <w:tblW w:w="8190" w:type="dxa"/>
        <w:tblLayout w:type="fixed"/>
        <w:tblLook w:val="04A0" w:firstRow="1" w:lastRow="0" w:firstColumn="1" w:lastColumn="0" w:noHBand="0" w:noVBand="1"/>
      </w:tblPr>
      <w:tblGrid>
        <w:gridCol w:w="672"/>
        <w:gridCol w:w="4098"/>
        <w:gridCol w:w="720"/>
        <w:gridCol w:w="1260"/>
        <w:gridCol w:w="1440"/>
      </w:tblGrid>
      <w:tr w:rsidR="000543AC" w:rsidRPr="000543AC" w14:paraId="2D989117" w14:textId="77777777" w:rsidTr="00CF7BA2">
        <w:tc>
          <w:tcPr>
            <w:tcW w:w="672" w:type="dxa"/>
            <w:tcBorders>
              <w:left w:val="nil"/>
              <w:right w:val="nil"/>
            </w:tcBorders>
            <w:vAlign w:val="center"/>
          </w:tcPr>
          <w:p w14:paraId="7C63B82D"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No.</w:t>
            </w:r>
          </w:p>
        </w:tc>
        <w:tc>
          <w:tcPr>
            <w:tcW w:w="4098" w:type="dxa"/>
            <w:tcBorders>
              <w:left w:val="nil"/>
              <w:right w:val="nil"/>
            </w:tcBorders>
            <w:vAlign w:val="center"/>
          </w:tcPr>
          <w:p w14:paraId="189D98A7"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Description</w:t>
            </w:r>
          </w:p>
        </w:tc>
        <w:tc>
          <w:tcPr>
            <w:tcW w:w="720" w:type="dxa"/>
            <w:tcBorders>
              <w:left w:val="nil"/>
              <w:right w:val="nil"/>
            </w:tcBorders>
            <w:vAlign w:val="center"/>
          </w:tcPr>
          <w:p w14:paraId="70F5ED58"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Mean</w:t>
            </w:r>
          </w:p>
        </w:tc>
        <w:tc>
          <w:tcPr>
            <w:tcW w:w="1260" w:type="dxa"/>
            <w:tcBorders>
              <w:left w:val="nil"/>
              <w:right w:val="nil"/>
            </w:tcBorders>
            <w:vAlign w:val="center"/>
          </w:tcPr>
          <w:p w14:paraId="259F4F6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Std. Deviation</w:t>
            </w:r>
          </w:p>
        </w:tc>
        <w:tc>
          <w:tcPr>
            <w:tcW w:w="1440" w:type="dxa"/>
            <w:tcBorders>
              <w:left w:val="nil"/>
              <w:right w:val="nil"/>
            </w:tcBorders>
            <w:vAlign w:val="center"/>
          </w:tcPr>
          <w:p w14:paraId="6BB5841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Interpretation</w:t>
            </w:r>
          </w:p>
        </w:tc>
      </w:tr>
      <w:tr w:rsidR="000543AC" w:rsidRPr="000543AC" w14:paraId="3C9493BD" w14:textId="77777777" w:rsidTr="00CF7BA2">
        <w:trPr>
          <w:trHeight w:val="326"/>
        </w:trPr>
        <w:tc>
          <w:tcPr>
            <w:tcW w:w="672" w:type="dxa"/>
            <w:tcBorders>
              <w:left w:val="nil"/>
              <w:right w:val="nil"/>
            </w:tcBorders>
          </w:tcPr>
          <w:p w14:paraId="5102DE38"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1</w:t>
            </w:r>
          </w:p>
        </w:tc>
        <w:tc>
          <w:tcPr>
            <w:tcW w:w="4098" w:type="dxa"/>
            <w:tcBorders>
              <w:left w:val="nil"/>
              <w:right w:val="nil"/>
            </w:tcBorders>
          </w:tcPr>
          <w:p w14:paraId="7613F364"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Financial situation limits the ability to obtain goods and services wanted</w:t>
            </w:r>
          </w:p>
        </w:tc>
        <w:tc>
          <w:tcPr>
            <w:tcW w:w="720" w:type="dxa"/>
            <w:tcBorders>
              <w:left w:val="nil"/>
              <w:right w:val="nil"/>
            </w:tcBorders>
            <w:vAlign w:val="center"/>
          </w:tcPr>
          <w:p w14:paraId="766D367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3.22</w:t>
            </w:r>
          </w:p>
        </w:tc>
        <w:tc>
          <w:tcPr>
            <w:tcW w:w="1260" w:type="dxa"/>
            <w:tcBorders>
              <w:left w:val="nil"/>
              <w:right w:val="nil"/>
            </w:tcBorders>
            <w:vAlign w:val="center"/>
          </w:tcPr>
          <w:p w14:paraId="56D060A8"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0.79</w:t>
            </w:r>
          </w:p>
        </w:tc>
        <w:tc>
          <w:tcPr>
            <w:tcW w:w="1440" w:type="dxa"/>
            <w:tcBorders>
              <w:left w:val="nil"/>
              <w:right w:val="nil"/>
            </w:tcBorders>
            <w:vAlign w:val="center"/>
          </w:tcPr>
          <w:p w14:paraId="1318E1A1"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3C29E23B" w14:textId="77777777" w:rsidTr="00CF7BA2">
        <w:trPr>
          <w:trHeight w:val="277"/>
        </w:trPr>
        <w:tc>
          <w:tcPr>
            <w:tcW w:w="672" w:type="dxa"/>
            <w:tcBorders>
              <w:left w:val="nil"/>
              <w:right w:val="nil"/>
            </w:tcBorders>
          </w:tcPr>
          <w:p w14:paraId="2AF4809E"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2</w:t>
            </w:r>
          </w:p>
        </w:tc>
        <w:tc>
          <w:tcPr>
            <w:tcW w:w="4098" w:type="dxa"/>
            <w:tcBorders>
              <w:left w:val="nil"/>
              <w:right w:val="nil"/>
            </w:tcBorders>
          </w:tcPr>
          <w:p w14:paraId="00F707C4"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Personal finances control life</w:t>
            </w:r>
          </w:p>
        </w:tc>
        <w:tc>
          <w:tcPr>
            <w:tcW w:w="720" w:type="dxa"/>
            <w:tcBorders>
              <w:left w:val="nil"/>
              <w:right w:val="nil"/>
            </w:tcBorders>
            <w:vAlign w:val="center"/>
          </w:tcPr>
          <w:p w14:paraId="1FF19FE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3.27</w:t>
            </w:r>
          </w:p>
        </w:tc>
        <w:tc>
          <w:tcPr>
            <w:tcW w:w="1260" w:type="dxa"/>
            <w:tcBorders>
              <w:left w:val="nil"/>
              <w:right w:val="nil"/>
            </w:tcBorders>
            <w:vAlign w:val="center"/>
          </w:tcPr>
          <w:p w14:paraId="13912A0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0.85</w:t>
            </w:r>
          </w:p>
        </w:tc>
        <w:tc>
          <w:tcPr>
            <w:tcW w:w="1440" w:type="dxa"/>
            <w:tcBorders>
              <w:left w:val="nil"/>
              <w:right w:val="nil"/>
            </w:tcBorders>
            <w:vAlign w:val="center"/>
          </w:tcPr>
          <w:p w14:paraId="430544B6"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5526A724" w14:textId="77777777" w:rsidTr="00CF7BA2">
        <w:trPr>
          <w:trHeight w:val="322"/>
        </w:trPr>
        <w:tc>
          <w:tcPr>
            <w:tcW w:w="672" w:type="dxa"/>
            <w:tcBorders>
              <w:left w:val="nil"/>
              <w:right w:val="nil"/>
            </w:tcBorders>
          </w:tcPr>
          <w:p w14:paraId="2DD8C701"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3</w:t>
            </w:r>
          </w:p>
        </w:tc>
        <w:tc>
          <w:tcPr>
            <w:tcW w:w="4098" w:type="dxa"/>
            <w:tcBorders>
              <w:left w:val="nil"/>
              <w:right w:val="nil"/>
            </w:tcBorders>
          </w:tcPr>
          <w:p w14:paraId="70573578"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Financial situation limits the ability to do things that are important</w:t>
            </w:r>
          </w:p>
        </w:tc>
        <w:tc>
          <w:tcPr>
            <w:tcW w:w="720" w:type="dxa"/>
            <w:tcBorders>
              <w:left w:val="nil"/>
              <w:right w:val="nil"/>
            </w:tcBorders>
            <w:vAlign w:val="center"/>
          </w:tcPr>
          <w:p w14:paraId="5CAB4111"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3.14</w:t>
            </w:r>
          </w:p>
        </w:tc>
        <w:tc>
          <w:tcPr>
            <w:tcW w:w="1260" w:type="dxa"/>
            <w:tcBorders>
              <w:left w:val="nil"/>
              <w:right w:val="nil"/>
            </w:tcBorders>
            <w:vAlign w:val="center"/>
          </w:tcPr>
          <w:p w14:paraId="30EC0869"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0.87</w:t>
            </w:r>
          </w:p>
        </w:tc>
        <w:tc>
          <w:tcPr>
            <w:tcW w:w="1440" w:type="dxa"/>
            <w:tcBorders>
              <w:left w:val="nil"/>
              <w:right w:val="nil"/>
            </w:tcBorders>
            <w:vAlign w:val="center"/>
          </w:tcPr>
          <w:p w14:paraId="6A0B78D0"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3788AB62" w14:textId="77777777" w:rsidTr="00CF7BA2">
        <w:trPr>
          <w:trHeight w:val="272"/>
        </w:trPr>
        <w:tc>
          <w:tcPr>
            <w:tcW w:w="672" w:type="dxa"/>
            <w:tcBorders>
              <w:left w:val="nil"/>
              <w:right w:val="nil"/>
            </w:tcBorders>
          </w:tcPr>
          <w:p w14:paraId="46E6F947"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4</w:t>
            </w:r>
          </w:p>
        </w:tc>
        <w:tc>
          <w:tcPr>
            <w:tcW w:w="4098" w:type="dxa"/>
            <w:tcBorders>
              <w:left w:val="nil"/>
              <w:right w:val="nil"/>
            </w:tcBorders>
          </w:tcPr>
          <w:p w14:paraId="25F5F388"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Paying current expenses usually causes worry</w:t>
            </w:r>
          </w:p>
        </w:tc>
        <w:tc>
          <w:tcPr>
            <w:tcW w:w="720" w:type="dxa"/>
            <w:tcBorders>
              <w:left w:val="nil"/>
              <w:right w:val="nil"/>
            </w:tcBorders>
            <w:vAlign w:val="center"/>
          </w:tcPr>
          <w:p w14:paraId="678C80F8"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3.33</w:t>
            </w:r>
          </w:p>
        </w:tc>
        <w:tc>
          <w:tcPr>
            <w:tcW w:w="1260" w:type="dxa"/>
            <w:tcBorders>
              <w:left w:val="nil"/>
              <w:right w:val="nil"/>
            </w:tcBorders>
            <w:vAlign w:val="center"/>
          </w:tcPr>
          <w:p w14:paraId="143C9EC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0.88</w:t>
            </w:r>
          </w:p>
        </w:tc>
        <w:tc>
          <w:tcPr>
            <w:tcW w:w="1440" w:type="dxa"/>
            <w:tcBorders>
              <w:left w:val="nil"/>
              <w:right w:val="nil"/>
            </w:tcBorders>
            <w:vAlign w:val="center"/>
          </w:tcPr>
          <w:p w14:paraId="74A34B3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60D20456" w14:textId="77777777" w:rsidTr="00CF7BA2">
        <w:trPr>
          <w:trHeight w:val="276"/>
        </w:trPr>
        <w:tc>
          <w:tcPr>
            <w:tcW w:w="672" w:type="dxa"/>
            <w:tcBorders>
              <w:left w:val="nil"/>
              <w:right w:val="nil"/>
            </w:tcBorders>
          </w:tcPr>
          <w:p w14:paraId="1123AFF0"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5</w:t>
            </w:r>
          </w:p>
        </w:tc>
        <w:tc>
          <w:tcPr>
            <w:tcW w:w="4098" w:type="dxa"/>
            <w:tcBorders>
              <w:left w:val="nil"/>
              <w:right w:val="nil"/>
            </w:tcBorders>
          </w:tcPr>
          <w:p w14:paraId="21213BCB"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Feeling like financially just getting by</w:t>
            </w:r>
          </w:p>
        </w:tc>
        <w:tc>
          <w:tcPr>
            <w:tcW w:w="720" w:type="dxa"/>
            <w:tcBorders>
              <w:left w:val="nil"/>
              <w:right w:val="nil"/>
            </w:tcBorders>
            <w:vAlign w:val="center"/>
          </w:tcPr>
          <w:p w14:paraId="12FF97AA"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3.21</w:t>
            </w:r>
          </w:p>
        </w:tc>
        <w:tc>
          <w:tcPr>
            <w:tcW w:w="1260" w:type="dxa"/>
            <w:tcBorders>
              <w:left w:val="nil"/>
              <w:right w:val="nil"/>
            </w:tcBorders>
            <w:vAlign w:val="center"/>
          </w:tcPr>
          <w:p w14:paraId="726A2215"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0.74</w:t>
            </w:r>
          </w:p>
        </w:tc>
        <w:tc>
          <w:tcPr>
            <w:tcW w:w="1440" w:type="dxa"/>
            <w:tcBorders>
              <w:left w:val="nil"/>
              <w:right w:val="nil"/>
            </w:tcBorders>
            <w:vAlign w:val="center"/>
          </w:tcPr>
          <w:p w14:paraId="6CAA6AD9"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19D3A5B2" w14:textId="77777777" w:rsidTr="00CF7BA2">
        <w:trPr>
          <w:trHeight w:val="81"/>
        </w:trPr>
        <w:tc>
          <w:tcPr>
            <w:tcW w:w="672" w:type="dxa"/>
            <w:tcBorders>
              <w:left w:val="nil"/>
              <w:right w:val="nil"/>
            </w:tcBorders>
          </w:tcPr>
          <w:p w14:paraId="73FD3AAB"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6</w:t>
            </w:r>
          </w:p>
        </w:tc>
        <w:tc>
          <w:tcPr>
            <w:tcW w:w="4098" w:type="dxa"/>
            <w:tcBorders>
              <w:left w:val="nil"/>
              <w:right w:val="nil"/>
            </w:tcBorders>
          </w:tcPr>
          <w:p w14:paraId="54C0B3BF"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Worry that money will not last forever</w:t>
            </w:r>
          </w:p>
        </w:tc>
        <w:tc>
          <w:tcPr>
            <w:tcW w:w="720" w:type="dxa"/>
            <w:tcBorders>
              <w:left w:val="nil"/>
              <w:right w:val="nil"/>
            </w:tcBorders>
            <w:vAlign w:val="center"/>
          </w:tcPr>
          <w:p w14:paraId="7FBC898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3.34</w:t>
            </w:r>
          </w:p>
        </w:tc>
        <w:tc>
          <w:tcPr>
            <w:tcW w:w="1260" w:type="dxa"/>
            <w:tcBorders>
              <w:left w:val="nil"/>
              <w:right w:val="nil"/>
            </w:tcBorders>
            <w:vAlign w:val="center"/>
          </w:tcPr>
          <w:p w14:paraId="7EF472B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1.00</w:t>
            </w:r>
          </w:p>
        </w:tc>
        <w:tc>
          <w:tcPr>
            <w:tcW w:w="1440" w:type="dxa"/>
            <w:tcBorders>
              <w:left w:val="nil"/>
              <w:right w:val="nil"/>
            </w:tcBorders>
            <w:vAlign w:val="center"/>
          </w:tcPr>
          <w:p w14:paraId="02E1570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621D361E" w14:textId="77777777" w:rsidTr="00CF7BA2">
        <w:trPr>
          <w:trHeight w:val="268"/>
        </w:trPr>
        <w:tc>
          <w:tcPr>
            <w:tcW w:w="672" w:type="dxa"/>
            <w:tcBorders>
              <w:left w:val="nil"/>
              <w:right w:val="nil"/>
            </w:tcBorders>
          </w:tcPr>
          <w:p w14:paraId="67885975" w14:textId="77777777" w:rsidR="000543AC" w:rsidRPr="000543AC" w:rsidRDefault="000543AC" w:rsidP="000543AC">
            <w:pPr>
              <w:rPr>
                <w:rFonts w:ascii="Arial" w:hAnsi="Arial" w:cs="Arial"/>
                <w:color w:val="000000" w:themeColor="text1"/>
              </w:rPr>
            </w:pPr>
          </w:p>
        </w:tc>
        <w:tc>
          <w:tcPr>
            <w:tcW w:w="4098" w:type="dxa"/>
            <w:tcBorders>
              <w:left w:val="nil"/>
              <w:right w:val="nil"/>
            </w:tcBorders>
            <w:vAlign w:val="center"/>
          </w:tcPr>
          <w:p w14:paraId="74DCCC65"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Average</w:t>
            </w:r>
          </w:p>
        </w:tc>
        <w:tc>
          <w:tcPr>
            <w:tcW w:w="720" w:type="dxa"/>
            <w:tcBorders>
              <w:left w:val="nil"/>
              <w:right w:val="nil"/>
            </w:tcBorders>
            <w:vAlign w:val="center"/>
          </w:tcPr>
          <w:p w14:paraId="559A384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3.25</w:t>
            </w:r>
          </w:p>
        </w:tc>
        <w:tc>
          <w:tcPr>
            <w:tcW w:w="1260" w:type="dxa"/>
            <w:tcBorders>
              <w:left w:val="nil"/>
              <w:right w:val="nil"/>
            </w:tcBorders>
            <w:vAlign w:val="center"/>
          </w:tcPr>
          <w:p w14:paraId="186EB45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0.76</w:t>
            </w:r>
          </w:p>
        </w:tc>
        <w:tc>
          <w:tcPr>
            <w:tcW w:w="1440" w:type="dxa"/>
            <w:tcBorders>
              <w:left w:val="nil"/>
              <w:right w:val="nil"/>
            </w:tcBorders>
            <w:vAlign w:val="center"/>
          </w:tcPr>
          <w:p w14:paraId="6A08792A"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bl>
    <w:p w14:paraId="15B21264" w14:textId="77777777" w:rsidR="000543AC" w:rsidRPr="000543AC" w:rsidRDefault="000543AC" w:rsidP="000543AC">
      <w:pPr>
        <w:spacing w:after="0" w:line="240" w:lineRule="auto"/>
        <w:ind w:firstLine="720"/>
        <w:jc w:val="both"/>
        <w:rPr>
          <w:rFonts w:ascii="Arial" w:hAnsi="Arial" w:cs="Arial"/>
          <w:color w:val="000000" w:themeColor="text1"/>
          <w:sz w:val="20"/>
          <w:szCs w:val="20"/>
        </w:rPr>
      </w:pPr>
    </w:p>
    <w:p w14:paraId="541B3767" w14:textId="1A76C088" w:rsid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 xml:space="preserve">Table </w:t>
      </w:r>
      <w:r w:rsidR="001B7571">
        <w:rPr>
          <w:rFonts w:ascii="Arial" w:eastAsia="Times New Roman" w:hAnsi="Arial" w:cs="Arial"/>
          <w:sz w:val="20"/>
          <w:szCs w:val="20"/>
        </w:rPr>
        <w:t>6</w:t>
      </w:r>
      <w:r w:rsidRPr="000543AC">
        <w:rPr>
          <w:rFonts w:ascii="Arial" w:eastAsia="Times New Roman" w:hAnsi="Arial" w:cs="Arial"/>
          <w:sz w:val="20"/>
          <w:szCs w:val="20"/>
        </w:rPr>
        <w:t xml:space="preserve"> shows that the respondents had a high level of financial literacy in terms of planning and controlling personal finances (x̄ = 3.89, s = 0.41). The highest was regularly keeping track of money (x̄ = 4.07, s = 0.54), indicating that most respondents are actively monitoring their financial activities. This supports the findings of O’Neill and Xiao (201</w:t>
      </w:r>
      <w:r w:rsidR="00720921">
        <w:rPr>
          <w:rFonts w:ascii="Arial" w:eastAsia="Times New Roman" w:hAnsi="Arial" w:cs="Arial"/>
          <w:sz w:val="20"/>
          <w:szCs w:val="20"/>
        </w:rPr>
        <w:t>6</w:t>
      </w:r>
      <w:r w:rsidRPr="000543AC">
        <w:rPr>
          <w:rFonts w:ascii="Arial" w:eastAsia="Times New Roman" w:hAnsi="Arial" w:cs="Arial"/>
          <w:sz w:val="20"/>
          <w:szCs w:val="20"/>
        </w:rPr>
        <w:t xml:space="preserve">), who emphasized that consistent tracking of finances contributes significantly to financial well-being. The lowest was personally and systematically controlling personal finances (x̄ = 3.81, s = 0.57), which still falls within the high interpretation. This aligns with </w:t>
      </w:r>
      <w:proofErr w:type="spellStart"/>
      <w:r w:rsidRPr="000543AC">
        <w:rPr>
          <w:rFonts w:ascii="Arial" w:eastAsia="Times New Roman" w:hAnsi="Arial" w:cs="Arial"/>
          <w:sz w:val="20"/>
          <w:szCs w:val="20"/>
        </w:rPr>
        <w:t>Noone</w:t>
      </w:r>
      <w:proofErr w:type="spellEnd"/>
      <w:r w:rsidRPr="000543AC">
        <w:rPr>
          <w:rFonts w:ascii="Arial" w:eastAsia="Times New Roman" w:hAnsi="Arial" w:cs="Arial"/>
          <w:sz w:val="20"/>
          <w:szCs w:val="20"/>
        </w:rPr>
        <w:t xml:space="preserve"> et al. (2015), who noted that active and intentional financial control plays a crucial role in effective retirement planning. The overall high average suggests that respondents generally practice disciplined financial behaviors that support long-term financial stability.</w:t>
      </w:r>
    </w:p>
    <w:p w14:paraId="20D02B24" w14:textId="77777777" w:rsidR="000543AC" w:rsidRPr="000543AC" w:rsidRDefault="000543AC" w:rsidP="000543AC">
      <w:pPr>
        <w:spacing w:after="0" w:line="240" w:lineRule="auto"/>
        <w:ind w:firstLine="720"/>
        <w:jc w:val="both"/>
        <w:rPr>
          <w:rFonts w:ascii="Arial" w:eastAsia="Times New Roman" w:hAnsi="Arial" w:cs="Arial"/>
          <w:sz w:val="20"/>
          <w:szCs w:val="20"/>
        </w:rPr>
      </w:pPr>
    </w:p>
    <w:p w14:paraId="33295A83" w14:textId="0B92ABA5" w:rsidR="000543AC" w:rsidRPr="000543AC" w:rsidRDefault="000543AC" w:rsidP="000543AC">
      <w:pPr>
        <w:spacing w:after="0" w:line="240" w:lineRule="auto"/>
        <w:jc w:val="both"/>
        <w:rPr>
          <w:rFonts w:ascii="Arial" w:hAnsi="Arial" w:cs="Arial"/>
          <w:color w:val="000000" w:themeColor="text1"/>
          <w:sz w:val="20"/>
          <w:szCs w:val="20"/>
        </w:rPr>
      </w:pPr>
      <w:r w:rsidRPr="000543AC">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6</w:t>
      </w:r>
      <w:r w:rsidRPr="000543AC">
        <w:rPr>
          <w:rFonts w:ascii="Arial" w:hAnsi="Arial" w:cs="Arial"/>
          <w:color w:val="000000" w:themeColor="text1"/>
          <w:sz w:val="20"/>
          <w:szCs w:val="20"/>
          <w:lang w:val="en-US"/>
        </w:rPr>
        <w:t>. Level of planning and controlling personal finances</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715"/>
        <w:gridCol w:w="900"/>
        <w:gridCol w:w="1440"/>
        <w:gridCol w:w="1440"/>
      </w:tblGrid>
      <w:tr w:rsidR="000543AC" w:rsidRPr="000543AC" w14:paraId="0BAD4091" w14:textId="77777777" w:rsidTr="00CF7BA2">
        <w:tc>
          <w:tcPr>
            <w:tcW w:w="695" w:type="dxa"/>
            <w:tcBorders>
              <w:tl2br w:val="nil"/>
              <w:tr2bl w:val="nil"/>
            </w:tcBorders>
            <w:vAlign w:val="center"/>
          </w:tcPr>
          <w:p w14:paraId="5482233D"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No.</w:t>
            </w:r>
          </w:p>
        </w:tc>
        <w:tc>
          <w:tcPr>
            <w:tcW w:w="3715" w:type="dxa"/>
            <w:tcBorders>
              <w:tl2br w:val="nil"/>
              <w:tr2bl w:val="nil"/>
            </w:tcBorders>
            <w:vAlign w:val="center"/>
          </w:tcPr>
          <w:p w14:paraId="1F8EB839"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Description</w:t>
            </w:r>
          </w:p>
        </w:tc>
        <w:tc>
          <w:tcPr>
            <w:tcW w:w="900" w:type="dxa"/>
            <w:tcBorders>
              <w:tl2br w:val="nil"/>
              <w:tr2bl w:val="nil"/>
            </w:tcBorders>
            <w:vAlign w:val="center"/>
          </w:tcPr>
          <w:p w14:paraId="413E2D1C"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Mean</w:t>
            </w:r>
          </w:p>
        </w:tc>
        <w:tc>
          <w:tcPr>
            <w:tcW w:w="1440" w:type="dxa"/>
            <w:tcBorders>
              <w:tl2br w:val="nil"/>
              <w:tr2bl w:val="nil"/>
            </w:tcBorders>
            <w:vAlign w:val="center"/>
          </w:tcPr>
          <w:p w14:paraId="0955732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Std. Deviation</w:t>
            </w:r>
          </w:p>
        </w:tc>
        <w:tc>
          <w:tcPr>
            <w:tcW w:w="1440" w:type="dxa"/>
            <w:tcBorders>
              <w:tl2br w:val="nil"/>
              <w:tr2bl w:val="nil"/>
            </w:tcBorders>
            <w:vAlign w:val="center"/>
          </w:tcPr>
          <w:p w14:paraId="2E303D5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Interpretation</w:t>
            </w:r>
          </w:p>
        </w:tc>
      </w:tr>
      <w:tr w:rsidR="000543AC" w:rsidRPr="000543AC" w14:paraId="519A7B1A" w14:textId="77777777" w:rsidTr="00CF7BA2">
        <w:tc>
          <w:tcPr>
            <w:tcW w:w="695" w:type="dxa"/>
            <w:tcBorders>
              <w:tl2br w:val="nil"/>
              <w:tr2bl w:val="nil"/>
            </w:tcBorders>
          </w:tcPr>
          <w:p w14:paraId="1092C2FC"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1</w:t>
            </w:r>
          </w:p>
        </w:tc>
        <w:tc>
          <w:tcPr>
            <w:tcW w:w="3715" w:type="dxa"/>
            <w:tcBorders>
              <w:tl2br w:val="nil"/>
              <w:tr2bl w:val="nil"/>
            </w:tcBorders>
          </w:tcPr>
          <w:p w14:paraId="694EFBE3"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Personally, and systematically control personal finances</w:t>
            </w:r>
          </w:p>
        </w:tc>
        <w:tc>
          <w:tcPr>
            <w:tcW w:w="900" w:type="dxa"/>
            <w:tcBorders>
              <w:tl2br w:val="nil"/>
              <w:tr2bl w:val="nil"/>
            </w:tcBorders>
            <w:vAlign w:val="center"/>
          </w:tcPr>
          <w:p w14:paraId="1622121A"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3.81</w:t>
            </w:r>
          </w:p>
        </w:tc>
        <w:tc>
          <w:tcPr>
            <w:tcW w:w="1440" w:type="dxa"/>
            <w:tcBorders>
              <w:tl2br w:val="nil"/>
              <w:tr2bl w:val="nil"/>
            </w:tcBorders>
            <w:vAlign w:val="center"/>
          </w:tcPr>
          <w:p w14:paraId="341D32BB"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0.57</w:t>
            </w:r>
          </w:p>
        </w:tc>
        <w:tc>
          <w:tcPr>
            <w:tcW w:w="1440" w:type="dxa"/>
            <w:tcBorders>
              <w:tl2br w:val="nil"/>
              <w:tr2bl w:val="nil"/>
            </w:tcBorders>
            <w:vAlign w:val="center"/>
          </w:tcPr>
          <w:p w14:paraId="5F300E1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16724231" w14:textId="77777777" w:rsidTr="00CF7BA2">
        <w:tc>
          <w:tcPr>
            <w:tcW w:w="695" w:type="dxa"/>
            <w:tcBorders>
              <w:tl2br w:val="nil"/>
              <w:tr2bl w:val="nil"/>
            </w:tcBorders>
          </w:tcPr>
          <w:p w14:paraId="2E7164FF"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2</w:t>
            </w:r>
          </w:p>
        </w:tc>
        <w:tc>
          <w:tcPr>
            <w:tcW w:w="3715" w:type="dxa"/>
            <w:tcBorders>
              <w:tl2br w:val="nil"/>
              <w:tr2bl w:val="nil"/>
            </w:tcBorders>
          </w:tcPr>
          <w:p w14:paraId="4F3C483A"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Set long-term goals and do everything possible to achieve them</w:t>
            </w:r>
          </w:p>
        </w:tc>
        <w:tc>
          <w:tcPr>
            <w:tcW w:w="900" w:type="dxa"/>
            <w:tcBorders>
              <w:tl2br w:val="nil"/>
              <w:tr2bl w:val="nil"/>
            </w:tcBorders>
            <w:vAlign w:val="center"/>
          </w:tcPr>
          <w:p w14:paraId="56ABBEB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3.85</w:t>
            </w:r>
          </w:p>
        </w:tc>
        <w:tc>
          <w:tcPr>
            <w:tcW w:w="1440" w:type="dxa"/>
            <w:tcBorders>
              <w:tl2br w:val="nil"/>
              <w:tr2bl w:val="nil"/>
            </w:tcBorders>
            <w:vAlign w:val="center"/>
          </w:tcPr>
          <w:p w14:paraId="15C191E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0.54</w:t>
            </w:r>
          </w:p>
        </w:tc>
        <w:tc>
          <w:tcPr>
            <w:tcW w:w="1440" w:type="dxa"/>
            <w:tcBorders>
              <w:tl2br w:val="nil"/>
              <w:tr2bl w:val="nil"/>
            </w:tcBorders>
            <w:vAlign w:val="center"/>
          </w:tcPr>
          <w:p w14:paraId="3E06658A"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539A3B8F" w14:textId="77777777" w:rsidTr="00CF7BA2">
        <w:tc>
          <w:tcPr>
            <w:tcW w:w="695" w:type="dxa"/>
            <w:tcBorders>
              <w:tl2br w:val="nil"/>
              <w:tr2bl w:val="nil"/>
            </w:tcBorders>
          </w:tcPr>
          <w:p w14:paraId="38620A39"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3</w:t>
            </w:r>
          </w:p>
        </w:tc>
        <w:tc>
          <w:tcPr>
            <w:tcW w:w="3715" w:type="dxa"/>
            <w:tcBorders>
              <w:tl2br w:val="nil"/>
              <w:tr2bl w:val="nil"/>
            </w:tcBorders>
          </w:tcPr>
          <w:p w14:paraId="242EFDEE"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Follow a careful financial budget</w:t>
            </w:r>
          </w:p>
        </w:tc>
        <w:tc>
          <w:tcPr>
            <w:tcW w:w="900" w:type="dxa"/>
            <w:tcBorders>
              <w:tl2br w:val="nil"/>
              <w:tr2bl w:val="nil"/>
            </w:tcBorders>
            <w:vAlign w:val="center"/>
          </w:tcPr>
          <w:p w14:paraId="39D06968"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3.84</w:t>
            </w:r>
          </w:p>
        </w:tc>
        <w:tc>
          <w:tcPr>
            <w:tcW w:w="1440" w:type="dxa"/>
            <w:tcBorders>
              <w:tl2br w:val="nil"/>
              <w:tr2bl w:val="nil"/>
            </w:tcBorders>
            <w:vAlign w:val="center"/>
          </w:tcPr>
          <w:p w14:paraId="0B687B5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0.62</w:t>
            </w:r>
          </w:p>
        </w:tc>
        <w:tc>
          <w:tcPr>
            <w:tcW w:w="1440" w:type="dxa"/>
            <w:tcBorders>
              <w:tl2br w:val="nil"/>
              <w:tr2bl w:val="nil"/>
            </w:tcBorders>
            <w:vAlign w:val="center"/>
          </w:tcPr>
          <w:p w14:paraId="4251B50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3232E28E" w14:textId="77777777" w:rsidTr="00CF7BA2">
        <w:tc>
          <w:tcPr>
            <w:tcW w:w="695" w:type="dxa"/>
            <w:tcBorders>
              <w:tl2br w:val="nil"/>
              <w:tr2bl w:val="nil"/>
            </w:tcBorders>
          </w:tcPr>
          <w:p w14:paraId="5EEBC65F"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4</w:t>
            </w:r>
          </w:p>
        </w:tc>
        <w:tc>
          <w:tcPr>
            <w:tcW w:w="3715" w:type="dxa"/>
            <w:tcBorders>
              <w:tl2br w:val="nil"/>
              <w:tr2bl w:val="nil"/>
            </w:tcBorders>
          </w:tcPr>
          <w:p w14:paraId="16261A28" w14:textId="77777777" w:rsidR="000543AC" w:rsidRPr="000543AC" w:rsidRDefault="000543AC" w:rsidP="000543AC">
            <w:pPr>
              <w:rPr>
                <w:rFonts w:ascii="Arial" w:eastAsia="Times New Roman" w:hAnsi="Arial" w:cs="Arial"/>
                <w:color w:val="000000" w:themeColor="text1"/>
                <w:lang w:eastAsia="en-PH"/>
              </w:rPr>
            </w:pPr>
            <w:r w:rsidRPr="000543AC">
              <w:rPr>
                <w:rFonts w:ascii="Arial" w:hAnsi="Arial" w:cs="Arial"/>
                <w:color w:val="000000" w:themeColor="text1"/>
              </w:rPr>
              <w:t>Keep track of money</w:t>
            </w:r>
          </w:p>
        </w:tc>
        <w:tc>
          <w:tcPr>
            <w:tcW w:w="900" w:type="dxa"/>
            <w:tcBorders>
              <w:tl2br w:val="nil"/>
              <w:tr2bl w:val="nil"/>
            </w:tcBorders>
            <w:vAlign w:val="center"/>
          </w:tcPr>
          <w:p w14:paraId="4EC63CBC"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4.07</w:t>
            </w:r>
          </w:p>
        </w:tc>
        <w:tc>
          <w:tcPr>
            <w:tcW w:w="1440" w:type="dxa"/>
            <w:tcBorders>
              <w:tl2br w:val="nil"/>
              <w:tr2bl w:val="nil"/>
            </w:tcBorders>
            <w:vAlign w:val="center"/>
          </w:tcPr>
          <w:p w14:paraId="2614C7B9"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0.54</w:t>
            </w:r>
          </w:p>
        </w:tc>
        <w:tc>
          <w:tcPr>
            <w:tcW w:w="1440" w:type="dxa"/>
            <w:tcBorders>
              <w:tl2br w:val="nil"/>
              <w:tr2bl w:val="nil"/>
            </w:tcBorders>
            <w:vAlign w:val="center"/>
          </w:tcPr>
          <w:p w14:paraId="063ECC5E"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High</w:t>
            </w:r>
          </w:p>
        </w:tc>
      </w:tr>
      <w:tr w:rsidR="000543AC" w:rsidRPr="000543AC" w14:paraId="032AAE8B" w14:textId="77777777" w:rsidTr="00CF7BA2">
        <w:trPr>
          <w:trHeight w:val="115"/>
        </w:trPr>
        <w:tc>
          <w:tcPr>
            <w:tcW w:w="695" w:type="dxa"/>
            <w:tcBorders>
              <w:tl2br w:val="nil"/>
              <w:tr2bl w:val="nil"/>
            </w:tcBorders>
          </w:tcPr>
          <w:p w14:paraId="652A2219" w14:textId="77777777" w:rsidR="000543AC" w:rsidRPr="000543AC" w:rsidRDefault="000543AC" w:rsidP="000543AC">
            <w:pPr>
              <w:rPr>
                <w:rFonts w:ascii="Arial" w:hAnsi="Arial" w:cs="Arial"/>
                <w:color w:val="000000" w:themeColor="text1"/>
              </w:rPr>
            </w:pPr>
          </w:p>
        </w:tc>
        <w:tc>
          <w:tcPr>
            <w:tcW w:w="3715" w:type="dxa"/>
            <w:tcBorders>
              <w:tl2br w:val="nil"/>
              <w:tr2bl w:val="nil"/>
            </w:tcBorders>
          </w:tcPr>
          <w:p w14:paraId="1C6B01FC"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Average</w:t>
            </w:r>
          </w:p>
        </w:tc>
        <w:tc>
          <w:tcPr>
            <w:tcW w:w="900" w:type="dxa"/>
            <w:tcBorders>
              <w:tl2br w:val="nil"/>
              <w:tr2bl w:val="nil"/>
            </w:tcBorders>
            <w:vAlign w:val="center"/>
          </w:tcPr>
          <w:p w14:paraId="5037DF69"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3.89</w:t>
            </w:r>
          </w:p>
        </w:tc>
        <w:tc>
          <w:tcPr>
            <w:tcW w:w="1440" w:type="dxa"/>
            <w:tcBorders>
              <w:tl2br w:val="nil"/>
              <w:tr2bl w:val="nil"/>
            </w:tcBorders>
            <w:vAlign w:val="center"/>
          </w:tcPr>
          <w:p w14:paraId="0A82A833"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0.41</w:t>
            </w:r>
          </w:p>
        </w:tc>
        <w:tc>
          <w:tcPr>
            <w:tcW w:w="1440" w:type="dxa"/>
            <w:tcBorders>
              <w:tl2br w:val="nil"/>
              <w:tr2bl w:val="nil"/>
            </w:tcBorders>
            <w:vAlign w:val="center"/>
          </w:tcPr>
          <w:p w14:paraId="517B52F7" w14:textId="77777777" w:rsidR="000543AC" w:rsidRPr="000543AC" w:rsidRDefault="000543AC" w:rsidP="000543AC">
            <w:pPr>
              <w:jc w:val="center"/>
              <w:rPr>
                <w:rFonts w:ascii="Arial" w:eastAsia="Times New Roman" w:hAnsi="Arial" w:cs="Arial"/>
                <w:color w:val="000000" w:themeColor="text1"/>
                <w:lang w:eastAsia="en-PH"/>
              </w:rPr>
            </w:pPr>
            <w:r w:rsidRPr="000543AC">
              <w:rPr>
                <w:rFonts w:ascii="Arial" w:eastAsia="Times New Roman" w:hAnsi="Arial" w:cs="Arial"/>
                <w:color w:val="000000" w:themeColor="text1"/>
                <w:lang w:eastAsia="en-PH"/>
              </w:rPr>
              <w:t>High</w:t>
            </w:r>
          </w:p>
        </w:tc>
      </w:tr>
    </w:tbl>
    <w:p w14:paraId="1776B1B0" w14:textId="77777777" w:rsidR="000543AC" w:rsidRPr="000543AC" w:rsidRDefault="000543AC" w:rsidP="000543AC">
      <w:pPr>
        <w:spacing w:after="0" w:line="240" w:lineRule="auto"/>
        <w:jc w:val="both"/>
        <w:rPr>
          <w:rFonts w:ascii="Arial" w:hAnsi="Arial" w:cs="Arial"/>
          <w:color w:val="000000" w:themeColor="text1"/>
          <w:sz w:val="20"/>
          <w:szCs w:val="20"/>
        </w:rPr>
      </w:pPr>
    </w:p>
    <w:p w14:paraId="3F8B6057" w14:textId="5986A8DB" w:rsid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 xml:space="preserve">Table </w:t>
      </w:r>
      <w:r w:rsidR="001B7571">
        <w:rPr>
          <w:rFonts w:ascii="Arial" w:eastAsia="Times New Roman" w:hAnsi="Arial" w:cs="Arial"/>
          <w:sz w:val="20"/>
          <w:szCs w:val="20"/>
        </w:rPr>
        <w:t>7</w:t>
      </w:r>
      <w:r w:rsidRPr="000543AC">
        <w:rPr>
          <w:rFonts w:ascii="Arial" w:eastAsia="Times New Roman" w:hAnsi="Arial" w:cs="Arial"/>
          <w:sz w:val="20"/>
          <w:szCs w:val="20"/>
        </w:rPr>
        <w:t xml:space="preserve"> shows that the respondents had an overall high level of financial literacy (x̄ = 3.75, s = 0.24). The highest indicator is financial self-efficacy (x̄ = 3.95, s = 0.40), indicating that respondents feel confident in managing finances, solving problems, and handling emergencies. </w:t>
      </w:r>
      <w:r w:rsidR="00E0340D" w:rsidRPr="000543AC">
        <w:rPr>
          <w:rFonts w:ascii="Arial" w:eastAsia="Times New Roman" w:hAnsi="Arial" w:cs="Arial"/>
          <w:sz w:val="20"/>
          <w:szCs w:val="20"/>
        </w:rPr>
        <w:t>This supports the findings of Xiao and Porto (2017), who emphasized that financial literacy includes both knowledge and the confidence to make sound financial decisions.</w:t>
      </w:r>
    </w:p>
    <w:p w14:paraId="71E712CD" w14:textId="77777777" w:rsidR="000543AC" w:rsidRDefault="000543AC" w:rsidP="000543AC">
      <w:pPr>
        <w:spacing w:after="0" w:line="240" w:lineRule="auto"/>
        <w:ind w:firstLine="720"/>
        <w:jc w:val="both"/>
        <w:rPr>
          <w:rFonts w:ascii="Arial" w:eastAsia="Times New Roman" w:hAnsi="Arial" w:cs="Arial"/>
          <w:sz w:val="20"/>
          <w:szCs w:val="20"/>
        </w:rPr>
      </w:pPr>
    </w:p>
    <w:p w14:paraId="60FBCB4F" w14:textId="6324627B" w:rsidR="000543AC" w:rsidRPr="000543AC" w:rsidRDefault="000543AC" w:rsidP="000543AC">
      <w:pPr>
        <w:spacing w:after="0" w:line="240" w:lineRule="auto"/>
        <w:jc w:val="both"/>
        <w:rPr>
          <w:rFonts w:ascii="Arial" w:hAnsi="Arial" w:cs="Arial"/>
          <w:color w:val="000000" w:themeColor="text1"/>
          <w:sz w:val="20"/>
          <w:szCs w:val="20"/>
          <w:lang w:val="en-US"/>
        </w:rPr>
      </w:pPr>
      <w:r w:rsidRPr="000543AC">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7</w:t>
      </w:r>
      <w:r w:rsidRPr="000543AC">
        <w:rPr>
          <w:rFonts w:ascii="Arial" w:hAnsi="Arial" w:cs="Arial"/>
          <w:color w:val="000000" w:themeColor="text1"/>
          <w:sz w:val="20"/>
          <w:szCs w:val="20"/>
          <w:lang w:val="en-US"/>
        </w:rPr>
        <w:t>. Financial literacy level</w:t>
      </w:r>
    </w:p>
    <w:tbl>
      <w:tblPr>
        <w:tblStyle w:val="TableGrid"/>
        <w:tblW w:w="8190" w:type="dxa"/>
        <w:tblLayout w:type="fixed"/>
        <w:tblLook w:val="04A0" w:firstRow="1" w:lastRow="0" w:firstColumn="1" w:lastColumn="0" w:noHBand="0" w:noVBand="1"/>
      </w:tblPr>
      <w:tblGrid>
        <w:gridCol w:w="702"/>
        <w:gridCol w:w="3528"/>
        <w:gridCol w:w="900"/>
        <w:gridCol w:w="1350"/>
        <w:gridCol w:w="1710"/>
      </w:tblGrid>
      <w:tr w:rsidR="000543AC" w:rsidRPr="000543AC" w14:paraId="10F28E99" w14:textId="77777777" w:rsidTr="007236BD">
        <w:tc>
          <w:tcPr>
            <w:tcW w:w="702" w:type="dxa"/>
            <w:tcBorders>
              <w:left w:val="nil"/>
              <w:right w:val="nil"/>
            </w:tcBorders>
            <w:vAlign w:val="center"/>
          </w:tcPr>
          <w:p w14:paraId="36B39082"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No.</w:t>
            </w:r>
          </w:p>
        </w:tc>
        <w:tc>
          <w:tcPr>
            <w:tcW w:w="3528" w:type="dxa"/>
            <w:tcBorders>
              <w:left w:val="nil"/>
              <w:right w:val="nil"/>
            </w:tcBorders>
            <w:vAlign w:val="center"/>
          </w:tcPr>
          <w:p w14:paraId="21BB99E7"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Factors of Financial Literacy</w:t>
            </w:r>
          </w:p>
        </w:tc>
        <w:tc>
          <w:tcPr>
            <w:tcW w:w="900" w:type="dxa"/>
            <w:tcBorders>
              <w:left w:val="nil"/>
              <w:right w:val="nil"/>
            </w:tcBorders>
            <w:vAlign w:val="center"/>
          </w:tcPr>
          <w:p w14:paraId="350C021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Mean</w:t>
            </w:r>
          </w:p>
        </w:tc>
        <w:tc>
          <w:tcPr>
            <w:tcW w:w="1350" w:type="dxa"/>
            <w:tcBorders>
              <w:left w:val="nil"/>
              <w:right w:val="nil"/>
            </w:tcBorders>
            <w:vAlign w:val="center"/>
          </w:tcPr>
          <w:p w14:paraId="28BA128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Std. Deviation</w:t>
            </w:r>
          </w:p>
        </w:tc>
        <w:tc>
          <w:tcPr>
            <w:tcW w:w="1710" w:type="dxa"/>
            <w:tcBorders>
              <w:left w:val="nil"/>
              <w:right w:val="nil"/>
            </w:tcBorders>
            <w:vAlign w:val="center"/>
          </w:tcPr>
          <w:p w14:paraId="05650EB9"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Interpretation</w:t>
            </w:r>
          </w:p>
        </w:tc>
      </w:tr>
      <w:tr w:rsidR="000543AC" w:rsidRPr="000543AC" w14:paraId="287E53E5" w14:textId="77777777" w:rsidTr="007236BD">
        <w:tc>
          <w:tcPr>
            <w:tcW w:w="702" w:type="dxa"/>
            <w:tcBorders>
              <w:left w:val="nil"/>
              <w:right w:val="nil"/>
            </w:tcBorders>
          </w:tcPr>
          <w:p w14:paraId="445550AF"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1</w:t>
            </w:r>
          </w:p>
        </w:tc>
        <w:tc>
          <w:tcPr>
            <w:tcW w:w="3528" w:type="dxa"/>
            <w:tcBorders>
              <w:left w:val="nil"/>
              <w:right w:val="nil"/>
            </w:tcBorders>
          </w:tcPr>
          <w:p w14:paraId="18051FE5" w14:textId="77777777" w:rsidR="000543AC" w:rsidRPr="000543AC" w:rsidRDefault="000543AC" w:rsidP="000543AC">
            <w:pPr>
              <w:rPr>
                <w:rFonts w:ascii="Arial" w:hAnsi="Arial" w:cs="Arial"/>
                <w:color w:val="000000" w:themeColor="text1"/>
              </w:rPr>
            </w:pPr>
            <w:r w:rsidRPr="000543AC">
              <w:rPr>
                <w:rFonts w:ascii="Arial" w:eastAsia="Times New Roman" w:hAnsi="Arial" w:cs="Arial"/>
                <w:color w:val="000000" w:themeColor="text1"/>
                <w:lang w:eastAsia="en-PH"/>
              </w:rPr>
              <w:t>Financial Behavior</w:t>
            </w:r>
          </w:p>
        </w:tc>
        <w:tc>
          <w:tcPr>
            <w:tcW w:w="900" w:type="dxa"/>
            <w:tcBorders>
              <w:left w:val="nil"/>
              <w:right w:val="nil"/>
            </w:tcBorders>
            <w:vAlign w:val="center"/>
          </w:tcPr>
          <w:p w14:paraId="17A5514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3.78</w:t>
            </w:r>
          </w:p>
        </w:tc>
        <w:tc>
          <w:tcPr>
            <w:tcW w:w="1350" w:type="dxa"/>
            <w:tcBorders>
              <w:left w:val="nil"/>
              <w:right w:val="nil"/>
            </w:tcBorders>
            <w:vAlign w:val="center"/>
          </w:tcPr>
          <w:p w14:paraId="3C2B2C3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0.37</w:t>
            </w:r>
          </w:p>
        </w:tc>
        <w:tc>
          <w:tcPr>
            <w:tcW w:w="1710" w:type="dxa"/>
            <w:tcBorders>
              <w:left w:val="nil"/>
              <w:right w:val="nil"/>
            </w:tcBorders>
            <w:vAlign w:val="bottom"/>
          </w:tcPr>
          <w:p w14:paraId="5F4D032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202581EB" w14:textId="77777777" w:rsidTr="007236BD">
        <w:tc>
          <w:tcPr>
            <w:tcW w:w="702" w:type="dxa"/>
            <w:tcBorders>
              <w:left w:val="nil"/>
              <w:right w:val="nil"/>
            </w:tcBorders>
          </w:tcPr>
          <w:p w14:paraId="11654D8A"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2</w:t>
            </w:r>
          </w:p>
        </w:tc>
        <w:tc>
          <w:tcPr>
            <w:tcW w:w="3528" w:type="dxa"/>
            <w:tcBorders>
              <w:left w:val="nil"/>
              <w:right w:val="nil"/>
            </w:tcBorders>
          </w:tcPr>
          <w:p w14:paraId="765C5656" w14:textId="77777777" w:rsidR="000543AC" w:rsidRPr="000543AC" w:rsidRDefault="000543AC" w:rsidP="000543AC">
            <w:pPr>
              <w:rPr>
                <w:rFonts w:ascii="Arial" w:hAnsi="Arial" w:cs="Arial"/>
                <w:color w:val="000000" w:themeColor="text1"/>
              </w:rPr>
            </w:pPr>
            <w:r w:rsidRPr="000543AC">
              <w:rPr>
                <w:rFonts w:ascii="Arial" w:eastAsia="Times New Roman" w:hAnsi="Arial" w:cs="Arial"/>
                <w:color w:val="000000" w:themeColor="text1"/>
                <w:lang w:eastAsia="en-PH"/>
              </w:rPr>
              <w:t>Financial Self-Efficacy</w:t>
            </w:r>
          </w:p>
        </w:tc>
        <w:tc>
          <w:tcPr>
            <w:tcW w:w="900" w:type="dxa"/>
            <w:tcBorders>
              <w:left w:val="nil"/>
              <w:right w:val="nil"/>
            </w:tcBorders>
            <w:vAlign w:val="center"/>
          </w:tcPr>
          <w:p w14:paraId="4F690BB7"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3.95</w:t>
            </w:r>
          </w:p>
        </w:tc>
        <w:tc>
          <w:tcPr>
            <w:tcW w:w="1350" w:type="dxa"/>
            <w:tcBorders>
              <w:left w:val="nil"/>
              <w:right w:val="nil"/>
            </w:tcBorders>
            <w:vAlign w:val="center"/>
          </w:tcPr>
          <w:p w14:paraId="0BF349AB"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0.40</w:t>
            </w:r>
          </w:p>
        </w:tc>
        <w:tc>
          <w:tcPr>
            <w:tcW w:w="1710" w:type="dxa"/>
            <w:tcBorders>
              <w:left w:val="nil"/>
              <w:right w:val="nil"/>
            </w:tcBorders>
            <w:vAlign w:val="bottom"/>
          </w:tcPr>
          <w:p w14:paraId="0F5DE4F7"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41177D24" w14:textId="77777777" w:rsidTr="007236BD">
        <w:tc>
          <w:tcPr>
            <w:tcW w:w="702" w:type="dxa"/>
            <w:tcBorders>
              <w:left w:val="nil"/>
              <w:right w:val="nil"/>
            </w:tcBorders>
          </w:tcPr>
          <w:p w14:paraId="59F5D1F6"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3</w:t>
            </w:r>
          </w:p>
        </w:tc>
        <w:tc>
          <w:tcPr>
            <w:tcW w:w="3528" w:type="dxa"/>
            <w:tcBorders>
              <w:left w:val="nil"/>
              <w:right w:val="nil"/>
            </w:tcBorders>
          </w:tcPr>
          <w:p w14:paraId="4684B00B" w14:textId="77777777" w:rsidR="000543AC" w:rsidRPr="000543AC" w:rsidRDefault="000543AC" w:rsidP="000543AC">
            <w:pPr>
              <w:rPr>
                <w:rFonts w:ascii="Arial" w:hAnsi="Arial" w:cs="Arial"/>
                <w:color w:val="000000" w:themeColor="text1"/>
              </w:rPr>
            </w:pPr>
            <w:r w:rsidRPr="000543AC">
              <w:rPr>
                <w:rFonts w:ascii="Arial" w:eastAsia="Times New Roman" w:hAnsi="Arial" w:cs="Arial"/>
                <w:color w:val="000000" w:themeColor="text1"/>
                <w:lang w:eastAsia="en-PH"/>
              </w:rPr>
              <w:t>Financial Well-Being</w:t>
            </w:r>
          </w:p>
        </w:tc>
        <w:tc>
          <w:tcPr>
            <w:tcW w:w="900" w:type="dxa"/>
            <w:tcBorders>
              <w:left w:val="nil"/>
              <w:right w:val="nil"/>
            </w:tcBorders>
            <w:vAlign w:val="center"/>
          </w:tcPr>
          <w:p w14:paraId="6B62827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3.88</w:t>
            </w:r>
          </w:p>
        </w:tc>
        <w:tc>
          <w:tcPr>
            <w:tcW w:w="1350" w:type="dxa"/>
            <w:tcBorders>
              <w:left w:val="nil"/>
              <w:right w:val="nil"/>
            </w:tcBorders>
            <w:vAlign w:val="center"/>
          </w:tcPr>
          <w:p w14:paraId="3D34F636"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0.39</w:t>
            </w:r>
          </w:p>
        </w:tc>
        <w:tc>
          <w:tcPr>
            <w:tcW w:w="1710" w:type="dxa"/>
            <w:tcBorders>
              <w:left w:val="nil"/>
              <w:right w:val="nil"/>
            </w:tcBorders>
            <w:vAlign w:val="bottom"/>
          </w:tcPr>
          <w:p w14:paraId="33D658C0"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1021A677" w14:textId="77777777" w:rsidTr="007236BD">
        <w:trPr>
          <w:trHeight w:val="109"/>
        </w:trPr>
        <w:tc>
          <w:tcPr>
            <w:tcW w:w="702" w:type="dxa"/>
            <w:tcBorders>
              <w:left w:val="nil"/>
              <w:right w:val="nil"/>
            </w:tcBorders>
          </w:tcPr>
          <w:p w14:paraId="3D289B2E"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4</w:t>
            </w:r>
          </w:p>
        </w:tc>
        <w:tc>
          <w:tcPr>
            <w:tcW w:w="3528" w:type="dxa"/>
            <w:tcBorders>
              <w:left w:val="nil"/>
              <w:right w:val="nil"/>
            </w:tcBorders>
            <w:vAlign w:val="center"/>
          </w:tcPr>
          <w:p w14:paraId="59D60A07" w14:textId="77777777" w:rsidR="000543AC" w:rsidRPr="000543AC" w:rsidRDefault="000543AC" w:rsidP="000543AC">
            <w:pPr>
              <w:rPr>
                <w:rFonts w:ascii="Arial" w:hAnsi="Arial" w:cs="Arial"/>
                <w:color w:val="000000" w:themeColor="text1"/>
              </w:rPr>
            </w:pPr>
            <w:r w:rsidRPr="000543AC">
              <w:rPr>
                <w:rFonts w:ascii="Arial" w:eastAsia="Times New Roman" w:hAnsi="Arial" w:cs="Arial"/>
                <w:color w:val="000000" w:themeColor="text1"/>
                <w:lang w:eastAsia="en-PH"/>
              </w:rPr>
              <w:t>Perception of Current Financial Status</w:t>
            </w:r>
          </w:p>
        </w:tc>
        <w:tc>
          <w:tcPr>
            <w:tcW w:w="900" w:type="dxa"/>
            <w:tcBorders>
              <w:left w:val="nil"/>
              <w:right w:val="nil"/>
            </w:tcBorders>
            <w:vAlign w:val="center"/>
          </w:tcPr>
          <w:p w14:paraId="034B91FA"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3.25</w:t>
            </w:r>
          </w:p>
        </w:tc>
        <w:tc>
          <w:tcPr>
            <w:tcW w:w="1350" w:type="dxa"/>
            <w:tcBorders>
              <w:left w:val="nil"/>
              <w:right w:val="nil"/>
            </w:tcBorders>
            <w:vAlign w:val="center"/>
          </w:tcPr>
          <w:p w14:paraId="052BD8B9"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0.76</w:t>
            </w:r>
          </w:p>
        </w:tc>
        <w:tc>
          <w:tcPr>
            <w:tcW w:w="1710" w:type="dxa"/>
            <w:tcBorders>
              <w:left w:val="nil"/>
              <w:right w:val="nil"/>
            </w:tcBorders>
            <w:vAlign w:val="center"/>
          </w:tcPr>
          <w:p w14:paraId="7E25EDD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Moderate</w:t>
            </w:r>
          </w:p>
        </w:tc>
      </w:tr>
      <w:tr w:rsidR="000543AC" w:rsidRPr="000543AC" w14:paraId="26EEBB14" w14:textId="77777777" w:rsidTr="007236BD">
        <w:tc>
          <w:tcPr>
            <w:tcW w:w="702" w:type="dxa"/>
            <w:tcBorders>
              <w:left w:val="nil"/>
              <w:right w:val="nil"/>
            </w:tcBorders>
          </w:tcPr>
          <w:p w14:paraId="75FBE04B"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lastRenderedPageBreak/>
              <w:t>5</w:t>
            </w:r>
          </w:p>
        </w:tc>
        <w:tc>
          <w:tcPr>
            <w:tcW w:w="3528" w:type="dxa"/>
            <w:tcBorders>
              <w:left w:val="nil"/>
              <w:right w:val="nil"/>
            </w:tcBorders>
          </w:tcPr>
          <w:p w14:paraId="5AD89EDF" w14:textId="77777777" w:rsidR="000543AC" w:rsidRPr="000543AC" w:rsidRDefault="000543AC" w:rsidP="000543AC">
            <w:pPr>
              <w:rPr>
                <w:rFonts w:ascii="Arial" w:hAnsi="Arial" w:cs="Arial"/>
                <w:color w:val="000000" w:themeColor="text1"/>
              </w:rPr>
            </w:pPr>
            <w:r w:rsidRPr="000543AC">
              <w:rPr>
                <w:rFonts w:ascii="Arial" w:eastAsia="Times New Roman" w:hAnsi="Arial" w:cs="Arial"/>
                <w:color w:val="000000" w:themeColor="text1"/>
                <w:lang w:eastAsia="en-PH"/>
              </w:rPr>
              <w:t>Planning and controlling</w:t>
            </w:r>
          </w:p>
        </w:tc>
        <w:tc>
          <w:tcPr>
            <w:tcW w:w="900" w:type="dxa"/>
            <w:tcBorders>
              <w:left w:val="nil"/>
              <w:right w:val="nil"/>
            </w:tcBorders>
            <w:vAlign w:val="center"/>
          </w:tcPr>
          <w:p w14:paraId="4353B42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3.89</w:t>
            </w:r>
          </w:p>
        </w:tc>
        <w:tc>
          <w:tcPr>
            <w:tcW w:w="1350" w:type="dxa"/>
            <w:tcBorders>
              <w:left w:val="nil"/>
              <w:right w:val="nil"/>
            </w:tcBorders>
            <w:vAlign w:val="center"/>
          </w:tcPr>
          <w:p w14:paraId="7D32AED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0.41</w:t>
            </w:r>
          </w:p>
        </w:tc>
        <w:tc>
          <w:tcPr>
            <w:tcW w:w="1710" w:type="dxa"/>
            <w:tcBorders>
              <w:left w:val="nil"/>
              <w:right w:val="nil"/>
            </w:tcBorders>
            <w:vAlign w:val="bottom"/>
          </w:tcPr>
          <w:p w14:paraId="1C69EE7C"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19D3FC3B" w14:textId="77777777" w:rsidTr="007236BD">
        <w:tc>
          <w:tcPr>
            <w:tcW w:w="702" w:type="dxa"/>
            <w:tcBorders>
              <w:left w:val="nil"/>
              <w:right w:val="nil"/>
            </w:tcBorders>
          </w:tcPr>
          <w:p w14:paraId="2F8BB24D" w14:textId="77777777" w:rsidR="000543AC" w:rsidRPr="000543AC" w:rsidRDefault="000543AC" w:rsidP="000543AC">
            <w:pPr>
              <w:rPr>
                <w:rFonts w:ascii="Arial" w:hAnsi="Arial" w:cs="Arial"/>
                <w:color w:val="000000" w:themeColor="text1"/>
              </w:rPr>
            </w:pPr>
          </w:p>
        </w:tc>
        <w:tc>
          <w:tcPr>
            <w:tcW w:w="3528" w:type="dxa"/>
            <w:tcBorders>
              <w:left w:val="nil"/>
              <w:right w:val="nil"/>
            </w:tcBorders>
          </w:tcPr>
          <w:p w14:paraId="1D440B1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Overall Financial Literacy</w:t>
            </w:r>
          </w:p>
        </w:tc>
        <w:tc>
          <w:tcPr>
            <w:tcW w:w="900" w:type="dxa"/>
            <w:tcBorders>
              <w:left w:val="nil"/>
              <w:right w:val="nil"/>
            </w:tcBorders>
            <w:vAlign w:val="center"/>
          </w:tcPr>
          <w:p w14:paraId="566B3AE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3.75</w:t>
            </w:r>
          </w:p>
        </w:tc>
        <w:tc>
          <w:tcPr>
            <w:tcW w:w="1350" w:type="dxa"/>
            <w:tcBorders>
              <w:left w:val="nil"/>
              <w:right w:val="nil"/>
            </w:tcBorders>
            <w:vAlign w:val="center"/>
          </w:tcPr>
          <w:p w14:paraId="6ABF111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0.24</w:t>
            </w:r>
          </w:p>
        </w:tc>
        <w:tc>
          <w:tcPr>
            <w:tcW w:w="1710" w:type="dxa"/>
            <w:tcBorders>
              <w:left w:val="nil"/>
              <w:right w:val="nil"/>
            </w:tcBorders>
            <w:vAlign w:val="bottom"/>
          </w:tcPr>
          <w:p w14:paraId="3F00B95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bl>
    <w:p w14:paraId="4A690B54" w14:textId="77777777" w:rsidR="007A36B7" w:rsidRPr="000543AC" w:rsidRDefault="007A36B7" w:rsidP="000543AC">
      <w:pPr>
        <w:spacing w:after="0" w:line="240" w:lineRule="auto"/>
        <w:ind w:firstLine="720"/>
        <w:jc w:val="both"/>
        <w:rPr>
          <w:rFonts w:ascii="Arial" w:hAnsi="Arial" w:cs="Arial"/>
          <w:sz w:val="20"/>
          <w:szCs w:val="20"/>
        </w:rPr>
      </w:pPr>
    </w:p>
    <w:p w14:paraId="289E5D7E" w14:textId="6AADC08A" w:rsidR="000543AC" w:rsidRP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 xml:space="preserve"> The lowest is the perception of current financial status (x̄ = 3.25, s = 0.76), which reflects moderate understanding and greater variability in how respondents assess their financial stability. This is consistent with Lusardi and Mitchell (2017), who noted that individuals may be financially capable yet still feel uncertain or anxious about their financial situation. The overall high average suggests that government employees in </w:t>
      </w:r>
      <w:proofErr w:type="spellStart"/>
      <w:r w:rsidRPr="000543AC">
        <w:rPr>
          <w:rFonts w:ascii="Arial" w:eastAsia="Times New Roman" w:hAnsi="Arial" w:cs="Arial"/>
          <w:sz w:val="20"/>
          <w:szCs w:val="20"/>
        </w:rPr>
        <w:t>Cateel</w:t>
      </w:r>
      <w:proofErr w:type="spellEnd"/>
      <w:r w:rsidRPr="000543AC">
        <w:rPr>
          <w:rFonts w:ascii="Arial" w:eastAsia="Times New Roman" w:hAnsi="Arial" w:cs="Arial"/>
          <w:sz w:val="20"/>
          <w:szCs w:val="20"/>
        </w:rPr>
        <w:t xml:space="preserve"> generally practice responsible financial behaviors and feel secure in their decision-making, although continued efforts in strengthening financial confidence and self-awareness are needed.</w:t>
      </w:r>
    </w:p>
    <w:p w14:paraId="4BF7A6E7" w14:textId="77777777" w:rsidR="000543AC" w:rsidRPr="000543AC" w:rsidRDefault="000543AC" w:rsidP="000543AC">
      <w:pPr>
        <w:spacing w:after="0" w:line="240" w:lineRule="auto"/>
        <w:jc w:val="both"/>
        <w:rPr>
          <w:rFonts w:ascii="Arial" w:hAnsi="Arial" w:cs="Arial"/>
          <w:sz w:val="20"/>
          <w:szCs w:val="20"/>
        </w:rPr>
      </w:pPr>
    </w:p>
    <w:p w14:paraId="40332B69" w14:textId="77777777" w:rsidR="000543AC" w:rsidRDefault="000543AC" w:rsidP="00CF7BA2">
      <w:pPr>
        <w:spacing w:after="0" w:line="240" w:lineRule="auto"/>
        <w:jc w:val="center"/>
        <w:rPr>
          <w:rFonts w:ascii="Arial" w:hAnsi="Arial" w:cs="Arial"/>
          <w:b/>
          <w:bCs/>
          <w:sz w:val="20"/>
          <w:szCs w:val="20"/>
        </w:rPr>
      </w:pPr>
      <w:bookmarkStart w:id="1" w:name="_Toc201323108"/>
      <w:r w:rsidRPr="000543AC">
        <w:rPr>
          <w:rFonts w:ascii="Arial" w:hAnsi="Arial" w:cs="Arial"/>
          <w:b/>
          <w:bCs/>
          <w:sz w:val="20"/>
          <w:szCs w:val="20"/>
        </w:rPr>
        <w:t>Level of Retirement Preparedness</w:t>
      </w:r>
      <w:bookmarkEnd w:id="1"/>
    </w:p>
    <w:p w14:paraId="355C11C9" w14:textId="77777777" w:rsidR="007236BD" w:rsidRPr="000543AC" w:rsidRDefault="007236BD" w:rsidP="00CF7BA2">
      <w:pPr>
        <w:spacing w:after="0" w:line="240" w:lineRule="auto"/>
        <w:jc w:val="center"/>
        <w:rPr>
          <w:rFonts w:ascii="Arial" w:hAnsi="Arial" w:cs="Arial"/>
          <w:b/>
          <w:bCs/>
          <w:sz w:val="20"/>
          <w:szCs w:val="20"/>
        </w:rPr>
      </w:pPr>
    </w:p>
    <w:p w14:paraId="06152E82" w14:textId="1E3C4AD8" w:rsidR="000543AC" w:rsidRDefault="000543AC" w:rsidP="000543AC">
      <w:pPr>
        <w:spacing w:after="0" w:line="240" w:lineRule="auto"/>
        <w:ind w:firstLine="720"/>
        <w:jc w:val="both"/>
        <w:rPr>
          <w:rFonts w:ascii="Arial" w:eastAsia="Times New Roman" w:hAnsi="Arial" w:cs="Arial"/>
          <w:sz w:val="20"/>
          <w:szCs w:val="20"/>
        </w:rPr>
      </w:pPr>
      <w:r w:rsidRPr="000543AC">
        <w:rPr>
          <w:rFonts w:ascii="Arial" w:eastAsia="Times New Roman" w:hAnsi="Arial" w:cs="Arial"/>
          <w:sz w:val="20"/>
          <w:szCs w:val="20"/>
        </w:rPr>
        <w:t xml:space="preserve">Table </w:t>
      </w:r>
      <w:r w:rsidR="001B7571">
        <w:rPr>
          <w:rFonts w:ascii="Arial" w:eastAsia="Times New Roman" w:hAnsi="Arial" w:cs="Arial"/>
          <w:sz w:val="20"/>
          <w:szCs w:val="20"/>
        </w:rPr>
        <w:t>8</w:t>
      </w:r>
      <w:r w:rsidRPr="000543AC">
        <w:rPr>
          <w:rFonts w:ascii="Arial" w:eastAsia="Times New Roman" w:hAnsi="Arial" w:cs="Arial"/>
          <w:sz w:val="20"/>
          <w:szCs w:val="20"/>
        </w:rPr>
        <w:t xml:space="preserve"> shows that the respondents had a high level of retirement preparedness in terms of retirement saving behavior (x̄ = 4.04, s = 0.32). The highest was regularly contributing to retirement savings accounts (x̄ = 4.62, s = 0.59), indicating that most respondents actively and consistently save for retirement, which supports Lusardi and Mitchell’s (2017) emphasis on habitual saving as key to retirement readiness. The lowest was confidence in the overall retirement savings plan (x̄ = 3.84, s = 0.53), still reflecting a high level of preparedness and aligning with the view that while saving behavior may be strong, confidence in long-term planning can vary. Overall, these results suggest that respondents are engaged in responsible saving practices and demonstrate a strong awareness of long-term financial planning.</w:t>
      </w:r>
    </w:p>
    <w:p w14:paraId="4EA2EB1E" w14:textId="77777777" w:rsidR="000543AC" w:rsidRPr="000543AC" w:rsidRDefault="000543AC" w:rsidP="000543AC">
      <w:pPr>
        <w:spacing w:after="0" w:line="240" w:lineRule="auto"/>
        <w:ind w:firstLine="720"/>
        <w:jc w:val="both"/>
        <w:rPr>
          <w:rFonts w:ascii="Arial" w:eastAsia="Times New Roman" w:hAnsi="Arial" w:cs="Arial"/>
          <w:sz w:val="20"/>
          <w:szCs w:val="20"/>
        </w:rPr>
      </w:pPr>
    </w:p>
    <w:p w14:paraId="4D080189" w14:textId="1B4A02E0" w:rsidR="000543AC" w:rsidRPr="000543AC" w:rsidRDefault="000543AC" w:rsidP="000543AC">
      <w:pPr>
        <w:spacing w:after="0" w:line="240" w:lineRule="auto"/>
        <w:jc w:val="both"/>
        <w:rPr>
          <w:rFonts w:ascii="Arial" w:hAnsi="Arial" w:cs="Arial"/>
          <w:color w:val="000000" w:themeColor="text1"/>
          <w:sz w:val="20"/>
          <w:szCs w:val="20"/>
        </w:rPr>
      </w:pPr>
      <w:r w:rsidRPr="000543AC">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8</w:t>
      </w:r>
      <w:r w:rsidRPr="000543AC">
        <w:rPr>
          <w:rFonts w:ascii="Arial" w:hAnsi="Arial" w:cs="Arial"/>
          <w:color w:val="000000" w:themeColor="text1"/>
          <w:sz w:val="20"/>
          <w:szCs w:val="20"/>
          <w:lang w:val="en-US"/>
        </w:rPr>
        <w:t>. Level of retirement saving behavior</w:t>
      </w:r>
    </w:p>
    <w:tbl>
      <w:tblPr>
        <w:tblStyle w:val="TableGrid"/>
        <w:tblW w:w="8190" w:type="dxa"/>
        <w:tblLayout w:type="fixed"/>
        <w:tblLook w:val="04A0" w:firstRow="1" w:lastRow="0" w:firstColumn="1" w:lastColumn="0" w:noHBand="0" w:noVBand="1"/>
      </w:tblPr>
      <w:tblGrid>
        <w:gridCol w:w="567"/>
        <w:gridCol w:w="4113"/>
        <w:gridCol w:w="720"/>
        <w:gridCol w:w="1350"/>
        <w:gridCol w:w="1440"/>
      </w:tblGrid>
      <w:tr w:rsidR="000543AC" w:rsidRPr="000543AC" w14:paraId="75A16949" w14:textId="77777777" w:rsidTr="00CF7BA2">
        <w:tc>
          <w:tcPr>
            <w:tcW w:w="567" w:type="dxa"/>
            <w:tcBorders>
              <w:left w:val="nil"/>
              <w:right w:val="nil"/>
            </w:tcBorders>
            <w:vAlign w:val="center"/>
          </w:tcPr>
          <w:p w14:paraId="472FD1F1"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No.</w:t>
            </w:r>
          </w:p>
        </w:tc>
        <w:tc>
          <w:tcPr>
            <w:tcW w:w="4113" w:type="dxa"/>
            <w:tcBorders>
              <w:left w:val="nil"/>
              <w:right w:val="nil"/>
            </w:tcBorders>
            <w:vAlign w:val="center"/>
          </w:tcPr>
          <w:p w14:paraId="1095D6FB"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 xml:space="preserve">Description </w:t>
            </w:r>
          </w:p>
        </w:tc>
        <w:tc>
          <w:tcPr>
            <w:tcW w:w="720" w:type="dxa"/>
            <w:tcBorders>
              <w:left w:val="nil"/>
              <w:right w:val="nil"/>
            </w:tcBorders>
            <w:vAlign w:val="center"/>
          </w:tcPr>
          <w:p w14:paraId="5F651926"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Mean</w:t>
            </w:r>
          </w:p>
        </w:tc>
        <w:tc>
          <w:tcPr>
            <w:tcW w:w="1350" w:type="dxa"/>
            <w:tcBorders>
              <w:left w:val="nil"/>
              <w:right w:val="nil"/>
            </w:tcBorders>
            <w:vAlign w:val="center"/>
          </w:tcPr>
          <w:p w14:paraId="4482A8F6"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Std. Deviation</w:t>
            </w:r>
          </w:p>
        </w:tc>
        <w:tc>
          <w:tcPr>
            <w:tcW w:w="1440" w:type="dxa"/>
            <w:tcBorders>
              <w:left w:val="nil"/>
              <w:right w:val="nil"/>
            </w:tcBorders>
            <w:vAlign w:val="center"/>
          </w:tcPr>
          <w:p w14:paraId="6398BD4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Interpretation</w:t>
            </w:r>
          </w:p>
        </w:tc>
      </w:tr>
      <w:tr w:rsidR="000543AC" w:rsidRPr="000543AC" w14:paraId="27027F20" w14:textId="77777777" w:rsidTr="00CF7BA2">
        <w:tc>
          <w:tcPr>
            <w:tcW w:w="567" w:type="dxa"/>
            <w:tcBorders>
              <w:left w:val="nil"/>
              <w:right w:val="nil"/>
            </w:tcBorders>
          </w:tcPr>
          <w:p w14:paraId="4C510D54"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1</w:t>
            </w:r>
          </w:p>
        </w:tc>
        <w:tc>
          <w:tcPr>
            <w:tcW w:w="4113" w:type="dxa"/>
            <w:tcBorders>
              <w:left w:val="nil"/>
              <w:right w:val="nil"/>
            </w:tcBorders>
          </w:tcPr>
          <w:p w14:paraId="5C793A70"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Regularly contribute to retirement savings accounts</w:t>
            </w:r>
          </w:p>
        </w:tc>
        <w:tc>
          <w:tcPr>
            <w:tcW w:w="720" w:type="dxa"/>
            <w:tcBorders>
              <w:left w:val="nil"/>
              <w:right w:val="nil"/>
            </w:tcBorders>
            <w:vAlign w:val="center"/>
          </w:tcPr>
          <w:p w14:paraId="31C3BC3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4.62</w:t>
            </w:r>
          </w:p>
        </w:tc>
        <w:tc>
          <w:tcPr>
            <w:tcW w:w="1350" w:type="dxa"/>
            <w:tcBorders>
              <w:left w:val="nil"/>
              <w:right w:val="nil"/>
            </w:tcBorders>
            <w:vAlign w:val="center"/>
          </w:tcPr>
          <w:p w14:paraId="3D198365"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0.59</w:t>
            </w:r>
          </w:p>
        </w:tc>
        <w:tc>
          <w:tcPr>
            <w:tcW w:w="1440" w:type="dxa"/>
            <w:tcBorders>
              <w:left w:val="nil"/>
              <w:right w:val="nil"/>
            </w:tcBorders>
            <w:vAlign w:val="center"/>
          </w:tcPr>
          <w:p w14:paraId="16D2909C"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Very High</w:t>
            </w:r>
          </w:p>
        </w:tc>
      </w:tr>
      <w:tr w:rsidR="000543AC" w:rsidRPr="000543AC" w14:paraId="515CC76E" w14:textId="77777777" w:rsidTr="00CF7BA2">
        <w:tc>
          <w:tcPr>
            <w:tcW w:w="567" w:type="dxa"/>
            <w:tcBorders>
              <w:left w:val="nil"/>
              <w:right w:val="nil"/>
            </w:tcBorders>
          </w:tcPr>
          <w:p w14:paraId="25D3A8EC"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2</w:t>
            </w:r>
          </w:p>
        </w:tc>
        <w:tc>
          <w:tcPr>
            <w:tcW w:w="4113" w:type="dxa"/>
            <w:tcBorders>
              <w:left w:val="nil"/>
              <w:right w:val="nil"/>
            </w:tcBorders>
          </w:tcPr>
          <w:p w14:paraId="44042559"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Review and adjust retirement savings strategy annually</w:t>
            </w:r>
          </w:p>
        </w:tc>
        <w:tc>
          <w:tcPr>
            <w:tcW w:w="720" w:type="dxa"/>
            <w:tcBorders>
              <w:left w:val="nil"/>
              <w:right w:val="nil"/>
            </w:tcBorders>
            <w:vAlign w:val="center"/>
          </w:tcPr>
          <w:p w14:paraId="6E19A956"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3.85</w:t>
            </w:r>
          </w:p>
        </w:tc>
        <w:tc>
          <w:tcPr>
            <w:tcW w:w="1350" w:type="dxa"/>
            <w:tcBorders>
              <w:left w:val="nil"/>
              <w:right w:val="nil"/>
            </w:tcBorders>
            <w:vAlign w:val="center"/>
          </w:tcPr>
          <w:p w14:paraId="6982388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0.43</w:t>
            </w:r>
          </w:p>
        </w:tc>
        <w:tc>
          <w:tcPr>
            <w:tcW w:w="1440" w:type="dxa"/>
            <w:tcBorders>
              <w:left w:val="nil"/>
              <w:right w:val="nil"/>
            </w:tcBorders>
            <w:vAlign w:val="center"/>
          </w:tcPr>
          <w:p w14:paraId="43C0AA9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51E3A3A5" w14:textId="77777777" w:rsidTr="00CF7BA2">
        <w:tc>
          <w:tcPr>
            <w:tcW w:w="567" w:type="dxa"/>
            <w:tcBorders>
              <w:left w:val="nil"/>
              <w:right w:val="nil"/>
            </w:tcBorders>
          </w:tcPr>
          <w:p w14:paraId="6F5BB4BA"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3</w:t>
            </w:r>
          </w:p>
        </w:tc>
        <w:tc>
          <w:tcPr>
            <w:tcW w:w="4113" w:type="dxa"/>
            <w:tcBorders>
              <w:left w:val="nil"/>
              <w:right w:val="nil"/>
            </w:tcBorders>
          </w:tcPr>
          <w:p w14:paraId="2C3147BF"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Have a diversified investment portfolio for retirement savings</w:t>
            </w:r>
          </w:p>
        </w:tc>
        <w:tc>
          <w:tcPr>
            <w:tcW w:w="720" w:type="dxa"/>
            <w:tcBorders>
              <w:left w:val="nil"/>
              <w:right w:val="nil"/>
            </w:tcBorders>
            <w:vAlign w:val="center"/>
          </w:tcPr>
          <w:p w14:paraId="799A2DB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3.89</w:t>
            </w:r>
          </w:p>
        </w:tc>
        <w:tc>
          <w:tcPr>
            <w:tcW w:w="1350" w:type="dxa"/>
            <w:tcBorders>
              <w:left w:val="nil"/>
              <w:right w:val="nil"/>
            </w:tcBorders>
            <w:vAlign w:val="center"/>
          </w:tcPr>
          <w:p w14:paraId="2AD9DD8B"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0.54</w:t>
            </w:r>
          </w:p>
        </w:tc>
        <w:tc>
          <w:tcPr>
            <w:tcW w:w="1440" w:type="dxa"/>
            <w:tcBorders>
              <w:left w:val="nil"/>
              <w:right w:val="nil"/>
            </w:tcBorders>
            <w:vAlign w:val="center"/>
          </w:tcPr>
          <w:p w14:paraId="0314D95E"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2E601681" w14:textId="77777777" w:rsidTr="00CF7BA2">
        <w:tc>
          <w:tcPr>
            <w:tcW w:w="567" w:type="dxa"/>
            <w:tcBorders>
              <w:left w:val="nil"/>
              <w:right w:val="nil"/>
            </w:tcBorders>
          </w:tcPr>
          <w:p w14:paraId="2509C923"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4</w:t>
            </w:r>
          </w:p>
        </w:tc>
        <w:tc>
          <w:tcPr>
            <w:tcW w:w="4113" w:type="dxa"/>
            <w:tcBorders>
              <w:left w:val="nil"/>
              <w:right w:val="nil"/>
            </w:tcBorders>
          </w:tcPr>
          <w:p w14:paraId="0376062E"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Satisfied with the amount currently saved for retirement</w:t>
            </w:r>
          </w:p>
        </w:tc>
        <w:tc>
          <w:tcPr>
            <w:tcW w:w="720" w:type="dxa"/>
            <w:tcBorders>
              <w:left w:val="nil"/>
              <w:right w:val="nil"/>
            </w:tcBorders>
            <w:vAlign w:val="center"/>
          </w:tcPr>
          <w:p w14:paraId="61D7CA9B"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4.03</w:t>
            </w:r>
          </w:p>
        </w:tc>
        <w:tc>
          <w:tcPr>
            <w:tcW w:w="1350" w:type="dxa"/>
            <w:tcBorders>
              <w:left w:val="nil"/>
              <w:right w:val="nil"/>
            </w:tcBorders>
            <w:vAlign w:val="center"/>
          </w:tcPr>
          <w:p w14:paraId="2E84897B"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0.67</w:t>
            </w:r>
          </w:p>
        </w:tc>
        <w:tc>
          <w:tcPr>
            <w:tcW w:w="1440" w:type="dxa"/>
            <w:tcBorders>
              <w:left w:val="nil"/>
              <w:right w:val="nil"/>
            </w:tcBorders>
            <w:vAlign w:val="center"/>
          </w:tcPr>
          <w:p w14:paraId="2D9B001D"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2DDEBA2A" w14:textId="77777777" w:rsidTr="00CF7BA2">
        <w:tc>
          <w:tcPr>
            <w:tcW w:w="567" w:type="dxa"/>
            <w:tcBorders>
              <w:left w:val="nil"/>
              <w:right w:val="nil"/>
            </w:tcBorders>
          </w:tcPr>
          <w:p w14:paraId="374C0EA8" w14:textId="77777777" w:rsidR="000543AC" w:rsidRPr="000543AC" w:rsidRDefault="000543AC" w:rsidP="000543AC">
            <w:pPr>
              <w:jc w:val="center"/>
              <w:rPr>
                <w:rFonts w:ascii="Arial" w:hAnsi="Arial" w:cs="Arial"/>
                <w:color w:val="000000" w:themeColor="text1"/>
              </w:rPr>
            </w:pPr>
            <w:r w:rsidRPr="000543AC">
              <w:rPr>
                <w:rFonts w:ascii="Arial" w:hAnsi="Arial" w:cs="Arial"/>
                <w:color w:val="000000" w:themeColor="text1"/>
              </w:rPr>
              <w:t>5</w:t>
            </w:r>
          </w:p>
        </w:tc>
        <w:tc>
          <w:tcPr>
            <w:tcW w:w="4113" w:type="dxa"/>
            <w:tcBorders>
              <w:left w:val="nil"/>
              <w:right w:val="nil"/>
            </w:tcBorders>
          </w:tcPr>
          <w:p w14:paraId="7BDB1AEB" w14:textId="77777777" w:rsidR="000543AC" w:rsidRPr="000543AC" w:rsidRDefault="000543AC" w:rsidP="000543AC">
            <w:pPr>
              <w:rPr>
                <w:rFonts w:ascii="Arial" w:hAnsi="Arial" w:cs="Arial"/>
                <w:color w:val="000000" w:themeColor="text1"/>
              </w:rPr>
            </w:pPr>
            <w:r w:rsidRPr="000543AC">
              <w:rPr>
                <w:rFonts w:ascii="Arial" w:hAnsi="Arial" w:cs="Arial"/>
                <w:color w:val="000000" w:themeColor="text1"/>
              </w:rPr>
              <w:t>Confident in the overall retirement savings plan</w:t>
            </w:r>
          </w:p>
        </w:tc>
        <w:tc>
          <w:tcPr>
            <w:tcW w:w="720" w:type="dxa"/>
            <w:tcBorders>
              <w:left w:val="nil"/>
              <w:right w:val="nil"/>
            </w:tcBorders>
            <w:vAlign w:val="center"/>
          </w:tcPr>
          <w:p w14:paraId="1FA4AC0C"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3.84</w:t>
            </w:r>
          </w:p>
        </w:tc>
        <w:tc>
          <w:tcPr>
            <w:tcW w:w="1350" w:type="dxa"/>
            <w:tcBorders>
              <w:left w:val="nil"/>
              <w:right w:val="nil"/>
            </w:tcBorders>
            <w:vAlign w:val="center"/>
          </w:tcPr>
          <w:p w14:paraId="0B6919C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0.53</w:t>
            </w:r>
          </w:p>
        </w:tc>
        <w:tc>
          <w:tcPr>
            <w:tcW w:w="1440" w:type="dxa"/>
            <w:tcBorders>
              <w:left w:val="nil"/>
              <w:right w:val="nil"/>
            </w:tcBorders>
            <w:vAlign w:val="center"/>
          </w:tcPr>
          <w:p w14:paraId="5A0FDEAF"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r w:rsidR="000543AC" w:rsidRPr="000543AC" w14:paraId="14A798ED" w14:textId="77777777" w:rsidTr="00CF7BA2">
        <w:tc>
          <w:tcPr>
            <w:tcW w:w="567" w:type="dxa"/>
            <w:tcBorders>
              <w:left w:val="nil"/>
              <w:right w:val="nil"/>
            </w:tcBorders>
          </w:tcPr>
          <w:p w14:paraId="5498A7E3" w14:textId="77777777" w:rsidR="000543AC" w:rsidRPr="000543AC" w:rsidRDefault="000543AC" w:rsidP="000543AC">
            <w:pPr>
              <w:rPr>
                <w:rFonts w:ascii="Arial" w:hAnsi="Arial" w:cs="Arial"/>
                <w:color w:val="000000" w:themeColor="text1"/>
              </w:rPr>
            </w:pPr>
          </w:p>
        </w:tc>
        <w:tc>
          <w:tcPr>
            <w:tcW w:w="4113" w:type="dxa"/>
            <w:tcBorders>
              <w:left w:val="nil"/>
              <w:right w:val="nil"/>
            </w:tcBorders>
          </w:tcPr>
          <w:p w14:paraId="7F6D8601"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Average</w:t>
            </w:r>
          </w:p>
        </w:tc>
        <w:tc>
          <w:tcPr>
            <w:tcW w:w="720" w:type="dxa"/>
            <w:tcBorders>
              <w:left w:val="nil"/>
              <w:right w:val="nil"/>
            </w:tcBorders>
            <w:vAlign w:val="center"/>
          </w:tcPr>
          <w:p w14:paraId="27BACCB3"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4.04</w:t>
            </w:r>
          </w:p>
        </w:tc>
        <w:tc>
          <w:tcPr>
            <w:tcW w:w="1350" w:type="dxa"/>
            <w:tcBorders>
              <w:left w:val="nil"/>
              <w:right w:val="nil"/>
            </w:tcBorders>
            <w:vAlign w:val="center"/>
          </w:tcPr>
          <w:p w14:paraId="444BBE14"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0.32</w:t>
            </w:r>
          </w:p>
        </w:tc>
        <w:tc>
          <w:tcPr>
            <w:tcW w:w="1440" w:type="dxa"/>
            <w:tcBorders>
              <w:left w:val="nil"/>
              <w:right w:val="nil"/>
            </w:tcBorders>
            <w:vAlign w:val="center"/>
          </w:tcPr>
          <w:p w14:paraId="28C7D0F2" w14:textId="77777777" w:rsidR="000543AC" w:rsidRPr="000543AC" w:rsidRDefault="000543AC" w:rsidP="000543AC">
            <w:pPr>
              <w:jc w:val="center"/>
              <w:rPr>
                <w:rFonts w:ascii="Arial" w:hAnsi="Arial" w:cs="Arial"/>
                <w:color w:val="000000" w:themeColor="text1"/>
              </w:rPr>
            </w:pPr>
            <w:r w:rsidRPr="000543AC">
              <w:rPr>
                <w:rFonts w:ascii="Arial" w:eastAsia="Times New Roman" w:hAnsi="Arial" w:cs="Arial"/>
                <w:color w:val="000000" w:themeColor="text1"/>
                <w:lang w:eastAsia="en-PH"/>
              </w:rPr>
              <w:t>High</w:t>
            </w:r>
          </w:p>
        </w:tc>
      </w:tr>
    </w:tbl>
    <w:p w14:paraId="0F00D14A" w14:textId="77777777" w:rsidR="00CF7BA2" w:rsidRDefault="00CF7BA2" w:rsidP="000543AC">
      <w:pPr>
        <w:pStyle w:val="NormalWeb"/>
        <w:spacing w:before="0" w:beforeAutospacing="0" w:after="0" w:afterAutospacing="0"/>
        <w:ind w:firstLine="720"/>
        <w:jc w:val="both"/>
        <w:rPr>
          <w:rFonts w:ascii="Arial" w:hAnsi="Arial" w:cs="Arial"/>
          <w:sz w:val="20"/>
          <w:szCs w:val="20"/>
        </w:rPr>
      </w:pPr>
    </w:p>
    <w:p w14:paraId="7B314E97" w14:textId="1EF7B7ED" w:rsidR="000543AC" w:rsidRDefault="000543AC" w:rsidP="000543AC">
      <w:pPr>
        <w:pStyle w:val="NormalWeb"/>
        <w:spacing w:before="0" w:beforeAutospacing="0" w:after="0" w:afterAutospacing="0"/>
        <w:ind w:firstLine="720"/>
        <w:jc w:val="both"/>
        <w:rPr>
          <w:rFonts w:ascii="Arial" w:hAnsi="Arial" w:cs="Arial"/>
          <w:sz w:val="20"/>
          <w:szCs w:val="20"/>
        </w:rPr>
      </w:pPr>
      <w:r w:rsidRPr="000543AC">
        <w:rPr>
          <w:rFonts w:ascii="Arial" w:hAnsi="Arial" w:cs="Arial"/>
          <w:sz w:val="20"/>
          <w:szCs w:val="20"/>
        </w:rPr>
        <w:t xml:space="preserve">Table </w:t>
      </w:r>
      <w:r w:rsidR="001B7571">
        <w:rPr>
          <w:rFonts w:ascii="Arial" w:hAnsi="Arial" w:cs="Arial"/>
          <w:sz w:val="20"/>
          <w:szCs w:val="20"/>
        </w:rPr>
        <w:t>9</w:t>
      </w:r>
      <w:r w:rsidRPr="000543AC">
        <w:rPr>
          <w:rFonts w:ascii="Arial" w:hAnsi="Arial" w:cs="Arial"/>
          <w:sz w:val="20"/>
          <w:szCs w:val="20"/>
        </w:rPr>
        <w:t xml:space="preserve"> shows that respondents have a high level of retirement preparedness in terms of retirement planning (x̄ = 3.95, s = 0.31). The highest was putting away money each month for savings or investments (x̄ = 4.37, s = 0.68), indicating strong recognition of the importance of regular saving, which supports Xiao and O'Neill's (2016) emphasis on disciplined financial planning as essential for retirement confidence. The lowest was having investments in stocks, bonds, and mutual funds, apart from government contributions (x̄ = 3.75, s = 0.72), suggesting that some respondents may have limited diversification in their retirement portfolios. These findings align with Lusardi and Mitchell (2017), who noted that proactive retirement planning behaviors, such as saving, investing, and using insurance, are strongly associated with financial security in later life.</w:t>
      </w:r>
    </w:p>
    <w:p w14:paraId="5BF8FBB9" w14:textId="38F71D71" w:rsidR="000543AC" w:rsidRPr="000543AC" w:rsidRDefault="000543AC" w:rsidP="000543AC">
      <w:pPr>
        <w:pStyle w:val="NormalWeb"/>
        <w:spacing w:before="0" w:beforeAutospacing="0" w:after="0" w:afterAutospacing="0"/>
        <w:ind w:firstLine="720"/>
        <w:jc w:val="both"/>
        <w:rPr>
          <w:rFonts w:ascii="Arial" w:hAnsi="Arial" w:cs="Arial"/>
          <w:sz w:val="20"/>
          <w:szCs w:val="20"/>
        </w:rPr>
      </w:pPr>
      <w:r w:rsidRPr="000543AC">
        <w:rPr>
          <w:rFonts w:ascii="Arial" w:hAnsi="Arial" w:cs="Arial"/>
          <w:sz w:val="20"/>
          <w:szCs w:val="20"/>
        </w:rPr>
        <w:t xml:space="preserve"> </w:t>
      </w:r>
    </w:p>
    <w:p w14:paraId="004B78CF" w14:textId="6BC602CB" w:rsidR="000543AC" w:rsidRPr="000543AC" w:rsidRDefault="000543AC" w:rsidP="000543AC">
      <w:pPr>
        <w:spacing w:after="0" w:line="240" w:lineRule="auto"/>
        <w:jc w:val="both"/>
        <w:rPr>
          <w:rFonts w:ascii="Arial" w:hAnsi="Arial" w:cs="Arial"/>
          <w:color w:val="000000" w:themeColor="text1"/>
          <w:sz w:val="20"/>
          <w:szCs w:val="20"/>
        </w:rPr>
      </w:pPr>
      <w:r w:rsidRPr="000543AC">
        <w:rPr>
          <w:rFonts w:ascii="Arial" w:hAnsi="Arial" w:cs="Arial"/>
          <w:color w:val="000000" w:themeColor="text1"/>
          <w:sz w:val="20"/>
          <w:szCs w:val="20"/>
          <w:lang w:val="en-US"/>
        </w:rPr>
        <w:t xml:space="preserve">Table </w:t>
      </w:r>
      <w:r w:rsidR="001B7571">
        <w:rPr>
          <w:rFonts w:ascii="Arial" w:hAnsi="Arial" w:cs="Arial"/>
          <w:color w:val="000000" w:themeColor="text1"/>
          <w:sz w:val="20"/>
          <w:szCs w:val="20"/>
          <w:lang w:val="en-US"/>
        </w:rPr>
        <w:t>9</w:t>
      </w:r>
      <w:r w:rsidRPr="000543AC">
        <w:rPr>
          <w:rFonts w:ascii="Arial" w:hAnsi="Arial" w:cs="Arial"/>
          <w:color w:val="000000" w:themeColor="text1"/>
          <w:sz w:val="20"/>
          <w:szCs w:val="20"/>
          <w:lang w:val="en-US"/>
        </w:rPr>
        <w:t>. Level of retirement planning</w:t>
      </w:r>
    </w:p>
    <w:tbl>
      <w:tblPr>
        <w:tblStyle w:val="TableGrid"/>
        <w:tblW w:w="8190" w:type="dxa"/>
        <w:tblLayout w:type="fixed"/>
        <w:tblLook w:val="04A0" w:firstRow="1" w:lastRow="0" w:firstColumn="1" w:lastColumn="0" w:noHBand="0" w:noVBand="1"/>
      </w:tblPr>
      <w:tblGrid>
        <w:gridCol w:w="701"/>
        <w:gridCol w:w="4249"/>
        <w:gridCol w:w="720"/>
        <w:gridCol w:w="1080"/>
        <w:gridCol w:w="1440"/>
      </w:tblGrid>
      <w:tr w:rsidR="000543AC" w:rsidRPr="007236BD" w14:paraId="683A2ABC" w14:textId="77777777" w:rsidTr="00CF7BA2">
        <w:tc>
          <w:tcPr>
            <w:tcW w:w="701" w:type="dxa"/>
            <w:tcBorders>
              <w:left w:val="nil"/>
              <w:right w:val="nil"/>
            </w:tcBorders>
            <w:vAlign w:val="center"/>
          </w:tcPr>
          <w:p w14:paraId="6A665013"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No.</w:t>
            </w:r>
          </w:p>
        </w:tc>
        <w:tc>
          <w:tcPr>
            <w:tcW w:w="4249" w:type="dxa"/>
            <w:tcBorders>
              <w:left w:val="nil"/>
              <w:right w:val="nil"/>
            </w:tcBorders>
            <w:vAlign w:val="center"/>
          </w:tcPr>
          <w:p w14:paraId="721ACF8E"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 xml:space="preserve">Description </w:t>
            </w:r>
          </w:p>
        </w:tc>
        <w:tc>
          <w:tcPr>
            <w:tcW w:w="720" w:type="dxa"/>
            <w:tcBorders>
              <w:left w:val="nil"/>
              <w:right w:val="nil"/>
            </w:tcBorders>
            <w:vAlign w:val="center"/>
          </w:tcPr>
          <w:p w14:paraId="09995CF8"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Mean</w:t>
            </w:r>
          </w:p>
        </w:tc>
        <w:tc>
          <w:tcPr>
            <w:tcW w:w="1080" w:type="dxa"/>
            <w:tcBorders>
              <w:left w:val="nil"/>
              <w:right w:val="nil"/>
            </w:tcBorders>
            <w:vAlign w:val="center"/>
          </w:tcPr>
          <w:p w14:paraId="5B905C9A"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Std. Deviation</w:t>
            </w:r>
          </w:p>
        </w:tc>
        <w:tc>
          <w:tcPr>
            <w:tcW w:w="1440" w:type="dxa"/>
            <w:tcBorders>
              <w:left w:val="nil"/>
              <w:right w:val="nil"/>
            </w:tcBorders>
            <w:vAlign w:val="center"/>
          </w:tcPr>
          <w:p w14:paraId="4C3D56DD"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Interpretation</w:t>
            </w:r>
          </w:p>
        </w:tc>
      </w:tr>
      <w:tr w:rsidR="000543AC" w:rsidRPr="007236BD" w14:paraId="2FCA4565" w14:textId="77777777" w:rsidTr="00CF7BA2">
        <w:tc>
          <w:tcPr>
            <w:tcW w:w="701" w:type="dxa"/>
            <w:tcBorders>
              <w:left w:val="nil"/>
              <w:right w:val="nil"/>
            </w:tcBorders>
          </w:tcPr>
          <w:p w14:paraId="1A864EF5"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1</w:t>
            </w:r>
          </w:p>
        </w:tc>
        <w:tc>
          <w:tcPr>
            <w:tcW w:w="4249" w:type="dxa"/>
            <w:tcBorders>
              <w:left w:val="nil"/>
              <w:right w:val="nil"/>
            </w:tcBorders>
          </w:tcPr>
          <w:p w14:paraId="2D8FCC9F"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Spending is always based on prior planning</w:t>
            </w:r>
          </w:p>
        </w:tc>
        <w:tc>
          <w:tcPr>
            <w:tcW w:w="720" w:type="dxa"/>
            <w:tcBorders>
              <w:left w:val="nil"/>
              <w:right w:val="nil"/>
            </w:tcBorders>
            <w:vAlign w:val="center"/>
          </w:tcPr>
          <w:p w14:paraId="00A9AB69"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3.74</w:t>
            </w:r>
          </w:p>
        </w:tc>
        <w:tc>
          <w:tcPr>
            <w:tcW w:w="1080" w:type="dxa"/>
            <w:tcBorders>
              <w:left w:val="nil"/>
              <w:right w:val="nil"/>
            </w:tcBorders>
            <w:vAlign w:val="center"/>
          </w:tcPr>
          <w:p w14:paraId="08217EBD"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0.58</w:t>
            </w:r>
          </w:p>
        </w:tc>
        <w:tc>
          <w:tcPr>
            <w:tcW w:w="1440" w:type="dxa"/>
            <w:tcBorders>
              <w:left w:val="nil"/>
              <w:right w:val="nil"/>
            </w:tcBorders>
            <w:vAlign w:val="center"/>
          </w:tcPr>
          <w:p w14:paraId="0807D6DB"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04FE6B30" w14:textId="77777777" w:rsidTr="00CF7BA2">
        <w:tc>
          <w:tcPr>
            <w:tcW w:w="701" w:type="dxa"/>
            <w:tcBorders>
              <w:left w:val="nil"/>
              <w:right w:val="nil"/>
            </w:tcBorders>
          </w:tcPr>
          <w:p w14:paraId="7DD50DDD"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lastRenderedPageBreak/>
              <w:t>2</w:t>
            </w:r>
          </w:p>
        </w:tc>
        <w:tc>
          <w:tcPr>
            <w:tcW w:w="4249" w:type="dxa"/>
            <w:tcBorders>
              <w:left w:val="nil"/>
              <w:right w:val="nil"/>
            </w:tcBorders>
          </w:tcPr>
          <w:p w14:paraId="7181DB7E"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Cross check interest paid on accounts</w:t>
            </w:r>
          </w:p>
        </w:tc>
        <w:tc>
          <w:tcPr>
            <w:tcW w:w="720" w:type="dxa"/>
            <w:tcBorders>
              <w:left w:val="nil"/>
              <w:right w:val="nil"/>
            </w:tcBorders>
            <w:vAlign w:val="center"/>
          </w:tcPr>
          <w:p w14:paraId="1DCE7147"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3.90</w:t>
            </w:r>
          </w:p>
        </w:tc>
        <w:tc>
          <w:tcPr>
            <w:tcW w:w="1080" w:type="dxa"/>
            <w:tcBorders>
              <w:left w:val="nil"/>
              <w:right w:val="nil"/>
            </w:tcBorders>
            <w:vAlign w:val="center"/>
          </w:tcPr>
          <w:p w14:paraId="13DC780E"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0.60</w:t>
            </w:r>
          </w:p>
        </w:tc>
        <w:tc>
          <w:tcPr>
            <w:tcW w:w="1440" w:type="dxa"/>
            <w:tcBorders>
              <w:left w:val="nil"/>
              <w:right w:val="nil"/>
            </w:tcBorders>
            <w:vAlign w:val="center"/>
          </w:tcPr>
          <w:p w14:paraId="0BF65A9A"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1399BA1A" w14:textId="77777777" w:rsidTr="00CF7BA2">
        <w:tc>
          <w:tcPr>
            <w:tcW w:w="701" w:type="dxa"/>
            <w:tcBorders>
              <w:left w:val="nil"/>
              <w:right w:val="nil"/>
            </w:tcBorders>
          </w:tcPr>
          <w:p w14:paraId="2F62CE7B"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3</w:t>
            </w:r>
          </w:p>
        </w:tc>
        <w:tc>
          <w:tcPr>
            <w:tcW w:w="4249" w:type="dxa"/>
            <w:tcBorders>
              <w:left w:val="nil"/>
              <w:right w:val="nil"/>
            </w:tcBorders>
          </w:tcPr>
          <w:p w14:paraId="7C980771"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Ask bankers about investment opportunities before making an investment decision</w:t>
            </w:r>
          </w:p>
        </w:tc>
        <w:tc>
          <w:tcPr>
            <w:tcW w:w="720" w:type="dxa"/>
            <w:tcBorders>
              <w:left w:val="nil"/>
              <w:right w:val="nil"/>
            </w:tcBorders>
            <w:vAlign w:val="center"/>
          </w:tcPr>
          <w:p w14:paraId="6F62742E"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3.86</w:t>
            </w:r>
          </w:p>
        </w:tc>
        <w:tc>
          <w:tcPr>
            <w:tcW w:w="1080" w:type="dxa"/>
            <w:tcBorders>
              <w:left w:val="nil"/>
              <w:right w:val="nil"/>
            </w:tcBorders>
            <w:vAlign w:val="center"/>
          </w:tcPr>
          <w:p w14:paraId="2F100BE9"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0.56</w:t>
            </w:r>
          </w:p>
        </w:tc>
        <w:tc>
          <w:tcPr>
            <w:tcW w:w="1440" w:type="dxa"/>
            <w:tcBorders>
              <w:left w:val="nil"/>
              <w:right w:val="nil"/>
            </w:tcBorders>
            <w:vAlign w:val="center"/>
          </w:tcPr>
          <w:p w14:paraId="15A5C596"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1793646D" w14:textId="77777777" w:rsidTr="00CF7BA2">
        <w:tc>
          <w:tcPr>
            <w:tcW w:w="701" w:type="dxa"/>
            <w:tcBorders>
              <w:left w:val="nil"/>
              <w:right w:val="nil"/>
            </w:tcBorders>
          </w:tcPr>
          <w:p w14:paraId="0B852A2D"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4</w:t>
            </w:r>
          </w:p>
        </w:tc>
        <w:tc>
          <w:tcPr>
            <w:tcW w:w="4249" w:type="dxa"/>
            <w:tcBorders>
              <w:left w:val="nil"/>
              <w:right w:val="nil"/>
            </w:tcBorders>
          </w:tcPr>
          <w:p w14:paraId="0EAFB2B4"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Compare interests and other benefits when deciding to save money</w:t>
            </w:r>
          </w:p>
        </w:tc>
        <w:tc>
          <w:tcPr>
            <w:tcW w:w="720" w:type="dxa"/>
            <w:tcBorders>
              <w:left w:val="nil"/>
              <w:right w:val="nil"/>
            </w:tcBorders>
            <w:vAlign w:val="center"/>
          </w:tcPr>
          <w:p w14:paraId="05675945"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4.15</w:t>
            </w:r>
          </w:p>
        </w:tc>
        <w:tc>
          <w:tcPr>
            <w:tcW w:w="1080" w:type="dxa"/>
            <w:tcBorders>
              <w:left w:val="nil"/>
              <w:right w:val="nil"/>
            </w:tcBorders>
            <w:vAlign w:val="center"/>
          </w:tcPr>
          <w:p w14:paraId="68D8502E"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0.66</w:t>
            </w:r>
          </w:p>
        </w:tc>
        <w:tc>
          <w:tcPr>
            <w:tcW w:w="1440" w:type="dxa"/>
            <w:tcBorders>
              <w:left w:val="nil"/>
              <w:right w:val="nil"/>
            </w:tcBorders>
            <w:vAlign w:val="center"/>
          </w:tcPr>
          <w:p w14:paraId="4D88E3AE"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78AB1E49" w14:textId="77777777" w:rsidTr="00CF7BA2">
        <w:tc>
          <w:tcPr>
            <w:tcW w:w="701" w:type="dxa"/>
            <w:tcBorders>
              <w:left w:val="nil"/>
              <w:right w:val="nil"/>
            </w:tcBorders>
          </w:tcPr>
          <w:p w14:paraId="0C8077C0"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5</w:t>
            </w:r>
          </w:p>
        </w:tc>
        <w:tc>
          <w:tcPr>
            <w:tcW w:w="4249" w:type="dxa"/>
            <w:tcBorders>
              <w:left w:val="nil"/>
              <w:right w:val="nil"/>
            </w:tcBorders>
          </w:tcPr>
          <w:p w14:paraId="377EC589"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Assess terms and conditions given by financial institutions before taking a loan or credit facility</w:t>
            </w:r>
          </w:p>
        </w:tc>
        <w:tc>
          <w:tcPr>
            <w:tcW w:w="720" w:type="dxa"/>
            <w:tcBorders>
              <w:left w:val="nil"/>
              <w:right w:val="nil"/>
            </w:tcBorders>
            <w:vAlign w:val="center"/>
          </w:tcPr>
          <w:p w14:paraId="156CE8DF"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4.23</w:t>
            </w:r>
          </w:p>
        </w:tc>
        <w:tc>
          <w:tcPr>
            <w:tcW w:w="1080" w:type="dxa"/>
            <w:tcBorders>
              <w:left w:val="nil"/>
              <w:right w:val="nil"/>
            </w:tcBorders>
            <w:vAlign w:val="center"/>
          </w:tcPr>
          <w:p w14:paraId="0E2E6D29"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0.72</w:t>
            </w:r>
          </w:p>
        </w:tc>
        <w:tc>
          <w:tcPr>
            <w:tcW w:w="1440" w:type="dxa"/>
            <w:tcBorders>
              <w:left w:val="nil"/>
              <w:right w:val="nil"/>
            </w:tcBorders>
            <w:vAlign w:val="center"/>
          </w:tcPr>
          <w:p w14:paraId="261E6F93"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Very High</w:t>
            </w:r>
          </w:p>
        </w:tc>
      </w:tr>
      <w:tr w:rsidR="000543AC" w:rsidRPr="007236BD" w14:paraId="43146C6A" w14:textId="77777777" w:rsidTr="00CF7BA2">
        <w:tc>
          <w:tcPr>
            <w:tcW w:w="701" w:type="dxa"/>
            <w:tcBorders>
              <w:left w:val="nil"/>
              <w:right w:val="nil"/>
            </w:tcBorders>
          </w:tcPr>
          <w:p w14:paraId="57B5C616"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6</w:t>
            </w:r>
          </w:p>
        </w:tc>
        <w:tc>
          <w:tcPr>
            <w:tcW w:w="4249" w:type="dxa"/>
            <w:tcBorders>
              <w:left w:val="nil"/>
              <w:right w:val="nil"/>
            </w:tcBorders>
          </w:tcPr>
          <w:p w14:paraId="737D25A9"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Keep track of income and expenditure every month</w:t>
            </w:r>
          </w:p>
        </w:tc>
        <w:tc>
          <w:tcPr>
            <w:tcW w:w="720" w:type="dxa"/>
            <w:tcBorders>
              <w:left w:val="nil"/>
              <w:right w:val="nil"/>
            </w:tcBorders>
            <w:vAlign w:val="center"/>
          </w:tcPr>
          <w:p w14:paraId="231AC546"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3.79</w:t>
            </w:r>
          </w:p>
        </w:tc>
        <w:tc>
          <w:tcPr>
            <w:tcW w:w="1080" w:type="dxa"/>
            <w:tcBorders>
              <w:left w:val="nil"/>
              <w:right w:val="nil"/>
            </w:tcBorders>
            <w:vAlign w:val="center"/>
          </w:tcPr>
          <w:p w14:paraId="550ED217"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0.53</w:t>
            </w:r>
          </w:p>
        </w:tc>
        <w:tc>
          <w:tcPr>
            <w:tcW w:w="1440" w:type="dxa"/>
            <w:tcBorders>
              <w:left w:val="nil"/>
              <w:right w:val="nil"/>
            </w:tcBorders>
            <w:vAlign w:val="center"/>
          </w:tcPr>
          <w:p w14:paraId="349E9705"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0F3249D1" w14:textId="77777777" w:rsidTr="00CF7BA2">
        <w:tc>
          <w:tcPr>
            <w:tcW w:w="701" w:type="dxa"/>
            <w:tcBorders>
              <w:left w:val="nil"/>
              <w:right w:val="nil"/>
            </w:tcBorders>
          </w:tcPr>
          <w:p w14:paraId="018FF0EF"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7</w:t>
            </w:r>
          </w:p>
        </w:tc>
        <w:tc>
          <w:tcPr>
            <w:tcW w:w="4249" w:type="dxa"/>
            <w:tcBorders>
              <w:left w:val="nil"/>
              <w:right w:val="nil"/>
            </w:tcBorders>
          </w:tcPr>
          <w:p w14:paraId="0A1AACD0"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Take insurance policy for investments and/or personal protection</w:t>
            </w:r>
          </w:p>
        </w:tc>
        <w:tc>
          <w:tcPr>
            <w:tcW w:w="720" w:type="dxa"/>
            <w:tcBorders>
              <w:left w:val="nil"/>
              <w:right w:val="nil"/>
            </w:tcBorders>
            <w:vAlign w:val="center"/>
          </w:tcPr>
          <w:p w14:paraId="3C644C94"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3.96</w:t>
            </w:r>
          </w:p>
        </w:tc>
        <w:tc>
          <w:tcPr>
            <w:tcW w:w="1080" w:type="dxa"/>
            <w:tcBorders>
              <w:left w:val="nil"/>
              <w:right w:val="nil"/>
            </w:tcBorders>
            <w:vAlign w:val="center"/>
          </w:tcPr>
          <w:p w14:paraId="6EDAA4C3"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0.61</w:t>
            </w:r>
          </w:p>
        </w:tc>
        <w:tc>
          <w:tcPr>
            <w:tcW w:w="1440" w:type="dxa"/>
            <w:tcBorders>
              <w:left w:val="nil"/>
              <w:right w:val="nil"/>
            </w:tcBorders>
            <w:vAlign w:val="center"/>
          </w:tcPr>
          <w:p w14:paraId="54EFD103"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24A1483D" w14:textId="77777777" w:rsidTr="00CF7BA2">
        <w:tc>
          <w:tcPr>
            <w:tcW w:w="701" w:type="dxa"/>
            <w:tcBorders>
              <w:left w:val="nil"/>
              <w:right w:val="nil"/>
            </w:tcBorders>
          </w:tcPr>
          <w:p w14:paraId="174695B8"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8</w:t>
            </w:r>
          </w:p>
        </w:tc>
        <w:tc>
          <w:tcPr>
            <w:tcW w:w="4249" w:type="dxa"/>
            <w:tcBorders>
              <w:left w:val="nil"/>
              <w:right w:val="nil"/>
            </w:tcBorders>
          </w:tcPr>
          <w:p w14:paraId="09EA6F91" w14:textId="77777777" w:rsidR="000543AC" w:rsidRPr="007236BD" w:rsidRDefault="000543AC" w:rsidP="000543AC">
            <w:pPr>
              <w:tabs>
                <w:tab w:val="left" w:pos="1276"/>
              </w:tabs>
              <w:rPr>
                <w:rFonts w:ascii="Arial" w:hAnsi="Arial" w:cs="Arial"/>
                <w:color w:val="000000" w:themeColor="text1"/>
                <w:sz w:val="18"/>
                <w:szCs w:val="18"/>
              </w:rPr>
            </w:pPr>
            <w:r w:rsidRPr="007236BD">
              <w:rPr>
                <w:rFonts w:ascii="Arial" w:hAnsi="Arial" w:cs="Arial"/>
                <w:color w:val="000000" w:themeColor="text1"/>
                <w:sz w:val="18"/>
                <w:szCs w:val="18"/>
              </w:rPr>
              <w:t>Apart from SSS, GSIS, PAG-IBIG, contribution, have investments in stocks, bonds, and mutual funds to cushion pension</w:t>
            </w:r>
          </w:p>
        </w:tc>
        <w:tc>
          <w:tcPr>
            <w:tcW w:w="720" w:type="dxa"/>
            <w:tcBorders>
              <w:left w:val="nil"/>
              <w:right w:val="nil"/>
            </w:tcBorders>
            <w:vAlign w:val="center"/>
          </w:tcPr>
          <w:p w14:paraId="01C6B83D"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3.75</w:t>
            </w:r>
          </w:p>
        </w:tc>
        <w:tc>
          <w:tcPr>
            <w:tcW w:w="1080" w:type="dxa"/>
            <w:tcBorders>
              <w:left w:val="nil"/>
              <w:right w:val="nil"/>
            </w:tcBorders>
            <w:vAlign w:val="center"/>
          </w:tcPr>
          <w:p w14:paraId="3F96B63B"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0.72</w:t>
            </w:r>
          </w:p>
        </w:tc>
        <w:tc>
          <w:tcPr>
            <w:tcW w:w="1440" w:type="dxa"/>
            <w:tcBorders>
              <w:left w:val="nil"/>
              <w:right w:val="nil"/>
            </w:tcBorders>
            <w:vAlign w:val="center"/>
          </w:tcPr>
          <w:p w14:paraId="13D9C683"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567D3DF3" w14:textId="77777777" w:rsidTr="00CF7BA2">
        <w:tc>
          <w:tcPr>
            <w:tcW w:w="701" w:type="dxa"/>
            <w:tcBorders>
              <w:left w:val="nil"/>
              <w:right w:val="nil"/>
            </w:tcBorders>
          </w:tcPr>
          <w:p w14:paraId="5A5D0BEC"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9</w:t>
            </w:r>
          </w:p>
        </w:tc>
        <w:tc>
          <w:tcPr>
            <w:tcW w:w="4249" w:type="dxa"/>
            <w:tcBorders>
              <w:left w:val="nil"/>
              <w:right w:val="nil"/>
            </w:tcBorders>
          </w:tcPr>
          <w:p w14:paraId="3E9F4CAD"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Took a health insurance policy for coverage while working and after retirement</w:t>
            </w:r>
          </w:p>
        </w:tc>
        <w:tc>
          <w:tcPr>
            <w:tcW w:w="720" w:type="dxa"/>
            <w:tcBorders>
              <w:left w:val="nil"/>
              <w:right w:val="nil"/>
            </w:tcBorders>
            <w:vAlign w:val="center"/>
          </w:tcPr>
          <w:p w14:paraId="004D70ED"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3.90</w:t>
            </w:r>
          </w:p>
        </w:tc>
        <w:tc>
          <w:tcPr>
            <w:tcW w:w="1080" w:type="dxa"/>
            <w:tcBorders>
              <w:left w:val="nil"/>
              <w:right w:val="nil"/>
            </w:tcBorders>
            <w:vAlign w:val="center"/>
          </w:tcPr>
          <w:p w14:paraId="35F1F30A"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0.60</w:t>
            </w:r>
          </w:p>
        </w:tc>
        <w:tc>
          <w:tcPr>
            <w:tcW w:w="1440" w:type="dxa"/>
            <w:tcBorders>
              <w:left w:val="nil"/>
              <w:right w:val="nil"/>
            </w:tcBorders>
            <w:vAlign w:val="center"/>
          </w:tcPr>
          <w:p w14:paraId="1E05904B"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24C7A46A" w14:textId="77777777" w:rsidTr="00CF7BA2">
        <w:tc>
          <w:tcPr>
            <w:tcW w:w="701" w:type="dxa"/>
            <w:tcBorders>
              <w:left w:val="nil"/>
              <w:right w:val="nil"/>
            </w:tcBorders>
          </w:tcPr>
          <w:p w14:paraId="1DBE6FAB"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10</w:t>
            </w:r>
          </w:p>
        </w:tc>
        <w:tc>
          <w:tcPr>
            <w:tcW w:w="4249" w:type="dxa"/>
            <w:tcBorders>
              <w:left w:val="nil"/>
              <w:right w:val="nil"/>
            </w:tcBorders>
          </w:tcPr>
          <w:p w14:paraId="2DCEA52D"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Putting away money each month for savings or investments is important and necessary</w:t>
            </w:r>
          </w:p>
        </w:tc>
        <w:tc>
          <w:tcPr>
            <w:tcW w:w="720" w:type="dxa"/>
            <w:tcBorders>
              <w:left w:val="nil"/>
              <w:right w:val="nil"/>
            </w:tcBorders>
            <w:vAlign w:val="center"/>
          </w:tcPr>
          <w:p w14:paraId="6BA36FB5"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4.37</w:t>
            </w:r>
          </w:p>
        </w:tc>
        <w:tc>
          <w:tcPr>
            <w:tcW w:w="1080" w:type="dxa"/>
            <w:tcBorders>
              <w:left w:val="nil"/>
              <w:right w:val="nil"/>
            </w:tcBorders>
            <w:vAlign w:val="center"/>
          </w:tcPr>
          <w:p w14:paraId="78017414"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0.68</w:t>
            </w:r>
          </w:p>
        </w:tc>
        <w:tc>
          <w:tcPr>
            <w:tcW w:w="1440" w:type="dxa"/>
            <w:tcBorders>
              <w:left w:val="nil"/>
              <w:right w:val="nil"/>
            </w:tcBorders>
            <w:vAlign w:val="center"/>
          </w:tcPr>
          <w:p w14:paraId="6ACF10E2"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Very High</w:t>
            </w:r>
          </w:p>
        </w:tc>
      </w:tr>
      <w:tr w:rsidR="000543AC" w:rsidRPr="007236BD" w14:paraId="092B9C62" w14:textId="77777777" w:rsidTr="00CF7BA2">
        <w:tc>
          <w:tcPr>
            <w:tcW w:w="701" w:type="dxa"/>
            <w:tcBorders>
              <w:left w:val="nil"/>
              <w:right w:val="nil"/>
            </w:tcBorders>
          </w:tcPr>
          <w:p w14:paraId="19FB4928"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11</w:t>
            </w:r>
          </w:p>
        </w:tc>
        <w:tc>
          <w:tcPr>
            <w:tcW w:w="4249" w:type="dxa"/>
            <w:tcBorders>
              <w:left w:val="nil"/>
              <w:right w:val="nil"/>
            </w:tcBorders>
          </w:tcPr>
          <w:p w14:paraId="5832446B"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Have done a special lifetime savings, especially to be accessed after retirement</w:t>
            </w:r>
          </w:p>
        </w:tc>
        <w:tc>
          <w:tcPr>
            <w:tcW w:w="720" w:type="dxa"/>
            <w:tcBorders>
              <w:left w:val="nil"/>
              <w:right w:val="nil"/>
            </w:tcBorders>
            <w:vAlign w:val="center"/>
          </w:tcPr>
          <w:p w14:paraId="1B77A240"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3.93</w:t>
            </w:r>
          </w:p>
        </w:tc>
        <w:tc>
          <w:tcPr>
            <w:tcW w:w="1080" w:type="dxa"/>
            <w:tcBorders>
              <w:left w:val="nil"/>
              <w:right w:val="nil"/>
            </w:tcBorders>
            <w:vAlign w:val="center"/>
          </w:tcPr>
          <w:p w14:paraId="579841DF"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0.45</w:t>
            </w:r>
          </w:p>
        </w:tc>
        <w:tc>
          <w:tcPr>
            <w:tcW w:w="1440" w:type="dxa"/>
            <w:tcBorders>
              <w:left w:val="nil"/>
              <w:right w:val="nil"/>
            </w:tcBorders>
            <w:vAlign w:val="center"/>
          </w:tcPr>
          <w:p w14:paraId="0723F2F0"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3389FCC2" w14:textId="77777777" w:rsidTr="00CF7BA2">
        <w:tc>
          <w:tcPr>
            <w:tcW w:w="701" w:type="dxa"/>
            <w:tcBorders>
              <w:left w:val="nil"/>
              <w:right w:val="nil"/>
            </w:tcBorders>
          </w:tcPr>
          <w:p w14:paraId="691B221B"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12</w:t>
            </w:r>
          </w:p>
        </w:tc>
        <w:tc>
          <w:tcPr>
            <w:tcW w:w="4249" w:type="dxa"/>
            <w:tcBorders>
              <w:left w:val="nil"/>
              <w:right w:val="nil"/>
            </w:tcBorders>
          </w:tcPr>
          <w:p w14:paraId="50F86317"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Seek financial advice before making major financial commitments or decisions</w:t>
            </w:r>
          </w:p>
        </w:tc>
        <w:tc>
          <w:tcPr>
            <w:tcW w:w="720" w:type="dxa"/>
            <w:tcBorders>
              <w:left w:val="nil"/>
              <w:right w:val="nil"/>
            </w:tcBorders>
            <w:vAlign w:val="center"/>
          </w:tcPr>
          <w:p w14:paraId="63FE37CE"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3.84</w:t>
            </w:r>
          </w:p>
        </w:tc>
        <w:tc>
          <w:tcPr>
            <w:tcW w:w="1080" w:type="dxa"/>
            <w:tcBorders>
              <w:left w:val="nil"/>
              <w:right w:val="nil"/>
            </w:tcBorders>
            <w:vAlign w:val="center"/>
          </w:tcPr>
          <w:p w14:paraId="2AAFBA7F"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0.55</w:t>
            </w:r>
          </w:p>
        </w:tc>
        <w:tc>
          <w:tcPr>
            <w:tcW w:w="1440" w:type="dxa"/>
            <w:tcBorders>
              <w:left w:val="nil"/>
              <w:right w:val="nil"/>
            </w:tcBorders>
            <w:vAlign w:val="center"/>
          </w:tcPr>
          <w:p w14:paraId="329259C1"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High</w:t>
            </w:r>
          </w:p>
        </w:tc>
      </w:tr>
      <w:tr w:rsidR="000543AC" w:rsidRPr="007236BD" w14:paraId="194F6BD5" w14:textId="77777777" w:rsidTr="00CF7BA2">
        <w:tc>
          <w:tcPr>
            <w:tcW w:w="701" w:type="dxa"/>
            <w:tcBorders>
              <w:left w:val="nil"/>
              <w:right w:val="nil"/>
            </w:tcBorders>
          </w:tcPr>
          <w:p w14:paraId="4FB2686E" w14:textId="77777777" w:rsidR="000543AC" w:rsidRPr="007236BD" w:rsidRDefault="000543AC" w:rsidP="000543AC">
            <w:pPr>
              <w:jc w:val="center"/>
              <w:rPr>
                <w:rFonts w:ascii="Arial" w:hAnsi="Arial" w:cs="Arial"/>
                <w:color w:val="000000" w:themeColor="text1"/>
                <w:sz w:val="18"/>
                <w:szCs w:val="18"/>
              </w:rPr>
            </w:pPr>
            <w:r w:rsidRPr="007236BD">
              <w:rPr>
                <w:rFonts w:ascii="Arial" w:hAnsi="Arial" w:cs="Arial"/>
                <w:color w:val="000000" w:themeColor="text1"/>
                <w:sz w:val="18"/>
                <w:szCs w:val="18"/>
              </w:rPr>
              <w:t>13</w:t>
            </w:r>
          </w:p>
        </w:tc>
        <w:tc>
          <w:tcPr>
            <w:tcW w:w="4249" w:type="dxa"/>
            <w:tcBorders>
              <w:left w:val="nil"/>
              <w:right w:val="nil"/>
            </w:tcBorders>
          </w:tcPr>
          <w:p w14:paraId="0A5D2885" w14:textId="77777777" w:rsidR="000543AC" w:rsidRPr="007236BD" w:rsidRDefault="000543AC" w:rsidP="000543AC">
            <w:pPr>
              <w:rPr>
                <w:rFonts w:ascii="Arial" w:hAnsi="Arial" w:cs="Arial"/>
                <w:color w:val="000000" w:themeColor="text1"/>
                <w:sz w:val="18"/>
                <w:szCs w:val="18"/>
              </w:rPr>
            </w:pPr>
            <w:r w:rsidRPr="007236BD">
              <w:rPr>
                <w:rFonts w:ascii="Arial" w:hAnsi="Arial" w:cs="Arial"/>
                <w:color w:val="000000" w:themeColor="text1"/>
                <w:sz w:val="18"/>
                <w:szCs w:val="18"/>
              </w:rPr>
              <w:t>Set up a business as preparation toward retirement</w:t>
            </w:r>
          </w:p>
        </w:tc>
        <w:tc>
          <w:tcPr>
            <w:tcW w:w="720" w:type="dxa"/>
            <w:tcBorders>
              <w:left w:val="nil"/>
              <w:right w:val="nil"/>
            </w:tcBorders>
            <w:vAlign w:val="center"/>
          </w:tcPr>
          <w:p w14:paraId="32E820A7"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3.92</w:t>
            </w:r>
          </w:p>
        </w:tc>
        <w:tc>
          <w:tcPr>
            <w:tcW w:w="1080" w:type="dxa"/>
            <w:tcBorders>
              <w:left w:val="nil"/>
              <w:right w:val="nil"/>
            </w:tcBorders>
            <w:vAlign w:val="center"/>
          </w:tcPr>
          <w:p w14:paraId="0E397233"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0.66</w:t>
            </w:r>
          </w:p>
        </w:tc>
        <w:tc>
          <w:tcPr>
            <w:tcW w:w="1440" w:type="dxa"/>
            <w:tcBorders>
              <w:left w:val="nil"/>
              <w:right w:val="nil"/>
            </w:tcBorders>
            <w:vAlign w:val="center"/>
          </w:tcPr>
          <w:p w14:paraId="4CDEC599"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High</w:t>
            </w:r>
          </w:p>
        </w:tc>
      </w:tr>
      <w:tr w:rsidR="000543AC" w:rsidRPr="007236BD" w14:paraId="10CB3CB1" w14:textId="77777777" w:rsidTr="00CF7BA2">
        <w:tc>
          <w:tcPr>
            <w:tcW w:w="701" w:type="dxa"/>
            <w:tcBorders>
              <w:left w:val="nil"/>
              <w:right w:val="nil"/>
            </w:tcBorders>
          </w:tcPr>
          <w:p w14:paraId="16E8776A" w14:textId="77777777" w:rsidR="000543AC" w:rsidRPr="007236BD" w:rsidRDefault="000543AC" w:rsidP="000543AC">
            <w:pPr>
              <w:rPr>
                <w:rFonts w:ascii="Arial" w:hAnsi="Arial" w:cs="Arial"/>
                <w:color w:val="000000" w:themeColor="text1"/>
                <w:sz w:val="18"/>
                <w:szCs w:val="18"/>
              </w:rPr>
            </w:pPr>
          </w:p>
        </w:tc>
        <w:tc>
          <w:tcPr>
            <w:tcW w:w="4249" w:type="dxa"/>
            <w:tcBorders>
              <w:left w:val="nil"/>
              <w:right w:val="nil"/>
            </w:tcBorders>
          </w:tcPr>
          <w:p w14:paraId="6F39D75A" w14:textId="77777777" w:rsidR="000543AC" w:rsidRPr="007236BD" w:rsidRDefault="000543AC" w:rsidP="000543AC">
            <w:pPr>
              <w:jc w:val="center"/>
              <w:rPr>
                <w:rFonts w:ascii="Arial" w:hAnsi="Arial" w:cs="Arial"/>
                <w:color w:val="000000" w:themeColor="text1"/>
                <w:sz w:val="18"/>
                <w:szCs w:val="18"/>
              </w:rPr>
            </w:pPr>
            <w:r w:rsidRPr="007236BD">
              <w:rPr>
                <w:rFonts w:ascii="Arial" w:eastAsia="Times New Roman" w:hAnsi="Arial" w:cs="Arial"/>
                <w:color w:val="000000" w:themeColor="text1"/>
                <w:sz w:val="18"/>
                <w:szCs w:val="18"/>
                <w:lang w:eastAsia="en-PH"/>
              </w:rPr>
              <w:t>Average</w:t>
            </w:r>
          </w:p>
        </w:tc>
        <w:tc>
          <w:tcPr>
            <w:tcW w:w="720" w:type="dxa"/>
            <w:tcBorders>
              <w:left w:val="nil"/>
              <w:right w:val="nil"/>
            </w:tcBorders>
            <w:vAlign w:val="center"/>
          </w:tcPr>
          <w:p w14:paraId="19077A3B"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3.95</w:t>
            </w:r>
          </w:p>
        </w:tc>
        <w:tc>
          <w:tcPr>
            <w:tcW w:w="1080" w:type="dxa"/>
            <w:tcBorders>
              <w:left w:val="nil"/>
              <w:right w:val="nil"/>
            </w:tcBorders>
            <w:vAlign w:val="center"/>
          </w:tcPr>
          <w:p w14:paraId="4EE8D784"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0.31</w:t>
            </w:r>
          </w:p>
        </w:tc>
        <w:tc>
          <w:tcPr>
            <w:tcW w:w="1440" w:type="dxa"/>
            <w:tcBorders>
              <w:left w:val="nil"/>
              <w:right w:val="nil"/>
            </w:tcBorders>
            <w:vAlign w:val="center"/>
          </w:tcPr>
          <w:p w14:paraId="55A0B1A0" w14:textId="77777777" w:rsidR="000543AC" w:rsidRPr="007236BD" w:rsidRDefault="000543AC" w:rsidP="000543AC">
            <w:pPr>
              <w:jc w:val="center"/>
              <w:rPr>
                <w:rFonts w:ascii="Arial" w:eastAsia="Times New Roman" w:hAnsi="Arial" w:cs="Arial"/>
                <w:color w:val="000000" w:themeColor="text1"/>
                <w:sz w:val="18"/>
                <w:szCs w:val="18"/>
                <w:lang w:eastAsia="en-PH"/>
              </w:rPr>
            </w:pPr>
            <w:r w:rsidRPr="007236BD">
              <w:rPr>
                <w:rFonts w:ascii="Arial" w:eastAsia="Times New Roman" w:hAnsi="Arial" w:cs="Arial"/>
                <w:color w:val="000000" w:themeColor="text1"/>
                <w:sz w:val="18"/>
                <w:szCs w:val="18"/>
                <w:lang w:eastAsia="en-PH"/>
              </w:rPr>
              <w:t>High</w:t>
            </w:r>
          </w:p>
        </w:tc>
      </w:tr>
    </w:tbl>
    <w:p w14:paraId="5FE4058D" w14:textId="77777777" w:rsidR="000543AC" w:rsidRPr="000543AC" w:rsidRDefault="000543AC" w:rsidP="00CF7BA2">
      <w:pPr>
        <w:spacing w:after="0" w:line="240" w:lineRule="auto"/>
        <w:jc w:val="both"/>
        <w:rPr>
          <w:rFonts w:ascii="Arial" w:hAnsi="Arial" w:cs="Arial"/>
          <w:color w:val="000000" w:themeColor="text1"/>
          <w:sz w:val="20"/>
          <w:szCs w:val="20"/>
        </w:rPr>
      </w:pPr>
    </w:p>
    <w:p w14:paraId="56AD850B" w14:textId="16CDA248" w:rsidR="007236BD" w:rsidRDefault="007236BD" w:rsidP="007236BD">
      <w:pPr>
        <w:spacing w:after="0"/>
        <w:ind w:firstLine="720"/>
        <w:jc w:val="both"/>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10</w:t>
      </w:r>
      <w:r w:rsidRPr="007236BD">
        <w:rPr>
          <w:rFonts w:ascii="Arial" w:hAnsi="Arial" w:cs="Arial"/>
          <w:sz w:val="20"/>
          <w:szCs w:val="20"/>
        </w:rPr>
        <w:t xml:space="preserve"> shows that respondents have a high level of retirement preparedness (x̄ = 4.00, s = 0.27). The highest is retirement savings behavior (x̄ = 4.04, s = 0.32), while the lowest is retirement planning (x̄ = 3.95, s = 0.31). These findings suggest that respondents are actively saving for retirement and engaging in financial planning, indicating a strong commitment to long-term financial security. This aligns with Lusardi and Mitchell (2017), who assert that financial literacy significantly enhances retirement preparedness, and Xiao and O’Neill (2016), who emphasize that saving combined with strategic planning increases the likelihood of a secure retirement.</w:t>
      </w:r>
    </w:p>
    <w:p w14:paraId="23BE0E9C" w14:textId="77777777" w:rsidR="00433C52" w:rsidRPr="007236BD" w:rsidRDefault="00433C52" w:rsidP="007236BD">
      <w:pPr>
        <w:spacing w:after="0"/>
        <w:ind w:firstLine="720"/>
        <w:jc w:val="both"/>
        <w:rPr>
          <w:rFonts w:ascii="Arial" w:hAnsi="Arial" w:cs="Arial"/>
          <w:sz w:val="20"/>
          <w:szCs w:val="20"/>
        </w:rPr>
      </w:pPr>
    </w:p>
    <w:p w14:paraId="21724B5C" w14:textId="3EE79CAE" w:rsidR="007236BD" w:rsidRPr="007236BD" w:rsidRDefault="007236BD" w:rsidP="007236BD">
      <w:pPr>
        <w:spacing w:after="0"/>
        <w:jc w:val="both"/>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10</w:t>
      </w:r>
      <w:r w:rsidRPr="007236BD">
        <w:rPr>
          <w:rFonts w:ascii="Arial" w:hAnsi="Arial" w:cs="Arial"/>
          <w:sz w:val="20"/>
          <w:szCs w:val="20"/>
        </w:rPr>
        <w:t>. Retirement preparedness level</w:t>
      </w:r>
    </w:p>
    <w:tbl>
      <w:tblPr>
        <w:tblStyle w:val="TableGrid"/>
        <w:tblW w:w="8190" w:type="dxa"/>
        <w:tblLayout w:type="fixed"/>
        <w:tblLook w:val="04A0" w:firstRow="1" w:lastRow="0" w:firstColumn="1" w:lastColumn="0" w:noHBand="0" w:noVBand="1"/>
      </w:tblPr>
      <w:tblGrid>
        <w:gridCol w:w="701"/>
        <w:gridCol w:w="3529"/>
        <w:gridCol w:w="1350"/>
        <w:gridCol w:w="1170"/>
        <w:gridCol w:w="1440"/>
      </w:tblGrid>
      <w:tr w:rsidR="007236BD" w:rsidRPr="002B13DE" w14:paraId="4C030138" w14:textId="77777777" w:rsidTr="007236BD">
        <w:trPr>
          <w:trHeight w:val="70"/>
        </w:trPr>
        <w:tc>
          <w:tcPr>
            <w:tcW w:w="701" w:type="dxa"/>
            <w:tcBorders>
              <w:left w:val="nil"/>
              <w:right w:val="nil"/>
            </w:tcBorders>
            <w:vAlign w:val="center"/>
          </w:tcPr>
          <w:p w14:paraId="64B5DD03" w14:textId="77777777" w:rsidR="007236BD" w:rsidRPr="002B13DE" w:rsidRDefault="007236BD" w:rsidP="003A197C">
            <w:pPr>
              <w:jc w:val="center"/>
              <w:rPr>
                <w:rFonts w:ascii="Arial" w:hAnsi="Arial" w:cs="Arial"/>
                <w:color w:val="000000" w:themeColor="text1"/>
              </w:rPr>
            </w:pPr>
            <w:r w:rsidRPr="002B13DE">
              <w:rPr>
                <w:rFonts w:ascii="Arial" w:hAnsi="Arial" w:cs="Arial"/>
                <w:color w:val="000000" w:themeColor="text1"/>
              </w:rPr>
              <w:t>No.</w:t>
            </w:r>
          </w:p>
        </w:tc>
        <w:tc>
          <w:tcPr>
            <w:tcW w:w="3529" w:type="dxa"/>
            <w:tcBorders>
              <w:left w:val="nil"/>
              <w:right w:val="nil"/>
            </w:tcBorders>
            <w:vAlign w:val="center"/>
          </w:tcPr>
          <w:p w14:paraId="2FECB3FB"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Factors of Retirement Preparedness</w:t>
            </w:r>
          </w:p>
        </w:tc>
        <w:tc>
          <w:tcPr>
            <w:tcW w:w="1350" w:type="dxa"/>
            <w:tcBorders>
              <w:left w:val="nil"/>
              <w:right w:val="nil"/>
            </w:tcBorders>
            <w:vAlign w:val="center"/>
          </w:tcPr>
          <w:p w14:paraId="26C16047"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Mean</w:t>
            </w:r>
          </w:p>
        </w:tc>
        <w:tc>
          <w:tcPr>
            <w:tcW w:w="1170" w:type="dxa"/>
            <w:tcBorders>
              <w:left w:val="nil"/>
              <w:right w:val="nil"/>
            </w:tcBorders>
            <w:vAlign w:val="center"/>
          </w:tcPr>
          <w:p w14:paraId="63975131"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Std. Deviation</w:t>
            </w:r>
          </w:p>
        </w:tc>
        <w:tc>
          <w:tcPr>
            <w:tcW w:w="1440" w:type="dxa"/>
            <w:tcBorders>
              <w:left w:val="nil"/>
              <w:right w:val="nil"/>
            </w:tcBorders>
            <w:vAlign w:val="center"/>
          </w:tcPr>
          <w:p w14:paraId="3F12B6FE"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Interpretation</w:t>
            </w:r>
          </w:p>
        </w:tc>
      </w:tr>
      <w:tr w:rsidR="007236BD" w:rsidRPr="002B13DE" w14:paraId="265254DF" w14:textId="77777777" w:rsidTr="007236BD">
        <w:tc>
          <w:tcPr>
            <w:tcW w:w="701" w:type="dxa"/>
            <w:tcBorders>
              <w:left w:val="nil"/>
              <w:right w:val="nil"/>
            </w:tcBorders>
          </w:tcPr>
          <w:p w14:paraId="2A529E1B" w14:textId="77777777" w:rsidR="007236BD" w:rsidRPr="002B13DE" w:rsidRDefault="007236BD" w:rsidP="003A197C">
            <w:pPr>
              <w:jc w:val="center"/>
              <w:rPr>
                <w:rFonts w:ascii="Arial" w:hAnsi="Arial" w:cs="Arial"/>
                <w:color w:val="000000" w:themeColor="text1"/>
              </w:rPr>
            </w:pPr>
            <w:r w:rsidRPr="002B13DE">
              <w:rPr>
                <w:rFonts w:ascii="Arial" w:hAnsi="Arial" w:cs="Arial"/>
                <w:color w:val="000000" w:themeColor="text1"/>
              </w:rPr>
              <w:t>1</w:t>
            </w:r>
          </w:p>
        </w:tc>
        <w:tc>
          <w:tcPr>
            <w:tcW w:w="3529" w:type="dxa"/>
            <w:tcBorders>
              <w:left w:val="nil"/>
              <w:right w:val="nil"/>
            </w:tcBorders>
          </w:tcPr>
          <w:p w14:paraId="3E8846B4" w14:textId="77777777" w:rsidR="007236BD" w:rsidRPr="002B13DE" w:rsidRDefault="007236BD" w:rsidP="003A197C">
            <w:pPr>
              <w:rPr>
                <w:rFonts w:ascii="Arial" w:hAnsi="Arial" w:cs="Arial"/>
                <w:color w:val="000000" w:themeColor="text1"/>
              </w:rPr>
            </w:pPr>
            <w:r w:rsidRPr="002B13DE">
              <w:rPr>
                <w:rFonts w:ascii="Arial" w:eastAsia="Times New Roman" w:hAnsi="Arial" w:cs="Arial"/>
                <w:color w:val="000000" w:themeColor="text1"/>
                <w:lang w:eastAsia="en-PH"/>
              </w:rPr>
              <w:t>Retirement Savings Behavior</w:t>
            </w:r>
          </w:p>
        </w:tc>
        <w:tc>
          <w:tcPr>
            <w:tcW w:w="1350" w:type="dxa"/>
            <w:tcBorders>
              <w:left w:val="nil"/>
              <w:right w:val="nil"/>
            </w:tcBorders>
            <w:vAlign w:val="center"/>
          </w:tcPr>
          <w:p w14:paraId="0D0D3984"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4.04</w:t>
            </w:r>
          </w:p>
        </w:tc>
        <w:tc>
          <w:tcPr>
            <w:tcW w:w="1170" w:type="dxa"/>
            <w:tcBorders>
              <w:left w:val="nil"/>
              <w:right w:val="nil"/>
            </w:tcBorders>
            <w:vAlign w:val="center"/>
          </w:tcPr>
          <w:p w14:paraId="4F64336D"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0.32</w:t>
            </w:r>
          </w:p>
        </w:tc>
        <w:tc>
          <w:tcPr>
            <w:tcW w:w="1440" w:type="dxa"/>
            <w:tcBorders>
              <w:left w:val="nil"/>
              <w:right w:val="nil"/>
            </w:tcBorders>
            <w:vAlign w:val="center"/>
          </w:tcPr>
          <w:p w14:paraId="5215B875"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High</w:t>
            </w:r>
          </w:p>
        </w:tc>
      </w:tr>
      <w:tr w:rsidR="007236BD" w:rsidRPr="002B13DE" w14:paraId="5BABF184" w14:textId="77777777" w:rsidTr="007236BD">
        <w:tc>
          <w:tcPr>
            <w:tcW w:w="701" w:type="dxa"/>
            <w:tcBorders>
              <w:left w:val="nil"/>
              <w:right w:val="nil"/>
            </w:tcBorders>
          </w:tcPr>
          <w:p w14:paraId="3F8EA5DC" w14:textId="77777777" w:rsidR="007236BD" w:rsidRPr="002B13DE" w:rsidRDefault="007236BD" w:rsidP="003A197C">
            <w:pPr>
              <w:jc w:val="center"/>
              <w:rPr>
                <w:rFonts w:ascii="Arial" w:hAnsi="Arial" w:cs="Arial"/>
                <w:color w:val="000000" w:themeColor="text1"/>
              </w:rPr>
            </w:pPr>
            <w:r w:rsidRPr="002B13DE">
              <w:rPr>
                <w:rFonts w:ascii="Arial" w:hAnsi="Arial" w:cs="Arial"/>
                <w:color w:val="000000" w:themeColor="text1"/>
              </w:rPr>
              <w:t>2</w:t>
            </w:r>
          </w:p>
        </w:tc>
        <w:tc>
          <w:tcPr>
            <w:tcW w:w="3529" w:type="dxa"/>
            <w:tcBorders>
              <w:left w:val="nil"/>
              <w:right w:val="nil"/>
            </w:tcBorders>
          </w:tcPr>
          <w:p w14:paraId="5E7DC143" w14:textId="77777777" w:rsidR="007236BD" w:rsidRPr="002B13DE" w:rsidRDefault="007236BD" w:rsidP="003A197C">
            <w:pPr>
              <w:rPr>
                <w:rFonts w:ascii="Arial" w:hAnsi="Arial" w:cs="Arial"/>
                <w:color w:val="000000" w:themeColor="text1"/>
              </w:rPr>
            </w:pPr>
            <w:r w:rsidRPr="002B13DE">
              <w:rPr>
                <w:rFonts w:ascii="Arial" w:eastAsia="Times New Roman" w:hAnsi="Arial" w:cs="Arial"/>
                <w:color w:val="000000" w:themeColor="text1"/>
                <w:lang w:eastAsia="en-PH"/>
              </w:rPr>
              <w:t>Retirement Planning</w:t>
            </w:r>
          </w:p>
        </w:tc>
        <w:tc>
          <w:tcPr>
            <w:tcW w:w="1350" w:type="dxa"/>
            <w:tcBorders>
              <w:left w:val="nil"/>
              <w:right w:val="nil"/>
            </w:tcBorders>
            <w:vAlign w:val="center"/>
          </w:tcPr>
          <w:p w14:paraId="196C071A"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3.95</w:t>
            </w:r>
          </w:p>
        </w:tc>
        <w:tc>
          <w:tcPr>
            <w:tcW w:w="1170" w:type="dxa"/>
            <w:tcBorders>
              <w:left w:val="nil"/>
              <w:right w:val="nil"/>
            </w:tcBorders>
            <w:vAlign w:val="center"/>
          </w:tcPr>
          <w:p w14:paraId="6059292A"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0.31</w:t>
            </w:r>
          </w:p>
        </w:tc>
        <w:tc>
          <w:tcPr>
            <w:tcW w:w="1440" w:type="dxa"/>
            <w:tcBorders>
              <w:left w:val="nil"/>
              <w:right w:val="nil"/>
            </w:tcBorders>
            <w:vAlign w:val="center"/>
          </w:tcPr>
          <w:p w14:paraId="578D1D5A"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High</w:t>
            </w:r>
          </w:p>
        </w:tc>
      </w:tr>
      <w:tr w:rsidR="007236BD" w:rsidRPr="002B13DE" w14:paraId="7A28A1E5" w14:textId="77777777" w:rsidTr="007236BD">
        <w:tc>
          <w:tcPr>
            <w:tcW w:w="701" w:type="dxa"/>
            <w:tcBorders>
              <w:left w:val="nil"/>
              <w:right w:val="nil"/>
            </w:tcBorders>
          </w:tcPr>
          <w:p w14:paraId="6E5D3D67" w14:textId="77777777" w:rsidR="007236BD" w:rsidRPr="002B13DE" w:rsidRDefault="007236BD" w:rsidP="003A197C">
            <w:pPr>
              <w:jc w:val="center"/>
              <w:rPr>
                <w:rFonts w:ascii="Arial" w:hAnsi="Arial" w:cs="Arial"/>
                <w:color w:val="000000" w:themeColor="text1"/>
              </w:rPr>
            </w:pPr>
          </w:p>
        </w:tc>
        <w:tc>
          <w:tcPr>
            <w:tcW w:w="3529" w:type="dxa"/>
            <w:tcBorders>
              <w:left w:val="nil"/>
              <w:right w:val="nil"/>
            </w:tcBorders>
            <w:vAlign w:val="center"/>
          </w:tcPr>
          <w:p w14:paraId="0A097A34"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Overall Retirement Preparedness</w:t>
            </w:r>
          </w:p>
        </w:tc>
        <w:tc>
          <w:tcPr>
            <w:tcW w:w="1350" w:type="dxa"/>
            <w:tcBorders>
              <w:left w:val="nil"/>
              <w:right w:val="nil"/>
            </w:tcBorders>
            <w:vAlign w:val="center"/>
          </w:tcPr>
          <w:p w14:paraId="28A1D204"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4.00</w:t>
            </w:r>
          </w:p>
        </w:tc>
        <w:tc>
          <w:tcPr>
            <w:tcW w:w="1170" w:type="dxa"/>
            <w:tcBorders>
              <w:left w:val="nil"/>
              <w:right w:val="nil"/>
            </w:tcBorders>
            <w:vAlign w:val="center"/>
          </w:tcPr>
          <w:p w14:paraId="6302B4F9"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0.27</w:t>
            </w:r>
          </w:p>
        </w:tc>
        <w:tc>
          <w:tcPr>
            <w:tcW w:w="1440" w:type="dxa"/>
            <w:tcBorders>
              <w:left w:val="nil"/>
              <w:right w:val="nil"/>
            </w:tcBorders>
            <w:vAlign w:val="center"/>
          </w:tcPr>
          <w:p w14:paraId="79E5A645" w14:textId="77777777" w:rsidR="007236BD" w:rsidRPr="002B13DE" w:rsidRDefault="007236BD" w:rsidP="003A197C">
            <w:pPr>
              <w:jc w:val="center"/>
              <w:rPr>
                <w:rFonts w:ascii="Arial" w:hAnsi="Arial" w:cs="Arial"/>
                <w:color w:val="000000" w:themeColor="text1"/>
              </w:rPr>
            </w:pPr>
            <w:r w:rsidRPr="002B13DE">
              <w:rPr>
                <w:rFonts w:ascii="Arial" w:eastAsia="Times New Roman" w:hAnsi="Arial" w:cs="Arial"/>
                <w:color w:val="000000" w:themeColor="text1"/>
                <w:lang w:eastAsia="en-PH"/>
              </w:rPr>
              <w:t>High</w:t>
            </w:r>
          </w:p>
        </w:tc>
      </w:tr>
    </w:tbl>
    <w:p w14:paraId="4831505B" w14:textId="77777777" w:rsidR="00433C52" w:rsidRDefault="00433C52" w:rsidP="00E0340D">
      <w:pPr>
        <w:spacing w:after="0"/>
        <w:rPr>
          <w:rFonts w:ascii="Arial" w:hAnsi="Arial" w:cs="Arial"/>
          <w:b/>
          <w:bCs/>
          <w:sz w:val="20"/>
          <w:szCs w:val="20"/>
        </w:rPr>
      </w:pPr>
      <w:bookmarkStart w:id="2" w:name="_Toc201323109"/>
    </w:p>
    <w:p w14:paraId="68578C02" w14:textId="023BB8E8" w:rsidR="007236BD" w:rsidRPr="007236BD" w:rsidRDefault="007236BD" w:rsidP="007236BD">
      <w:pPr>
        <w:spacing w:after="0"/>
        <w:jc w:val="center"/>
        <w:rPr>
          <w:rFonts w:ascii="Arial" w:hAnsi="Arial" w:cs="Arial"/>
          <w:b/>
          <w:bCs/>
          <w:sz w:val="20"/>
          <w:szCs w:val="20"/>
        </w:rPr>
      </w:pPr>
      <w:r w:rsidRPr="007236BD">
        <w:rPr>
          <w:rFonts w:ascii="Arial" w:hAnsi="Arial" w:cs="Arial"/>
          <w:b/>
          <w:bCs/>
          <w:sz w:val="20"/>
          <w:szCs w:val="20"/>
        </w:rPr>
        <w:t>Differences in the Level of Financial Literacy</w:t>
      </w:r>
      <w:bookmarkEnd w:id="2"/>
    </w:p>
    <w:p w14:paraId="7010AADC" w14:textId="77777777" w:rsidR="007236BD" w:rsidRDefault="007236BD" w:rsidP="007236BD">
      <w:pPr>
        <w:spacing w:after="0"/>
        <w:jc w:val="both"/>
        <w:rPr>
          <w:rFonts w:ascii="Arial" w:hAnsi="Arial" w:cs="Arial"/>
          <w:sz w:val="20"/>
          <w:szCs w:val="20"/>
        </w:rPr>
      </w:pPr>
    </w:p>
    <w:p w14:paraId="01A321BD" w14:textId="1D07B140" w:rsidR="007236BD" w:rsidRDefault="007236BD" w:rsidP="007236BD">
      <w:pPr>
        <w:spacing w:after="0"/>
        <w:ind w:firstLine="720"/>
        <w:jc w:val="both"/>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11</w:t>
      </w:r>
      <w:r w:rsidRPr="007236BD">
        <w:rPr>
          <w:rFonts w:ascii="Arial" w:hAnsi="Arial" w:cs="Arial"/>
          <w:sz w:val="20"/>
          <w:szCs w:val="20"/>
        </w:rPr>
        <w:t xml:space="preserve"> shows no significant difference in financial literacy levels among respondents based on age (F = 0.657, p = 0.522). This indicates that financial literacy scores are similar across different age groups of government employees. These findings align with Lusardi and Mitchell (2017), who argue that financial literacy is more influenced by financial education and personal habits than by demographic factors such as age. Xiao and Porto (2017) also emphasize that financial literacy is related to individual financial behaviors and attitudes, regardless of age, highlighting the need for inclusive financial education across all age groups.</w:t>
      </w:r>
    </w:p>
    <w:p w14:paraId="19BC0618" w14:textId="77777777" w:rsidR="007236BD" w:rsidRDefault="007236BD" w:rsidP="007236BD">
      <w:pPr>
        <w:spacing w:after="0"/>
        <w:jc w:val="both"/>
        <w:rPr>
          <w:rFonts w:ascii="Arial" w:hAnsi="Arial" w:cs="Arial"/>
          <w:sz w:val="20"/>
          <w:szCs w:val="20"/>
        </w:rPr>
      </w:pPr>
    </w:p>
    <w:p w14:paraId="1255CF20" w14:textId="796EF541" w:rsidR="007236BD" w:rsidRPr="007236BD" w:rsidRDefault="007236BD" w:rsidP="007236BD">
      <w:pPr>
        <w:spacing w:after="0"/>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11</w:t>
      </w:r>
      <w:r w:rsidRPr="007236BD">
        <w:rPr>
          <w:rFonts w:ascii="Arial" w:hAnsi="Arial" w:cs="Arial"/>
          <w:sz w:val="20"/>
          <w:szCs w:val="20"/>
        </w:rPr>
        <w:t>. Financial literacy comparison among respondents in terms of their age</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70"/>
        <w:gridCol w:w="1881"/>
        <w:gridCol w:w="1311"/>
        <w:gridCol w:w="1611"/>
        <w:gridCol w:w="797"/>
        <w:gridCol w:w="743"/>
      </w:tblGrid>
      <w:tr w:rsidR="007236BD" w:rsidRPr="007236BD" w14:paraId="4D3002C9" w14:textId="77777777" w:rsidTr="003A197C">
        <w:trPr>
          <w:trHeight w:val="288"/>
        </w:trPr>
        <w:tc>
          <w:tcPr>
            <w:tcW w:w="1979" w:type="dxa"/>
            <w:vAlign w:val="center"/>
          </w:tcPr>
          <w:p w14:paraId="2ECC225F" w14:textId="77777777" w:rsidR="007236BD" w:rsidRPr="007236BD" w:rsidRDefault="007236BD" w:rsidP="003A197C">
            <w:pPr>
              <w:rPr>
                <w:rFonts w:ascii="Arial" w:hAnsi="Arial" w:cs="Arial"/>
                <w:color w:val="000000" w:themeColor="text1"/>
              </w:rPr>
            </w:pPr>
          </w:p>
        </w:tc>
        <w:tc>
          <w:tcPr>
            <w:tcW w:w="1995" w:type="dxa"/>
          </w:tcPr>
          <w:p w14:paraId="684F53F3"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Sum of Squares</w:t>
            </w:r>
          </w:p>
        </w:tc>
        <w:tc>
          <w:tcPr>
            <w:tcW w:w="1418" w:type="dxa"/>
          </w:tcPr>
          <w:p w14:paraId="46548F62"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df</w:t>
            </w:r>
          </w:p>
        </w:tc>
        <w:tc>
          <w:tcPr>
            <w:tcW w:w="1701" w:type="dxa"/>
          </w:tcPr>
          <w:p w14:paraId="350D70FA"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Mean Square</w:t>
            </w:r>
          </w:p>
        </w:tc>
        <w:tc>
          <w:tcPr>
            <w:tcW w:w="807" w:type="dxa"/>
          </w:tcPr>
          <w:p w14:paraId="5FB40082"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F</w:t>
            </w:r>
          </w:p>
        </w:tc>
        <w:tc>
          <w:tcPr>
            <w:tcW w:w="745" w:type="dxa"/>
          </w:tcPr>
          <w:p w14:paraId="17846554"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Sig.</w:t>
            </w:r>
          </w:p>
        </w:tc>
      </w:tr>
      <w:tr w:rsidR="007236BD" w:rsidRPr="007236BD" w14:paraId="16F8D023" w14:textId="77777777" w:rsidTr="003A197C">
        <w:trPr>
          <w:trHeight w:val="279"/>
        </w:trPr>
        <w:tc>
          <w:tcPr>
            <w:tcW w:w="1979" w:type="dxa"/>
          </w:tcPr>
          <w:p w14:paraId="45E7A67F" w14:textId="77777777" w:rsidR="007236BD" w:rsidRPr="007236BD" w:rsidRDefault="007236BD" w:rsidP="003A197C">
            <w:pPr>
              <w:autoSpaceDE w:val="0"/>
              <w:autoSpaceDN w:val="0"/>
              <w:adjustRightInd w:val="0"/>
              <w:ind w:left="60" w:right="60"/>
              <w:rPr>
                <w:rFonts w:ascii="Arial" w:hAnsi="Arial" w:cs="Arial"/>
                <w:color w:val="000000" w:themeColor="text1"/>
              </w:rPr>
            </w:pPr>
            <w:r w:rsidRPr="007236BD">
              <w:rPr>
                <w:rFonts w:ascii="Arial" w:hAnsi="Arial" w:cs="Arial"/>
                <w:color w:val="000000" w:themeColor="text1"/>
              </w:rPr>
              <w:t>Between Groups</w:t>
            </w:r>
          </w:p>
        </w:tc>
        <w:tc>
          <w:tcPr>
            <w:tcW w:w="1995" w:type="dxa"/>
            <w:vAlign w:val="center"/>
          </w:tcPr>
          <w:p w14:paraId="62EB28EE"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.073</w:t>
            </w:r>
          </w:p>
        </w:tc>
        <w:tc>
          <w:tcPr>
            <w:tcW w:w="1418" w:type="dxa"/>
            <w:vAlign w:val="center"/>
          </w:tcPr>
          <w:p w14:paraId="728E27A5"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2</w:t>
            </w:r>
          </w:p>
        </w:tc>
        <w:tc>
          <w:tcPr>
            <w:tcW w:w="1701" w:type="dxa"/>
            <w:vAlign w:val="center"/>
          </w:tcPr>
          <w:p w14:paraId="5293E871"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.037</w:t>
            </w:r>
          </w:p>
        </w:tc>
        <w:tc>
          <w:tcPr>
            <w:tcW w:w="807" w:type="dxa"/>
            <w:vAlign w:val="center"/>
          </w:tcPr>
          <w:p w14:paraId="0F490880"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.657</w:t>
            </w:r>
          </w:p>
        </w:tc>
        <w:tc>
          <w:tcPr>
            <w:tcW w:w="745" w:type="dxa"/>
            <w:vAlign w:val="center"/>
          </w:tcPr>
          <w:p w14:paraId="7FD7DAFB"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.522</w:t>
            </w:r>
          </w:p>
        </w:tc>
      </w:tr>
      <w:tr w:rsidR="007236BD" w:rsidRPr="007236BD" w14:paraId="7A8A3EE9" w14:textId="77777777" w:rsidTr="003A197C">
        <w:trPr>
          <w:trHeight w:val="342"/>
        </w:trPr>
        <w:tc>
          <w:tcPr>
            <w:tcW w:w="1979" w:type="dxa"/>
          </w:tcPr>
          <w:p w14:paraId="6255996B" w14:textId="77777777" w:rsidR="007236BD" w:rsidRPr="007236BD" w:rsidRDefault="007236BD" w:rsidP="003A197C">
            <w:pPr>
              <w:autoSpaceDE w:val="0"/>
              <w:autoSpaceDN w:val="0"/>
              <w:adjustRightInd w:val="0"/>
              <w:ind w:left="60" w:right="60"/>
              <w:rPr>
                <w:rFonts w:ascii="Arial" w:hAnsi="Arial" w:cs="Arial"/>
                <w:color w:val="000000" w:themeColor="text1"/>
              </w:rPr>
            </w:pPr>
            <w:r w:rsidRPr="007236BD">
              <w:rPr>
                <w:rFonts w:ascii="Arial" w:hAnsi="Arial" w:cs="Arial"/>
                <w:color w:val="000000" w:themeColor="text1"/>
              </w:rPr>
              <w:t>Within Groups</w:t>
            </w:r>
          </w:p>
        </w:tc>
        <w:tc>
          <w:tcPr>
            <w:tcW w:w="1995" w:type="dxa"/>
            <w:vAlign w:val="center"/>
          </w:tcPr>
          <w:p w14:paraId="08EB7B63"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3.914</w:t>
            </w:r>
          </w:p>
        </w:tc>
        <w:tc>
          <w:tcPr>
            <w:tcW w:w="1418" w:type="dxa"/>
            <w:vAlign w:val="center"/>
          </w:tcPr>
          <w:p w14:paraId="4CE92C74"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70</w:t>
            </w:r>
          </w:p>
        </w:tc>
        <w:tc>
          <w:tcPr>
            <w:tcW w:w="1701" w:type="dxa"/>
            <w:vAlign w:val="center"/>
          </w:tcPr>
          <w:p w14:paraId="285B2D6B"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.056</w:t>
            </w:r>
          </w:p>
        </w:tc>
        <w:tc>
          <w:tcPr>
            <w:tcW w:w="807" w:type="dxa"/>
            <w:vAlign w:val="center"/>
          </w:tcPr>
          <w:p w14:paraId="4CEA1C17" w14:textId="77777777" w:rsidR="007236BD" w:rsidRPr="007236BD" w:rsidRDefault="007236BD" w:rsidP="003A197C">
            <w:pPr>
              <w:autoSpaceDE w:val="0"/>
              <w:autoSpaceDN w:val="0"/>
              <w:adjustRightInd w:val="0"/>
              <w:jc w:val="center"/>
              <w:rPr>
                <w:rFonts w:ascii="Arial" w:hAnsi="Arial" w:cs="Arial"/>
                <w:color w:val="000000" w:themeColor="text1"/>
              </w:rPr>
            </w:pPr>
          </w:p>
        </w:tc>
        <w:tc>
          <w:tcPr>
            <w:tcW w:w="745" w:type="dxa"/>
            <w:vAlign w:val="center"/>
          </w:tcPr>
          <w:p w14:paraId="4C447D5D" w14:textId="77777777" w:rsidR="007236BD" w:rsidRPr="007236BD" w:rsidRDefault="007236BD" w:rsidP="003A197C">
            <w:pPr>
              <w:autoSpaceDE w:val="0"/>
              <w:autoSpaceDN w:val="0"/>
              <w:adjustRightInd w:val="0"/>
              <w:jc w:val="center"/>
              <w:rPr>
                <w:rFonts w:ascii="Arial" w:hAnsi="Arial" w:cs="Arial"/>
                <w:color w:val="000000" w:themeColor="text1"/>
              </w:rPr>
            </w:pPr>
          </w:p>
        </w:tc>
      </w:tr>
      <w:tr w:rsidR="007236BD" w:rsidRPr="007236BD" w14:paraId="23BD01BC" w14:textId="77777777" w:rsidTr="003A197C">
        <w:trPr>
          <w:trHeight w:val="279"/>
        </w:trPr>
        <w:tc>
          <w:tcPr>
            <w:tcW w:w="1979" w:type="dxa"/>
          </w:tcPr>
          <w:p w14:paraId="249C6097" w14:textId="77777777" w:rsidR="007236BD" w:rsidRPr="007236BD" w:rsidRDefault="007236BD" w:rsidP="003A197C">
            <w:pPr>
              <w:autoSpaceDE w:val="0"/>
              <w:autoSpaceDN w:val="0"/>
              <w:adjustRightInd w:val="0"/>
              <w:ind w:left="60" w:right="60"/>
              <w:rPr>
                <w:rFonts w:ascii="Arial" w:hAnsi="Arial" w:cs="Arial"/>
                <w:color w:val="000000" w:themeColor="text1"/>
              </w:rPr>
            </w:pPr>
            <w:r w:rsidRPr="007236BD">
              <w:rPr>
                <w:rFonts w:ascii="Arial" w:hAnsi="Arial" w:cs="Arial"/>
                <w:color w:val="000000" w:themeColor="text1"/>
              </w:rPr>
              <w:t>Total</w:t>
            </w:r>
          </w:p>
        </w:tc>
        <w:tc>
          <w:tcPr>
            <w:tcW w:w="1995" w:type="dxa"/>
            <w:vAlign w:val="center"/>
          </w:tcPr>
          <w:p w14:paraId="1E3242B8"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3.987</w:t>
            </w:r>
          </w:p>
        </w:tc>
        <w:tc>
          <w:tcPr>
            <w:tcW w:w="1418" w:type="dxa"/>
            <w:vAlign w:val="center"/>
          </w:tcPr>
          <w:p w14:paraId="093659B9" w14:textId="77777777" w:rsidR="007236BD" w:rsidRPr="007236BD" w:rsidRDefault="007236BD" w:rsidP="003A197C">
            <w:pPr>
              <w:autoSpaceDE w:val="0"/>
              <w:autoSpaceDN w:val="0"/>
              <w:adjustRightInd w:val="0"/>
              <w:ind w:left="60" w:right="60"/>
              <w:jc w:val="center"/>
              <w:rPr>
                <w:rFonts w:ascii="Arial" w:hAnsi="Arial" w:cs="Arial"/>
                <w:color w:val="000000" w:themeColor="text1"/>
              </w:rPr>
            </w:pPr>
            <w:r w:rsidRPr="007236BD">
              <w:rPr>
                <w:rFonts w:ascii="Arial" w:hAnsi="Arial" w:cs="Arial"/>
                <w:color w:val="000000" w:themeColor="text1"/>
              </w:rPr>
              <w:t>72</w:t>
            </w:r>
          </w:p>
        </w:tc>
        <w:tc>
          <w:tcPr>
            <w:tcW w:w="1701" w:type="dxa"/>
            <w:vAlign w:val="center"/>
          </w:tcPr>
          <w:p w14:paraId="051CCFA0" w14:textId="77777777" w:rsidR="007236BD" w:rsidRPr="007236BD" w:rsidRDefault="007236BD" w:rsidP="003A197C">
            <w:pPr>
              <w:autoSpaceDE w:val="0"/>
              <w:autoSpaceDN w:val="0"/>
              <w:adjustRightInd w:val="0"/>
              <w:jc w:val="center"/>
              <w:rPr>
                <w:rFonts w:ascii="Arial" w:hAnsi="Arial" w:cs="Arial"/>
                <w:color w:val="000000" w:themeColor="text1"/>
              </w:rPr>
            </w:pPr>
          </w:p>
        </w:tc>
        <w:tc>
          <w:tcPr>
            <w:tcW w:w="807" w:type="dxa"/>
            <w:vAlign w:val="center"/>
          </w:tcPr>
          <w:p w14:paraId="3D55D031" w14:textId="77777777" w:rsidR="007236BD" w:rsidRPr="007236BD" w:rsidRDefault="007236BD" w:rsidP="003A197C">
            <w:pPr>
              <w:autoSpaceDE w:val="0"/>
              <w:autoSpaceDN w:val="0"/>
              <w:adjustRightInd w:val="0"/>
              <w:jc w:val="center"/>
              <w:rPr>
                <w:rFonts w:ascii="Arial" w:hAnsi="Arial" w:cs="Arial"/>
                <w:color w:val="000000" w:themeColor="text1"/>
              </w:rPr>
            </w:pPr>
          </w:p>
        </w:tc>
        <w:tc>
          <w:tcPr>
            <w:tcW w:w="745" w:type="dxa"/>
            <w:vAlign w:val="center"/>
          </w:tcPr>
          <w:p w14:paraId="2020C1F1" w14:textId="77777777" w:rsidR="007236BD" w:rsidRPr="007236BD" w:rsidRDefault="007236BD" w:rsidP="003A197C">
            <w:pPr>
              <w:autoSpaceDE w:val="0"/>
              <w:autoSpaceDN w:val="0"/>
              <w:adjustRightInd w:val="0"/>
              <w:jc w:val="center"/>
              <w:rPr>
                <w:rFonts w:ascii="Arial" w:hAnsi="Arial" w:cs="Arial"/>
                <w:color w:val="000000" w:themeColor="text1"/>
              </w:rPr>
            </w:pPr>
          </w:p>
        </w:tc>
      </w:tr>
    </w:tbl>
    <w:p w14:paraId="613F7C05" w14:textId="77777777" w:rsidR="007236BD" w:rsidRPr="007236BD" w:rsidRDefault="007236BD" w:rsidP="007236BD">
      <w:pPr>
        <w:spacing w:after="0"/>
        <w:jc w:val="both"/>
        <w:rPr>
          <w:rFonts w:ascii="Arial" w:hAnsi="Arial" w:cs="Arial"/>
          <w:sz w:val="20"/>
          <w:szCs w:val="20"/>
        </w:rPr>
      </w:pPr>
    </w:p>
    <w:p w14:paraId="1135B8DD" w14:textId="58046E5C" w:rsidR="000543AC" w:rsidRPr="007236BD" w:rsidRDefault="007236BD" w:rsidP="007236BD">
      <w:pPr>
        <w:spacing w:after="0"/>
        <w:ind w:firstLine="720"/>
        <w:jc w:val="both"/>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12</w:t>
      </w:r>
      <w:r w:rsidRPr="007236BD">
        <w:rPr>
          <w:rFonts w:ascii="Arial" w:hAnsi="Arial" w:cs="Arial"/>
          <w:sz w:val="20"/>
          <w:szCs w:val="20"/>
        </w:rPr>
        <w:t xml:space="preserve"> shows no significant difference in financial literacy levels among respondents based on gender (F = 0.305, p = 0.738). This indicates that financial literacy scores do not vary meaningfully between male and female respondents. These findings are supported by Xiao and Porto (2017), who emphasize that personal financial behavior and self-efficacy have a greater influence on financial literacy than gender alone. Similarly, Lusardi and Mitchell (2017) highlight that financial literacy and decision-making abilities are shaped more by education and experience than by gender.</w:t>
      </w:r>
    </w:p>
    <w:p w14:paraId="545BE6EE" w14:textId="77777777" w:rsidR="00B118B0" w:rsidRDefault="00B118B0" w:rsidP="007236BD">
      <w:pPr>
        <w:spacing w:after="0"/>
        <w:jc w:val="both"/>
        <w:rPr>
          <w:rFonts w:ascii="Arial" w:hAnsi="Arial" w:cs="Arial"/>
          <w:sz w:val="20"/>
          <w:szCs w:val="20"/>
        </w:rPr>
      </w:pPr>
    </w:p>
    <w:p w14:paraId="196C9E32" w14:textId="593165DD" w:rsidR="007236BD" w:rsidRPr="007236BD" w:rsidRDefault="007236BD" w:rsidP="007236BD">
      <w:pPr>
        <w:spacing w:after="0"/>
        <w:jc w:val="both"/>
        <w:rPr>
          <w:rFonts w:ascii="Arial" w:hAnsi="Arial" w:cs="Arial"/>
          <w:sz w:val="20"/>
          <w:szCs w:val="20"/>
        </w:rPr>
      </w:pPr>
      <w:r w:rsidRPr="007236BD">
        <w:rPr>
          <w:rFonts w:ascii="Arial" w:hAnsi="Arial" w:cs="Arial"/>
          <w:sz w:val="20"/>
          <w:szCs w:val="20"/>
        </w:rPr>
        <w:t xml:space="preserve">Table </w:t>
      </w:r>
      <w:r w:rsidR="001B7571">
        <w:rPr>
          <w:rFonts w:ascii="Arial" w:hAnsi="Arial" w:cs="Arial"/>
          <w:sz w:val="20"/>
          <w:szCs w:val="20"/>
        </w:rPr>
        <w:t>12</w:t>
      </w:r>
      <w:r w:rsidRPr="007236BD">
        <w:rPr>
          <w:rFonts w:ascii="Arial" w:hAnsi="Arial" w:cs="Arial"/>
          <w:sz w:val="20"/>
          <w:szCs w:val="20"/>
        </w:rPr>
        <w:t>. Financial literacy comparison among respondents in terms of their gender</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1932"/>
        <w:gridCol w:w="1080"/>
        <w:gridCol w:w="1710"/>
        <w:gridCol w:w="810"/>
        <w:gridCol w:w="810"/>
      </w:tblGrid>
      <w:tr w:rsidR="00B118B0" w:rsidRPr="005F5329" w14:paraId="42EEDC6A" w14:textId="77777777" w:rsidTr="00B118B0">
        <w:trPr>
          <w:trHeight w:val="287"/>
        </w:trPr>
        <w:tc>
          <w:tcPr>
            <w:tcW w:w="1853" w:type="dxa"/>
          </w:tcPr>
          <w:p w14:paraId="65283869" w14:textId="77777777" w:rsidR="00B118B0" w:rsidRPr="005F5329" w:rsidRDefault="00B118B0" w:rsidP="003A197C">
            <w:pPr>
              <w:autoSpaceDE w:val="0"/>
              <w:autoSpaceDN w:val="0"/>
              <w:adjustRightInd w:val="0"/>
              <w:rPr>
                <w:rFonts w:ascii="Arial" w:hAnsi="Arial" w:cs="Arial"/>
                <w:color w:val="000000" w:themeColor="text1"/>
              </w:rPr>
            </w:pPr>
          </w:p>
        </w:tc>
        <w:tc>
          <w:tcPr>
            <w:tcW w:w="1932" w:type="dxa"/>
          </w:tcPr>
          <w:p w14:paraId="530901EA"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Sum of Squares</w:t>
            </w:r>
          </w:p>
        </w:tc>
        <w:tc>
          <w:tcPr>
            <w:tcW w:w="1080" w:type="dxa"/>
          </w:tcPr>
          <w:p w14:paraId="1B9B4BD2"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df</w:t>
            </w:r>
          </w:p>
        </w:tc>
        <w:tc>
          <w:tcPr>
            <w:tcW w:w="1710" w:type="dxa"/>
          </w:tcPr>
          <w:p w14:paraId="2FB87AA7"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Mean Square</w:t>
            </w:r>
          </w:p>
        </w:tc>
        <w:tc>
          <w:tcPr>
            <w:tcW w:w="810" w:type="dxa"/>
          </w:tcPr>
          <w:p w14:paraId="53461775"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F</w:t>
            </w:r>
          </w:p>
        </w:tc>
        <w:tc>
          <w:tcPr>
            <w:tcW w:w="810" w:type="dxa"/>
          </w:tcPr>
          <w:p w14:paraId="42FEC596" w14:textId="77777777" w:rsidR="00B118B0" w:rsidRPr="005F5329"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5F5329">
              <w:rPr>
                <w:rFonts w:ascii="Arial" w:hAnsi="Arial" w:cs="Arial"/>
                <w:color w:val="000000" w:themeColor="text1"/>
              </w:rPr>
              <w:t>Sig.</w:t>
            </w:r>
          </w:p>
        </w:tc>
      </w:tr>
      <w:tr w:rsidR="00B118B0" w:rsidRPr="005F5329" w14:paraId="7384D687" w14:textId="77777777" w:rsidTr="00B118B0">
        <w:trPr>
          <w:trHeight w:val="350"/>
        </w:trPr>
        <w:tc>
          <w:tcPr>
            <w:tcW w:w="1853" w:type="dxa"/>
          </w:tcPr>
          <w:p w14:paraId="608AAEF0" w14:textId="77777777" w:rsidR="00B118B0" w:rsidRPr="005F5329" w:rsidRDefault="00B118B0" w:rsidP="003A197C">
            <w:pPr>
              <w:autoSpaceDE w:val="0"/>
              <w:autoSpaceDN w:val="0"/>
              <w:adjustRightInd w:val="0"/>
              <w:ind w:left="60" w:right="60"/>
              <w:rPr>
                <w:rFonts w:ascii="Arial" w:hAnsi="Arial" w:cs="Arial"/>
                <w:color w:val="000000" w:themeColor="text1"/>
              </w:rPr>
            </w:pPr>
            <w:r w:rsidRPr="005F5329">
              <w:rPr>
                <w:rFonts w:ascii="Arial" w:hAnsi="Arial" w:cs="Arial"/>
                <w:color w:val="000000" w:themeColor="text1"/>
              </w:rPr>
              <w:t>Between Groups</w:t>
            </w:r>
          </w:p>
        </w:tc>
        <w:tc>
          <w:tcPr>
            <w:tcW w:w="1932" w:type="dxa"/>
            <w:vAlign w:val="center"/>
          </w:tcPr>
          <w:p w14:paraId="436624A0"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.034</w:t>
            </w:r>
          </w:p>
        </w:tc>
        <w:tc>
          <w:tcPr>
            <w:tcW w:w="1080" w:type="dxa"/>
            <w:vAlign w:val="center"/>
          </w:tcPr>
          <w:p w14:paraId="4097D622"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2</w:t>
            </w:r>
          </w:p>
        </w:tc>
        <w:tc>
          <w:tcPr>
            <w:tcW w:w="1710" w:type="dxa"/>
            <w:vAlign w:val="center"/>
          </w:tcPr>
          <w:p w14:paraId="1BFE9F2F"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.017</w:t>
            </w:r>
          </w:p>
        </w:tc>
        <w:tc>
          <w:tcPr>
            <w:tcW w:w="810" w:type="dxa"/>
            <w:vAlign w:val="center"/>
          </w:tcPr>
          <w:p w14:paraId="122D96D5"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.305</w:t>
            </w:r>
          </w:p>
        </w:tc>
        <w:tc>
          <w:tcPr>
            <w:tcW w:w="810" w:type="dxa"/>
            <w:vAlign w:val="center"/>
          </w:tcPr>
          <w:p w14:paraId="7A002B2A" w14:textId="77777777" w:rsidR="00B118B0" w:rsidRPr="005F5329"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5F5329">
              <w:rPr>
                <w:rFonts w:ascii="Arial" w:hAnsi="Arial" w:cs="Arial"/>
                <w:color w:val="000000" w:themeColor="text1"/>
              </w:rPr>
              <w:t>.738</w:t>
            </w:r>
          </w:p>
        </w:tc>
      </w:tr>
      <w:tr w:rsidR="00B118B0" w:rsidRPr="005F5329" w14:paraId="3E63289A" w14:textId="77777777" w:rsidTr="00B118B0">
        <w:trPr>
          <w:trHeight w:val="260"/>
        </w:trPr>
        <w:tc>
          <w:tcPr>
            <w:tcW w:w="1853" w:type="dxa"/>
          </w:tcPr>
          <w:p w14:paraId="4A26E504" w14:textId="77777777" w:rsidR="00B118B0" w:rsidRPr="005F5329" w:rsidRDefault="00B118B0" w:rsidP="003A197C">
            <w:pPr>
              <w:autoSpaceDE w:val="0"/>
              <w:autoSpaceDN w:val="0"/>
              <w:adjustRightInd w:val="0"/>
              <w:ind w:left="60" w:right="60"/>
              <w:rPr>
                <w:rFonts w:ascii="Arial" w:hAnsi="Arial" w:cs="Arial"/>
                <w:color w:val="000000" w:themeColor="text1"/>
              </w:rPr>
            </w:pPr>
            <w:r w:rsidRPr="005F5329">
              <w:rPr>
                <w:rFonts w:ascii="Arial" w:hAnsi="Arial" w:cs="Arial"/>
                <w:color w:val="000000" w:themeColor="text1"/>
              </w:rPr>
              <w:t>Within Groups</w:t>
            </w:r>
          </w:p>
        </w:tc>
        <w:tc>
          <w:tcPr>
            <w:tcW w:w="1932" w:type="dxa"/>
            <w:vAlign w:val="center"/>
          </w:tcPr>
          <w:p w14:paraId="512C9A8D"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3.953</w:t>
            </w:r>
          </w:p>
        </w:tc>
        <w:tc>
          <w:tcPr>
            <w:tcW w:w="1080" w:type="dxa"/>
            <w:vAlign w:val="center"/>
          </w:tcPr>
          <w:p w14:paraId="3731F3BB"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70</w:t>
            </w:r>
          </w:p>
        </w:tc>
        <w:tc>
          <w:tcPr>
            <w:tcW w:w="1710" w:type="dxa"/>
            <w:vAlign w:val="center"/>
          </w:tcPr>
          <w:p w14:paraId="126024FA"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.056</w:t>
            </w:r>
          </w:p>
        </w:tc>
        <w:tc>
          <w:tcPr>
            <w:tcW w:w="810" w:type="dxa"/>
            <w:vAlign w:val="center"/>
          </w:tcPr>
          <w:p w14:paraId="0D774EB5" w14:textId="77777777" w:rsidR="00B118B0" w:rsidRPr="005F5329" w:rsidRDefault="00B118B0" w:rsidP="003A197C">
            <w:pPr>
              <w:autoSpaceDE w:val="0"/>
              <w:autoSpaceDN w:val="0"/>
              <w:adjustRightInd w:val="0"/>
              <w:jc w:val="center"/>
              <w:rPr>
                <w:rFonts w:ascii="Arial" w:hAnsi="Arial" w:cs="Arial"/>
                <w:color w:val="000000" w:themeColor="text1"/>
              </w:rPr>
            </w:pPr>
          </w:p>
        </w:tc>
        <w:tc>
          <w:tcPr>
            <w:tcW w:w="810" w:type="dxa"/>
            <w:vAlign w:val="center"/>
          </w:tcPr>
          <w:p w14:paraId="35133EF6" w14:textId="77777777" w:rsidR="00B118B0" w:rsidRPr="005F5329" w:rsidRDefault="00B118B0" w:rsidP="003A197C">
            <w:pPr>
              <w:autoSpaceDE w:val="0"/>
              <w:autoSpaceDN w:val="0"/>
              <w:adjustRightInd w:val="0"/>
              <w:jc w:val="center"/>
              <w:rPr>
                <w:rFonts w:ascii="Arial" w:eastAsia="Times New Roman" w:hAnsi="Arial" w:cs="Arial"/>
                <w:color w:val="000000" w:themeColor="text1"/>
                <w:lang w:eastAsia="en-PH"/>
              </w:rPr>
            </w:pPr>
          </w:p>
        </w:tc>
      </w:tr>
      <w:tr w:rsidR="00B118B0" w:rsidRPr="005F5329" w14:paraId="776F4E6B" w14:textId="77777777" w:rsidTr="00B118B0">
        <w:trPr>
          <w:trHeight w:val="260"/>
        </w:trPr>
        <w:tc>
          <w:tcPr>
            <w:tcW w:w="1853" w:type="dxa"/>
          </w:tcPr>
          <w:p w14:paraId="7D196F7D" w14:textId="77777777" w:rsidR="00B118B0" w:rsidRPr="005F5329" w:rsidRDefault="00B118B0" w:rsidP="003A197C">
            <w:pPr>
              <w:autoSpaceDE w:val="0"/>
              <w:autoSpaceDN w:val="0"/>
              <w:adjustRightInd w:val="0"/>
              <w:ind w:left="60" w:right="60"/>
              <w:rPr>
                <w:rFonts w:ascii="Arial" w:hAnsi="Arial" w:cs="Arial"/>
                <w:color w:val="000000" w:themeColor="text1"/>
              </w:rPr>
            </w:pPr>
            <w:r w:rsidRPr="005F5329">
              <w:rPr>
                <w:rFonts w:ascii="Arial" w:hAnsi="Arial" w:cs="Arial"/>
                <w:color w:val="000000" w:themeColor="text1"/>
              </w:rPr>
              <w:t>Total</w:t>
            </w:r>
          </w:p>
        </w:tc>
        <w:tc>
          <w:tcPr>
            <w:tcW w:w="1932" w:type="dxa"/>
            <w:vAlign w:val="center"/>
          </w:tcPr>
          <w:p w14:paraId="53D6FC8E"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3.987</w:t>
            </w:r>
          </w:p>
        </w:tc>
        <w:tc>
          <w:tcPr>
            <w:tcW w:w="1080" w:type="dxa"/>
            <w:vAlign w:val="center"/>
          </w:tcPr>
          <w:p w14:paraId="79A3AE05" w14:textId="77777777" w:rsidR="00B118B0" w:rsidRPr="005F5329" w:rsidRDefault="00B118B0" w:rsidP="003A197C">
            <w:pPr>
              <w:autoSpaceDE w:val="0"/>
              <w:autoSpaceDN w:val="0"/>
              <w:adjustRightInd w:val="0"/>
              <w:ind w:left="60" w:right="60"/>
              <w:jc w:val="center"/>
              <w:rPr>
                <w:rFonts w:ascii="Arial" w:hAnsi="Arial" w:cs="Arial"/>
                <w:color w:val="000000" w:themeColor="text1"/>
              </w:rPr>
            </w:pPr>
            <w:r w:rsidRPr="005F5329">
              <w:rPr>
                <w:rFonts w:ascii="Arial" w:hAnsi="Arial" w:cs="Arial"/>
                <w:color w:val="000000" w:themeColor="text1"/>
              </w:rPr>
              <w:t>72</w:t>
            </w:r>
          </w:p>
        </w:tc>
        <w:tc>
          <w:tcPr>
            <w:tcW w:w="1710" w:type="dxa"/>
            <w:vAlign w:val="center"/>
          </w:tcPr>
          <w:p w14:paraId="1757FF3D" w14:textId="77777777" w:rsidR="00B118B0" w:rsidRPr="005F5329" w:rsidRDefault="00B118B0" w:rsidP="003A197C">
            <w:pPr>
              <w:autoSpaceDE w:val="0"/>
              <w:autoSpaceDN w:val="0"/>
              <w:adjustRightInd w:val="0"/>
              <w:jc w:val="center"/>
              <w:rPr>
                <w:rFonts w:ascii="Arial" w:hAnsi="Arial" w:cs="Arial"/>
                <w:color w:val="000000" w:themeColor="text1"/>
              </w:rPr>
            </w:pPr>
          </w:p>
        </w:tc>
        <w:tc>
          <w:tcPr>
            <w:tcW w:w="810" w:type="dxa"/>
            <w:vAlign w:val="center"/>
          </w:tcPr>
          <w:p w14:paraId="25E77FBC" w14:textId="77777777" w:rsidR="00B118B0" w:rsidRPr="005F5329" w:rsidRDefault="00B118B0" w:rsidP="003A197C">
            <w:pPr>
              <w:autoSpaceDE w:val="0"/>
              <w:autoSpaceDN w:val="0"/>
              <w:adjustRightInd w:val="0"/>
              <w:jc w:val="center"/>
              <w:rPr>
                <w:rFonts w:ascii="Arial" w:hAnsi="Arial" w:cs="Arial"/>
                <w:color w:val="000000" w:themeColor="text1"/>
              </w:rPr>
            </w:pPr>
          </w:p>
        </w:tc>
        <w:tc>
          <w:tcPr>
            <w:tcW w:w="810" w:type="dxa"/>
            <w:vAlign w:val="center"/>
          </w:tcPr>
          <w:p w14:paraId="3D1C0818" w14:textId="77777777" w:rsidR="00B118B0" w:rsidRPr="005F5329" w:rsidRDefault="00B118B0" w:rsidP="003A197C">
            <w:pPr>
              <w:autoSpaceDE w:val="0"/>
              <w:autoSpaceDN w:val="0"/>
              <w:adjustRightInd w:val="0"/>
              <w:jc w:val="center"/>
              <w:rPr>
                <w:rFonts w:ascii="Arial" w:eastAsia="Times New Roman" w:hAnsi="Arial" w:cs="Arial"/>
                <w:color w:val="000000" w:themeColor="text1"/>
                <w:lang w:eastAsia="en-PH"/>
              </w:rPr>
            </w:pPr>
          </w:p>
        </w:tc>
      </w:tr>
    </w:tbl>
    <w:p w14:paraId="37153AE1" w14:textId="77777777" w:rsidR="007236BD" w:rsidRPr="000543AC" w:rsidRDefault="007236BD" w:rsidP="007236BD">
      <w:pPr>
        <w:spacing w:after="0" w:line="240" w:lineRule="auto"/>
        <w:jc w:val="both"/>
        <w:rPr>
          <w:rFonts w:ascii="Arial" w:hAnsi="Arial" w:cs="Arial"/>
          <w:sz w:val="20"/>
          <w:szCs w:val="20"/>
        </w:rPr>
      </w:pPr>
    </w:p>
    <w:p w14:paraId="3089927B" w14:textId="0B2C9105" w:rsidR="00B118B0" w:rsidRDefault="00B118B0" w:rsidP="00B118B0">
      <w:pPr>
        <w:spacing w:after="0"/>
        <w:ind w:firstLine="72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13</w:t>
      </w:r>
      <w:r w:rsidRPr="00B118B0">
        <w:rPr>
          <w:rFonts w:ascii="Arial" w:hAnsi="Arial" w:cs="Arial"/>
          <w:sz w:val="20"/>
          <w:szCs w:val="20"/>
        </w:rPr>
        <w:t xml:space="preserve"> shows no significant difference in financial literacy levels based on marital status (F = 0.297, p = 0.827). This indicates that being single, married, widowed, or separated does not significantly affect respondents’ financial literacy. </w:t>
      </w:r>
      <w:proofErr w:type="spellStart"/>
      <w:r w:rsidRPr="00B118B0">
        <w:rPr>
          <w:rFonts w:ascii="Arial" w:hAnsi="Arial" w:cs="Arial"/>
          <w:sz w:val="20"/>
          <w:szCs w:val="20"/>
        </w:rPr>
        <w:t>Farrel</w:t>
      </w:r>
      <w:proofErr w:type="spellEnd"/>
      <w:r w:rsidRPr="00B118B0">
        <w:rPr>
          <w:rFonts w:ascii="Arial" w:hAnsi="Arial" w:cs="Arial"/>
          <w:sz w:val="20"/>
          <w:szCs w:val="20"/>
        </w:rPr>
        <w:t xml:space="preserve"> et al. (2016) support this, stating that financial self-efficacy and informed decision-making are key factors regardless of marital status.</w:t>
      </w:r>
    </w:p>
    <w:p w14:paraId="0635332D" w14:textId="77777777" w:rsidR="00B118B0" w:rsidRPr="00B118B0" w:rsidRDefault="00B118B0" w:rsidP="00B118B0">
      <w:pPr>
        <w:spacing w:after="0"/>
        <w:jc w:val="both"/>
        <w:rPr>
          <w:rFonts w:ascii="Arial" w:hAnsi="Arial" w:cs="Arial"/>
          <w:sz w:val="20"/>
          <w:szCs w:val="20"/>
        </w:rPr>
      </w:pPr>
    </w:p>
    <w:p w14:paraId="28C552E6" w14:textId="6C821146" w:rsidR="00B118B0" w:rsidRDefault="00B118B0" w:rsidP="00B118B0">
      <w:pPr>
        <w:spacing w:after="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13</w:t>
      </w:r>
      <w:r w:rsidRPr="00B118B0">
        <w:rPr>
          <w:rFonts w:ascii="Arial" w:hAnsi="Arial" w:cs="Arial"/>
          <w:sz w:val="20"/>
          <w:szCs w:val="20"/>
        </w:rPr>
        <w:t>. Financial literacy comparison among respondents in terms of their marital status</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B118B0" w:rsidRPr="00DB7ABC" w14:paraId="25B240ED" w14:textId="77777777" w:rsidTr="00B118B0">
        <w:trPr>
          <w:trHeight w:val="260"/>
        </w:trPr>
        <w:tc>
          <w:tcPr>
            <w:tcW w:w="1853" w:type="dxa"/>
          </w:tcPr>
          <w:p w14:paraId="1E6D09A7" w14:textId="77777777" w:rsidR="00B118B0" w:rsidRPr="00DB7ABC" w:rsidRDefault="00B118B0" w:rsidP="003A197C">
            <w:pPr>
              <w:autoSpaceDE w:val="0"/>
              <w:autoSpaceDN w:val="0"/>
              <w:adjustRightInd w:val="0"/>
              <w:rPr>
                <w:rFonts w:ascii="Arial" w:hAnsi="Arial" w:cs="Arial"/>
                <w:color w:val="000000" w:themeColor="text1"/>
              </w:rPr>
            </w:pPr>
          </w:p>
        </w:tc>
        <w:tc>
          <w:tcPr>
            <w:tcW w:w="2045" w:type="dxa"/>
          </w:tcPr>
          <w:p w14:paraId="58181AA4"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Sum of Squares</w:t>
            </w:r>
          </w:p>
        </w:tc>
        <w:tc>
          <w:tcPr>
            <w:tcW w:w="940" w:type="dxa"/>
          </w:tcPr>
          <w:p w14:paraId="2FC2F0A7"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df</w:t>
            </w:r>
          </w:p>
        </w:tc>
        <w:tc>
          <w:tcPr>
            <w:tcW w:w="1712" w:type="dxa"/>
          </w:tcPr>
          <w:p w14:paraId="6496FFCC"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Mean Square</w:t>
            </w:r>
          </w:p>
        </w:tc>
        <w:tc>
          <w:tcPr>
            <w:tcW w:w="835" w:type="dxa"/>
          </w:tcPr>
          <w:p w14:paraId="0FE019BE"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F</w:t>
            </w:r>
          </w:p>
        </w:tc>
        <w:tc>
          <w:tcPr>
            <w:tcW w:w="810" w:type="dxa"/>
          </w:tcPr>
          <w:p w14:paraId="23483F54" w14:textId="77777777" w:rsidR="00B118B0" w:rsidRPr="00DB7ABC"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DB7ABC">
              <w:rPr>
                <w:rFonts w:ascii="Arial" w:hAnsi="Arial" w:cs="Arial"/>
                <w:color w:val="000000" w:themeColor="text1"/>
              </w:rPr>
              <w:t>Sig.</w:t>
            </w:r>
          </w:p>
        </w:tc>
      </w:tr>
      <w:tr w:rsidR="00B118B0" w:rsidRPr="00DB7ABC" w14:paraId="18B9EDCA" w14:textId="77777777" w:rsidTr="00B118B0">
        <w:trPr>
          <w:trHeight w:val="260"/>
        </w:trPr>
        <w:tc>
          <w:tcPr>
            <w:tcW w:w="1853" w:type="dxa"/>
          </w:tcPr>
          <w:p w14:paraId="42717B8B" w14:textId="77777777" w:rsidR="00B118B0" w:rsidRPr="00DB7ABC" w:rsidRDefault="00B118B0" w:rsidP="003A197C">
            <w:pPr>
              <w:autoSpaceDE w:val="0"/>
              <w:autoSpaceDN w:val="0"/>
              <w:adjustRightInd w:val="0"/>
              <w:ind w:left="60" w:right="60"/>
              <w:rPr>
                <w:rFonts w:ascii="Arial" w:hAnsi="Arial" w:cs="Arial"/>
                <w:color w:val="000000" w:themeColor="text1"/>
              </w:rPr>
            </w:pPr>
            <w:r w:rsidRPr="00DB7ABC">
              <w:rPr>
                <w:rFonts w:ascii="Arial" w:hAnsi="Arial" w:cs="Arial"/>
                <w:color w:val="000000" w:themeColor="text1"/>
              </w:rPr>
              <w:t>Between Groups</w:t>
            </w:r>
          </w:p>
        </w:tc>
        <w:tc>
          <w:tcPr>
            <w:tcW w:w="2045" w:type="dxa"/>
          </w:tcPr>
          <w:p w14:paraId="169D6D39"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.051</w:t>
            </w:r>
          </w:p>
        </w:tc>
        <w:tc>
          <w:tcPr>
            <w:tcW w:w="940" w:type="dxa"/>
          </w:tcPr>
          <w:p w14:paraId="3073E280"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3</w:t>
            </w:r>
          </w:p>
        </w:tc>
        <w:tc>
          <w:tcPr>
            <w:tcW w:w="1712" w:type="dxa"/>
          </w:tcPr>
          <w:p w14:paraId="68C50437"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.017</w:t>
            </w:r>
          </w:p>
        </w:tc>
        <w:tc>
          <w:tcPr>
            <w:tcW w:w="835" w:type="dxa"/>
          </w:tcPr>
          <w:p w14:paraId="693FA944"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.297</w:t>
            </w:r>
          </w:p>
        </w:tc>
        <w:tc>
          <w:tcPr>
            <w:tcW w:w="810" w:type="dxa"/>
          </w:tcPr>
          <w:p w14:paraId="4A4D7623" w14:textId="77777777" w:rsidR="00B118B0" w:rsidRPr="00DB7ABC"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DB7ABC">
              <w:rPr>
                <w:rFonts w:ascii="Arial" w:hAnsi="Arial" w:cs="Arial"/>
                <w:color w:val="000000" w:themeColor="text1"/>
              </w:rPr>
              <w:t>.827</w:t>
            </w:r>
          </w:p>
        </w:tc>
      </w:tr>
      <w:tr w:rsidR="00B118B0" w:rsidRPr="00DB7ABC" w14:paraId="57AA04D5" w14:textId="77777777" w:rsidTr="00B118B0">
        <w:trPr>
          <w:trHeight w:val="260"/>
        </w:trPr>
        <w:tc>
          <w:tcPr>
            <w:tcW w:w="1853" w:type="dxa"/>
          </w:tcPr>
          <w:p w14:paraId="2FE42664" w14:textId="77777777" w:rsidR="00B118B0" w:rsidRPr="00DB7ABC" w:rsidRDefault="00B118B0" w:rsidP="003A197C">
            <w:pPr>
              <w:autoSpaceDE w:val="0"/>
              <w:autoSpaceDN w:val="0"/>
              <w:adjustRightInd w:val="0"/>
              <w:ind w:left="60" w:right="60"/>
              <w:rPr>
                <w:rFonts w:ascii="Arial" w:hAnsi="Arial" w:cs="Arial"/>
                <w:color w:val="000000" w:themeColor="text1"/>
              </w:rPr>
            </w:pPr>
            <w:r w:rsidRPr="00DB7ABC">
              <w:rPr>
                <w:rFonts w:ascii="Arial" w:hAnsi="Arial" w:cs="Arial"/>
                <w:color w:val="000000" w:themeColor="text1"/>
              </w:rPr>
              <w:t>Within Groups</w:t>
            </w:r>
          </w:p>
        </w:tc>
        <w:tc>
          <w:tcPr>
            <w:tcW w:w="2045" w:type="dxa"/>
          </w:tcPr>
          <w:p w14:paraId="5EA19328"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3.936</w:t>
            </w:r>
          </w:p>
        </w:tc>
        <w:tc>
          <w:tcPr>
            <w:tcW w:w="940" w:type="dxa"/>
          </w:tcPr>
          <w:p w14:paraId="779754A6"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69</w:t>
            </w:r>
          </w:p>
        </w:tc>
        <w:tc>
          <w:tcPr>
            <w:tcW w:w="1712" w:type="dxa"/>
          </w:tcPr>
          <w:p w14:paraId="03974C76"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.057</w:t>
            </w:r>
          </w:p>
        </w:tc>
        <w:tc>
          <w:tcPr>
            <w:tcW w:w="835" w:type="dxa"/>
          </w:tcPr>
          <w:p w14:paraId="5E5CEA8F" w14:textId="77777777" w:rsidR="00B118B0" w:rsidRPr="00DB7ABC" w:rsidRDefault="00B118B0" w:rsidP="003A197C">
            <w:pPr>
              <w:autoSpaceDE w:val="0"/>
              <w:autoSpaceDN w:val="0"/>
              <w:adjustRightInd w:val="0"/>
              <w:jc w:val="center"/>
              <w:rPr>
                <w:rFonts w:ascii="Arial" w:hAnsi="Arial" w:cs="Arial"/>
                <w:color w:val="000000" w:themeColor="text1"/>
              </w:rPr>
            </w:pPr>
          </w:p>
        </w:tc>
        <w:tc>
          <w:tcPr>
            <w:tcW w:w="810" w:type="dxa"/>
          </w:tcPr>
          <w:p w14:paraId="2D9F69C9" w14:textId="77777777" w:rsidR="00B118B0" w:rsidRPr="00DB7ABC" w:rsidRDefault="00B118B0" w:rsidP="003A197C">
            <w:pPr>
              <w:autoSpaceDE w:val="0"/>
              <w:autoSpaceDN w:val="0"/>
              <w:adjustRightInd w:val="0"/>
              <w:jc w:val="center"/>
              <w:rPr>
                <w:rFonts w:ascii="Arial" w:eastAsia="Times New Roman" w:hAnsi="Arial" w:cs="Arial"/>
                <w:color w:val="000000" w:themeColor="text1"/>
                <w:lang w:eastAsia="en-PH"/>
              </w:rPr>
            </w:pPr>
          </w:p>
        </w:tc>
      </w:tr>
      <w:tr w:rsidR="00B118B0" w:rsidRPr="00DB7ABC" w14:paraId="4C40888B" w14:textId="77777777" w:rsidTr="00B118B0">
        <w:trPr>
          <w:trHeight w:val="260"/>
        </w:trPr>
        <w:tc>
          <w:tcPr>
            <w:tcW w:w="1853" w:type="dxa"/>
          </w:tcPr>
          <w:p w14:paraId="30883DCA" w14:textId="77777777" w:rsidR="00B118B0" w:rsidRPr="00DB7ABC" w:rsidRDefault="00B118B0" w:rsidP="003A197C">
            <w:pPr>
              <w:autoSpaceDE w:val="0"/>
              <w:autoSpaceDN w:val="0"/>
              <w:adjustRightInd w:val="0"/>
              <w:ind w:left="60" w:right="60"/>
              <w:rPr>
                <w:rFonts w:ascii="Arial" w:hAnsi="Arial" w:cs="Arial"/>
                <w:color w:val="000000" w:themeColor="text1"/>
              </w:rPr>
            </w:pPr>
            <w:r w:rsidRPr="00DB7ABC">
              <w:rPr>
                <w:rFonts w:ascii="Arial" w:hAnsi="Arial" w:cs="Arial"/>
                <w:color w:val="000000" w:themeColor="text1"/>
              </w:rPr>
              <w:t>Total</w:t>
            </w:r>
          </w:p>
        </w:tc>
        <w:tc>
          <w:tcPr>
            <w:tcW w:w="2045" w:type="dxa"/>
          </w:tcPr>
          <w:p w14:paraId="75B74320"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3.987</w:t>
            </w:r>
          </w:p>
        </w:tc>
        <w:tc>
          <w:tcPr>
            <w:tcW w:w="940" w:type="dxa"/>
          </w:tcPr>
          <w:p w14:paraId="12970D2D" w14:textId="77777777" w:rsidR="00B118B0" w:rsidRPr="00DB7ABC" w:rsidRDefault="00B118B0" w:rsidP="003A197C">
            <w:pPr>
              <w:autoSpaceDE w:val="0"/>
              <w:autoSpaceDN w:val="0"/>
              <w:adjustRightInd w:val="0"/>
              <w:ind w:left="60" w:right="60"/>
              <w:jc w:val="center"/>
              <w:rPr>
                <w:rFonts w:ascii="Arial" w:hAnsi="Arial" w:cs="Arial"/>
                <w:color w:val="000000" w:themeColor="text1"/>
              </w:rPr>
            </w:pPr>
            <w:r w:rsidRPr="00DB7ABC">
              <w:rPr>
                <w:rFonts w:ascii="Arial" w:hAnsi="Arial" w:cs="Arial"/>
                <w:color w:val="000000" w:themeColor="text1"/>
              </w:rPr>
              <w:t>72</w:t>
            </w:r>
          </w:p>
        </w:tc>
        <w:tc>
          <w:tcPr>
            <w:tcW w:w="1712" w:type="dxa"/>
          </w:tcPr>
          <w:p w14:paraId="47E13636" w14:textId="77777777" w:rsidR="00B118B0" w:rsidRPr="00DB7ABC" w:rsidRDefault="00B118B0" w:rsidP="003A197C">
            <w:pPr>
              <w:autoSpaceDE w:val="0"/>
              <w:autoSpaceDN w:val="0"/>
              <w:adjustRightInd w:val="0"/>
              <w:jc w:val="center"/>
              <w:rPr>
                <w:rFonts w:ascii="Arial" w:hAnsi="Arial" w:cs="Arial"/>
                <w:color w:val="000000" w:themeColor="text1"/>
              </w:rPr>
            </w:pPr>
          </w:p>
        </w:tc>
        <w:tc>
          <w:tcPr>
            <w:tcW w:w="835" w:type="dxa"/>
          </w:tcPr>
          <w:p w14:paraId="25E99EAB" w14:textId="77777777" w:rsidR="00B118B0" w:rsidRPr="00DB7ABC" w:rsidRDefault="00B118B0" w:rsidP="003A197C">
            <w:pPr>
              <w:autoSpaceDE w:val="0"/>
              <w:autoSpaceDN w:val="0"/>
              <w:adjustRightInd w:val="0"/>
              <w:jc w:val="center"/>
              <w:rPr>
                <w:rFonts w:ascii="Arial" w:hAnsi="Arial" w:cs="Arial"/>
                <w:color w:val="000000" w:themeColor="text1"/>
              </w:rPr>
            </w:pPr>
          </w:p>
        </w:tc>
        <w:tc>
          <w:tcPr>
            <w:tcW w:w="810" w:type="dxa"/>
          </w:tcPr>
          <w:p w14:paraId="0E78D2ED" w14:textId="77777777" w:rsidR="00B118B0" w:rsidRPr="00DB7ABC" w:rsidRDefault="00B118B0" w:rsidP="003A197C">
            <w:pPr>
              <w:autoSpaceDE w:val="0"/>
              <w:autoSpaceDN w:val="0"/>
              <w:adjustRightInd w:val="0"/>
              <w:jc w:val="center"/>
              <w:rPr>
                <w:rFonts w:ascii="Arial" w:eastAsia="Times New Roman" w:hAnsi="Arial" w:cs="Arial"/>
                <w:color w:val="000000" w:themeColor="text1"/>
                <w:lang w:eastAsia="en-PH"/>
              </w:rPr>
            </w:pPr>
          </w:p>
        </w:tc>
      </w:tr>
    </w:tbl>
    <w:p w14:paraId="2D049159" w14:textId="77777777" w:rsidR="00B118B0" w:rsidRPr="00B118B0" w:rsidRDefault="00B118B0" w:rsidP="00B118B0">
      <w:pPr>
        <w:spacing w:after="0"/>
        <w:jc w:val="both"/>
        <w:rPr>
          <w:rFonts w:ascii="Arial" w:hAnsi="Arial" w:cs="Arial"/>
          <w:sz w:val="20"/>
          <w:szCs w:val="20"/>
        </w:rPr>
      </w:pPr>
    </w:p>
    <w:p w14:paraId="441A39CB" w14:textId="5F671DD6" w:rsidR="00B118B0" w:rsidRPr="00E0340D" w:rsidRDefault="00B118B0" w:rsidP="00B118B0">
      <w:pPr>
        <w:spacing w:after="0"/>
        <w:ind w:firstLine="72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14</w:t>
      </w:r>
      <w:r w:rsidRPr="00B118B0">
        <w:rPr>
          <w:rFonts w:ascii="Arial" w:hAnsi="Arial" w:cs="Arial"/>
          <w:sz w:val="20"/>
          <w:szCs w:val="20"/>
        </w:rPr>
        <w:t xml:space="preserve"> presents the comparison of financial literacy levels among respondents according to their salary. The analysis reveals a significant difference in financial literacy based on salary (F = 3.775, p = 0.014). This suggests that income level has a significant influence on financial literacy, with individuals earning </w:t>
      </w:r>
      <w:r w:rsidRPr="00E0340D">
        <w:rPr>
          <w:rFonts w:ascii="Arial" w:hAnsi="Arial" w:cs="Arial"/>
          <w:sz w:val="20"/>
          <w:szCs w:val="20"/>
        </w:rPr>
        <w:t>higher salaries demonstrating greater financial literacy than those in the middle-income bracket.</w:t>
      </w:r>
      <w:r w:rsidR="00E0340D" w:rsidRPr="00E0340D">
        <w:rPr>
          <w:rFonts w:ascii="Arial" w:hAnsi="Arial" w:cs="Arial"/>
          <w:sz w:val="20"/>
          <w:szCs w:val="20"/>
        </w:rPr>
        <w:t xml:space="preserve"> As </w:t>
      </w:r>
      <w:r w:rsidR="00E0340D" w:rsidRPr="00E0340D">
        <w:rPr>
          <w:rFonts w:ascii="Arial" w:hAnsi="Arial" w:cs="Arial"/>
          <w:color w:val="000000" w:themeColor="text1"/>
          <w:sz w:val="20"/>
          <w:szCs w:val="20"/>
          <w:shd w:val="clear" w:color="auto" w:fill="FFFFFF"/>
        </w:rPr>
        <w:t>Lusardi (2019) highlighted that low financial literacy is a major barrier to effective retirement planning and wealth accumulation.</w:t>
      </w:r>
    </w:p>
    <w:p w14:paraId="3C49BE84" w14:textId="77777777" w:rsidR="00433C52" w:rsidRDefault="00433C52" w:rsidP="00B118B0">
      <w:pPr>
        <w:spacing w:after="0"/>
        <w:ind w:firstLine="720"/>
        <w:jc w:val="both"/>
        <w:rPr>
          <w:rFonts w:ascii="Arial" w:hAnsi="Arial" w:cs="Arial"/>
          <w:sz w:val="20"/>
          <w:szCs w:val="20"/>
        </w:rPr>
      </w:pPr>
    </w:p>
    <w:p w14:paraId="2E322176" w14:textId="77777777" w:rsidR="00E0340D" w:rsidRPr="00B118B0" w:rsidRDefault="00E0340D" w:rsidP="00B118B0">
      <w:pPr>
        <w:spacing w:after="0"/>
        <w:ind w:firstLine="720"/>
        <w:jc w:val="both"/>
        <w:rPr>
          <w:rFonts w:ascii="Arial" w:hAnsi="Arial" w:cs="Arial"/>
          <w:sz w:val="20"/>
          <w:szCs w:val="20"/>
        </w:rPr>
      </w:pPr>
    </w:p>
    <w:p w14:paraId="3D280A78" w14:textId="74B773B9" w:rsidR="00B118B0" w:rsidRPr="00B118B0" w:rsidRDefault="00B118B0" w:rsidP="00B118B0">
      <w:pPr>
        <w:spacing w:after="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14</w:t>
      </w:r>
      <w:r w:rsidRPr="00B118B0">
        <w:rPr>
          <w:rFonts w:ascii="Arial" w:hAnsi="Arial" w:cs="Arial"/>
          <w:sz w:val="20"/>
          <w:szCs w:val="20"/>
        </w:rPr>
        <w:t>. Financial literacy comparison among respondents in terms of their salary</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557"/>
        <w:gridCol w:w="990"/>
        <w:gridCol w:w="810"/>
      </w:tblGrid>
      <w:tr w:rsidR="00B118B0" w:rsidRPr="00185C93" w14:paraId="6A4EAFDC" w14:textId="77777777" w:rsidTr="00B118B0">
        <w:trPr>
          <w:trHeight w:val="326"/>
        </w:trPr>
        <w:tc>
          <w:tcPr>
            <w:tcW w:w="1853" w:type="dxa"/>
          </w:tcPr>
          <w:p w14:paraId="7BDB52B8" w14:textId="77777777" w:rsidR="00B118B0" w:rsidRPr="00185C93" w:rsidRDefault="00B118B0" w:rsidP="003A197C">
            <w:pPr>
              <w:autoSpaceDE w:val="0"/>
              <w:autoSpaceDN w:val="0"/>
              <w:adjustRightInd w:val="0"/>
              <w:rPr>
                <w:rFonts w:ascii="Arial" w:hAnsi="Arial" w:cs="Arial"/>
                <w:color w:val="000000" w:themeColor="text1"/>
              </w:rPr>
            </w:pPr>
          </w:p>
        </w:tc>
        <w:tc>
          <w:tcPr>
            <w:tcW w:w="2045" w:type="dxa"/>
          </w:tcPr>
          <w:p w14:paraId="28014585"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Sum of Squares</w:t>
            </w:r>
          </w:p>
        </w:tc>
        <w:tc>
          <w:tcPr>
            <w:tcW w:w="940" w:type="dxa"/>
          </w:tcPr>
          <w:p w14:paraId="53D4CFB7"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df</w:t>
            </w:r>
          </w:p>
        </w:tc>
        <w:tc>
          <w:tcPr>
            <w:tcW w:w="1557" w:type="dxa"/>
          </w:tcPr>
          <w:p w14:paraId="26317580"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Mean Square</w:t>
            </w:r>
          </w:p>
        </w:tc>
        <w:tc>
          <w:tcPr>
            <w:tcW w:w="990" w:type="dxa"/>
          </w:tcPr>
          <w:p w14:paraId="5275770E"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F</w:t>
            </w:r>
          </w:p>
        </w:tc>
        <w:tc>
          <w:tcPr>
            <w:tcW w:w="810" w:type="dxa"/>
          </w:tcPr>
          <w:p w14:paraId="7F653FD4" w14:textId="77777777" w:rsidR="00B118B0" w:rsidRPr="00185C93"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185C93">
              <w:rPr>
                <w:rFonts w:ascii="Arial" w:hAnsi="Arial" w:cs="Arial"/>
                <w:color w:val="000000" w:themeColor="text1"/>
              </w:rPr>
              <w:t>Sig.</w:t>
            </w:r>
          </w:p>
        </w:tc>
      </w:tr>
      <w:tr w:rsidR="00B118B0" w:rsidRPr="00185C93" w14:paraId="4FA0E84F" w14:textId="77777777" w:rsidTr="00B118B0">
        <w:trPr>
          <w:trHeight w:val="252"/>
        </w:trPr>
        <w:tc>
          <w:tcPr>
            <w:tcW w:w="1853" w:type="dxa"/>
          </w:tcPr>
          <w:p w14:paraId="67BD70E6" w14:textId="77777777" w:rsidR="00B118B0" w:rsidRPr="00185C93" w:rsidRDefault="00B118B0" w:rsidP="003A197C">
            <w:pPr>
              <w:autoSpaceDE w:val="0"/>
              <w:autoSpaceDN w:val="0"/>
              <w:adjustRightInd w:val="0"/>
              <w:ind w:left="60" w:right="60"/>
              <w:rPr>
                <w:rFonts w:ascii="Arial" w:hAnsi="Arial" w:cs="Arial"/>
                <w:color w:val="000000" w:themeColor="text1"/>
              </w:rPr>
            </w:pPr>
            <w:r w:rsidRPr="00185C93">
              <w:rPr>
                <w:rFonts w:ascii="Arial" w:hAnsi="Arial" w:cs="Arial"/>
                <w:color w:val="000000" w:themeColor="text1"/>
              </w:rPr>
              <w:t>Between Groups</w:t>
            </w:r>
          </w:p>
        </w:tc>
        <w:tc>
          <w:tcPr>
            <w:tcW w:w="2045" w:type="dxa"/>
          </w:tcPr>
          <w:p w14:paraId="69A1098F"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.562</w:t>
            </w:r>
          </w:p>
        </w:tc>
        <w:tc>
          <w:tcPr>
            <w:tcW w:w="940" w:type="dxa"/>
          </w:tcPr>
          <w:p w14:paraId="61F8A344"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3</w:t>
            </w:r>
          </w:p>
        </w:tc>
        <w:tc>
          <w:tcPr>
            <w:tcW w:w="1557" w:type="dxa"/>
          </w:tcPr>
          <w:p w14:paraId="1A9C4C42"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.187</w:t>
            </w:r>
          </w:p>
        </w:tc>
        <w:tc>
          <w:tcPr>
            <w:tcW w:w="990" w:type="dxa"/>
          </w:tcPr>
          <w:p w14:paraId="792650AC"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3.775</w:t>
            </w:r>
          </w:p>
        </w:tc>
        <w:tc>
          <w:tcPr>
            <w:tcW w:w="810" w:type="dxa"/>
          </w:tcPr>
          <w:p w14:paraId="4DF1C860" w14:textId="77777777" w:rsidR="00B118B0" w:rsidRPr="00185C93" w:rsidRDefault="00B118B0" w:rsidP="003A197C">
            <w:pPr>
              <w:autoSpaceDE w:val="0"/>
              <w:autoSpaceDN w:val="0"/>
              <w:adjustRightInd w:val="0"/>
              <w:ind w:left="60" w:right="60"/>
              <w:jc w:val="center"/>
              <w:rPr>
                <w:rFonts w:ascii="Arial" w:eastAsia="Times New Roman" w:hAnsi="Arial" w:cs="Arial"/>
                <w:color w:val="000000" w:themeColor="text1"/>
                <w:lang w:eastAsia="en-PH"/>
              </w:rPr>
            </w:pPr>
            <w:r w:rsidRPr="00185C93">
              <w:rPr>
                <w:rFonts w:ascii="Arial" w:hAnsi="Arial" w:cs="Arial"/>
                <w:color w:val="000000" w:themeColor="text1"/>
              </w:rPr>
              <w:t>.014</w:t>
            </w:r>
          </w:p>
        </w:tc>
      </w:tr>
      <w:tr w:rsidR="00B118B0" w:rsidRPr="00185C93" w14:paraId="4CC8AD18" w14:textId="77777777" w:rsidTr="00B118B0">
        <w:trPr>
          <w:trHeight w:val="288"/>
        </w:trPr>
        <w:tc>
          <w:tcPr>
            <w:tcW w:w="1853" w:type="dxa"/>
          </w:tcPr>
          <w:p w14:paraId="6AFD0BF1" w14:textId="77777777" w:rsidR="00B118B0" w:rsidRPr="00185C93" w:rsidRDefault="00B118B0" w:rsidP="003A197C">
            <w:pPr>
              <w:autoSpaceDE w:val="0"/>
              <w:autoSpaceDN w:val="0"/>
              <w:adjustRightInd w:val="0"/>
              <w:ind w:left="60" w:right="60"/>
              <w:rPr>
                <w:rFonts w:ascii="Arial" w:hAnsi="Arial" w:cs="Arial"/>
                <w:color w:val="000000" w:themeColor="text1"/>
              </w:rPr>
            </w:pPr>
            <w:r w:rsidRPr="00185C93">
              <w:rPr>
                <w:rFonts w:ascii="Arial" w:hAnsi="Arial" w:cs="Arial"/>
                <w:color w:val="000000" w:themeColor="text1"/>
              </w:rPr>
              <w:t>Within Groups</w:t>
            </w:r>
          </w:p>
        </w:tc>
        <w:tc>
          <w:tcPr>
            <w:tcW w:w="2045" w:type="dxa"/>
          </w:tcPr>
          <w:p w14:paraId="08C01650"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3.425</w:t>
            </w:r>
          </w:p>
        </w:tc>
        <w:tc>
          <w:tcPr>
            <w:tcW w:w="940" w:type="dxa"/>
          </w:tcPr>
          <w:p w14:paraId="4C24B4FB"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69</w:t>
            </w:r>
          </w:p>
        </w:tc>
        <w:tc>
          <w:tcPr>
            <w:tcW w:w="1557" w:type="dxa"/>
          </w:tcPr>
          <w:p w14:paraId="373FEAAF"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.050</w:t>
            </w:r>
          </w:p>
        </w:tc>
        <w:tc>
          <w:tcPr>
            <w:tcW w:w="990" w:type="dxa"/>
          </w:tcPr>
          <w:p w14:paraId="2A1B0BD3" w14:textId="77777777" w:rsidR="00B118B0" w:rsidRPr="00185C93" w:rsidRDefault="00B118B0" w:rsidP="003A197C">
            <w:pPr>
              <w:autoSpaceDE w:val="0"/>
              <w:autoSpaceDN w:val="0"/>
              <w:adjustRightInd w:val="0"/>
              <w:jc w:val="center"/>
              <w:rPr>
                <w:rFonts w:ascii="Arial" w:hAnsi="Arial" w:cs="Arial"/>
                <w:color w:val="000000" w:themeColor="text1"/>
              </w:rPr>
            </w:pPr>
          </w:p>
        </w:tc>
        <w:tc>
          <w:tcPr>
            <w:tcW w:w="810" w:type="dxa"/>
          </w:tcPr>
          <w:p w14:paraId="6AA165BB" w14:textId="77777777" w:rsidR="00B118B0" w:rsidRPr="00185C93" w:rsidRDefault="00B118B0" w:rsidP="003A197C">
            <w:pPr>
              <w:autoSpaceDE w:val="0"/>
              <w:autoSpaceDN w:val="0"/>
              <w:adjustRightInd w:val="0"/>
              <w:jc w:val="center"/>
              <w:rPr>
                <w:rFonts w:ascii="Arial" w:eastAsia="Times New Roman" w:hAnsi="Arial" w:cs="Arial"/>
                <w:color w:val="000000" w:themeColor="text1"/>
                <w:lang w:eastAsia="en-PH"/>
              </w:rPr>
            </w:pPr>
          </w:p>
        </w:tc>
      </w:tr>
      <w:tr w:rsidR="00B118B0" w:rsidRPr="00185C93" w14:paraId="7AEE48CA" w14:textId="77777777" w:rsidTr="00B118B0">
        <w:trPr>
          <w:trHeight w:val="246"/>
        </w:trPr>
        <w:tc>
          <w:tcPr>
            <w:tcW w:w="1853" w:type="dxa"/>
          </w:tcPr>
          <w:p w14:paraId="49A55CB7" w14:textId="77777777" w:rsidR="00B118B0" w:rsidRPr="00185C93" w:rsidRDefault="00B118B0" w:rsidP="003A197C">
            <w:pPr>
              <w:autoSpaceDE w:val="0"/>
              <w:autoSpaceDN w:val="0"/>
              <w:adjustRightInd w:val="0"/>
              <w:ind w:left="60" w:right="60"/>
              <w:rPr>
                <w:rFonts w:ascii="Arial" w:hAnsi="Arial" w:cs="Arial"/>
                <w:color w:val="000000" w:themeColor="text1"/>
              </w:rPr>
            </w:pPr>
            <w:r w:rsidRPr="00185C93">
              <w:rPr>
                <w:rFonts w:ascii="Arial" w:hAnsi="Arial" w:cs="Arial"/>
                <w:color w:val="000000" w:themeColor="text1"/>
              </w:rPr>
              <w:t>Total</w:t>
            </w:r>
          </w:p>
        </w:tc>
        <w:tc>
          <w:tcPr>
            <w:tcW w:w="2045" w:type="dxa"/>
          </w:tcPr>
          <w:p w14:paraId="67E2C101"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3.987</w:t>
            </w:r>
          </w:p>
        </w:tc>
        <w:tc>
          <w:tcPr>
            <w:tcW w:w="940" w:type="dxa"/>
          </w:tcPr>
          <w:p w14:paraId="01132C1E" w14:textId="77777777" w:rsidR="00B118B0" w:rsidRPr="00185C93" w:rsidRDefault="00B118B0" w:rsidP="003A197C">
            <w:pPr>
              <w:autoSpaceDE w:val="0"/>
              <w:autoSpaceDN w:val="0"/>
              <w:adjustRightInd w:val="0"/>
              <w:ind w:left="60" w:right="60"/>
              <w:jc w:val="center"/>
              <w:rPr>
                <w:rFonts w:ascii="Arial" w:hAnsi="Arial" w:cs="Arial"/>
                <w:color w:val="000000" w:themeColor="text1"/>
              </w:rPr>
            </w:pPr>
            <w:r w:rsidRPr="00185C93">
              <w:rPr>
                <w:rFonts w:ascii="Arial" w:hAnsi="Arial" w:cs="Arial"/>
                <w:color w:val="000000" w:themeColor="text1"/>
              </w:rPr>
              <w:t>72</w:t>
            </w:r>
          </w:p>
        </w:tc>
        <w:tc>
          <w:tcPr>
            <w:tcW w:w="1557" w:type="dxa"/>
          </w:tcPr>
          <w:p w14:paraId="57902BD3" w14:textId="77777777" w:rsidR="00B118B0" w:rsidRPr="00185C93" w:rsidRDefault="00B118B0" w:rsidP="003A197C">
            <w:pPr>
              <w:autoSpaceDE w:val="0"/>
              <w:autoSpaceDN w:val="0"/>
              <w:adjustRightInd w:val="0"/>
              <w:jc w:val="center"/>
              <w:rPr>
                <w:rFonts w:ascii="Arial" w:hAnsi="Arial" w:cs="Arial"/>
                <w:color w:val="000000" w:themeColor="text1"/>
              </w:rPr>
            </w:pPr>
          </w:p>
        </w:tc>
        <w:tc>
          <w:tcPr>
            <w:tcW w:w="990" w:type="dxa"/>
          </w:tcPr>
          <w:p w14:paraId="50EE2EF2" w14:textId="77777777" w:rsidR="00B118B0" w:rsidRPr="00185C93" w:rsidRDefault="00B118B0" w:rsidP="003A197C">
            <w:pPr>
              <w:autoSpaceDE w:val="0"/>
              <w:autoSpaceDN w:val="0"/>
              <w:adjustRightInd w:val="0"/>
              <w:jc w:val="center"/>
              <w:rPr>
                <w:rFonts w:ascii="Arial" w:hAnsi="Arial" w:cs="Arial"/>
                <w:color w:val="000000" w:themeColor="text1"/>
              </w:rPr>
            </w:pPr>
          </w:p>
        </w:tc>
        <w:tc>
          <w:tcPr>
            <w:tcW w:w="810" w:type="dxa"/>
          </w:tcPr>
          <w:p w14:paraId="5C8BD16E" w14:textId="77777777" w:rsidR="00B118B0" w:rsidRPr="00185C93" w:rsidRDefault="00B118B0" w:rsidP="003A197C">
            <w:pPr>
              <w:autoSpaceDE w:val="0"/>
              <w:autoSpaceDN w:val="0"/>
              <w:adjustRightInd w:val="0"/>
              <w:jc w:val="center"/>
              <w:rPr>
                <w:rFonts w:ascii="Arial" w:eastAsia="Times New Roman" w:hAnsi="Arial" w:cs="Arial"/>
                <w:color w:val="000000" w:themeColor="text1"/>
                <w:lang w:eastAsia="en-PH"/>
              </w:rPr>
            </w:pPr>
          </w:p>
        </w:tc>
      </w:tr>
    </w:tbl>
    <w:p w14:paraId="0370E9C5" w14:textId="77777777" w:rsidR="000543AC" w:rsidRDefault="000543AC" w:rsidP="00B118B0">
      <w:pPr>
        <w:spacing w:after="0" w:line="240" w:lineRule="auto"/>
        <w:rPr>
          <w:rFonts w:ascii="Arial" w:hAnsi="Arial" w:cs="Arial"/>
          <w:sz w:val="20"/>
          <w:szCs w:val="20"/>
        </w:rPr>
      </w:pPr>
    </w:p>
    <w:p w14:paraId="7B616790" w14:textId="398D72BE" w:rsidR="00B118B0" w:rsidRDefault="00B118B0" w:rsidP="00B118B0">
      <w:pPr>
        <w:spacing w:after="0"/>
        <w:ind w:firstLine="720"/>
        <w:jc w:val="both"/>
        <w:rPr>
          <w:rFonts w:ascii="Arial" w:hAnsi="Arial" w:cs="Arial"/>
          <w:sz w:val="20"/>
          <w:szCs w:val="20"/>
        </w:rPr>
      </w:pPr>
      <w:r w:rsidRPr="00B118B0">
        <w:rPr>
          <w:rFonts w:ascii="Arial" w:hAnsi="Arial" w:cs="Arial"/>
          <w:sz w:val="20"/>
          <w:szCs w:val="20"/>
        </w:rPr>
        <w:lastRenderedPageBreak/>
        <w:t xml:space="preserve">Table </w:t>
      </w:r>
      <w:r w:rsidR="001B7571">
        <w:rPr>
          <w:rFonts w:ascii="Arial" w:hAnsi="Arial" w:cs="Arial"/>
          <w:sz w:val="20"/>
          <w:szCs w:val="20"/>
        </w:rPr>
        <w:t>15</w:t>
      </w:r>
      <w:r w:rsidRPr="00B118B0">
        <w:rPr>
          <w:rFonts w:ascii="Arial" w:hAnsi="Arial" w:cs="Arial"/>
          <w:sz w:val="20"/>
          <w:szCs w:val="20"/>
        </w:rPr>
        <w:t xml:space="preserve"> shows a significant difference in financial literacy between respondents earning ₱20,001–₱30,000 and those earning ₱40,001 and above (MD = -0.23, p = 0.01), indicating that individuals with higher incomes demonstrate greater financial literacy. All other comparisons showed no significant difference (p &gt; 0.05). These findings support Lusardi and Mitchell (2017), who emphasized that higher income provides access to financial resources that enhance literacy, and Xiao et al. (202</w:t>
      </w:r>
      <w:r w:rsidR="00E2354E">
        <w:rPr>
          <w:rFonts w:ascii="Arial" w:hAnsi="Arial" w:cs="Arial"/>
          <w:sz w:val="20"/>
          <w:szCs w:val="20"/>
        </w:rPr>
        <w:t>2</w:t>
      </w:r>
      <w:r w:rsidRPr="00B118B0">
        <w:rPr>
          <w:rFonts w:ascii="Arial" w:hAnsi="Arial" w:cs="Arial"/>
          <w:sz w:val="20"/>
          <w:szCs w:val="20"/>
        </w:rPr>
        <w:t>), who found that increased income improves financial understanding.</w:t>
      </w:r>
    </w:p>
    <w:p w14:paraId="18F2A211" w14:textId="77777777" w:rsidR="00B118B0" w:rsidRPr="00B118B0" w:rsidRDefault="00B118B0" w:rsidP="00B118B0">
      <w:pPr>
        <w:spacing w:after="0"/>
        <w:jc w:val="both"/>
        <w:rPr>
          <w:rFonts w:ascii="Arial" w:hAnsi="Arial" w:cs="Arial"/>
          <w:sz w:val="20"/>
          <w:szCs w:val="20"/>
        </w:rPr>
      </w:pPr>
    </w:p>
    <w:p w14:paraId="01581C17" w14:textId="6C3F3BC8" w:rsidR="00B118B0" w:rsidRDefault="00B118B0" w:rsidP="00B118B0">
      <w:pPr>
        <w:spacing w:after="0"/>
        <w:jc w:val="both"/>
        <w:rPr>
          <w:rFonts w:ascii="Arial" w:hAnsi="Arial" w:cs="Arial"/>
          <w:sz w:val="20"/>
          <w:szCs w:val="20"/>
        </w:rPr>
      </w:pPr>
      <w:r w:rsidRPr="00B118B0">
        <w:rPr>
          <w:rFonts w:ascii="Arial" w:hAnsi="Arial" w:cs="Arial"/>
          <w:sz w:val="20"/>
          <w:szCs w:val="20"/>
        </w:rPr>
        <w:t>Table 1</w:t>
      </w:r>
      <w:r w:rsidR="001B7571">
        <w:rPr>
          <w:rFonts w:ascii="Arial" w:hAnsi="Arial" w:cs="Arial"/>
          <w:sz w:val="20"/>
          <w:szCs w:val="20"/>
        </w:rPr>
        <w:t>5</w:t>
      </w:r>
      <w:r w:rsidRPr="00B118B0">
        <w:rPr>
          <w:rFonts w:ascii="Arial" w:hAnsi="Arial" w:cs="Arial"/>
          <w:sz w:val="20"/>
          <w:szCs w:val="20"/>
        </w:rPr>
        <w:t>. Significant difference and the post hoc test of monthly salary</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1"/>
        <w:gridCol w:w="1087"/>
        <w:gridCol w:w="1219"/>
        <w:gridCol w:w="820"/>
        <w:gridCol w:w="900"/>
        <w:gridCol w:w="828"/>
        <w:gridCol w:w="810"/>
        <w:gridCol w:w="1350"/>
      </w:tblGrid>
      <w:tr w:rsidR="00B118B0" w:rsidRPr="00185C93" w14:paraId="6A4D322A" w14:textId="77777777" w:rsidTr="00B118B0">
        <w:tc>
          <w:tcPr>
            <w:tcW w:w="2268" w:type="dxa"/>
            <w:gridSpan w:val="2"/>
            <w:vMerge w:val="restart"/>
            <w:vAlign w:val="center"/>
          </w:tcPr>
          <w:p w14:paraId="6FBCCA38"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(I) Monthly Salary</w:t>
            </w:r>
          </w:p>
        </w:tc>
        <w:tc>
          <w:tcPr>
            <w:tcW w:w="1219" w:type="dxa"/>
            <w:vMerge w:val="restart"/>
            <w:vAlign w:val="center"/>
          </w:tcPr>
          <w:p w14:paraId="38A6AE7F"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Mean Difference (I-J)</w:t>
            </w:r>
          </w:p>
        </w:tc>
        <w:tc>
          <w:tcPr>
            <w:tcW w:w="820" w:type="dxa"/>
            <w:vMerge w:val="restart"/>
            <w:vAlign w:val="center"/>
          </w:tcPr>
          <w:p w14:paraId="6D810431"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Std. Error</w:t>
            </w:r>
          </w:p>
        </w:tc>
        <w:tc>
          <w:tcPr>
            <w:tcW w:w="900" w:type="dxa"/>
            <w:vMerge w:val="restart"/>
            <w:vAlign w:val="center"/>
          </w:tcPr>
          <w:p w14:paraId="098AC5A3"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Sig.</w:t>
            </w:r>
          </w:p>
        </w:tc>
        <w:tc>
          <w:tcPr>
            <w:tcW w:w="1638" w:type="dxa"/>
            <w:gridSpan w:val="2"/>
            <w:vAlign w:val="center"/>
          </w:tcPr>
          <w:p w14:paraId="2BCCBF2E"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95% Confidence Interval</w:t>
            </w:r>
          </w:p>
        </w:tc>
        <w:tc>
          <w:tcPr>
            <w:tcW w:w="1350" w:type="dxa"/>
            <w:vMerge w:val="restart"/>
            <w:vAlign w:val="center"/>
          </w:tcPr>
          <w:p w14:paraId="68CF0DB1"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Interpretation</w:t>
            </w:r>
          </w:p>
        </w:tc>
      </w:tr>
      <w:tr w:rsidR="00B118B0" w:rsidRPr="00185C93" w14:paraId="3875C48A" w14:textId="77777777" w:rsidTr="00B118B0">
        <w:tc>
          <w:tcPr>
            <w:tcW w:w="2268" w:type="dxa"/>
            <w:gridSpan w:val="2"/>
            <w:vMerge/>
            <w:vAlign w:val="center"/>
          </w:tcPr>
          <w:p w14:paraId="2E8A608E" w14:textId="77777777" w:rsidR="00B118B0" w:rsidRPr="00185C93" w:rsidRDefault="00B118B0" w:rsidP="003A197C">
            <w:pPr>
              <w:rPr>
                <w:rFonts w:ascii="Arial" w:hAnsi="Arial" w:cs="Arial"/>
                <w:color w:val="000000" w:themeColor="text1"/>
                <w:sz w:val="18"/>
                <w:szCs w:val="18"/>
              </w:rPr>
            </w:pPr>
          </w:p>
        </w:tc>
        <w:tc>
          <w:tcPr>
            <w:tcW w:w="1219" w:type="dxa"/>
            <w:vMerge/>
            <w:vAlign w:val="center"/>
          </w:tcPr>
          <w:p w14:paraId="0DA705A0" w14:textId="77777777" w:rsidR="00B118B0" w:rsidRPr="00185C93" w:rsidRDefault="00B118B0" w:rsidP="003A197C">
            <w:pPr>
              <w:rPr>
                <w:rFonts w:ascii="Arial" w:hAnsi="Arial" w:cs="Arial"/>
                <w:color w:val="000000" w:themeColor="text1"/>
                <w:sz w:val="18"/>
                <w:szCs w:val="18"/>
              </w:rPr>
            </w:pPr>
          </w:p>
        </w:tc>
        <w:tc>
          <w:tcPr>
            <w:tcW w:w="820" w:type="dxa"/>
            <w:vMerge/>
            <w:vAlign w:val="center"/>
          </w:tcPr>
          <w:p w14:paraId="5B8F7D07" w14:textId="77777777" w:rsidR="00B118B0" w:rsidRPr="00185C93" w:rsidRDefault="00B118B0" w:rsidP="003A197C">
            <w:pPr>
              <w:rPr>
                <w:rFonts w:ascii="Arial" w:hAnsi="Arial" w:cs="Arial"/>
                <w:color w:val="000000" w:themeColor="text1"/>
                <w:sz w:val="18"/>
                <w:szCs w:val="18"/>
              </w:rPr>
            </w:pPr>
          </w:p>
        </w:tc>
        <w:tc>
          <w:tcPr>
            <w:tcW w:w="900" w:type="dxa"/>
            <w:vMerge/>
            <w:vAlign w:val="center"/>
          </w:tcPr>
          <w:p w14:paraId="2ABC4E56" w14:textId="77777777" w:rsidR="00B118B0" w:rsidRPr="00185C93" w:rsidRDefault="00B118B0" w:rsidP="003A197C">
            <w:pPr>
              <w:rPr>
                <w:rFonts w:ascii="Arial" w:hAnsi="Arial" w:cs="Arial"/>
                <w:color w:val="000000" w:themeColor="text1"/>
                <w:sz w:val="18"/>
                <w:szCs w:val="18"/>
              </w:rPr>
            </w:pPr>
          </w:p>
        </w:tc>
        <w:tc>
          <w:tcPr>
            <w:tcW w:w="828" w:type="dxa"/>
            <w:vAlign w:val="center"/>
          </w:tcPr>
          <w:p w14:paraId="1515F616"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Lower Bound</w:t>
            </w:r>
          </w:p>
        </w:tc>
        <w:tc>
          <w:tcPr>
            <w:tcW w:w="810" w:type="dxa"/>
            <w:vAlign w:val="center"/>
          </w:tcPr>
          <w:p w14:paraId="068E705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Upper Bound</w:t>
            </w:r>
          </w:p>
        </w:tc>
        <w:tc>
          <w:tcPr>
            <w:tcW w:w="1350" w:type="dxa"/>
            <w:vMerge/>
            <w:vAlign w:val="center"/>
          </w:tcPr>
          <w:p w14:paraId="2178F5AD" w14:textId="77777777" w:rsidR="00B118B0" w:rsidRPr="00185C93" w:rsidRDefault="00B118B0" w:rsidP="003A197C">
            <w:pPr>
              <w:rPr>
                <w:rFonts w:ascii="Arial" w:hAnsi="Arial" w:cs="Arial"/>
                <w:color w:val="000000" w:themeColor="text1"/>
                <w:sz w:val="18"/>
                <w:szCs w:val="18"/>
              </w:rPr>
            </w:pPr>
          </w:p>
        </w:tc>
      </w:tr>
      <w:tr w:rsidR="00B118B0" w:rsidRPr="00185C93" w14:paraId="657E4F75" w14:textId="77777777" w:rsidTr="00B118B0">
        <w:tc>
          <w:tcPr>
            <w:tcW w:w="1181" w:type="dxa"/>
            <w:vMerge w:val="restart"/>
            <w:vAlign w:val="center"/>
          </w:tcPr>
          <w:p w14:paraId="1901C20B"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20,000 and below</w:t>
            </w:r>
          </w:p>
        </w:tc>
        <w:tc>
          <w:tcPr>
            <w:tcW w:w="1087" w:type="dxa"/>
          </w:tcPr>
          <w:p w14:paraId="737DE6A7"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 xml:space="preserve">20,001 to </w:t>
            </w: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30,000</w:t>
            </w:r>
          </w:p>
        </w:tc>
        <w:tc>
          <w:tcPr>
            <w:tcW w:w="1219" w:type="dxa"/>
            <w:vAlign w:val="center"/>
          </w:tcPr>
          <w:p w14:paraId="40067986"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0.12</w:t>
            </w:r>
          </w:p>
        </w:tc>
        <w:tc>
          <w:tcPr>
            <w:tcW w:w="820" w:type="dxa"/>
            <w:vAlign w:val="center"/>
          </w:tcPr>
          <w:p w14:paraId="5370D009"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0.08</w:t>
            </w:r>
          </w:p>
        </w:tc>
        <w:tc>
          <w:tcPr>
            <w:tcW w:w="900" w:type="dxa"/>
            <w:vAlign w:val="center"/>
          </w:tcPr>
          <w:p w14:paraId="29E9D89D"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0.41</w:t>
            </w:r>
          </w:p>
        </w:tc>
        <w:tc>
          <w:tcPr>
            <w:tcW w:w="828" w:type="dxa"/>
            <w:vAlign w:val="center"/>
          </w:tcPr>
          <w:p w14:paraId="0B27D5B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-0.08</w:t>
            </w:r>
          </w:p>
        </w:tc>
        <w:tc>
          <w:tcPr>
            <w:tcW w:w="810" w:type="dxa"/>
            <w:vAlign w:val="center"/>
          </w:tcPr>
          <w:p w14:paraId="123F207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0.33</w:t>
            </w:r>
          </w:p>
        </w:tc>
        <w:tc>
          <w:tcPr>
            <w:tcW w:w="1350" w:type="dxa"/>
            <w:vAlign w:val="center"/>
          </w:tcPr>
          <w:p w14:paraId="1ACDD558"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No Difference</w:t>
            </w:r>
          </w:p>
        </w:tc>
      </w:tr>
      <w:tr w:rsidR="00B118B0" w:rsidRPr="00185C93" w14:paraId="7505DA39" w14:textId="77777777" w:rsidTr="00B118B0">
        <w:tc>
          <w:tcPr>
            <w:tcW w:w="1181" w:type="dxa"/>
            <w:vMerge/>
            <w:vAlign w:val="center"/>
          </w:tcPr>
          <w:p w14:paraId="39BB2813" w14:textId="77777777" w:rsidR="00B118B0" w:rsidRPr="00185C93" w:rsidRDefault="00B118B0" w:rsidP="003A197C">
            <w:pPr>
              <w:rPr>
                <w:rFonts w:ascii="Arial" w:hAnsi="Arial" w:cs="Arial"/>
                <w:color w:val="000000" w:themeColor="text1"/>
                <w:sz w:val="18"/>
                <w:szCs w:val="18"/>
              </w:rPr>
            </w:pPr>
          </w:p>
        </w:tc>
        <w:tc>
          <w:tcPr>
            <w:tcW w:w="1087" w:type="dxa"/>
          </w:tcPr>
          <w:p w14:paraId="5BFD424F"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 xml:space="preserve">30,001 to </w:t>
            </w: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40,000</w:t>
            </w:r>
          </w:p>
        </w:tc>
        <w:tc>
          <w:tcPr>
            <w:tcW w:w="1219" w:type="dxa"/>
            <w:vAlign w:val="center"/>
          </w:tcPr>
          <w:p w14:paraId="1DE5AFA3"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-0.04</w:t>
            </w:r>
          </w:p>
        </w:tc>
        <w:tc>
          <w:tcPr>
            <w:tcW w:w="820" w:type="dxa"/>
            <w:vAlign w:val="center"/>
          </w:tcPr>
          <w:p w14:paraId="0F8FB904"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0.08</w:t>
            </w:r>
          </w:p>
        </w:tc>
        <w:tc>
          <w:tcPr>
            <w:tcW w:w="900" w:type="dxa"/>
            <w:vAlign w:val="center"/>
          </w:tcPr>
          <w:p w14:paraId="17B975C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0.97</w:t>
            </w:r>
          </w:p>
        </w:tc>
        <w:tc>
          <w:tcPr>
            <w:tcW w:w="828" w:type="dxa"/>
            <w:vAlign w:val="center"/>
          </w:tcPr>
          <w:p w14:paraId="40E8AE15"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-0.25</w:t>
            </w:r>
          </w:p>
        </w:tc>
        <w:tc>
          <w:tcPr>
            <w:tcW w:w="810" w:type="dxa"/>
            <w:vAlign w:val="center"/>
          </w:tcPr>
          <w:p w14:paraId="396B4474"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0.18</w:t>
            </w:r>
          </w:p>
        </w:tc>
        <w:tc>
          <w:tcPr>
            <w:tcW w:w="1350" w:type="dxa"/>
            <w:vAlign w:val="center"/>
          </w:tcPr>
          <w:p w14:paraId="632DF466"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No Difference</w:t>
            </w:r>
          </w:p>
        </w:tc>
      </w:tr>
      <w:tr w:rsidR="00B118B0" w:rsidRPr="00185C93" w14:paraId="6237209D" w14:textId="77777777" w:rsidTr="00B118B0">
        <w:tc>
          <w:tcPr>
            <w:tcW w:w="1181" w:type="dxa"/>
            <w:vMerge/>
            <w:vAlign w:val="center"/>
          </w:tcPr>
          <w:p w14:paraId="7C91AF7E" w14:textId="77777777" w:rsidR="00B118B0" w:rsidRPr="00185C93" w:rsidRDefault="00B118B0" w:rsidP="003A197C">
            <w:pPr>
              <w:rPr>
                <w:rFonts w:ascii="Arial" w:hAnsi="Arial" w:cs="Arial"/>
                <w:color w:val="000000" w:themeColor="text1"/>
                <w:sz w:val="18"/>
                <w:szCs w:val="18"/>
              </w:rPr>
            </w:pPr>
          </w:p>
        </w:tc>
        <w:tc>
          <w:tcPr>
            <w:tcW w:w="1087" w:type="dxa"/>
          </w:tcPr>
          <w:p w14:paraId="7C067F76"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40,001 and above</w:t>
            </w:r>
          </w:p>
        </w:tc>
        <w:tc>
          <w:tcPr>
            <w:tcW w:w="1219" w:type="dxa"/>
            <w:vAlign w:val="center"/>
          </w:tcPr>
          <w:p w14:paraId="2054DA77"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-0.11</w:t>
            </w:r>
          </w:p>
        </w:tc>
        <w:tc>
          <w:tcPr>
            <w:tcW w:w="820" w:type="dxa"/>
            <w:vAlign w:val="center"/>
          </w:tcPr>
          <w:p w14:paraId="724DBFCC"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0.07</w:t>
            </w:r>
          </w:p>
        </w:tc>
        <w:tc>
          <w:tcPr>
            <w:tcW w:w="900" w:type="dxa"/>
            <w:vAlign w:val="center"/>
          </w:tcPr>
          <w:p w14:paraId="2BC3FAA2"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0.44</w:t>
            </w:r>
          </w:p>
        </w:tc>
        <w:tc>
          <w:tcPr>
            <w:tcW w:w="828" w:type="dxa"/>
            <w:vAlign w:val="center"/>
          </w:tcPr>
          <w:p w14:paraId="1872E6B4"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-0.30</w:t>
            </w:r>
          </w:p>
        </w:tc>
        <w:tc>
          <w:tcPr>
            <w:tcW w:w="810" w:type="dxa"/>
            <w:vAlign w:val="center"/>
          </w:tcPr>
          <w:p w14:paraId="0B0956A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0.08</w:t>
            </w:r>
          </w:p>
        </w:tc>
        <w:tc>
          <w:tcPr>
            <w:tcW w:w="1350" w:type="dxa"/>
            <w:vAlign w:val="center"/>
          </w:tcPr>
          <w:p w14:paraId="004E9858"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No Difference</w:t>
            </w:r>
          </w:p>
        </w:tc>
      </w:tr>
      <w:tr w:rsidR="00B118B0" w:rsidRPr="00185C93" w14:paraId="6CE1B9D6" w14:textId="77777777" w:rsidTr="00B118B0">
        <w:tc>
          <w:tcPr>
            <w:tcW w:w="1181" w:type="dxa"/>
            <w:vMerge w:val="restart"/>
            <w:vAlign w:val="center"/>
          </w:tcPr>
          <w:p w14:paraId="77EB0D29"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 xml:space="preserve">20,001 to </w:t>
            </w: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30,000</w:t>
            </w:r>
          </w:p>
        </w:tc>
        <w:tc>
          <w:tcPr>
            <w:tcW w:w="1087" w:type="dxa"/>
          </w:tcPr>
          <w:p w14:paraId="0F64DC3A"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 xml:space="preserve">30,001 to </w:t>
            </w: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40,000</w:t>
            </w:r>
          </w:p>
        </w:tc>
        <w:tc>
          <w:tcPr>
            <w:tcW w:w="1219" w:type="dxa"/>
            <w:vAlign w:val="center"/>
          </w:tcPr>
          <w:p w14:paraId="2B615A23"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-0.16</w:t>
            </w:r>
          </w:p>
        </w:tc>
        <w:tc>
          <w:tcPr>
            <w:tcW w:w="820" w:type="dxa"/>
            <w:vAlign w:val="center"/>
          </w:tcPr>
          <w:p w14:paraId="50CBCBFA"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0.08</w:t>
            </w:r>
          </w:p>
        </w:tc>
        <w:tc>
          <w:tcPr>
            <w:tcW w:w="900" w:type="dxa"/>
            <w:vAlign w:val="center"/>
          </w:tcPr>
          <w:p w14:paraId="355D18CD"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0.19</w:t>
            </w:r>
          </w:p>
        </w:tc>
        <w:tc>
          <w:tcPr>
            <w:tcW w:w="828" w:type="dxa"/>
            <w:vAlign w:val="center"/>
          </w:tcPr>
          <w:p w14:paraId="4F8D484A"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-0.37</w:t>
            </w:r>
          </w:p>
        </w:tc>
        <w:tc>
          <w:tcPr>
            <w:tcW w:w="810" w:type="dxa"/>
            <w:vAlign w:val="center"/>
          </w:tcPr>
          <w:p w14:paraId="7A1B1439"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0.05</w:t>
            </w:r>
          </w:p>
        </w:tc>
        <w:tc>
          <w:tcPr>
            <w:tcW w:w="1350" w:type="dxa"/>
            <w:vAlign w:val="center"/>
          </w:tcPr>
          <w:p w14:paraId="7BE3CAA3"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No Difference</w:t>
            </w:r>
          </w:p>
        </w:tc>
      </w:tr>
      <w:tr w:rsidR="00B118B0" w:rsidRPr="00185C93" w14:paraId="4487ADBA" w14:textId="77777777" w:rsidTr="00B118B0">
        <w:tc>
          <w:tcPr>
            <w:tcW w:w="1181" w:type="dxa"/>
            <w:vMerge/>
            <w:vAlign w:val="center"/>
          </w:tcPr>
          <w:p w14:paraId="2AA332DE" w14:textId="77777777" w:rsidR="00B118B0" w:rsidRPr="00185C93" w:rsidRDefault="00B118B0" w:rsidP="003A197C">
            <w:pPr>
              <w:rPr>
                <w:rFonts w:ascii="Arial" w:hAnsi="Arial" w:cs="Arial"/>
                <w:color w:val="000000" w:themeColor="text1"/>
                <w:sz w:val="18"/>
                <w:szCs w:val="18"/>
              </w:rPr>
            </w:pPr>
          </w:p>
        </w:tc>
        <w:tc>
          <w:tcPr>
            <w:tcW w:w="1087" w:type="dxa"/>
          </w:tcPr>
          <w:p w14:paraId="51E32652"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40,001 and above</w:t>
            </w:r>
          </w:p>
        </w:tc>
        <w:tc>
          <w:tcPr>
            <w:tcW w:w="1219" w:type="dxa"/>
            <w:vAlign w:val="center"/>
          </w:tcPr>
          <w:p w14:paraId="1241F00F"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-0.23</w:t>
            </w:r>
          </w:p>
        </w:tc>
        <w:tc>
          <w:tcPr>
            <w:tcW w:w="820" w:type="dxa"/>
            <w:vAlign w:val="center"/>
          </w:tcPr>
          <w:p w14:paraId="06A321E1"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0.07</w:t>
            </w:r>
          </w:p>
        </w:tc>
        <w:tc>
          <w:tcPr>
            <w:tcW w:w="900" w:type="dxa"/>
            <w:vAlign w:val="center"/>
          </w:tcPr>
          <w:p w14:paraId="3B577195"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0.01</w:t>
            </w:r>
          </w:p>
        </w:tc>
        <w:tc>
          <w:tcPr>
            <w:tcW w:w="828" w:type="dxa"/>
            <w:vAlign w:val="center"/>
          </w:tcPr>
          <w:p w14:paraId="24AD277D"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-0.41</w:t>
            </w:r>
          </w:p>
        </w:tc>
        <w:tc>
          <w:tcPr>
            <w:tcW w:w="810" w:type="dxa"/>
            <w:vAlign w:val="center"/>
          </w:tcPr>
          <w:p w14:paraId="21D0AF64"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-0.05</w:t>
            </w:r>
          </w:p>
        </w:tc>
        <w:tc>
          <w:tcPr>
            <w:tcW w:w="1350" w:type="dxa"/>
            <w:vAlign w:val="center"/>
          </w:tcPr>
          <w:p w14:paraId="5DE56605"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Has Difference</w:t>
            </w:r>
          </w:p>
        </w:tc>
      </w:tr>
      <w:tr w:rsidR="00B118B0" w:rsidRPr="00185C93" w14:paraId="3F378376" w14:textId="77777777" w:rsidTr="00B118B0">
        <w:trPr>
          <w:trHeight w:val="713"/>
        </w:trPr>
        <w:tc>
          <w:tcPr>
            <w:tcW w:w="1181" w:type="dxa"/>
            <w:vAlign w:val="center"/>
          </w:tcPr>
          <w:p w14:paraId="24207F3B"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 xml:space="preserve">30,001 to </w:t>
            </w: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40,000</w:t>
            </w:r>
          </w:p>
        </w:tc>
        <w:tc>
          <w:tcPr>
            <w:tcW w:w="1087" w:type="dxa"/>
          </w:tcPr>
          <w:p w14:paraId="0DBDB8ED" w14:textId="77777777" w:rsidR="00B118B0" w:rsidRPr="00185C93" w:rsidRDefault="00B118B0" w:rsidP="003A197C">
            <w:pPr>
              <w:rPr>
                <w:rFonts w:ascii="Arial" w:hAnsi="Arial" w:cs="Arial"/>
                <w:color w:val="000000" w:themeColor="text1"/>
                <w:sz w:val="18"/>
                <w:szCs w:val="18"/>
              </w:rPr>
            </w:pPr>
            <w:r w:rsidRPr="00185C93">
              <w:rPr>
                <w:rFonts w:ascii="Arial" w:hAnsi="Arial" w:cs="Arial"/>
                <w:color w:val="000000" w:themeColor="text1"/>
                <w:sz w:val="18"/>
                <w:szCs w:val="18"/>
              </w:rPr>
              <w:t>₱</w:t>
            </w:r>
            <w:r w:rsidRPr="00185C93">
              <w:rPr>
                <w:rFonts w:ascii="Arial" w:eastAsia="Times New Roman" w:hAnsi="Arial" w:cs="Arial"/>
                <w:color w:val="000000" w:themeColor="text1"/>
                <w:sz w:val="18"/>
                <w:szCs w:val="18"/>
                <w:lang w:eastAsia="en-PH"/>
              </w:rPr>
              <w:t>40,001 and above</w:t>
            </w:r>
          </w:p>
        </w:tc>
        <w:tc>
          <w:tcPr>
            <w:tcW w:w="1219" w:type="dxa"/>
            <w:vAlign w:val="center"/>
          </w:tcPr>
          <w:p w14:paraId="426C224E"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-0.07</w:t>
            </w:r>
          </w:p>
        </w:tc>
        <w:tc>
          <w:tcPr>
            <w:tcW w:w="820" w:type="dxa"/>
            <w:vAlign w:val="center"/>
          </w:tcPr>
          <w:p w14:paraId="496CEBBE"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0.07</w:t>
            </w:r>
          </w:p>
        </w:tc>
        <w:tc>
          <w:tcPr>
            <w:tcW w:w="900" w:type="dxa"/>
            <w:vAlign w:val="center"/>
          </w:tcPr>
          <w:p w14:paraId="729CB6F4"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0.75</w:t>
            </w:r>
          </w:p>
        </w:tc>
        <w:tc>
          <w:tcPr>
            <w:tcW w:w="828" w:type="dxa"/>
            <w:vAlign w:val="center"/>
          </w:tcPr>
          <w:p w14:paraId="0123B42B"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-0.26</w:t>
            </w:r>
          </w:p>
        </w:tc>
        <w:tc>
          <w:tcPr>
            <w:tcW w:w="810" w:type="dxa"/>
            <w:vAlign w:val="center"/>
          </w:tcPr>
          <w:p w14:paraId="51C37D1C" w14:textId="77777777" w:rsidR="00B118B0" w:rsidRPr="00185C93" w:rsidRDefault="00B118B0" w:rsidP="003A197C">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0.12</w:t>
            </w:r>
          </w:p>
        </w:tc>
        <w:tc>
          <w:tcPr>
            <w:tcW w:w="1350" w:type="dxa"/>
            <w:vAlign w:val="center"/>
          </w:tcPr>
          <w:p w14:paraId="53A36A72" w14:textId="77777777" w:rsidR="00B118B0" w:rsidRPr="00185C93" w:rsidRDefault="00B118B0" w:rsidP="00B118B0">
            <w:pPr>
              <w:jc w:val="center"/>
              <w:rPr>
                <w:rFonts w:ascii="Arial" w:hAnsi="Arial" w:cs="Arial"/>
                <w:color w:val="000000" w:themeColor="text1"/>
                <w:sz w:val="18"/>
                <w:szCs w:val="18"/>
              </w:rPr>
            </w:pPr>
            <w:r w:rsidRPr="00185C93">
              <w:rPr>
                <w:rFonts w:ascii="Arial" w:eastAsia="Times New Roman" w:hAnsi="Arial" w:cs="Arial"/>
                <w:color w:val="000000" w:themeColor="text1"/>
                <w:sz w:val="18"/>
                <w:szCs w:val="18"/>
                <w:lang w:eastAsia="en-PH"/>
              </w:rPr>
              <w:t>No Difference</w:t>
            </w:r>
          </w:p>
        </w:tc>
      </w:tr>
    </w:tbl>
    <w:p w14:paraId="1C9CC964" w14:textId="77777777" w:rsidR="00B118B0" w:rsidRPr="00B118B0" w:rsidRDefault="00B118B0" w:rsidP="00B118B0">
      <w:pPr>
        <w:spacing w:after="0"/>
        <w:jc w:val="both"/>
        <w:rPr>
          <w:rFonts w:ascii="Arial" w:hAnsi="Arial" w:cs="Arial"/>
          <w:sz w:val="20"/>
          <w:szCs w:val="20"/>
        </w:rPr>
      </w:pPr>
    </w:p>
    <w:p w14:paraId="390937F2" w14:textId="77777777" w:rsidR="00B118B0" w:rsidRPr="00B118B0" w:rsidRDefault="00B118B0" w:rsidP="00B118B0">
      <w:pPr>
        <w:spacing w:after="0"/>
        <w:jc w:val="center"/>
        <w:rPr>
          <w:rFonts w:ascii="Arial" w:hAnsi="Arial" w:cs="Arial"/>
          <w:b/>
          <w:bCs/>
          <w:color w:val="000000" w:themeColor="text1"/>
          <w:sz w:val="20"/>
          <w:szCs w:val="20"/>
          <w:lang w:val="en-US"/>
        </w:rPr>
      </w:pPr>
      <w:bookmarkStart w:id="3" w:name="_Toc201323110"/>
      <w:r w:rsidRPr="00B118B0">
        <w:rPr>
          <w:rFonts w:ascii="Arial" w:hAnsi="Arial" w:cs="Arial"/>
          <w:b/>
          <w:bCs/>
          <w:color w:val="000000" w:themeColor="text1"/>
          <w:sz w:val="20"/>
          <w:szCs w:val="20"/>
        </w:rPr>
        <w:t xml:space="preserve">Differences in the Level of </w:t>
      </w:r>
      <w:r w:rsidRPr="00B118B0">
        <w:rPr>
          <w:rFonts w:ascii="Arial" w:hAnsi="Arial" w:cs="Arial"/>
          <w:b/>
          <w:bCs/>
          <w:color w:val="000000" w:themeColor="text1"/>
          <w:sz w:val="20"/>
          <w:szCs w:val="20"/>
          <w:lang w:val="en-US"/>
        </w:rPr>
        <w:t>Retirement Preparedness</w:t>
      </w:r>
      <w:bookmarkEnd w:id="3"/>
    </w:p>
    <w:p w14:paraId="00597456" w14:textId="77777777" w:rsidR="00B118B0" w:rsidRPr="00B118B0" w:rsidRDefault="00B118B0" w:rsidP="00B118B0">
      <w:pPr>
        <w:spacing w:after="0"/>
        <w:jc w:val="both"/>
        <w:rPr>
          <w:rFonts w:ascii="Arial" w:hAnsi="Arial" w:cs="Arial"/>
          <w:sz w:val="20"/>
          <w:szCs w:val="20"/>
        </w:rPr>
      </w:pPr>
    </w:p>
    <w:p w14:paraId="31B4233F" w14:textId="7B875F18" w:rsidR="00B118B0" w:rsidRDefault="00B118B0" w:rsidP="004E5C4C">
      <w:pPr>
        <w:spacing w:after="0"/>
        <w:ind w:firstLine="72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16</w:t>
      </w:r>
      <w:r w:rsidRPr="00B118B0">
        <w:rPr>
          <w:rFonts w:ascii="Arial" w:hAnsi="Arial" w:cs="Arial"/>
          <w:sz w:val="20"/>
          <w:szCs w:val="20"/>
        </w:rPr>
        <w:t xml:space="preserve"> shows no significant difference in the level of retirement preparedness among respondents when grouped by age (F = 0.661, p = 0.519), indicating that age does not significantly influence the preparedness of individuals for retirement. This supports </w:t>
      </w:r>
      <w:r w:rsidR="00064E06" w:rsidRPr="004E5C4C">
        <w:rPr>
          <w:rFonts w:ascii="Arial" w:hAnsi="Arial" w:cs="Arial"/>
          <w:sz w:val="20"/>
          <w:szCs w:val="20"/>
        </w:rPr>
        <w:t>Lusardi and Mitchell (2017),</w:t>
      </w:r>
      <w:r w:rsidRPr="00B118B0">
        <w:rPr>
          <w:rFonts w:ascii="Arial" w:hAnsi="Arial" w:cs="Arial"/>
          <w:sz w:val="20"/>
          <w:szCs w:val="20"/>
        </w:rPr>
        <w:t xml:space="preserve"> who emphasized that continuous financial planning, regardless of age, is essential for achieving retirement security.</w:t>
      </w:r>
    </w:p>
    <w:p w14:paraId="51ABD61D" w14:textId="77777777" w:rsidR="004E5C4C" w:rsidRPr="00B118B0" w:rsidRDefault="004E5C4C" w:rsidP="00B118B0">
      <w:pPr>
        <w:spacing w:after="0"/>
        <w:jc w:val="both"/>
        <w:rPr>
          <w:rFonts w:ascii="Arial" w:hAnsi="Arial" w:cs="Arial"/>
          <w:sz w:val="20"/>
          <w:szCs w:val="20"/>
        </w:rPr>
      </w:pPr>
    </w:p>
    <w:p w14:paraId="2AB725D3" w14:textId="5A544A14" w:rsidR="004E5C4C" w:rsidRDefault="00B118B0" w:rsidP="00B118B0">
      <w:pPr>
        <w:spacing w:after="0"/>
        <w:jc w:val="both"/>
        <w:rPr>
          <w:rFonts w:ascii="Arial" w:hAnsi="Arial" w:cs="Arial"/>
          <w:sz w:val="20"/>
          <w:szCs w:val="20"/>
        </w:rPr>
      </w:pPr>
      <w:r w:rsidRPr="00B118B0">
        <w:rPr>
          <w:rFonts w:ascii="Arial" w:hAnsi="Arial" w:cs="Arial"/>
          <w:sz w:val="20"/>
          <w:szCs w:val="20"/>
        </w:rPr>
        <w:t xml:space="preserve">Table </w:t>
      </w:r>
      <w:r w:rsidR="001B7571">
        <w:rPr>
          <w:rFonts w:ascii="Arial" w:hAnsi="Arial" w:cs="Arial"/>
          <w:sz w:val="20"/>
          <w:szCs w:val="20"/>
        </w:rPr>
        <w:t>16</w:t>
      </w:r>
      <w:r w:rsidRPr="00B118B0">
        <w:rPr>
          <w:rFonts w:ascii="Arial" w:hAnsi="Arial" w:cs="Arial"/>
          <w:sz w:val="20"/>
          <w:szCs w:val="20"/>
        </w:rPr>
        <w:t>. Retirement preparedness comparison among respondents in terms of their age</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745"/>
        <w:gridCol w:w="900"/>
      </w:tblGrid>
      <w:tr w:rsidR="004E5C4C" w:rsidRPr="009743E9" w14:paraId="126CEBD4" w14:textId="77777777" w:rsidTr="004E5C4C">
        <w:trPr>
          <w:trHeight w:val="197"/>
        </w:trPr>
        <w:tc>
          <w:tcPr>
            <w:tcW w:w="1853" w:type="dxa"/>
          </w:tcPr>
          <w:p w14:paraId="443A2C78" w14:textId="77777777" w:rsidR="004E5C4C" w:rsidRPr="009743E9" w:rsidRDefault="004E5C4C" w:rsidP="003A197C">
            <w:pPr>
              <w:rPr>
                <w:rFonts w:ascii="Arial" w:hAnsi="Arial" w:cs="Arial"/>
                <w:color w:val="000000" w:themeColor="text1"/>
              </w:rPr>
            </w:pPr>
          </w:p>
        </w:tc>
        <w:tc>
          <w:tcPr>
            <w:tcW w:w="2045" w:type="dxa"/>
          </w:tcPr>
          <w:p w14:paraId="06C8C2FA"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Sum of Squares</w:t>
            </w:r>
          </w:p>
        </w:tc>
        <w:tc>
          <w:tcPr>
            <w:tcW w:w="940" w:type="dxa"/>
          </w:tcPr>
          <w:p w14:paraId="5EEC99F4"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df</w:t>
            </w:r>
          </w:p>
        </w:tc>
        <w:tc>
          <w:tcPr>
            <w:tcW w:w="1712" w:type="dxa"/>
          </w:tcPr>
          <w:p w14:paraId="35DB1B21"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Mean Square</w:t>
            </w:r>
          </w:p>
        </w:tc>
        <w:tc>
          <w:tcPr>
            <w:tcW w:w="745" w:type="dxa"/>
          </w:tcPr>
          <w:p w14:paraId="31AC93A3"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F</w:t>
            </w:r>
          </w:p>
        </w:tc>
        <w:tc>
          <w:tcPr>
            <w:tcW w:w="900" w:type="dxa"/>
          </w:tcPr>
          <w:p w14:paraId="44A8951A" w14:textId="77777777" w:rsidR="004E5C4C" w:rsidRPr="009743E9"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9743E9">
              <w:rPr>
                <w:rFonts w:ascii="Arial" w:hAnsi="Arial" w:cs="Arial"/>
                <w:color w:val="000000" w:themeColor="text1"/>
              </w:rPr>
              <w:t>Sig.</w:t>
            </w:r>
          </w:p>
        </w:tc>
      </w:tr>
      <w:tr w:rsidR="004E5C4C" w:rsidRPr="009743E9" w14:paraId="79A6D7CA" w14:textId="77777777" w:rsidTr="004E5C4C">
        <w:trPr>
          <w:trHeight w:val="307"/>
        </w:trPr>
        <w:tc>
          <w:tcPr>
            <w:tcW w:w="1853" w:type="dxa"/>
          </w:tcPr>
          <w:p w14:paraId="779FCE46" w14:textId="77777777" w:rsidR="004E5C4C" w:rsidRPr="009743E9" w:rsidRDefault="004E5C4C" w:rsidP="003A197C">
            <w:pPr>
              <w:autoSpaceDE w:val="0"/>
              <w:autoSpaceDN w:val="0"/>
              <w:adjustRightInd w:val="0"/>
              <w:ind w:left="60" w:right="60"/>
              <w:rPr>
                <w:rFonts w:ascii="Arial" w:hAnsi="Arial" w:cs="Arial"/>
                <w:color w:val="000000" w:themeColor="text1"/>
              </w:rPr>
            </w:pPr>
            <w:r w:rsidRPr="009743E9">
              <w:rPr>
                <w:rFonts w:ascii="Arial" w:hAnsi="Arial" w:cs="Arial"/>
                <w:color w:val="000000" w:themeColor="text1"/>
              </w:rPr>
              <w:t>Between Groups</w:t>
            </w:r>
          </w:p>
        </w:tc>
        <w:tc>
          <w:tcPr>
            <w:tcW w:w="2045" w:type="dxa"/>
            <w:vAlign w:val="center"/>
          </w:tcPr>
          <w:p w14:paraId="48B93E5A"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.099</w:t>
            </w:r>
          </w:p>
        </w:tc>
        <w:tc>
          <w:tcPr>
            <w:tcW w:w="940" w:type="dxa"/>
            <w:vAlign w:val="center"/>
          </w:tcPr>
          <w:p w14:paraId="0599E455"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2</w:t>
            </w:r>
          </w:p>
        </w:tc>
        <w:tc>
          <w:tcPr>
            <w:tcW w:w="1712" w:type="dxa"/>
            <w:vAlign w:val="center"/>
          </w:tcPr>
          <w:p w14:paraId="7BD937FD"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.050</w:t>
            </w:r>
          </w:p>
        </w:tc>
        <w:tc>
          <w:tcPr>
            <w:tcW w:w="745" w:type="dxa"/>
            <w:vAlign w:val="center"/>
          </w:tcPr>
          <w:p w14:paraId="5745DE11"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.661</w:t>
            </w:r>
          </w:p>
        </w:tc>
        <w:tc>
          <w:tcPr>
            <w:tcW w:w="900" w:type="dxa"/>
            <w:vAlign w:val="center"/>
          </w:tcPr>
          <w:p w14:paraId="2E652771" w14:textId="77777777" w:rsidR="004E5C4C" w:rsidRPr="009743E9"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9743E9">
              <w:rPr>
                <w:rFonts w:ascii="Arial" w:hAnsi="Arial" w:cs="Arial"/>
                <w:color w:val="000000" w:themeColor="text1"/>
              </w:rPr>
              <w:t>.519</w:t>
            </w:r>
          </w:p>
        </w:tc>
      </w:tr>
      <w:tr w:rsidR="004E5C4C" w:rsidRPr="009743E9" w14:paraId="2AEE2042" w14:textId="77777777" w:rsidTr="004E5C4C">
        <w:trPr>
          <w:trHeight w:val="268"/>
        </w:trPr>
        <w:tc>
          <w:tcPr>
            <w:tcW w:w="1853" w:type="dxa"/>
          </w:tcPr>
          <w:p w14:paraId="10B15400" w14:textId="77777777" w:rsidR="004E5C4C" w:rsidRPr="009743E9" w:rsidRDefault="004E5C4C" w:rsidP="003A197C">
            <w:pPr>
              <w:autoSpaceDE w:val="0"/>
              <w:autoSpaceDN w:val="0"/>
              <w:adjustRightInd w:val="0"/>
              <w:ind w:left="60" w:right="60"/>
              <w:rPr>
                <w:rFonts w:ascii="Arial" w:hAnsi="Arial" w:cs="Arial"/>
                <w:color w:val="000000" w:themeColor="text1"/>
              </w:rPr>
            </w:pPr>
            <w:r w:rsidRPr="009743E9">
              <w:rPr>
                <w:rFonts w:ascii="Arial" w:hAnsi="Arial" w:cs="Arial"/>
                <w:color w:val="000000" w:themeColor="text1"/>
              </w:rPr>
              <w:t>Within Groups</w:t>
            </w:r>
          </w:p>
        </w:tc>
        <w:tc>
          <w:tcPr>
            <w:tcW w:w="2045" w:type="dxa"/>
            <w:vAlign w:val="center"/>
          </w:tcPr>
          <w:p w14:paraId="7DF041F6"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5.253</w:t>
            </w:r>
          </w:p>
        </w:tc>
        <w:tc>
          <w:tcPr>
            <w:tcW w:w="940" w:type="dxa"/>
            <w:vAlign w:val="center"/>
          </w:tcPr>
          <w:p w14:paraId="051F82E4"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70</w:t>
            </w:r>
          </w:p>
        </w:tc>
        <w:tc>
          <w:tcPr>
            <w:tcW w:w="1712" w:type="dxa"/>
            <w:vAlign w:val="center"/>
          </w:tcPr>
          <w:p w14:paraId="24ED1682"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.075</w:t>
            </w:r>
          </w:p>
        </w:tc>
        <w:tc>
          <w:tcPr>
            <w:tcW w:w="745" w:type="dxa"/>
            <w:vAlign w:val="center"/>
          </w:tcPr>
          <w:p w14:paraId="36853D1D"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900" w:type="dxa"/>
            <w:vAlign w:val="center"/>
          </w:tcPr>
          <w:p w14:paraId="30864ABE" w14:textId="77777777" w:rsidR="004E5C4C" w:rsidRPr="009743E9" w:rsidRDefault="004E5C4C" w:rsidP="003A197C">
            <w:pPr>
              <w:autoSpaceDE w:val="0"/>
              <w:autoSpaceDN w:val="0"/>
              <w:adjustRightInd w:val="0"/>
              <w:jc w:val="center"/>
              <w:rPr>
                <w:rFonts w:ascii="Arial" w:eastAsia="Times New Roman" w:hAnsi="Arial" w:cs="Arial"/>
                <w:color w:val="000000" w:themeColor="text1"/>
                <w:lang w:eastAsia="en-PH"/>
              </w:rPr>
            </w:pPr>
          </w:p>
        </w:tc>
      </w:tr>
      <w:tr w:rsidR="004E5C4C" w:rsidRPr="009743E9" w14:paraId="1373F4AF" w14:textId="77777777" w:rsidTr="004E5C4C">
        <w:trPr>
          <w:trHeight w:val="170"/>
        </w:trPr>
        <w:tc>
          <w:tcPr>
            <w:tcW w:w="1853" w:type="dxa"/>
          </w:tcPr>
          <w:p w14:paraId="0C585786" w14:textId="77777777" w:rsidR="004E5C4C" w:rsidRPr="009743E9" w:rsidRDefault="004E5C4C" w:rsidP="003A197C">
            <w:pPr>
              <w:autoSpaceDE w:val="0"/>
              <w:autoSpaceDN w:val="0"/>
              <w:adjustRightInd w:val="0"/>
              <w:ind w:left="60" w:right="60"/>
              <w:rPr>
                <w:rFonts w:ascii="Arial" w:hAnsi="Arial" w:cs="Arial"/>
                <w:color w:val="000000" w:themeColor="text1"/>
              </w:rPr>
            </w:pPr>
            <w:r w:rsidRPr="009743E9">
              <w:rPr>
                <w:rFonts w:ascii="Arial" w:hAnsi="Arial" w:cs="Arial"/>
                <w:color w:val="000000" w:themeColor="text1"/>
              </w:rPr>
              <w:t>Total</w:t>
            </w:r>
          </w:p>
        </w:tc>
        <w:tc>
          <w:tcPr>
            <w:tcW w:w="2045" w:type="dxa"/>
            <w:vAlign w:val="center"/>
          </w:tcPr>
          <w:p w14:paraId="34227776"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5.352</w:t>
            </w:r>
          </w:p>
        </w:tc>
        <w:tc>
          <w:tcPr>
            <w:tcW w:w="940" w:type="dxa"/>
            <w:vAlign w:val="center"/>
          </w:tcPr>
          <w:p w14:paraId="294DC428" w14:textId="77777777" w:rsidR="004E5C4C" w:rsidRPr="009743E9" w:rsidRDefault="004E5C4C" w:rsidP="003A197C">
            <w:pPr>
              <w:autoSpaceDE w:val="0"/>
              <w:autoSpaceDN w:val="0"/>
              <w:adjustRightInd w:val="0"/>
              <w:ind w:left="60" w:right="60"/>
              <w:jc w:val="center"/>
              <w:rPr>
                <w:rFonts w:ascii="Arial" w:hAnsi="Arial" w:cs="Arial"/>
                <w:color w:val="000000" w:themeColor="text1"/>
              </w:rPr>
            </w:pPr>
            <w:r w:rsidRPr="009743E9">
              <w:rPr>
                <w:rFonts w:ascii="Arial" w:hAnsi="Arial" w:cs="Arial"/>
                <w:color w:val="000000" w:themeColor="text1"/>
              </w:rPr>
              <w:t>72</w:t>
            </w:r>
          </w:p>
        </w:tc>
        <w:tc>
          <w:tcPr>
            <w:tcW w:w="1712" w:type="dxa"/>
            <w:vAlign w:val="center"/>
          </w:tcPr>
          <w:p w14:paraId="276B07A7"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745" w:type="dxa"/>
            <w:vAlign w:val="center"/>
          </w:tcPr>
          <w:p w14:paraId="50115255"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900" w:type="dxa"/>
            <w:vAlign w:val="center"/>
          </w:tcPr>
          <w:p w14:paraId="4390575A" w14:textId="77777777" w:rsidR="004E5C4C" w:rsidRPr="009743E9" w:rsidRDefault="004E5C4C" w:rsidP="003A197C">
            <w:pPr>
              <w:autoSpaceDE w:val="0"/>
              <w:autoSpaceDN w:val="0"/>
              <w:adjustRightInd w:val="0"/>
              <w:jc w:val="center"/>
              <w:rPr>
                <w:rFonts w:ascii="Arial" w:eastAsia="Times New Roman" w:hAnsi="Arial" w:cs="Arial"/>
                <w:color w:val="000000" w:themeColor="text1"/>
                <w:lang w:eastAsia="en-PH"/>
              </w:rPr>
            </w:pPr>
          </w:p>
        </w:tc>
      </w:tr>
    </w:tbl>
    <w:p w14:paraId="66B8E3AD" w14:textId="2989E8DD" w:rsidR="00B118B0" w:rsidRPr="00B118B0" w:rsidRDefault="00B118B0" w:rsidP="00B118B0">
      <w:pPr>
        <w:spacing w:after="0"/>
        <w:jc w:val="both"/>
        <w:rPr>
          <w:rFonts w:ascii="Arial" w:hAnsi="Arial" w:cs="Arial"/>
          <w:sz w:val="20"/>
          <w:szCs w:val="20"/>
        </w:rPr>
      </w:pPr>
      <w:r w:rsidRPr="00B118B0">
        <w:rPr>
          <w:rFonts w:ascii="Arial" w:hAnsi="Arial" w:cs="Arial"/>
          <w:sz w:val="20"/>
          <w:szCs w:val="20"/>
        </w:rPr>
        <w:t xml:space="preserve"> </w:t>
      </w:r>
    </w:p>
    <w:p w14:paraId="70B5AFEB" w14:textId="7C44C3F2" w:rsidR="004E5C4C" w:rsidRDefault="004E5C4C" w:rsidP="004E5C4C">
      <w:pPr>
        <w:spacing w:after="0"/>
        <w:ind w:firstLine="72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17</w:t>
      </w:r>
      <w:r w:rsidRPr="004E5C4C">
        <w:rPr>
          <w:rFonts w:ascii="Arial" w:hAnsi="Arial" w:cs="Arial"/>
          <w:sz w:val="20"/>
          <w:szCs w:val="20"/>
        </w:rPr>
        <w:t xml:space="preserve"> shows no significant difference in the level of retirement preparedness among respondents when grouped by gender (F = 0.150, p = 0.861), indicating that gender does not significantly influence the preparedness of individuals for retirement. This is supported by Lusardi and Mitchell (2017), who emphasized that although gender distinctions might be present in certain financial situations, they do not inevitably result in differences in overall retirement readiness.</w:t>
      </w:r>
    </w:p>
    <w:p w14:paraId="08A0B24A" w14:textId="77777777" w:rsidR="004E5C4C" w:rsidRPr="004E5C4C" w:rsidRDefault="004E5C4C" w:rsidP="004E5C4C">
      <w:pPr>
        <w:spacing w:after="0"/>
        <w:ind w:firstLine="720"/>
        <w:jc w:val="both"/>
        <w:rPr>
          <w:rFonts w:ascii="Arial" w:hAnsi="Arial" w:cs="Arial"/>
          <w:sz w:val="20"/>
          <w:szCs w:val="20"/>
        </w:rPr>
      </w:pPr>
    </w:p>
    <w:p w14:paraId="052AC20A" w14:textId="61A1C810" w:rsidR="004E5C4C" w:rsidRDefault="004E5C4C" w:rsidP="004E5C4C">
      <w:pPr>
        <w:spacing w:after="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17</w:t>
      </w:r>
      <w:r w:rsidRPr="004E5C4C">
        <w:rPr>
          <w:rFonts w:ascii="Arial" w:hAnsi="Arial" w:cs="Arial"/>
          <w:sz w:val="20"/>
          <w:szCs w:val="20"/>
        </w:rPr>
        <w:t>. Retirement preparedness comparison among respondents in terms of their gender</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4E5C4C" w:rsidRPr="009743E9" w14:paraId="38036C7A" w14:textId="77777777" w:rsidTr="004E5C4C">
        <w:trPr>
          <w:trHeight w:val="260"/>
        </w:trPr>
        <w:tc>
          <w:tcPr>
            <w:tcW w:w="1853" w:type="dxa"/>
            <w:vAlign w:val="center"/>
          </w:tcPr>
          <w:p w14:paraId="511B9E81" w14:textId="77777777" w:rsidR="004E5C4C" w:rsidRPr="009743E9" w:rsidRDefault="004E5C4C" w:rsidP="003A197C">
            <w:pPr>
              <w:spacing w:line="360" w:lineRule="auto"/>
              <w:rPr>
                <w:rFonts w:ascii="Arial" w:hAnsi="Arial" w:cs="Arial"/>
                <w:color w:val="000000" w:themeColor="text1"/>
              </w:rPr>
            </w:pPr>
          </w:p>
        </w:tc>
        <w:tc>
          <w:tcPr>
            <w:tcW w:w="2045" w:type="dxa"/>
            <w:vAlign w:val="center"/>
          </w:tcPr>
          <w:p w14:paraId="2B9C9C0C" w14:textId="77777777" w:rsidR="004E5C4C" w:rsidRPr="009743E9" w:rsidRDefault="004E5C4C" w:rsidP="003A197C">
            <w:pPr>
              <w:autoSpaceDE w:val="0"/>
              <w:autoSpaceDN w:val="0"/>
              <w:adjustRightInd w:val="0"/>
              <w:spacing w:line="360" w:lineRule="auto"/>
              <w:ind w:left="60" w:right="60"/>
              <w:jc w:val="center"/>
              <w:rPr>
                <w:rFonts w:ascii="Arial" w:hAnsi="Arial" w:cs="Arial"/>
                <w:color w:val="000000" w:themeColor="text1"/>
              </w:rPr>
            </w:pPr>
            <w:r w:rsidRPr="009743E9">
              <w:rPr>
                <w:rFonts w:ascii="Arial" w:hAnsi="Arial" w:cs="Arial"/>
                <w:color w:val="000000" w:themeColor="text1"/>
              </w:rPr>
              <w:t>Sum of Squares</w:t>
            </w:r>
          </w:p>
        </w:tc>
        <w:tc>
          <w:tcPr>
            <w:tcW w:w="940" w:type="dxa"/>
            <w:vAlign w:val="center"/>
          </w:tcPr>
          <w:p w14:paraId="321B4264" w14:textId="77777777" w:rsidR="004E5C4C" w:rsidRPr="009743E9" w:rsidRDefault="004E5C4C" w:rsidP="003A197C">
            <w:pPr>
              <w:autoSpaceDE w:val="0"/>
              <w:autoSpaceDN w:val="0"/>
              <w:adjustRightInd w:val="0"/>
              <w:spacing w:line="360" w:lineRule="auto"/>
              <w:ind w:left="60" w:right="60"/>
              <w:jc w:val="center"/>
              <w:rPr>
                <w:rFonts w:ascii="Arial" w:hAnsi="Arial" w:cs="Arial"/>
                <w:color w:val="000000" w:themeColor="text1"/>
              </w:rPr>
            </w:pPr>
            <w:r w:rsidRPr="009743E9">
              <w:rPr>
                <w:rFonts w:ascii="Arial" w:hAnsi="Arial" w:cs="Arial"/>
                <w:color w:val="000000" w:themeColor="text1"/>
              </w:rPr>
              <w:t>df</w:t>
            </w:r>
          </w:p>
        </w:tc>
        <w:tc>
          <w:tcPr>
            <w:tcW w:w="1712" w:type="dxa"/>
            <w:vAlign w:val="center"/>
          </w:tcPr>
          <w:p w14:paraId="5ACEBB7C" w14:textId="77777777" w:rsidR="004E5C4C" w:rsidRPr="009743E9" w:rsidRDefault="004E5C4C" w:rsidP="003A197C">
            <w:pPr>
              <w:autoSpaceDE w:val="0"/>
              <w:autoSpaceDN w:val="0"/>
              <w:adjustRightInd w:val="0"/>
              <w:spacing w:line="360" w:lineRule="auto"/>
              <w:ind w:left="60" w:right="60"/>
              <w:jc w:val="center"/>
              <w:rPr>
                <w:rFonts w:ascii="Arial" w:hAnsi="Arial" w:cs="Arial"/>
                <w:color w:val="000000" w:themeColor="text1"/>
              </w:rPr>
            </w:pPr>
            <w:r w:rsidRPr="009743E9">
              <w:rPr>
                <w:rFonts w:ascii="Arial" w:hAnsi="Arial" w:cs="Arial"/>
                <w:color w:val="000000" w:themeColor="text1"/>
              </w:rPr>
              <w:t>Mean Square</w:t>
            </w:r>
          </w:p>
        </w:tc>
        <w:tc>
          <w:tcPr>
            <w:tcW w:w="835" w:type="dxa"/>
            <w:vAlign w:val="center"/>
          </w:tcPr>
          <w:p w14:paraId="47FB76FD" w14:textId="77777777" w:rsidR="004E5C4C" w:rsidRPr="009743E9" w:rsidRDefault="004E5C4C" w:rsidP="003A197C">
            <w:pPr>
              <w:autoSpaceDE w:val="0"/>
              <w:autoSpaceDN w:val="0"/>
              <w:adjustRightInd w:val="0"/>
              <w:spacing w:line="360" w:lineRule="auto"/>
              <w:ind w:left="60" w:right="60"/>
              <w:jc w:val="center"/>
              <w:rPr>
                <w:rFonts w:ascii="Arial" w:hAnsi="Arial" w:cs="Arial"/>
                <w:color w:val="000000" w:themeColor="text1"/>
              </w:rPr>
            </w:pPr>
            <w:r w:rsidRPr="009743E9">
              <w:rPr>
                <w:rFonts w:ascii="Arial" w:hAnsi="Arial" w:cs="Arial"/>
                <w:color w:val="000000" w:themeColor="text1"/>
              </w:rPr>
              <w:t>F</w:t>
            </w:r>
          </w:p>
        </w:tc>
        <w:tc>
          <w:tcPr>
            <w:tcW w:w="810" w:type="dxa"/>
            <w:vAlign w:val="center"/>
          </w:tcPr>
          <w:p w14:paraId="151093D1" w14:textId="77777777" w:rsidR="004E5C4C" w:rsidRPr="009743E9" w:rsidRDefault="004E5C4C" w:rsidP="003A197C">
            <w:pPr>
              <w:autoSpaceDE w:val="0"/>
              <w:autoSpaceDN w:val="0"/>
              <w:adjustRightInd w:val="0"/>
              <w:spacing w:line="360" w:lineRule="auto"/>
              <w:ind w:left="60" w:right="60"/>
              <w:jc w:val="center"/>
              <w:rPr>
                <w:rFonts w:ascii="Arial" w:eastAsia="Times New Roman" w:hAnsi="Arial" w:cs="Arial"/>
                <w:color w:val="000000" w:themeColor="text1"/>
                <w:lang w:eastAsia="en-PH"/>
              </w:rPr>
            </w:pPr>
            <w:r w:rsidRPr="009743E9">
              <w:rPr>
                <w:rFonts w:ascii="Arial" w:hAnsi="Arial" w:cs="Arial"/>
                <w:color w:val="000000" w:themeColor="text1"/>
              </w:rPr>
              <w:t>Sig.</w:t>
            </w:r>
          </w:p>
        </w:tc>
      </w:tr>
      <w:tr w:rsidR="004E5C4C" w:rsidRPr="009743E9" w14:paraId="0B7D3685" w14:textId="77777777" w:rsidTr="004E5C4C">
        <w:trPr>
          <w:trHeight w:val="260"/>
        </w:trPr>
        <w:tc>
          <w:tcPr>
            <w:tcW w:w="1853" w:type="dxa"/>
          </w:tcPr>
          <w:p w14:paraId="76655CF5" w14:textId="77777777" w:rsidR="004E5C4C" w:rsidRPr="009743E9" w:rsidRDefault="004E5C4C" w:rsidP="003A197C">
            <w:pPr>
              <w:autoSpaceDE w:val="0"/>
              <w:autoSpaceDN w:val="0"/>
              <w:adjustRightInd w:val="0"/>
              <w:spacing w:line="360" w:lineRule="auto"/>
              <w:ind w:left="60" w:right="60"/>
              <w:rPr>
                <w:rFonts w:ascii="Arial" w:hAnsi="Arial" w:cs="Arial"/>
                <w:color w:val="000000" w:themeColor="text1"/>
              </w:rPr>
            </w:pPr>
            <w:r w:rsidRPr="009743E9">
              <w:rPr>
                <w:rFonts w:ascii="Arial" w:hAnsi="Arial" w:cs="Arial"/>
                <w:color w:val="000000" w:themeColor="text1"/>
              </w:rPr>
              <w:lastRenderedPageBreak/>
              <w:t>Between Groups</w:t>
            </w:r>
          </w:p>
        </w:tc>
        <w:tc>
          <w:tcPr>
            <w:tcW w:w="2045" w:type="dxa"/>
            <w:vAlign w:val="center"/>
          </w:tcPr>
          <w:p w14:paraId="29AC1EA3"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.023</w:t>
            </w:r>
          </w:p>
        </w:tc>
        <w:tc>
          <w:tcPr>
            <w:tcW w:w="940" w:type="dxa"/>
            <w:vAlign w:val="center"/>
          </w:tcPr>
          <w:p w14:paraId="4B2021F7"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2</w:t>
            </w:r>
          </w:p>
        </w:tc>
        <w:tc>
          <w:tcPr>
            <w:tcW w:w="1712" w:type="dxa"/>
            <w:vAlign w:val="center"/>
          </w:tcPr>
          <w:p w14:paraId="2AC3D6E6"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.011</w:t>
            </w:r>
          </w:p>
        </w:tc>
        <w:tc>
          <w:tcPr>
            <w:tcW w:w="835" w:type="dxa"/>
            <w:vAlign w:val="center"/>
          </w:tcPr>
          <w:p w14:paraId="36180B0C"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.150</w:t>
            </w:r>
          </w:p>
        </w:tc>
        <w:tc>
          <w:tcPr>
            <w:tcW w:w="810" w:type="dxa"/>
            <w:vAlign w:val="center"/>
          </w:tcPr>
          <w:p w14:paraId="536CAEDD" w14:textId="77777777" w:rsidR="004E5C4C" w:rsidRPr="009743E9" w:rsidRDefault="004E5C4C" w:rsidP="003A197C">
            <w:pPr>
              <w:autoSpaceDE w:val="0"/>
              <w:autoSpaceDN w:val="0"/>
              <w:adjustRightInd w:val="0"/>
              <w:spacing w:line="320" w:lineRule="atLeast"/>
              <w:ind w:left="60" w:right="60"/>
              <w:jc w:val="center"/>
              <w:rPr>
                <w:rFonts w:ascii="Arial" w:eastAsia="Times New Roman" w:hAnsi="Arial" w:cs="Arial"/>
                <w:color w:val="000000" w:themeColor="text1"/>
                <w:lang w:eastAsia="en-PH"/>
              </w:rPr>
            </w:pPr>
            <w:r w:rsidRPr="009743E9">
              <w:rPr>
                <w:rFonts w:ascii="Arial" w:hAnsi="Arial" w:cs="Arial"/>
                <w:color w:val="000000" w:themeColor="text1"/>
              </w:rPr>
              <w:t>.861</w:t>
            </w:r>
          </w:p>
        </w:tc>
      </w:tr>
      <w:tr w:rsidR="004E5C4C" w:rsidRPr="009743E9" w14:paraId="734C7D6A" w14:textId="77777777" w:rsidTr="004E5C4C">
        <w:tc>
          <w:tcPr>
            <w:tcW w:w="1853" w:type="dxa"/>
          </w:tcPr>
          <w:p w14:paraId="5DA144D0" w14:textId="77777777" w:rsidR="004E5C4C" w:rsidRPr="009743E9" w:rsidRDefault="004E5C4C" w:rsidP="003A197C">
            <w:pPr>
              <w:autoSpaceDE w:val="0"/>
              <w:autoSpaceDN w:val="0"/>
              <w:adjustRightInd w:val="0"/>
              <w:spacing w:line="360" w:lineRule="auto"/>
              <w:ind w:left="60" w:right="60"/>
              <w:rPr>
                <w:rFonts w:ascii="Arial" w:hAnsi="Arial" w:cs="Arial"/>
                <w:color w:val="000000" w:themeColor="text1"/>
              </w:rPr>
            </w:pPr>
            <w:r w:rsidRPr="009743E9">
              <w:rPr>
                <w:rFonts w:ascii="Arial" w:hAnsi="Arial" w:cs="Arial"/>
                <w:color w:val="000000" w:themeColor="text1"/>
              </w:rPr>
              <w:t>Within Groups</w:t>
            </w:r>
          </w:p>
        </w:tc>
        <w:tc>
          <w:tcPr>
            <w:tcW w:w="2045" w:type="dxa"/>
            <w:vAlign w:val="center"/>
          </w:tcPr>
          <w:p w14:paraId="0ED9B7C2"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5.329</w:t>
            </w:r>
          </w:p>
        </w:tc>
        <w:tc>
          <w:tcPr>
            <w:tcW w:w="940" w:type="dxa"/>
            <w:vAlign w:val="center"/>
          </w:tcPr>
          <w:p w14:paraId="516B38EF"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70</w:t>
            </w:r>
          </w:p>
        </w:tc>
        <w:tc>
          <w:tcPr>
            <w:tcW w:w="1712" w:type="dxa"/>
            <w:vAlign w:val="center"/>
          </w:tcPr>
          <w:p w14:paraId="19741027"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.076</w:t>
            </w:r>
          </w:p>
        </w:tc>
        <w:tc>
          <w:tcPr>
            <w:tcW w:w="835" w:type="dxa"/>
            <w:vAlign w:val="center"/>
          </w:tcPr>
          <w:p w14:paraId="149C6E27"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503A9AAB" w14:textId="77777777" w:rsidR="004E5C4C" w:rsidRPr="009743E9" w:rsidRDefault="004E5C4C" w:rsidP="003A197C">
            <w:pPr>
              <w:autoSpaceDE w:val="0"/>
              <w:autoSpaceDN w:val="0"/>
              <w:adjustRightInd w:val="0"/>
              <w:jc w:val="center"/>
              <w:rPr>
                <w:rFonts w:ascii="Arial" w:eastAsia="Times New Roman" w:hAnsi="Arial" w:cs="Arial"/>
                <w:color w:val="000000" w:themeColor="text1"/>
                <w:lang w:eastAsia="en-PH"/>
              </w:rPr>
            </w:pPr>
          </w:p>
        </w:tc>
      </w:tr>
      <w:tr w:rsidR="004E5C4C" w:rsidRPr="009743E9" w14:paraId="4745ED63" w14:textId="77777777" w:rsidTr="004E5C4C">
        <w:trPr>
          <w:trHeight w:val="70"/>
        </w:trPr>
        <w:tc>
          <w:tcPr>
            <w:tcW w:w="1853" w:type="dxa"/>
          </w:tcPr>
          <w:p w14:paraId="58744FE8" w14:textId="77777777" w:rsidR="004E5C4C" w:rsidRPr="009743E9" w:rsidRDefault="004E5C4C" w:rsidP="003A197C">
            <w:pPr>
              <w:autoSpaceDE w:val="0"/>
              <w:autoSpaceDN w:val="0"/>
              <w:adjustRightInd w:val="0"/>
              <w:spacing w:line="360" w:lineRule="auto"/>
              <w:ind w:left="60" w:right="60"/>
              <w:rPr>
                <w:rFonts w:ascii="Arial" w:hAnsi="Arial" w:cs="Arial"/>
                <w:color w:val="000000" w:themeColor="text1"/>
              </w:rPr>
            </w:pPr>
            <w:r w:rsidRPr="009743E9">
              <w:rPr>
                <w:rFonts w:ascii="Arial" w:hAnsi="Arial" w:cs="Arial"/>
                <w:color w:val="000000" w:themeColor="text1"/>
              </w:rPr>
              <w:t>Total</w:t>
            </w:r>
          </w:p>
        </w:tc>
        <w:tc>
          <w:tcPr>
            <w:tcW w:w="2045" w:type="dxa"/>
            <w:vAlign w:val="center"/>
          </w:tcPr>
          <w:p w14:paraId="012A4FA0"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5.352</w:t>
            </w:r>
          </w:p>
        </w:tc>
        <w:tc>
          <w:tcPr>
            <w:tcW w:w="940" w:type="dxa"/>
            <w:vAlign w:val="center"/>
          </w:tcPr>
          <w:p w14:paraId="4F3D6685" w14:textId="77777777" w:rsidR="004E5C4C" w:rsidRPr="009743E9" w:rsidRDefault="004E5C4C" w:rsidP="003A197C">
            <w:pPr>
              <w:autoSpaceDE w:val="0"/>
              <w:autoSpaceDN w:val="0"/>
              <w:adjustRightInd w:val="0"/>
              <w:spacing w:line="320" w:lineRule="atLeast"/>
              <w:ind w:left="60" w:right="60"/>
              <w:jc w:val="center"/>
              <w:rPr>
                <w:rFonts w:ascii="Arial" w:hAnsi="Arial" w:cs="Arial"/>
                <w:color w:val="000000" w:themeColor="text1"/>
              </w:rPr>
            </w:pPr>
            <w:r w:rsidRPr="009743E9">
              <w:rPr>
                <w:rFonts w:ascii="Arial" w:hAnsi="Arial" w:cs="Arial"/>
                <w:color w:val="000000" w:themeColor="text1"/>
              </w:rPr>
              <w:t>72</w:t>
            </w:r>
          </w:p>
        </w:tc>
        <w:tc>
          <w:tcPr>
            <w:tcW w:w="1712" w:type="dxa"/>
            <w:vAlign w:val="center"/>
          </w:tcPr>
          <w:p w14:paraId="0192DB68"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835" w:type="dxa"/>
            <w:vAlign w:val="center"/>
          </w:tcPr>
          <w:p w14:paraId="79F7D09C" w14:textId="77777777" w:rsidR="004E5C4C" w:rsidRPr="009743E9"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330AFAD8" w14:textId="77777777" w:rsidR="004E5C4C" w:rsidRPr="009743E9" w:rsidRDefault="004E5C4C" w:rsidP="003A197C">
            <w:pPr>
              <w:autoSpaceDE w:val="0"/>
              <w:autoSpaceDN w:val="0"/>
              <w:adjustRightInd w:val="0"/>
              <w:jc w:val="center"/>
              <w:rPr>
                <w:rFonts w:ascii="Arial" w:eastAsia="Times New Roman" w:hAnsi="Arial" w:cs="Arial"/>
                <w:color w:val="000000" w:themeColor="text1"/>
                <w:lang w:eastAsia="en-PH"/>
              </w:rPr>
            </w:pPr>
          </w:p>
        </w:tc>
      </w:tr>
    </w:tbl>
    <w:p w14:paraId="36A9E816" w14:textId="77777777" w:rsidR="004E5C4C" w:rsidRPr="004E5C4C" w:rsidRDefault="004E5C4C" w:rsidP="004E5C4C">
      <w:pPr>
        <w:spacing w:after="0"/>
        <w:jc w:val="both"/>
        <w:rPr>
          <w:rFonts w:ascii="Arial" w:hAnsi="Arial" w:cs="Arial"/>
          <w:sz w:val="20"/>
          <w:szCs w:val="20"/>
        </w:rPr>
      </w:pPr>
    </w:p>
    <w:p w14:paraId="2C92C749" w14:textId="2A2D1E5F" w:rsidR="004E5C4C" w:rsidRDefault="004E5C4C" w:rsidP="004E5C4C">
      <w:pPr>
        <w:spacing w:after="0"/>
        <w:ind w:firstLine="72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18</w:t>
      </w:r>
      <w:r w:rsidRPr="004E5C4C">
        <w:rPr>
          <w:rFonts w:ascii="Arial" w:hAnsi="Arial" w:cs="Arial"/>
          <w:sz w:val="20"/>
          <w:szCs w:val="20"/>
        </w:rPr>
        <w:t xml:space="preserve"> shows no significant difference in the level of retirement preparedness among respondents when grouped by marital status (F = 0.250, p = 0.861), indicating that marital status does not significantly affect retirement readiness. This is supported by Lusardi and Mitchell (2017), who argue that financial literacy and planning habits have a stronger influence on retirement preparedness than demographic factors such as marital status.</w:t>
      </w:r>
    </w:p>
    <w:p w14:paraId="03E7DB9C" w14:textId="600B4CEB" w:rsidR="004E5C4C" w:rsidRPr="004E5C4C" w:rsidRDefault="004E5C4C" w:rsidP="004E5C4C">
      <w:pPr>
        <w:spacing w:after="0"/>
        <w:ind w:firstLine="720"/>
        <w:jc w:val="both"/>
        <w:rPr>
          <w:rFonts w:ascii="Arial" w:hAnsi="Arial" w:cs="Arial"/>
          <w:sz w:val="20"/>
          <w:szCs w:val="20"/>
        </w:rPr>
      </w:pPr>
      <w:r w:rsidRPr="004E5C4C">
        <w:rPr>
          <w:rFonts w:ascii="Arial" w:hAnsi="Arial" w:cs="Arial"/>
          <w:sz w:val="20"/>
          <w:szCs w:val="20"/>
        </w:rPr>
        <w:t xml:space="preserve"> </w:t>
      </w:r>
    </w:p>
    <w:p w14:paraId="70E0ABD6" w14:textId="658765DA" w:rsidR="004E5C4C" w:rsidRDefault="004E5C4C" w:rsidP="004E5C4C">
      <w:pPr>
        <w:spacing w:after="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18</w:t>
      </w:r>
      <w:r w:rsidRPr="004E5C4C">
        <w:rPr>
          <w:rFonts w:ascii="Arial" w:hAnsi="Arial" w:cs="Arial"/>
          <w:sz w:val="20"/>
          <w:szCs w:val="20"/>
        </w:rPr>
        <w:t>. Retirement preparedness comparison among respondents in terms of their marital status</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4E5C4C" w:rsidRPr="00457B9F" w14:paraId="26A40BC0" w14:textId="77777777" w:rsidTr="004E5C4C">
        <w:trPr>
          <w:trHeight w:val="287"/>
        </w:trPr>
        <w:tc>
          <w:tcPr>
            <w:tcW w:w="1853" w:type="dxa"/>
            <w:vAlign w:val="center"/>
          </w:tcPr>
          <w:p w14:paraId="3FFDB14F" w14:textId="77777777" w:rsidR="004E5C4C" w:rsidRPr="00457B9F" w:rsidRDefault="004E5C4C" w:rsidP="003A197C">
            <w:pPr>
              <w:rPr>
                <w:rFonts w:ascii="Arial" w:hAnsi="Arial" w:cs="Arial"/>
                <w:color w:val="000000" w:themeColor="text1"/>
              </w:rPr>
            </w:pPr>
          </w:p>
        </w:tc>
        <w:tc>
          <w:tcPr>
            <w:tcW w:w="2045" w:type="dxa"/>
            <w:vAlign w:val="center"/>
          </w:tcPr>
          <w:p w14:paraId="0287E856"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Sum of Squares</w:t>
            </w:r>
          </w:p>
        </w:tc>
        <w:tc>
          <w:tcPr>
            <w:tcW w:w="940" w:type="dxa"/>
            <w:vAlign w:val="center"/>
          </w:tcPr>
          <w:p w14:paraId="32E8ED68"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df</w:t>
            </w:r>
          </w:p>
        </w:tc>
        <w:tc>
          <w:tcPr>
            <w:tcW w:w="1712" w:type="dxa"/>
            <w:vAlign w:val="center"/>
          </w:tcPr>
          <w:p w14:paraId="2CE8712C"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Mean Square</w:t>
            </w:r>
          </w:p>
        </w:tc>
        <w:tc>
          <w:tcPr>
            <w:tcW w:w="835" w:type="dxa"/>
            <w:vAlign w:val="center"/>
          </w:tcPr>
          <w:p w14:paraId="6C4A6CEA"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F</w:t>
            </w:r>
          </w:p>
        </w:tc>
        <w:tc>
          <w:tcPr>
            <w:tcW w:w="810" w:type="dxa"/>
            <w:vAlign w:val="center"/>
          </w:tcPr>
          <w:p w14:paraId="7E41353B" w14:textId="77777777" w:rsidR="004E5C4C" w:rsidRPr="00457B9F"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457B9F">
              <w:rPr>
                <w:rFonts w:ascii="Arial" w:hAnsi="Arial" w:cs="Arial"/>
                <w:color w:val="000000" w:themeColor="text1"/>
              </w:rPr>
              <w:t>Sig.</w:t>
            </w:r>
          </w:p>
        </w:tc>
      </w:tr>
      <w:tr w:rsidR="004E5C4C" w:rsidRPr="00457B9F" w14:paraId="0BDE738D" w14:textId="77777777" w:rsidTr="004E5C4C">
        <w:trPr>
          <w:trHeight w:val="170"/>
        </w:trPr>
        <w:tc>
          <w:tcPr>
            <w:tcW w:w="1853" w:type="dxa"/>
          </w:tcPr>
          <w:p w14:paraId="7E638D34"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Between Groups</w:t>
            </w:r>
          </w:p>
        </w:tc>
        <w:tc>
          <w:tcPr>
            <w:tcW w:w="2045" w:type="dxa"/>
            <w:vAlign w:val="center"/>
          </w:tcPr>
          <w:p w14:paraId="4C2CF688"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.058</w:t>
            </w:r>
          </w:p>
        </w:tc>
        <w:tc>
          <w:tcPr>
            <w:tcW w:w="940" w:type="dxa"/>
            <w:vAlign w:val="center"/>
          </w:tcPr>
          <w:p w14:paraId="73FA95F2"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3</w:t>
            </w:r>
          </w:p>
        </w:tc>
        <w:tc>
          <w:tcPr>
            <w:tcW w:w="1712" w:type="dxa"/>
            <w:vAlign w:val="center"/>
          </w:tcPr>
          <w:p w14:paraId="6F575D3F"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.019</w:t>
            </w:r>
          </w:p>
        </w:tc>
        <w:tc>
          <w:tcPr>
            <w:tcW w:w="835" w:type="dxa"/>
            <w:vAlign w:val="center"/>
          </w:tcPr>
          <w:p w14:paraId="05A12F4E"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.250</w:t>
            </w:r>
          </w:p>
        </w:tc>
        <w:tc>
          <w:tcPr>
            <w:tcW w:w="810" w:type="dxa"/>
            <w:vAlign w:val="center"/>
          </w:tcPr>
          <w:p w14:paraId="13A068BA" w14:textId="77777777" w:rsidR="004E5C4C" w:rsidRPr="00457B9F"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457B9F">
              <w:rPr>
                <w:rFonts w:ascii="Arial" w:hAnsi="Arial" w:cs="Arial"/>
                <w:color w:val="000000" w:themeColor="text1"/>
              </w:rPr>
              <w:t>.861</w:t>
            </w:r>
          </w:p>
        </w:tc>
      </w:tr>
      <w:tr w:rsidR="004E5C4C" w:rsidRPr="00457B9F" w14:paraId="444C3B3F" w14:textId="77777777" w:rsidTr="004E5C4C">
        <w:trPr>
          <w:trHeight w:val="107"/>
        </w:trPr>
        <w:tc>
          <w:tcPr>
            <w:tcW w:w="1853" w:type="dxa"/>
          </w:tcPr>
          <w:p w14:paraId="7003A2BD"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Within Groups</w:t>
            </w:r>
          </w:p>
        </w:tc>
        <w:tc>
          <w:tcPr>
            <w:tcW w:w="2045" w:type="dxa"/>
            <w:vAlign w:val="center"/>
          </w:tcPr>
          <w:p w14:paraId="5687278B"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5.294</w:t>
            </w:r>
          </w:p>
        </w:tc>
        <w:tc>
          <w:tcPr>
            <w:tcW w:w="940" w:type="dxa"/>
            <w:vAlign w:val="center"/>
          </w:tcPr>
          <w:p w14:paraId="1A04D524"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69</w:t>
            </w:r>
          </w:p>
        </w:tc>
        <w:tc>
          <w:tcPr>
            <w:tcW w:w="1712" w:type="dxa"/>
            <w:vAlign w:val="center"/>
          </w:tcPr>
          <w:p w14:paraId="46719128"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.077</w:t>
            </w:r>
          </w:p>
        </w:tc>
        <w:tc>
          <w:tcPr>
            <w:tcW w:w="835" w:type="dxa"/>
            <w:vAlign w:val="center"/>
          </w:tcPr>
          <w:p w14:paraId="0DDA8586"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13411EEE" w14:textId="77777777" w:rsidR="004E5C4C" w:rsidRPr="00457B9F" w:rsidRDefault="004E5C4C" w:rsidP="003A197C">
            <w:pPr>
              <w:autoSpaceDE w:val="0"/>
              <w:autoSpaceDN w:val="0"/>
              <w:adjustRightInd w:val="0"/>
              <w:jc w:val="center"/>
              <w:rPr>
                <w:rFonts w:ascii="Arial" w:eastAsia="Times New Roman" w:hAnsi="Arial" w:cs="Arial"/>
                <w:color w:val="000000" w:themeColor="text1"/>
                <w:lang w:eastAsia="en-PH"/>
              </w:rPr>
            </w:pPr>
          </w:p>
        </w:tc>
      </w:tr>
      <w:tr w:rsidR="004E5C4C" w:rsidRPr="00457B9F" w14:paraId="63C7B133" w14:textId="77777777" w:rsidTr="004E5C4C">
        <w:trPr>
          <w:trHeight w:val="301"/>
        </w:trPr>
        <w:tc>
          <w:tcPr>
            <w:tcW w:w="1853" w:type="dxa"/>
          </w:tcPr>
          <w:p w14:paraId="3B89AEDD"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Total</w:t>
            </w:r>
          </w:p>
        </w:tc>
        <w:tc>
          <w:tcPr>
            <w:tcW w:w="2045" w:type="dxa"/>
            <w:vAlign w:val="center"/>
          </w:tcPr>
          <w:p w14:paraId="2C0618FF"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5.352</w:t>
            </w:r>
          </w:p>
        </w:tc>
        <w:tc>
          <w:tcPr>
            <w:tcW w:w="940" w:type="dxa"/>
            <w:vAlign w:val="center"/>
          </w:tcPr>
          <w:p w14:paraId="00F9B7C5"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72</w:t>
            </w:r>
          </w:p>
        </w:tc>
        <w:tc>
          <w:tcPr>
            <w:tcW w:w="1712" w:type="dxa"/>
            <w:vAlign w:val="center"/>
          </w:tcPr>
          <w:p w14:paraId="070BBED6"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835" w:type="dxa"/>
            <w:vAlign w:val="center"/>
          </w:tcPr>
          <w:p w14:paraId="68A4C90B"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14C1A445" w14:textId="77777777" w:rsidR="004E5C4C" w:rsidRPr="00457B9F" w:rsidRDefault="004E5C4C" w:rsidP="003A197C">
            <w:pPr>
              <w:autoSpaceDE w:val="0"/>
              <w:autoSpaceDN w:val="0"/>
              <w:adjustRightInd w:val="0"/>
              <w:jc w:val="center"/>
              <w:rPr>
                <w:rFonts w:ascii="Arial" w:eastAsia="Times New Roman" w:hAnsi="Arial" w:cs="Arial"/>
                <w:color w:val="000000" w:themeColor="text1"/>
                <w:lang w:eastAsia="en-PH"/>
              </w:rPr>
            </w:pPr>
          </w:p>
        </w:tc>
      </w:tr>
    </w:tbl>
    <w:p w14:paraId="5FD1B7A7" w14:textId="77777777" w:rsidR="004E5C4C" w:rsidRPr="004E5C4C" w:rsidRDefault="004E5C4C" w:rsidP="004E5C4C">
      <w:pPr>
        <w:spacing w:after="0"/>
        <w:jc w:val="both"/>
        <w:rPr>
          <w:rFonts w:ascii="Arial" w:hAnsi="Arial" w:cs="Arial"/>
          <w:sz w:val="20"/>
          <w:szCs w:val="20"/>
        </w:rPr>
      </w:pPr>
    </w:p>
    <w:p w14:paraId="5B278BF5" w14:textId="71885E31" w:rsidR="004E5C4C" w:rsidRDefault="004E5C4C" w:rsidP="004E5C4C">
      <w:pPr>
        <w:spacing w:after="0"/>
        <w:ind w:firstLine="72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19</w:t>
      </w:r>
      <w:r w:rsidRPr="004E5C4C">
        <w:rPr>
          <w:rFonts w:ascii="Arial" w:hAnsi="Arial" w:cs="Arial"/>
          <w:sz w:val="20"/>
          <w:szCs w:val="20"/>
        </w:rPr>
        <w:t xml:space="preserve"> shows no significant difference in the level of retirement preparedness among respondents when grouped by salary (F = 2.309, p = 0.084), indicating that income level does not significantly affect retirement readiness. This is supported by Lusardi and Mitchell (2017), who argue that while income may influence financial behavior, retirement preparedness is more closely tied to financial literacy and planning habits.</w:t>
      </w:r>
    </w:p>
    <w:p w14:paraId="0D1009E5" w14:textId="77777777" w:rsidR="004E5C4C" w:rsidRPr="004E5C4C" w:rsidRDefault="004E5C4C" w:rsidP="004E5C4C">
      <w:pPr>
        <w:spacing w:after="0"/>
        <w:ind w:firstLine="720"/>
        <w:jc w:val="both"/>
        <w:rPr>
          <w:rFonts w:ascii="Arial" w:hAnsi="Arial" w:cs="Arial"/>
          <w:sz w:val="20"/>
          <w:szCs w:val="20"/>
        </w:rPr>
      </w:pPr>
    </w:p>
    <w:p w14:paraId="294B1A95" w14:textId="25C066BA" w:rsidR="004E5C4C" w:rsidRDefault="004E5C4C" w:rsidP="004E5C4C">
      <w:pPr>
        <w:spacing w:after="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19</w:t>
      </w:r>
      <w:r w:rsidRPr="004E5C4C">
        <w:rPr>
          <w:rFonts w:ascii="Arial" w:hAnsi="Arial" w:cs="Arial"/>
          <w:sz w:val="20"/>
          <w:szCs w:val="20"/>
        </w:rPr>
        <w:t>. Retirement preparedness comparison among respondents in terms of their salary</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2070"/>
        <w:gridCol w:w="720"/>
        <w:gridCol w:w="1710"/>
        <w:gridCol w:w="900"/>
        <w:gridCol w:w="810"/>
      </w:tblGrid>
      <w:tr w:rsidR="004E5C4C" w:rsidRPr="00457B9F" w14:paraId="4372544C" w14:textId="77777777" w:rsidTr="004E5C4C">
        <w:trPr>
          <w:trHeight w:val="260"/>
        </w:trPr>
        <w:tc>
          <w:tcPr>
            <w:tcW w:w="1980" w:type="dxa"/>
            <w:vAlign w:val="center"/>
          </w:tcPr>
          <w:p w14:paraId="17C2C07D" w14:textId="77777777" w:rsidR="004E5C4C" w:rsidRPr="00457B9F" w:rsidRDefault="004E5C4C" w:rsidP="003A197C">
            <w:pPr>
              <w:rPr>
                <w:rFonts w:ascii="Arial" w:hAnsi="Arial" w:cs="Arial"/>
                <w:color w:val="000000" w:themeColor="text1"/>
              </w:rPr>
            </w:pPr>
          </w:p>
        </w:tc>
        <w:tc>
          <w:tcPr>
            <w:tcW w:w="2070" w:type="dxa"/>
            <w:vAlign w:val="center"/>
          </w:tcPr>
          <w:p w14:paraId="255F285E"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Sum of Squares</w:t>
            </w:r>
          </w:p>
        </w:tc>
        <w:tc>
          <w:tcPr>
            <w:tcW w:w="720" w:type="dxa"/>
            <w:vAlign w:val="center"/>
          </w:tcPr>
          <w:p w14:paraId="4E9C7763"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df</w:t>
            </w:r>
          </w:p>
        </w:tc>
        <w:tc>
          <w:tcPr>
            <w:tcW w:w="1710" w:type="dxa"/>
            <w:vAlign w:val="center"/>
          </w:tcPr>
          <w:p w14:paraId="639CF79D"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Mean Square</w:t>
            </w:r>
          </w:p>
        </w:tc>
        <w:tc>
          <w:tcPr>
            <w:tcW w:w="900" w:type="dxa"/>
            <w:vAlign w:val="center"/>
          </w:tcPr>
          <w:p w14:paraId="17D43C65"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F</w:t>
            </w:r>
          </w:p>
        </w:tc>
        <w:tc>
          <w:tcPr>
            <w:tcW w:w="810" w:type="dxa"/>
            <w:vAlign w:val="center"/>
          </w:tcPr>
          <w:p w14:paraId="441DB9EB" w14:textId="77777777" w:rsidR="004E5C4C" w:rsidRPr="00457B9F"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457B9F">
              <w:rPr>
                <w:rFonts w:ascii="Arial" w:hAnsi="Arial" w:cs="Arial"/>
                <w:color w:val="000000" w:themeColor="text1"/>
              </w:rPr>
              <w:t>Sig.</w:t>
            </w:r>
          </w:p>
        </w:tc>
      </w:tr>
      <w:tr w:rsidR="004E5C4C" w:rsidRPr="00457B9F" w14:paraId="06835720" w14:textId="77777777" w:rsidTr="004E5C4C">
        <w:trPr>
          <w:trHeight w:val="170"/>
        </w:trPr>
        <w:tc>
          <w:tcPr>
            <w:tcW w:w="1980" w:type="dxa"/>
          </w:tcPr>
          <w:p w14:paraId="1418BEFB"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Between Groups</w:t>
            </w:r>
          </w:p>
        </w:tc>
        <w:tc>
          <w:tcPr>
            <w:tcW w:w="2070" w:type="dxa"/>
            <w:vAlign w:val="center"/>
          </w:tcPr>
          <w:p w14:paraId="14634EB8"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.488</w:t>
            </w:r>
          </w:p>
        </w:tc>
        <w:tc>
          <w:tcPr>
            <w:tcW w:w="720" w:type="dxa"/>
            <w:vAlign w:val="center"/>
          </w:tcPr>
          <w:p w14:paraId="40CFB0C6"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3</w:t>
            </w:r>
          </w:p>
        </w:tc>
        <w:tc>
          <w:tcPr>
            <w:tcW w:w="1710" w:type="dxa"/>
            <w:vAlign w:val="center"/>
          </w:tcPr>
          <w:p w14:paraId="7ABD8427"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.163</w:t>
            </w:r>
          </w:p>
        </w:tc>
        <w:tc>
          <w:tcPr>
            <w:tcW w:w="900" w:type="dxa"/>
            <w:vAlign w:val="center"/>
          </w:tcPr>
          <w:p w14:paraId="5383BF68"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2.309</w:t>
            </w:r>
          </w:p>
        </w:tc>
        <w:tc>
          <w:tcPr>
            <w:tcW w:w="810" w:type="dxa"/>
            <w:vAlign w:val="center"/>
          </w:tcPr>
          <w:p w14:paraId="0052E0B6" w14:textId="77777777" w:rsidR="004E5C4C" w:rsidRPr="00457B9F" w:rsidRDefault="004E5C4C" w:rsidP="003A197C">
            <w:pPr>
              <w:autoSpaceDE w:val="0"/>
              <w:autoSpaceDN w:val="0"/>
              <w:adjustRightInd w:val="0"/>
              <w:ind w:left="60" w:right="60"/>
              <w:jc w:val="center"/>
              <w:rPr>
                <w:rFonts w:ascii="Arial" w:eastAsia="Times New Roman" w:hAnsi="Arial" w:cs="Arial"/>
                <w:color w:val="000000" w:themeColor="text1"/>
                <w:lang w:eastAsia="en-PH"/>
              </w:rPr>
            </w:pPr>
            <w:r w:rsidRPr="00457B9F">
              <w:rPr>
                <w:rFonts w:ascii="Arial" w:hAnsi="Arial" w:cs="Arial"/>
                <w:color w:val="000000" w:themeColor="text1"/>
              </w:rPr>
              <w:t>.084</w:t>
            </w:r>
          </w:p>
        </w:tc>
      </w:tr>
      <w:tr w:rsidR="004E5C4C" w:rsidRPr="00457B9F" w14:paraId="0AFD5B80" w14:textId="77777777" w:rsidTr="004E5C4C">
        <w:trPr>
          <w:trHeight w:val="197"/>
        </w:trPr>
        <w:tc>
          <w:tcPr>
            <w:tcW w:w="1980" w:type="dxa"/>
          </w:tcPr>
          <w:p w14:paraId="77B21228"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Within Groups</w:t>
            </w:r>
          </w:p>
        </w:tc>
        <w:tc>
          <w:tcPr>
            <w:tcW w:w="2070" w:type="dxa"/>
            <w:vAlign w:val="center"/>
          </w:tcPr>
          <w:p w14:paraId="056F8534"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4.864</w:t>
            </w:r>
          </w:p>
        </w:tc>
        <w:tc>
          <w:tcPr>
            <w:tcW w:w="720" w:type="dxa"/>
            <w:vAlign w:val="center"/>
          </w:tcPr>
          <w:p w14:paraId="2255C22E"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69</w:t>
            </w:r>
          </w:p>
        </w:tc>
        <w:tc>
          <w:tcPr>
            <w:tcW w:w="1710" w:type="dxa"/>
            <w:vAlign w:val="center"/>
          </w:tcPr>
          <w:p w14:paraId="4F073195"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.070</w:t>
            </w:r>
          </w:p>
        </w:tc>
        <w:tc>
          <w:tcPr>
            <w:tcW w:w="900" w:type="dxa"/>
            <w:vAlign w:val="center"/>
          </w:tcPr>
          <w:p w14:paraId="6205F6EC"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19DE94C0" w14:textId="77777777" w:rsidR="004E5C4C" w:rsidRPr="00457B9F" w:rsidRDefault="004E5C4C" w:rsidP="003A197C">
            <w:pPr>
              <w:autoSpaceDE w:val="0"/>
              <w:autoSpaceDN w:val="0"/>
              <w:adjustRightInd w:val="0"/>
              <w:jc w:val="center"/>
              <w:rPr>
                <w:rFonts w:ascii="Arial" w:eastAsia="Times New Roman" w:hAnsi="Arial" w:cs="Arial"/>
                <w:color w:val="000000" w:themeColor="text1"/>
                <w:lang w:eastAsia="en-PH"/>
              </w:rPr>
            </w:pPr>
          </w:p>
        </w:tc>
      </w:tr>
      <w:tr w:rsidR="004E5C4C" w:rsidRPr="00457B9F" w14:paraId="4257FE19" w14:textId="77777777" w:rsidTr="004E5C4C">
        <w:trPr>
          <w:trHeight w:val="233"/>
        </w:trPr>
        <w:tc>
          <w:tcPr>
            <w:tcW w:w="1980" w:type="dxa"/>
          </w:tcPr>
          <w:p w14:paraId="34ABF77F" w14:textId="77777777" w:rsidR="004E5C4C" w:rsidRPr="00457B9F" w:rsidRDefault="004E5C4C" w:rsidP="003A197C">
            <w:pPr>
              <w:autoSpaceDE w:val="0"/>
              <w:autoSpaceDN w:val="0"/>
              <w:adjustRightInd w:val="0"/>
              <w:ind w:left="60" w:right="60"/>
              <w:rPr>
                <w:rFonts w:ascii="Arial" w:hAnsi="Arial" w:cs="Arial"/>
                <w:color w:val="000000" w:themeColor="text1"/>
              </w:rPr>
            </w:pPr>
            <w:r w:rsidRPr="00457B9F">
              <w:rPr>
                <w:rFonts w:ascii="Arial" w:hAnsi="Arial" w:cs="Arial"/>
                <w:color w:val="000000" w:themeColor="text1"/>
              </w:rPr>
              <w:t>Total</w:t>
            </w:r>
          </w:p>
        </w:tc>
        <w:tc>
          <w:tcPr>
            <w:tcW w:w="2070" w:type="dxa"/>
            <w:vAlign w:val="center"/>
          </w:tcPr>
          <w:p w14:paraId="44428D3E"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5.352</w:t>
            </w:r>
          </w:p>
        </w:tc>
        <w:tc>
          <w:tcPr>
            <w:tcW w:w="720" w:type="dxa"/>
            <w:vAlign w:val="center"/>
          </w:tcPr>
          <w:p w14:paraId="48314FA7" w14:textId="77777777" w:rsidR="004E5C4C" w:rsidRPr="00457B9F" w:rsidRDefault="004E5C4C" w:rsidP="003A197C">
            <w:pPr>
              <w:autoSpaceDE w:val="0"/>
              <w:autoSpaceDN w:val="0"/>
              <w:adjustRightInd w:val="0"/>
              <w:ind w:left="60" w:right="60"/>
              <w:jc w:val="center"/>
              <w:rPr>
                <w:rFonts w:ascii="Arial" w:hAnsi="Arial" w:cs="Arial"/>
                <w:color w:val="000000" w:themeColor="text1"/>
              </w:rPr>
            </w:pPr>
            <w:r w:rsidRPr="00457B9F">
              <w:rPr>
                <w:rFonts w:ascii="Arial" w:hAnsi="Arial" w:cs="Arial"/>
                <w:color w:val="000000" w:themeColor="text1"/>
              </w:rPr>
              <w:t>72</w:t>
            </w:r>
          </w:p>
        </w:tc>
        <w:tc>
          <w:tcPr>
            <w:tcW w:w="1710" w:type="dxa"/>
            <w:vAlign w:val="center"/>
          </w:tcPr>
          <w:p w14:paraId="26C98220"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900" w:type="dxa"/>
            <w:vAlign w:val="center"/>
          </w:tcPr>
          <w:p w14:paraId="1B91D1E8" w14:textId="77777777" w:rsidR="004E5C4C" w:rsidRPr="00457B9F" w:rsidRDefault="004E5C4C" w:rsidP="003A197C">
            <w:pPr>
              <w:autoSpaceDE w:val="0"/>
              <w:autoSpaceDN w:val="0"/>
              <w:adjustRightInd w:val="0"/>
              <w:jc w:val="center"/>
              <w:rPr>
                <w:rFonts w:ascii="Arial" w:hAnsi="Arial" w:cs="Arial"/>
                <w:color w:val="000000" w:themeColor="text1"/>
              </w:rPr>
            </w:pPr>
          </w:p>
        </w:tc>
        <w:tc>
          <w:tcPr>
            <w:tcW w:w="810" w:type="dxa"/>
            <w:vAlign w:val="center"/>
          </w:tcPr>
          <w:p w14:paraId="442E614F" w14:textId="77777777" w:rsidR="004E5C4C" w:rsidRPr="00457B9F" w:rsidRDefault="004E5C4C" w:rsidP="003A197C">
            <w:pPr>
              <w:autoSpaceDE w:val="0"/>
              <w:autoSpaceDN w:val="0"/>
              <w:adjustRightInd w:val="0"/>
              <w:jc w:val="center"/>
              <w:rPr>
                <w:rFonts w:ascii="Arial" w:eastAsia="Times New Roman" w:hAnsi="Arial" w:cs="Arial"/>
                <w:color w:val="000000" w:themeColor="text1"/>
                <w:lang w:eastAsia="en-PH"/>
              </w:rPr>
            </w:pPr>
          </w:p>
        </w:tc>
      </w:tr>
    </w:tbl>
    <w:p w14:paraId="17312161" w14:textId="690CC0BE" w:rsidR="004E5C4C" w:rsidRPr="006212DC" w:rsidRDefault="004E5C4C" w:rsidP="004E5C4C">
      <w:pPr>
        <w:spacing w:after="0"/>
        <w:jc w:val="both"/>
        <w:rPr>
          <w:rFonts w:ascii="Arial" w:hAnsi="Arial" w:cs="Arial"/>
          <w:color w:val="000000" w:themeColor="text1"/>
        </w:rPr>
      </w:pPr>
      <w:r w:rsidRPr="004E5C4C">
        <w:rPr>
          <w:rFonts w:ascii="Arial" w:hAnsi="Arial" w:cs="Arial"/>
          <w:sz w:val="20"/>
          <w:szCs w:val="20"/>
        </w:rPr>
        <w:t xml:space="preserve"> </w:t>
      </w:r>
    </w:p>
    <w:p w14:paraId="1B5ABB4E" w14:textId="77777777" w:rsidR="004E5C4C" w:rsidRDefault="004E5C4C" w:rsidP="004E5C4C">
      <w:pPr>
        <w:spacing w:after="0"/>
        <w:jc w:val="center"/>
        <w:rPr>
          <w:rFonts w:ascii="Arial" w:hAnsi="Arial" w:cs="Arial"/>
          <w:b/>
          <w:bCs/>
          <w:sz w:val="20"/>
          <w:szCs w:val="20"/>
        </w:rPr>
      </w:pPr>
      <w:bookmarkStart w:id="4" w:name="_Toc201323111"/>
      <w:r w:rsidRPr="004E5C4C">
        <w:rPr>
          <w:rFonts w:ascii="Arial" w:hAnsi="Arial" w:cs="Arial"/>
          <w:b/>
          <w:bCs/>
          <w:sz w:val="20"/>
          <w:szCs w:val="20"/>
        </w:rPr>
        <w:t>Relationship between Financial Literacy and Retirement Preparedness</w:t>
      </w:r>
      <w:bookmarkEnd w:id="4"/>
    </w:p>
    <w:p w14:paraId="751E1699" w14:textId="77777777" w:rsidR="004E5C4C" w:rsidRPr="004E5C4C" w:rsidRDefault="004E5C4C" w:rsidP="004E5C4C">
      <w:pPr>
        <w:spacing w:after="0"/>
        <w:jc w:val="both"/>
        <w:rPr>
          <w:rFonts w:ascii="Arial" w:hAnsi="Arial" w:cs="Arial"/>
          <w:b/>
          <w:bCs/>
          <w:sz w:val="20"/>
          <w:szCs w:val="20"/>
        </w:rPr>
      </w:pPr>
    </w:p>
    <w:p w14:paraId="02D05D02" w14:textId="638636E3" w:rsidR="004E5C4C" w:rsidRDefault="004E5C4C" w:rsidP="004E5C4C">
      <w:pPr>
        <w:spacing w:after="0"/>
        <w:ind w:firstLine="72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20</w:t>
      </w:r>
      <w:r w:rsidRPr="004E5C4C">
        <w:rPr>
          <w:rFonts w:ascii="Arial" w:hAnsi="Arial" w:cs="Arial"/>
          <w:sz w:val="20"/>
          <w:szCs w:val="20"/>
        </w:rPr>
        <w:t xml:space="preserve"> presents a moderate and significant positive relationship between financial literacy and retirement preparedness (r = 0.559, p &lt; 0.001), indicating that higher financial literacy is associated with better retirement readiness. Key components, such as financial behavior (r = 0.487, p &lt; 0.001) and financial well-being (r = 0.443, p &lt; 0.001), also show significant correlations. Financial self-efficacy (r = 0.300, p = 0.010) exhibits a weak but significant correlation, whereas the perception of current financial status reveals no significant relationship (r = -0.023, p = 0.844). These findings are supported by the work of Lusardi and Mitchell (2017) and Xiao and O'Neill (2016), who emphasized the significance of financial knowledge and behavior in retirement planning.</w:t>
      </w:r>
    </w:p>
    <w:p w14:paraId="4B7A4924" w14:textId="77777777" w:rsidR="004E5C4C" w:rsidRPr="004E5C4C" w:rsidRDefault="004E5C4C" w:rsidP="004E5C4C">
      <w:pPr>
        <w:spacing w:after="0"/>
        <w:ind w:firstLine="720"/>
        <w:jc w:val="both"/>
        <w:rPr>
          <w:rFonts w:ascii="Arial" w:hAnsi="Arial" w:cs="Arial"/>
          <w:sz w:val="20"/>
          <w:szCs w:val="20"/>
        </w:rPr>
      </w:pPr>
    </w:p>
    <w:p w14:paraId="2B5E54BE" w14:textId="77777777" w:rsidR="004E5C4C" w:rsidRDefault="004E5C4C" w:rsidP="004E5C4C">
      <w:pPr>
        <w:spacing w:after="0"/>
        <w:jc w:val="both"/>
        <w:rPr>
          <w:rFonts w:ascii="Arial" w:hAnsi="Arial" w:cs="Arial"/>
          <w:sz w:val="20"/>
          <w:szCs w:val="20"/>
        </w:rPr>
      </w:pPr>
    </w:p>
    <w:p w14:paraId="54C84BB9" w14:textId="7C265E14" w:rsidR="000543AC" w:rsidRDefault="004E5C4C" w:rsidP="004E5C4C">
      <w:pPr>
        <w:spacing w:after="0"/>
        <w:jc w:val="both"/>
        <w:rPr>
          <w:rFonts w:ascii="Arial" w:hAnsi="Arial" w:cs="Arial"/>
          <w:sz w:val="20"/>
          <w:szCs w:val="20"/>
        </w:rPr>
      </w:pPr>
      <w:r w:rsidRPr="004E5C4C">
        <w:rPr>
          <w:rFonts w:ascii="Arial" w:hAnsi="Arial" w:cs="Arial"/>
          <w:sz w:val="20"/>
          <w:szCs w:val="20"/>
        </w:rPr>
        <w:t xml:space="preserve">Table </w:t>
      </w:r>
      <w:r w:rsidR="001B7571">
        <w:rPr>
          <w:rFonts w:ascii="Arial" w:hAnsi="Arial" w:cs="Arial"/>
          <w:sz w:val="20"/>
          <w:szCs w:val="20"/>
        </w:rPr>
        <w:t>20</w:t>
      </w:r>
      <w:r w:rsidRPr="004E5C4C">
        <w:rPr>
          <w:rFonts w:ascii="Arial" w:hAnsi="Arial" w:cs="Arial"/>
          <w:sz w:val="20"/>
          <w:szCs w:val="20"/>
        </w:rPr>
        <w:t>. Relationship between financial literacy and retirement preparedness</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288"/>
        <w:gridCol w:w="1934"/>
        <w:gridCol w:w="1599"/>
        <w:gridCol w:w="1600"/>
        <w:gridCol w:w="1792"/>
      </w:tblGrid>
      <w:tr w:rsidR="004E5C4C" w:rsidRPr="00F21B66" w14:paraId="19005395" w14:textId="77777777" w:rsidTr="003A197C">
        <w:tc>
          <w:tcPr>
            <w:tcW w:w="3384" w:type="dxa"/>
            <w:gridSpan w:val="2"/>
            <w:vAlign w:val="center"/>
          </w:tcPr>
          <w:p w14:paraId="6412F02C"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Variables</w:t>
            </w:r>
          </w:p>
        </w:tc>
        <w:tc>
          <w:tcPr>
            <w:tcW w:w="1686" w:type="dxa"/>
            <w:vAlign w:val="center"/>
          </w:tcPr>
          <w:p w14:paraId="4594C1E5"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Retirement Savings Behavior</w:t>
            </w:r>
          </w:p>
        </w:tc>
        <w:tc>
          <w:tcPr>
            <w:tcW w:w="1687" w:type="dxa"/>
            <w:vAlign w:val="center"/>
          </w:tcPr>
          <w:p w14:paraId="76DF35F8"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Retirement Planning</w:t>
            </w:r>
          </w:p>
        </w:tc>
        <w:tc>
          <w:tcPr>
            <w:tcW w:w="1878" w:type="dxa"/>
            <w:vAlign w:val="center"/>
          </w:tcPr>
          <w:p w14:paraId="6C266BB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Overall Retirement Preparedness</w:t>
            </w:r>
          </w:p>
        </w:tc>
      </w:tr>
      <w:tr w:rsidR="004E5C4C" w:rsidRPr="00F21B66" w14:paraId="5A52E921" w14:textId="77777777" w:rsidTr="003A197C">
        <w:tc>
          <w:tcPr>
            <w:tcW w:w="1327" w:type="dxa"/>
            <w:vMerge w:val="restart"/>
            <w:vAlign w:val="center"/>
          </w:tcPr>
          <w:p w14:paraId="3C9342D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Financial Behavior</w:t>
            </w:r>
          </w:p>
        </w:tc>
        <w:tc>
          <w:tcPr>
            <w:tcW w:w="2057" w:type="dxa"/>
            <w:vAlign w:val="center"/>
          </w:tcPr>
          <w:p w14:paraId="7877DF0F"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29B5420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0.487</w:t>
            </w:r>
          </w:p>
        </w:tc>
        <w:tc>
          <w:tcPr>
            <w:tcW w:w="1687" w:type="dxa"/>
            <w:vAlign w:val="center"/>
          </w:tcPr>
          <w:p w14:paraId="29B3D373"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0.310</w:t>
            </w:r>
          </w:p>
        </w:tc>
        <w:tc>
          <w:tcPr>
            <w:tcW w:w="1878" w:type="dxa"/>
            <w:vAlign w:val="center"/>
          </w:tcPr>
          <w:p w14:paraId="72C3BDBD"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0.456</w:t>
            </w:r>
          </w:p>
        </w:tc>
      </w:tr>
      <w:tr w:rsidR="004E5C4C" w:rsidRPr="00F21B66" w14:paraId="7684CD31" w14:textId="77777777" w:rsidTr="003A197C">
        <w:tc>
          <w:tcPr>
            <w:tcW w:w="1327" w:type="dxa"/>
            <w:vMerge/>
            <w:vAlign w:val="center"/>
          </w:tcPr>
          <w:p w14:paraId="39C67F5D"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0F10ED9A"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1777E61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687" w:type="dxa"/>
            <w:vAlign w:val="center"/>
          </w:tcPr>
          <w:p w14:paraId="6DC3D713"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0.008</w:t>
            </w:r>
          </w:p>
        </w:tc>
        <w:tc>
          <w:tcPr>
            <w:tcW w:w="1878" w:type="dxa"/>
            <w:vAlign w:val="center"/>
          </w:tcPr>
          <w:p w14:paraId="0D1EED5D"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r>
      <w:tr w:rsidR="004E5C4C" w:rsidRPr="00F21B66" w14:paraId="7652F5FD" w14:textId="77777777" w:rsidTr="003A197C">
        <w:tc>
          <w:tcPr>
            <w:tcW w:w="1327" w:type="dxa"/>
            <w:vMerge/>
            <w:vAlign w:val="center"/>
          </w:tcPr>
          <w:p w14:paraId="5FC0CAC8"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02304FC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12710EBD"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687" w:type="dxa"/>
            <w:vAlign w:val="center"/>
          </w:tcPr>
          <w:p w14:paraId="164F17CC"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c>
          <w:tcPr>
            <w:tcW w:w="1878" w:type="dxa"/>
            <w:vAlign w:val="center"/>
          </w:tcPr>
          <w:p w14:paraId="73509AE3"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r>
      <w:tr w:rsidR="004E5C4C" w:rsidRPr="00F21B66" w14:paraId="2D6E7E85" w14:textId="77777777" w:rsidTr="003A197C">
        <w:tc>
          <w:tcPr>
            <w:tcW w:w="1327" w:type="dxa"/>
            <w:vMerge w:val="restart"/>
            <w:vAlign w:val="center"/>
          </w:tcPr>
          <w:p w14:paraId="67B3F11B"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Financial Self-Efficacy</w:t>
            </w:r>
          </w:p>
        </w:tc>
        <w:tc>
          <w:tcPr>
            <w:tcW w:w="2057" w:type="dxa"/>
            <w:vAlign w:val="center"/>
          </w:tcPr>
          <w:p w14:paraId="7D357EEF"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085386C5"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0.300</w:t>
            </w:r>
          </w:p>
        </w:tc>
        <w:tc>
          <w:tcPr>
            <w:tcW w:w="1687" w:type="dxa"/>
            <w:vAlign w:val="center"/>
          </w:tcPr>
          <w:p w14:paraId="0765F56F"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0.327</w:t>
            </w:r>
          </w:p>
        </w:tc>
        <w:tc>
          <w:tcPr>
            <w:tcW w:w="1878" w:type="dxa"/>
            <w:vAlign w:val="center"/>
          </w:tcPr>
          <w:p w14:paraId="6D8549D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0.357</w:t>
            </w:r>
          </w:p>
        </w:tc>
      </w:tr>
      <w:tr w:rsidR="004E5C4C" w:rsidRPr="00F21B66" w14:paraId="0468F2DF" w14:textId="77777777" w:rsidTr="003A197C">
        <w:tc>
          <w:tcPr>
            <w:tcW w:w="1327" w:type="dxa"/>
            <w:vMerge/>
            <w:vAlign w:val="center"/>
          </w:tcPr>
          <w:p w14:paraId="02F87DD3"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11FFC26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1BD1861F"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0.010</w:t>
            </w:r>
          </w:p>
        </w:tc>
        <w:tc>
          <w:tcPr>
            <w:tcW w:w="1687" w:type="dxa"/>
            <w:vAlign w:val="center"/>
          </w:tcPr>
          <w:p w14:paraId="50130D2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0.005</w:t>
            </w:r>
          </w:p>
        </w:tc>
        <w:tc>
          <w:tcPr>
            <w:tcW w:w="1878" w:type="dxa"/>
            <w:vAlign w:val="center"/>
          </w:tcPr>
          <w:p w14:paraId="05ED8737"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0.002</w:t>
            </w:r>
          </w:p>
        </w:tc>
      </w:tr>
      <w:tr w:rsidR="004E5C4C" w:rsidRPr="00F21B66" w14:paraId="419BABE7" w14:textId="77777777" w:rsidTr="003A197C">
        <w:tc>
          <w:tcPr>
            <w:tcW w:w="1327" w:type="dxa"/>
            <w:vMerge/>
            <w:vAlign w:val="center"/>
          </w:tcPr>
          <w:p w14:paraId="4939F6BB"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4FBB33BB"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5BBC77E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c>
          <w:tcPr>
            <w:tcW w:w="1687" w:type="dxa"/>
            <w:vAlign w:val="center"/>
          </w:tcPr>
          <w:p w14:paraId="6851CDFC"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c>
          <w:tcPr>
            <w:tcW w:w="1878" w:type="dxa"/>
            <w:vAlign w:val="center"/>
          </w:tcPr>
          <w:p w14:paraId="2558254C"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r>
      <w:tr w:rsidR="004E5C4C" w:rsidRPr="00F21B66" w14:paraId="7EC4DC17" w14:textId="77777777" w:rsidTr="003A197C">
        <w:tc>
          <w:tcPr>
            <w:tcW w:w="1327" w:type="dxa"/>
            <w:vMerge w:val="restart"/>
            <w:vAlign w:val="center"/>
          </w:tcPr>
          <w:p w14:paraId="0C1E87DA"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Financial Well-Being</w:t>
            </w:r>
          </w:p>
        </w:tc>
        <w:tc>
          <w:tcPr>
            <w:tcW w:w="2057" w:type="dxa"/>
            <w:vAlign w:val="center"/>
          </w:tcPr>
          <w:p w14:paraId="0A4E5BE3"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7B27D4F3"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0.443</w:t>
            </w:r>
          </w:p>
        </w:tc>
        <w:tc>
          <w:tcPr>
            <w:tcW w:w="1687" w:type="dxa"/>
            <w:vAlign w:val="center"/>
          </w:tcPr>
          <w:p w14:paraId="4221650A"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0.531</w:t>
            </w:r>
          </w:p>
        </w:tc>
        <w:tc>
          <w:tcPr>
            <w:tcW w:w="1878" w:type="dxa"/>
            <w:vAlign w:val="center"/>
          </w:tcPr>
          <w:p w14:paraId="162E06BA"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0.554</w:t>
            </w:r>
          </w:p>
        </w:tc>
      </w:tr>
      <w:tr w:rsidR="004E5C4C" w:rsidRPr="00F21B66" w14:paraId="5C03718B" w14:textId="77777777" w:rsidTr="003A197C">
        <w:tc>
          <w:tcPr>
            <w:tcW w:w="1327" w:type="dxa"/>
            <w:vMerge/>
            <w:vAlign w:val="center"/>
          </w:tcPr>
          <w:p w14:paraId="613C6C58"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66154DE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5A5A59E7"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687" w:type="dxa"/>
            <w:vAlign w:val="center"/>
          </w:tcPr>
          <w:p w14:paraId="5737DB97"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878" w:type="dxa"/>
            <w:vAlign w:val="center"/>
          </w:tcPr>
          <w:p w14:paraId="14F0268B"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r>
      <w:tr w:rsidR="004E5C4C" w:rsidRPr="00F21B66" w14:paraId="6231F667" w14:textId="77777777" w:rsidTr="003A197C">
        <w:tc>
          <w:tcPr>
            <w:tcW w:w="1327" w:type="dxa"/>
            <w:vMerge/>
            <w:vAlign w:val="center"/>
          </w:tcPr>
          <w:p w14:paraId="0B27D38A"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11EB1A25"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0356BC1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687" w:type="dxa"/>
            <w:vAlign w:val="center"/>
          </w:tcPr>
          <w:p w14:paraId="317A45C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878" w:type="dxa"/>
            <w:vAlign w:val="center"/>
          </w:tcPr>
          <w:p w14:paraId="3AD39618"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r>
      <w:tr w:rsidR="004E5C4C" w:rsidRPr="00F21B66" w14:paraId="44C54242" w14:textId="77777777" w:rsidTr="003A197C">
        <w:tc>
          <w:tcPr>
            <w:tcW w:w="1327" w:type="dxa"/>
            <w:vMerge w:val="restart"/>
            <w:vAlign w:val="center"/>
          </w:tcPr>
          <w:p w14:paraId="31C6A589"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Perception of Current Financial Status</w:t>
            </w:r>
          </w:p>
        </w:tc>
        <w:tc>
          <w:tcPr>
            <w:tcW w:w="2057" w:type="dxa"/>
            <w:vAlign w:val="center"/>
          </w:tcPr>
          <w:p w14:paraId="2CC943A0"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4034163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-0.020</w:t>
            </w:r>
          </w:p>
        </w:tc>
        <w:tc>
          <w:tcPr>
            <w:tcW w:w="1687" w:type="dxa"/>
            <w:vAlign w:val="center"/>
          </w:tcPr>
          <w:p w14:paraId="2944DB3A"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-0.022</w:t>
            </w:r>
          </w:p>
        </w:tc>
        <w:tc>
          <w:tcPr>
            <w:tcW w:w="1878" w:type="dxa"/>
            <w:vAlign w:val="center"/>
          </w:tcPr>
          <w:p w14:paraId="519B1018"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-0.023</w:t>
            </w:r>
          </w:p>
        </w:tc>
      </w:tr>
      <w:tr w:rsidR="004E5C4C" w:rsidRPr="00F21B66" w14:paraId="4522B798" w14:textId="77777777" w:rsidTr="003A197C">
        <w:tc>
          <w:tcPr>
            <w:tcW w:w="1327" w:type="dxa"/>
            <w:vMerge/>
            <w:vAlign w:val="center"/>
          </w:tcPr>
          <w:p w14:paraId="5E8BBA23"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3170BA97"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4CB2FF95"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0.870</w:t>
            </w:r>
          </w:p>
        </w:tc>
        <w:tc>
          <w:tcPr>
            <w:tcW w:w="1687" w:type="dxa"/>
            <w:vAlign w:val="center"/>
          </w:tcPr>
          <w:p w14:paraId="0A03D0F9"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0.855</w:t>
            </w:r>
          </w:p>
        </w:tc>
        <w:tc>
          <w:tcPr>
            <w:tcW w:w="1878" w:type="dxa"/>
            <w:vAlign w:val="center"/>
          </w:tcPr>
          <w:p w14:paraId="4F748BC4"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0.844</w:t>
            </w:r>
          </w:p>
        </w:tc>
      </w:tr>
      <w:tr w:rsidR="004E5C4C" w:rsidRPr="00F21B66" w14:paraId="20FD5057" w14:textId="77777777" w:rsidTr="003A197C">
        <w:tc>
          <w:tcPr>
            <w:tcW w:w="1327" w:type="dxa"/>
            <w:vMerge/>
            <w:vAlign w:val="center"/>
          </w:tcPr>
          <w:p w14:paraId="5FEA1071"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3185B12B"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70EA8A99"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Negligible relationship</w:t>
            </w:r>
          </w:p>
        </w:tc>
        <w:tc>
          <w:tcPr>
            <w:tcW w:w="1687" w:type="dxa"/>
            <w:vAlign w:val="center"/>
          </w:tcPr>
          <w:p w14:paraId="70D3F07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Negligible relationship</w:t>
            </w:r>
          </w:p>
        </w:tc>
        <w:tc>
          <w:tcPr>
            <w:tcW w:w="1878" w:type="dxa"/>
            <w:vAlign w:val="center"/>
          </w:tcPr>
          <w:p w14:paraId="0DBCD9D4"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Negligible relationship</w:t>
            </w:r>
          </w:p>
        </w:tc>
      </w:tr>
      <w:tr w:rsidR="004E5C4C" w:rsidRPr="00F21B66" w14:paraId="23107F6C" w14:textId="77777777" w:rsidTr="003A197C">
        <w:tc>
          <w:tcPr>
            <w:tcW w:w="1327" w:type="dxa"/>
            <w:vMerge w:val="restart"/>
            <w:vAlign w:val="center"/>
          </w:tcPr>
          <w:p w14:paraId="30FFE788"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Planning and Controlling</w:t>
            </w:r>
          </w:p>
        </w:tc>
        <w:tc>
          <w:tcPr>
            <w:tcW w:w="2057" w:type="dxa"/>
            <w:vAlign w:val="center"/>
          </w:tcPr>
          <w:p w14:paraId="646222A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23D816C5"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0.226</w:t>
            </w:r>
          </w:p>
        </w:tc>
        <w:tc>
          <w:tcPr>
            <w:tcW w:w="1687" w:type="dxa"/>
            <w:vAlign w:val="center"/>
          </w:tcPr>
          <w:p w14:paraId="33EE3C97"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0.410</w:t>
            </w:r>
          </w:p>
        </w:tc>
        <w:tc>
          <w:tcPr>
            <w:tcW w:w="1878" w:type="dxa"/>
            <w:vAlign w:val="center"/>
          </w:tcPr>
          <w:p w14:paraId="55972919"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0.361</w:t>
            </w:r>
          </w:p>
        </w:tc>
      </w:tr>
      <w:tr w:rsidR="004E5C4C" w:rsidRPr="00F21B66" w14:paraId="17FA1762" w14:textId="77777777" w:rsidTr="003A197C">
        <w:tc>
          <w:tcPr>
            <w:tcW w:w="1327" w:type="dxa"/>
            <w:vMerge/>
            <w:vAlign w:val="center"/>
          </w:tcPr>
          <w:p w14:paraId="4AF515D2"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3752ECFC"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035A5545"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0.055</w:t>
            </w:r>
          </w:p>
        </w:tc>
        <w:tc>
          <w:tcPr>
            <w:tcW w:w="1687" w:type="dxa"/>
            <w:vAlign w:val="center"/>
          </w:tcPr>
          <w:p w14:paraId="3B85E3C0"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878" w:type="dxa"/>
            <w:vAlign w:val="center"/>
          </w:tcPr>
          <w:p w14:paraId="1A7F129F"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0.002</w:t>
            </w:r>
          </w:p>
        </w:tc>
      </w:tr>
      <w:tr w:rsidR="004E5C4C" w:rsidRPr="00F21B66" w14:paraId="31E32426" w14:textId="77777777" w:rsidTr="003A197C">
        <w:tc>
          <w:tcPr>
            <w:tcW w:w="1327" w:type="dxa"/>
            <w:vMerge/>
            <w:vAlign w:val="center"/>
          </w:tcPr>
          <w:p w14:paraId="705FD83A"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27F709CE"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4B3FEA7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c>
          <w:tcPr>
            <w:tcW w:w="1687" w:type="dxa"/>
            <w:vAlign w:val="center"/>
          </w:tcPr>
          <w:p w14:paraId="6E13C8A0"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878" w:type="dxa"/>
            <w:vAlign w:val="center"/>
          </w:tcPr>
          <w:p w14:paraId="08048EB3"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Weak relationship and significant</w:t>
            </w:r>
          </w:p>
        </w:tc>
      </w:tr>
      <w:tr w:rsidR="004E5C4C" w:rsidRPr="00F21B66" w14:paraId="3ABF80CD" w14:textId="77777777" w:rsidTr="003A197C">
        <w:tc>
          <w:tcPr>
            <w:tcW w:w="1327" w:type="dxa"/>
            <w:vMerge w:val="restart"/>
            <w:vAlign w:val="center"/>
          </w:tcPr>
          <w:p w14:paraId="71EE8557"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Overall Financial Literacy</w:t>
            </w:r>
          </w:p>
        </w:tc>
        <w:tc>
          <w:tcPr>
            <w:tcW w:w="2057" w:type="dxa"/>
            <w:vAlign w:val="center"/>
          </w:tcPr>
          <w:p w14:paraId="667E5C01"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Pearson Correlation</w:t>
            </w:r>
          </w:p>
        </w:tc>
        <w:tc>
          <w:tcPr>
            <w:tcW w:w="1686" w:type="dxa"/>
            <w:vAlign w:val="center"/>
          </w:tcPr>
          <w:p w14:paraId="189C86E1"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0.468</w:t>
            </w:r>
          </w:p>
        </w:tc>
        <w:tc>
          <w:tcPr>
            <w:tcW w:w="1687" w:type="dxa"/>
            <w:vAlign w:val="center"/>
          </w:tcPr>
          <w:p w14:paraId="47EF2A86"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0.514</w:t>
            </w:r>
          </w:p>
        </w:tc>
        <w:tc>
          <w:tcPr>
            <w:tcW w:w="1878" w:type="dxa"/>
            <w:vAlign w:val="center"/>
          </w:tcPr>
          <w:p w14:paraId="3D3F26C7"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0.559</w:t>
            </w:r>
          </w:p>
        </w:tc>
      </w:tr>
      <w:tr w:rsidR="004E5C4C" w:rsidRPr="00F21B66" w14:paraId="3FEBAD26" w14:textId="77777777" w:rsidTr="003A197C">
        <w:tc>
          <w:tcPr>
            <w:tcW w:w="1327" w:type="dxa"/>
            <w:vMerge/>
            <w:vAlign w:val="center"/>
          </w:tcPr>
          <w:p w14:paraId="5FBD1083"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732F5BD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Sig. (2-tailed)</w:t>
            </w:r>
          </w:p>
        </w:tc>
        <w:tc>
          <w:tcPr>
            <w:tcW w:w="1686" w:type="dxa"/>
            <w:vAlign w:val="center"/>
          </w:tcPr>
          <w:p w14:paraId="7AE3104F"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687" w:type="dxa"/>
            <w:vAlign w:val="center"/>
          </w:tcPr>
          <w:p w14:paraId="73F5925E"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c>
          <w:tcPr>
            <w:tcW w:w="1878" w:type="dxa"/>
            <w:vAlign w:val="center"/>
          </w:tcPr>
          <w:p w14:paraId="2EFD211A"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0.000</w:t>
            </w:r>
          </w:p>
        </w:tc>
      </w:tr>
      <w:tr w:rsidR="004E5C4C" w:rsidRPr="00F21B66" w14:paraId="2EEDF01B" w14:textId="77777777" w:rsidTr="003A197C">
        <w:tc>
          <w:tcPr>
            <w:tcW w:w="1327" w:type="dxa"/>
            <w:vMerge/>
            <w:vAlign w:val="center"/>
          </w:tcPr>
          <w:p w14:paraId="4F5E6851" w14:textId="77777777" w:rsidR="004E5C4C" w:rsidRPr="00F21B66" w:rsidRDefault="004E5C4C" w:rsidP="003A197C">
            <w:pPr>
              <w:rPr>
                <w:rFonts w:ascii="Arial" w:hAnsi="Arial" w:cs="Arial"/>
                <w:color w:val="000000" w:themeColor="text1"/>
                <w:sz w:val="18"/>
                <w:szCs w:val="18"/>
              </w:rPr>
            </w:pPr>
          </w:p>
        </w:tc>
        <w:tc>
          <w:tcPr>
            <w:tcW w:w="2057" w:type="dxa"/>
            <w:vAlign w:val="center"/>
          </w:tcPr>
          <w:p w14:paraId="73D4B946" w14:textId="77777777" w:rsidR="004E5C4C" w:rsidRPr="00F21B66" w:rsidRDefault="004E5C4C" w:rsidP="003A197C">
            <w:pP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Interpretation</w:t>
            </w:r>
          </w:p>
        </w:tc>
        <w:tc>
          <w:tcPr>
            <w:tcW w:w="1686" w:type="dxa"/>
            <w:vAlign w:val="center"/>
          </w:tcPr>
          <w:p w14:paraId="42D4A811"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687" w:type="dxa"/>
            <w:vAlign w:val="center"/>
          </w:tcPr>
          <w:p w14:paraId="734074E8"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c>
          <w:tcPr>
            <w:tcW w:w="1878" w:type="dxa"/>
            <w:vAlign w:val="center"/>
          </w:tcPr>
          <w:p w14:paraId="0AD1D53B" w14:textId="77777777" w:rsidR="004E5C4C" w:rsidRPr="00F21B66" w:rsidRDefault="004E5C4C" w:rsidP="003A197C">
            <w:pPr>
              <w:jc w:val="center"/>
              <w:rPr>
                <w:rFonts w:ascii="Arial" w:hAnsi="Arial" w:cs="Arial"/>
                <w:color w:val="000000" w:themeColor="text1"/>
                <w:sz w:val="18"/>
                <w:szCs w:val="18"/>
              </w:rPr>
            </w:pPr>
            <w:r w:rsidRPr="00F21B66">
              <w:rPr>
                <w:rFonts w:ascii="Arial" w:eastAsia="Times New Roman" w:hAnsi="Arial" w:cs="Arial"/>
                <w:color w:val="000000" w:themeColor="text1"/>
                <w:sz w:val="18"/>
                <w:szCs w:val="18"/>
                <w:lang w:eastAsia="en-PH"/>
              </w:rPr>
              <w:t>Moderate relationship and significant</w:t>
            </w:r>
          </w:p>
        </w:tc>
      </w:tr>
    </w:tbl>
    <w:p w14:paraId="44E6AE91" w14:textId="77777777" w:rsidR="00094C09" w:rsidRDefault="00094C09" w:rsidP="00094C09">
      <w:pPr>
        <w:spacing w:after="0" w:line="240" w:lineRule="auto"/>
        <w:jc w:val="both"/>
        <w:rPr>
          <w:rFonts w:ascii="Arial" w:hAnsi="Arial" w:cs="Arial"/>
          <w:sz w:val="20"/>
        </w:rPr>
      </w:pPr>
    </w:p>
    <w:p w14:paraId="60C3B96E" w14:textId="77777777" w:rsidR="00094C09" w:rsidRPr="00094C09" w:rsidRDefault="00094C09" w:rsidP="00094C09">
      <w:pPr>
        <w:spacing w:after="0" w:line="240" w:lineRule="auto"/>
        <w:jc w:val="both"/>
        <w:rPr>
          <w:rFonts w:ascii="Arial" w:hAnsi="Arial" w:cs="Arial"/>
          <w:sz w:val="20"/>
        </w:rPr>
      </w:pPr>
      <w:r>
        <w:rPr>
          <w:rFonts w:ascii="Arial" w:eastAsia="Arial" w:hAnsi="Arial" w:cs="Arial"/>
          <w:b/>
          <w:smallCaps/>
          <w:color w:val="000000"/>
        </w:rPr>
        <w:t>5. CONCLUSIONS AND RECOMMENDATIONS</w:t>
      </w:r>
    </w:p>
    <w:p w14:paraId="4FAD991C" w14:textId="77777777" w:rsidR="007C2C1D" w:rsidRDefault="007C2C1D" w:rsidP="00AE22F5">
      <w:pPr>
        <w:shd w:val="clear" w:color="auto" w:fill="FFFFFF" w:themeFill="background1"/>
        <w:spacing w:after="0" w:line="240" w:lineRule="auto"/>
        <w:rPr>
          <w:b/>
        </w:rPr>
      </w:pPr>
    </w:p>
    <w:p w14:paraId="71E7F054" w14:textId="2D79FA12" w:rsidR="00094C09" w:rsidRPr="00647293" w:rsidRDefault="00094C09" w:rsidP="00647293">
      <w:pPr>
        <w:shd w:val="clear" w:color="auto" w:fill="FFFFFF" w:themeFill="background1"/>
        <w:spacing w:after="0" w:line="240" w:lineRule="auto"/>
        <w:rPr>
          <w:b/>
        </w:rPr>
      </w:pPr>
      <w:r>
        <w:rPr>
          <w:rFonts w:ascii="Arial" w:eastAsia="Arial" w:hAnsi="Arial" w:cs="Arial"/>
          <w:b/>
          <w:color w:val="000000"/>
          <w:highlight w:val="white"/>
        </w:rPr>
        <w:t>Conclusion</w:t>
      </w:r>
    </w:p>
    <w:p w14:paraId="420D2A84"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The profile of the respondents indicated that the majority were female (57.53%), married (78.08%), and within the 58- to 60-year-old age group (54.79%), suggesting that most were nearing the typical retirement age. All participants were college graduates, reflecting a high level of educational attainment. In terms of income, the largest proportion earned ₱40,001 and above (35.62%), implying a relatively stable financial capacity. This profile suggested that the respondents were in a stable stage of life, both personally and professionally, which may have contributed positively to their financial literacy and retirement preparedness. As they likely had accumulated work experience and possessed the foundational knowledge and resources necessary for effective retirement planning, this may have been a factor.</w:t>
      </w:r>
    </w:p>
    <w:p w14:paraId="0E24CFB7"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 xml:space="preserve">The overall level of financial literacy among respondents was high (x̄ = 3.75, s = 0.24). Specifically, the respondents exhibited high levels of financial behavior (x̄ = 3.78, s = 0.37), financial self-efficacy (x̄ = 3.95, s = 0.40), financial well-being (x̄ = 3.88, s = 0.39), and planning and controlling personal finances (x̄ = 3.89, s = 0.41). However, the perception of current financial status was rated as moderate (x̄ = 3.25, s = 0.76), indicating that while respondents demonstrated strong financial knowledge and behaviors, some still perceived limitations in their financial stability. Overall, these findings suggested that government employees in </w:t>
      </w:r>
      <w:proofErr w:type="spellStart"/>
      <w:r w:rsidRPr="00647293">
        <w:rPr>
          <w:rFonts w:ascii="Arial" w:hAnsi="Arial" w:cs="Arial"/>
          <w:sz w:val="20"/>
          <w:szCs w:val="20"/>
        </w:rPr>
        <w:t>Cateel</w:t>
      </w:r>
      <w:proofErr w:type="spellEnd"/>
      <w:r w:rsidRPr="00647293">
        <w:rPr>
          <w:rFonts w:ascii="Arial" w:hAnsi="Arial" w:cs="Arial"/>
          <w:sz w:val="20"/>
          <w:szCs w:val="20"/>
        </w:rPr>
        <w:t xml:space="preserve"> possessed a sound understanding and effective management of personal finances. However, some areas may have benefited from targeted support to enhance their perceived financial security further.</w:t>
      </w:r>
    </w:p>
    <w:p w14:paraId="35415714" w14:textId="36652102"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 xml:space="preserve">The respondents demonstrated a high level of retirement preparedness. Specifically, they showed a high level of retirement saving behavior (x̄ = 4.04, s = 0.32) and retirement planning (x̄ = 3.95, s = 0.31). The overall level of retirement preparedness was also rated as </w:t>
      </w:r>
      <w:r w:rsidRPr="00647293">
        <w:rPr>
          <w:rFonts w:ascii="Arial" w:hAnsi="Arial" w:cs="Arial"/>
          <w:sz w:val="20"/>
          <w:szCs w:val="20"/>
        </w:rPr>
        <w:lastRenderedPageBreak/>
        <w:t>high (x̄ = 4.00, s = 0.27), suggesting that the respondents were actively engaged in saving and planning for their retirement, with many expressing confidences in their financial strategies and making consistent efforts to secure their post-retirement life.</w:t>
      </w:r>
    </w:p>
    <w:p w14:paraId="26B66B91"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The comparison of financial literacy levels across demographic profiles revealed no significant differences when respondents were grouped by age (F = 0.657, p = 0.522), gender (F = 0.305, p = 0.738), or marital status (F = 0.297, p = 0.827). However, a significant difference was found based on salary (F = 3.775, p = 0.014). Post hoc analysis revealed a statistically significant mean difference in financial literacy between respondents earning ₱20,001–₱30,000 and those earning ₱40,001 and above (MD = -0.23, p = 0.01). This indicated that income level played a role in shaping financial literacy, with higher earners demonstrating greater financial literacy compared to some lower-earning groups.</w:t>
      </w:r>
    </w:p>
    <w:p w14:paraId="3F495039"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The analysis of retirement preparedness across demographic groups revealed no significant differences when respondents were grouped according to age (F = 0.661, p = 0.519), gender (F = 0.150, p = 0.861), or marital status (F = 0.250, p = 0.861). While salary approached significance (F = 2.309, p = 0.084), it did not reach the threshold for statistical significance, indicating that income level—from ₱20,000 and below to ₱40,001 and above—did not significantly influence retirement preparedness among the respondents. These results suggested that retirement preparedness was consistent across different demographic profiles within this group, including salary brackets.</w:t>
      </w:r>
    </w:p>
    <w:p w14:paraId="7A977D89"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The findings revealed that overall financial literacy had a moderate and significant relationship with retirement preparedness (r = 0.559, p &lt; 0.001), suggesting that employees with a better understanding of finances tended to be more prepared for retirement. Financial behavior (r = 0.487, p &lt; 0.001) and financial well-being (r = 0.531, p &lt; 0.001) also showed moderate correlations, indicating that practical financial actions and stability contributed to preparedness. Financial self-efficacy (r = 0.300, p = 0.010) and planning and controlling (r = 0.361, p = 0.002) exhibited weaker but still significant relationships, suggesting that confidence and active financial management played a role, albeit to a lesser extent. Meanwhile, the perception of current financial status showed no significant relationship (r = -0.023, p = 0.844), highlighting a disconnect between how employees felt about their finances and their actual readiness.</w:t>
      </w:r>
    </w:p>
    <w:p w14:paraId="09C0AB78" w14:textId="77777777" w:rsidR="007C2C1D" w:rsidRDefault="007C2C1D" w:rsidP="00647293">
      <w:pPr>
        <w:shd w:val="clear" w:color="auto" w:fill="FFFFFF" w:themeFill="background1"/>
        <w:spacing w:after="0" w:line="240" w:lineRule="auto"/>
      </w:pPr>
    </w:p>
    <w:p w14:paraId="3F7EDAE2" w14:textId="77777777" w:rsidR="007C2C1D" w:rsidRDefault="00094C09" w:rsidP="00647293">
      <w:pPr>
        <w:shd w:val="clear" w:color="auto" w:fill="FFFFFF" w:themeFill="background1"/>
        <w:spacing w:after="0" w:line="240" w:lineRule="auto"/>
        <w:rPr>
          <w:rFonts w:ascii="Arial" w:eastAsia="Arial" w:hAnsi="Arial" w:cs="Arial"/>
          <w:b/>
          <w:color w:val="000000"/>
        </w:rPr>
      </w:pPr>
      <w:r>
        <w:rPr>
          <w:rFonts w:ascii="Arial" w:eastAsia="Arial" w:hAnsi="Arial" w:cs="Arial"/>
          <w:b/>
          <w:color w:val="000000"/>
          <w:highlight w:val="white"/>
        </w:rPr>
        <w:t>Recommendation</w:t>
      </w:r>
    </w:p>
    <w:p w14:paraId="4338572A"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It is recommended that future researchers investigate groups with diverse demographic and socioeconomic backgrounds. For instance, future studies may focus on younger government employees, those with lower income brackets, or individuals with lower educational attainment to compare financial literacy and retirement preparedness across diverse populations.</w:t>
      </w:r>
    </w:p>
    <w:p w14:paraId="6374AFC3"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Future researchers are advised to investigate the underlying factors that influence the moderate perception of financial status despite high financial literacy. Exploring emotional, social, or contextual influences on financial perception may help identify barriers that affect individuals' confidence in their financial stability. Additionally, comparing these perceptions with actual financial behaviors across different government sectors or locations could offer broader insights.</w:t>
      </w:r>
    </w:p>
    <w:p w14:paraId="0E87ACF3"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 xml:space="preserve">Future researchers are encouraged to explore the quality and sustainability of the respondents' retirement plans beyond their self-reported preparedness. Since the findings rely on perceived behaviors and confidence, future studies could investigate actual retirement outcomes or assess preparedness using longitudinal data to gain a more comprehensive understanding of the topic. Examining the barriers faced by those with lower preparedness, </w:t>
      </w:r>
      <w:r w:rsidRPr="00647293">
        <w:rPr>
          <w:rFonts w:ascii="Arial" w:hAnsi="Arial" w:cs="Arial"/>
          <w:sz w:val="20"/>
          <w:szCs w:val="20"/>
        </w:rPr>
        <w:lastRenderedPageBreak/>
        <w:t>despite having similar financial literacy levels, may also help identify overlooked factors in retirement readiness.</w:t>
      </w:r>
    </w:p>
    <w:p w14:paraId="0602A958"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Future researchers are advised to investigate the specific factors that contribute to the gap in financial literacy across different income levels. It is recommended to explore how access to financial education, financial tools, or exposure to investment opportunities may differ between income groups. Moreover, future studies may consider evaluating the effectiveness of workplace-based financial literacy interventions tailored to various salary brackets.</w:t>
      </w:r>
    </w:p>
    <w:p w14:paraId="2F2737E3" w14:textId="77777777" w:rsidR="00647293"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Future researchers are recommended to investigate other factors beyond demographic variables, such as psychological, behavioral, or organizational influences, that may impact retirement preparedness. Since salary did not significantly affect retirement preparedness, exploring how financial attitudes, access to retirement planning resources, or employer support contribute to preparedness could provide deeper insights.</w:t>
      </w:r>
    </w:p>
    <w:p w14:paraId="2412A0AC" w14:textId="15507B38" w:rsidR="00094C09" w:rsidRPr="00647293" w:rsidRDefault="00647293" w:rsidP="00647293">
      <w:pPr>
        <w:spacing w:after="0"/>
        <w:ind w:firstLine="720"/>
        <w:jc w:val="both"/>
        <w:rPr>
          <w:rFonts w:ascii="Arial" w:hAnsi="Arial" w:cs="Arial"/>
          <w:sz w:val="20"/>
          <w:szCs w:val="20"/>
        </w:rPr>
      </w:pPr>
      <w:r w:rsidRPr="00647293">
        <w:rPr>
          <w:rFonts w:ascii="Arial" w:hAnsi="Arial" w:cs="Arial"/>
          <w:sz w:val="20"/>
          <w:szCs w:val="20"/>
        </w:rPr>
        <w:t>It is also recommended that future researchers explore interventions specifically designed to address the disconnect between employees' perceptions of their current financial status and their actual retirement preparedness. Investigating psychological and behavioral factors that influence financial attitudes could provide deeper insight into why financial perceptions do not align with readiness. Additionally, studies could focus on developing strategies to boost financial self-efficacy and proactive financial management, as these areas showed weaker but significant relationships with retirement preparedness, highlighting potential opportunities to enhance overall retirement outcomes.</w:t>
      </w:r>
    </w:p>
    <w:p w14:paraId="2735238D" w14:textId="77777777" w:rsidR="00A84232" w:rsidRPr="00A84232" w:rsidRDefault="00A84232" w:rsidP="00A84232">
      <w:pPr>
        <w:pStyle w:val="ListParagraph"/>
        <w:spacing w:line="240" w:lineRule="auto"/>
        <w:ind w:left="630"/>
        <w:rPr>
          <w:rFonts w:cs="Arial"/>
          <w:sz w:val="20"/>
        </w:rPr>
      </w:pPr>
    </w:p>
    <w:p w14:paraId="201F0E54" w14:textId="77777777" w:rsidR="007C2C1D" w:rsidRPr="000625B4" w:rsidRDefault="000625B4" w:rsidP="000625B4">
      <w:pPr>
        <w:shd w:val="clear" w:color="auto" w:fill="FFFFFF" w:themeFill="background1"/>
        <w:spacing w:line="240" w:lineRule="auto"/>
      </w:pPr>
      <w:bookmarkStart w:id="5" w:name="_GoBack"/>
      <w:bookmarkEnd w:id="5"/>
      <w:r>
        <w:rPr>
          <w:rFonts w:ascii="Arial" w:eastAsia="Arial" w:hAnsi="Arial" w:cs="Arial"/>
          <w:b/>
          <w:color w:val="000000"/>
          <w:highlight w:val="white"/>
        </w:rPr>
        <w:t>REFERENCES</w:t>
      </w:r>
    </w:p>
    <w:p w14:paraId="17FAA65B" w14:textId="536A1308" w:rsidR="00965492" w:rsidRPr="005048E7" w:rsidRDefault="00965492"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Abad, L. K. L., </w:t>
      </w:r>
      <w:proofErr w:type="spellStart"/>
      <w:r w:rsidRPr="005048E7">
        <w:rPr>
          <w:rFonts w:cs="Arial"/>
          <w:color w:val="000000" w:themeColor="text1"/>
          <w:sz w:val="20"/>
          <w:szCs w:val="20"/>
        </w:rPr>
        <w:t>Angelito</w:t>
      </w:r>
      <w:proofErr w:type="spellEnd"/>
      <w:r w:rsidRPr="005048E7">
        <w:rPr>
          <w:rFonts w:cs="Arial"/>
          <w:color w:val="000000" w:themeColor="text1"/>
          <w:sz w:val="20"/>
          <w:szCs w:val="20"/>
        </w:rPr>
        <w:t xml:space="preserve">, L. A. L., </w:t>
      </w:r>
      <w:proofErr w:type="spellStart"/>
      <w:r w:rsidRPr="005048E7">
        <w:rPr>
          <w:rFonts w:cs="Arial"/>
          <w:color w:val="000000" w:themeColor="text1"/>
          <w:sz w:val="20"/>
          <w:szCs w:val="20"/>
        </w:rPr>
        <w:t>Arceno</w:t>
      </w:r>
      <w:proofErr w:type="spellEnd"/>
      <w:r w:rsidRPr="005048E7">
        <w:rPr>
          <w:rFonts w:cs="Arial"/>
          <w:color w:val="000000" w:themeColor="text1"/>
          <w:sz w:val="20"/>
          <w:szCs w:val="20"/>
        </w:rPr>
        <w:t xml:space="preserve">, M. D., &amp; </w:t>
      </w:r>
      <w:proofErr w:type="spellStart"/>
      <w:r w:rsidRPr="005048E7">
        <w:rPr>
          <w:rFonts w:cs="Arial"/>
          <w:color w:val="000000" w:themeColor="text1"/>
          <w:sz w:val="20"/>
          <w:szCs w:val="20"/>
        </w:rPr>
        <w:t>Sumicad</w:t>
      </w:r>
      <w:proofErr w:type="spellEnd"/>
      <w:r w:rsidRPr="005048E7">
        <w:rPr>
          <w:rFonts w:cs="Arial"/>
          <w:color w:val="000000" w:themeColor="text1"/>
          <w:sz w:val="20"/>
          <w:szCs w:val="20"/>
        </w:rPr>
        <w:t xml:space="preserve"> Jr, E. H. (2025). Financial Status and Literacy, and Retirement Preparedness of Generation X Government Employees. </w:t>
      </w:r>
      <w:r w:rsidRPr="005048E7">
        <w:rPr>
          <w:rFonts w:cs="Arial"/>
          <w:i/>
          <w:iCs/>
          <w:color w:val="000000" w:themeColor="text1"/>
          <w:sz w:val="20"/>
          <w:szCs w:val="20"/>
        </w:rPr>
        <w:t>AKTIVA: Journal of Accountancy and Management</w:t>
      </w:r>
      <w:r w:rsidRPr="005048E7">
        <w:rPr>
          <w:rFonts w:cs="Arial"/>
          <w:color w:val="000000" w:themeColor="text1"/>
          <w:sz w:val="20"/>
          <w:szCs w:val="20"/>
        </w:rPr>
        <w:t>, </w:t>
      </w:r>
      <w:r w:rsidRPr="005048E7">
        <w:rPr>
          <w:rFonts w:cs="Arial"/>
          <w:i/>
          <w:iCs/>
          <w:color w:val="000000" w:themeColor="text1"/>
          <w:sz w:val="20"/>
          <w:szCs w:val="20"/>
        </w:rPr>
        <w:t>3</w:t>
      </w:r>
      <w:r w:rsidRPr="005048E7">
        <w:rPr>
          <w:rFonts w:cs="Arial"/>
          <w:color w:val="000000" w:themeColor="text1"/>
          <w:sz w:val="20"/>
          <w:szCs w:val="20"/>
        </w:rPr>
        <w:t>(1), 13-23.</w:t>
      </w:r>
    </w:p>
    <w:p w14:paraId="72C18586" w14:textId="51A0917F" w:rsidR="004B3821" w:rsidRPr="005048E7" w:rsidRDefault="004B3821"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Almeida, L., </w:t>
      </w:r>
      <w:proofErr w:type="spellStart"/>
      <w:r w:rsidRPr="005048E7">
        <w:rPr>
          <w:rFonts w:cs="Arial"/>
          <w:color w:val="000000" w:themeColor="text1"/>
          <w:sz w:val="20"/>
          <w:szCs w:val="20"/>
        </w:rPr>
        <w:t>Chanoca</w:t>
      </w:r>
      <w:proofErr w:type="spellEnd"/>
      <w:r w:rsidRPr="005048E7">
        <w:rPr>
          <w:rFonts w:cs="Arial"/>
          <w:color w:val="000000" w:themeColor="text1"/>
          <w:sz w:val="20"/>
          <w:szCs w:val="20"/>
        </w:rPr>
        <w:t>, J., &amp; Tavares, F. (2024). Financial Literacy: A Case Study for Portugal. </w:t>
      </w:r>
      <w:r w:rsidRPr="005048E7">
        <w:rPr>
          <w:rFonts w:cs="Arial"/>
          <w:i/>
          <w:iCs/>
          <w:color w:val="000000" w:themeColor="text1"/>
          <w:sz w:val="20"/>
          <w:szCs w:val="20"/>
        </w:rPr>
        <w:t>Journal of Risk and Financial Management</w:t>
      </w:r>
      <w:r w:rsidRPr="005048E7">
        <w:rPr>
          <w:rFonts w:cs="Arial"/>
          <w:color w:val="000000" w:themeColor="text1"/>
          <w:sz w:val="20"/>
          <w:szCs w:val="20"/>
        </w:rPr>
        <w:t>, </w:t>
      </w:r>
      <w:r w:rsidRPr="005048E7">
        <w:rPr>
          <w:rFonts w:cs="Arial"/>
          <w:i/>
          <w:iCs/>
          <w:color w:val="000000" w:themeColor="text1"/>
          <w:sz w:val="20"/>
          <w:szCs w:val="20"/>
        </w:rPr>
        <w:t>17</w:t>
      </w:r>
      <w:r w:rsidRPr="005048E7">
        <w:rPr>
          <w:rFonts w:cs="Arial"/>
          <w:color w:val="000000" w:themeColor="text1"/>
          <w:sz w:val="20"/>
          <w:szCs w:val="20"/>
        </w:rPr>
        <w:t>(5), 215. https://doi.org/10.3390/jrfm17050215</w:t>
      </w:r>
    </w:p>
    <w:p w14:paraId="6271AB87" w14:textId="77777777" w:rsidR="004B3821" w:rsidRPr="005048E7" w:rsidRDefault="004B3821"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Annink</w:t>
      </w:r>
      <w:proofErr w:type="spellEnd"/>
      <w:r w:rsidRPr="005048E7">
        <w:rPr>
          <w:rFonts w:cs="Arial"/>
          <w:color w:val="000000" w:themeColor="text1"/>
          <w:sz w:val="20"/>
          <w:szCs w:val="20"/>
        </w:rPr>
        <w:t xml:space="preserve">, A., </w:t>
      </w:r>
      <w:proofErr w:type="spellStart"/>
      <w:r w:rsidRPr="005048E7">
        <w:rPr>
          <w:rFonts w:cs="Arial"/>
          <w:color w:val="000000" w:themeColor="text1"/>
          <w:sz w:val="20"/>
          <w:szCs w:val="20"/>
        </w:rPr>
        <w:t>Gorgievski</w:t>
      </w:r>
      <w:proofErr w:type="spellEnd"/>
      <w:r w:rsidRPr="005048E7">
        <w:rPr>
          <w:rFonts w:cs="Arial"/>
          <w:color w:val="000000" w:themeColor="text1"/>
          <w:sz w:val="20"/>
          <w:szCs w:val="20"/>
        </w:rPr>
        <w:t xml:space="preserve">, M., and Den </w:t>
      </w:r>
      <w:proofErr w:type="spellStart"/>
      <w:r w:rsidRPr="005048E7">
        <w:rPr>
          <w:rFonts w:cs="Arial"/>
          <w:color w:val="000000" w:themeColor="text1"/>
          <w:sz w:val="20"/>
          <w:szCs w:val="20"/>
        </w:rPr>
        <w:t>Dulk</w:t>
      </w:r>
      <w:proofErr w:type="spellEnd"/>
      <w:r w:rsidRPr="005048E7">
        <w:rPr>
          <w:rFonts w:cs="Arial"/>
          <w:color w:val="000000" w:themeColor="text1"/>
          <w:sz w:val="20"/>
          <w:szCs w:val="20"/>
        </w:rPr>
        <w:t xml:space="preserve">, L. (2016). Financial hardship and well-being: a cross-national comparison among the European self-employed. Eur. J. Work Organ. Psychol. 25, 645-657. </w:t>
      </w:r>
      <w:proofErr w:type="spellStart"/>
      <w:r w:rsidRPr="005048E7">
        <w:rPr>
          <w:rFonts w:cs="Arial"/>
          <w:color w:val="000000" w:themeColor="text1"/>
          <w:sz w:val="20"/>
          <w:szCs w:val="20"/>
        </w:rPr>
        <w:t>doi</w:t>
      </w:r>
      <w:proofErr w:type="spellEnd"/>
      <w:r w:rsidRPr="005048E7">
        <w:rPr>
          <w:rFonts w:cs="Arial"/>
          <w:color w:val="000000" w:themeColor="text1"/>
          <w:sz w:val="20"/>
          <w:szCs w:val="20"/>
        </w:rPr>
        <w:t xml:space="preserve">: 10.1080/1359432X.2016.11 50263 </w:t>
      </w:r>
    </w:p>
    <w:p w14:paraId="1341AF7A" w14:textId="1F537D71" w:rsidR="004B3821" w:rsidRPr="005048E7" w:rsidRDefault="004B3821"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Asebedo</w:t>
      </w:r>
      <w:proofErr w:type="spellEnd"/>
      <w:r w:rsidRPr="005048E7">
        <w:rPr>
          <w:rFonts w:cs="Arial"/>
          <w:color w:val="000000" w:themeColor="text1"/>
          <w:sz w:val="20"/>
          <w:szCs w:val="20"/>
        </w:rPr>
        <w:t>, S. D., &amp; Seay, M. C. (2015). From functioning to flourishing: Applying positive psychology to financial planning. </w:t>
      </w:r>
      <w:r w:rsidRPr="005048E7">
        <w:rPr>
          <w:rFonts w:cs="Arial"/>
          <w:i/>
          <w:iCs/>
          <w:color w:val="000000" w:themeColor="text1"/>
          <w:sz w:val="20"/>
          <w:szCs w:val="20"/>
        </w:rPr>
        <w:t>Journal of Financial Planning</w:t>
      </w:r>
      <w:r w:rsidRPr="005048E7">
        <w:rPr>
          <w:rFonts w:cs="Arial"/>
          <w:color w:val="000000" w:themeColor="text1"/>
          <w:sz w:val="20"/>
          <w:szCs w:val="20"/>
        </w:rPr>
        <w:t>, </w:t>
      </w:r>
      <w:r w:rsidRPr="005048E7">
        <w:rPr>
          <w:rFonts w:cs="Arial"/>
          <w:i/>
          <w:iCs/>
          <w:color w:val="000000" w:themeColor="text1"/>
          <w:sz w:val="20"/>
          <w:szCs w:val="20"/>
        </w:rPr>
        <w:t>28</w:t>
      </w:r>
      <w:r w:rsidRPr="005048E7">
        <w:rPr>
          <w:rFonts w:cs="Arial"/>
          <w:color w:val="000000" w:themeColor="text1"/>
          <w:sz w:val="20"/>
          <w:szCs w:val="20"/>
        </w:rPr>
        <w:t>(11), 50-</w:t>
      </w:r>
      <w:proofErr w:type="gramStart"/>
      <w:r w:rsidRPr="005048E7">
        <w:rPr>
          <w:rFonts w:cs="Arial"/>
          <w:color w:val="000000" w:themeColor="text1"/>
          <w:sz w:val="20"/>
          <w:szCs w:val="20"/>
        </w:rPr>
        <w:t>58.Asebedo</w:t>
      </w:r>
      <w:proofErr w:type="gramEnd"/>
      <w:r w:rsidRPr="005048E7">
        <w:rPr>
          <w:rFonts w:cs="Arial"/>
          <w:color w:val="000000" w:themeColor="text1"/>
          <w:sz w:val="20"/>
          <w:szCs w:val="20"/>
        </w:rPr>
        <w:t>, S., &amp; Payne, P. (2019). Market volatility and financial satisfaction: The role of financial self-efficacy. </w:t>
      </w:r>
      <w:r w:rsidRPr="005048E7">
        <w:rPr>
          <w:rFonts w:cs="Arial"/>
          <w:i/>
          <w:iCs/>
          <w:color w:val="000000" w:themeColor="text1"/>
          <w:sz w:val="20"/>
          <w:szCs w:val="20"/>
        </w:rPr>
        <w:t>Journal of Behavioral Finance</w:t>
      </w:r>
      <w:r w:rsidRPr="005048E7">
        <w:rPr>
          <w:rFonts w:cs="Arial"/>
          <w:color w:val="000000" w:themeColor="text1"/>
          <w:sz w:val="20"/>
          <w:szCs w:val="20"/>
        </w:rPr>
        <w:t>, </w:t>
      </w:r>
      <w:r w:rsidRPr="005048E7">
        <w:rPr>
          <w:rFonts w:cs="Arial"/>
          <w:i/>
          <w:iCs/>
          <w:color w:val="000000" w:themeColor="text1"/>
          <w:sz w:val="20"/>
          <w:szCs w:val="20"/>
        </w:rPr>
        <w:t>20</w:t>
      </w:r>
      <w:r w:rsidRPr="005048E7">
        <w:rPr>
          <w:rFonts w:cs="Arial"/>
          <w:color w:val="000000" w:themeColor="text1"/>
          <w:sz w:val="20"/>
          <w:szCs w:val="20"/>
        </w:rPr>
        <w:t>(1), 42-52.</w:t>
      </w:r>
    </w:p>
    <w:p w14:paraId="40706BDF" w14:textId="77777777" w:rsidR="004B3821" w:rsidRPr="005048E7" w:rsidRDefault="004B3821" w:rsidP="005048E7">
      <w:pPr>
        <w:pStyle w:val="ListParagraph"/>
        <w:numPr>
          <w:ilvl w:val="0"/>
          <w:numId w:val="7"/>
        </w:numPr>
        <w:spacing w:line="240" w:lineRule="auto"/>
        <w:rPr>
          <w:rFonts w:cs="Arial"/>
          <w:color w:val="000000" w:themeColor="text1"/>
          <w:sz w:val="20"/>
          <w:szCs w:val="20"/>
          <w:shd w:val="clear" w:color="auto" w:fill="FFFFFF"/>
        </w:rPr>
      </w:pPr>
      <w:proofErr w:type="spellStart"/>
      <w:r w:rsidRPr="005048E7">
        <w:rPr>
          <w:rFonts w:cs="Arial"/>
          <w:color w:val="000000" w:themeColor="text1"/>
          <w:sz w:val="20"/>
          <w:szCs w:val="20"/>
          <w:shd w:val="clear" w:color="auto" w:fill="FFFFFF"/>
        </w:rPr>
        <w:t>Atmowardoyo</w:t>
      </w:r>
      <w:proofErr w:type="spellEnd"/>
      <w:r w:rsidRPr="005048E7">
        <w:rPr>
          <w:rFonts w:cs="Arial"/>
          <w:color w:val="000000" w:themeColor="text1"/>
          <w:sz w:val="20"/>
          <w:szCs w:val="20"/>
          <w:shd w:val="clear" w:color="auto" w:fill="FFFFFF"/>
        </w:rPr>
        <w:t>, H. (2018). Research methods in TEFL studies: Descriptive research, case study, error analysis, and R &amp; D. </w:t>
      </w:r>
      <w:r w:rsidRPr="005048E7">
        <w:rPr>
          <w:rFonts w:cs="Arial"/>
          <w:i/>
          <w:iCs/>
          <w:color w:val="000000" w:themeColor="text1"/>
          <w:sz w:val="20"/>
          <w:szCs w:val="20"/>
          <w:shd w:val="clear" w:color="auto" w:fill="FFFFFF"/>
        </w:rPr>
        <w:t>Journal of Language Teaching and Research</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9</w:t>
      </w:r>
      <w:r w:rsidRPr="005048E7">
        <w:rPr>
          <w:rFonts w:cs="Arial"/>
          <w:color w:val="000000" w:themeColor="text1"/>
          <w:sz w:val="20"/>
          <w:szCs w:val="20"/>
          <w:shd w:val="clear" w:color="auto" w:fill="FFFFFF"/>
        </w:rPr>
        <w:t>(1), 197-204.</w:t>
      </w:r>
    </w:p>
    <w:p w14:paraId="28A2D615" w14:textId="77777777" w:rsidR="004B3821" w:rsidRPr="005048E7" w:rsidRDefault="004B3821"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Cabarrubias</w:t>
      </w:r>
      <w:proofErr w:type="spellEnd"/>
      <w:r w:rsidRPr="005048E7">
        <w:rPr>
          <w:rFonts w:cs="Arial"/>
          <w:color w:val="000000" w:themeColor="text1"/>
          <w:sz w:val="20"/>
          <w:szCs w:val="20"/>
        </w:rPr>
        <w:t>, K. P. 2016. The Attitudes of Government Employees of the Technological University of the Philippines (TUP) on Early Retirement.</w:t>
      </w:r>
    </w:p>
    <w:p w14:paraId="0754B74E" w14:textId="77777777" w:rsidR="004B3821" w:rsidRPr="005048E7" w:rsidRDefault="004B3821"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Choi, Y. C., and Jang, J. H. (2016). Relationships among social policy factors, national competitiveness, and happiness. Appl. Res. Qual. Life 11, 1189-1205. </w:t>
      </w:r>
      <w:proofErr w:type="spellStart"/>
      <w:r w:rsidRPr="005048E7">
        <w:rPr>
          <w:rFonts w:cs="Arial"/>
          <w:color w:val="000000" w:themeColor="text1"/>
          <w:sz w:val="20"/>
          <w:szCs w:val="20"/>
        </w:rPr>
        <w:t>doi</w:t>
      </w:r>
      <w:proofErr w:type="spellEnd"/>
      <w:r w:rsidRPr="005048E7">
        <w:rPr>
          <w:rFonts w:cs="Arial"/>
          <w:color w:val="000000" w:themeColor="text1"/>
          <w:sz w:val="20"/>
          <w:szCs w:val="20"/>
        </w:rPr>
        <w:t xml:space="preserve">: 10.1007/s11482-015-9429-4 </w:t>
      </w:r>
    </w:p>
    <w:p w14:paraId="30DEE47A" w14:textId="5EFD5FEF" w:rsidR="004B3821" w:rsidRPr="005048E7" w:rsidRDefault="004B3821"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Ekici</w:t>
      </w:r>
      <w:proofErr w:type="spellEnd"/>
      <w:r w:rsidRPr="005048E7">
        <w:rPr>
          <w:rFonts w:cs="Arial"/>
          <w:color w:val="000000" w:themeColor="text1"/>
          <w:sz w:val="20"/>
          <w:szCs w:val="20"/>
        </w:rPr>
        <w:t xml:space="preserve">, T., and </w:t>
      </w:r>
      <w:proofErr w:type="spellStart"/>
      <w:r w:rsidRPr="005048E7">
        <w:rPr>
          <w:rFonts w:cs="Arial"/>
          <w:color w:val="000000" w:themeColor="text1"/>
          <w:sz w:val="20"/>
          <w:szCs w:val="20"/>
        </w:rPr>
        <w:t>Koydemir</w:t>
      </w:r>
      <w:proofErr w:type="spellEnd"/>
      <w:r w:rsidRPr="005048E7">
        <w:rPr>
          <w:rFonts w:cs="Arial"/>
          <w:color w:val="000000" w:themeColor="text1"/>
          <w:sz w:val="20"/>
          <w:szCs w:val="20"/>
        </w:rPr>
        <w:t xml:space="preserve">, S. (2016). Income expectations and happiness: evidence from British panel data. Appl. Res. Qual. Life 11, 539-552. </w:t>
      </w:r>
      <w:proofErr w:type="spellStart"/>
      <w:r w:rsidRPr="005048E7">
        <w:rPr>
          <w:rFonts w:cs="Arial"/>
          <w:color w:val="000000" w:themeColor="text1"/>
          <w:sz w:val="20"/>
          <w:szCs w:val="20"/>
        </w:rPr>
        <w:t>doi</w:t>
      </w:r>
      <w:proofErr w:type="spellEnd"/>
      <w:r w:rsidRPr="005048E7">
        <w:rPr>
          <w:rFonts w:cs="Arial"/>
          <w:color w:val="000000" w:themeColor="text1"/>
          <w:sz w:val="20"/>
          <w:szCs w:val="20"/>
        </w:rPr>
        <w:t xml:space="preserve">: </w:t>
      </w:r>
      <w:r w:rsidRPr="005048E7">
        <w:rPr>
          <w:rFonts w:cs="Arial"/>
          <w:color w:val="000000" w:themeColor="text1"/>
          <w:sz w:val="20"/>
          <w:szCs w:val="20"/>
          <w:shd w:val="clear" w:color="auto" w:fill="FFFFFF"/>
        </w:rPr>
        <w:t xml:space="preserve">Estela-Delgado, B., Montenegro, G., </w:t>
      </w:r>
      <w:proofErr w:type="spellStart"/>
      <w:r w:rsidRPr="005048E7">
        <w:rPr>
          <w:rFonts w:cs="Arial"/>
          <w:color w:val="000000" w:themeColor="text1"/>
          <w:sz w:val="20"/>
          <w:szCs w:val="20"/>
          <w:shd w:val="clear" w:color="auto" w:fill="FFFFFF"/>
        </w:rPr>
        <w:t>Paan</w:t>
      </w:r>
      <w:proofErr w:type="spellEnd"/>
      <w:r w:rsidRPr="005048E7">
        <w:rPr>
          <w:rFonts w:cs="Arial"/>
          <w:color w:val="000000" w:themeColor="text1"/>
          <w:sz w:val="20"/>
          <w:szCs w:val="20"/>
          <w:shd w:val="clear" w:color="auto" w:fill="FFFFFF"/>
        </w:rPr>
        <w:t xml:space="preserve">, J., Morales-García, W. C., Castillo-Blanco, R., </w:t>
      </w:r>
      <w:proofErr w:type="spellStart"/>
      <w:r w:rsidRPr="005048E7">
        <w:rPr>
          <w:rFonts w:cs="Arial"/>
          <w:color w:val="000000" w:themeColor="text1"/>
          <w:sz w:val="20"/>
          <w:szCs w:val="20"/>
          <w:shd w:val="clear" w:color="auto" w:fill="FFFFFF"/>
        </w:rPr>
        <w:t>Sairitupa</w:t>
      </w:r>
      <w:proofErr w:type="spellEnd"/>
      <w:r w:rsidRPr="005048E7">
        <w:rPr>
          <w:rFonts w:cs="Arial"/>
          <w:color w:val="000000" w:themeColor="text1"/>
          <w:sz w:val="20"/>
          <w:szCs w:val="20"/>
          <w:shd w:val="clear" w:color="auto" w:fill="FFFFFF"/>
        </w:rPr>
        <w:t xml:space="preserve">-Sanchez, L., &amp; </w:t>
      </w:r>
      <w:proofErr w:type="spellStart"/>
      <w:r w:rsidRPr="005048E7">
        <w:rPr>
          <w:rFonts w:cs="Arial"/>
          <w:color w:val="000000" w:themeColor="text1"/>
          <w:sz w:val="20"/>
          <w:szCs w:val="20"/>
          <w:shd w:val="clear" w:color="auto" w:fill="FFFFFF"/>
        </w:rPr>
        <w:t>Saintila</w:t>
      </w:r>
      <w:proofErr w:type="spellEnd"/>
      <w:r w:rsidRPr="005048E7">
        <w:rPr>
          <w:rFonts w:cs="Arial"/>
          <w:color w:val="000000" w:themeColor="text1"/>
          <w:sz w:val="20"/>
          <w:szCs w:val="20"/>
          <w:shd w:val="clear" w:color="auto" w:fill="FFFFFF"/>
        </w:rPr>
        <w:t>, J. (2023). Personal well-being and financial threats in Peruvian adults: The mediating role of financial well-being. </w:t>
      </w:r>
      <w:r w:rsidRPr="005048E7">
        <w:rPr>
          <w:rFonts w:cs="Arial"/>
          <w:i/>
          <w:iCs/>
          <w:color w:val="000000" w:themeColor="text1"/>
          <w:sz w:val="20"/>
          <w:szCs w:val="20"/>
          <w:shd w:val="clear" w:color="auto" w:fill="FFFFFF"/>
        </w:rPr>
        <w:t>Frontiers in Psychology</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13</w:t>
      </w:r>
      <w:r w:rsidRPr="005048E7">
        <w:rPr>
          <w:rFonts w:cs="Arial"/>
          <w:color w:val="000000" w:themeColor="text1"/>
          <w:sz w:val="20"/>
          <w:szCs w:val="20"/>
          <w:shd w:val="clear" w:color="auto" w:fill="FFFFFF"/>
        </w:rPr>
        <w:t>, 1084731.</w:t>
      </w:r>
    </w:p>
    <w:p w14:paraId="172ABAE7" w14:textId="41EC78AD" w:rsidR="005048E7" w:rsidRPr="00064E06" w:rsidRDefault="005048E7"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lastRenderedPageBreak/>
        <w:t xml:space="preserve">Gallardo, M. L. C., &amp; </w:t>
      </w:r>
      <w:proofErr w:type="spellStart"/>
      <w:r w:rsidRPr="005048E7">
        <w:rPr>
          <w:rFonts w:cs="Arial"/>
          <w:color w:val="000000" w:themeColor="text1"/>
          <w:sz w:val="20"/>
          <w:szCs w:val="20"/>
        </w:rPr>
        <w:t>Libot</w:t>
      </w:r>
      <w:proofErr w:type="spellEnd"/>
      <w:r w:rsidRPr="005048E7">
        <w:rPr>
          <w:rFonts w:cs="Arial"/>
          <w:color w:val="000000" w:themeColor="text1"/>
          <w:sz w:val="20"/>
          <w:szCs w:val="20"/>
        </w:rPr>
        <w:t>, B. (2017). Financial literacy and retirement preparedness among University of Bohol employees. </w:t>
      </w:r>
      <w:r w:rsidRPr="005048E7">
        <w:rPr>
          <w:rFonts w:cs="Arial"/>
          <w:i/>
          <w:iCs/>
          <w:color w:val="000000" w:themeColor="text1"/>
          <w:sz w:val="20"/>
          <w:szCs w:val="20"/>
        </w:rPr>
        <w:t xml:space="preserve">University of Bohol Multidisciplinary Research </w:t>
      </w:r>
      <w:r w:rsidRPr="00064E06">
        <w:rPr>
          <w:rFonts w:cs="Arial"/>
          <w:i/>
          <w:iCs/>
          <w:color w:val="000000" w:themeColor="text1"/>
          <w:sz w:val="20"/>
          <w:szCs w:val="20"/>
        </w:rPr>
        <w:t>Journal</w:t>
      </w:r>
      <w:r w:rsidRPr="00064E06">
        <w:rPr>
          <w:rFonts w:cs="Arial"/>
          <w:color w:val="000000" w:themeColor="text1"/>
          <w:sz w:val="20"/>
          <w:szCs w:val="20"/>
        </w:rPr>
        <w:t>, </w:t>
      </w:r>
      <w:r w:rsidRPr="00064E06">
        <w:rPr>
          <w:rFonts w:cs="Arial"/>
          <w:i/>
          <w:iCs/>
          <w:color w:val="000000" w:themeColor="text1"/>
          <w:sz w:val="20"/>
          <w:szCs w:val="20"/>
        </w:rPr>
        <w:t>5</w:t>
      </w:r>
      <w:r w:rsidRPr="00064E06">
        <w:rPr>
          <w:rFonts w:cs="Arial"/>
          <w:color w:val="000000" w:themeColor="text1"/>
          <w:sz w:val="20"/>
          <w:szCs w:val="20"/>
        </w:rPr>
        <w:t>, 14-29.</w:t>
      </w:r>
    </w:p>
    <w:p w14:paraId="310F453F" w14:textId="4CB79365" w:rsidR="00064E06" w:rsidRDefault="00064E06" w:rsidP="00064E06">
      <w:pPr>
        <w:pStyle w:val="ListParagraph"/>
        <w:numPr>
          <w:ilvl w:val="0"/>
          <w:numId w:val="7"/>
        </w:numPr>
        <w:spacing w:line="240" w:lineRule="auto"/>
        <w:rPr>
          <w:rFonts w:cs="Arial"/>
          <w:color w:val="000000" w:themeColor="text1"/>
          <w:sz w:val="20"/>
          <w:szCs w:val="20"/>
        </w:rPr>
      </w:pPr>
      <w:r w:rsidRPr="00064E06">
        <w:rPr>
          <w:rFonts w:cs="Arial"/>
          <w:color w:val="000000" w:themeColor="text1"/>
          <w:sz w:val="20"/>
          <w:szCs w:val="20"/>
        </w:rPr>
        <w:t xml:space="preserve">Farrell, L., Fry, T. R., &amp; </w:t>
      </w:r>
      <w:proofErr w:type="spellStart"/>
      <w:r w:rsidRPr="00064E06">
        <w:rPr>
          <w:rFonts w:cs="Arial"/>
          <w:color w:val="000000" w:themeColor="text1"/>
          <w:sz w:val="20"/>
          <w:szCs w:val="20"/>
        </w:rPr>
        <w:t>Risse</w:t>
      </w:r>
      <w:proofErr w:type="spellEnd"/>
      <w:r w:rsidRPr="00064E06">
        <w:rPr>
          <w:rFonts w:cs="Arial"/>
          <w:color w:val="000000" w:themeColor="text1"/>
          <w:sz w:val="20"/>
          <w:szCs w:val="20"/>
        </w:rPr>
        <w:t xml:space="preserve">, L. (2016). The significance of financial self-efficacy in explaining women’s personal finance </w:t>
      </w:r>
      <w:proofErr w:type="spellStart"/>
      <w:r w:rsidRPr="00064E06">
        <w:rPr>
          <w:rFonts w:cs="Arial"/>
          <w:color w:val="000000" w:themeColor="text1"/>
          <w:sz w:val="20"/>
          <w:szCs w:val="20"/>
        </w:rPr>
        <w:t>behaviour</w:t>
      </w:r>
      <w:proofErr w:type="spellEnd"/>
      <w:r w:rsidRPr="00064E06">
        <w:rPr>
          <w:rFonts w:cs="Arial"/>
          <w:color w:val="000000" w:themeColor="text1"/>
          <w:sz w:val="20"/>
          <w:szCs w:val="20"/>
        </w:rPr>
        <w:t>. </w:t>
      </w:r>
      <w:r w:rsidRPr="00064E06">
        <w:rPr>
          <w:rFonts w:cs="Arial"/>
          <w:i/>
          <w:iCs/>
          <w:color w:val="000000" w:themeColor="text1"/>
          <w:sz w:val="20"/>
          <w:szCs w:val="20"/>
        </w:rPr>
        <w:t>Journal of economic psychology</w:t>
      </w:r>
      <w:r w:rsidRPr="00064E06">
        <w:rPr>
          <w:rFonts w:cs="Arial"/>
          <w:color w:val="000000" w:themeColor="text1"/>
          <w:sz w:val="20"/>
          <w:szCs w:val="20"/>
        </w:rPr>
        <w:t>, </w:t>
      </w:r>
      <w:r w:rsidRPr="00064E06">
        <w:rPr>
          <w:rFonts w:cs="Arial"/>
          <w:i/>
          <w:iCs/>
          <w:color w:val="000000" w:themeColor="text1"/>
          <w:sz w:val="20"/>
          <w:szCs w:val="20"/>
        </w:rPr>
        <w:t>54</w:t>
      </w:r>
      <w:r w:rsidRPr="00064E06">
        <w:rPr>
          <w:rFonts w:cs="Arial"/>
          <w:color w:val="000000" w:themeColor="text1"/>
          <w:sz w:val="20"/>
          <w:szCs w:val="20"/>
        </w:rPr>
        <w:t>, 85-99.</w:t>
      </w:r>
    </w:p>
    <w:p w14:paraId="41EA8074" w14:textId="61750AC5" w:rsidR="0037002E" w:rsidRPr="00064E06" w:rsidRDefault="0037002E" w:rsidP="00064E06">
      <w:pPr>
        <w:pStyle w:val="ListParagraph"/>
        <w:numPr>
          <w:ilvl w:val="0"/>
          <w:numId w:val="7"/>
        </w:numPr>
        <w:spacing w:line="240" w:lineRule="auto"/>
        <w:rPr>
          <w:rFonts w:cs="Arial"/>
          <w:color w:val="000000" w:themeColor="text1"/>
          <w:sz w:val="20"/>
          <w:szCs w:val="20"/>
        </w:rPr>
      </w:pPr>
      <w:r w:rsidRPr="0037002E">
        <w:rPr>
          <w:rFonts w:cs="Arial"/>
          <w:color w:val="000000" w:themeColor="text1"/>
          <w:sz w:val="20"/>
          <w:szCs w:val="20"/>
        </w:rPr>
        <w:t>French, E. (2022). </w:t>
      </w:r>
      <w:r w:rsidRPr="0037002E">
        <w:rPr>
          <w:rFonts w:cs="Arial"/>
          <w:i/>
          <w:iCs/>
          <w:color w:val="000000" w:themeColor="text1"/>
          <w:sz w:val="20"/>
          <w:szCs w:val="20"/>
        </w:rPr>
        <w:t>Savings after retirement</w:t>
      </w:r>
      <w:r w:rsidRPr="0037002E">
        <w:rPr>
          <w:rFonts w:cs="Arial"/>
          <w:color w:val="000000" w:themeColor="text1"/>
          <w:sz w:val="20"/>
          <w:szCs w:val="20"/>
        </w:rPr>
        <w:t> (No. 2022-13). Research Report.</w:t>
      </w:r>
    </w:p>
    <w:p w14:paraId="76C76EF1" w14:textId="0F2E9778" w:rsidR="00185EFC" w:rsidRDefault="00B72B5A"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Klapper</w:t>
      </w:r>
      <w:proofErr w:type="spellEnd"/>
      <w:r w:rsidRPr="005048E7">
        <w:rPr>
          <w:rFonts w:cs="Arial"/>
          <w:color w:val="000000" w:themeColor="text1"/>
          <w:sz w:val="20"/>
          <w:szCs w:val="20"/>
        </w:rPr>
        <w:t xml:space="preserve">, L., Singer, D., Ansar, S., &amp; Hess, J. R. (2019). Financial Risk Management in Agriculture: Analyzing Data from a New Module of the Global </w:t>
      </w:r>
      <w:proofErr w:type="spellStart"/>
      <w:r w:rsidRPr="005048E7">
        <w:rPr>
          <w:rFonts w:cs="Arial"/>
          <w:color w:val="000000" w:themeColor="text1"/>
          <w:sz w:val="20"/>
          <w:szCs w:val="20"/>
        </w:rPr>
        <w:t>Findex</w:t>
      </w:r>
      <w:proofErr w:type="spellEnd"/>
      <w:r w:rsidRPr="005048E7">
        <w:rPr>
          <w:rFonts w:cs="Arial"/>
          <w:color w:val="000000" w:themeColor="text1"/>
          <w:sz w:val="20"/>
          <w:szCs w:val="20"/>
        </w:rPr>
        <w:t xml:space="preserve"> Database. </w:t>
      </w:r>
      <w:r w:rsidRPr="005048E7">
        <w:rPr>
          <w:rFonts w:cs="Arial"/>
          <w:i/>
          <w:iCs/>
          <w:color w:val="000000" w:themeColor="text1"/>
          <w:sz w:val="20"/>
          <w:szCs w:val="20"/>
        </w:rPr>
        <w:t>World Bank Policy Research Working Paper</w:t>
      </w:r>
      <w:r w:rsidRPr="005048E7">
        <w:rPr>
          <w:rFonts w:cs="Arial"/>
          <w:color w:val="000000" w:themeColor="text1"/>
          <w:sz w:val="20"/>
          <w:szCs w:val="20"/>
        </w:rPr>
        <w:t>, (9078).</w:t>
      </w:r>
    </w:p>
    <w:p w14:paraId="7137C1EF" w14:textId="15CFDDF8" w:rsidR="00197059" w:rsidRPr="005048E7" w:rsidRDefault="00197059" w:rsidP="005048E7">
      <w:pPr>
        <w:pStyle w:val="ListParagraph"/>
        <w:numPr>
          <w:ilvl w:val="0"/>
          <w:numId w:val="7"/>
        </w:numPr>
        <w:spacing w:line="240" w:lineRule="auto"/>
        <w:rPr>
          <w:rFonts w:cs="Arial"/>
          <w:color w:val="000000" w:themeColor="text1"/>
          <w:sz w:val="20"/>
          <w:szCs w:val="20"/>
        </w:rPr>
      </w:pPr>
      <w:r w:rsidRPr="00197059">
        <w:rPr>
          <w:rFonts w:cs="Arial"/>
          <w:color w:val="000000" w:themeColor="text1"/>
          <w:sz w:val="20"/>
          <w:szCs w:val="20"/>
        </w:rPr>
        <w:t>Lin, Z., &amp; Pei, X. (2016). Intergenerational exchange of resources and elderly support in rural China. </w:t>
      </w:r>
      <w:r w:rsidRPr="00197059">
        <w:rPr>
          <w:rFonts w:cs="Arial"/>
          <w:i/>
          <w:iCs/>
          <w:color w:val="000000" w:themeColor="text1"/>
          <w:sz w:val="20"/>
          <w:szCs w:val="20"/>
        </w:rPr>
        <w:t>The International Journal of Aging and Human Development</w:t>
      </w:r>
      <w:r w:rsidRPr="00197059">
        <w:rPr>
          <w:rFonts w:cs="Arial"/>
          <w:color w:val="000000" w:themeColor="text1"/>
          <w:sz w:val="20"/>
          <w:szCs w:val="20"/>
        </w:rPr>
        <w:t>, </w:t>
      </w:r>
      <w:r w:rsidRPr="00197059">
        <w:rPr>
          <w:rFonts w:cs="Arial"/>
          <w:i/>
          <w:iCs/>
          <w:color w:val="000000" w:themeColor="text1"/>
          <w:sz w:val="20"/>
          <w:szCs w:val="20"/>
        </w:rPr>
        <w:t>83</w:t>
      </w:r>
      <w:r w:rsidRPr="00197059">
        <w:rPr>
          <w:rFonts w:cs="Arial"/>
          <w:color w:val="000000" w:themeColor="text1"/>
          <w:sz w:val="20"/>
          <w:szCs w:val="20"/>
        </w:rPr>
        <w:t>(2), 108-127.</w:t>
      </w:r>
    </w:p>
    <w:p w14:paraId="70DB2DF0"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shd w:val="clear" w:color="auto" w:fill="FFFFFF"/>
        </w:rPr>
        <w:t>Lusardi, A. (2019). Financial literacy and the need for financial education: evidence and implications. </w:t>
      </w:r>
      <w:r w:rsidRPr="005048E7">
        <w:rPr>
          <w:rFonts w:cs="Arial"/>
          <w:i/>
          <w:iCs/>
          <w:color w:val="000000" w:themeColor="text1"/>
          <w:sz w:val="20"/>
          <w:szCs w:val="20"/>
          <w:shd w:val="clear" w:color="auto" w:fill="FFFFFF"/>
        </w:rPr>
        <w:t>Swiss journal of economics and statistics</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155</w:t>
      </w:r>
      <w:r w:rsidRPr="005048E7">
        <w:rPr>
          <w:rFonts w:cs="Arial"/>
          <w:color w:val="000000" w:themeColor="text1"/>
          <w:sz w:val="20"/>
          <w:szCs w:val="20"/>
          <w:shd w:val="clear" w:color="auto" w:fill="FFFFFF"/>
        </w:rPr>
        <w:t>(1), 1-8.</w:t>
      </w:r>
    </w:p>
    <w:p w14:paraId="237E5197"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Lusardi, A., &amp; Mitchell, O. S. (2015). The economic importance of financial literacy: Theory and evidence. </w:t>
      </w:r>
      <w:r w:rsidRPr="005048E7">
        <w:rPr>
          <w:rFonts w:cs="Arial"/>
          <w:i/>
          <w:iCs/>
          <w:color w:val="000000" w:themeColor="text1"/>
          <w:sz w:val="20"/>
          <w:szCs w:val="20"/>
        </w:rPr>
        <w:t>American Economic Journal: Journal of Economic Literature</w:t>
      </w:r>
      <w:r w:rsidRPr="005048E7">
        <w:rPr>
          <w:rFonts w:cs="Arial"/>
          <w:color w:val="000000" w:themeColor="text1"/>
          <w:sz w:val="20"/>
          <w:szCs w:val="20"/>
        </w:rPr>
        <w:t>, </w:t>
      </w:r>
      <w:r w:rsidRPr="005048E7">
        <w:rPr>
          <w:rFonts w:cs="Arial"/>
          <w:i/>
          <w:iCs/>
          <w:color w:val="000000" w:themeColor="text1"/>
          <w:sz w:val="20"/>
          <w:szCs w:val="20"/>
        </w:rPr>
        <w:t>52</w:t>
      </w:r>
      <w:r w:rsidRPr="005048E7">
        <w:rPr>
          <w:rFonts w:cs="Arial"/>
          <w:color w:val="000000" w:themeColor="text1"/>
          <w:sz w:val="20"/>
          <w:szCs w:val="20"/>
        </w:rPr>
        <w:t>(1), 5-44.</w:t>
      </w:r>
    </w:p>
    <w:p w14:paraId="400CDC02"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Lusardi, A., &amp; Mitchell, O. S. (2017). How ordinary consumers make complex economic decisions: Financial literacy and retirement readiness. Quarterly Journal of Finance, 7(03), 1750008.</w:t>
      </w:r>
    </w:p>
    <w:p w14:paraId="4860FD83"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shd w:val="clear" w:color="auto" w:fill="FFFFFF"/>
        </w:rPr>
        <w:t>Lusardi, A., &amp; Mitchell, O. S. (2017). The economic importance of financial literacy: Theory and evidence. </w:t>
      </w:r>
      <w:r w:rsidRPr="005048E7">
        <w:rPr>
          <w:rFonts w:cs="Arial"/>
          <w:i/>
          <w:iCs/>
          <w:color w:val="000000" w:themeColor="text1"/>
          <w:sz w:val="20"/>
          <w:szCs w:val="20"/>
          <w:shd w:val="clear" w:color="auto" w:fill="FFFFFF"/>
        </w:rPr>
        <w:t>American Economic Journal: Journal of Economic Literature</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52</w:t>
      </w:r>
      <w:r w:rsidRPr="005048E7">
        <w:rPr>
          <w:rFonts w:cs="Arial"/>
          <w:color w:val="000000" w:themeColor="text1"/>
          <w:sz w:val="20"/>
          <w:szCs w:val="20"/>
          <w:shd w:val="clear" w:color="auto" w:fill="FFFFFF"/>
        </w:rPr>
        <w:t>(1), 5-44.</w:t>
      </w:r>
    </w:p>
    <w:p w14:paraId="4BEA5AB0"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Lusardi, A., &amp; Mitchell, O. S. (2017). </w:t>
      </w:r>
      <w:r w:rsidRPr="005048E7">
        <w:rPr>
          <w:rFonts w:cs="Arial"/>
          <w:i/>
          <w:iCs/>
          <w:color w:val="000000" w:themeColor="text1"/>
          <w:sz w:val="20"/>
          <w:szCs w:val="20"/>
        </w:rPr>
        <w:t>Financial literacy and planning: Implications for retirement wellbeing</w:t>
      </w:r>
      <w:r w:rsidRPr="005048E7">
        <w:rPr>
          <w:rFonts w:cs="Arial"/>
          <w:color w:val="000000" w:themeColor="text1"/>
          <w:sz w:val="20"/>
          <w:szCs w:val="20"/>
        </w:rPr>
        <w:t> (No. w17078). National Bureau of Economic Research.</w:t>
      </w:r>
    </w:p>
    <w:p w14:paraId="78A5F271"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Lusardi, A., Hasler, A., &amp; </w:t>
      </w:r>
      <w:proofErr w:type="spellStart"/>
      <w:r w:rsidRPr="005048E7">
        <w:rPr>
          <w:rFonts w:cs="Arial"/>
          <w:color w:val="000000" w:themeColor="text1"/>
          <w:sz w:val="20"/>
          <w:szCs w:val="20"/>
        </w:rPr>
        <w:t>Yakoboski</w:t>
      </w:r>
      <w:proofErr w:type="spellEnd"/>
      <w:r w:rsidRPr="005048E7">
        <w:rPr>
          <w:rFonts w:cs="Arial"/>
          <w:color w:val="000000" w:themeColor="text1"/>
          <w:sz w:val="20"/>
          <w:szCs w:val="20"/>
        </w:rPr>
        <w:t>, P. J. (2021). Building up financial literacy and financial resilience. </w:t>
      </w:r>
      <w:r w:rsidRPr="005048E7">
        <w:rPr>
          <w:rFonts w:cs="Arial"/>
          <w:i/>
          <w:iCs/>
          <w:color w:val="000000" w:themeColor="text1"/>
          <w:sz w:val="20"/>
          <w:szCs w:val="20"/>
        </w:rPr>
        <w:t>Mind &amp; Society</w:t>
      </w:r>
      <w:r w:rsidRPr="005048E7">
        <w:rPr>
          <w:rFonts w:cs="Arial"/>
          <w:color w:val="000000" w:themeColor="text1"/>
          <w:sz w:val="20"/>
          <w:szCs w:val="20"/>
        </w:rPr>
        <w:t>, </w:t>
      </w:r>
      <w:r w:rsidRPr="005048E7">
        <w:rPr>
          <w:rFonts w:cs="Arial"/>
          <w:i/>
          <w:iCs/>
          <w:color w:val="000000" w:themeColor="text1"/>
          <w:sz w:val="20"/>
          <w:szCs w:val="20"/>
        </w:rPr>
        <w:t>20</w:t>
      </w:r>
      <w:r w:rsidRPr="005048E7">
        <w:rPr>
          <w:rFonts w:cs="Arial"/>
          <w:color w:val="000000" w:themeColor="text1"/>
          <w:sz w:val="20"/>
          <w:szCs w:val="20"/>
        </w:rPr>
        <w:t>, 181-187.</w:t>
      </w:r>
    </w:p>
    <w:p w14:paraId="1152D775" w14:textId="77777777" w:rsidR="00185EFC" w:rsidRPr="005048E7" w:rsidRDefault="00185EFC"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Madero-</w:t>
      </w:r>
      <w:proofErr w:type="spellStart"/>
      <w:r w:rsidRPr="005048E7">
        <w:rPr>
          <w:rFonts w:cs="Arial"/>
          <w:color w:val="000000" w:themeColor="text1"/>
          <w:sz w:val="20"/>
          <w:szCs w:val="20"/>
        </w:rPr>
        <w:t>Cabib</w:t>
      </w:r>
      <w:proofErr w:type="spellEnd"/>
      <w:r w:rsidRPr="005048E7">
        <w:rPr>
          <w:rFonts w:cs="Arial"/>
          <w:color w:val="000000" w:themeColor="text1"/>
          <w:sz w:val="20"/>
          <w:szCs w:val="20"/>
        </w:rPr>
        <w:t xml:space="preserve">, I., Le </w:t>
      </w:r>
      <w:proofErr w:type="spellStart"/>
      <w:r w:rsidRPr="005048E7">
        <w:rPr>
          <w:rFonts w:cs="Arial"/>
          <w:color w:val="000000" w:themeColor="text1"/>
          <w:sz w:val="20"/>
          <w:szCs w:val="20"/>
        </w:rPr>
        <w:t>Feuvre</w:t>
      </w:r>
      <w:proofErr w:type="spellEnd"/>
      <w:r w:rsidRPr="005048E7">
        <w:rPr>
          <w:rFonts w:cs="Arial"/>
          <w:color w:val="000000" w:themeColor="text1"/>
          <w:sz w:val="20"/>
          <w:szCs w:val="20"/>
        </w:rPr>
        <w:t xml:space="preserve">, N., &amp; König, S. (2023). Gendered retirement pathways across </w:t>
      </w:r>
      <w:proofErr w:type="spellStart"/>
      <w:r w:rsidRPr="005048E7">
        <w:rPr>
          <w:rFonts w:cs="Arial"/>
          <w:color w:val="000000" w:themeColor="text1"/>
          <w:sz w:val="20"/>
          <w:szCs w:val="20"/>
        </w:rPr>
        <w:t>lifecourse</w:t>
      </w:r>
      <w:proofErr w:type="spellEnd"/>
      <w:r w:rsidRPr="005048E7">
        <w:rPr>
          <w:rFonts w:cs="Arial"/>
          <w:color w:val="000000" w:themeColor="text1"/>
          <w:sz w:val="20"/>
          <w:szCs w:val="20"/>
        </w:rPr>
        <w:t xml:space="preserve"> regimes. </w:t>
      </w:r>
      <w:r w:rsidRPr="005048E7">
        <w:rPr>
          <w:rFonts w:cs="Arial"/>
          <w:i/>
          <w:iCs/>
          <w:color w:val="000000" w:themeColor="text1"/>
          <w:sz w:val="20"/>
          <w:szCs w:val="20"/>
        </w:rPr>
        <w:t>Ageing &amp; Society</w:t>
      </w:r>
      <w:r w:rsidRPr="005048E7">
        <w:rPr>
          <w:rFonts w:cs="Arial"/>
          <w:color w:val="000000" w:themeColor="text1"/>
          <w:sz w:val="20"/>
          <w:szCs w:val="20"/>
        </w:rPr>
        <w:t>, </w:t>
      </w:r>
      <w:r w:rsidRPr="005048E7">
        <w:rPr>
          <w:rFonts w:cs="Arial"/>
          <w:i/>
          <w:iCs/>
          <w:color w:val="000000" w:themeColor="text1"/>
          <w:sz w:val="20"/>
          <w:szCs w:val="20"/>
        </w:rPr>
        <w:t>43</w:t>
      </w:r>
      <w:r w:rsidRPr="005048E7">
        <w:rPr>
          <w:rFonts w:cs="Arial"/>
          <w:color w:val="000000" w:themeColor="text1"/>
          <w:sz w:val="20"/>
          <w:szCs w:val="20"/>
        </w:rPr>
        <w:t>(10), 2394-2423.</w:t>
      </w:r>
    </w:p>
    <w:p w14:paraId="24B52957" w14:textId="3BA19C8D" w:rsidR="005048E7" w:rsidRDefault="005048E7"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OECD. (2019). An OECD learning framework 2030. In </w:t>
      </w:r>
      <w:r w:rsidRPr="005048E7">
        <w:rPr>
          <w:rFonts w:cs="Arial"/>
          <w:i/>
          <w:iCs/>
          <w:color w:val="000000" w:themeColor="text1"/>
          <w:sz w:val="20"/>
          <w:szCs w:val="20"/>
        </w:rPr>
        <w:t>The future of education and labor</w:t>
      </w:r>
      <w:r w:rsidRPr="005048E7">
        <w:rPr>
          <w:rFonts w:cs="Arial"/>
          <w:color w:val="000000" w:themeColor="text1"/>
          <w:sz w:val="20"/>
          <w:szCs w:val="20"/>
        </w:rPr>
        <w:t> (pp. 23-35). Cham: Springer International Publishing.</w:t>
      </w:r>
    </w:p>
    <w:p w14:paraId="7085E4BC" w14:textId="55584382" w:rsidR="005048E7" w:rsidRPr="005048E7" w:rsidRDefault="005048E7"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Kim, J. A., Lim, J., </w:t>
      </w:r>
      <w:proofErr w:type="spellStart"/>
      <w:r w:rsidRPr="005048E7">
        <w:rPr>
          <w:rFonts w:cs="Arial"/>
          <w:color w:val="000000" w:themeColor="text1"/>
          <w:sz w:val="20"/>
          <w:szCs w:val="20"/>
        </w:rPr>
        <w:t>Naren</w:t>
      </w:r>
      <w:proofErr w:type="spellEnd"/>
      <w:r w:rsidRPr="005048E7">
        <w:rPr>
          <w:rFonts w:cs="Arial"/>
          <w:color w:val="000000" w:themeColor="text1"/>
          <w:sz w:val="20"/>
          <w:szCs w:val="20"/>
        </w:rPr>
        <w:t>, R., Yun, H. S., &amp; Park, E. K. (2016). Effect of the biodegradation rate controlled by pore structures in magnesium phosphate ceramic scaffolds on bone tissue regeneration in vivo. </w:t>
      </w:r>
      <w:r w:rsidRPr="005048E7">
        <w:rPr>
          <w:rFonts w:cs="Arial"/>
          <w:i/>
          <w:iCs/>
          <w:color w:val="000000" w:themeColor="text1"/>
          <w:sz w:val="20"/>
          <w:szCs w:val="20"/>
        </w:rPr>
        <w:t xml:space="preserve">Acta </w:t>
      </w:r>
      <w:proofErr w:type="spellStart"/>
      <w:r w:rsidRPr="005048E7">
        <w:rPr>
          <w:rFonts w:cs="Arial"/>
          <w:i/>
          <w:iCs/>
          <w:color w:val="000000" w:themeColor="text1"/>
          <w:sz w:val="20"/>
          <w:szCs w:val="20"/>
        </w:rPr>
        <w:t>biomaterialia</w:t>
      </w:r>
      <w:proofErr w:type="spellEnd"/>
      <w:r w:rsidRPr="005048E7">
        <w:rPr>
          <w:rFonts w:cs="Arial"/>
          <w:color w:val="000000" w:themeColor="text1"/>
          <w:sz w:val="20"/>
          <w:szCs w:val="20"/>
        </w:rPr>
        <w:t>, </w:t>
      </w:r>
      <w:r w:rsidRPr="005048E7">
        <w:rPr>
          <w:rFonts w:cs="Arial"/>
          <w:i/>
          <w:iCs/>
          <w:color w:val="000000" w:themeColor="text1"/>
          <w:sz w:val="20"/>
          <w:szCs w:val="20"/>
        </w:rPr>
        <w:t>44</w:t>
      </w:r>
      <w:r w:rsidRPr="005048E7">
        <w:rPr>
          <w:rFonts w:cs="Arial"/>
          <w:color w:val="000000" w:themeColor="text1"/>
          <w:sz w:val="20"/>
          <w:szCs w:val="20"/>
        </w:rPr>
        <w:t>, 155-167.</w:t>
      </w:r>
    </w:p>
    <w:p w14:paraId="53909924" w14:textId="77777777" w:rsidR="003D6669" w:rsidRPr="005048E7" w:rsidRDefault="003D6669"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 xml:space="preserve">Putra, O. P. B., </w:t>
      </w:r>
      <w:proofErr w:type="spellStart"/>
      <w:r w:rsidRPr="005048E7">
        <w:rPr>
          <w:rFonts w:cs="Arial"/>
          <w:color w:val="000000" w:themeColor="text1"/>
          <w:sz w:val="20"/>
          <w:szCs w:val="20"/>
        </w:rPr>
        <w:t>Sambaka</w:t>
      </w:r>
      <w:proofErr w:type="spellEnd"/>
      <w:r w:rsidRPr="005048E7">
        <w:rPr>
          <w:rFonts w:cs="Arial"/>
          <w:color w:val="000000" w:themeColor="text1"/>
          <w:sz w:val="20"/>
          <w:szCs w:val="20"/>
        </w:rPr>
        <w:t xml:space="preserve">, M.E. F, &amp; </w:t>
      </w:r>
      <w:proofErr w:type="spellStart"/>
      <w:r w:rsidRPr="005048E7">
        <w:rPr>
          <w:rFonts w:cs="Arial"/>
          <w:color w:val="000000" w:themeColor="text1"/>
          <w:sz w:val="20"/>
          <w:szCs w:val="20"/>
        </w:rPr>
        <w:t>Priseha</w:t>
      </w:r>
      <w:proofErr w:type="spellEnd"/>
      <w:r w:rsidRPr="005048E7">
        <w:rPr>
          <w:rFonts w:cs="Arial"/>
          <w:color w:val="000000" w:themeColor="text1"/>
          <w:sz w:val="20"/>
          <w:szCs w:val="20"/>
        </w:rPr>
        <w:t xml:space="preserve">, R. (2024). Promoting financial well-being through financial literacy for gen z. </w:t>
      </w:r>
      <w:r w:rsidRPr="005048E7">
        <w:rPr>
          <w:rFonts w:cs="Arial"/>
          <w:i/>
          <w:iCs/>
          <w:color w:val="000000" w:themeColor="text1"/>
          <w:sz w:val="20"/>
          <w:szCs w:val="20"/>
        </w:rPr>
        <w:t>Journal of Economic Psychology</w:t>
      </w:r>
      <w:r w:rsidRPr="005048E7">
        <w:rPr>
          <w:rFonts w:cs="Arial"/>
          <w:color w:val="000000" w:themeColor="text1"/>
          <w:sz w:val="20"/>
          <w:szCs w:val="20"/>
        </w:rPr>
        <w:t>.</w:t>
      </w:r>
    </w:p>
    <w:p w14:paraId="20B70253" w14:textId="77777777" w:rsidR="003D6669" w:rsidRPr="005048E7" w:rsidRDefault="003D6669"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Sagar, S. (2024). Financial literacy and its impacts on retirement planning: An empirical analysis.</w:t>
      </w:r>
    </w:p>
    <w:p w14:paraId="2CACE335" w14:textId="77777777" w:rsidR="00E2354E" w:rsidRPr="005048E7" w:rsidRDefault="00E2354E" w:rsidP="005048E7">
      <w:pPr>
        <w:pStyle w:val="ListParagraph"/>
        <w:numPr>
          <w:ilvl w:val="0"/>
          <w:numId w:val="7"/>
        </w:numPr>
        <w:spacing w:line="240" w:lineRule="auto"/>
        <w:rPr>
          <w:rFonts w:cs="Arial"/>
          <w:color w:val="000000" w:themeColor="text1"/>
          <w:sz w:val="20"/>
          <w:szCs w:val="20"/>
        </w:rPr>
      </w:pPr>
      <w:proofErr w:type="spellStart"/>
      <w:r w:rsidRPr="005048E7">
        <w:rPr>
          <w:rFonts w:cs="Arial"/>
          <w:color w:val="000000" w:themeColor="text1"/>
          <w:sz w:val="20"/>
          <w:szCs w:val="20"/>
        </w:rPr>
        <w:t>Topa</w:t>
      </w:r>
      <w:proofErr w:type="spellEnd"/>
      <w:r w:rsidRPr="005048E7">
        <w:rPr>
          <w:rFonts w:cs="Arial"/>
          <w:color w:val="000000" w:themeColor="text1"/>
          <w:sz w:val="20"/>
          <w:szCs w:val="20"/>
        </w:rPr>
        <w:t xml:space="preserve">, G., Jiménez, 1. and Pérez, S. (2017b). Death Anxiety and retirement saving: empirical data from Spanish clients of financial advisory firms aged over 40 years. Front. Hum. </w:t>
      </w:r>
      <w:proofErr w:type="spellStart"/>
      <w:r w:rsidRPr="005048E7">
        <w:rPr>
          <w:rFonts w:cs="Arial"/>
          <w:color w:val="000000" w:themeColor="text1"/>
          <w:sz w:val="20"/>
          <w:szCs w:val="20"/>
        </w:rPr>
        <w:t>Neurosci</w:t>
      </w:r>
      <w:proofErr w:type="spellEnd"/>
      <w:r w:rsidRPr="005048E7">
        <w:rPr>
          <w:rFonts w:cs="Arial"/>
          <w:color w:val="000000" w:themeColor="text1"/>
          <w:sz w:val="20"/>
          <w:szCs w:val="20"/>
        </w:rPr>
        <w:t>.</w:t>
      </w:r>
    </w:p>
    <w:p w14:paraId="56FA5580" w14:textId="52100969" w:rsidR="00E2354E" w:rsidRPr="005048E7" w:rsidRDefault="00E2354E"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Womack, B. K. (2015). </w:t>
      </w:r>
      <w:r w:rsidRPr="005048E7">
        <w:rPr>
          <w:rFonts w:cs="Arial"/>
          <w:i/>
          <w:iCs/>
          <w:color w:val="000000" w:themeColor="text1"/>
          <w:sz w:val="20"/>
          <w:szCs w:val="20"/>
        </w:rPr>
        <w:t>Relationship of financial literacy to retirement preparedness among female baby-boomer cohorts</w:t>
      </w:r>
      <w:r w:rsidRPr="005048E7">
        <w:rPr>
          <w:rFonts w:cs="Arial"/>
          <w:color w:val="000000" w:themeColor="text1"/>
          <w:sz w:val="20"/>
          <w:szCs w:val="20"/>
        </w:rPr>
        <w:t> (Doctoral dissertation, Capella University).</w:t>
      </w:r>
    </w:p>
    <w:p w14:paraId="6923B96B" w14:textId="77777777" w:rsidR="00E2354E" w:rsidRPr="005048E7" w:rsidRDefault="00E2354E"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shd w:val="clear" w:color="auto" w:fill="FFFFFF"/>
        </w:rPr>
        <w:t>Xiao, J. J., &amp; O'Neill, B. (2016). Consumer financial education and financial capability. </w:t>
      </w:r>
      <w:r w:rsidRPr="005048E7">
        <w:rPr>
          <w:rFonts w:cs="Arial"/>
          <w:i/>
          <w:iCs/>
          <w:color w:val="000000" w:themeColor="text1"/>
          <w:sz w:val="20"/>
          <w:szCs w:val="20"/>
          <w:shd w:val="clear" w:color="auto" w:fill="FFFFFF"/>
        </w:rPr>
        <w:t>International Journal of Consumer Studies</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40</w:t>
      </w:r>
      <w:r w:rsidRPr="005048E7">
        <w:rPr>
          <w:rFonts w:cs="Arial"/>
          <w:color w:val="000000" w:themeColor="text1"/>
          <w:sz w:val="20"/>
          <w:szCs w:val="20"/>
          <w:shd w:val="clear" w:color="auto" w:fill="FFFFFF"/>
        </w:rPr>
        <w:t>(6), 712-721.</w:t>
      </w:r>
    </w:p>
    <w:p w14:paraId="1A8D3BAE" w14:textId="77777777" w:rsidR="00E2354E" w:rsidRPr="005048E7" w:rsidRDefault="00E2354E"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shd w:val="clear" w:color="auto" w:fill="FFFFFF"/>
        </w:rPr>
        <w:t>Xiao, J. J., &amp; O'Neill, B. (2018). Propensity to plan, financial capability, and financial satisfaction. </w:t>
      </w:r>
      <w:r w:rsidRPr="005048E7">
        <w:rPr>
          <w:rFonts w:cs="Arial"/>
          <w:i/>
          <w:iCs/>
          <w:color w:val="000000" w:themeColor="text1"/>
          <w:sz w:val="20"/>
          <w:szCs w:val="20"/>
          <w:shd w:val="clear" w:color="auto" w:fill="FFFFFF"/>
        </w:rPr>
        <w:t>International Journal of Consumer Studies</w:t>
      </w:r>
      <w:r w:rsidRPr="005048E7">
        <w:rPr>
          <w:rFonts w:cs="Arial"/>
          <w:color w:val="000000" w:themeColor="text1"/>
          <w:sz w:val="20"/>
          <w:szCs w:val="20"/>
          <w:shd w:val="clear" w:color="auto" w:fill="FFFFFF"/>
        </w:rPr>
        <w:t>, </w:t>
      </w:r>
      <w:r w:rsidRPr="005048E7">
        <w:rPr>
          <w:rFonts w:cs="Arial"/>
          <w:i/>
          <w:iCs/>
          <w:color w:val="000000" w:themeColor="text1"/>
          <w:sz w:val="20"/>
          <w:szCs w:val="20"/>
          <w:shd w:val="clear" w:color="auto" w:fill="FFFFFF"/>
        </w:rPr>
        <w:t>42</w:t>
      </w:r>
      <w:r w:rsidRPr="005048E7">
        <w:rPr>
          <w:rFonts w:cs="Arial"/>
          <w:color w:val="000000" w:themeColor="text1"/>
          <w:sz w:val="20"/>
          <w:szCs w:val="20"/>
          <w:shd w:val="clear" w:color="auto" w:fill="FFFFFF"/>
        </w:rPr>
        <w:t xml:space="preserve">(5), 501-512. </w:t>
      </w:r>
    </w:p>
    <w:p w14:paraId="70638E3E" w14:textId="77777777" w:rsidR="00E2354E" w:rsidRPr="005048E7" w:rsidRDefault="00E2354E"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Xiao, J. J., &amp; Porto, N. (2017). Financial education and financial satisfaction: Financial literacy, behavior, and capability as mediators. </w:t>
      </w:r>
      <w:r w:rsidRPr="005048E7">
        <w:rPr>
          <w:rFonts w:cs="Arial"/>
          <w:i/>
          <w:iCs/>
          <w:color w:val="000000" w:themeColor="text1"/>
          <w:sz w:val="20"/>
          <w:szCs w:val="20"/>
        </w:rPr>
        <w:t>International Journal of Bank Marketing</w:t>
      </w:r>
      <w:r w:rsidRPr="005048E7">
        <w:rPr>
          <w:rFonts w:cs="Arial"/>
          <w:color w:val="000000" w:themeColor="text1"/>
          <w:sz w:val="20"/>
          <w:szCs w:val="20"/>
        </w:rPr>
        <w:t>, </w:t>
      </w:r>
      <w:r w:rsidRPr="005048E7">
        <w:rPr>
          <w:rFonts w:cs="Arial"/>
          <w:i/>
          <w:iCs/>
          <w:color w:val="000000" w:themeColor="text1"/>
          <w:sz w:val="20"/>
          <w:szCs w:val="20"/>
        </w:rPr>
        <w:t>35</w:t>
      </w:r>
      <w:r w:rsidRPr="005048E7">
        <w:rPr>
          <w:rFonts w:cs="Arial"/>
          <w:color w:val="000000" w:themeColor="text1"/>
          <w:sz w:val="20"/>
          <w:szCs w:val="20"/>
        </w:rPr>
        <w:t>(5), 805-817.</w:t>
      </w:r>
    </w:p>
    <w:p w14:paraId="7FE36831" w14:textId="0F129020" w:rsidR="00720921" w:rsidRDefault="00E2354E" w:rsidP="005048E7">
      <w:pPr>
        <w:pStyle w:val="ListParagraph"/>
        <w:numPr>
          <w:ilvl w:val="0"/>
          <w:numId w:val="7"/>
        </w:numPr>
        <w:spacing w:line="240" w:lineRule="auto"/>
        <w:rPr>
          <w:rFonts w:cs="Arial"/>
          <w:color w:val="000000" w:themeColor="text1"/>
          <w:sz w:val="20"/>
          <w:szCs w:val="20"/>
        </w:rPr>
      </w:pPr>
      <w:r w:rsidRPr="005048E7">
        <w:rPr>
          <w:rFonts w:cs="Arial"/>
          <w:color w:val="000000" w:themeColor="text1"/>
          <w:sz w:val="20"/>
          <w:szCs w:val="20"/>
        </w:rPr>
        <w:t>Xiao, X., Yu, M., Liu, H., &amp; Zhao, Q. (2022). How does financial literacy affect digital entrepreneurship willingness and behavior—Evidence from Chinese villagers’ participation in entrepreneurship. </w:t>
      </w:r>
      <w:r w:rsidRPr="005048E7">
        <w:rPr>
          <w:rFonts w:cs="Arial"/>
          <w:i/>
          <w:iCs/>
          <w:color w:val="000000" w:themeColor="text1"/>
          <w:sz w:val="20"/>
          <w:szCs w:val="20"/>
        </w:rPr>
        <w:t>Sustainability</w:t>
      </w:r>
      <w:r w:rsidRPr="005048E7">
        <w:rPr>
          <w:rFonts w:cs="Arial"/>
          <w:color w:val="000000" w:themeColor="text1"/>
          <w:sz w:val="20"/>
          <w:szCs w:val="20"/>
        </w:rPr>
        <w:t>, </w:t>
      </w:r>
      <w:r w:rsidRPr="005048E7">
        <w:rPr>
          <w:rFonts w:cs="Arial"/>
          <w:i/>
          <w:iCs/>
          <w:color w:val="000000" w:themeColor="text1"/>
          <w:sz w:val="20"/>
          <w:szCs w:val="20"/>
        </w:rPr>
        <w:t>14</w:t>
      </w:r>
      <w:r w:rsidRPr="005048E7">
        <w:rPr>
          <w:rFonts w:cs="Arial"/>
          <w:color w:val="000000" w:themeColor="text1"/>
          <w:sz w:val="20"/>
          <w:szCs w:val="20"/>
        </w:rPr>
        <w:t>(21), 14103.</w:t>
      </w:r>
    </w:p>
    <w:p w14:paraId="0AEFF2F2" w14:textId="2C63C17C" w:rsidR="00197059" w:rsidRPr="005048E7" w:rsidRDefault="00197059" w:rsidP="005048E7">
      <w:pPr>
        <w:pStyle w:val="ListParagraph"/>
        <w:numPr>
          <w:ilvl w:val="0"/>
          <w:numId w:val="7"/>
        </w:numPr>
        <w:spacing w:line="240" w:lineRule="auto"/>
        <w:rPr>
          <w:rFonts w:cs="Arial"/>
          <w:color w:val="000000" w:themeColor="text1"/>
          <w:sz w:val="20"/>
          <w:szCs w:val="20"/>
        </w:rPr>
      </w:pPr>
      <w:proofErr w:type="spellStart"/>
      <w:r w:rsidRPr="00197059">
        <w:rPr>
          <w:rFonts w:cs="Arial"/>
          <w:color w:val="000000" w:themeColor="text1"/>
          <w:sz w:val="20"/>
          <w:szCs w:val="20"/>
        </w:rPr>
        <w:lastRenderedPageBreak/>
        <w:t>Yakoboski</w:t>
      </w:r>
      <w:proofErr w:type="spellEnd"/>
      <w:r w:rsidRPr="00197059">
        <w:rPr>
          <w:rFonts w:cs="Arial"/>
          <w:color w:val="000000" w:themeColor="text1"/>
          <w:sz w:val="20"/>
          <w:szCs w:val="20"/>
        </w:rPr>
        <w:t>, P., Lusardi, A., &amp; Hasler, A. (2022). How financial literacy varies among US adults: the 2022 TIAA institute-GFLEC personal finance index. </w:t>
      </w:r>
      <w:r w:rsidRPr="00197059">
        <w:rPr>
          <w:rFonts w:cs="Arial"/>
          <w:i/>
          <w:iCs/>
          <w:color w:val="000000" w:themeColor="text1"/>
          <w:sz w:val="20"/>
          <w:szCs w:val="20"/>
        </w:rPr>
        <w:t>TIAA institute research paper series</w:t>
      </w:r>
      <w:r w:rsidRPr="00197059">
        <w:rPr>
          <w:rFonts w:cs="Arial"/>
          <w:color w:val="000000" w:themeColor="text1"/>
          <w:sz w:val="20"/>
          <w:szCs w:val="20"/>
        </w:rPr>
        <w:t>, (2022-01).</w:t>
      </w:r>
    </w:p>
    <w:sectPr w:rsidR="00197059" w:rsidRPr="005048E7" w:rsidSect="00FA583E">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6DF1" w14:textId="77777777" w:rsidR="00300E8A" w:rsidRDefault="00300E8A" w:rsidP="00FA583E">
      <w:pPr>
        <w:spacing w:after="0" w:line="240" w:lineRule="auto"/>
      </w:pPr>
      <w:r>
        <w:separator/>
      </w:r>
    </w:p>
  </w:endnote>
  <w:endnote w:type="continuationSeparator" w:id="0">
    <w:p w14:paraId="75C1CC35" w14:textId="77777777" w:rsidR="00300E8A" w:rsidRDefault="00300E8A" w:rsidP="00F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CF8E" w14:textId="77777777" w:rsidR="00FA583E" w:rsidRDefault="00FA5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0793" w14:textId="77777777" w:rsidR="00FA583E" w:rsidRDefault="00FA5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4886" w14:textId="77777777" w:rsidR="00FA583E" w:rsidRDefault="00FA5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A074" w14:textId="77777777" w:rsidR="00300E8A" w:rsidRDefault="00300E8A" w:rsidP="00FA583E">
      <w:pPr>
        <w:spacing w:after="0" w:line="240" w:lineRule="auto"/>
      </w:pPr>
      <w:r>
        <w:separator/>
      </w:r>
    </w:p>
  </w:footnote>
  <w:footnote w:type="continuationSeparator" w:id="0">
    <w:p w14:paraId="68BDBF34" w14:textId="77777777" w:rsidR="00300E8A" w:rsidRDefault="00300E8A" w:rsidP="00FA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7186" w14:textId="6CED9AEF" w:rsidR="00FA583E" w:rsidRDefault="00FA583E">
    <w:pPr>
      <w:pStyle w:val="Header"/>
    </w:pPr>
    <w:r>
      <w:rPr>
        <w:noProof/>
      </w:rPr>
      <w:pict w14:anchorId="78338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8" o:spid="_x0000_s2050"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164D" w14:textId="5F7A32EE" w:rsidR="00FA583E" w:rsidRDefault="00FA583E">
    <w:pPr>
      <w:pStyle w:val="Header"/>
    </w:pPr>
    <w:r>
      <w:rPr>
        <w:noProof/>
      </w:rPr>
      <w:pict w14:anchorId="3B023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9" o:spid="_x0000_s2051"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98B3" w14:textId="0D9EF56A" w:rsidR="00FA583E" w:rsidRDefault="00FA583E">
    <w:pPr>
      <w:pStyle w:val="Header"/>
    </w:pPr>
    <w:r>
      <w:rPr>
        <w:noProof/>
      </w:rPr>
      <w:pict w14:anchorId="532A0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7" o:spid="_x0000_s2049"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A2279A"/>
    <w:multiLevelType w:val="hybridMultilevel"/>
    <w:tmpl w:val="DC06677C"/>
    <w:lvl w:ilvl="0" w:tplc="23666CB4">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3" w15:restartNumberingAfterBreak="0">
    <w:nsid w:val="54812D94"/>
    <w:multiLevelType w:val="hybridMultilevel"/>
    <w:tmpl w:val="01929356"/>
    <w:lvl w:ilvl="0" w:tplc="B1E8AE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5" w15:restartNumberingAfterBreak="0">
    <w:nsid w:val="617214EF"/>
    <w:multiLevelType w:val="hybridMultilevel"/>
    <w:tmpl w:val="D6E0EDB6"/>
    <w:lvl w:ilvl="0" w:tplc="3409000F">
      <w:start w:val="1"/>
      <w:numFmt w:val="decimal"/>
      <w:lvlText w:val="%1."/>
      <w:lvlJc w:val="left"/>
      <w:pPr>
        <w:ind w:left="360" w:hanging="360"/>
      </w:pPr>
    </w:lvl>
    <w:lvl w:ilvl="1" w:tplc="7C28AC74">
      <w:start w:val="1"/>
      <w:numFmt w:val="lowerLetter"/>
      <w:lvlText w:val="%2."/>
      <w:lvlJc w:val="left"/>
      <w:pPr>
        <w:ind w:left="1080" w:hanging="360"/>
      </w:pPr>
    </w:lvl>
    <w:lvl w:ilvl="2" w:tplc="61347168" w:tentative="1">
      <w:start w:val="1"/>
      <w:numFmt w:val="lowerRoman"/>
      <w:lvlText w:val="%3."/>
      <w:lvlJc w:val="right"/>
      <w:pPr>
        <w:ind w:left="1800" w:hanging="180"/>
      </w:pPr>
    </w:lvl>
    <w:lvl w:ilvl="3" w:tplc="032E75CA" w:tentative="1">
      <w:start w:val="1"/>
      <w:numFmt w:val="decimal"/>
      <w:lvlText w:val="%4."/>
      <w:lvlJc w:val="left"/>
      <w:pPr>
        <w:ind w:left="2520" w:hanging="360"/>
      </w:pPr>
    </w:lvl>
    <w:lvl w:ilvl="4" w:tplc="563EE1CA" w:tentative="1">
      <w:start w:val="1"/>
      <w:numFmt w:val="lowerLetter"/>
      <w:lvlText w:val="%5."/>
      <w:lvlJc w:val="left"/>
      <w:pPr>
        <w:ind w:left="3240" w:hanging="360"/>
      </w:pPr>
    </w:lvl>
    <w:lvl w:ilvl="5" w:tplc="9AC872F8" w:tentative="1">
      <w:start w:val="1"/>
      <w:numFmt w:val="lowerRoman"/>
      <w:lvlText w:val="%6."/>
      <w:lvlJc w:val="right"/>
      <w:pPr>
        <w:ind w:left="3960" w:hanging="180"/>
      </w:pPr>
    </w:lvl>
    <w:lvl w:ilvl="6" w:tplc="06DA3D4C" w:tentative="1">
      <w:start w:val="1"/>
      <w:numFmt w:val="decimal"/>
      <w:lvlText w:val="%7."/>
      <w:lvlJc w:val="left"/>
      <w:pPr>
        <w:ind w:left="4680" w:hanging="360"/>
      </w:pPr>
    </w:lvl>
    <w:lvl w:ilvl="7" w:tplc="EED88DB8" w:tentative="1">
      <w:start w:val="1"/>
      <w:numFmt w:val="lowerLetter"/>
      <w:lvlText w:val="%8."/>
      <w:lvlJc w:val="left"/>
      <w:pPr>
        <w:ind w:left="5400" w:hanging="360"/>
      </w:pPr>
    </w:lvl>
    <w:lvl w:ilvl="8" w:tplc="463A6BB4" w:tentative="1">
      <w:start w:val="1"/>
      <w:numFmt w:val="lowerRoman"/>
      <w:lvlText w:val="%9."/>
      <w:lvlJc w:val="right"/>
      <w:pPr>
        <w:ind w:left="6120" w:hanging="180"/>
      </w:pPr>
    </w:lvl>
  </w:abstractNum>
  <w:abstractNum w:abstractNumId="6" w15:restartNumberingAfterBreak="0">
    <w:nsid w:val="69971AA9"/>
    <w:multiLevelType w:val="hybridMultilevel"/>
    <w:tmpl w:val="E2AA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26E0D"/>
    <w:rsid w:val="000543AC"/>
    <w:rsid w:val="00056292"/>
    <w:rsid w:val="000562D2"/>
    <w:rsid w:val="000625B4"/>
    <w:rsid w:val="00064E06"/>
    <w:rsid w:val="00066DE4"/>
    <w:rsid w:val="00085D36"/>
    <w:rsid w:val="00094C09"/>
    <w:rsid w:val="000F35D4"/>
    <w:rsid w:val="001375CC"/>
    <w:rsid w:val="001427CE"/>
    <w:rsid w:val="00185EFC"/>
    <w:rsid w:val="00197059"/>
    <w:rsid w:val="001A58FD"/>
    <w:rsid w:val="001B7571"/>
    <w:rsid w:val="001F2BDE"/>
    <w:rsid w:val="00223711"/>
    <w:rsid w:val="00225A22"/>
    <w:rsid w:val="002431DF"/>
    <w:rsid w:val="002507A8"/>
    <w:rsid w:val="002B54CB"/>
    <w:rsid w:val="00300E8A"/>
    <w:rsid w:val="00302011"/>
    <w:rsid w:val="0031083E"/>
    <w:rsid w:val="00334FCC"/>
    <w:rsid w:val="0035420D"/>
    <w:rsid w:val="00362554"/>
    <w:rsid w:val="003638B0"/>
    <w:rsid w:val="00366F35"/>
    <w:rsid w:val="0037002E"/>
    <w:rsid w:val="003C2131"/>
    <w:rsid w:val="003C2B42"/>
    <w:rsid w:val="003D0C83"/>
    <w:rsid w:val="003D502C"/>
    <w:rsid w:val="003D5167"/>
    <w:rsid w:val="003D6669"/>
    <w:rsid w:val="00423243"/>
    <w:rsid w:val="00433C52"/>
    <w:rsid w:val="00437C0F"/>
    <w:rsid w:val="00442BCC"/>
    <w:rsid w:val="00455471"/>
    <w:rsid w:val="0045671B"/>
    <w:rsid w:val="00462FBE"/>
    <w:rsid w:val="00476862"/>
    <w:rsid w:val="00482D27"/>
    <w:rsid w:val="004B3821"/>
    <w:rsid w:val="004E5C4C"/>
    <w:rsid w:val="005048E7"/>
    <w:rsid w:val="00532514"/>
    <w:rsid w:val="00535725"/>
    <w:rsid w:val="00543C73"/>
    <w:rsid w:val="00575D3E"/>
    <w:rsid w:val="00580FBF"/>
    <w:rsid w:val="00597F5E"/>
    <w:rsid w:val="005C29AF"/>
    <w:rsid w:val="005C4706"/>
    <w:rsid w:val="005D0456"/>
    <w:rsid w:val="005E101C"/>
    <w:rsid w:val="005F6CC4"/>
    <w:rsid w:val="00634CB6"/>
    <w:rsid w:val="00647293"/>
    <w:rsid w:val="00680051"/>
    <w:rsid w:val="00690128"/>
    <w:rsid w:val="00691D39"/>
    <w:rsid w:val="006A4DEB"/>
    <w:rsid w:val="006A625C"/>
    <w:rsid w:val="006B2E4E"/>
    <w:rsid w:val="006C05E6"/>
    <w:rsid w:val="006D29D7"/>
    <w:rsid w:val="006F0FBF"/>
    <w:rsid w:val="006F6A94"/>
    <w:rsid w:val="00720921"/>
    <w:rsid w:val="007236BD"/>
    <w:rsid w:val="0073474F"/>
    <w:rsid w:val="00763C6F"/>
    <w:rsid w:val="00794B70"/>
    <w:rsid w:val="007A36B7"/>
    <w:rsid w:val="007B490B"/>
    <w:rsid w:val="007C2C1D"/>
    <w:rsid w:val="007E2A6E"/>
    <w:rsid w:val="007F5B63"/>
    <w:rsid w:val="00804B23"/>
    <w:rsid w:val="00883684"/>
    <w:rsid w:val="008A1A9B"/>
    <w:rsid w:val="008A5C1B"/>
    <w:rsid w:val="008A6907"/>
    <w:rsid w:val="008A77C4"/>
    <w:rsid w:val="008C6603"/>
    <w:rsid w:val="008D238D"/>
    <w:rsid w:val="008E389C"/>
    <w:rsid w:val="008E4BE5"/>
    <w:rsid w:val="008F7A93"/>
    <w:rsid w:val="00922D3C"/>
    <w:rsid w:val="009418F7"/>
    <w:rsid w:val="00957CCF"/>
    <w:rsid w:val="00965492"/>
    <w:rsid w:val="0099635E"/>
    <w:rsid w:val="009A4A8A"/>
    <w:rsid w:val="009C2B52"/>
    <w:rsid w:val="009E0C2C"/>
    <w:rsid w:val="009E41A3"/>
    <w:rsid w:val="009F604D"/>
    <w:rsid w:val="00A02C17"/>
    <w:rsid w:val="00A169C6"/>
    <w:rsid w:val="00A516E0"/>
    <w:rsid w:val="00A83748"/>
    <w:rsid w:val="00A84232"/>
    <w:rsid w:val="00AE22F5"/>
    <w:rsid w:val="00AF01E7"/>
    <w:rsid w:val="00B109CD"/>
    <w:rsid w:val="00B118B0"/>
    <w:rsid w:val="00B325AD"/>
    <w:rsid w:val="00B64808"/>
    <w:rsid w:val="00B72B5A"/>
    <w:rsid w:val="00B97DBA"/>
    <w:rsid w:val="00BE59DE"/>
    <w:rsid w:val="00C22E1C"/>
    <w:rsid w:val="00C5651F"/>
    <w:rsid w:val="00C74C2B"/>
    <w:rsid w:val="00C9423D"/>
    <w:rsid w:val="00C95418"/>
    <w:rsid w:val="00CC4633"/>
    <w:rsid w:val="00CE45B3"/>
    <w:rsid w:val="00CF7BA2"/>
    <w:rsid w:val="00D165A9"/>
    <w:rsid w:val="00D26E5E"/>
    <w:rsid w:val="00D6692A"/>
    <w:rsid w:val="00D777A4"/>
    <w:rsid w:val="00D8470B"/>
    <w:rsid w:val="00DB4503"/>
    <w:rsid w:val="00DC187A"/>
    <w:rsid w:val="00DE1AD8"/>
    <w:rsid w:val="00E019BB"/>
    <w:rsid w:val="00E0340D"/>
    <w:rsid w:val="00E049B6"/>
    <w:rsid w:val="00E164FC"/>
    <w:rsid w:val="00E17B9E"/>
    <w:rsid w:val="00E2354E"/>
    <w:rsid w:val="00E267AD"/>
    <w:rsid w:val="00E33D9A"/>
    <w:rsid w:val="00E426C1"/>
    <w:rsid w:val="00E51715"/>
    <w:rsid w:val="00E705CD"/>
    <w:rsid w:val="00E71350"/>
    <w:rsid w:val="00E7431C"/>
    <w:rsid w:val="00E832FA"/>
    <w:rsid w:val="00EA6819"/>
    <w:rsid w:val="00EC285F"/>
    <w:rsid w:val="00EC6ACA"/>
    <w:rsid w:val="00F009D6"/>
    <w:rsid w:val="00F13EF6"/>
    <w:rsid w:val="00F30ABD"/>
    <w:rsid w:val="00F45187"/>
    <w:rsid w:val="00FA3ACF"/>
    <w:rsid w:val="00FA583E"/>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8B1278"/>
  <w15:chartTrackingRefBased/>
  <w15:docId w15:val="{40F42FEB-ED2B-4697-AD79-09C3C1D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442B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table" w:styleId="TableGrid">
    <w:name w:val="Table Grid"/>
    <w:basedOn w:val="TableNormal"/>
    <w:qFormat/>
    <w:rsid w:val="007A36B7"/>
    <w:pPr>
      <w:spacing w:after="0" w:line="240" w:lineRule="auto"/>
    </w:pPr>
    <w:rPr>
      <w:rFonts w:ascii="Calibri" w:eastAsia="Calibri" w:hAnsi="Calibri" w:cs="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43AC"/>
    <w:pPr>
      <w:spacing w:after="0" w:line="240" w:lineRule="auto"/>
    </w:pPr>
  </w:style>
  <w:style w:type="paragraph" w:styleId="NormalWeb">
    <w:name w:val="Normal (Web)"/>
    <w:basedOn w:val="Normal"/>
    <w:uiPriority w:val="99"/>
    <w:unhideWhenUsed/>
    <w:rsid w:val="000543A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katex-mathml">
    <w:name w:val="katex-mathml"/>
    <w:basedOn w:val="DefaultParagraphFont"/>
    <w:rsid w:val="00B118B0"/>
  </w:style>
  <w:style w:type="character" w:customStyle="1" w:styleId="mord">
    <w:name w:val="mord"/>
    <w:basedOn w:val="DefaultParagraphFont"/>
    <w:rsid w:val="00B118B0"/>
  </w:style>
  <w:style w:type="character" w:customStyle="1" w:styleId="mrel">
    <w:name w:val="mrel"/>
    <w:basedOn w:val="DefaultParagraphFont"/>
    <w:rsid w:val="00B118B0"/>
  </w:style>
  <w:style w:type="character" w:styleId="Emphasis">
    <w:name w:val="Emphasis"/>
    <w:basedOn w:val="DefaultParagraphFont"/>
    <w:uiPriority w:val="20"/>
    <w:qFormat/>
    <w:rsid w:val="00B118B0"/>
    <w:rPr>
      <w:i/>
      <w:iCs/>
    </w:rPr>
  </w:style>
  <w:style w:type="character" w:styleId="Strong">
    <w:name w:val="Strong"/>
    <w:basedOn w:val="DefaultParagraphFont"/>
    <w:uiPriority w:val="22"/>
    <w:qFormat/>
    <w:rsid w:val="004E5C4C"/>
    <w:rPr>
      <w:b/>
      <w:bCs/>
    </w:rPr>
  </w:style>
  <w:style w:type="character" w:customStyle="1" w:styleId="Heading3Char">
    <w:name w:val="Heading 3 Char"/>
    <w:basedOn w:val="DefaultParagraphFont"/>
    <w:link w:val="Heading3"/>
    <w:uiPriority w:val="9"/>
    <w:semiHidden/>
    <w:rsid w:val="00442BC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4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17</Pages>
  <Words>7300</Words>
  <Characters>41613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75</cp:revision>
  <dcterms:created xsi:type="dcterms:W3CDTF">2025-07-11T08:05:00Z</dcterms:created>
  <dcterms:modified xsi:type="dcterms:W3CDTF">2025-07-15T07:34:00Z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