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A859B" w14:textId="77777777" w:rsidR="00754C9A" w:rsidRPr="00607E75" w:rsidRDefault="00754C9A" w:rsidP="00441B6F">
      <w:pPr>
        <w:pStyle w:val="Title"/>
        <w:spacing w:after="0"/>
        <w:jc w:val="both"/>
        <w:rPr>
          <w:rFonts w:ascii="Arial" w:hAnsi="Arial" w:cs="Arial"/>
        </w:rPr>
      </w:pPr>
    </w:p>
    <w:p w14:paraId="2F4465D3" w14:textId="5F9928E5" w:rsidR="00163BC4" w:rsidRPr="00607E75" w:rsidRDefault="008B3353" w:rsidP="008B3353">
      <w:pPr>
        <w:pStyle w:val="Author"/>
        <w:spacing w:line="240" w:lineRule="auto"/>
        <w:ind w:left="2160"/>
        <w:jc w:val="both"/>
        <w:rPr>
          <w:rFonts w:ascii="Arial" w:hAnsi="Arial" w:cs="Arial"/>
          <w:bCs/>
          <w:kern w:val="28"/>
          <w:sz w:val="36"/>
        </w:rPr>
      </w:pPr>
      <w:bookmarkStart w:id="0" w:name="_Hlk184295409"/>
      <w:r w:rsidRPr="00607E75">
        <w:rPr>
          <w:rFonts w:ascii="Arial" w:hAnsi="Arial" w:cs="Arial"/>
          <w:bCs/>
          <w:color w:val="000000" w:themeColor="text1"/>
          <w:sz w:val="36"/>
          <w:szCs w:val="36"/>
        </w:rPr>
        <w:t>TAX KNOWLEDGE AND TAX COMPLI</w:t>
      </w:r>
      <w:bookmarkStart w:id="1" w:name="_GoBack"/>
      <w:bookmarkEnd w:id="1"/>
      <w:r w:rsidRPr="00607E75">
        <w:rPr>
          <w:rFonts w:ascii="Arial" w:hAnsi="Arial" w:cs="Arial"/>
          <w:bCs/>
          <w:color w:val="000000" w:themeColor="text1"/>
          <w:sz w:val="36"/>
          <w:szCs w:val="36"/>
        </w:rPr>
        <w:t>ANCE AMONG BUSINESS OWNERS: A CORRELATIONAL STUDY</w:t>
      </w:r>
      <w:bookmarkEnd w:id="0"/>
    </w:p>
    <w:p w14:paraId="6E03134F" w14:textId="77777777" w:rsidR="00A258C3" w:rsidRPr="00607E75" w:rsidRDefault="00A258C3" w:rsidP="008B3353">
      <w:pPr>
        <w:pStyle w:val="Author"/>
        <w:spacing w:line="240" w:lineRule="auto"/>
        <w:jc w:val="left"/>
        <w:rPr>
          <w:rFonts w:ascii="Arial" w:hAnsi="Arial" w:cs="Arial"/>
          <w:sz w:val="36"/>
        </w:rPr>
      </w:pPr>
    </w:p>
    <w:p w14:paraId="0C1ECA5B" w14:textId="5E93F33F" w:rsidR="00790ADA" w:rsidRDefault="00790ADA" w:rsidP="00441B6F">
      <w:pPr>
        <w:pStyle w:val="Affiliation"/>
        <w:spacing w:after="0" w:line="240" w:lineRule="auto"/>
        <w:jc w:val="both"/>
        <w:rPr>
          <w:rFonts w:ascii="Arial" w:hAnsi="Arial" w:cs="Arial"/>
        </w:rPr>
      </w:pPr>
    </w:p>
    <w:p w14:paraId="6CE7B2B1" w14:textId="0FBF2558" w:rsidR="009E3C0C" w:rsidRDefault="009E3C0C" w:rsidP="00441B6F">
      <w:pPr>
        <w:pStyle w:val="Affiliation"/>
        <w:spacing w:after="0" w:line="240" w:lineRule="auto"/>
        <w:jc w:val="both"/>
        <w:rPr>
          <w:rFonts w:ascii="Arial" w:hAnsi="Arial" w:cs="Arial"/>
        </w:rPr>
      </w:pPr>
    </w:p>
    <w:p w14:paraId="330849F5" w14:textId="77777777" w:rsidR="009E3C0C" w:rsidRPr="00607E75" w:rsidRDefault="009E3C0C" w:rsidP="00441B6F">
      <w:pPr>
        <w:pStyle w:val="Affiliation"/>
        <w:spacing w:after="0" w:line="240" w:lineRule="auto"/>
        <w:jc w:val="both"/>
        <w:rPr>
          <w:rFonts w:ascii="Arial" w:hAnsi="Arial" w:cs="Arial"/>
        </w:rPr>
      </w:pPr>
    </w:p>
    <w:p w14:paraId="4FD9A78E" w14:textId="3B603D31" w:rsidR="00B01FCD" w:rsidRPr="00607E75" w:rsidRDefault="00ED0004" w:rsidP="00441B6F">
      <w:pPr>
        <w:pStyle w:val="Copyright"/>
        <w:spacing w:after="0" w:line="240" w:lineRule="auto"/>
        <w:jc w:val="both"/>
        <w:rPr>
          <w:rFonts w:ascii="Arial" w:hAnsi="Arial" w:cs="Arial"/>
        </w:rPr>
        <w:sectPr w:rsidR="00B01FCD" w:rsidRPr="00607E75" w:rsidSect="001B0D8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07E75">
        <w:rPr>
          <w:rFonts w:ascii="Arial" w:hAnsi="Arial" w:cs="Arial"/>
          <w:noProof/>
        </w:rPr>
        <mc:AlternateContent>
          <mc:Choice Requires="wps">
            <w:drawing>
              <wp:inline distT="0" distB="0" distL="0" distR="0" wp14:anchorId="4BC15F09" wp14:editId="7925D4C3">
                <wp:extent cx="5303520" cy="635"/>
                <wp:effectExtent l="13335" t="13335" r="17145" b="15240"/>
                <wp:docPr id="17594516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2F6E2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607E75">
        <w:rPr>
          <w:rFonts w:ascii="Arial" w:hAnsi="Arial" w:cs="Arial"/>
        </w:rPr>
        <w:t>.</w:t>
      </w:r>
    </w:p>
    <w:p w14:paraId="04A64B9B" w14:textId="3166DF0F" w:rsidR="00790ADA" w:rsidRPr="00607E75" w:rsidRDefault="00B01FCD" w:rsidP="00441B6F">
      <w:pPr>
        <w:pStyle w:val="AbstHead"/>
        <w:spacing w:after="0"/>
        <w:jc w:val="both"/>
        <w:rPr>
          <w:rFonts w:ascii="Arial" w:hAnsi="Arial" w:cs="Arial"/>
        </w:rPr>
      </w:pPr>
      <w:r w:rsidRPr="00607E75">
        <w:rPr>
          <w:rFonts w:ascii="Arial" w:hAnsi="Arial" w:cs="Arial"/>
        </w:rPr>
        <w:t>ABSTRACT</w:t>
      </w:r>
      <w:r w:rsidR="0066510A" w:rsidRPr="00607E7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0"/>
      </w:tblGrid>
      <w:tr w:rsidR="00296529" w:rsidRPr="00607E75" w14:paraId="3F710D7E" w14:textId="77777777" w:rsidTr="001E44FE">
        <w:tc>
          <w:tcPr>
            <w:tcW w:w="9576" w:type="dxa"/>
            <w:shd w:val="clear" w:color="auto" w:fill="F2F2F2"/>
          </w:tcPr>
          <w:p w14:paraId="23F2752F" w14:textId="25C111CC" w:rsidR="00BA1B01" w:rsidRPr="00607E75" w:rsidRDefault="00BA1B01" w:rsidP="00441B6F">
            <w:pPr>
              <w:pStyle w:val="Body"/>
              <w:spacing w:after="0"/>
              <w:rPr>
                <w:rFonts w:ascii="Arial" w:eastAsia="Calibri" w:hAnsi="Arial" w:cs="Arial"/>
                <w:bCs/>
                <w:sz w:val="22"/>
                <w:szCs w:val="24"/>
              </w:rPr>
            </w:pPr>
            <w:r w:rsidRPr="00607E75">
              <w:rPr>
                <w:rFonts w:ascii="Arial" w:eastAsia="Calibri" w:hAnsi="Arial" w:cs="Arial"/>
                <w:bCs/>
                <w:sz w:val="22"/>
                <w:szCs w:val="24"/>
              </w:rPr>
              <w:t xml:space="preserve">Aims: </w:t>
            </w:r>
            <w:r w:rsidR="004D7AB3" w:rsidRPr="00607E75">
              <w:rPr>
                <w:rFonts w:ascii="Arial" w:eastAsia="Calibri" w:hAnsi="Arial" w:cs="Arial"/>
                <w:bCs/>
                <w:sz w:val="22"/>
                <w:szCs w:val="24"/>
              </w:rPr>
              <w:t xml:space="preserve">To study correlates the level of tax knowledge—including awareness of sanctions, knowledge of tax rights and responsibilities, and knowledge of business income—with the degree of tax compliance among business owners in </w:t>
            </w:r>
            <w:proofErr w:type="spellStart"/>
            <w:r w:rsidR="004D7AB3" w:rsidRPr="00607E75">
              <w:rPr>
                <w:rFonts w:ascii="Arial" w:eastAsia="Calibri" w:hAnsi="Arial" w:cs="Arial"/>
                <w:bCs/>
                <w:sz w:val="22"/>
                <w:szCs w:val="24"/>
              </w:rPr>
              <w:t>Cateel</w:t>
            </w:r>
            <w:proofErr w:type="spellEnd"/>
            <w:r w:rsidR="004D7AB3" w:rsidRPr="00607E75">
              <w:rPr>
                <w:rFonts w:ascii="Arial" w:eastAsia="Calibri" w:hAnsi="Arial" w:cs="Arial"/>
                <w:bCs/>
                <w:sz w:val="22"/>
                <w:szCs w:val="24"/>
              </w:rPr>
              <w:t>, Davao Oriental, and to identify which knowledge areas most strongly influence compliance behavior.</w:t>
            </w:r>
          </w:p>
          <w:p w14:paraId="3BEF7568" w14:textId="04C229A1" w:rsidR="004D7AB3" w:rsidRPr="00607E75" w:rsidRDefault="00BA1B01" w:rsidP="004D7AB3">
            <w:pPr>
              <w:pStyle w:val="Body"/>
              <w:spacing w:after="0"/>
              <w:rPr>
                <w:rFonts w:ascii="Arial" w:eastAsia="Calibri" w:hAnsi="Arial" w:cs="Arial"/>
                <w:bCs/>
                <w:sz w:val="22"/>
                <w:szCs w:val="24"/>
                <w:lang w:val="en-PH"/>
              </w:rPr>
            </w:pPr>
            <w:r w:rsidRPr="00607E75">
              <w:rPr>
                <w:rFonts w:ascii="Arial" w:eastAsia="Calibri" w:hAnsi="Arial" w:cs="Arial"/>
                <w:bCs/>
                <w:sz w:val="22"/>
                <w:szCs w:val="24"/>
              </w:rPr>
              <w:t>Study design:</w:t>
            </w:r>
            <w:r w:rsidR="004D7AB3" w:rsidRPr="00607E75">
              <w:rPr>
                <w:rFonts w:ascii="Arial" w:eastAsia="Calibri" w:hAnsi="Arial" w:cs="Arial"/>
                <w:bCs/>
                <w:sz w:val="22"/>
                <w:szCs w:val="24"/>
              </w:rPr>
              <w:t xml:space="preserve"> The research utilized Descriptive</w:t>
            </w:r>
            <w:r w:rsidR="004D7AB3" w:rsidRPr="00607E75">
              <w:rPr>
                <w:rFonts w:ascii="Arial" w:eastAsia="Calibri" w:hAnsi="Arial" w:cs="Arial"/>
                <w:bCs/>
                <w:sz w:val="22"/>
                <w:szCs w:val="24"/>
                <w:lang w:val="en-PH"/>
              </w:rPr>
              <w:t>-correlational study.</w:t>
            </w:r>
          </w:p>
          <w:p w14:paraId="6B6ED62E" w14:textId="73F86BF0" w:rsidR="004D7AB3" w:rsidRPr="00607E75" w:rsidRDefault="00BA1B01" w:rsidP="004D7AB3">
            <w:pPr>
              <w:pStyle w:val="Body"/>
              <w:spacing w:after="0"/>
              <w:rPr>
                <w:rFonts w:ascii="Arial" w:eastAsia="Calibri" w:hAnsi="Arial" w:cs="Arial"/>
                <w:bCs/>
                <w:sz w:val="22"/>
                <w:szCs w:val="24"/>
                <w:lang w:val="en-PH"/>
              </w:rPr>
            </w:pPr>
            <w:r w:rsidRPr="00607E75">
              <w:rPr>
                <w:rFonts w:ascii="Arial" w:eastAsia="Calibri" w:hAnsi="Arial" w:cs="Arial"/>
                <w:bCs/>
                <w:sz w:val="22"/>
                <w:szCs w:val="24"/>
              </w:rPr>
              <w:t>Place and Duration of Study:</w:t>
            </w:r>
            <w:r w:rsidR="004D7AB3" w:rsidRPr="00607E75">
              <w:rPr>
                <w:rFonts w:ascii="Arial" w:eastAsia="Calibri" w:hAnsi="Arial" w:cs="Arial"/>
                <w:bCs/>
                <w:sz w:val="22"/>
                <w:szCs w:val="24"/>
              </w:rPr>
              <w:t xml:space="preserve"> The study was conducted at</w:t>
            </w:r>
            <w:r w:rsidRPr="00607E75">
              <w:rPr>
                <w:rFonts w:ascii="Arial" w:eastAsia="Calibri" w:hAnsi="Arial" w:cs="Arial"/>
                <w:bCs/>
                <w:sz w:val="22"/>
                <w:szCs w:val="24"/>
              </w:rPr>
              <w:t xml:space="preserve"> </w:t>
            </w:r>
            <w:proofErr w:type="spellStart"/>
            <w:r w:rsidR="004D7AB3" w:rsidRPr="00607E75">
              <w:rPr>
                <w:rFonts w:ascii="Arial" w:eastAsia="Calibri" w:hAnsi="Arial" w:cs="Arial"/>
                <w:bCs/>
                <w:sz w:val="22"/>
                <w:szCs w:val="24"/>
                <w:lang w:val="en-PH"/>
              </w:rPr>
              <w:t>Cateel</w:t>
            </w:r>
            <w:proofErr w:type="spellEnd"/>
            <w:r w:rsidR="004D7AB3" w:rsidRPr="00607E75">
              <w:rPr>
                <w:rFonts w:ascii="Arial" w:eastAsia="Calibri" w:hAnsi="Arial" w:cs="Arial"/>
                <w:bCs/>
                <w:sz w:val="22"/>
                <w:szCs w:val="24"/>
                <w:lang w:val="en-PH"/>
              </w:rPr>
              <w:t>, Davao Oriental, Philippines. Data collection was conducted between March and April 2025.</w:t>
            </w:r>
          </w:p>
          <w:p w14:paraId="52D94E58" w14:textId="4CA802C3" w:rsidR="004D7AB3" w:rsidRPr="00607E75" w:rsidRDefault="00BA1B01" w:rsidP="004D7AB3">
            <w:pPr>
              <w:pStyle w:val="Body"/>
              <w:spacing w:after="0"/>
              <w:rPr>
                <w:rFonts w:ascii="Arial" w:eastAsia="Calibri" w:hAnsi="Arial" w:cs="Arial"/>
                <w:bCs/>
                <w:sz w:val="22"/>
                <w:szCs w:val="24"/>
                <w:lang w:val="en-PH"/>
              </w:rPr>
            </w:pPr>
            <w:r w:rsidRPr="00607E75">
              <w:rPr>
                <w:rFonts w:ascii="Arial" w:eastAsia="Calibri" w:hAnsi="Arial" w:cs="Arial"/>
                <w:bCs/>
                <w:sz w:val="22"/>
                <w:szCs w:val="24"/>
              </w:rPr>
              <w:t>Methodology</w:t>
            </w:r>
            <w:r w:rsidR="004D7AB3" w:rsidRPr="00607E75">
              <w:rPr>
                <w:rFonts w:ascii="Arial" w:eastAsia="Calibri" w:hAnsi="Arial" w:cs="Arial"/>
                <w:bCs/>
                <w:sz w:val="22"/>
                <w:szCs w:val="24"/>
              </w:rPr>
              <w:t>:</w:t>
            </w:r>
            <w:r w:rsidR="004D7AB3" w:rsidRPr="00607E75">
              <w:rPr>
                <w:rFonts w:ascii="Arial" w:hAnsi="Arial" w:cs="Arial"/>
                <w:bCs/>
                <w:sz w:val="22"/>
                <w:szCs w:val="28"/>
                <w:lang w:val="en-PH" w:eastAsia="zh-CN"/>
              </w:rPr>
              <w:t xml:space="preserve"> </w:t>
            </w:r>
            <w:r w:rsidR="004D7AB3" w:rsidRPr="00607E75">
              <w:rPr>
                <w:rFonts w:ascii="Arial" w:eastAsia="Calibri" w:hAnsi="Arial" w:cs="Arial"/>
                <w:bCs/>
                <w:sz w:val="22"/>
                <w:szCs w:val="24"/>
                <w:lang w:val="en-PH"/>
              </w:rPr>
              <w:t>A total of 139 registered business owners were selected using stratified random sampling from various sectors (trading, services, manufacturing). A structured questionnaire adapted from Twum et al. (2020) was used to collect data on demographic profiles, tax knowledge (rights, business income, and sanctions), and self-reported compliance behavior. Responses were measured using a 5-point Likert scale. Data were analyzed using descriptive statistics, ANOVA, and Pearson’s correlation coefficient to test relationships between knowledge dimensions and compliance.</w:t>
            </w:r>
          </w:p>
          <w:p w14:paraId="32FA1708" w14:textId="77777777" w:rsidR="004D7AB3" w:rsidRPr="00607E75" w:rsidRDefault="00BA1B01" w:rsidP="00441B6F">
            <w:pPr>
              <w:pStyle w:val="Body"/>
              <w:spacing w:after="0"/>
              <w:rPr>
                <w:rFonts w:ascii="Arial" w:eastAsia="Calibri" w:hAnsi="Arial" w:cs="Arial"/>
                <w:bCs/>
                <w:sz w:val="22"/>
                <w:szCs w:val="24"/>
              </w:rPr>
            </w:pPr>
            <w:r w:rsidRPr="00607E75">
              <w:rPr>
                <w:rFonts w:ascii="Arial" w:eastAsia="Calibri" w:hAnsi="Arial" w:cs="Arial"/>
                <w:bCs/>
                <w:sz w:val="22"/>
                <w:szCs w:val="24"/>
              </w:rPr>
              <w:t xml:space="preserve">Results: </w:t>
            </w:r>
            <w:r w:rsidR="004D7AB3" w:rsidRPr="00607E75">
              <w:rPr>
                <w:rFonts w:ascii="Arial" w:eastAsia="Calibri" w:hAnsi="Arial" w:cs="Arial"/>
                <w:bCs/>
                <w:sz w:val="22"/>
                <w:szCs w:val="24"/>
              </w:rPr>
              <w:t>The findings showed that business owners had extensive tax knowledge (x̄ = 4.46) and high levels of compliance (x̄ = 4.84). Pearson correlation revealed a weak but statistically significant relationship between tax compliance and awareness of sanctions (r = 0.22, p = 0.01), and tax rights and responsibilities (r = 0.15, p = 0.08). However, knowledge of business income was not significantly associated with compliance (r = 0.13, p = 0.13). No significant differences were observed in tax knowledge or compliance based on age, business size/type, education level, or years of operation (p &gt; 0.05).</w:t>
            </w:r>
          </w:p>
          <w:p w14:paraId="5DD13F2A" w14:textId="4AEE6E71" w:rsidR="00505F06" w:rsidRPr="00607E75" w:rsidRDefault="00BA1B01" w:rsidP="00441B6F">
            <w:pPr>
              <w:pStyle w:val="Body"/>
              <w:spacing w:after="0"/>
              <w:rPr>
                <w:rFonts w:ascii="Arial" w:eastAsia="Calibri" w:hAnsi="Arial" w:cs="Arial"/>
                <w:bCs/>
                <w:sz w:val="22"/>
                <w:szCs w:val="24"/>
              </w:rPr>
            </w:pPr>
            <w:r w:rsidRPr="00607E75">
              <w:rPr>
                <w:rFonts w:ascii="Arial" w:eastAsia="Calibri" w:hAnsi="Arial" w:cs="Arial"/>
                <w:bCs/>
                <w:sz w:val="22"/>
                <w:szCs w:val="24"/>
              </w:rPr>
              <w:t xml:space="preserve">Conclusion: </w:t>
            </w:r>
            <w:r w:rsidR="004D7AB3" w:rsidRPr="00607E75">
              <w:rPr>
                <w:rFonts w:ascii="Arial" w:eastAsia="Calibri" w:hAnsi="Arial" w:cs="Arial"/>
                <w:bCs/>
                <w:sz w:val="22"/>
                <w:szCs w:val="24"/>
              </w:rPr>
              <w:t>Specific components of tax knowledge—particularly awareness of sanctions and understanding of tax rights are modest predictors of compliance behavior. These findings support the need for targeted taxpayer education programs that emphasize legal responsibilities and consequences of non-compliance. By focusing on these areas, government agencies may enhance voluntary compliance and improve revenue collection efficiency.</w:t>
            </w:r>
          </w:p>
        </w:tc>
      </w:tr>
    </w:tbl>
    <w:p w14:paraId="5E7E494E" w14:textId="20088E0B" w:rsidR="004D7AB3" w:rsidRPr="00607E75" w:rsidRDefault="004D7AB3" w:rsidP="004D7AB3">
      <w:pPr>
        <w:spacing w:line="480" w:lineRule="auto"/>
        <w:jc w:val="both"/>
        <w:rPr>
          <w:rFonts w:ascii="Arial" w:hAnsi="Arial" w:cs="Arial"/>
          <w:bCs/>
          <w:color w:val="000000" w:themeColor="text1"/>
          <w:sz w:val="24"/>
          <w:szCs w:val="24"/>
        </w:rPr>
        <w:sectPr w:rsidR="004D7AB3" w:rsidRPr="00607E75" w:rsidSect="001B0D84">
          <w:type w:val="continuous"/>
          <w:pgSz w:w="12240" w:h="15840" w:code="1"/>
          <w:pgMar w:top="1800" w:right="1440" w:bottom="1440" w:left="2160" w:header="403" w:footer="0" w:gutter="0"/>
          <w:pgNumType w:fmt="lowerRoman"/>
          <w:cols w:space="720"/>
          <w:docGrid w:linePitch="360"/>
        </w:sectPr>
      </w:pPr>
      <w:r w:rsidRPr="00607E75">
        <w:rPr>
          <w:rFonts w:ascii="Arial" w:hAnsi="Arial" w:cs="Arial"/>
        </w:rPr>
        <w:t>K</w:t>
      </w:r>
      <w:r w:rsidR="00A24E7E" w:rsidRPr="00607E75">
        <w:rPr>
          <w:rFonts w:ascii="Arial" w:hAnsi="Arial" w:cs="Arial"/>
        </w:rPr>
        <w:t>eywords:</w:t>
      </w:r>
      <w:r w:rsidRPr="00607E75">
        <w:rPr>
          <w:rFonts w:ascii="Arial" w:eastAsia="Arial" w:hAnsi="Arial" w:cs="Arial"/>
          <w:bCs/>
          <w:color w:val="000000" w:themeColor="text1"/>
          <w:sz w:val="24"/>
          <w:szCs w:val="24"/>
        </w:rPr>
        <w:t xml:space="preserve"> tax knowledge, tax education, tax compliance, sanctions, business owners</w:t>
      </w:r>
    </w:p>
    <w:p w14:paraId="52DA4323" w14:textId="78D0410E" w:rsidR="007F7B32" w:rsidRPr="00607E75" w:rsidRDefault="00B01FCD" w:rsidP="00441B6F">
      <w:pPr>
        <w:pStyle w:val="AbstHead"/>
        <w:spacing w:after="0"/>
        <w:jc w:val="both"/>
        <w:rPr>
          <w:rFonts w:ascii="Arial" w:hAnsi="Arial" w:cs="Arial"/>
        </w:rPr>
      </w:pPr>
      <w:r w:rsidRPr="00607E75">
        <w:rPr>
          <w:rFonts w:ascii="Arial" w:hAnsi="Arial" w:cs="Arial"/>
        </w:rPr>
        <w:lastRenderedPageBreak/>
        <w:t>INTRODUCTION</w:t>
      </w:r>
      <w:r w:rsidR="007F7B32" w:rsidRPr="00607E75">
        <w:rPr>
          <w:rFonts w:ascii="Arial" w:hAnsi="Arial" w:cs="Arial"/>
        </w:rPr>
        <w:t xml:space="preserve"> </w:t>
      </w:r>
    </w:p>
    <w:p w14:paraId="0E4CD4E9" w14:textId="77777777" w:rsidR="00567AEB" w:rsidRPr="00607E75" w:rsidRDefault="00567AEB" w:rsidP="00441B6F">
      <w:pPr>
        <w:pStyle w:val="AbstHead"/>
        <w:spacing w:after="0"/>
        <w:jc w:val="both"/>
        <w:rPr>
          <w:rFonts w:ascii="Arial" w:hAnsi="Arial" w:cs="Arial"/>
        </w:rPr>
      </w:pPr>
    </w:p>
    <w:p w14:paraId="7CF5B698" w14:textId="77777777" w:rsidR="00567AEB" w:rsidRPr="003E48E5"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Tax compliance remains a major challenge in developing economies, where tax systems are often perceived as complex and enforcement mechanisms limited. In the Philippines, this is especially evident among small and medium enterprises (SMEs), which form a large part of the economy but often struggle with tax obligations (Weeghel, 2015; Alipio, 2020).</w:t>
      </w:r>
    </w:p>
    <w:p w14:paraId="796AD070" w14:textId="77777777" w:rsidR="00567AEB" w:rsidRPr="003E48E5"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Tax knowledge, or a taxpayer's understanding of their rights, responsibilities, and relevant regulations, plays a crucial role in promoting compliance. The Theory of Planned Behavior (Ajzen, 2020) posits that behavioral intention is influenced by attitudes, social norms, and perceived control—factors strongly linked to knowledge.</w:t>
      </w:r>
    </w:p>
    <w:p w14:paraId="11CB5632" w14:textId="77777777" w:rsidR="00567AEB" w:rsidRPr="003E48E5"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Despite tax reforms like the TRAIN Law aimed at streamlining processes and reducing burdens, many Filipino business owners, especially in rural areas like Cateel, Davao Oriental, still report difficulties in complying due to limited access to information, low trust in institutions, and lack of tailored tax education.</w:t>
      </w:r>
    </w:p>
    <w:p w14:paraId="40B6793B" w14:textId="77777777" w:rsidR="00567AEB"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This study investigates the relationship between tax knowledge and compliance, with a focus on three knowledge components: tax rights and responsibilities, business income, and awareness of sanctions. It also explores whether demographic or business-related factors affect these variables.</w:t>
      </w:r>
    </w:p>
    <w:p w14:paraId="43371E5A" w14:textId="44517916" w:rsidR="009A0AF4" w:rsidRDefault="009A0AF4" w:rsidP="00EB2398">
      <w:pPr>
        <w:spacing w:after="160" w:line="480" w:lineRule="auto"/>
        <w:jc w:val="both"/>
        <w:rPr>
          <w:rFonts w:ascii="Arial" w:eastAsiaTheme="majorEastAsia" w:hAnsi="Arial" w:cs="Arial"/>
          <w:b/>
          <w:noProof/>
          <w:color w:val="000000" w:themeColor="text1"/>
          <w:sz w:val="22"/>
          <w:szCs w:val="22"/>
          <w:lang w:val="en-PH" w:eastAsia="en-PH"/>
        </w:rPr>
      </w:pPr>
      <w:r w:rsidRPr="009A0AF4">
        <w:rPr>
          <w:rFonts w:ascii="Arial" w:eastAsiaTheme="majorEastAsia" w:hAnsi="Arial" w:cs="Arial"/>
          <w:b/>
          <w:noProof/>
          <w:color w:val="000000" w:themeColor="text1"/>
          <w:sz w:val="22"/>
          <w:szCs w:val="22"/>
          <w:lang w:val="en-PH" w:eastAsia="en-PH"/>
        </w:rPr>
        <w:t>LITERATURE REVIEW</w:t>
      </w:r>
    </w:p>
    <w:p w14:paraId="4157B270"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Tax Knowledge and Tax Compliance</w:t>
      </w:r>
    </w:p>
    <w:p w14:paraId="7ECCA481" w14:textId="580ABAE8" w:rsidR="00F46DE5" w:rsidRDefault="00F46DE5" w:rsidP="00F46DE5">
      <w:pPr>
        <w:spacing w:line="480" w:lineRule="auto"/>
        <w:jc w:val="both"/>
        <w:rPr>
          <w:rFonts w:ascii="Arial" w:hAnsi="Arial" w:cs="Arial"/>
          <w:bCs/>
          <w:color w:val="000000" w:themeColor="text1"/>
          <w:sz w:val="24"/>
          <w:szCs w:val="24"/>
          <w:lang w:val="en-PH"/>
        </w:rPr>
      </w:pPr>
      <w:r w:rsidRPr="00136460">
        <w:rPr>
          <w:rFonts w:ascii="Arial" w:hAnsi="Arial" w:cs="Arial"/>
          <w:bCs/>
          <w:color w:val="000000" w:themeColor="text1"/>
          <w:sz w:val="22"/>
          <w:szCs w:val="22"/>
          <w:lang w:val="en-PH"/>
        </w:rPr>
        <w:t xml:space="preserve">Tax knowledge significantly influences compliance behavior. Saad (2014) emphasized that an individual’s ability to comprehend tax laws affects their willingness to comply. </w:t>
      </w:r>
      <w:proofErr w:type="spellStart"/>
      <w:r w:rsidRPr="00136460">
        <w:rPr>
          <w:rFonts w:ascii="Arial" w:hAnsi="Arial" w:cs="Arial"/>
          <w:bCs/>
          <w:color w:val="000000" w:themeColor="text1"/>
          <w:sz w:val="22"/>
          <w:szCs w:val="22"/>
          <w:lang w:val="en-PH"/>
        </w:rPr>
        <w:t>Oladipupo</w:t>
      </w:r>
      <w:proofErr w:type="spellEnd"/>
      <w:r w:rsidRPr="00136460">
        <w:rPr>
          <w:rFonts w:ascii="Arial" w:hAnsi="Arial" w:cs="Arial"/>
          <w:bCs/>
          <w:color w:val="000000" w:themeColor="text1"/>
          <w:sz w:val="22"/>
          <w:szCs w:val="22"/>
          <w:lang w:val="en-PH"/>
        </w:rPr>
        <w:t xml:space="preserve"> and </w:t>
      </w:r>
      <w:proofErr w:type="spellStart"/>
      <w:r w:rsidRPr="00136460">
        <w:rPr>
          <w:rFonts w:ascii="Arial" w:hAnsi="Arial" w:cs="Arial"/>
          <w:bCs/>
          <w:color w:val="000000" w:themeColor="text1"/>
          <w:sz w:val="22"/>
          <w:szCs w:val="22"/>
          <w:lang w:val="en-PH"/>
        </w:rPr>
        <w:t>Obazee</w:t>
      </w:r>
      <w:proofErr w:type="spellEnd"/>
      <w:r w:rsidRPr="00136460">
        <w:rPr>
          <w:rFonts w:ascii="Arial" w:hAnsi="Arial" w:cs="Arial"/>
          <w:bCs/>
          <w:color w:val="000000" w:themeColor="text1"/>
          <w:sz w:val="22"/>
          <w:szCs w:val="22"/>
          <w:lang w:val="en-PH"/>
        </w:rPr>
        <w:t xml:space="preserve"> (2016) found that while penalties had minimal impact, tax knowledge had a strong positive correlation with compliance. Similarly, Eriksen and Fallan (2016) noted that improved understanding reduced filing </w:t>
      </w:r>
      <w:r w:rsidRPr="00136460">
        <w:rPr>
          <w:rFonts w:ascii="Arial" w:hAnsi="Arial" w:cs="Arial"/>
          <w:bCs/>
          <w:color w:val="000000" w:themeColor="text1"/>
          <w:sz w:val="22"/>
          <w:szCs w:val="22"/>
          <w:lang w:val="en-PH"/>
        </w:rPr>
        <w:lastRenderedPageBreak/>
        <w:t>errors and evasion. Devos (201</w:t>
      </w:r>
      <w:r w:rsidR="005A690F">
        <w:rPr>
          <w:rFonts w:ascii="Arial" w:hAnsi="Arial" w:cs="Arial"/>
          <w:bCs/>
          <w:color w:val="000000" w:themeColor="text1"/>
          <w:sz w:val="22"/>
          <w:szCs w:val="22"/>
          <w:lang w:val="en-PH"/>
        </w:rPr>
        <w:t>4</w:t>
      </w:r>
      <w:r w:rsidRPr="00136460">
        <w:rPr>
          <w:rFonts w:ascii="Arial" w:hAnsi="Arial" w:cs="Arial"/>
          <w:bCs/>
          <w:color w:val="000000" w:themeColor="text1"/>
          <w:sz w:val="22"/>
          <w:szCs w:val="22"/>
          <w:lang w:val="en-PH"/>
        </w:rPr>
        <w:t>) further observed that targeted education programs effectively minimized unintentional non-</w:t>
      </w:r>
      <w:proofErr w:type="spellStart"/>
      <w:proofErr w:type="gramStart"/>
      <w:r w:rsidRPr="00136460">
        <w:rPr>
          <w:rFonts w:ascii="Arial" w:hAnsi="Arial" w:cs="Arial"/>
          <w:bCs/>
          <w:color w:val="000000" w:themeColor="text1"/>
          <w:sz w:val="22"/>
          <w:szCs w:val="22"/>
          <w:lang w:val="en-PH"/>
        </w:rPr>
        <w:t>compliance.Contrary</w:t>
      </w:r>
      <w:proofErr w:type="spellEnd"/>
      <w:proofErr w:type="gramEnd"/>
      <w:r w:rsidRPr="00136460">
        <w:rPr>
          <w:rFonts w:ascii="Arial" w:hAnsi="Arial" w:cs="Arial"/>
          <w:bCs/>
          <w:color w:val="000000" w:themeColor="text1"/>
          <w:sz w:val="22"/>
          <w:szCs w:val="22"/>
          <w:lang w:val="en-PH"/>
        </w:rPr>
        <w:t xml:space="preserve"> to assumptions, several studies challenge the idea that formal education alone enhances tax knowledge. Zhang (2021) and Bird (2014) contended that education levels do not necessarily predict tax literacy. Baru (2016) and McGee et al. (2018), citing religious influences, argued that beliefs and moral values often outweigh academic attainment in shaping compliance. </w:t>
      </w:r>
    </w:p>
    <w:p w14:paraId="431F1188"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Awareness of Tax Rights and Responsibilities</w:t>
      </w:r>
    </w:p>
    <w:p w14:paraId="371E2796" w14:textId="3DD9371A"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Research highlights that awareness of legal obligations significantly improves compliance (Bahl &amp; Martinez-Vazquez, 2018). Mendez and Kauffman (2019) emphasized that taxpayer education helps reduce evasion. Knowledge of taxpayer rights enhances empowerment and accountability (Gutiérrez-Nieto &amp; Serrano-Cinca, 2021; Alm et al., 2019). Torgler (201</w:t>
      </w:r>
      <w:r w:rsidR="00DB7697">
        <w:rPr>
          <w:rFonts w:ascii="Arial" w:hAnsi="Arial" w:cs="Arial"/>
          <w:bCs/>
          <w:color w:val="000000" w:themeColor="text1"/>
          <w:sz w:val="22"/>
          <w:szCs w:val="22"/>
          <w:lang w:val="en-PH"/>
        </w:rPr>
        <w:t>1</w:t>
      </w:r>
      <w:r w:rsidRPr="00136460">
        <w:rPr>
          <w:rFonts w:ascii="Arial" w:hAnsi="Arial" w:cs="Arial"/>
          <w:bCs/>
          <w:color w:val="000000" w:themeColor="text1"/>
          <w:sz w:val="22"/>
          <w:szCs w:val="22"/>
          <w:lang w:val="en-PH"/>
        </w:rPr>
        <w:t>) and Feld &amp; Frey (2016) observed that social norms and peer behavior influence compliance when paired with strong tax awareness.</w:t>
      </w:r>
    </w:p>
    <w:p w14:paraId="52586CE7" w14:textId="77777777" w:rsidR="00F46DE5" w:rsidRPr="00136460" w:rsidRDefault="00F46DE5" w:rsidP="00EB2398">
      <w:pPr>
        <w:spacing w:after="160" w:line="480" w:lineRule="auto"/>
        <w:jc w:val="both"/>
        <w:rPr>
          <w:rFonts w:ascii="Arial" w:hAnsi="Arial" w:cs="Arial"/>
          <w:bCs/>
          <w:color w:val="000000" w:themeColor="text1"/>
          <w:sz w:val="22"/>
          <w:szCs w:val="22"/>
          <w:lang w:val="en-PH"/>
        </w:rPr>
      </w:pPr>
    </w:p>
    <w:p w14:paraId="70DA62BB"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Knowledge of Business Income and Compliance</w:t>
      </w:r>
    </w:p>
    <w:p w14:paraId="050A9460" w14:textId="77777777"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 xml:space="preserve">Tax compliance among small businesses hinges on understanding income reporting. Accurate self-assessment is foundational to functional systems (Ali et al., 2014; Alm et al., 2017). </w:t>
      </w:r>
      <w:proofErr w:type="spellStart"/>
      <w:r w:rsidRPr="00136460">
        <w:rPr>
          <w:rFonts w:ascii="Arial" w:hAnsi="Arial" w:cs="Arial"/>
          <w:bCs/>
          <w:color w:val="000000" w:themeColor="text1"/>
          <w:sz w:val="22"/>
          <w:szCs w:val="22"/>
          <w:lang w:val="en-PH"/>
        </w:rPr>
        <w:t>Renoria</w:t>
      </w:r>
      <w:proofErr w:type="spellEnd"/>
      <w:r w:rsidRPr="00136460">
        <w:rPr>
          <w:rFonts w:ascii="Arial" w:hAnsi="Arial" w:cs="Arial"/>
          <w:bCs/>
          <w:color w:val="000000" w:themeColor="text1"/>
          <w:sz w:val="22"/>
          <w:szCs w:val="22"/>
          <w:lang w:val="en-PH"/>
        </w:rPr>
        <w:t xml:space="preserve"> (2024) noted that tax seminars improved compliance among small business owners. Wibowo et al. (2022) found that tax knowledge positively influenced individual compliance.</w:t>
      </w:r>
    </w:p>
    <w:p w14:paraId="01EAE4D8" w14:textId="77777777"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While audits can deter evasion (</w:t>
      </w:r>
      <w:proofErr w:type="spellStart"/>
      <w:r w:rsidRPr="00136460">
        <w:rPr>
          <w:rFonts w:ascii="Arial" w:hAnsi="Arial" w:cs="Arial"/>
          <w:bCs/>
          <w:color w:val="000000" w:themeColor="text1"/>
          <w:sz w:val="22"/>
          <w:szCs w:val="22"/>
          <w:lang w:val="en-PH"/>
        </w:rPr>
        <w:t>Slemrod</w:t>
      </w:r>
      <w:proofErr w:type="spellEnd"/>
      <w:r w:rsidRPr="00136460">
        <w:rPr>
          <w:rFonts w:ascii="Arial" w:hAnsi="Arial" w:cs="Arial"/>
          <w:bCs/>
          <w:color w:val="000000" w:themeColor="text1"/>
          <w:sz w:val="22"/>
          <w:szCs w:val="22"/>
          <w:lang w:val="en-PH"/>
        </w:rPr>
        <w:t xml:space="preserve">, 2016), excessive reliance on enforcement may strain relationships with taxpayers (Andreoni et al., 2018). Tax complexity also </w:t>
      </w:r>
      <w:r w:rsidRPr="00136460">
        <w:rPr>
          <w:rFonts w:ascii="Arial" w:hAnsi="Arial" w:cs="Arial"/>
          <w:bCs/>
          <w:color w:val="000000" w:themeColor="text1"/>
          <w:sz w:val="22"/>
          <w:szCs w:val="22"/>
          <w:lang w:val="en-PH"/>
        </w:rPr>
        <w:lastRenderedPageBreak/>
        <w:t>contributes to evasion (</w:t>
      </w:r>
      <w:proofErr w:type="spellStart"/>
      <w:r w:rsidRPr="00136460">
        <w:rPr>
          <w:rFonts w:ascii="Arial" w:hAnsi="Arial" w:cs="Arial"/>
          <w:bCs/>
          <w:color w:val="000000" w:themeColor="text1"/>
          <w:sz w:val="22"/>
          <w:szCs w:val="22"/>
          <w:lang w:val="en-PH"/>
        </w:rPr>
        <w:t>Kastlunger</w:t>
      </w:r>
      <w:proofErr w:type="spellEnd"/>
      <w:r w:rsidRPr="00136460">
        <w:rPr>
          <w:rFonts w:ascii="Arial" w:hAnsi="Arial" w:cs="Arial"/>
          <w:bCs/>
          <w:color w:val="000000" w:themeColor="text1"/>
          <w:sz w:val="22"/>
          <w:szCs w:val="22"/>
          <w:lang w:val="en-PH"/>
        </w:rPr>
        <w:t xml:space="preserve"> et al., 2015), whereas simplicity encourages voluntary compliance (Luttmer &amp; Singhal, 2014). Digital systems have shown success in reducing non-compliance through streamlined reporting (Awasthi &amp; </w:t>
      </w:r>
      <w:proofErr w:type="spellStart"/>
      <w:r w:rsidRPr="00136460">
        <w:rPr>
          <w:rFonts w:ascii="Arial" w:hAnsi="Arial" w:cs="Arial"/>
          <w:bCs/>
          <w:color w:val="000000" w:themeColor="text1"/>
          <w:sz w:val="22"/>
          <w:szCs w:val="22"/>
          <w:lang w:val="en-PH"/>
        </w:rPr>
        <w:t>Engelschalk</w:t>
      </w:r>
      <w:proofErr w:type="spellEnd"/>
      <w:r w:rsidRPr="00136460">
        <w:rPr>
          <w:rFonts w:ascii="Arial" w:hAnsi="Arial" w:cs="Arial"/>
          <w:bCs/>
          <w:color w:val="000000" w:themeColor="text1"/>
          <w:sz w:val="22"/>
          <w:szCs w:val="22"/>
          <w:lang w:val="en-PH"/>
        </w:rPr>
        <w:t>, 2018).</w:t>
      </w:r>
    </w:p>
    <w:p w14:paraId="2B59EE43"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Awareness of Sanctions</w:t>
      </w:r>
    </w:p>
    <w:p w14:paraId="3416583C" w14:textId="77777777"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Increased awareness of penalties correlates with higher compliance (Kahneman &amp; Tversky, 2019; Wenzel, 2017). Effective communication by tax authorities helps taxpayers understand consequences, fostering a compliance-oriented culture (</w:t>
      </w:r>
      <w:proofErr w:type="spellStart"/>
      <w:r w:rsidRPr="00136460">
        <w:rPr>
          <w:rFonts w:ascii="Arial" w:hAnsi="Arial" w:cs="Arial"/>
          <w:bCs/>
          <w:color w:val="000000" w:themeColor="text1"/>
          <w:sz w:val="22"/>
          <w:szCs w:val="22"/>
          <w:lang w:val="en-PH"/>
        </w:rPr>
        <w:t>Belahouaoui</w:t>
      </w:r>
      <w:proofErr w:type="spellEnd"/>
      <w:r w:rsidRPr="00136460">
        <w:rPr>
          <w:rFonts w:ascii="Arial" w:hAnsi="Arial" w:cs="Arial"/>
          <w:bCs/>
          <w:color w:val="000000" w:themeColor="text1"/>
          <w:sz w:val="22"/>
          <w:szCs w:val="22"/>
          <w:lang w:val="en-PH"/>
        </w:rPr>
        <w:t xml:space="preserve">, 2016; </w:t>
      </w:r>
      <w:proofErr w:type="spellStart"/>
      <w:r w:rsidRPr="00136460">
        <w:rPr>
          <w:rFonts w:ascii="Arial" w:hAnsi="Arial" w:cs="Arial"/>
          <w:bCs/>
          <w:color w:val="000000" w:themeColor="text1"/>
          <w:sz w:val="22"/>
          <w:szCs w:val="22"/>
          <w:lang w:val="en-PH"/>
        </w:rPr>
        <w:t>Swistak</w:t>
      </w:r>
      <w:proofErr w:type="spellEnd"/>
      <w:r w:rsidRPr="00136460">
        <w:rPr>
          <w:rFonts w:ascii="Arial" w:hAnsi="Arial" w:cs="Arial"/>
          <w:bCs/>
          <w:color w:val="000000" w:themeColor="text1"/>
          <w:sz w:val="22"/>
          <w:szCs w:val="22"/>
          <w:lang w:val="en-PH"/>
        </w:rPr>
        <w:t>, 2016).</w:t>
      </w:r>
    </w:p>
    <w:p w14:paraId="5843C2BF" w14:textId="7C5B8FF3"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Fair and consistent enforcement enhances perceived legitimacy (Baldini et al., 2018; Alm &amp; Torgler, 2019). Social influence also plays a role—individuals are more likely to comply when they perceive that others do so, especially when sanctions are evident (Feld &amp; Frey, 2016).</w:t>
      </w:r>
    </w:p>
    <w:p w14:paraId="4848BE2A" w14:textId="77777777" w:rsidR="00F46DE5" w:rsidRPr="00F46DE5" w:rsidRDefault="00F46DE5" w:rsidP="00F46DE5">
      <w:pPr>
        <w:spacing w:after="160" w:line="480" w:lineRule="auto"/>
        <w:jc w:val="both"/>
        <w:rPr>
          <w:rFonts w:ascii="Arial" w:eastAsiaTheme="majorEastAsia" w:hAnsi="Arial" w:cs="Arial"/>
          <w:b/>
          <w:noProof/>
          <w:color w:val="000000" w:themeColor="text1"/>
          <w:sz w:val="22"/>
          <w:szCs w:val="22"/>
          <w:lang w:val="en-PH" w:eastAsia="en-PH"/>
        </w:rPr>
      </w:pPr>
      <w:r w:rsidRPr="00F46DE5">
        <w:rPr>
          <w:rFonts w:ascii="Arial" w:eastAsiaTheme="majorEastAsia" w:hAnsi="Arial" w:cs="Arial"/>
          <w:b/>
          <w:bCs/>
          <w:noProof/>
          <w:color w:val="000000" w:themeColor="text1"/>
          <w:sz w:val="22"/>
          <w:szCs w:val="22"/>
          <w:lang w:val="en-PH" w:eastAsia="en-PH"/>
        </w:rPr>
        <w:t>Tax Compliance in the Philippine Context</w:t>
      </w:r>
    </w:p>
    <w:p w14:paraId="29B41BF7" w14:textId="507E405E" w:rsidR="00F46DE5" w:rsidRPr="00F46DE5" w:rsidRDefault="00F46DE5" w:rsidP="00F46DE5">
      <w:pPr>
        <w:spacing w:after="160" w:line="480" w:lineRule="auto"/>
        <w:jc w:val="both"/>
        <w:rPr>
          <w:rFonts w:ascii="Arial" w:eastAsiaTheme="majorEastAsia" w:hAnsi="Arial" w:cs="Arial"/>
          <w:bCs/>
          <w:noProof/>
          <w:color w:val="000000" w:themeColor="text1"/>
          <w:sz w:val="22"/>
          <w:szCs w:val="22"/>
          <w:lang w:val="en-PH" w:eastAsia="en-PH"/>
        </w:rPr>
      </w:pPr>
      <w:r w:rsidRPr="00F46DE5">
        <w:rPr>
          <w:rFonts w:ascii="Arial" w:eastAsiaTheme="majorEastAsia" w:hAnsi="Arial" w:cs="Arial"/>
          <w:bCs/>
          <w:noProof/>
          <w:color w:val="000000" w:themeColor="text1"/>
          <w:sz w:val="22"/>
          <w:szCs w:val="22"/>
          <w:lang w:val="en-PH" w:eastAsia="en-PH"/>
        </w:rPr>
        <w:t>Tax compliance in the Philippines continues to face challenges, including system complexity, tax evasion, and a large informal sector (Pacaldo, 2020; Lo, 2024; Nguyen &amp; Darsono, 2022). To address these, the Bureau of Internal Revenue (BIR) has expanded digital platforms like the eFPS and electronic invoicing to improve transparency and efficiency (De Castro et al., 2015; UN ESCAP, 2023; Akmed &amp; Masn</w:t>
      </w:r>
      <w:r w:rsidR="002D0D93">
        <w:rPr>
          <w:rFonts w:ascii="Arial" w:eastAsiaTheme="majorEastAsia" w:hAnsi="Arial" w:cs="Arial"/>
          <w:bCs/>
          <w:noProof/>
          <w:color w:val="000000" w:themeColor="text1"/>
          <w:sz w:val="22"/>
          <w:szCs w:val="22"/>
          <w:lang w:val="en-PH" w:eastAsia="en-PH"/>
        </w:rPr>
        <w:t>o</w:t>
      </w:r>
      <w:r w:rsidRPr="00F46DE5">
        <w:rPr>
          <w:rFonts w:ascii="Arial" w:eastAsiaTheme="majorEastAsia" w:hAnsi="Arial" w:cs="Arial"/>
          <w:bCs/>
          <w:noProof/>
          <w:color w:val="000000" w:themeColor="text1"/>
          <w:sz w:val="22"/>
          <w:szCs w:val="22"/>
          <w:lang w:val="en-PH" w:eastAsia="en-PH"/>
        </w:rPr>
        <w:t xml:space="preserve">na, 2024). Enforcement programs such as RATE have also helped deter evasion and strengthen institutional trust (DOF, 2024; Rosid et al., 2018). In 2024, BIR’s collection exceeded ₱446 billion, reflecting gains in taxpayer engagement (Gandia et al., 2024). Broader reforms under the TRAIN law and international cooperation frameworks like AEOI further aim to enhance cross-border compliance </w:t>
      </w:r>
      <w:r w:rsidRPr="00F46DE5">
        <w:rPr>
          <w:rFonts w:ascii="Arial" w:eastAsiaTheme="majorEastAsia" w:hAnsi="Arial" w:cs="Arial"/>
          <w:bCs/>
          <w:noProof/>
          <w:color w:val="000000" w:themeColor="text1"/>
          <w:sz w:val="22"/>
          <w:szCs w:val="22"/>
          <w:lang w:val="en-PH" w:eastAsia="en-PH"/>
        </w:rPr>
        <w:lastRenderedPageBreak/>
        <w:t>and administrative capacity (Santos et al., 2022; Compio et al., 2022; Kleven et al., 2016).</w:t>
      </w:r>
    </w:p>
    <w:p w14:paraId="15535D2E" w14:textId="3135EA57" w:rsidR="00790ADA" w:rsidRPr="00607E75" w:rsidRDefault="006B57D0" w:rsidP="00441B6F">
      <w:pPr>
        <w:pStyle w:val="AbstHead"/>
        <w:spacing w:after="0"/>
        <w:jc w:val="both"/>
        <w:rPr>
          <w:rFonts w:ascii="Arial" w:hAnsi="Arial" w:cs="Arial"/>
        </w:rPr>
      </w:pPr>
      <w:r w:rsidRPr="00607E75">
        <w:rPr>
          <w:rFonts w:ascii="Arial" w:hAnsi="Arial" w:cs="Arial"/>
        </w:rPr>
        <w:t>methodology</w:t>
      </w:r>
    </w:p>
    <w:p w14:paraId="51ADA3EA" w14:textId="77777777" w:rsidR="00567AEB" w:rsidRPr="00607E75" w:rsidRDefault="00567AEB" w:rsidP="00441B6F">
      <w:pPr>
        <w:pStyle w:val="AbstHead"/>
        <w:spacing w:after="0"/>
        <w:jc w:val="both"/>
        <w:rPr>
          <w:rFonts w:ascii="Arial" w:hAnsi="Arial" w:cs="Arial"/>
        </w:rPr>
      </w:pPr>
    </w:p>
    <w:p w14:paraId="7E7526A4" w14:textId="77777777" w:rsidR="00EB2398" w:rsidRDefault="00EB2398" w:rsidP="00EB2398">
      <w:pPr>
        <w:pStyle w:val="Body"/>
        <w:spacing w:after="0" w:line="480" w:lineRule="auto"/>
        <w:rPr>
          <w:rFonts w:ascii="Arial" w:hAnsi="Arial" w:cs="Arial"/>
          <w:lang w:val="en-PH"/>
        </w:rPr>
      </w:pPr>
      <w:r w:rsidRPr="00EB2398">
        <w:rPr>
          <w:rFonts w:ascii="Arial" w:hAnsi="Arial" w:cs="Arial"/>
          <w:lang w:val="en-PH"/>
        </w:rPr>
        <w:t xml:space="preserve">The study was conducted in </w:t>
      </w:r>
      <w:proofErr w:type="spellStart"/>
      <w:r w:rsidRPr="00EB2398">
        <w:rPr>
          <w:rFonts w:ascii="Arial" w:hAnsi="Arial" w:cs="Arial"/>
          <w:lang w:val="en-PH"/>
        </w:rPr>
        <w:t>Cateel</w:t>
      </w:r>
      <w:proofErr w:type="spellEnd"/>
      <w:r w:rsidRPr="00EB2398">
        <w:rPr>
          <w:rFonts w:ascii="Arial" w:hAnsi="Arial" w:cs="Arial"/>
          <w:lang w:val="en-PH"/>
        </w:rPr>
        <w:t xml:space="preserve">, Davao Oriental, a first-class municipality located in the southeastern region of Mindanao, Philippines. Data collection was conducted over a two-month period from March to April 2025. This study employed a descriptive-correlational research design to assess the level of tax knowledge and tax compliance among business owners and to explore the relationship between these two variables. The correlational component aimed to identify the degree of association between tax knowledge and compliance behaviors. This design is appropriate for identifying relationships without manipulating the variables, aligning with methods described by Creswell (2014). The population of the study consisted of 344 registered business owners in </w:t>
      </w:r>
      <w:proofErr w:type="spellStart"/>
      <w:r w:rsidRPr="00EB2398">
        <w:rPr>
          <w:rFonts w:ascii="Arial" w:hAnsi="Arial" w:cs="Arial"/>
          <w:lang w:val="en-PH"/>
        </w:rPr>
        <w:t>Cateel</w:t>
      </w:r>
      <w:proofErr w:type="spellEnd"/>
      <w:r w:rsidRPr="00EB2398">
        <w:rPr>
          <w:rFonts w:ascii="Arial" w:hAnsi="Arial" w:cs="Arial"/>
          <w:lang w:val="en-PH"/>
        </w:rPr>
        <w:t>. Using Slovin’s formula with a 0.10 margin of error, a sample size of 139 was determined. Stratified random sampling was employed to ensure proportionate representation across business types: trading, manufacturing, and servicing. A draw-lots technique was used to randomly select participants within each stratum.</w:t>
      </w:r>
    </w:p>
    <w:p w14:paraId="48CD6FEC" w14:textId="163F2184" w:rsidR="00BC16BE" w:rsidRPr="00607E75" w:rsidRDefault="00BC16BE" w:rsidP="00BC16BE">
      <w:pPr>
        <w:pStyle w:val="Body"/>
        <w:spacing w:after="0"/>
        <w:rPr>
          <w:rFonts w:ascii="Arial" w:hAnsi="Arial" w:cs="Arial"/>
          <w:lang w:val="en-PH"/>
        </w:rPr>
      </w:pPr>
      <w:r w:rsidRPr="00BC16BE">
        <w:rPr>
          <w:rFonts w:ascii="Arial" w:hAnsi="Arial" w:cs="Arial"/>
        </w:rPr>
        <w:t>Table 1. Distribution of respondents according to the nature of business</w:t>
      </w:r>
    </w:p>
    <w:tbl>
      <w:tblPr>
        <w:tblStyle w:val="TableGrid"/>
        <w:tblW w:w="0" w:type="auto"/>
        <w:tblLook w:val="04A0" w:firstRow="1" w:lastRow="0" w:firstColumn="1" w:lastColumn="0" w:noHBand="0" w:noVBand="1"/>
      </w:tblPr>
      <w:tblGrid>
        <w:gridCol w:w="2743"/>
        <w:gridCol w:w="2720"/>
        <w:gridCol w:w="2735"/>
      </w:tblGrid>
      <w:tr w:rsidR="00EB2398" w:rsidRPr="00607E75" w14:paraId="1B058E3D" w14:textId="77777777" w:rsidTr="00EB2398">
        <w:trPr>
          <w:trHeight w:val="57"/>
        </w:trPr>
        <w:tc>
          <w:tcPr>
            <w:tcW w:w="2876" w:type="dxa"/>
          </w:tcPr>
          <w:p w14:paraId="0D38638F" w14:textId="178EC589" w:rsidR="00EB2398" w:rsidRPr="00607E75" w:rsidRDefault="00EB2398" w:rsidP="00EB2398">
            <w:pPr>
              <w:pStyle w:val="Heading1"/>
              <w:jc w:val="center"/>
              <w:outlineLvl w:val="0"/>
              <w:rPr>
                <w:rFonts w:cs="Arial"/>
                <w:b w:val="0"/>
                <w:bCs/>
                <w:color w:val="000000" w:themeColor="text1"/>
                <w:sz w:val="20"/>
                <w:szCs w:val="20"/>
                <w:lang w:val="en-PH"/>
              </w:rPr>
            </w:pPr>
            <w:r w:rsidRPr="00607E75">
              <w:rPr>
                <w:rFonts w:cs="Arial"/>
                <w:b w:val="0"/>
                <w:bCs/>
                <w:sz w:val="20"/>
                <w:szCs w:val="20"/>
              </w:rPr>
              <w:t>Business Type</w:t>
            </w:r>
          </w:p>
        </w:tc>
        <w:tc>
          <w:tcPr>
            <w:tcW w:w="2877" w:type="dxa"/>
          </w:tcPr>
          <w:p w14:paraId="475013C7" w14:textId="77777777" w:rsidR="00EB2398" w:rsidRPr="00607E75" w:rsidRDefault="00EB2398" w:rsidP="00EB2398">
            <w:pPr>
              <w:pStyle w:val="Heading1"/>
              <w:jc w:val="center"/>
              <w:outlineLvl w:val="0"/>
              <w:rPr>
                <w:rFonts w:cs="Arial"/>
                <w:b w:val="0"/>
                <w:bCs/>
                <w:color w:val="000000" w:themeColor="text1"/>
                <w:sz w:val="20"/>
                <w:szCs w:val="20"/>
                <w:lang w:val="en-PH"/>
              </w:rPr>
            </w:pPr>
            <w:r w:rsidRPr="00607E75">
              <w:rPr>
                <w:rFonts w:cs="Arial"/>
                <w:b w:val="0"/>
                <w:bCs/>
                <w:sz w:val="20"/>
                <w:szCs w:val="20"/>
              </w:rPr>
              <w:t>Registered Businesses</w:t>
            </w:r>
          </w:p>
        </w:tc>
        <w:tc>
          <w:tcPr>
            <w:tcW w:w="2877" w:type="dxa"/>
            <w:vAlign w:val="center"/>
          </w:tcPr>
          <w:p w14:paraId="6613A749" w14:textId="77777777" w:rsidR="00EB2398" w:rsidRPr="00607E75" w:rsidRDefault="00EB2398" w:rsidP="00EB2398">
            <w:pPr>
              <w:pStyle w:val="Heading1"/>
              <w:jc w:val="center"/>
              <w:outlineLvl w:val="0"/>
              <w:rPr>
                <w:rFonts w:cs="Arial"/>
                <w:b w:val="0"/>
                <w:bCs/>
                <w:color w:val="000000" w:themeColor="text1"/>
                <w:sz w:val="20"/>
                <w:szCs w:val="20"/>
                <w:lang w:val="en-PH"/>
              </w:rPr>
            </w:pPr>
            <w:r w:rsidRPr="00607E75">
              <w:rPr>
                <w:rFonts w:cs="Arial"/>
                <w:b w:val="0"/>
                <w:bCs/>
                <w:sz w:val="20"/>
                <w:szCs w:val="20"/>
              </w:rPr>
              <w:t>Respondents</w:t>
            </w:r>
          </w:p>
        </w:tc>
      </w:tr>
      <w:tr w:rsidR="00EB2398" w:rsidRPr="00607E75" w14:paraId="74187150" w14:textId="77777777" w:rsidTr="006E080E">
        <w:trPr>
          <w:trHeight w:val="57"/>
        </w:trPr>
        <w:tc>
          <w:tcPr>
            <w:tcW w:w="2876" w:type="dxa"/>
            <w:vAlign w:val="center"/>
          </w:tcPr>
          <w:p w14:paraId="3F2E7128"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Trading</w:t>
            </w:r>
          </w:p>
        </w:tc>
        <w:tc>
          <w:tcPr>
            <w:tcW w:w="2877" w:type="dxa"/>
            <w:vAlign w:val="center"/>
          </w:tcPr>
          <w:p w14:paraId="73B7F1CE"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202</w:t>
            </w:r>
          </w:p>
        </w:tc>
        <w:tc>
          <w:tcPr>
            <w:tcW w:w="2877" w:type="dxa"/>
            <w:vAlign w:val="center"/>
          </w:tcPr>
          <w:p w14:paraId="72C469B6"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67</w:t>
            </w:r>
          </w:p>
        </w:tc>
      </w:tr>
      <w:tr w:rsidR="00EB2398" w:rsidRPr="00607E75" w14:paraId="0287F243" w14:textId="77777777" w:rsidTr="006E080E">
        <w:trPr>
          <w:trHeight w:val="57"/>
        </w:trPr>
        <w:tc>
          <w:tcPr>
            <w:tcW w:w="2876" w:type="dxa"/>
            <w:vAlign w:val="center"/>
          </w:tcPr>
          <w:p w14:paraId="68BFF030"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Manufacturing</w:t>
            </w:r>
          </w:p>
        </w:tc>
        <w:tc>
          <w:tcPr>
            <w:tcW w:w="2877" w:type="dxa"/>
            <w:vAlign w:val="center"/>
          </w:tcPr>
          <w:p w14:paraId="266E5175"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23</w:t>
            </w:r>
          </w:p>
        </w:tc>
        <w:tc>
          <w:tcPr>
            <w:tcW w:w="2877" w:type="dxa"/>
            <w:vAlign w:val="center"/>
          </w:tcPr>
          <w:p w14:paraId="7137BE2F"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18</w:t>
            </w:r>
          </w:p>
        </w:tc>
      </w:tr>
      <w:tr w:rsidR="00EB2398" w:rsidRPr="00607E75" w14:paraId="33607866" w14:textId="77777777" w:rsidTr="006E080E">
        <w:trPr>
          <w:trHeight w:val="57"/>
        </w:trPr>
        <w:tc>
          <w:tcPr>
            <w:tcW w:w="2876" w:type="dxa"/>
            <w:vAlign w:val="center"/>
          </w:tcPr>
          <w:p w14:paraId="34659815"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Servicing</w:t>
            </w:r>
          </w:p>
        </w:tc>
        <w:tc>
          <w:tcPr>
            <w:tcW w:w="2877" w:type="dxa"/>
            <w:vAlign w:val="center"/>
          </w:tcPr>
          <w:p w14:paraId="388829C2"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119</w:t>
            </w:r>
          </w:p>
        </w:tc>
        <w:tc>
          <w:tcPr>
            <w:tcW w:w="2877" w:type="dxa"/>
            <w:vAlign w:val="center"/>
          </w:tcPr>
          <w:p w14:paraId="5AB6D6EF" w14:textId="77777777" w:rsidR="00EB2398" w:rsidRPr="00607E75" w:rsidRDefault="00EB2398" w:rsidP="00EB2398">
            <w:pPr>
              <w:pStyle w:val="Heading1"/>
              <w:spacing w:before="0"/>
              <w:jc w:val="both"/>
              <w:outlineLvl w:val="0"/>
              <w:rPr>
                <w:rFonts w:cs="Arial"/>
                <w:b w:val="0"/>
                <w:bCs/>
                <w:color w:val="000000" w:themeColor="text1"/>
                <w:sz w:val="20"/>
                <w:szCs w:val="20"/>
                <w:lang w:val="en-PH"/>
              </w:rPr>
            </w:pPr>
            <w:r w:rsidRPr="00607E75">
              <w:rPr>
                <w:rFonts w:cs="Arial"/>
                <w:b w:val="0"/>
                <w:bCs/>
                <w:sz w:val="20"/>
                <w:szCs w:val="20"/>
              </w:rPr>
              <w:t>54</w:t>
            </w:r>
          </w:p>
        </w:tc>
      </w:tr>
    </w:tbl>
    <w:p w14:paraId="38ACAFD0" w14:textId="77777777" w:rsidR="006F5B5D" w:rsidRPr="00607E75" w:rsidRDefault="006F5B5D" w:rsidP="00EB2398">
      <w:pPr>
        <w:pStyle w:val="Body"/>
        <w:spacing w:after="0" w:line="480" w:lineRule="auto"/>
        <w:rPr>
          <w:rFonts w:ascii="Arial" w:hAnsi="Arial" w:cs="Arial"/>
          <w:lang w:val="en-PH"/>
        </w:rPr>
      </w:pPr>
    </w:p>
    <w:p w14:paraId="703FE729" w14:textId="77777777" w:rsidR="009E3C0C" w:rsidRDefault="009E3C0C" w:rsidP="00EB2398">
      <w:pPr>
        <w:pStyle w:val="Body"/>
        <w:spacing w:after="0" w:line="480" w:lineRule="auto"/>
        <w:rPr>
          <w:rFonts w:ascii="Arial" w:hAnsi="Arial" w:cs="Arial"/>
          <w:b/>
          <w:bCs/>
          <w:lang w:val="en-PH"/>
        </w:rPr>
      </w:pPr>
    </w:p>
    <w:p w14:paraId="7E061B18" w14:textId="5217A5C9" w:rsidR="00EB2398" w:rsidRPr="00607E75" w:rsidRDefault="006F5B5D" w:rsidP="00EB2398">
      <w:pPr>
        <w:pStyle w:val="Body"/>
        <w:spacing w:after="0" w:line="480" w:lineRule="auto"/>
        <w:rPr>
          <w:rFonts w:ascii="Arial" w:hAnsi="Arial" w:cs="Arial"/>
          <w:b/>
          <w:bCs/>
          <w:lang w:val="en-PH"/>
        </w:rPr>
      </w:pPr>
      <w:r w:rsidRPr="00607E75">
        <w:rPr>
          <w:rFonts w:ascii="Arial" w:hAnsi="Arial" w:cs="Arial"/>
          <w:b/>
          <w:bCs/>
          <w:lang w:val="en-PH"/>
        </w:rPr>
        <w:t>Research Instrument</w:t>
      </w:r>
    </w:p>
    <w:p w14:paraId="7865C94F" w14:textId="416A2901" w:rsidR="006F5B5D" w:rsidRDefault="006F5B5D" w:rsidP="006F5B5D">
      <w:pPr>
        <w:pStyle w:val="Body"/>
        <w:spacing w:after="0" w:line="480" w:lineRule="auto"/>
        <w:rPr>
          <w:rFonts w:ascii="Arial" w:hAnsi="Arial" w:cs="Arial"/>
          <w:lang w:val="en-PH"/>
        </w:rPr>
      </w:pPr>
      <w:r w:rsidRPr="006F5B5D">
        <w:rPr>
          <w:rFonts w:ascii="Arial" w:hAnsi="Arial" w:cs="Arial"/>
          <w:lang w:val="en-PH"/>
        </w:rPr>
        <w:t xml:space="preserve">The instrument was adapted and modified from the validated instrument used by Twum et al. (2020) and reviewed by two academic experts for local relevance and clarity. It comprised five major sections: demographics, which included age, business size, type, educational attainment, and years of operation; tax rights knowledge, which assessed understanding of </w:t>
      </w:r>
      <w:r w:rsidRPr="006F5B5D">
        <w:rPr>
          <w:rFonts w:ascii="Arial" w:hAnsi="Arial" w:cs="Arial"/>
          <w:lang w:val="en-PH"/>
        </w:rPr>
        <w:lastRenderedPageBreak/>
        <w:t xml:space="preserve">tax laws, filing rules, and allowable deductions; knowledge of business income, which measured awareness related to income reporting and classification; awareness of sanctions, which evaluated knowledge of penalties for tax non-compliance; and tax compliance, which measured self-reported filing and payment behaviors. </w:t>
      </w:r>
    </w:p>
    <w:p w14:paraId="5B7517A9" w14:textId="26AA1A87" w:rsidR="00607E75" w:rsidRPr="006F5B5D" w:rsidRDefault="00DF1C76" w:rsidP="006F5B5D">
      <w:pPr>
        <w:pStyle w:val="Body"/>
        <w:spacing w:after="0" w:line="480" w:lineRule="auto"/>
        <w:rPr>
          <w:rFonts w:ascii="Arial" w:hAnsi="Arial" w:cs="Arial"/>
          <w:lang w:val="en-PH"/>
        </w:rPr>
      </w:pPr>
      <w:r>
        <w:rPr>
          <w:rFonts w:ascii="Arial" w:hAnsi="Arial" w:cs="Arial"/>
          <w:lang w:val="en-PH"/>
        </w:rPr>
        <w:t xml:space="preserve">   </w:t>
      </w:r>
    </w:p>
    <w:p w14:paraId="1255DA5E" w14:textId="16D7B000" w:rsidR="00902823" w:rsidRPr="00607E75" w:rsidRDefault="00000F8F" w:rsidP="00441B6F">
      <w:pPr>
        <w:pStyle w:val="Head1"/>
        <w:spacing w:after="0"/>
        <w:jc w:val="both"/>
        <w:rPr>
          <w:rFonts w:ascii="Arial" w:hAnsi="Arial" w:cs="Arial"/>
        </w:rPr>
      </w:pPr>
      <w:r w:rsidRPr="00607E75">
        <w:rPr>
          <w:rFonts w:ascii="Arial" w:hAnsi="Arial" w:cs="Arial"/>
        </w:rPr>
        <w:t>results and discussion</w:t>
      </w:r>
    </w:p>
    <w:p w14:paraId="02A6FF3A" w14:textId="77777777" w:rsidR="00790ADA" w:rsidRPr="00607E75" w:rsidRDefault="00790ADA" w:rsidP="00441B6F">
      <w:pPr>
        <w:pStyle w:val="Head1"/>
        <w:spacing w:after="0"/>
        <w:jc w:val="both"/>
        <w:rPr>
          <w:rFonts w:ascii="Arial" w:hAnsi="Arial" w:cs="Arial"/>
        </w:rPr>
      </w:pPr>
    </w:p>
    <w:p w14:paraId="6B0622BE" w14:textId="271094F9" w:rsidR="00BC16BE" w:rsidRDefault="00E66E10" w:rsidP="00BC16BE">
      <w:pPr>
        <w:spacing w:line="480" w:lineRule="auto"/>
        <w:ind w:firstLine="720"/>
        <w:jc w:val="both"/>
        <w:rPr>
          <w:rFonts w:ascii="Arial" w:hAnsi="Arial" w:cs="Arial"/>
          <w:bCs/>
          <w:color w:val="000000" w:themeColor="text1"/>
          <w:sz w:val="22"/>
          <w:szCs w:val="22"/>
        </w:rPr>
      </w:pPr>
      <w:r w:rsidRPr="00607E75">
        <w:rPr>
          <w:rFonts w:ascii="Arial" w:hAnsi="Arial" w:cs="Arial"/>
        </w:rPr>
        <w:t xml:space="preserve"> </w:t>
      </w:r>
      <w:r w:rsidR="00607E75" w:rsidRPr="00607E75">
        <w:rPr>
          <w:rFonts w:ascii="Arial" w:hAnsi="Arial" w:cs="Arial"/>
          <w:bCs/>
          <w:color w:val="000000" w:themeColor="text1"/>
          <w:sz w:val="22"/>
          <w:szCs w:val="22"/>
        </w:rPr>
        <w:t xml:space="preserve">This chapter presents the survey results conducted by the researchers, along with the corresponding discussions. The researchers personally distributed the questionnaires to each identified respondent and collected them immediately after completion. Due to the respondents' availability, the data collection process took two months. A total of 139 respondents were randomly selected from the 344 registered business owners in </w:t>
      </w:r>
      <w:proofErr w:type="spellStart"/>
      <w:r w:rsidR="00607E75" w:rsidRPr="00607E75">
        <w:rPr>
          <w:rFonts w:ascii="Arial" w:hAnsi="Arial" w:cs="Arial"/>
          <w:bCs/>
          <w:color w:val="000000" w:themeColor="text1"/>
          <w:sz w:val="22"/>
          <w:szCs w:val="22"/>
        </w:rPr>
        <w:t>Cateel</w:t>
      </w:r>
      <w:proofErr w:type="spellEnd"/>
      <w:r w:rsidR="00607E75" w:rsidRPr="00607E75">
        <w:rPr>
          <w:rFonts w:ascii="Arial" w:hAnsi="Arial" w:cs="Arial"/>
          <w:bCs/>
          <w:color w:val="000000" w:themeColor="text1"/>
          <w:sz w:val="22"/>
          <w:szCs w:val="22"/>
        </w:rPr>
        <w:t>, Davao Oriental, representing various demographic profiles. The following sections summarize the demographic profile of the respondents, their level of tax knowledge, the level of tax compliance, significant differences in tax knowledge levels, the relationship between tax knowledge and tax compliance, and significant differences in tax compliance levels</w:t>
      </w:r>
      <w:r w:rsidR="006C7905">
        <w:rPr>
          <w:rFonts w:ascii="Arial" w:hAnsi="Arial" w:cs="Arial"/>
          <w:bCs/>
          <w:color w:val="000000" w:themeColor="text1"/>
          <w:sz w:val="22"/>
          <w:szCs w:val="22"/>
        </w:rPr>
        <w:t>.</w:t>
      </w:r>
    </w:p>
    <w:p w14:paraId="347061F9" w14:textId="2939AFA4" w:rsidR="00BC16BE" w:rsidRPr="00BC16BE" w:rsidRDefault="00801FE6" w:rsidP="00801FE6">
      <w:pPr>
        <w:jc w:val="both"/>
        <w:rPr>
          <w:rFonts w:ascii="Arial" w:hAnsi="Arial" w:cs="Arial"/>
          <w:bCs/>
          <w:color w:val="000000" w:themeColor="text1"/>
          <w:sz w:val="22"/>
          <w:szCs w:val="22"/>
        </w:rPr>
      </w:pPr>
      <w:r>
        <w:rPr>
          <w:rFonts w:ascii="Arial" w:hAnsi="Arial" w:cs="Arial"/>
          <w:bCs/>
          <w:color w:val="000000" w:themeColor="text1"/>
          <w:sz w:val="22"/>
          <w:szCs w:val="22"/>
        </w:rPr>
        <w:t xml:space="preserve">  </w:t>
      </w:r>
      <w:r w:rsidR="00BC16BE">
        <w:rPr>
          <w:rFonts w:ascii="Arial" w:hAnsi="Arial" w:cs="Arial"/>
          <w:bCs/>
          <w:color w:val="000000" w:themeColor="text1"/>
          <w:sz w:val="22"/>
          <w:szCs w:val="22"/>
        </w:rPr>
        <w:t>Table 2. Demographic profile of the respondents</w:t>
      </w:r>
    </w:p>
    <w:p w14:paraId="13E5D9B3" w14:textId="50E30BB7" w:rsidR="006C7905" w:rsidRDefault="00BC16BE" w:rsidP="00607E75">
      <w:pPr>
        <w:spacing w:line="480" w:lineRule="auto"/>
        <w:ind w:firstLine="720"/>
        <w:jc w:val="both"/>
        <w:rPr>
          <w:rFonts w:ascii="Arial" w:hAnsi="Arial" w:cs="Arial"/>
          <w:bCs/>
          <w:color w:val="000000" w:themeColor="text1"/>
          <w:sz w:val="22"/>
          <w:szCs w:val="22"/>
        </w:rPr>
      </w:pPr>
      <w:r w:rsidRPr="00BC16BE">
        <w:rPr>
          <w:rFonts w:ascii="Arial" w:hAnsi="Arial" w:cs="Arial"/>
          <w:bCs/>
          <w:noProof/>
          <w:color w:val="000000" w:themeColor="text1"/>
          <w:sz w:val="22"/>
          <w:szCs w:val="22"/>
        </w:rPr>
        <w:drawing>
          <wp:anchor distT="0" distB="0" distL="114300" distR="114300" simplePos="0" relativeHeight="251666432" behindDoc="0" locked="0" layoutInCell="1" allowOverlap="1" wp14:anchorId="314551D5" wp14:editId="70466F1E">
            <wp:simplePos x="0" y="0"/>
            <wp:positionH relativeFrom="margin">
              <wp:align>right</wp:align>
            </wp:positionH>
            <wp:positionV relativeFrom="paragraph">
              <wp:posOffset>10795</wp:posOffset>
            </wp:positionV>
            <wp:extent cx="5202555" cy="4505325"/>
            <wp:effectExtent l="0" t="0" r="0" b="9525"/>
            <wp:wrapNone/>
            <wp:docPr id="57666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62554" name=""/>
                    <pic:cNvPicPr/>
                  </pic:nvPicPr>
                  <pic:blipFill>
                    <a:blip r:embed="rId14">
                      <a:extLst>
                        <a:ext uri="{28A0092B-C50C-407E-A947-70E740481C1C}">
                          <a14:useLocalDpi xmlns:a14="http://schemas.microsoft.com/office/drawing/2010/main" val="0"/>
                        </a:ext>
                      </a:extLst>
                    </a:blip>
                    <a:stretch>
                      <a:fillRect/>
                    </a:stretch>
                  </pic:blipFill>
                  <pic:spPr>
                    <a:xfrm>
                      <a:off x="0" y="0"/>
                      <a:ext cx="5202555" cy="4505325"/>
                    </a:xfrm>
                    <a:prstGeom prst="rect">
                      <a:avLst/>
                    </a:prstGeom>
                  </pic:spPr>
                </pic:pic>
              </a:graphicData>
            </a:graphic>
            <wp14:sizeRelH relativeFrom="margin">
              <wp14:pctWidth>0</wp14:pctWidth>
            </wp14:sizeRelH>
            <wp14:sizeRelV relativeFrom="margin">
              <wp14:pctHeight>0</wp14:pctHeight>
            </wp14:sizeRelV>
          </wp:anchor>
        </w:drawing>
      </w:r>
    </w:p>
    <w:p w14:paraId="3486C8FC" w14:textId="77777777" w:rsidR="006C7905" w:rsidRDefault="006C7905" w:rsidP="00607E75">
      <w:pPr>
        <w:spacing w:line="480" w:lineRule="auto"/>
        <w:ind w:firstLine="720"/>
        <w:jc w:val="both"/>
        <w:rPr>
          <w:rFonts w:ascii="Arial" w:hAnsi="Arial" w:cs="Arial"/>
          <w:bCs/>
          <w:color w:val="000000" w:themeColor="text1"/>
          <w:sz w:val="22"/>
          <w:szCs w:val="22"/>
        </w:rPr>
      </w:pPr>
    </w:p>
    <w:p w14:paraId="0D5ED6BB" w14:textId="77777777" w:rsidR="006C7905" w:rsidRDefault="006C7905" w:rsidP="00607E75">
      <w:pPr>
        <w:spacing w:line="480" w:lineRule="auto"/>
        <w:ind w:firstLine="720"/>
        <w:jc w:val="both"/>
        <w:rPr>
          <w:rFonts w:ascii="Arial" w:hAnsi="Arial" w:cs="Arial"/>
          <w:bCs/>
          <w:color w:val="000000" w:themeColor="text1"/>
          <w:sz w:val="22"/>
          <w:szCs w:val="22"/>
        </w:rPr>
      </w:pPr>
    </w:p>
    <w:p w14:paraId="09153972" w14:textId="77777777" w:rsidR="006C7905" w:rsidRDefault="006C7905" w:rsidP="00607E75">
      <w:pPr>
        <w:spacing w:line="480" w:lineRule="auto"/>
        <w:ind w:firstLine="720"/>
        <w:jc w:val="both"/>
        <w:rPr>
          <w:rFonts w:ascii="Arial" w:hAnsi="Arial" w:cs="Arial"/>
          <w:bCs/>
          <w:color w:val="000000" w:themeColor="text1"/>
          <w:sz w:val="22"/>
          <w:szCs w:val="22"/>
        </w:rPr>
      </w:pPr>
    </w:p>
    <w:p w14:paraId="78291AC4" w14:textId="77777777" w:rsidR="006C7905" w:rsidRDefault="006C7905" w:rsidP="00607E75">
      <w:pPr>
        <w:spacing w:line="480" w:lineRule="auto"/>
        <w:ind w:firstLine="720"/>
        <w:jc w:val="both"/>
        <w:rPr>
          <w:rFonts w:ascii="Arial" w:hAnsi="Arial" w:cs="Arial"/>
          <w:bCs/>
          <w:color w:val="000000" w:themeColor="text1"/>
          <w:sz w:val="22"/>
          <w:szCs w:val="22"/>
        </w:rPr>
      </w:pPr>
    </w:p>
    <w:p w14:paraId="0AC5053E" w14:textId="77777777" w:rsidR="006C7905" w:rsidRDefault="006C7905" w:rsidP="00607E75">
      <w:pPr>
        <w:spacing w:line="480" w:lineRule="auto"/>
        <w:ind w:firstLine="720"/>
        <w:jc w:val="both"/>
        <w:rPr>
          <w:rFonts w:ascii="Arial" w:hAnsi="Arial" w:cs="Arial"/>
          <w:bCs/>
          <w:color w:val="000000" w:themeColor="text1"/>
          <w:sz w:val="22"/>
          <w:szCs w:val="22"/>
        </w:rPr>
      </w:pPr>
    </w:p>
    <w:p w14:paraId="61B5FEC7" w14:textId="77777777" w:rsidR="006C7905" w:rsidRDefault="006C7905" w:rsidP="00607E75">
      <w:pPr>
        <w:spacing w:line="480" w:lineRule="auto"/>
        <w:ind w:firstLine="720"/>
        <w:jc w:val="both"/>
        <w:rPr>
          <w:rFonts w:ascii="Arial" w:hAnsi="Arial" w:cs="Arial"/>
          <w:bCs/>
          <w:color w:val="000000" w:themeColor="text1"/>
          <w:sz w:val="22"/>
          <w:szCs w:val="22"/>
        </w:rPr>
      </w:pPr>
    </w:p>
    <w:p w14:paraId="6CCBD3FD" w14:textId="643692D0" w:rsidR="00607E75" w:rsidRPr="00607E75" w:rsidRDefault="00AD3DC4" w:rsidP="00AD3DC4">
      <w:pPr>
        <w:pStyle w:val="Body"/>
        <w:spacing w:after="0" w:line="480" w:lineRule="auto"/>
        <w:ind w:firstLine="720"/>
        <w:rPr>
          <w:rFonts w:ascii="Arial" w:hAnsi="Arial" w:cs="Arial"/>
        </w:rPr>
      </w:pPr>
      <w:r w:rsidRPr="00AD3DC4">
        <w:rPr>
          <w:rFonts w:ascii="Arial" w:hAnsi="Arial" w:cs="Arial"/>
        </w:rPr>
        <w:t xml:space="preserve">The demographic and business profile of respondents reveals that most business owners in </w:t>
      </w:r>
      <w:proofErr w:type="spellStart"/>
      <w:r w:rsidRPr="00AD3DC4">
        <w:rPr>
          <w:rFonts w:ascii="Arial" w:hAnsi="Arial" w:cs="Arial"/>
        </w:rPr>
        <w:t>Cateel</w:t>
      </w:r>
      <w:proofErr w:type="spellEnd"/>
      <w:r w:rsidRPr="00AD3DC4">
        <w:rPr>
          <w:rFonts w:ascii="Arial" w:hAnsi="Arial" w:cs="Arial"/>
        </w:rPr>
        <w:t xml:space="preserve"> are young to middle-aged adults, with 54.68% aged 18–39, reflecting a </w:t>
      </w:r>
      <w:r w:rsidRPr="00AD3DC4">
        <w:rPr>
          <w:rFonts w:ascii="Arial" w:hAnsi="Arial" w:cs="Arial"/>
        </w:rPr>
        <w:lastRenderedPageBreak/>
        <w:t xml:space="preserve">youth-driven entrepreneurial sector. This supports </w:t>
      </w:r>
      <w:proofErr w:type="spellStart"/>
      <w:r w:rsidRPr="00AD3DC4">
        <w:rPr>
          <w:rFonts w:ascii="Arial" w:hAnsi="Arial" w:cs="Arial"/>
        </w:rPr>
        <w:t>Fatoki</w:t>
      </w:r>
      <w:proofErr w:type="spellEnd"/>
      <w:r w:rsidRPr="00AD3DC4">
        <w:rPr>
          <w:rFonts w:ascii="Arial" w:hAnsi="Arial" w:cs="Arial"/>
        </w:rPr>
        <w:t xml:space="preserve"> (2019), who emphasized the agility and opportunity-seeking behavior of younger entrepreneurs. A dominant 97.84% operate microenterprises, consistent with </w:t>
      </w:r>
      <w:proofErr w:type="spellStart"/>
      <w:r w:rsidRPr="00AD3DC4">
        <w:rPr>
          <w:rFonts w:ascii="Arial" w:hAnsi="Arial" w:cs="Arial"/>
        </w:rPr>
        <w:t>Manipol</w:t>
      </w:r>
      <w:proofErr w:type="spellEnd"/>
      <w:r w:rsidRPr="00AD3DC4">
        <w:rPr>
          <w:rFonts w:ascii="Arial" w:hAnsi="Arial" w:cs="Arial"/>
        </w:rPr>
        <w:t xml:space="preserve"> (2023) and </w:t>
      </w:r>
      <w:proofErr w:type="spellStart"/>
      <w:r w:rsidRPr="00AD3DC4">
        <w:rPr>
          <w:rFonts w:ascii="Arial" w:hAnsi="Arial" w:cs="Arial"/>
        </w:rPr>
        <w:t>Granfon</w:t>
      </w:r>
      <w:proofErr w:type="spellEnd"/>
      <w:r w:rsidRPr="00AD3DC4">
        <w:rPr>
          <w:rFonts w:ascii="Arial" w:hAnsi="Arial" w:cs="Arial"/>
        </w:rPr>
        <w:t xml:space="preserve"> et al. (2023), who found microbusinesses prevalent in rural areas due to low capital and regulatory requirements. The majority are engaged in trading (48.20%) and services (38.85%), with limited participation in manufacturing (12.95%), a pattern explained by Kritikos (2015), ILO (2015), and UNIDO (2016), citing structural limitations and preference for low-barrier, high-turnover businesses. Educationally, 78.42% have at least completed high school or college, supporting Devos (2016) and Eriksen and Fallan (2016), who linked education with improved tax literacy and compliance, although Bird (2014) noted it is often overlooked in SME policy. Lastly, 59.71% of businesses are under 10 years old, suggesting a young and growing entrepreneurial base, aligned with Ali et al. (2014) and Awasthi and </w:t>
      </w:r>
      <w:proofErr w:type="spellStart"/>
      <w:r w:rsidRPr="00AD3DC4">
        <w:rPr>
          <w:rFonts w:ascii="Arial" w:hAnsi="Arial" w:cs="Arial"/>
        </w:rPr>
        <w:t>Engelschalk</w:t>
      </w:r>
      <w:proofErr w:type="spellEnd"/>
      <w:r w:rsidRPr="00AD3DC4">
        <w:rPr>
          <w:rFonts w:ascii="Arial" w:hAnsi="Arial" w:cs="Arial"/>
        </w:rPr>
        <w:t xml:space="preserve"> (2018), who associated such trends with evolving market opportunities, necessity-driven startups, and improved access to digital tax systems.</w:t>
      </w:r>
    </w:p>
    <w:p w14:paraId="251911CE" w14:textId="77777777" w:rsidR="00BC16BE" w:rsidRDefault="00BC16BE" w:rsidP="00441B6F">
      <w:pPr>
        <w:pStyle w:val="Body"/>
        <w:spacing w:after="0"/>
        <w:rPr>
          <w:rFonts w:ascii="Arial" w:hAnsi="Arial" w:cs="Arial"/>
        </w:rPr>
      </w:pPr>
    </w:p>
    <w:p w14:paraId="1782585C" w14:textId="77777777" w:rsidR="00BC16BE" w:rsidRDefault="00BC16BE" w:rsidP="00441B6F">
      <w:pPr>
        <w:pStyle w:val="Body"/>
        <w:spacing w:after="0"/>
        <w:rPr>
          <w:rFonts w:ascii="Arial" w:hAnsi="Arial" w:cs="Arial"/>
        </w:rPr>
      </w:pPr>
    </w:p>
    <w:p w14:paraId="3B813C83" w14:textId="5606CC46" w:rsidR="00C527BC" w:rsidRDefault="00C527BC" w:rsidP="00441B6F">
      <w:pPr>
        <w:pStyle w:val="Body"/>
        <w:spacing w:after="0"/>
        <w:rPr>
          <w:rFonts w:ascii="Arial" w:hAnsi="Arial" w:cs="Arial"/>
          <w:b/>
          <w:bCs/>
          <w:sz w:val="22"/>
          <w:szCs w:val="22"/>
        </w:rPr>
      </w:pPr>
      <w:r w:rsidRPr="00C527BC">
        <w:rPr>
          <w:rFonts w:ascii="Arial" w:hAnsi="Arial" w:cs="Arial"/>
          <w:b/>
          <w:bCs/>
          <w:sz w:val="22"/>
          <w:szCs w:val="22"/>
        </w:rPr>
        <w:t>Level of Tax Knowledge Among Business Owners</w:t>
      </w:r>
    </w:p>
    <w:p w14:paraId="2397168B" w14:textId="77777777" w:rsidR="00E349C1" w:rsidRPr="00C527BC" w:rsidRDefault="00E349C1" w:rsidP="00441B6F">
      <w:pPr>
        <w:pStyle w:val="Body"/>
        <w:spacing w:after="0"/>
        <w:rPr>
          <w:rFonts w:ascii="Arial" w:hAnsi="Arial" w:cs="Arial"/>
          <w:b/>
          <w:bCs/>
          <w:sz w:val="22"/>
          <w:szCs w:val="22"/>
        </w:rPr>
      </w:pPr>
    </w:p>
    <w:p w14:paraId="1D489164" w14:textId="77777777" w:rsidR="00790ADA" w:rsidRDefault="00790ADA" w:rsidP="00441B6F">
      <w:pPr>
        <w:pStyle w:val="Body"/>
        <w:spacing w:after="0"/>
        <w:rPr>
          <w:rFonts w:ascii="Arial" w:hAnsi="Arial" w:cs="Arial"/>
        </w:rPr>
      </w:pPr>
    </w:p>
    <w:p w14:paraId="3834B27A" w14:textId="42167F4F" w:rsidR="00C527BC" w:rsidRPr="00733073" w:rsidRDefault="00733073" w:rsidP="00733073">
      <w:pPr>
        <w:pStyle w:val="BodyText"/>
        <w:spacing w:after="0"/>
        <w:jc w:val="both"/>
      </w:pPr>
      <w:r>
        <w:t>Table</w:t>
      </w:r>
      <w:r>
        <w:rPr>
          <w:spacing w:val="-5"/>
        </w:rPr>
        <w:t xml:space="preserve"> </w:t>
      </w:r>
      <w:r>
        <w:t>3.</w:t>
      </w:r>
      <w:r>
        <w:rPr>
          <w:spacing w:val="-4"/>
        </w:rPr>
        <w:t xml:space="preserve"> </w:t>
      </w:r>
      <w:r>
        <w:t>Tax</w:t>
      </w:r>
      <w:r>
        <w:rPr>
          <w:spacing w:val="-6"/>
        </w:rPr>
        <w:t xml:space="preserve"> </w:t>
      </w:r>
      <w:r>
        <w:t>knowledge</w:t>
      </w:r>
      <w:r>
        <w:rPr>
          <w:spacing w:val="-4"/>
        </w:rPr>
        <w:t xml:space="preserve"> </w:t>
      </w:r>
      <w:r>
        <w:t>in</w:t>
      </w:r>
      <w:r>
        <w:rPr>
          <w:spacing w:val="1"/>
        </w:rPr>
        <w:t xml:space="preserve"> </w:t>
      </w:r>
      <w:r>
        <w:t>relation</w:t>
      </w:r>
      <w:r>
        <w:rPr>
          <w:spacing w:val="-5"/>
        </w:rPr>
        <w:t xml:space="preserve"> </w:t>
      </w:r>
      <w:r>
        <w:t>to</w:t>
      </w:r>
      <w:r>
        <w:rPr>
          <w:spacing w:val="-4"/>
        </w:rPr>
        <w:t xml:space="preserve"> </w:t>
      </w:r>
      <w:r>
        <w:t>tax</w:t>
      </w:r>
      <w:r>
        <w:rPr>
          <w:spacing w:val="-1"/>
        </w:rPr>
        <w:t xml:space="preserve"> </w:t>
      </w:r>
      <w:r>
        <w:t>rights</w:t>
      </w:r>
      <w:r>
        <w:rPr>
          <w:spacing w:val="-6"/>
        </w:rPr>
        <w:t xml:space="preserve"> </w:t>
      </w:r>
      <w:r>
        <w:t xml:space="preserve">and </w:t>
      </w:r>
      <w:r>
        <w:rPr>
          <w:spacing w:val="-2"/>
        </w:rPr>
        <w:t>responsibilities</w:t>
      </w:r>
    </w:p>
    <w:tbl>
      <w:tblPr>
        <w:tblpPr w:leftFromText="180" w:rightFromText="180" w:vertAnchor="text" w:horzAnchor="margin" w:tblpY="79"/>
        <w:tblW w:w="8552" w:type="dxa"/>
        <w:tblLayout w:type="fixed"/>
        <w:tblCellMar>
          <w:left w:w="0" w:type="dxa"/>
          <w:right w:w="0" w:type="dxa"/>
        </w:tblCellMar>
        <w:tblLook w:val="01E0" w:firstRow="1" w:lastRow="1" w:firstColumn="1" w:lastColumn="1" w:noHBand="0" w:noVBand="0"/>
      </w:tblPr>
      <w:tblGrid>
        <w:gridCol w:w="4530"/>
        <w:gridCol w:w="1048"/>
        <w:gridCol w:w="1337"/>
        <w:gridCol w:w="1637"/>
      </w:tblGrid>
      <w:tr w:rsidR="00733073" w14:paraId="61C1F24C" w14:textId="77777777" w:rsidTr="00143856">
        <w:trPr>
          <w:trHeight w:val="227"/>
        </w:trPr>
        <w:tc>
          <w:tcPr>
            <w:tcW w:w="4530" w:type="dxa"/>
            <w:tcBorders>
              <w:top w:val="single" w:sz="4" w:space="0" w:color="000000"/>
              <w:bottom w:val="single" w:sz="4" w:space="0" w:color="000000"/>
            </w:tcBorders>
          </w:tcPr>
          <w:p w14:paraId="369FCF6A" w14:textId="77777777" w:rsidR="00733073" w:rsidRDefault="00733073" w:rsidP="00733073">
            <w:pPr>
              <w:pStyle w:val="TableParagraph"/>
              <w:spacing w:before="187"/>
              <w:ind w:left="4" w:right="122"/>
              <w:jc w:val="center"/>
              <w:rPr>
                <w:rFonts w:ascii="Arial"/>
                <w:b/>
              </w:rPr>
            </w:pPr>
            <w:r>
              <w:rPr>
                <w:rFonts w:ascii="Arial"/>
                <w:b/>
                <w:spacing w:val="-2"/>
              </w:rPr>
              <w:t>Statements</w:t>
            </w:r>
          </w:p>
        </w:tc>
        <w:tc>
          <w:tcPr>
            <w:tcW w:w="1048" w:type="dxa"/>
            <w:tcBorders>
              <w:top w:val="single" w:sz="4" w:space="0" w:color="000000"/>
              <w:bottom w:val="single" w:sz="4" w:space="0" w:color="000000"/>
            </w:tcBorders>
          </w:tcPr>
          <w:p w14:paraId="2BE4E083" w14:textId="77777777" w:rsidR="00733073" w:rsidRDefault="00733073" w:rsidP="00733073">
            <w:pPr>
              <w:pStyle w:val="TableParagraph"/>
              <w:spacing w:before="187"/>
              <w:ind w:left="6" w:right="3"/>
              <w:jc w:val="center"/>
              <w:rPr>
                <w:rFonts w:ascii="Arial"/>
                <w:b/>
              </w:rPr>
            </w:pPr>
            <w:r>
              <w:rPr>
                <w:rFonts w:ascii="Arial"/>
                <w:b/>
                <w:spacing w:val="-4"/>
              </w:rPr>
              <w:t>Mean</w:t>
            </w:r>
          </w:p>
        </w:tc>
        <w:tc>
          <w:tcPr>
            <w:tcW w:w="1337" w:type="dxa"/>
            <w:tcBorders>
              <w:top w:val="single" w:sz="4" w:space="0" w:color="000000"/>
              <w:bottom w:val="single" w:sz="4" w:space="0" w:color="000000"/>
            </w:tcBorders>
          </w:tcPr>
          <w:p w14:paraId="0685D49D" w14:textId="77777777" w:rsidR="00733073" w:rsidRDefault="00733073" w:rsidP="00733073">
            <w:pPr>
              <w:pStyle w:val="TableParagraph"/>
              <w:spacing w:before="62" w:line="252" w:lineRule="exact"/>
              <w:ind w:left="136" w:right="2"/>
              <w:jc w:val="center"/>
            </w:pPr>
            <w:r>
              <w:rPr>
                <w:rFonts w:ascii="Arial"/>
                <w:b/>
                <w:spacing w:val="-4"/>
              </w:rPr>
              <w:t>Std</w:t>
            </w:r>
            <w:r>
              <w:rPr>
                <w:spacing w:val="-4"/>
              </w:rPr>
              <w:t>.</w:t>
            </w:r>
          </w:p>
          <w:p w14:paraId="573A4866" w14:textId="77777777" w:rsidR="00733073" w:rsidRDefault="00733073" w:rsidP="00733073">
            <w:pPr>
              <w:pStyle w:val="TableParagraph"/>
              <w:spacing w:line="252" w:lineRule="exact"/>
              <w:ind w:left="136" w:right="2"/>
              <w:jc w:val="center"/>
              <w:rPr>
                <w:rFonts w:ascii="Arial"/>
                <w:b/>
              </w:rPr>
            </w:pPr>
            <w:r>
              <w:rPr>
                <w:rFonts w:ascii="Arial"/>
                <w:b/>
                <w:spacing w:val="-2"/>
              </w:rPr>
              <w:t>Deviation</w:t>
            </w:r>
          </w:p>
        </w:tc>
        <w:tc>
          <w:tcPr>
            <w:tcW w:w="1637" w:type="dxa"/>
            <w:tcBorders>
              <w:top w:val="single" w:sz="4" w:space="0" w:color="000000"/>
              <w:bottom w:val="single" w:sz="4" w:space="0" w:color="000000"/>
            </w:tcBorders>
          </w:tcPr>
          <w:p w14:paraId="71F86830" w14:textId="77777777" w:rsidR="00733073" w:rsidRDefault="00733073" w:rsidP="00733073">
            <w:pPr>
              <w:pStyle w:val="TableParagraph"/>
              <w:spacing w:before="187"/>
              <w:ind w:left="5" w:right="2"/>
              <w:jc w:val="center"/>
              <w:rPr>
                <w:rFonts w:ascii="Arial"/>
                <w:b/>
              </w:rPr>
            </w:pPr>
            <w:r>
              <w:rPr>
                <w:rFonts w:ascii="Arial"/>
                <w:b/>
                <w:spacing w:val="-2"/>
              </w:rPr>
              <w:t>Interpretation</w:t>
            </w:r>
          </w:p>
        </w:tc>
      </w:tr>
      <w:tr w:rsidR="00733073" w14:paraId="7237BC5E" w14:textId="77777777" w:rsidTr="00143856">
        <w:trPr>
          <w:trHeight w:val="227"/>
        </w:trPr>
        <w:tc>
          <w:tcPr>
            <w:tcW w:w="4530" w:type="dxa"/>
            <w:tcBorders>
              <w:top w:val="single" w:sz="4" w:space="0" w:color="000000"/>
            </w:tcBorders>
          </w:tcPr>
          <w:p w14:paraId="687926FF" w14:textId="77777777" w:rsidR="00733073" w:rsidRDefault="00733073" w:rsidP="00733073">
            <w:pPr>
              <w:pStyle w:val="TableParagraph"/>
              <w:spacing w:line="250" w:lineRule="atLeast"/>
              <w:ind w:left="117"/>
            </w:pPr>
            <w:r>
              <w:t>1.</w:t>
            </w:r>
            <w:r>
              <w:rPr>
                <w:spacing w:val="-15"/>
              </w:rPr>
              <w:t xml:space="preserve"> </w:t>
            </w:r>
            <w:r>
              <w:t>Being</w:t>
            </w:r>
            <w:r>
              <w:rPr>
                <w:spacing w:val="-15"/>
              </w:rPr>
              <w:t xml:space="preserve"> </w:t>
            </w:r>
            <w:r>
              <w:t>educated</w:t>
            </w:r>
            <w:r>
              <w:rPr>
                <w:spacing w:val="-14"/>
              </w:rPr>
              <w:t xml:space="preserve"> </w:t>
            </w:r>
            <w:r>
              <w:t>on</w:t>
            </w:r>
            <w:r>
              <w:rPr>
                <w:spacing w:val="-15"/>
              </w:rPr>
              <w:t xml:space="preserve"> </w:t>
            </w:r>
            <w:r>
              <w:t>the</w:t>
            </w:r>
            <w:r>
              <w:rPr>
                <w:spacing w:val="-13"/>
              </w:rPr>
              <w:t xml:space="preserve"> </w:t>
            </w:r>
            <w:r>
              <w:t>various</w:t>
            </w:r>
            <w:r>
              <w:rPr>
                <w:spacing w:val="-12"/>
              </w:rPr>
              <w:t xml:space="preserve"> </w:t>
            </w:r>
            <w:r>
              <w:t>rights</w:t>
            </w:r>
            <w:r>
              <w:rPr>
                <w:spacing w:val="-15"/>
              </w:rPr>
              <w:t xml:space="preserve"> </w:t>
            </w:r>
            <w:r>
              <w:t>and responsibilities regarding tax issues.</w:t>
            </w:r>
          </w:p>
        </w:tc>
        <w:tc>
          <w:tcPr>
            <w:tcW w:w="1048" w:type="dxa"/>
            <w:tcBorders>
              <w:top w:val="single" w:sz="4" w:space="0" w:color="000000"/>
            </w:tcBorders>
          </w:tcPr>
          <w:p w14:paraId="0AD9F93B" w14:textId="77777777" w:rsidR="00733073" w:rsidRDefault="00733073" w:rsidP="00733073">
            <w:pPr>
              <w:pStyle w:val="TableParagraph"/>
              <w:spacing w:before="128"/>
              <w:ind w:left="6"/>
              <w:jc w:val="center"/>
            </w:pPr>
            <w:r>
              <w:rPr>
                <w:spacing w:val="-4"/>
              </w:rPr>
              <w:t>4.40</w:t>
            </w:r>
          </w:p>
        </w:tc>
        <w:tc>
          <w:tcPr>
            <w:tcW w:w="1337" w:type="dxa"/>
            <w:tcBorders>
              <w:top w:val="single" w:sz="4" w:space="0" w:color="000000"/>
            </w:tcBorders>
          </w:tcPr>
          <w:p w14:paraId="673AF1D2" w14:textId="77777777" w:rsidR="00733073" w:rsidRDefault="00733073" w:rsidP="00733073">
            <w:pPr>
              <w:pStyle w:val="TableParagraph"/>
              <w:spacing w:before="128"/>
              <w:ind w:left="136"/>
              <w:jc w:val="center"/>
            </w:pPr>
            <w:r>
              <w:rPr>
                <w:spacing w:val="-4"/>
              </w:rPr>
              <w:t>0.68</w:t>
            </w:r>
          </w:p>
        </w:tc>
        <w:tc>
          <w:tcPr>
            <w:tcW w:w="1637" w:type="dxa"/>
            <w:tcBorders>
              <w:top w:val="single" w:sz="4" w:space="0" w:color="000000"/>
            </w:tcBorders>
          </w:tcPr>
          <w:p w14:paraId="5B5BF7A1" w14:textId="77777777" w:rsidR="00733073" w:rsidRDefault="00733073" w:rsidP="00733073">
            <w:pPr>
              <w:pStyle w:val="TableParagraph"/>
              <w:spacing w:before="3"/>
              <w:ind w:left="5"/>
              <w:jc w:val="center"/>
            </w:pPr>
            <w:r>
              <w:rPr>
                <w:spacing w:val="-2"/>
              </w:rPr>
              <w:t>Extensive</w:t>
            </w:r>
          </w:p>
        </w:tc>
      </w:tr>
      <w:tr w:rsidR="00733073" w14:paraId="2CBD14FA" w14:textId="77777777" w:rsidTr="00143856">
        <w:trPr>
          <w:trHeight w:val="227"/>
        </w:trPr>
        <w:tc>
          <w:tcPr>
            <w:tcW w:w="4530" w:type="dxa"/>
          </w:tcPr>
          <w:p w14:paraId="5F425D07" w14:textId="77777777" w:rsidR="00733073" w:rsidRDefault="00733073" w:rsidP="00733073">
            <w:pPr>
              <w:pStyle w:val="TableParagraph"/>
              <w:spacing w:line="254" w:lineRule="exact"/>
              <w:ind w:left="117"/>
            </w:pPr>
            <w:r>
              <w:t>2. Tax</w:t>
            </w:r>
            <w:r>
              <w:rPr>
                <w:spacing w:val="-3"/>
              </w:rPr>
              <w:t xml:space="preserve"> </w:t>
            </w:r>
            <w:r>
              <w:t>education</w:t>
            </w:r>
            <w:r>
              <w:rPr>
                <w:spacing w:val="-1"/>
              </w:rPr>
              <w:t xml:space="preserve"> </w:t>
            </w:r>
            <w:r>
              <w:t>creates</w:t>
            </w:r>
            <w:r>
              <w:rPr>
                <w:spacing w:val="-3"/>
              </w:rPr>
              <w:t xml:space="preserve"> </w:t>
            </w:r>
            <w:r>
              <w:t>awareness</w:t>
            </w:r>
            <w:r>
              <w:rPr>
                <w:spacing w:val="-3"/>
              </w:rPr>
              <w:t xml:space="preserve"> </w:t>
            </w:r>
            <w:r>
              <w:t>of the responsibility to pay taxes.</w:t>
            </w:r>
          </w:p>
        </w:tc>
        <w:tc>
          <w:tcPr>
            <w:tcW w:w="1048" w:type="dxa"/>
          </w:tcPr>
          <w:p w14:paraId="0FF7D18D" w14:textId="77777777" w:rsidR="00733073" w:rsidRDefault="00733073" w:rsidP="00733073">
            <w:pPr>
              <w:pStyle w:val="TableParagraph"/>
              <w:spacing w:before="125"/>
              <w:ind w:left="6"/>
              <w:jc w:val="center"/>
            </w:pPr>
            <w:r>
              <w:rPr>
                <w:spacing w:val="-4"/>
              </w:rPr>
              <w:t>4.50</w:t>
            </w:r>
          </w:p>
        </w:tc>
        <w:tc>
          <w:tcPr>
            <w:tcW w:w="1337" w:type="dxa"/>
          </w:tcPr>
          <w:p w14:paraId="312ED94D" w14:textId="77777777" w:rsidR="00733073" w:rsidRDefault="00733073" w:rsidP="00733073">
            <w:pPr>
              <w:pStyle w:val="TableParagraph"/>
              <w:spacing w:before="125"/>
              <w:ind w:left="136"/>
              <w:jc w:val="center"/>
            </w:pPr>
            <w:r>
              <w:rPr>
                <w:spacing w:val="-4"/>
              </w:rPr>
              <w:t>0.63</w:t>
            </w:r>
          </w:p>
        </w:tc>
        <w:tc>
          <w:tcPr>
            <w:tcW w:w="1637" w:type="dxa"/>
          </w:tcPr>
          <w:p w14:paraId="6D5338F6" w14:textId="77777777" w:rsidR="00733073" w:rsidRDefault="00733073" w:rsidP="00733073">
            <w:pPr>
              <w:pStyle w:val="TableParagraph"/>
              <w:spacing w:before="1"/>
              <w:ind w:left="5"/>
              <w:jc w:val="center"/>
            </w:pPr>
            <w:r>
              <w:rPr>
                <w:spacing w:val="-2"/>
              </w:rPr>
              <w:t>Extensive</w:t>
            </w:r>
          </w:p>
        </w:tc>
      </w:tr>
      <w:tr w:rsidR="00733073" w14:paraId="5509C076" w14:textId="77777777" w:rsidTr="00143856">
        <w:trPr>
          <w:trHeight w:val="227"/>
        </w:trPr>
        <w:tc>
          <w:tcPr>
            <w:tcW w:w="4530" w:type="dxa"/>
          </w:tcPr>
          <w:p w14:paraId="6CDA8BF7" w14:textId="77777777" w:rsidR="00733073" w:rsidRDefault="00733073" w:rsidP="00733073">
            <w:pPr>
              <w:pStyle w:val="TableParagraph"/>
              <w:spacing w:line="246" w:lineRule="exact"/>
              <w:ind w:left="117"/>
            </w:pPr>
            <w:r>
              <w:t>3.</w:t>
            </w:r>
            <w:r>
              <w:rPr>
                <w:spacing w:val="47"/>
              </w:rPr>
              <w:t xml:space="preserve"> </w:t>
            </w:r>
            <w:r>
              <w:t>Tax</w:t>
            </w:r>
            <w:r>
              <w:rPr>
                <w:spacing w:val="42"/>
              </w:rPr>
              <w:t xml:space="preserve"> </w:t>
            </w:r>
            <w:r>
              <w:t>education</w:t>
            </w:r>
            <w:r>
              <w:rPr>
                <w:spacing w:val="49"/>
              </w:rPr>
              <w:t xml:space="preserve"> </w:t>
            </w:r>
            <w:r>
              <w:t>provides</w:t>
            </w:r>
            <w:r>
              <w:rPr>
                <w:spacing w:val="41"/>
              </w:rPr>
              <w:t xml:space="preserve"> </w:t>
            </w:r>
            <w:r>
              <w:rPr>
                <w:spacing w:val="-2"/>
              </w:rPr>
              <w:t>understanding</w:t>
            </w:r>
          </w:p>
          <w:p w14:paraId="17387812" w14:textId="77777777" w:rsidR="00733073" w:rsidRDefault="00733073" w:rsidP="00733073">
            <w:pPr>
              <w:pStyle w:val="TableParagraph"/>
              <w:spacing w:before="5" w:line="233" w:lineRule="exact"/>
              <w:ind w:left="117"/>
            </w:pPr>
            <w:r>
              <w:t>that</w:t>
            </w:r>
            <w:r>
              <w:rPr>
                <w:spacing w:val="1"/>
              </w:rPr>
              <w:t xml:space="preserve"> </w:t>
            </w:r>
            <w:r>
              <w:t>tax rates</w:t>
            </w:r>
            <w:r>
              <w:rPr>
                <w:spacing w:val="-3"/>
              </w:rPr>
              <w:t xml:space="preserve"> </w:t>
            </w:r>
            <w:r>
              <w:t>are</w:t>
            </w:r>
            <w:r>
              <w:rPr>
                <w:spacing w:val="-2"/>
              </w:rPr>
              <w:t xml:space="preserve"> </w:t>
            </w:r>
            <w:r>
              <w:t>fair</w:t>
            </w:r>
            <w:r>
              <w:rPr>
                <w:spacing w:val="-5"/>
              </w:rPr>
              <w:t xml:space="preserve"> </w:t>
            </w:r>
            <w:r>
              <w:t>and</w:t>
            </w:r>
            <w:r>
              <w:rPr>
                <w:spacing w:val="2"/>
              </w:rPr>
              <w:t xml:space="preserve"> </w:t>
            </w:r>
            <w:r>
              <w:rPr>
                <w:spacing w:val="-2"/>
              </w:rPr>
              <w:t>justified.</w:t>
            </w:r>
          </w:p>
        </w:tc>
        <w:tc>
          <w:tcPr>
            <w:tcW w:w="1048" w:type="dxa"/>
          </w:tcPr>
          <w:p w14:paraId="6C630F65" w14:textId="77777777" w:rsidR="00733073" w:rsidRDefault="00733073" w:rsidP="00733073">
            <w:pPr>
              <w:pStyle w:val="TableParagraph"/>
              <w:spacing w:before="126"/>
              <w:ind w:left="6"/>
              <w:jc w:val="center"/>
            </w:pPr>
            <w:r>
              <w:rPr>
                <w:spacing w:val="-4"/>
              </w:rPr>
              <w:t>4.46</w:t>
            </w:r>
          </w:p>
        </w:tc>
        <w:tc>
          <w:tcPr>
            <w:tcW w:w="1337" w:type="dxa"/>
          </w:tcPr>
          <w:p w14:paraId="2F52931F" w14:textId="77777777" w:rsidR="00733073" w:rsidRDefault="00733073" w:rsidP="00733073">
            <w:pPr>
              <w:pStyle w:val="TableParagraph"/>
              <w:spacing w:before="126"/>
              <w:ind w:left="136"/>
              <w:jc w:val="center"/>
            </w:pPr>
            <w:r>
              <w:rPr>
                <w:spacing w:val="-4"/>
              </w:rPr>
              <w:t>0.67</w:t>
            </w:r>
          </w:p>
        </w:tc>
        <w:tc>
          <w:tcPr>
            <w:tcW w:w="1637" w:type="dxa"/>
          </w:tcPr>
          <w:p w14:paraId="0DE2E8CD" w14:textId="77777777" w:rsidR="00733073" w:rsidRDefault="00733073" w:rsidP="00733073">
            <w:pPr>
              <w:pStyle w:val="TableParagraph"/>
              <w:spacing w:line="246" w:lineRule="exact"/>
              <w:ind w:left="5"/>
              <w:jc w:val="center"/>
            </w:pPr>
            <w:r>
              <w:rPr>
                <w:spacing w:val="-2"/>
              </w:rPr>
              <w:t>Extensive</w:t>
            </w:r>
          </w:p>
        </w:tc>
      </w:tr>
      <w:tr w:rsidR="00733073" w14:paraId="745DA67E" w14:textId="77777777" w:rsidTr="00143856">
        <w:trPr>
          <w:trHeight w:val="227"/>
        </w:trPr>
        <w:tc>
          <w:tcPr>
            <w:tcW w:w="4530" w:type="dxa"/>
            <w:tcBorders>
              <w:bottom w:val="single" w:sz="4" w:space="0" w:color="000000"/>
            </w:tcBorders>
          </w:tcPr>
          <w:p w14:paraId="72294D59" w14:textId="77777777" w:rsidR="00733073" w:rsidRDefault="00733073" w:rsidP="00733073">
            <w:pPr>
              <w:pStyle w:val="TableParagraph"/>
              <w:spacing w:line="250" w:lineRule="atLeast"/>
              <w:ind w:left="117" w:right="1"/>
            </w:pPr>
            <w:r>
              <w:t>4.</w:t>
            </w:r>
            <w:r>
              <w:rPr>
                <w:spacing w:val="30"/>
              </w:rPr>
              <w:t xml:space="preserve"> </w:t>
            </w:r>
            <w:r>
              <w:t>Tax</w:t>
            </w:r>
            <w:r>
              <w:rPr>
                <w:spacing w:val="25"/>
              </w:rPr>
              <w:t xml:space="preserve"> </w:t>
            </w:r>
            <w:r>
              <w:t>education</w:t>
            </w:r>
            <w:r>
              <w:rPr>
                <w:spacing w:val="30"/>
              </w:rPr>
              <w:t xml:space="preserve"> </w:t>
            </w:r>
            <w:r>
              <w:t>increases</w:t>
            </w:r>
            <w:r>
              <w:rPr>
                <w:spacing w:val="28"/>
              </w:rPr>
              <w:t xml:space="preserve"> </w:t>
            </w:r>
            <w:r>
              <w:t>awareness</w:t>
            </w:r>
            <w:r>
              <w:rPr>
                <w:spacing w:val="25"/>
              </w:rPr>
              <w:t xml:space="preserve"> </w:t>
            </w:r>
            <w:r>
              <w:t>of the</w:t>
            </w:r>
            <w:r>
              <w:rPr>
                <w:spacing w:val="-6"/>
              </w:rPr>
              <w:t xml:space="preserve"> </w:t>
            </w:r>
            <w:r>
              <w:t>benefits</w:t>
            </w:r>
            <w:r>
              <w:rPr>
                <w:spacing w:val="-6"/>
              </w:rPr>
              <w:t xml:space="preserve"> </w:t>
            </w:r>
            <w:r>
              <w:t>and</w:t>
            </w:r>
            <w:r>
              <w:rPr>
                <w:spacing w:val="-6"/>
              </w:rPr>
              <w:t xml:space="preserve"> </w:t>
            </w:r>
            <w:r>
              <w:t>privileges</w:t>
            </w:r>
            <w:r>
              <w:rPr>
                <w:spacing w:val="-2"/>
              </w:rPr>
              <w:t xml:space="preserve"> </w:t>
            </w:r>
            <w:r>
              <w:t>of</w:t>
            </w:r>
            <w:r>
              <w:rPr>
                <w:spacing w:val="-2"/>
              </w:rPr>
              <w:t xml:space="preserve"> </w:t>
            </w:r>
            <w:r>
              <w:t>paying</w:t>
            </w:r>
            <w:r>
              <w:rPr>
                <w:spacing w:val="-1"/>
              </w:rPr>
              <w:t xml:space="preserve"> </w:t>
            </w:r>
            <w:r>
              <w:rPr>
                <w:spacing w:val="-2"/>
              </w:rPr>
              <w:t>taxes.</w:t>
            </w:r>
          </w:p>
        </w:tc>
        <w:tc>
          <w:tcPr>
            <w:tcW w:w="1048" w:type="dxa"/>
            <w:tcBorders>
              <w:bottom w:val="single" w:sz="4" w:space="0" w:color="000000"/>
            </w:tcBorders>
          </w:tcPr>
          <w:p w14:paraId="35895169" w14:textId="77777777" w:rsidR="00733073" w:rsidRDefault="00733073" w:rsidP="00733073">
            <w:pPr>
              <w:pStyle w:val="TableParagraph"/>
              <w:spacing w:before="125"/>
              <w:ind w:left="6"/>
              <w:jc w:val="center"/>
            </w:pPr>
            <w:r>
              <w:rPr>
                <w:spacing w:val="-4"/>
              </w:rPr>
              <w:t>4.60</w:t>
            </w:r>
          </w:p>
        </w:tc>
        <w:tc>
          <w:tcPr>
            <w:tcW w:w="1337" w:type="dxa"/>
            <w:tcBorders>
              <w:bottom w:val="single" w:sz="4" w:space="0" w:color="000000"/>
            </w:tcBorders>
          </w:tcPr>
          <w:p w14:paraId="7004E935" w14:textId="77777777" w:rsidR="00733073" w:rsidRDefault="00733073" w:rsidP="00733073">
            <w:pPr>
              <w:pStyle w:val="TableParagraph"/>
              <w:spacing w:before="125"/>
              <w:ind w:left="136"/>
              <w:jc w:val="center"/>
            </w:pPr>
            <w:r>
              <w:rPr>
                <w:spacing w:val="-4"/>
              </w:rPr>
              <w:t>0.61</w:t>
            </w:r>
          </w:p>
        </w:tc>
        <w:tc>
          <w:tcPr>
            <w:tcW w:w="1637" w:type="dxa"/>
            <w:tcBorders>
              <w:bottom w:val="single" w:sz="4" w:space="0" w:color="000000"/>
            </w:tcBorders>
          </w:tcPr>
          <w:p w14:paraId="07737BB6" w14:textId="77777777" w:rsidR="00733073" w:rsidRDefault="00733073" w:rsidP="00733073">
            <w:pPr>
              <w:pStyle w:val="TableParagraph"/>
              <w:spacing w:before="1"/>
              <w:ind w:left="5"/>
              <w:jc w:val="center"/>
            </w:pPr>
            <w:r>
              <w:rPr>
                <w:spacing w:val="-2"/>
              </w:rPr>
              <w:t>Extensive</w:t>
            </w:r>
          </w:p>
        </w:tc>
      </w:tr>
      <w:tr w:rsidR="00733073" w14:paraId="2A99F8C0" w14:textId="77777777" w:rsidTr="00143856">
        <w:trPr>
          <w:trHeight w:val="227"/>
        </w:trPr>
        <w:tc>
          <w:tcPr>
            <w:tcW w:w="4530" w:type="dxa"/>
            <w:tcBorders>
              <w:top w:val="single" w:sz="4" w:space="0" w:color="000000"/>
              <w:bottom w:val="single" w:sz="4" w:space="0" w:color="000000"/>
            </w:tcBorders>
          </w:tcPr>
          <w:p w14:paraId="47C92483" w14:textId="77777777" w:rsidR="00733073" w:rsidRDefault="00733073" w:rsidP="00733073">
            <w:pPr>
              <w:pStyle w:val="TableParagraph"/>
              <w:spacing w:line="248" w:lineRule="exact"/>
              <w:ind w:right="122"/>
              <w:jc w:val="center"/>
              <w:rPr>
                <w:rFonts w:ascii="Arial"/>
                <w:b/>
              </w:rPr>
            </w:pPr>
            <w:r>
              <w:rPr>
                <w:rFonts w:ascii="Arial"/>
                <w:b/>
                <w:spacing w:val="-2"/>
              </w:rPr>
              <w:t>Average</w:t>
            </w:r>
          </w:p>
        </w:tc>
        <w:tc>
          <w:tcPr>
            <w:tcW w:w="1048" w:type="dxa"/>
            <w:tcBorders>
              <w:top w:val="single" w:sz="4" w:space="0" w:color="000000"/>
              <w:bottom w:val="single" w:sz="4" w:space="0" w:color="000000"/>
            </w:tcBorders>
          </w:tcPr>
          <w:p w14:paraId="0A8A8F6F" w14:textId="77777777" w:rsidR="00733073" w:rsidRDefault="00733073" w:rsidP="00733073">
            <w:pPr>
              <w:pStyle w:val="TableParagraph"/>
              <w:spacing w:before="46"/>
              <w:ind w:left="6"/>
              <w:jc w:val="center"/>
            </w:pPr>
            <w:r>
              <w:rPr>
                <w:spacing w:val="-4"/>
              </w:rPr>
              <w:t>4.49</w:t>
            </w:r>
          </w:p>
        </w:tc>
        <w:tc>
          <w:tcPr>
            <w:tcW w:w="1337" w:type="dxa"/>
            <w:tcBorders>
              <w:top w:val="single" w:sz="4" w:space="0" w:color="000000"/>
              <w:bottom w:val="single" w:sz="4" w:space="0" w:color="000000"/>
            </w:tcBorders>
          </w:tcPr>
          <w:p w14:paraId="00AD40A3" w14:textId="77777777" w:rsidR="00733073" w:rsidRDefault="00733073" w:rsidP="00733073">
            <w:pPr>
              <w:pStyle w:val="TableParagraph"/>
              <w:spacing w:before="46"/>
              <w:ind w:left="136"/>
              <w:jc w:val="center"/>
            </w:pPr>
            <w:r>
              <w:rPr>
                <w:spacing w:val="-4"/>
              </w:rPr>
              <w:t>0.56</w:t>
            </w:r>
          </w:p>
        </w:tc>
        <w:tc>
          <w:tcPr>
            <w:tcW w:w="1637" w:type="dxa"/>
            <w:tcBorders>
              <w:top w:val="single" w:sz="4" w:space="0" w:color="000000"/>
              <w:bottom w:val="single" w:sz="4" w:space="0" w:color="000000"/>
            </w:tcBorders>
          </w:tcPr>
          <w:p w14:paraId="1195603F" w14:textId="77777777" w:rsidR="00733073" w:rsidRDefault="00733073" w:rsidP="00733073">
            <w:pPr>
              <w:pStyle w:val="TableParagraph"/>
              <w:spacing w:before="3"/>
              <w:ind w:left="5"/>
              <w:jc w:val="center"/>
            </w:pPr>
            <w:r>
              <w:rPr>
                <w:spacing w:val="-2"/>
              </w:rPr>
              <w:t>Extensive</w:t>
            </w:r>
          </w:p>
        </w:tc>
      </w:tr>
    </w:tbl>
    <w:p w14:paraId="54819B83" w14:textId="77777777" w:rsidR="00C527BC" w:rsidRDefault="00C527BC" w:rsidP="00441B6F">
      <w:pPr>
        <w:pStyle w:val="Body"/>
        <w:spacing w:after="0"/>
        <w:rPr>
          <w:rFonts w:ascii="Arial" w:hAnsi="Arial" w:cs="Arial"/>
        </w:rPr>
      </w:pPr>
    </w:p>
    <w:p w14:paraId="2085AA79" w14:textId="349A1361" w:rsidR="00AD3DC4" w:rsidRDefault="00F65CC1" w:rsidP="00F65CC1">
      <w:pPr>
        <w:pStyle w:val="Body"/>
        <w:spacing w:after="0" w:line="480" w:lineRule="auto"/>
        <w:rPr>
          <w:rFonts w:ascii="Arial" w:hAnsi="Arial" w:cs="Arial"/>
        </w:rPr>
      </w:pPr>
      <w:r w:rsidRPr="00F65CC1">
        <w:rPr>
          <w:rFonts w:ascii="Arial" w:hAnsi="Arial" w:cs="Arial"/>
        </w:rPr>
        <w:t xml:space="preserve">Table </w:t>
      </w:r>
      <w:r>
        <w:rPr>
          <w:rFonts w:ascii="Arial" w:hAnsi="Arial" w:cs="Arial"/>
        </w:rPr>
        <w:t>3</w:t>
      </w:r>
      <w:r w:rsidRPr="00F65CC1">
        <w:rPr>
          <w:rFonts w:ascii="Arial" w:hAnsi="Arial" w:cs="Arial"/>
        </w:rPr>
        <w:t xml:space="preserve"> shows that entrepreneurs in </w:t>
      </w:r>
      <w:proofErr w:type="spellStart"/>
      <w:r w:rsidRPr="00F65CC1">
        <w:rPr>
          <w:rFonts w:ascii="Arial" w:hAnsi="Arial" w:cs="Arial"/>
        </w:rPr>
        <w:t>Cateel</w:t>
      </w:r>
      <w:proofErr w:type="spellEnd"/>
      <w:r w:rsidRPr="00F65CC1">
        <w:rPr>
          <w:rFonts w:ascii="Arial" w:hAnsi="Arial" w:cs="Arial"/>
        </w:rPr>
        <w:t xml:space="preserve"> have a very high level of business income knowledge (x̄ = 4.49, s = 0.79), indicating that tax education enables them to conduct self-assessments and manage revenue obligations effectively. This supports </w:t>
      </w:r>
      <w:proofErr w:type="spellStart"/>
      <w:r w:rsidRPr="00F65CC1">
        <w:rPr>
          <w:rFonts w:ascii="Arial" w:hAnsi="Arial" w:cs="Arial"/>
        </w:rPr>
        <w:t>Renoria</w:t>
      </w:r>
      <w:proofErr w:type="spellEnd"/>
      <w:r w:rsidRPr="00F65CC1">
        <w:rPr>
          <w:rFonts w:ascii="Arial" w:hAnsi="Arial" w:cs="Arial"/>
        </w:rPr>
        <w:t xml:space="preserve"> (2024), who </w:t>
      </w:r>
      <w:r w:rsidRPr="00F65CC1">
        <w:rPr>
          <w:rFonts w:ascii="Arial" w:hAnsi="Arial" w:cs="Arial"/>
        </w:rPr>
        <w:lastRenderedPageBreak/>
        <w:t>found that tax education via seminars and media enhances compliant behavior. Wibowo et al. (2022) also confirmed that tax knowledge positively influences taxpayer compliance, highlighting the importance of self-assessment systems in promoting responsible tax practices.</w:t>
      </w:r>
    </w:p>
    <w:p w14:paraId="738BFA7C" w14:textId="77777777" w:rsidR="00AD3DC4" w:rsidRDefault="00AD3DC4" w:rsidP="00441B6F">
      <w:pPr>
        <w:pStyle w:val="Body"/>
        <w:spacing w:after="0"/>
        <w:rPr>
          <w:rFonts w:ascii="Arial" w:hAnsi="Arial" w:cs="Arial"/>
        </w:rPr>
      </w:pPr>
    </w:p>
    <w:p w14:paraId="41DEAB98" w14:textId="3128FFEB" w:rsidR="00E349C1" w:rsidRPr="00E349C1" w:rsidRDefault="00E349C1" w:rsidP="00E349C1">
      <w:pPr>
        <w:pStyle w:val="BodyText"/>
        <w:spacing w:after="2"/>
        <w:jc w:val="both"/>
      </w:pPr>
      <w:r>
        <w:t>Table</w:t>
      </w:r>
      <w:r>
        <w:rPr>
          <w:spacing w:val="-3"/>
        </w:rPr>
        <w:t xml:space="preserve"> </w:t>
      </w:r>
      <w:r>
        <w:t>4.</w:t>
      </w:r>
      <w:r>
        <w:rPr>
          <w:spacing w:val="-3"/>
        </w:rPr>
        <w:t xml:space="preserve"> </w:t>
      </w:r>
      <w:r>
        <w:t>Tax</w:t>
      </w:r>
      <w:r>
        <w:rPr>
          <w:spacing w:val="-4"/>
        </w:rPr>
        <w:t xml:space="preserve"> </w:t>
      </w:r>
      <w:r>
        <w:t>knowledge</w:t>
      </w:r>
      <w:r>
        <w:rPr>
          <w:spacing w:val="-6"/>
        </w:rPr>
        <w:t xml:space="preserve"> </w:t>
      </w:r>
      <w:r>
        <w:t>in</w:t>
      </w:r>
      <w:r>
        <w:rPr>
          <w:spacing w:val="-3"/>
        </w:rPr>
        <w:t xml:space="preserve"> </w:t>
      </w:r>
      <w:r>
        <w:t>relation</w:t>
      </w:r>
      <w:r>
        <w:rPr>
          <w:spacing w:val="-2"/>
        </w:rPr>
        <w:t xml:space="preserve"> </w:t>
      </w:r>
      <w:r>
        <w:t>to</w:t>
      </w:r>
      <w:r>
        <w:rPr>
          <w:spacing w:val="-2"/>
        </w:rPr>
        <w:t xml:space="preserve"> </w:t>
      </w:r>
      <w:r>
        <w:t>knowledge</w:t>
      </w:r>
      <w:r>
        <w:rPr>
          <w:spacing w:val="-7"/>
        </w:rPr>
        <w:t xml:space="preserve"> </w:t>
      </w:r>
      <w:r>
        <w:t>of</w:t>
      </w:r>
      <w:r>
        <w:rPr>
          <w:spacing w:val="-3"/>
        </w:rPr>
        <w:t xml:space="preserve"> </w:t>
      </w:r>
      <w:r>
        <w:t>business</w:t>
      </w:r>
      <w:r>
        <w:rPr>
          <w:spacing w:val="-8"/>
        </w:rPr>
        <w:t xml:space="preserve"> </w:t>
      </w:r>
      <w:r>
        <w:rPr>
          <w:spacing w:val="-2"/>
        </w:rPr>
        <w:t>income</w:t>
      </w:r>
    </w:p>
    <w:tbl>
      <w:tblPr>
        <w:tblpPr w:leftFromText="180" w:rightFromText="180" w:vertAnchor="text" w:horzAnchor="margin" w:tblpY="265"/>
        <w:tblW w:w="8556" w:type="dxa"/>
        <w:tblLayout w:type="fixed"/>
        <w:tblCellMar>
          <w:left w:w="0" w:type="dxa"/>
          <w:right w:w="0" w:type="dxa"/>
        </w:tblCellMar>
        <w:tblLook w:val="01E0" w:firstRow="1" w:lastRow="1" w:firstColumn="1" w:lastColumn="1" w:noHBand="0" w:noVBand="0"/>
      </w:tblPr>
      <w:tblGrid>
        <w:gridCol w:w="4926"/>
        <w:gridCol w:w="786"/>
        <w:gridCol w:w="1206"/>
        <w:gridCol w:w="1638"/>
      </w:tblGrid>
      <w:tr w:rsidR="00E349C1" w14:paraId="0376B041" w14:textId="77777777" w:rsidTr="00AD3DC4">
        <w:trPr>
          <w:trHeight w:val="227"/>
        </w:trPr>
        <w:tc>
          <w:tcPr>
            <w:tcW w:w="4926" w:type="dxa"/>
            <w:tcBorders>
              <w:top w:val="single" w:sz="4" w:space="0" w:color="000000"/>
              <w:bottom w:val="single" w:sz="4" w:space="0" w:color="000000"/>
            </w:tcBorders>
          </w:tcPr>
          <w:p w14:paraId="4D09A2EE" w14:textId="77777777" w:rsidR="00E349C1" w:rsidRDefault="00E349C1" w:rsidP="00E349C1">
            <w:pPr>
              <w:pStyle w:val="TableParagraph"/>
              <w:ind w:left="11"/>
              <w:jc w:val="center"/>
              <w:rPr>
                <w:rFonts w:ascii="Arial"/>
                <w:b/>
              </w:rPr>
            </w:pPr>
            <w:r>
              <w:rPr>
                <w:rFonts w:ascii="Arial"/>
                <w:b/>
                <w:spacing w:val="-2"/>
              </w:rPr>
              <w:t>Statements</w:t>
            </w:r>
          </w:p>
        </w:tc>
        <w:tc>
          <w:tcPr>
            <w:tcW w:w="786" w:type="dxa"/>
            <w:tcBorders>
              <w:top w:val="single" w:sz="4" w:space="0" w:color="000000"/>
              <w:bottom w:val="single" w:sz="4" w:space="0" w:color="000000"/>
            </w:tcBorders>
          </w:tcPr>
          <w:p w14:paraId="05BC5F0E" w14:textId="77777777" w:rsidR="00E349C1" w:rsidRDefault="00E349C1" w:rsidP="00E349C1">
            <w:pPr>
              <w:pStyle w:val="TableParagraph"/>
              <w:ind w:left="4" w:right="2"/>
              <w:jc w:val="center"/>
              <w:rPr>
                <w:rFonts w:ascii="Arial"/>
                <w:b/>
              </w:rPr>
            </w:pPr>
            <w:r>
              <w:rPr>
                <w:rFonts w:ascii="Arial"/>
                <w:b/>
                <w:spacing w:val="-4"/>
              </w:rPr>
              <w:t>Mean</w:t>
            </w:r>
          </w:p>
        </w:tc>
        <w:tc>
          <w:tcPr>
            <w:tcW w:w="1206" w:type="dxa"/>
            <w:tcBorders>
              <w:top w:val="single" w:sz="4" w:space="0" w:color="000000"/>
              <w:bottom w:val="single" w:sz="4" w:space="0" w:color="000000"/>
            </w:tcBorders>
          </w:tcPr>
          <w:p w14:paraId="2697405A" w14:textId="77777777" w:rsidR="00E349C1" w:rsidRDefault="00E349C1" w:rsidP="00E349C1">
            <w:pPr>
              <w:pStyle w:val="TableParagraph"/>
              <w:ind w:right="1"/>
              <w:jc w:val="center"/>
              <w:rPr>
                <w:rFonts w:ascii="Arial"/>
                <w:b/>
              </w:rPr>
            </w:pPr>
            <w:r>
              <w:rPr>
                <w:rFonts w:ascii="Arial"/>
                <w:b/>
                <w:spacing w:val="-4"/>
              </w:rPr>
              <w:t>Std.</w:t>
            </w:r>
          </w:p>
          <w:p w14:paraId="138C933E" w14:textId="77777777" w:rsidR="00E349C1" w:rsidRDefault="00E349C1" w:rsidP="00E349C1">
            <w:pPr>
              <w:pStyle w:val="TableParagraph"/>
              <w:ind w:left="1" w:right="1"/>
              <w:jc w:val="center"/>
              <w:rPr>
                <w:rFonts w:ascii="Arial"/>
                <w:b/>
              </w:rPr>
            </w:pPr>
            <w:r>
              <w:rPr>
                <w:rFonts w:ascii="Arial"/>
                <w:b/>
                <w:spacing w:val="-2"/>
              </w:rPr>
              <w:t>Deviation</w:t>
            </w:r>
          </w:p>
        </w:tc>
        <w:tc>
          <w:tcPr>
            <w:tcW w:w="1638" w:type="dxa"/>
            <w:tcBorders>
              <w:top w:val="single" w:sz="4" w:space="0" w:color="000000"/>
              <w:bottom w:val="single" w:sz="4" w:space="0" w:color="000000"/>
            </w:tcBorders>
          </w:tcPr>
          <w:p w14:paraId="12F95D23" w14:textId="77777777" w:rsidR="00E349C1" w:rsidRDefault="00E349C1" w:rsidP="00E349C1">
            <w:pPr>
              <w:pStyle w:val="TableParagraph"/>
              <w:ind w:right="1"/>
              <w:jc w:val="center"/>
              <w:rPr>
                <w:rFonts w:ascii="Arial"/>
                <w:b/>
              </w:rPr>
            </w:pPr>
            <w:r>
              <w:rPr>
                <w:rFonts w:ascii="Arial"/>
                <w:b/>
                <w:spacing w:val="-2"/>
              </w:rPr>
              <w:t>Interpretation</w:t>
            </w:r>
          </w:p>
        </w:tc>
      </w:tr>
      <w:tr w:rsidR="00E349C1" w14:paraId="14045ECB" w14:textId="77777777" w:rsidTr="00AD3DC4">
        <w:trPr>
          <w:trHeight w:val="227"/>
        </w:trPr>
        <w:tc>
          <w:tcPr>
            <w:tcW w:w="4926" w:type="dxa"/>
            <w:tcBorders>
              <w:top w:val="single" w:sz="4" w:space="0" w:color="000000"/>
            </w:tcBorders>
          </w:tcPr>
          <w:p w14:paraId="7B546B5A" w14:textId="77777777" w:rsidR="00E349C1" w:rsidRDefault="00E349C1" w:rsidP="00E349C1">
            <w:pPr>
              <w:pStyle w:val="TableParagraph"/>
              <w:spacing w:line="250" w:lineRule="atLeast"/>
              <w:ind w:left="117"/>
            </w:pPr>
            <w:r>
              <w:t>1.</w:t>
            </w:r>
            <w:r>
              <w:rPr>
                <w:spacing w:val="-4"/>
              </w:rPr>
              <w:t xml:space="preserve"> </w:t>
            </w:r>
            <w:r>
              <w:t>Tax</w:t>
            </w:r>
            <w:r>
              <w:rPr>
                <w:spacing w:val="-4"/>
              </w:rPr>
              <w:t xml:space="preserve"> </w:t>
            </w:r>
            <w:r>
              <w:t>education</w:t>
            </w:r>
            <w:r>
              <w:rPr>
                <w:spacing w:val="-7"/>
              </w:rPr>
              <w:t xml:space="preserve"> </w:t>
            </w:r>
            <w:r>
              <w:t>enables</w:t>
            </w:r>
            <w:r>
              <w:rPr>
                <w:spacing w:val="-8"/>
              </w:rPr>
              <w:t xml:space="preserve"> </w:t>
            </w:r>
            <w:r>
              <w:t>estimation</w:t>
            </w:r>
            <w:r>
              <w:rPr>
                <w:spacing w:val="-7"/>
              </w:rPr>
              <w:t xml:space="preserve"> </w:t>
            </w:r>
            <w:r>
              <w:t>of</w:t>
            </w:r>
            <w:r>
              <w:rPr>
                <w:spacing w:val="-4"/>
              </w:rPr>
              <w:t xml:space="preserve"> </w:t>
            </w:r>
            <w:r>
              <w:t>business revenue and profit.</w:t>
            </w:r>
          </w:p>
        </w:tc>
        <w:tc>
          <w:tcPr>
            <w:tcW w:w="786" w:type="dxa"/>
            <w:tcBorders>
              <w:top w:val="single" w:sz="4" w:space="0" w:color="000000"/>
            </w:tcBorders>
          </w:tcPr>
          <w:p w14:paraId="70A74F4F" w14:textId="77777777" w:rsidR="00E349C1" w:rsidRDefault="00E349C1" w:rsidP="00E349C1">
            <w:pPr>
              <w:pStyle w:val="TableParagraph"/>
              <w:ind w:left="4"/>
              <w:jc w:val="center"/>
            </w:pPr>
            <w:r>
              <w:rPr>
                <w:spacing w:val="-4"/>
              </w:rPr>
              <w:t>4.35</w:t>
            </w:r>
          </w:p>
        </w:tc>
        <w:tc>
          <w:tcPr>
            <w:tcW w:w="1206" w:type="dxa"/>
            <w:tcBorders>
              <w:top w:val="single" w:sz="4" w:space="0" w:color="000000"/>
            </w:tcBorders>
          </w:tcPr>
          <w:p w14:paraId="5D9A6E07" w14:textId="77777777" w:rsidR="00E349C1" w:rsidRDefault="00E349C1" w:rsidP="00E349C1">
            <w:pPr>
              <w:pStyle w:val="TableParagraph"/>
              <w:ind w:left="1" w:right="1"/>
              <w:jc w:val="center"/>
            </w:pPr>
            <w:r>
              <w:rPr>
                <w:spacing w:val="-4"/>
              </w:rPr>
              <w:t>0.83</w:t>
            </w:r>
          </w:p>
        </w:tc>
        <w:tc>
          <w:tcPr>
            <w:tcW w:w="1638" w:type="dxa"/>
            <w:tcBorders>
              <w:top w:val="single" w:sz="4" w:space="0" w:color="000000"/>
            </w:tcBorders>
          </w:tcPr>
          <w:p w14:paraId="087BE4C7" w14:textId="77777777" w:rsidR="00E349C1" w:rsidRDefault="00E349C1" w:rsidP="00E349C1">
            <w:pPr>
              <w:pStyle w:val="TableParagraph"/>
              <w:ind w:right="1"/>
              <w:jc w:val="center"/>
            </w:pPr>
            <w:r>
              <w:rPr>
                <w:spacing w:val="-2"/>
              </w:rPr>
              <w:t>Extensive</w:t>
            </w:r>
          </w:p>
        </w:tc>
      </w:tr>
      <w:tr w:rsidR="00E349C1" w14:paraId="12FC1EFD" w14:textId="77777777" w:rsidTr="00AD3DC4">
        <w:trPr>
          <w:trHeight w:val="227"/>
        </w:trPr>
        <w:tc>
          <w:tcPr>
            <w:tcW w:w="4926" w:type="dxa"/>
          </w:tcPr>
          <w:p w14:paraId="06B54394" w14:textId="77777777" w:rsidR="00E349C1" w:rsidRDefault="00E349C1" w:rsidP="00E349C1">
            <w:pPr>
              <w:pStyle w:val="TableParagraph"/>
              <w:spacing w:line="254" w:lineRule="exact"/>
              <w:ind w:left="117"/>
            </w:pPr>
            <w:r>
              <w:t>2.</w:t>
            </w:r>
            <w:r>
              <w:rPr>
                <w:spacing w:val="-2"/>
              </w:rPr>
              <w:t xml:space="preserve"> </w:t>
            </w:r>
            <w:r>
              <w:t>Education</w:t>
            </w:r>
            <w:r>
              <w:rPr>
                <w:spacing w:val="-6"/>
              </w:rPr>
              <w:t xml:space="preserve"> </w:t>
            </w:r>
            <w:r>
              <w:t>has</w:t>
            </w:r>
            <w:r>
              <w:rPr>
                <w:spacing w:val="-3"/>
              </w:rPr>
              <w:t xml:space="preserve"> </w:t>
            </w:r>
            <w:r>
              <w:t>been</w:t>
            </w:r>
            <w:r>
              <w:rPr>
                <w:spacing w:val="-6"/>
              </w:rPr>
              <w:t xml:space="preserve"> </w:t>
            </w:r>
            <w:r>
              <w:t>provided</w:t>
            </w:r>
            <w:r>
              <w:rPr>
                <w:spacing w:val="-6"/>
              </w:rPr>
              <w:t xml:space="preserve"> </w:t>
            </w:r>
            <w:r>
              <w:t>on</w:t>
            </w:r>
            <w:r>
              <w:rPr>
                <w:spacing w:val="-1"/>
              </w:rPr>
              <w:t xml:space="preserve"> </w:t>
            </w:r>
            <w:r>
              <w:t>how</w:t>
            </w:r>
            <w:r>
              <w:rPr>
                <w:spacing w:val="-4"/>
              </w:rPr>
              <w:t xml:space="preserve"> </w:t>
            </w:r>
            <w:r>
              <w:t>to</w:t>
            </w:r>
            <w:r>
              <w:rPr>
                <w:spacing w:val="-1"/>
              </w:rPr>
              <w:t xml:space="preserve"> </w:t>
            </w:r>
            <w:r>
              <w:t>keep accounting books.</w:t>
            </w:r>
          </w:p>
        </w:tc>
        <w:tc>
          <w:tcPr>
            <w:tcW w:w="786" w:type="dxa"/>
          </w:tcPr>
          <w:p w14:paraId="72EE3039" w14:textId="77777777" w:rsidR="00E349C1" w:rsidRDefault="00E349C1" w:rsidP="00E349C1">
            <w:pPr>
              <w:pStyle w:val="TableParagraph"/>
              <w:ind w:left="4"/>
              <w:jc w:val="center"/>
            </w:pPr>
            <w:r>
              <w:rPr>
                <w:spacing w:val="-4"/>
              </w:rPr>
              <w:t>4.40</w:t>
            </w:r>
          </w:p>
        </w:tc>
        <w:tc>
          <w:tcPr>
            <w:tcW w:w="1206" w:type="dxa"/>
          </w:tcPr>
          <w:p w14:paraId="36BCE209" w14:textId="77777777" w:rsidR="00E349C1" w:rsidRDefault="00E349C1" w:rsidP="00E349C1">
            <w:pPr>
              <w:pStyle w:val="TableParagraph"/>
              <w:ind w:left="1" w:right="1"/>
              <w:jc w:val="center"/>
            </w:pPr>
            <w:r>
              <w:rPr>
                <w:spacing w:val="-4"/>
              </w:rPr>
              <w:t>0.72</w:t>
            </w:r>
          </w:p>
        </w:tc>
        <w:tc>
          <w:tcPr>
            <w:tcW w:w="1638" w:type="dxa"/>
          </w:tcPr>
          <w:p w14:paraId="07383955" w14:textId="77777777" w:rsidR="00E349C1" w:rsidRDefault="00E349C1" w:rsidP="00E349C1">
            <w:pPr>
              <w:pStyle w:val="TableParagraph"/>
              <w:ind w:right="1"/>
              <w:jc w:val="center"/>
            </w:pPr>
            <w:r>
              <w:rPr>
                <w:spacing w:val="-2"/>
              </w:rPr>
              <w:t>Extensive</w:t>
            </w:r>
          </w:p>
        </w:tc>
      </w:tr>
      <w:tr w:rsidR="00E349C1" w14:paraId="11220714" w14:textId="77777777" w:rsidTr="00AD3DC4">
        <w:trPr>
          <w:trHeight w:val="227"/>
        </w:trPr>
        <w:tc>
          <w:tcPr>
            <w:tcW w:w="4926" w:type="dxa"/>
          </w:tcPr>
          <w:p w14:paraId="6D3D90B8" w14:textId="77777777" w:rsidR="00E349C1" w:rsidRDefault="00E349C1" w:rsidP="00E349C1">
            <w:pPr>
              <w:pStyle w:val="TableParagraph"/>
              <w:spacing w:line="250" w:lineRule="atLeast"/>
              <w:ind w:left="117"/>
            </w:pPr>
            <w:r>
              <w:t>3.</w:t>
            </w:r>
            <w:r>
              <w:rPr>
                <w:spacing w:val="-3"/>
              </w:rPr>
              <w:t xml:space="preserve"> </w:t>
            </w:r>
            <w:r>
              <w:t>Education</w:t>
            </w:r>
            <w:r>
              <w:rPr>
                <w:spacing w:val="-7"/>
              </w:rPr>
              <w:t xml:space="preserve"> </w:t>
            </w:r>
            <w:r>
              <w:t>has</w:t>
            </w:r>
            <w:r>
              <w:rPr>
                <w:spacing w:val="-4"/>
              </w:rPr>
              <w:t xml:space="preserve"> </w:t>
            </w:r>
            <w:r>
              <w:t>been</w:t>
            </w:r>
            <w:r>
              <w:rPr>
                <w:spacing w:val="-7"/>
              </w:rPr>
              <w:t xml:space="preserve"> </w:t>
            </w:r>
            <w:r>
              <w:t>provided</w:t>
            </w:r>
            <w:r>
              <w:rPr>
                <w:spacing w:val="-7"/>
              </w:rPr>
              <w:t xml:space="preserve"> </w:t>
            </w:r>
            <w:r>
              <w:t>on</w:t>
            </w:r>
            <w:r>
              <w:rPr>
                <w:spacing w:val="-3"/>
              </w:rPr>
              <w:t xml:space="preserve"> </w:t>
            </w:r>
            <w:r>
              <w:t>seeking assistance in keeping financial records.</w:t>
            </w:r>
          </w:p>
        </w:tc>
        <w:tc>
          <w:tcPr>
            <w:tcW w:w="786" w:type="dxa"/>
          </w:tcPr>
          <w:p w14:paraId="6DE5E79D" w14:textId="77777777" w:rsidR="00E349C1" w:rsidRDefault="00E349C1" w:rsidP="00E349C1">
            <w:pPr>
              <w:pStyle w:val="TableParagraph"/>
              <w:ind w:left="4"/>
              <w:jc w:val="center"/>
            </w:pPr>
            <w:r>
              <w:rPr>
                <w:spacing w:val="-4"/>
              </w:rPr>
              <w:t>4.37</w:t>
            </w:r>
          </w:p>
        </w:tc>
        <w:tc>
          <w:tcPr>
            <w:tcW w:w="1206" w:type="dxa"/>
          </w:tcPr>
          <w:p w14:paraId="27F36D25" w14:textId="77777777" w:rsidR="00E349C1" w:rsidRDefault="00E349C1" w:rsidP="00E349C1">
            <w:pPr>
              <w:pStyle w:val="TableParagraph"/>
              <w:ind w:left="1" w:right="1"/>
              <w:jc w:val="center"/>
            </w:pPr>
            <w:r>
              <w:rPr>
                <w:spacing w:val="-4"/>
              </w:rPr>
              <w:t>0.72</w:t>
            </w:r>
          </w:p>
        </w:tc>
        <w:tc>
          <w:tcPr>
            <w:tcW w:w="1638" w:type="dxa"/>
          </w:tcPr>
          <w:p w14:paraId="40AEE8B4" w14:textId="77777777" w:rsidR="00E349C1" w:rsidRDefault="00E349C1" w:rsidP="00E349C1">
            <w:pPr>
              <w:pStyle w:val="TableParagraph"/>
              <w:ind w:right="1"/>
              <w:jc w:val="center"/>
            </w:pPr>
            <w:r>
              <w:rPr>
                <w:spacing w:val="-2"/>
              </w:rPr>
              <w:t>Extensive</w:t>
            </w:r>
          </w:p>
        </w:tc>
      </w:tr>
      <w:tr w:rsidR="00E349C1" w14:paraId="6CA39ECD" w14:textId="77777777" w:rsidTr="00AD3DC4">
        <w:trPr>
          <w:trHeight w:val="227"/>
        </w:trPr>
        <w:tc>
          <w:tcPr>
            <w:tcW w:w="4926" w:type="dxa"/>
          </w:tcPr>
          <w:p w14:paraId="61763AE4" w14:textId="77777777" w:rsidR="00E349C1" w:rsidRDefault="00E349C1" w:rsidP="00E349C1">
            <w:pPr>
              <w:pStyle w:val="TableParagraph"/>
              <w:ind w:left="117"/>
            </w:pPr>
            <w:r>
              <w:t>4.</w:t>
            </w:r>
            <w:r>
              <w:rPr>
                <w:spacing w:val="-1"/>
              </w:rPr>
              <w:t xml:space="preserve"> </w:t>
            </w:r>
            <w:r>
              <w:t>Tax</w:t>
            </w:r>
            <w:r>
              <w:rPr>
                <w:spacing w:val="-1"/>
              </w:rPr>
              <w:t xml:space="preserve"> </w:t>
            </w:r>
            <w:r>
              <w:t>education</w:t>
            </w:r>
            <w:r>
              <w:rPr>
                <w:spacing w:val="-3"/>
              </w:rPr>
              <w:t xml:space="preserve"> </w:t>
            </w:r>
            <w:r>
              <w:t>creates</w:t>
            </w:r>
            <w:r>
              <w:rPr>
                <w:spacing w:val="-5"/>
              </w:rPr>
              <w:t xml:space="preserve"> </w:t>
            </w:r>
            <w:r>
              <w:t>an</w:t>
            </w:r>
            <w:r>
              <w:rPr>
                <w:spacing w:val="-4"/>
              </w:rPr>
              <w:t xml:space="preserve"> </w:t>
            </w:r>
            <w:r>
              <w:t>awareness</w:t>
            </w:r>
            <w:r>
              <w:rPr>
                <w:spacing w:val="-5"/>
              </w:rPr>
              <w:t xml:space="preserve"> </w:t>
            </w:r>
            <w:r>
              <w:t xml:space="preserve">of </w:t>
            </w:r>
            <w:r>
              <w:rPr>
                <w:spacing w:val="-5"/>
              </w:rPr>
              <w:t>the</w:t>
            </w:r>
          </w:p>
          <w:p w14:paraId="0FBE389D" w14:textId="77777777" w:rsidR="00E349C1" w:rsidRDefault="00E349C1" w:rsidP="00E349C1">
            <w:pPr>
              <w:pStyle w:val="TableParagraph"/>
              <w:spacing w:line="250" w:lineRule="atLeast"/>
              <w:ind w:left="117" w:right="69"/>
            </w:pPr>
            <w:r>
              <w:t>need</w:t>
            </w:r>
            <w:r>
              <w:rPr>
                <w:spacing w:val="-4"/>
              </w:rPr>
              <w:t xml:space="preserve"> </w:t>
            </w:r>
            <w:r>
              <w:t>to</w:t>
            </w:r>
            <w:r>
              <w:rPr>
                <w:spacing w:val="-4"/>
              </w:rPr>
              <w:t xml:space="preserve"> </w:t>
            </w:r>
            <w:r>
              <w:t>prepare</w:t>
            </w:r>
            <w:r>
              <w:rPr>
                <w:spacing w:val="-4"/>
              </w:rPr>
              <w:t xml:space="preserve"> </w:t>
            </w:r>
            <w:r>
              <w:t>accounts</w:t>
            </w:r>
            <w:r>
              <w:rPr>
                <w:spacing w:val="-6"/>
              </w:rPr>
              <w:t xml:space="preserve"> </w:t>
            </w:r>
            <w:r>
              <w:t>and</w:t>
            </w:r>
            <w:r>
              <w:rPr>
                <w:spacing w:val="-4"/>
              </w:rPr>
              <w:t xml:space="preserve"> </w:t>
            </w:r>
            <w:r>
              <w:t>present</w:t>
            </w:r>
            <w:r>
              <w:rPr>
                <w:spacing w:val="-4"/>
              </w:rPr>
              <w:t xml:space="preserve"> </w:t>
            </w:r>
            <w:r>
              <w:t>them</w:t>
            </w:r>
            <w:r>
              <w:rPr>
                <w:spacing w:val="-2"/>
              </w:rPr>
              <w:t xml:space="preserve"> </w:t>
            </w:r>
            <w:r>
              <w:t>to tax officers.</w:t>
            </w:r>
          </w:p>
        </w:tc>
        <w:tc>
          <w:tcPr>
            <w:tcW w:w="786" w:type="dxa"/>
          </w:tcPr>
          <w:p w14:paraId="0F8E9536" w14:textId="77777777" w:rsidR="00E349C1" w:rsidRDefault="00E349C1" w:rsidP="00E349C1">
            <w:pPr>
              <w:pStyle w:val="TableParagraph"/>
            </w:pPr>
          </w:p>
          <w:p w14:paraId="6BFEF89B" w14:textId="77777777" w:rsidR="00E349C1" w:rsidRDefault="00E349C1" w:rsidP="00E349C1">
            <w:pPr>
              <w:pStyle w:val="TableParagraph"/>
              <w:ind w:left="4"/>
              <w:jc w:val="center"/>
            </w:pPr>
            <w:r>
              <w:rPr>
                <w:spacing w:val="-4"/>
              </w:rPr>
              <w:t>4.47</w:t>
            </w:r>
          </w:p>
        </w:tc>
        <w:tc>
          <w:tcPr>
            <w:tcW w:w="1206" w:type="dxa"/>
          </w:tcPr>
          <w:p w14:paraId="2F9430CB" w14:textId="77777777" w:rsidR="00E349C1" w:rsidRDefault="00E349C1" w:rsidP="00E349C1">
            <w:pPr>
              <w:pStyle w:val="TableParagraph"/>
            </w:pPr>
          </w:p>
          <w:p w14:paraId="6320B788" w14:textId="77777777" w:rsidR="00E349C1" w:rsidRDefault="00E349C1" w:rsidP="00E349C1">
            <w:pPr>
              <w:pStyle w:val="TableParagraph"/>
              <w:ind w:left="1" w:right="1"/>
              <w:jc w:val="center"/>
            </w:pPr>
            <w:r>
              <w:rPr>
                <w:spacing w:val="-4"/>
              </w:rPr>
              <w:t>0.67</w:t>
            </w:r>
          </w:p>
        </w:tc>
        <w:tc>
          <w:tcPr>
            <w:tcW w:w="1638" w:type="dxa"/>
          </w:tcPr>
          <w:p w14:paraId="792DC9CC" w14:textId="77777777" w:rsidR="00E349C1" w:rsidRDefault="00E349C1" w:rsidP="00E349C1">
            <w:pPr>
              <w:pStyle w:val="TableParagraph"/>
              <w:ind w:right="1"/>
              <w:jc w:val="center"/>
            </w:pPr>
            <w:r>
              <w:rPr>
                <w:spacing w:val="-2"/>
              </w:rPr>
              <w:t>Extensive</w:t>
            </w:r>
          </w:p>
        </w:tc>
      </w:tr>
      <w:tr w:rsidR="00E349C1" w14:paraId="0E32D41A" w14:textId="77777777" w:rsidTr="00AD3DC4">
        <w:trPr>
          <w:trHeight w:val="227"/>
        </w:trPr>
        <w:tc>
          <w:tcPr>
            <w:tcW w:w="4926" w:type="dxa"/>
            <w:tcBorders>
              <w:bottom w:val="single" w:sz="4" w:space="0" w:color="000000"/>
            </w:tcBorders>
          </w:tcPr>
          <w:p w14:paraId="5C101CE0" w14:textId="77777777" w:rsidR="00E349C1" w:rsidRDefault="00E349C1" w:rsidP="00E349C1">
            <w:pPr>
              <w:pStyle w:val="TableParagraph"/>
              <w:spacing w:line="254" w:lineRule="exact"/>
              <w:ind w:left="117"/>
            </w:pPr>
            <w:r>
              <w:t>5.</w:t>
            </w:r>
            <w:r>
              <w:rPr>
                <w:spacing w:val="-3"/>
              </w:rPr>
              <w:t xml:space="preserve"> </w:t>
            </w:r>
            <w:r>
              <w:t>Ability</w:t>
            </w:r>
            <w:r>
              <w:rPr>
                <w:spacing w:val="-4"/>
              </w:rPr>
              <w:t xml:space="preserve"> </w:t>
            </w:r>
            <w:r>
              <w:t>to</w:t>
            </w:r>
            <w:r>
              <w:rPr>
                <w:spacing w:val="-3"/>
              </w:rPr>
              <w:t xml:space="preserve"> </w:t>
            </w:r>
            <w:r>
              <w:t>conduct</w:t>
            </w:r>
            <w:r>
              <w:rPr>
                <w:spacing w:val="-3"/>
              </w:rPr>
              <w:t xml:space="preserve"> </w:t>
            </w:r>
            <w:r>
              <w:t>self-assessment</w:t>
            </w:r>
            <w:r>
              <w:rPr>
                <w:spacing w:val="-7"/>
              </w:rPr>
              <w:t xml:space="preserve"> </w:t>
            </w:r>
            <w:r>
              <w:t>due</w:t>
            </w:r>
            <w:r>
              <w:rPr>
                <w:spacing w:val="-3"/>
              </w:rPr>
              <w:t xml:space="preserve"> </w:t>
            </w:r>
            <w:r>
              <w:t>to</w:t>
            </w:r>
            <w:r>
              <w:rPr>
                <w:spacing w:val="-3"/>
              </w:rPr>
              <w:t xml:space="preserve"> </w:t>
            </w:r>
            <w:r>
              <w:t xml:space="preserve">tax </w:t>
            </w:r>
            <w:r>
              <w:rPr>
                <w:spacing w:val="-2"/>
              </w:rPr>
              <w:t>education</w:t>
            </w:r>
          </w:p>
        </w:tc>
        <w:tc>
          <w:tcPr>
            <w:tcW w:w="786" w:type="dxa"/>
            <w:tcBorders>
              <w:bottom w:val="single" w:sz="4" w:space="0" w:color="000000"/>
            </w:tcBorders>
          </w:tcPr>
          <w:p w14:paraId="7130A7B2" w14:textId="77777777" w:rsidR="00E349C1" w:rsidRDefault="00E349C1" w:rsidP="00E349C1">
            <w:pPr>
              <w:pStyle w:val="TableParagraph"/>
              <w:ind w:left="4"/>
              <w:jc w:val="center"/>
            </w:pPr>
            <w:r>
              <w:rPr>
                <w:spacing w:val="-4"/>
              </w:rPr>
              <w:t>4.49</w:t>
            </w:r>
          </w:p>
        </w:tc>
        <w:tc>
          <w:tcPr>
            <w:tcW w:w="1206" w:type="dxa"/>
            <w:tcBorders>
              <w:bottom w:val="single" w:sz="4" w:space="0" w:color="000000"/>
            </w:tcBorders>
          </w:tcPr>
          <w:p w14:paraId="729E4E33" w14:textId="77777777" w:rsidR="00E349C1" w:rsidRDefault="00E349C1" w:rsidP="00E349C1">
            <w:pPr>
              <w:pStyle w:val="TableParagraph"/>
              <w:ind w:left="1" w:right="1"/>
              <w:jc w:val="center"/>
            </w:pPr>
            <w:r>
              <w:rPr>
                <w:spacing w:val="-4"/>
              </w:rPr>
              <w:t>0.79</w:t>
            </w:r>
          </w:p>
        </w:tc>
        <w:tc>
          <w:tcPr>
            <w:tcW w:w="1638" w:type="dxa"/>
            <w:tcBorders>
              <w:bottom w:val="single" w:sz="4" w:space="0" w:color="000000"/>
            </w:tcBorders>
          </w:tcPr>
          <w:p w14:paraId="3E2AE227" w14:textId="77777777" w:rsidR="00E349C1" w:rsidRDefault="00E349C1" w:rsidP="00E349C1">
            <w:pPr>
              <w:pStyle w:val="TableParagraph"/>
              <w:ind w:right="1"/>
              <w:jc w:val="center"/>
            </w:pPr>
            <w:r>
              <w:rPr>
                <w:spacing w:val="-2"/>
              </w:rPr>
              <w:t>Extensive</w:t>
            </w:r>
          </w:p>
        </w:tc>
      </w:tr>
      <w:tr w:rsidR="00E349C1" w14:paraId="06B484D5" w14:textId="77777777" w:rsidTr="00AD3DC4">
        <w:trPr>
          <w:trHeight w:val="227"/>
        </w:trPr>
        <w:tc>
          <w:tcPr>
            <w:tcW w:w="4926" w:type="dxa"/>
            <w:tcBorders>
              <w:top w:val="single" w:sz="4" w:space="0" w:color="000000"/>
              <w:bottom w:val="single" w:sz="4" w:space="0" w:color="000000"/>
            </w:tcBorders>
          </w:tcPr>
          <w:p w14:paraId="4EFFAC6E" w14:textId="77777777" w:rsidR="00E349C1" w:rsidRDefault="00E349C1" w:rsidP="00E349C1">
            <w:pPr>
              <w:pStyle w:val="TableParagraph"/>
              <w:spacing w:line="246" w:lineRule="exact"/>
              <w:ind w:left="11" w:right="4"/>
              <w:jc w:val="center"/>
              <w:rPr>
                <w:rFonts w:ascii="Arial"/>
                <w:b/>
              </w:rPr>
            </w:pPr>
            <w:r>
              <w:rPr>
                <w:rFonts w:ascii="Arial"/>
                <w:b/>
                <w:spacing w:val="-2"/>
              </w:rPr>
              <w:t>Average</w:t>
            </w:r>
          </w:p>
        </w:tc>
        <w:tc>
          <w:tcPr>
            <w:tcW w:w="786" w:type="dxa"/>
            <w:tcBorders>
              <w:top w:val="single" w:sz="4" w:space="0" w:color="000000"/>
              <w:bottom w:val="single" w:sz="4" w:space="0" w:color="000000"/>
            </w:tcBorders>
          </w:tcPr>
          <w:p w14:paraId="4186E0A3" w14:textId="77777777" w:rsidR="00E349C1" w:rsidRDefault="00E349C1" w:rsidP="00E349C1">
            <w:pPr>
              <w:pStyle w:val="TableParagraph"/>
              <w:ind w:left="4"/>
              <w:jc w:val="center"/>
            </w:pPr>
            <w:r>
              <w:rPr>
                <w:spacing w:val="-4"/>
              </w:rPr>
              <w:t>4.41</w:t>
            </w:r>
          </w:p>
        </w:tc>
        <w:tc>
          <w:tcPr>
            <w:tcW w:w="1206" w:type="dxa"/>
            <w:tcBorders>
              <w:top w:val="single" w:sz="4" w:space="0" w:color="000000"/>
              <w:bottom w:val="single" w:sz="4" w:space="0" w:color="000000"/>
            </w:tcBorders>
          </w:tcPr>
          <w:p w14:paraId="6E649D89" w14:textId="77777777" w:rsidR="00E349C1" w:rsidRDefault="00E349C1" w:rsidP="00E349C1">
            <w:pPr>
              <w:pStyle w:val="TableParagraph"/>
              <w:ind w:left="1" w:right="1"/>
              <w:jc w:val="center"/>
            </w:pPr>
            <w:r>
              <w:rPr>
                <w:spacing w:val="-4"/>
              </w:rPr>
              <w:t>0.60</w:t>
            </w:r>
          </w:p>
        </w:tc>
        <w:tc>
          <w:tcPr>
            <w:tcW w:w="1638" w:type="dxa"/>
            <w:tcBorders>
              <w:top w:val="single" w:sz="4" w:space="0" w:color="000000"/>
              <w:bottom w:val="single" w:sz="4" w:space="0" w:color="000000"/>
            </w:tcBorders>
          </w:tcPr>
          <w:p w14:paraId="24FC862F" w14:textId="77777777" w:rsidR="00E349C1" w:rsidRDefault="00E349C1" w:rsidP="00E349C1">
            <w:pPr>
              <w:pStyle w:val="TableParagraph"/>
              <w:ind w:right="1"/>
              <w:jc w:val="center"/>
            </w:pPr>
            <w:r>
              <w:rPr>
                <w:spacing w:val="-2"/>
              </w:rPr>
              <w:t>Extensive</w:t>
            </w:r>
          </w:p>
        </w:tc>
      </w:tr>
    </w:tbl>
    <w:p w14:paraId="3FA9E238" w14:textId="77777777" w:rsidR="00C527BC" w:rsidRDefault="00C527BC" w:rsidP="00E349C1">
      <w:pPr>
        <w:pStyle w:val="Body"/>
        <w:spacing w:after="0"/>
        <w:rPr>
          <w:rFonts w:ascii="Arial" w:hAnsi="Arial" w:cs="Arial"/>
        </w:rPr>
      </w:pPr>
    </w:p>
    <w:p w14:paraId="55FD9F67" w14:textId="77777777" w:rsidR="00C527BC" w:rsidRDefault="00C527BC" w:rsidP="00441B6F">
      <w:pPr>
        <w:pStyle w:val="Body"/>
        <w:spacing w:after="0"/>
        <w:rPr>
          <w:rFonts w:ascii="Arial" w:hAnsi="Arial" w:cs="Arial"/>
        </w:rPr>
      </w:pPr>
    </w:p>
    <w:p w14:paraId="08D4A80D" w14:textId="0CFB6197" w:rsidR="00F65CC1" w:rsidRDefault="00F65CC1" w:rsidP="00F65CC1">
      <w:pPr>
        <w:pStyle w:val="BodyText"/>
        <w:spacing w:before="154" w:after="2" w:line="480" w:lineRule="auto"/>
        <w:jc w:val="both"/>
      </w:pPr>
      <w:bookmarkStart w:id="2" w:name="_Hlk202634185"/>
      <w:r w:rsidRPr="00F65CC1">
        <w:t xml:space="preserve">Table </w:t>
      </w:r>
      <w:r>
        <w:t>4</w:t>
      </w:r>
      <w:r w:rsidRPr="00F65CC1">
        <w:t xml:space="preserve"> reveals that entrepreneurs in </w:t>
      </w:r>
      <w:proofErr w:type="spellStart"/>
      <w:r w:rsidRPr="00F65CC1">
        <w:t>Cateel</w:t>
      </w:r>
      <w:proofErr w:type="spellEnd"/>
      <w:r w:rsidRPr="00F65CC1">
        <w:t xml:space="preserve"> demonstrate a very high level of business income knowledge (x̄ = 4.49, s = 0.79), indicating their capacity for self-assessment due to tax education. This suggests that tax knowledge enables business owners to understand and manage their revenue obligations independently.</w:t>
      </w:r>
      <w:r w:rsidR="004814B2">
        <w:t xml:space="preserve"> </w:t>
      </w:r>
      <w:proofErr w:type="spellStart"/>
      <w:r w:rsidRPr="00F65CC1">
        <w:t>Renoria</w:t>
      </w:r>
      <w:proofErr w:type="spellEnd"/>
      <w:r w:rsidRPr="00F65CC1">
        <w:t xml:space="preserve"> (2024) found that tax education through seminars and media positively influences behavior. Similarly, Wibowo et al. (2022) confirmed that tax knowledge significantly boosts compliance, emphasizing the vital role of self-assessment systems in promoting responsible tax practices.</w:t>
      </w:r>
    </w:p>
    <w:p w14:paraId="11AA6DA5" w14:textId="77777777" w:rsidR="00F65CC1" w:rsidRDefault="00F65CC1" w:rsidP="00F65CC1">
      <w:pPr>
        <w:pStyle w:val="BodyText"/>
        <w:spacing w:before="154" w:after="2" w:line="480" w:lineRule="auto"/>
        <w:jc w:val="both"/>
      </w:pPr>
    </w:p>
    <w:p w14:paraId="17DCD516" w14:textId="77777777" w:rsidR="00F65CC1" w:rsidRDefault="00F65CC1" w:rsidP="00F65CC1">
      <w:pPr>
        <w:pStyle w:val="BodyText"/>
        <w:spacing w:before="154" w:after="2"/>
        <w:jc w:val="both"/>
      </w:pPr>
    </w:p>
    <w:p w14:paraId="7F07AE17" w14:textId="77777777" w:rsidR="004814B2" w:rsidRDefault="004814B2" w:rsidP="004814B2">
      <w:pPr>
        <w:pStyle w:val="BodyText"/>
        <w:spacing w:before="154" w:after="2"/>
        <w:jc w:val="both"/>
      </w:pPr>
      <w:r>
        <w:t>Table</w:t>
      </w:r>
      <w:r>
        <w:rPr>
          <w:spacing w:val="-2"/>
        </w:rPr>
        <w:t xml:space="preserve"> 5</w:t>
      </w:r>
      <w:r>
        <w:t>.</w:t>
      </w:r>
      <w:r>
        <w:rPr>
          <w:spacing w:val="-3"/>
        </w:rPr>
        <w:t xml:space="preserve"> </w:t>
      </w:r>
      <w:r>
        <w:t>Tax</w:t>
      </w:r>
      <w:r>
        <w:rPr>
          <w:spacing w:val="-4"/>
        </w:rPr>
        <w:t xml:space="preserve"> </w:t>
      </w:r>
      <w:r>
        <w:t>knowledge</w:t>
      </w:r>
      <w:r>
        <w:rPr>
          <w:spacing w:val="-6"/>
        </w:rPr>
        <w:t xml:space="preserve"> </w:t>
      </w:r>
      <w:r>
        <w:t>in</w:t>
      </w:r>
      <w:r>
        <w:rPr>
          <w:spacing w:val="-2"/>
        </w:rPr>
        <w:t xml:space="preserve"> </w:t>
      </w:r>
      <w:r>
        <w:t>relation</w:t>
      </w:r>
      <w:r>
        <w:rPr>
          <w:spacing w:val="-1"/>
        </w:rPr>
        <w:t xml:space="preserve"> </w:t>
      </w:r>
      <w:r>
        <w:t>to</w:t>
      </w:r>
      <w:r>
        <w:rPr>
          <w:spacing w:val="-7"/>
        </w:rPr>
        <w:t xml:space="preserve"> </w:t>
      </w:r>
      <w:r>
        <w:t>awareness</w:t>
      </w:r>
      <w:r>
        <w:rPr>
          <w:spacing w:val="-8"/>
        </w:rPr>
        <w:t xml:space="preserve"> </w:t>
      </w:r>
      <w:r>
        <w:t>of</w:t>
      </w:r>
      <w:r>
        <w:rPr>
          <w:spacing w:val="2"/>
        </w:rPr>
        <w:t xml:space="preserve"> </w:t>
      </w:r>
      <w:r>
        <w:rPr>
          <w:spacing w:val="-2"/>
        </w:rPr>
        <w:t>sanctions</w:t>
      </w:r>
    </w:p>
    <w:p w14:paraId="4590A249" w14:textId="1C026AFB" w:rsidR="00F65CC1" w:rsidRPr="00F65CC1" w:rsidRDefault="00F65CC1" w:rsidP="00F65CC1">
      <w:pPr>
        <w:pStyle w:val="BodyText"/>
        <w:spacing w:before="154" w:after="2" w:line="480" w:lineRule="auto"/>
        <w:jc w:val="both"/>
        <w:rPr>
          <w:lang w:val="en-PH"/>
        </w:rPr>
      </w:pPr>
      <w:r w:rsidRPr="00F65CC1">
        <w:rPr>
          <w:lang w:val="en-PH"/>
        </w:rPr>
        <w:t xml:space="preserve">Table </w:t>
      </w:r>
      <w:r>
        <w:rPr>
          <w:lang w:val="en-PH"/>
        </w:rPr>
        <w:t>5</w:t>
      </w:r>
      <w:r w:rsidRPr="00F65CC1">
        <w:rPr>
          <w:lang w:val="en-PH"/>
        </w:rPr>
        <w:t xml:space="preserve"> shows that business owners in </w:t>
      </w:r>
      <w:proofErr w:type="spellStart"/>
      <w:r w:rsidRPr="00F65CC1">
        <w:rPr>
          <w:lang w:val="en-PH"/>
        </w:rPr>
        <w:t>Cateel</w:t>
      </w:r>
      <w:proofErr w:type="spellEnd"/>
      <w:r w:rsidRPr="00F65CC1">
        <w:rPr>
          <w:lang w:val="en-PH"/>
        </w:rPr>
        <w:t xml:space="preserve"> have a very high awareness of tax sanctions (x̄ = 4.48, s = 0.58), with all items rated as extensive. This indicates that tax education effectively </w:t>
      </w:r>
      <w:r w:rsidRPr="00F65CC1">
        <w:rPr>
          <w:lang w:val="en-PH"/>
        </w:rPr>
        <w:lastRenderedPageBreak/>
        <w:t xml:space="preserve">informs them of the serious consequences of non-compliance, such as fines, prosecution, and business closure. These findings align with Hauptman et al. (2024), who emphasized that understanding penalties increases tax adherence. Kahneman and Tversky (2019) also noted that awareness of sanctions deters non-compliance by enhancing perceived control. Similarly, </w:t>
      </w:r>
      <w:proofErr w:type="spellStart"/>
      <w:r w:rsidRPr="00F65CC1">
        <w:rPr>
          <w:lang w:val="en-PH"/>
        </w:rPr>
        <w:t>Oladipupo</w:t>
      </w:r>
      <w:proofErr w:type="spellEnd"/>
      <w:r w:rsidRPr="00F65CC1">
        <w:rPr>
          <w:lang w:val="en-PH"/>
        </w:rPr>
        <w:t xml:space="preserve"> and </w:t>
      </w:r>
      <w:proofErr w:type="spellStart"/>
      <w:r w:rsidRPr="00F65CC1">
        <w:rPr>
          <w:lang w:val="en-PH"/>
        </w:rPr>
        <w:t>Obazee</w:t>
      </w:r>
      <w:proofErr w:type="spellEnd"/>
      <w:r w:rsidRPr="00F65CC1">
        <w:rPr>
          <w:lang w:val="en-PH"/>
        </w:rPr>
        <w:t xml:space="preserve"> (2016) found that such awareness positively influences behavioral intentions and social norms, leading to improved compliance.</w:t>
      </w:r>
    </w:p>
    <w:p w14:paraId="10FE9F3A" w14:textId="77777777" w:rsidR="009A0AF4" w:rsidRDefault="009A0AF4" w:rsidP="009A0AF4">
      <w:pPr>
        <w:pStyle w:val="Heading2"/>
        <w:jc w:val="both"/>
        <w:rPr>
          <w:rFonts w:ascii="Arial" w:hAnsi="Arial" w:cs="Arial"/>
          <w:b/>
          <w:bCs/>
          <w:color w:val="auto"/>
          <w:sz w:val="22"/>
          <w:szCs w:val="22"/>
        </w:rPr>
      </w:pPr>
    </w:p>
    <w:p w14:paraId="78919C40" w14:textId="0664B83B" w:rsidR="00F65CC1" w:rsidRPr="009A0AF4" w:rsidRDefault="009A0AF4" w:rsidP="009A0AF4">
      <w:pPr>
        <w:pStyle w:val="Heading2"/>
        <w:jc w:val="both"/>
        <w:rPr>
          <w:rFonts w:ascii="Arial" w:hAnsi="Arial" w:cs="Arial"/>
          <w:b/>
          <w:bCs/>
          <w:color w:val="auto"/>
          <w:sz w:val="22"/>
          <w:szCs w:val="22"/>
        </w:rPr>
      </w:pPr>
      <w:r w:rsidRPr="009A0AF4">
        <w:rPr>
          <w:rFonts w:ascii="Arial" w:hAnsi="Arial" w:cs="Arial"/>
          <w:b/>
          <w:bCs/>
          <w:color w:val="auto"/>
          <w:sz w:val="22"/>
          <w:szCs w:val="22"/>
        </w:rPr>
        <w:t>LEVEL</w:t>
      </w:r>
      <w:r w:rsidRPr="009A0AF4">
        <w:rPr>
          <w:rFonts w:ascii="Arial" w:hAnsi="Arial" w:cs="Arial"/>
          <w:b/>
          <w:bCs/>
          <w:color w:val="auto"/>
          <w:spacing w:val="-11"/>
          <w:sz w:val="22"/>
          <w:szCs w:val="22"/>
        </w:rPr>
        <w:t xml:space="preserve"> </w:t>
      </w:r>
      <w:r w:rsidRPr="009A0AF4">
        <w:rPr>
          <w:rFonts w:ascii="Arial" w:hAnsi="Arial" w:cs="Arial"/>
          <w:b/>
          <w:bCs/>
          <w:color w:val="auto"/>
          <w:sz w:val="22"/>
          <w:szCs w:val="22"/>
        </w:rPr>
        <w:t>OF</w:t>
      </w:r>
      <w:r w:rsidRPr="009A0AF4">
        <w:rPr>
          <w:rFonts w:ascii="Arial" w:hAnsi="Arial" w:cs="Arial"/>
          <w:b/>
          <w:bCs/>
          <w:color w:val="auto"/>
          <w:spacing w:val="-6"/>
          <w:sz w:val="22"/>
          <w:szCs w:val="22"/>
        </w:rPr>
        <w:t xml:space="preserve"> </w:t>
      </w:r>
      <w:r w:rsidRPr="009A0AF4">
        <w:rPr>
          <w:rFonts w:ascii="Arial" w:hAnsi="Arial" w:cs="Arial"/>
          <w:b/>
          <w:bCs/>
          <w:color w:val="auto"/>
          <w:sz w:val="22"/>
          <w:szCs w:val="22"/>
        </w:rPr>
        <w:t>TAX</w:t>
      </w:r>
      <w:r w:rsidRPr="009A0AF4">
        <w:rPr>
          <w:rFonts w:ascii="Arial" w:hAnsi="Arial" w:cs="Arial"/>
          <w:b/>
          <w:bCs/>
          <w:color w:val="auto"/>
          <w:spacing w:val="-3"/>
          <w:sz w:val="22"/>
          <w:szCs w:val="22"/>
        </w:rPr>
        <w:t xml:space="preserve"> </w:t>
      </w:r>
      <w:r w:rsidRPr="009A0AF4">
        <w:rPr>
          <w:rFonts w:ascii="Arial" w:hAnsi="Arial" w:cs="Arial"/>
          <w:b/>
          <w:bCs/>
          <w:color w:val="auto"/>
          <w:sz w:val="22"/>
          <w:szCs w:val="22"/>
        </w:rPr>
        <w:t>COMPLIANCE</w:t>
      </w:r>
      <w:r w:rsidRPr="009A0AF4">
        <w:rPr>
          <w:rFonts w:ascii="Arial" w:hAnsi="Arial" w:cs="Arial"/>
          <w:b/>
          <w:bCs/>
          <w:color w:val="auto"/>
          <w:spacing w:val="-4"/>
          <w:sz w:val="22"/>
          <w:szCs w:val="22"/>
        </w:rPr>
        <w:t xml:space="preserve"> </w:t>
      </w:r>
      <w:r w:rsidRPr="009A0AF4">
        <w:rPr>
          <w:rFonts w:ascii="Arial" w:hAnsi="Arial" w:cs="Arial"/>
          <w:b/>
          <w:bCs/>
          <w:color w:val="auto"/>
          <w:sz w:val="22"/>
          <w:szCs w:val="22"/>
        </w:rPr>
        <w:t>AMONG</w:t>
      </w:r>
      <w:r w:rsidRPr="009A0AF4">
        <w:rPr>
          <w:rFonts w:ascii="Arial" w:hAnsi="Arial" w:cs="Arial"/>
          <w:b/>
          <w:bCs/>
          <w:color w:val="auto"/>
          <w:spacing w:val="-5"/>
          <w:sz w:val="22"/>
          <w:szCs w:val="22"/>
        </w:rPr>
        <w:t xml:space="preserve"> </w:t>
      </w:r>
      <w:r w:rsidRPr="009A0AF4">
        <w:rPr>
          <w:rFonts w:ascii="Arial" w:hAnsi="Arial" w:cs="Arial"/>
          <w:b/>
          <w:bCs/>
          <w:color w:val="auto"/>
          <w:sz w:val="22"/>
          <w:szCs w:val="22"/>
        </w:rPr>
        <w:t>BUSINESS</w:t>
      </w:r>
      <w:r w:rsidRPr="009A0AF4">
        <w:rPr>
          <w:rFonts w:ascii="Arial" w:hAnsi="Arial" w:cs="Arial"/>
          <w:b/>
          <w:bCs/>
          <w:color w:val="auto"/>
          <w:spacing w:val="-7"/>
          <w:sz w:val="22"/>
          <w:szCs w:val="22"/>
        </w:rPr>
        <w:t xml:space="preserve"> </w:t>
      </w:r>
      <w:r w:rsidRPr="009A0AF4">
        <w:rPr>
          <w:rFonts w:ascii="Arial" w:hAnsi="Arial" w:cs="Arial"/>
          <w:b/>
          <w:bCs/>
          <w:color w:val="auto"/>
          <w:spacing w:val="-2"/>
          <w:sz w:val="22"/>
          <w:szCs w:val="22"/>
        </w:rPr>
        <w:t>OWNERS</w:t>
      </w:r>
    </w:p>
    <w:tbl>
      <w:tblPr>
        <w:tblpPr w:leftFromText="180" w:rightFromText="180" w:vertAnchor="page" w:horzAnchor="margin" w:tblpY="1871"/>
        <w:tblW w:w="8553" w:type="dxa"/>
        <w:tblLayout w:type="fixed"/>
        <w:tblCellMar>
          <w:left w:w="0" w:type="dxa"/>
          <w:right w:w="0" w:type="dxa"/>
        </w:tblCellMar>
        <w:tblLook w:val="01E0" w:firstRow="1" w:lastRow="1" w:firstColumn="1" w:lastColumn="1" w:noHBand="0" w:noVBand="0"/>
      </w:tblPr>
      <w:tblGrid>
        <w:gridCol w:w="4805"/>
        <w:gridCol w:w="906"/>
        <w:gridCol w:w="1205"/>
        <w:gridCol w:w="1637"/>
      </w:tblGrid>
      <w:tr w:rsidR="00F65CC1" w14:paraId="497896A7" w14:textId="77777777" w:rsidTr="00F65CC1">
        <w:trPr>
          <w:trHeight w:val="227"/>
        </w:trPr>
        <w:tc>
          <w:tcPr>
            <w:tcW w:w="4805" w:type="dxa"/>
            <w:tcBorders>
              <w:top w:val="single" w:sz="4" w:space="0" w:color="000000"/>
              <w:bottom w:val="single" w:sz="4" w:space="0" w:color="000000"/>
            </w:tcBorders>
          </w:tcPr>
          <w:bookmarkEnd w:id="2"/>
          <w:p w14:paraId="023DA0BD" w14:textId="77777777" w:rsidR="00F65CC1" w:rsidRDefault="00F65CC1" w:rsidP="00F65CC1">
            <w:pPr>
              <w:pStyle w:val="TableParagraph"/>
              <w:spacing w:before="172"/>
              <w:ind w:left="132"/>
              <w:jc w:val="center"/>
              <w:rPr>
                <w:rFonts w:ascii="Arial"/>
                <w:b/>
              </w:rPr>
            </w:pPr>
            <w:r>
              <w:rPr>
                <w:rFonts w:ascii="Arial"/>
                <w:b/>
                <w:spacing w:val="-2"/>
              </w:rPr>
              <w:t>Statements</w:t>
            </w:r>
          </w:p>
        </w:tc>
        <w:tc>
          <w:tcPr>
            <w:tcW w:w="906" w:type="dxa"/>
            <w:tcBorders>
              <w:top w:val="single" w:sz="4" w:space="0" w:color="000000"/>
              <w:bottom w:val="single" w:sz="4" w:space="0" w:color="000000"/>
            </w:tcBorders>
          </w:tcPr>
          <w:p w14:paraId="114C1F05" w14:textId="77777777" w:rsidR="00F65CC1" w:rsidRDefault="00F65CC1" w:rsidP="00F65CC1">
            <w:pPr>
              <w:pStyle w:val="TableParagraph"/>
              <w:spacing w:before="172"/>
              <w:ind w:left="234"/>
              <w:rPr>
                <w:rFonts w:ascii="Arial"/>
                <w:b/>
              </w:rPr>
            </w:pPr>
            <w:r>
              <w:rPr>
                <w:rFonts w:ascii="Arial"/>
                <w:b/>
                <w:spacing w:val="-4"/>
              </w:rPr>
              <w:t>Mean</w:t>
            </w:r>
          </w:p>
        </w:tc>
        <w:tc>
          <w:tcPr>
            <w:tcW w:w="1205" w:type="dxa"/>
            <w:tcBorders>
              <w:top w:val="single" w:sz="4" w:space="0" w:color="000000"/>
              <w:bottom w:val="single" w:sz="4" w:space="0" w:color="000000"/>
            </w:tcBorders>
          </w:tcPr>
          <w:p w14:paraId="304ECAAD" w14:textId="77777777" w:rsidR="00F65CC1" w:rsidRDefault="00F65CC1" w:rsidP="00F65CC1">
            <w:pPr>
              <w:pStyle w:val="TableParagraph"/>
              <w:spacing w:before="48" w:line="251" w:lineRule="exact"/>
              <w:ind w:left="2" w:right="2"/>
              <w:jc w:val="center"/>
              <w:rPr>
                <w:rFonts w:ascii="Arial"/>
                <w:b/>
              </w:rPr>
            </w:pPr>
            <w:r>
              <w:rPr>
                <w:rFonts w:ascii="Arial"/>
                <w:b/>
                <w:spacing w:val="-4"/>
              </w:rPr>
              <w:t>Std.</w:t>
            </w:r>
          </w:p>
          <w:p w14:paraId="59C220BE" w14:textId="77777777" w:rsidR="00F65CC1" w:rsidRDefault="00F65CC1" w:rsidP="00F65CC1">
            <w:pPr>
              <w:pStyle w:val="TableParagraph"/>
              <w:spacing w:line="251" w:lineRule="exact"/>
              <w:ind w:left="2" w:right="2"/>
              <w:jc w:val="center"/>
              <w:rPr>
                <w:rFonts w:ascii="Arial"/>
                <w:b/>
              </w:rPr>
            </w:pPr>
            <w:r>
              <w:rPr>
                <w:rFonts w:ascii="Arial"/>
                <w:b/>
                <w:spacing w:val="-2"/>
              </w:rPr>
              <w:t>Deviation</w:t>
            </w:r>
          </w:p>
        </w:tc>
        <w:tc>
          <w:tcPr>
            <w:tcW w:w="1637" w:type="dxa"/>
            <w:tcBorders>
              <w:top w:val="single" w:sz="4" w:space="0" w:color="000000"/>
              <w:bottom w:val="single" w:sz="4" w:space="0" w:color="000000"/>
            </w:tcBorders>
          </w:tcPr>
          <w:p w14:paraId="076F0752" w14:textId="77777777" w:rsidR="00F65CC1" w:rsidRDefault="00F65CC1" w:rsidP="00F65CC1">
            <w:pPr>
              <w:pStyle w:val="TableParagraph"/>
              <w:spacing w:before="172"/>
              <w:ind w:left="5" w:right="4"/>
              <w:jc w:val="center"/>
              <w:rPr>
                <w:rFonts w:ascii="Arial"/>
                <w:b/>
              </w:rPr>
            </w:pPr>
            <w:r>
              <w:rPr>
                <w:rFonts w:ascii="Arial"/>
                <w:b/>
                <w:spacing w:val="-2"/>
              </w:rPr>
              <w:t>Interpretation</w:t>
            </w:r>
          </w:p>
        </w:tc>
      </w:tr>
      <w:tr w:rsidR="00F65CC1" w14:paraId="14EE39FF" w14:textId="77777777" w:rsidTr="00F65CC1">
        <w:trPr>
          <w:trHeight w:val="227"/>
        </w:trPr>
        <w:tc>
          <w:tcPr>
            <w:tcW w:w="4805" w:type="dxa"/>
            <w:tcBorders>
              <w:top w:val="single" w:sz="4" w:space="0" w:color="000000"/>
            </w:tcBorders>
          </w:tcPr>
          <w:p w14:paraId="3238518C" w14:textId="77777777" w:rsidR="00F65CC1" w:rsidRDefault="00F65CC1" w:rsidP="00F65CC1">
            <w:pPr>
              <w:pStyle w:val="TableParagraph"/>
              <w:spacing w:line="250" w:lineRule="atLeast"/>
              <w:ind w:left="117"/>
            </w:pPr>
            <w:r>
              <w:t>Tax</w:t>
            </w:r>
            <w:r>
              <w:rPr>
                <w:spacing w:val="-5"/>
              </w:rPr>
              <w:t xml:space="preserve"> </w:t>
            </w:r>
            <w:r>
              <w:t>education</w:t>
            </w:r>
            <w:r>
              <w:rPr>
                <w:spacing w:val="-4"/>
              </w:rPr>
              <w:t xml:space="preserve"> </w:t>
            </w:r>
            <w:r>
              <w:t>creates</w:t>
            </w:r>
            <w:r>
              <w:rPr>
                <w:spacing w:val="-9"/>
              </w:rPr>
              <w:t xml:space="preserve"> </w:t>
            </w:r>
            <w:r>
              <w:t>awareness</w:t>
            </w:r>
            <w:r>
              <w:rPr>
                <w:spacing w:val="-9"/>
              </w:rPr>
              <w:t xml:space="preserve"> </w:t>
            </w:r>
            <w:r>
              <w:t>of</w:t>
            </w:r>
            <w:r>
              <w:rPr>
                <w:spacing w:val="-1"/>
              </w:rPr>
              <w:t xml:space="preserve"> </w:t>
            </w:r>
            <w:r>
              <w:t>the sanctions for non-compliance.</w:t>
            </w:r>
          </w:p>
        </w:tc>
        <w:tc>
          <w:tcPr>
            <w:tcW w:w="906" w:type="dxa"/>
            <w:tcBorders>
              <w:top w:val="single" w:sz="4" w:space="0" w:color="000000"/>
            </w:tcBorders>
          </w:tcPr>
          <w:p w14:paraId="359D2946" w14:textId="77777777" w:rsidR="00F65CC1" w:rsidRDefault="00F65CC1" w:rsidP="00F65CC1">
            <w:pPr>
              <w:pStyle w:val="TableParagraph"/>
              <w:spacing w:before="128"/>
              <w:ind w:left="301"/>
            </w:pPr>
            <w:r>
              <w:rPr>
                <w:spacing w:val="-4"/>
              </w:rPr>
              <w:t>4.45</w:t>
            </w:r>
          </w:p>
        </w:tc>
        <w:tc>
          <w:tcPr>
            <w:tcW w:w="1205" w:type="dxa"/>
            <w:tcBorders>
              <w:top w:val="single" w:sz="4" w:space="0" w:color="000000"/>
            </w:tcBorders>
          </w:tcPr>
          <w:p w14:paraId="69452BDB" w14:textId="77777777" w:rsidR="00F65CC1" w:rsidRDefault="00F65CC1" w:rsidP="00F65CC1">
            <w:pPr>
              <w:pStyle w:val="TableParagraph"/>
              <w:spacing w:before="128"/>
              <w:ind w:left="2"/>
              <w:jc w:val="center"/>
            </w:pPr>
            <w:r>
              <w:rPr>
                <w:spacing w:val="-4"/>
              </w:rPr>
              <w:t>0.66</w:t>
            </w:r>
          </w:p>
        </w:tc>
        <w:tc>
          <w:tcPr>
            <w:tcW w:w="1637" w:type="dxa"/>
            <w:tcBorders>
              <w:top w:val="single" w:sz="4" w:space="0" w:color="000000"/>
            </w:tcBorders>
          </w:tcPr>
          <w:p w14:paraId="1DB07110" w14:textId="77777777" w:rsidR="00F65CC1" w:rsidRDefault="00F65CC1" w:rsidP="00F65CC1">
            <w:pPr>
              <w:pStyle w:val="TableParagraph"/>
              <w:spacing w:before="3"/>
              <w:ind w:left="5" w:right="2"/>
              <w:jc w:val="center"/>
            </w:pPr>
            <w:r>
              <w:rPr>
                <w:spacing w:val="-2"/>
              </w:rPr>
              <w:t>Extensive</w:t>
            </w:r>
          </w:p>
        </w:tc>
      </w:tr>
      <w:tr w:rsidR="00F65CC1" w14:paraId="534E7BE8" w14:textId="77777777" w:rsidTr="00F65CC1">
        <w:trPr>
          <w:trHeight w:val="227"/>
        </w:trPr>
        <w:tc>
          <w:tcPr>
            <w:tcW w:w="4805" w:type="dxa"/>
          </w:tcPr>
          <w:p w14:paraId="1233B48C" w14:textId="77777777" w:rsidR="00F65CC1" w:rsidRDefault="00F65CC1" w:rsidP="00F65CC1">
            <w:pPr>
              <w:pStyle w:val="TableParagraph"/>
              <w:spacing w:line="254" w:lineRule="exact"/>
              <w:ind w:left="117"/>
            </w:pPr>
            <w:r>
              <w:t>Tax education creates awareness that a business</w:t>
            </w:r>
            <w:r>
              <w:rPr>
                <w:spacing w:val="-4"/>
              </w:rPr>
              <w:t xml:space="preserve"> </w:t>
            </w:r>
            <w:r>
              <w:t>could</w:t>
            </w:r>
            <w:r>
              <w:rPr>
                <w:spacing w:val="-7"/>
              </w:rPr>
              <w:t xml:space="preserve"> </w:t>
            </w:r>
            <w:r>
              <w:t>be</w:t>
            </w:r>
            <w:r>
              <w:rPr>
                <w:spacing w:val="-3"/>
              </w:rPr>
              <w:t xml:space="preserve"> </w:t>
            </w:r>
            <w:r>
              <w:t>closed</w:t>
            </w:r>
            <w:r>
              <w:rPr>
                <w:spacing w:val="-7"/>
              </w:rPr>
              <w:t xml:space="preserve"> </w:t>
            </w:r>
            <w:r>
              <w:t>for</w:t>
            </w:r>
            <w:r>
              <w:rPr>
                <w:spacing w:val="-10"/>
              </w:rPr>
              <w:t xml:space="preserve"> </w:t>
            </w:r>
            <w:r>
              <w:t>non-compliance.</w:t>
            </w:r>
          </w:p>
        </w:tc>
        <w:tc>
          <w:tcPr>
            <w:tcW w:w="906" w:type="dxa"/>
          </w:tcPr>
          <w:p w14:paraId="64A20838" w14:textId="77777777" w:rsidR="00F65CC1" w:rsidRDefault="00F65CC1" w:rsidP="00F65CC1">
            <w:pPr>
              <w:pStyle w:val="TableParagraph"/>
              <w:spacing w:before="125"/>
              <w:ind w:left="301"/>
            </w:pPr>
            <w:r>
              <w:rPr>
                <w:spacing w:val="-4"/>
              </w:rPr>
              <w:t>4.47</w:t>
            </w:r>
          </w:p>
        </w:tc>
        <w:tc>
          <w:tcPr>
            <w:tcW w:w="1205" w:type="dxa"/>
          </w:tcPr>
          <w:p w14:paraId="37223060" w14:textId="77777777" w:rsidR="00F65CC1" w:rsidRDefault="00F65CC1" w:rsidP="00F65CC1">
            <w:pPr>
              <w:pStyle w:val="TableParagraph"/>
              <w:spacing w:before="125"/>
              <w:ind w:left="2"/>
              <w:jc w:val="center"/>
            </w:pPr>
            <w:r>
              <w:rPr>
                <w:spacing w:val="-4"/>
              </w:rPr>
              <w:t>0.66</w:t>
            </w:r>
          </w:p>
        </w:tc>
        <w:tc>
          <w:tcPr>
            <w:tcW w:w="1637" w:type="dxa"/>
          </w:tcPr>
          <w:p w14:paraId="35A69929" w14:textId="77777777" w:rsidR="00F65CC1" w:rsidRDefault="00F65CC1" w:rsidP="00F65CC1">
            <w:pPr>
              <w:pStyle w:val="TableParagraph"/>
              <w:spacing w:before="1"/>
              <w:ind w:left="5" w:right="2"/>
              <w:jc w:val="center"/>
            </w:pPr>
            <w:r>
              <w:rPr>
                <w:spacing w:val="-2"/>
              </w:rPr>
              <w:t>Extensive</w:t>
            </w:r>
          </w:p>
        </w:tc>
      </w:tr>
      <w:tr w:rsidR="00F65CC1" w14:paraId="536D847D" w14:textId="77777777" w:rsidTr="00F65CC1">
        <w:trPr>
          <w:trHeight w:val="227"/>
        </w:trPr>
        <w:tc>
          <w:tcPr>
            <w:tcW w:w="4805" w:type="dxa"/>
          </w:tcPr>
          <w:p w14:paraId="04F44E19" w14:textId="77777777" w:rsidR="00F65CC1" w:rsidRDefault="00F65CC1" w:rsidP="00F65CC1">
            <w:pPr>
              <w:pStyle w:val="TableParagraph"/>
              <w:spacing w:line="246" w:lineRule="exact"/>
              <w:ind w:left="117"/>
            </w:pPr>
            <w:r>
              <w:t>Tax</w:t>
            </w:r>
            <w:r>
              <w:rPr>
                <w:spacing w:val="-4"/>
              </w:rPr>
              <w:t xml:space="preserve"> </w:t>
            </w:r>
            <w:r>
              <w:t>education</w:t>
            </w:r>
            <w:r>
              <w:rPr>
                <w:spacing w:val="-2"/>
              </w:rPr>
              <w:t xml:space="preserve"> </w:t>
            </w:r>
            <w:r>
              <w:t>creates</w:t>
            </w:r>
            <w:r>
              <w:rPr>
                <w:spacing w:val="-8"/>
              </w:rPr>
              <w:t xml:space="preserve"> </w:t>
            </w:r>
            <w:r>
              <w:t>awareness</w:t>
            </w:r>
            <w:r>
              <w:rPr>
                <w:spacing w:val="-4"/>
              </w:rPr>
              <w:t xml:space="preserve"> </w:t>
            </w:r>
            <w:r>
              <w:t>that</w:t>
            </w:r>
            <w:r>
              <w:rPr>
                <w:spacing w:val="-6"/>
              </w:rPr>
              <w:t xml:space="preserve"> </w:t>
            </w:r>
            <w:r>
              <w:rPr>
                <w:spacing w:val="-4"/>
              </w:rPr>
              <w:t>fines</w:t>
            </w:r>
          </w:p>
          <w:p w14:paraId="2B64CE41" w14:textId="77777777" w:rsidR="00F65CC1" w:rsidRDefault="00F65CC1" w:rsidP="00F65CC1">
            <w:pPr>
              <w:pStyle w:val="TableParagraph"/>
              <w:spacing w:before="5" w:line="233" w:lineRule="exact"/>
              <w:ind w:left="117"/>
            </w:pPr>
            <w:r>
              <w:t>may</w:t>
            </w:r>
            <w:r>
              <w:rPr>
                <w:spacing w:val="-2"/>
              </w:rPr>
              <w:t xml:space="preserve"> </w:t>
            </w:r>
            <w:r>
              <w:t>be</w:t>
            </w:r>
            <w:r>
              <w:rPr>
                <w:spacing w:val="1"/>
              </w:rPr>
              <w:t xml:space="preserve"> </w:t>
            </w:r>
            <w:r>
              <w:t>imposed</w:t>
            </w:r>
            <w:r>
              <w:rPr>
                <w:spacing w:val="-4"/>
              </w:rPr>
              <w:t xml:space="preserve"> </w:t>
            </w:r>
            <w:r>
              <w:t>for</w:t>
            </w:r>
            <w:r>
              <w:rPr>
                <w:spacing w:val="1"/>
              </w:rPr>
              <w:t xml:space="preserve"> </w:t>
            </w:r>
            <w:r>
              <w:t>non-</w:t>
            </w:r>
            <w:r>
              <w:rPr>
                <w:spacing w:val="-2"/>
              </w:rPr>
              <w:t>compliance.</w:t>
            </w:r>
          </w:p>
        </w:tc>
        <w:tc>
          <w:tcPr>
            <w:tcW w:w="906" w:type="dxa"/>
          </w:tcPr>
          <w:p w14:paraId="55495DCB" w14:textId="77777777" w:rsidR="00F65CC1" w:rsidRDefault="00F65CC1" w:rsidP="00F65CC1">
            <w:pPr>
              <w:pStyle w:val="TableParagraph"/>
              <w:spacing w:before="127"/>
              <w:ind w:left="301"/>
            </w:pPr>
            <w:r>
              <w:rPr>
                <w:spacing w:val="-4"/>
              </w:rPr>
              <w:t>4.47</w:t>
            </w:r>
          </w:p>
        </w:tc>
        <w:tc>
          <w:tcPr>
            <w:tcW w:w="1205" w:type="dxa"/>
          </w:tcPr>
          <w:p w14:paraId="7AA007D7" w14:textId="77777777" w:rsidR="00F65CC1" w:rsidRDefault="00F65CC1" w:rsidP="00F65CC1">
            <w:pPr>
              <w:pStyle w:val="TableParagraph"/>
              <w:spacing w:before="127"/>
              <w:ind w:left="2"/>
              <w:jc w:val="center"/>
            </w:pPr>
            <w:r>
              <w:rPr>
                <w:spacing w:val="-4"/>
              </w:rPr>
              <w:t>0.66</w:t>
            </w:r>
          </w:p>
        </w:tc>
        <w:tc>
          <w:tcPr>
            <w:tcW w:w="1637" w:type="dxa"/>
          </w:tcPr>
          <w:p w14:paraId="6859ADCD" w14:textId="77777777" w:rsidR="00F65CC1" w:rsidRDefault="00F65CC1" w:rsidP="00F65CC1">
            <w:pPr>
              <w:pStyle w:val="TableParagraph"/>
              <w:spacing w:line="246" w:lineRule="exact"/>
              <w:ind w:left="5" w:right="2"/>
              <w:jc w:val="center"/>
            </w:pPr>
            <w:r>
              <w:rPr>
                <w:spacing w:val="-2"/>
              </w:rPr>
              <w:t>Extensive</w:t>
            </w:r>
          </w:p>
        </w:tc>
      </w:tr>
      <w:tr w:rsidR="00F65CC1" w14:paraId="3B0EDEB5" w14:textId="77777777" w:rsidTr="00F65CC1">
        <w:trPr>
          <w:trHeight w:val="227"/>
        </w:trPr>
        <w:tc>
          <w:tcPr>
            <w:tcW w:w="4805" w:type="dxa"/>
            <w:tcBorders>
              <w:bottom w:val="single" w:sz="4" w:space="0" w:color="000000"/>
            </w:tcBorders>
          </w:tcPr>
          <w:p w14:paraId="2B808248" w14:textId="77777777" w:rsidR="00F65CC1" w:rsidRDefault="00F65CC1" w:rsidP="00F65CC1">
            <w:pPr>
              <w:pStyle w:val="TableParagraph"/>
              <w:spacing w:line="250" w:lineRule="atLeast"/>
              <w:ind w:left="117"/>
            </w:pPr>
            <w:r>
              <w:t>Tax education creates awareness of the possibility</w:t>
            </w:r>
            <w:r>
              <w:rPr>
                <w:spacing w:val="-8"/>
              </w:rPr>
              <w:t xml:space="preserve"> </w:t>
            </w:r>
            <w:r>
              <w:t>of</w:t>
            </w:r>
            <w:r>
              <w:rPr>
                <w:spacing w:val="-8"/>
              </w:rPr>
              <w:t xml:space="preserve"> </w:t>
            </w:r>
            <w:r>
              <w:t>prosecution</w:t>
            </w:r>
            <w:r>
              <w:rPr>
                <w:spacing w:val="-11"/>
              </w:rPr>
              <w:t xml:space="preserve"> </w:t>
            </w:r>
            <w:r>
              <w:t>for</w:t>
            </w:r>
            <w:r>
              <w:rPr>
                <w:spacing w:val="-9"/>
              </w:rPr>
              <w:t xml:space="preserve"> </w:t>
            </w:r>
            <w:r>
              <w:t>non-compliance.</w:t>
            </w:r>
          </w:p>
        </w:tc>
        <w:tc>
          <w:tcPr>
            <w:tcW w:w="906" w:type="dxa"/>
            <w:tcBorders>
              <w:bottom w:val="single" w:sz="4" w:space="0" w:color="000000"/>
            </w:tcBorders>
          </w:tcPr>
          <w:p w14:paraId="7C12D9F2" w14:textId="77777777" w:rsidR="00F65CC1" w:rsidRDefault="00F65CC1" w:rsidP="00F65CC1">
            <w:pPr>
              <w:pStyle w:val="TableParagraph"/>
              <w:spacing w:before="125"/>
              <w:ind w:left="301"/>
            </w:pPr>
            <w:r>
              <w:rPr>
                <w:spacing w:val="-4"/>
              </w:rPr>
              <w:t>4.50</w:t>
            </w:r>
          </w:p>
        </w:tc>
        <w:tc>
          <w:tcPr>
            <w:tcW w:w="1205" w:type="dxa"/>
            <w:tcBorders>
              <w:bottom w:val="single" w:sz="4" w:space="0" w:color="000000"/>
            </w:tcBorders>
          </w:tcPr>
          <w:p w14:paraId="7A40184A" w14:textId="77777777" w:rsidR="00F65CC1" w:rsidRDefault="00F65CC1" w:rsidP="00F65CC1">
            <w:pPr>
              <w:pStyle w:val="TableParagraph"/>
              <w:spacing w:before="125"/>
              <w:ind w:left="2"/>
              <w:jc w:val="center"/>
            </w:pPr>
            <w:r>
              <w:rPr>
                <w:spacing w:val="-4"/>
              </w:rPr>
              <w:t>0.73</w:t>
            </w:r>
          </w:p>
        </w:tc>
        <w:tc>
          <w:tcPr>
            <w:tcW w:w="1637" w:type="dxa"/>
            <w:tcBorders>
              <w:bottom w:val="single" w:sz="4" w:space="0" w:color="000000"/>
            </w:tcBorders>
          </w:tcPr>
          <w:p w14:paraId="07F0C6FF" w14:textId="77777777" w:rsidR="00F65CC1" w:rsidRDefault="00F65CC1" w:rsidP="00F65CC1">
            <w:pPr>
              <w:pStyle w:val="TableParagraph"/>
              <w:spacing w:before="1"/>
              <w:ind w:left="5" w:right="2"/>
              <w:jc w:val="center"/>
            </w:pPr>
            <w:r>
              <w:rPr>
                <w:spacing w:val="-2"/>
              </w:rPr>
              <w:t>Extensive</w:t>
            </w:r>
          </w:p>
        </w:tc>
      </w:tr>
      <w:tr w:rsidR="00F65CC1" w14:paraId="14AC539F" w14:textId="77777777" w:rsidTr="00F65CC1">
        <w:trPr>
          <w:trHeight w:val="227"/>
        </w:trPr>
        <w:tc>
          <w:tcPr>
            <w:tcW w:w="4805" w:type="dxa"/>
            <w:tcBorders>
              <w:top w:val="single" w:sz="4" w:space="0" w:color="000000"/>
              <w:bottom w:val="single" w:sz="4" w:space="0" w:color="000000"/>
            </w:tcBorders>
          </w:tcPr>
          <w:p w14:paraId="448296D4" w14:textId="77777777" w:rsidR="00F65CC1" w:rsidRDefault="00F65CC1" w:rsidP="00F65CC1">
            <w:pPr>
              <w:pStyle w:val="TableParagraph"/>
              <w:spacing w:line="248" w:lineRule="exact"/>
              <w:ind w:left="132" w:right="4"/>
              <w:jc w:val="center"/>
              <w:rPr>
                <w:rFonts w:ascii="Arial"/>
                <w:b/>
              </w:rPr>
            </w:pPr>
            <w:r>
              <w:rPr>
                <w:rFonts w:ascii="Arial"/>
                <w:b/>
                <w:spacing w:val="-2"/>
              </w:rPr>
              <w:t>Average</w:t>
            </w:r>
          </w:p>
        </w:tc>
        <w:tc>
          <w:tcPr>
            <w:tcW w:w="906" w:type="dxa"/>
            <w:tcBorders>
              <w:top w:val="single" w:sz="4" w:space="0" w:color="000000"/>
              <w:bottom w:val="single" w:sz="4" w:space="0" w:color="000000"/>
            </w:tcBorders>
          </w:tcPr>
          <w:p w14:paraId="60E10B05" w14:textId="77777777" w:rsidR="00F65CC1" w:rsidRDefault="00F65CC1" w:rsidP="00F65CC1">
            <w:pPr>
              <w:pStyle w:val="TableParagraph"/>
              <w:spacing w:before="37"/>
              <w:ind w:left="301"/>
            </w:pPr>
            <w:r>
              <w:rPr>
                <w:spacing w:val="-4"/>
              </w:rPr>
              <w:t>4.48</w:t>
            </w:r>
          </w:p>
        </w:tc>
        <w:tc>
          <w:tcPr>
            <w:tcW w:w="1205" w:type="dxa"/>
            <w:tcBorders>
              <w:top w:val="single" w:sz="4" w:space="0" w:color="000000"/>
              <w:bottom w:val="single" w:sz="4" w:space="0" w:color="000000"/>
            </w:tcBorders>
          </w:tcPr>
          <w:p w14:paraId="3470AE03" w14:textId="77777777" w:rsidR="00F65CC1" w:rsidRDefault="00F65CC1" w:rsidP="00F65CC1">
            <w:pPr>
              <w:pStyle w:val="TableParagraph"/>
              <w:spacing w:before="37"/>
              <w:ind w:left="2"/>
              <w:jc w:val="center"/>
            </w:pPr>
            <w:r>
              <w:rPr>
                <w:spacing w:val="-4"/>
              </w:rPr>
              <w:t>0.58</w:t>
            </w:r>
          </w:p>
        </w:tc>
        <w:tc>
          <w:tcPr>
            <w:tcW w:w="1637" w:type="dxa"/>
            <w:tcBorders>
              <w:top w:val="single" w:sz="4" w:space="0" w:color="000000"/>
              <w:bottom w:val="single" w:sz="4" w:space="0" w:color="000000"/>
            </w:tcBorders>
          </w:tcPr>
          <w:p w14:paraId="61D071D8" w14:textId="77777777" w:rsidR="00F65CC1" w:rsidRDefault="00F65CC1" w:rsidP="00F65CC1">
            <w:pPr>
              <w:pStyle w:val="TableParagraph"/>
              <w:spacing w:before="3"/>
              <w:ind w:left="5" w:right="2"/>
              <w:jc w:val="center"/>
            </w:pPr>
            <w:r>
              <w:rPr>
                <w:spacing w:val="-2"/>
              </w:rPr>
              <w:t>Extensive</w:t>
            </w:r>
          </w:p>
        </w:tc>
      </w:tr>
    </w:tbl>
    <w:p w14:paraId="3D7C4A7C" w14:textId="3C53C131" w:rsidR="003121B6" w:rsidRDefault="003121B6" w:rsidP="003121B6">
      <w:pPr>
        <w:pStyle w:val="BodyText"/>
        <w:spacing w:before="157" w:after="2"/>
        <w:jc w:val="both"/>
      </w:pPr>
      <w:r>
        <w:t>Table</w:t>
      </w:r>
      <w:r>
        <w:rPr>
          <w:spacing w:val="-2"/>
        </w:rPr>
        <w:t xml:space="preserve"> </w:t>
      </w:r>
      <w:r>
        <w:t>6.</w:t>
      </w:r>
      <w:r>
        <w:rPr>
          <w:spacing w:val="-6"/>
        </w:rPr>
        <w:t xml:space="preserve"> </w:t>
      </w:r>
      <w:r>
        <w:t>Level</w:t>
      </w:r>
      <w:r>
        <w:rPr>
          <w:spacing w:val="-8"/>
        </w:rPr>
        <w:t xml:space="preserve"> </w:t>
      </w:r>
      <w:r>
        <w:t>of</w:t>
      </w:r>
      <w:r>
        <w:rPr>
          <w:spacing w:val="2"/>
        </w:rPr>
        <w:t xml:space="preserve"> </w:t>
      </w:r>
      <w:r>
        <w:t>tax</w:t>
      </w:r>
      <w:r>
        <w:rPr>
          <w:spacing w:val="-4"/>
        </w:rPr>
        <w:t xml:space="preserve"> </w:t>
      </w:r>
      <w:r>
        <w:t>compliance</w:t>
      </w:r>
      <w:r>
        <w:rPr>
          <w:spacing w:val="-2"/>
        </w:rPr>
        <w:t xml:space="preserve"> </w:t>
      </w:r>
      <w:r>
        <w:t>among</w:t>
      </w:r>
      <w:r>
        <w:rPr>
          <w:spacing w:val="-6"/>
        </w:rPr>
        <w:t xml:space="preserve"> </w:t>
      </w:r>
      <w:r>
        <w:t>business</w:t>
      </w:r>
      <w:r>
        <w:rPr>
          <w:spacing w:val="-4"/>
        </w:rPr>
        <w:t xml:space="preserve"> </w:t>
      </w:r>
      <w:r>
        <w:rPr>
          <w:spacing w:val="-2"/>
        </w:rPr>
        <w:t>owners</w:t>
      </w:r>
    </w:p>
    <w:tbl>
      <w:tblPr>
        <w:tblW w:w="8556" w:type="dxa"/>
        <w:tblLayout w:type="fixed"/>
        <w:tblCellMar>
          <w:left w:w="0" w:type="dxa"/>
          <w:right w:w="0" w:type="dxa"/>
        </w:tblCellMar>
        <w:tblLook w:val="01E0" w:firstRow="1" w:lastRow="1" w:firstColumn="1" w:lastColumn="1" w:noHBand="0" w:noVBand="0"/>
      </w:tblPr>
      <w:tblGrid>
        <w:gridCol w:w="4852"/>
        <w:gridCol w:w="848"/>
        <w:gridCol w:w="1218"/>
        <w:gridCol w:w="1638"/>
      </w:tblGrid>
      <w:tr w:rsidR="003121B6" w14:paraId="1BCDBD60" w14:textId="77777777" w:rsidTr="00143856">
        <w:trPr>
          <w:trHeight w:val="227"/>
        </w:trPr>
        <w:tc>
          <w:tcPr>
            <w:tcW w:w="4852" w:type="dxa"/>
            <w:tcBorders>
              <w:top w:val="single" w:sz="4" w:space="0" w:color="000000"/>
              <w:bottom w:val="single" w:sz="4" w:space="0" w:color="000000"/>
            </w:tcBorders>
          </w:tcPr>
          <w:p w14:paraId="20CD0A82" w14:textId="77777777" w:rsidR="003121B6" w:rsidRDefault="003121B6" w:rsidP="006E080E">
            <w:pPr>
              <w:pStyle w:val="TableParagraph"/>
              <w:spacing w:before="120"/>
              <w:ind w:left="37"/>
              <w:jc w:val="center"/>
              <w:rPr>
                <w:rFonts w:ascii="Arial"/>
                <w:b/>
              </w:rPr>
            </w:pPr>
            <w:r>
              <w:rPr>
                <w:rFonts w:ascii="Arial"/>
                <w:b/>
                <w:spacing w:val="-2"/>
              </w:rPr>
              <w:t>Statements</w:t>
            </w:r>
          </w:p>
        </w:tc>
        <w:tc>
          <w:tcPr>
            <w:tcW w:w="848" w:type="dxa"/>
            <w:tcBorders>
              <w:top w:val="single" w:sz="4" w:space="0" w:color="000000"/>
              <w:bottom w:val="single" w:sz="4" w:space="0" w:color="000000"/>
            </w:tcBorders>
          </w:tcPr>
          <w:p w14:paraId="7518E3F5" w14:textId="77777777" w:rsidR="003121B6" w:rsidRDefault="003121B6" w:rsidP="006E080E">
            <w:pPr>
              <w:pStyle w:val="TableParagraph"/>
              <w:spacing w:before="120"/>
              <w:ind w:left="42" w:right="2"/>
              <w:jc w:val="center"/>
              <w:rPr>
                <w:rFonts w:ascii="Arial"/>
                <w:b/>
              </w:rPr>
            </w:pPr>
            <w:r>
              <w:rPr>
                <w:rFonts w:ascii="Arial"/>
                <w:b/>
                <w:spacing w:val="-4"/>
              </w:rPr>
              <w:t>Mean</w:t>
            </w:r>
          </w:p>
        </w:tc>
        <w:tc>
          <w:tcPr>
            <w:tcW w:w="1218" w:type="dxa"/>
            <w:tcBorders>
              <w:top w:val="single" w:sz="4" w:space="0" w:color="000000"/>
              <w:bottom w:val="single" w:sz="4" w:space="0" w:color="000000"/>
            </w:tcBorders>
          </w:tcPr>
          <w:p w14:paraId="56EE19D3" w14:textId="77777777" w:rsidR="003121B6" w:rsidRDefault="003121B6" w:rsidP="006E080E">
            <w:pPr>
              <w:pStyle w:val="TableParagraph"/>
              <w:spacing w:line="248" w:lineRule="exact"/>
              <w:ind w:left="11" w:right="3"/>
              <w:jc w:val="center"/>
              <w:rPr>
                <w:rFonts w:ascii="Arial"/>
                <w:b/>
              </w:rPr>
            </w:pPr>
            <w:r>
              <w:rPr>
                <w:rFonts w:ascii="Arial"/>
                <w:b/>
                <w:spacing w:val="-4"/>
              </w:rPr>
              <w:t>Std.</w:t>
            </w:r>
          </w:p>
          <w:p w14:paraId="07619C2E" w14:textId="77777777" w:rsidR="003121B6" w:rsidRDefault="003121B6" w:rsidP="006E080E">
            <w:pPr>
              <w:pStyle w:val="TableParagraph"/>
              <w:spacing w:before="1" w:line="239" w:lineRule="exact"/>
              <w:ind w:left="11" w:right="2"/>
              <w:jc w:val="center"/>
              <w:rPr>
                <w:rFonts w:ascii="Arial"/>
                <w:b/>
              </w:rPr>
            </w:pPr>
            <w:r>
              <w:rPr>
                <w:rFonts w:ascii="Arial"/>
                <w:b/>
                <w:spacing w:val="-2"/>
              </w:rPr>
              <w:t>Deviation</w:t>
            </w:r>
          </w:p>
        </w:tc>
        <w:tc>
          <w:tcPr>
            <w:tcW w:w="1638" w:type="dxa"/>
            <w:tcBorders>
              <w:top w:val="single" w:sz="4" w:space="0" w:color="000000"/>
              <w:bottom w:val="single" w:sz="4" w:space="0" w:color="000000"/>
            </w:tcBorders>
          </w:tcPr>
          <w:p w14:paraId="46B15319" w14:textId="77777777" w:rsidR="003121B6" w:rsidRDefault="003121B6" w:rsidP="006E080E">
            <w:pPr>
              <w:pStyle w:val="TableParagraph"/>
              <w:spacing w:before="120"/>
              <w:ind w:right="1"/>
              <w:jc w:val="center"/>
              <w:rPr>
                <w:rFonts w:ascii="Arial"/>
                <w:b/>
              </w:rPr>
            </w:pPr>
            <w:r>
              <w:rPr>
                <w:rFonts w:ascii="Arial"/>
                <w:b/>
                <w:spacing w:val="-2"/>
              </w:rPr>
              <w:t>Interpretation</w:t>
            </w:r>
          </w:p>
        </w:tc>
      </w:tr>
      <w:tr w:rsidR="003121B6" w14:paraId="749B0FBE" w14:textId="77777777" w:rsidTr="00143856">
        <w:trPr>
          <w:trHeight w:val="227"/>
        </w:trPr>
        <w:tc>
          <w:tcPr>
            <w:tcW w:w="4852" w:type="dxa"/>
            <w:tcBorders>
              <w:top w:val="single" w:sz="4" w:space="0" w:color="000000"/>
            </w:tcBorders>
          </w:tcPr>
          <w:p w14:paraId="3EE6D6CE" w14:textId="77777777" w:rsidR="003121B6" w:rsidRDefault="003121B6" w:rsidP="006E080E">
            <w:pPr>
              <w:pStyle w:val="TableParagraph"/>
              <w:spacing w:line="232" w:lineRule="exact"/>
              <w:ind w:left="117"/>
            </w:pPr>
            <w:r>
              <w:t>1. Ability</w:t>
            </w:r>
            <w:r>
              <w:rPr>
                <w:spacing w:val="-1"/>
              </w:rPr>
              <w:t xml:space="preserve"> </w:t>
            </w:r>
            <w:r>
              <w:t>to</w:t>
            </w:r>
            <w:r>
              <w:rPr>
                <w:spacing w:val="-1"/>
              </w:rPr>
              <w:t xml:space="preserve"> </w:t>
            </w:r>
            <w:r>
              <w:t>pay</w:t>
            </w:r>
            <w:r>
              <w:rPr>
                <w:spacing w:val="-5"/>
              </w:rPr>
              <w:t xml:space="preserve"> </w:t>
            </w:r>
            <w:r>
              <w:t>taxes</w:t>
            </w:r>
            <w:r>
              <w:rPr>
                <w:spacing w:val="-1"/>
              </w:rPr>
              <w:t xml:space="preserve"> </w:t>
            </w:r>
            <w:r>
              <w:rPr>
                <w:spacing w:val="-2"/>
              </w:rPr>
              <w:t>voluntarily.</w:t>
            </w:r>
          </w:p>
        </w:tc>
        <w:tc>
          <w:tcPr>
            <w:tcW w:w="848" w:type="dxa"/>
            <w:tcBorders>
              <w:top w:val="single" w:sz="4" w:space="0" w:color="000000"/>
            </w:tcBorders>
          </w:tcPr>
          <w:p w14:paraId="38CB68E4" w14:textId="77777777" w:rsidR="003121B6" w:rsidRDefault="003121B6" w:rsidP="006E080E">
            <w:pPr>
              <w:pStyle w:val="TableParagraph"/>
              <w:spacing w:line="232" w:lineRule="exact"/>
              <w:ind w:left="42"/>
              <w:jc w:val="center"/>
            </w:pPr>
            <w:r>
              <w:rPr>
                <w:spacing w:val="-4"/>
              </w:rPr>
              <w:t>4.75</w:t>
            </w:r>
          </w:p>
        </w:tc>
        <w:tc>
          <w:tcPr>
            <w:tcW w:w="1218" w:type="dxa"/>
            <w:tcBorders>
              <w:top w:val="single" w:sz="4" w:space="0" w:color="000000"/>
            </w:tcBorders>
          </w:tcPr>
          <w:p w14:paraId="6E83B450" w14:textId="77777777" w:rsidR="003121B6" w:rsidRDefault="003121B6" w:rsidP="006E080E">
            <w:pPr>
              <w:pStyle w:val="TableParagraph"/>
              <w:spacing w:line="232" w:lineRule="exact"/>
              <w:ind w:left="11"/>
              <w:jc w:val="center"/>
            </w:pPr>
            <w:r>
              <w:rPr>
                <w:spacing w:val="-4"/>
              </w:rPr>
              <w:t>0.54</w:t>
            </w:r>
          </w:p>
        </w:tc>
        <w:tc>
          <w:tcPr>
            <w:tcW w:w="1638" w:type="dxa"/>
            <w:tcBorders>
              <w:top w:val="single" w:sz="4" w:space="0" w:color="000000"/>
            </w:tcBorders>
          </w:tcPr>
          <w:p w14:paraId="4DA957D3" w14:textId="77777777" w:rsidR="003121B6" w:rsidRDefault="003121B6" w:rsidP="006E080E">
            <w:pPr>
              <w:pStyle w:val="TableParagraph"/>
              <w:spacing w:line="232" w:lineRule="exact"/>
              <w:ind w:right="1"/>
              <w:jc w:val="center"/>
            </w:pPr>
            <w:r>
              <w:rPr>
                <w:spacing w:val="-2"/>
              </w:rPr>
              <w:t>Extensive</w:t>
            </w:r>
          </w:p>
        </w:tc>
      </w:tr>
      <w:tr w:rsidR="003121B6" w14:paraId="1083181C" w14:textId="77777777" w:rsidTr="00143856">
        <w:trPr>
          <w:trHeight w:val="227"/>
        </w:trPr>
        <w:tc>
          <w:tcPr>
            <w:tcW w:w="4852" w:type="dxa"/>
          </w:tcPr>
          <w:p w14:paraId="7BB7E0E9" w14:textId="77777777" w:rsidR="003121B6" w:rsidRDefault="003121B6" w:rsidP="006E080E">
            <w:pPr>
              <w:pStyle w:val="TableParagraph"/>
              <w:spacing w:before="1"/>
              <w:ind w:left="117"/>
            </w:pPr>
            <w:r>
              <w:t>2.</w:t>
            </w:r>
            <w:r>
              <w:rPr>
                <w:spacing w:val="-1"/>
              </w:rPr>
              <w:t xml:space="preserve"> </w:t>
            </w:r>
            <w:r>
              <w:t>Payment</w:t>
            </w:r>
            <w:r>
              <w:rPr>
                <w:spacing w:val="-5"/>
              </w:rPr>
              <w:t xml:space="preserve"> </w:t>
            </w:r>
            <w:r>
              <w:t>of taxes</w:t>
            </w:r>
            <w:r>
              <w:rPr>
                <w:spacing w:val="-2"/>
              </w:rPr>
              <w:t xml:space="preserve"> </w:t>
            </w:r>
            <w:r>
              <w:t>without</w:t>
            </w:r>
            <w:r>
              <w:rPr>
                <w:spacing w:val="-4"/>
              </w:rPr>
              <w:t xml:space="preserve"> </w:t>
            </w:r>
            <w:r>
              <w:t>thinking</w:t>
            </w:r>
            <w:r>
              <w:rPr>
                <w:spacing w:val="-5"/>
              </w:rPr>
              <w:t xml:space="preserve"> </w:t>
            </w:r>
            <w:r>
              <w:t>of</w:t>
            </w:r>
            <w:r>
              <w:rPr>
                <w:spacing w:val="-1"/>
              </w:rPr>
              <w:t xml:space="preserve"> </w:t>
            </w:r>
            <w:r>
              <w:t>how</w:t>
            </w:r>
            <w:r>
              <w:rPr>
                <w:spacing w:val="-2"/>
              </w:rPr>
              <w:t xml:space="preserve"> </w:t>
            </w:r>
            <w:r>
              <w:rPr>
                <w:spacing w:val="-5"/>
              </w:rPr>
              <w:t>to</w:t>
            </w:r>
          </w:p>
          <w:p w14:paraId="583C3245" w14:textId="77777777" w:rsidR="003121B6" w:rsidRDefault="003121B6" w:rsidP="006E080E">
            <w:pPr>
              <w:pStyle w:val="TableParagraph"/>
              <w:spacing w:before="6" w:line="231" w:lineRule="exact"/>
              <w:ind w:left="117"/>
            </w:pPr>
            <w:r>
              <w:t>reduce</w:t>
            </w:r>
            <w:r>
              <w:rPr>
                <w:spacing w:val="1"/>
              </w:rPr>
              <w:t xml:space="preserve"> </w:t>
            </w:r>
            <w:r>
              <w:rPr>
                <w:spacing w:val="-2"/>
              </w:rPr>
              <w:t>them.</w:t>
            </w:r>
          </w:p>
        </w:tc>
        <w:tc>
          <w:tcPr>
            <w:tcW w:w="848" w:type="dxa"/>
          </w:tcPr>
          <w:p w14:paraId="18616300" w14:textId="77777777" w:rsidR="003121B6" w:rsidRDefault="003121B6" w:rsidP="006E080E">
            <w:pPr>
              <w:pStyle w:val="TableParagraph"/>
              <w:spacing w:before="126"/>
              <w:ind w:left="42"/>
              <w:jc w:val="center"/>
            </w:pPr>
            <w:r>
              <w:rPr>
                <w:spacing w:val="-4"/>
              </w:rPr>
              <w:t>4.53</w:t>
            </w:r>
          </w:p>
        </w:tc>
        <w:tc>
          <w:tcPr>
            <w:tcW w:w="1218" w:type="dxa"/>
          </w:tcPr>
          <w:p w14:paraId="6B1FB9FC" w14:textId="77777777" w:rsidR="003121B6" w:rsidRDefault="003121B6" w:rsidP="006E080E">
            <w:pPr>
              <w:pStyle w:val="TableParagraph"/>
              <w:spacing w:before="126"/>
              <w:ind w:left="11"/>
              <w:jc w:val="center"/>
            </w:pPr>
            <w:r>
              <w:rPr>
                <w:spacing w:val="-4"/>
              </w:rPr>
              <w:t>0.83</w:t>
            </w:r>
          </w:p>
        </w:tc>
        <w:tc>
          <w:tcPr>
            <w:tcW w:w="1638" w:type="dxa"/>
          </w:tcPr>
          <w:p w14:paraId="3B2EE139" w14:textId="77777777" w:rsidR="003121B6" w:rsidRDefault="003121B6" w:rsidP="006E080E">
            <w:pPr>
              <w:pStyle w:val="TableParagraph"/>
              <w:spacing w:before="1"/>
              <w:ind w:right="1"/>
              <w:jc w:val="center"/>
            </w:pPr>
            <w:r>
              <w:rPr>
                <w:spacing w:val="-2"/>
              </w:rPr>
              <w:t>Extensive</w:t>
            </w:r>
          </w:p>
        </w:tc>
      </w:tr>
      <w:tr w:rsidR="003121B6" w14:paraId="3D687B75" w14:textId="77777777" w:rsidTr="00143856">
        <w:trPr>
          <w:trHeight w:val="227"/>
        </w:trPr>
        <w:tc>
          <w:tcPr>
            <w:tcW w:w="4852" w:type="dxa"/>
          </w:tcPr>
          <w:p w14:paraId="104099D4" w14:textId="77777777" w:rsidR="003121B6" w:rsidRDefault="003121B6" w:rsidP="006E080E">
            <w:pPr>
              <w:pStyle w:val="TableParagraph"/>
              <w:spacing w:line="248" w:lineRule="exact"/>
              <w:ind w:left="117"/>
            </w:pPr>
            <w:r>
              <w:t>3.</w:t>
            </w:r>
            <w:r>
              <w:rPr>
                <w:spacing w:val="-1"/>
              </w:rPr>
              <w:t xml:space="preserve"> </w:t>
            </w:r>
            <w:r>
              <w:t>Consistent</w:t>
            </w:r>
            <w:r>
              <w:rPr>
                <w:spacing w:val="-5"/>
              </w:rPr>
              <w:t xml:space="preserve"> </w:t>
            </w:r>
            <w:r>
              <w:t>filing of</w:t>
            </w:r>
            <w:r>
              <w:rPr>
                <w:spacing w:val="-1"/>
              </w:rPr>
              <w:t xml:space="preserve"> </w:t>
            </w:r>
            <w:r>
              <w:t>returns</w:t>
            </w:r>
            <w:r>
              <w:rPr>
                <w:spacing w:val="-6"/>
              </w:rPr>
              <w:t xml:space="preserve"> </w:t>
            </w:r>
            <w:r>
              <w:t>to</w:t>
            </w:r>
            <w:r>
              <w:rPr>
                <w:spacing w:val="-5"/>
              </w:rPr>
              <w:t xml:space="preserve"> </w:t>
            </w:r>
            <w:r>
              <w:t>the</w:t>
            </w:r>
            <w:r>
              <w:rPr>
                <w:spacing w:val="-5"/>
              </w:rPr>
              <w:t xml:space="preserve"> </w:t>
            </w:r>
            <w:r>
              <w:rPr>
                <w:spacing w:val="-2"/>
              </w:rPr>
              <w:t>appropriate</w:t>
            </w:r>
          </w:p>
          <w:p w14:paraId="195A2193" w14:textId="77777777" w:rsidR="003121B6" w:rsidRDefault="003121B6" w:rsidP="006E080E">
            <w:pPr>
              <w:pStyle w:val="TableParagraph"/>
              <w:spacing w:before="5" w:line="233" w:lineRule="exact"/>
              <w:ind w:left="117"/>
            </w:pPr>
            <w:r>
              <w:t>tax</w:t>
            </w:r>
            <w:r>
              <w:rPr>
                <w:spacing w:val="-8"/>
              </w:rPr>
              <w:t xml:space="preserve"> </w:t>
            </w:r>
            <w:r>
              <w:t>authorities</w:t>
            </w:r>
            <w:r>
              <w:rPr>
                <w:spacing w:val="-5"/>
              </w:rPr>
              <w:t xml:space="preserve"> </w:t>
            </w:r>
            <w:r>
              <w:t>without</w:t>
            </w:r>
            <w:r>
              <w:rPr>
                <w:spacing w:val="-7"/>
              </w:rPr>
              <w:t xml:space="preserve"> </w:t>
            </w:r>
            <w:r>
              <w:rPr>
                <w:spacing w:val="-2"/>
              </w:rPr>
              <w:t>audits.</w:t>
            </w:r>
          </w:p>
        </w:tc>
        <w:tc>
          <w:tcPr>
            <w:tcW w:w="848" w:type="dxa"/>
          </w:tcPr>
          <w:p w14:paraId="31C6C9CA" w14:textId="77777777" w:rsidR="003121B6" w:rsidRDefault="003121B6" w:rsidP="006E080E">
            <w:pPr>
              <w:pStyle w:val="TableParagraph"/>
              <w:spacing w:before="128"/>
              <w:ind w:left="42"/>
              <w:jc w:val="center"/>
            </w:pPr>
            <w:r>
              <w:rPr>
                <w:spacing w:val="-4"/>
              </w:rPr>
              <w:t>4.65</w:t>
            </w:r>
          </w:p>
        </w:tc>
        <w:tc>
          <w:tcPr>
            <w:tcW w:w="1218" w:type="dxa"/>
          </w:tcPr>
          <w:p w14:paraId="32380581" w14:textId="77777777" w:rsidR="003121B6" w:rsidRDefault="003121B6" w:rsidP="006E080E">
            <w:pPr>
              <w:pStyle w:val="TableParagraph"/>
              <w:spacing w:before="128"/>
              <w:ind w:left="11"/>
              <w:jc w:val="center"/>
            </w:pPr>
            <w:r>
              <w:rPr>
                <w:spacing w:val="-4"/>
              </w:rPr>
              <w:t>0.75</w:t>
            </w:r>
          </w:p>
        </w:tc>
        <w:tc>
          <w:tcPr>
            <w:tcW w:w="1638" w:type="dxa"/>
          </w:tcPr>
          <w:p w14:paraId="2A37E567" w14:textId="77777777" w:rsidR="003121B6" w:rsidRDefault="003121B6" w:rsidP="006E080E">
            <w:pPr>
              <w:pStyle w:val="TableParagraph"/>
              <w:spacing w:line="248" w:lineRule="exact"/>
              <w:ind w:right="1"/>
              <w:jc w:val="center"/>
            </w:pPr>
            <w:r>
              <w:rPr>
                <w:spacing w:val="-2"/>
              </w:rPr>
              <w:t>Extensive</w:t>
            </w:r>
          </w:p>
        </w:tc>
      </w:tr>
      <w:tr w:rsidR="003121B6" w14:paraId="40643480" w14:textId="77777777" w:rsidTr="00143856">
        <w:trPr>
          <w:trHeight w:val="227"/>
        </w:trPr>
        <w:tc>
          <w:tcPr>
            <w:tcW w:w="4852" w:type="dxa"/>
          </w:tcPr>
          <w:p w14:paraId="6C550594" w14:textId="77777777" w:rsidR="003121B6" w:rsidRDefault="003121B6" w:rsidP="006E080E">
            <w:pPr>
              <w:pStyle w:val="TableParagraph"/>
              <w:spacing w:line="254" w:lineRule="exact"/>
              <w:ind w:left="117" w:right="161"/>
            </w:pPr>
            <w:r>
              <w:t>4.</w:t>
            </w:r>
            <w:r>
              <w:rPr>
                <w:spacing w:val="-4"/>
              </w:rPr>
              <w:t xml:space="preserve"> </w:t>
            </w:r>
            <w:r>
              <w:t>Consistent</w:t>
            </w:r>
            <w:r>
              <w:rPr>
                <w:spacing w:val="-4"/>
              </w:rPr>
              <w:t xml:space="preserve"> </w:t>
            </w:r>
            <w:r>
              <w:t>payment</w:t>
            </w:r>
            <w:r>
              <w:rPr>
                <w:spacing w:val="-7"/>
              </w:rPr>
              <w:t xml:space="preserve"> </w:t>
            </w:r>
            <w:r>
              <w:t>of all</w:t>
            </w:r>
            <w:r>
              <w:rPr>
                <w:spacing w:val="-6"/>
              </w:rPr>
              <w:t xml:space="preserve"> </w:t>
            </w:r>
            <w:r>
              <w:t>taxes</w:t>
            </w:r>
            <w:r>
              <w:rPr>
                <w:spacing w:val="-9"/>
              </w:rPr>
              <w:t xml:space="preserve"> </w:t>
            </w:r>
            <w:r>
              <w:t>(obedience to tax payment).</w:t>
            </w:r>
          </w:p>
        </w:tc>
        <w:tc>
          <w:tcPr>
            <w:tcW w:w="848" w:type="dxa"/>
          </w:tcPr>
          <w:p w14:paraId="14C3E2F3" w14:textId="77777777" w:rsidR="003121B6" w:rsidRDefault="003121B6" w:rsidP="006E080E">
            <w:pPr>
              <w:pStyle w:val="TableParagraph"/>
              <w:spacing w:before="125"/>
              <w:ind w:left="42"/>
              <w:jc w:val="center"/>
            </w:pPr>
            <w:r>
              <w:rPr>
                <w:spacing w:val="-4"/>
              </w:rPr>
              <w:t>5.18</w:t>
            </w:r>
          </w:p>
        </w:tc>
        <w:tc>
          <w:tcPr>
            <w:tcW w:w="1218" w:type="dxa"/>
          </w:tcPr>
          <w:p w14:paraId="39E63236" w14:textId="77777777" w:rsidR="003121B6" w:rsidRDefault="003121B6" w:rsidP="006E080E">
            <w:pPr>
              <w:pStyle w:val="TableParagraph"/>
              <w:spacing w:before="125"/>
              <w:ind w:left="11"/>
              <w:jc w:val="center"/>
            </w:pPr>
            <w:r>
              <w:rPr>
                <w:spacing w:val="-4"/>
              </w:rPr>
              <w:t>4.28</w:t>
            </w:r>
          </w:p>
        </w:tc>
        <w:tc>
          <w:tcPr>
            <w:tcW w:w="1638" w:type="dxa"/>
          </w:tcPr>
          <w:p w14:paraId="4F21025B" w14:textId="77777777" w:rsidR="003121B6" w:rsidRDefault="003121B6" w:rsidP="006E080E">
            <w:pPr>
              <w:pStyle w:val="TableParagraph"/>
              <w:spacing w:before="1"/>
              <w:ind w:right="1"/>
              <w:jc w:val="center"/>
            </w:pPr>
            <w:r>
              <w:rPr>
                <w:spacing w:val="-2"/>
              </w:rPr>
              <w:t>Extensive</w:t>
            </w:r>
          </w:p>
        </w:tc>
      </w:tr>
      <w:tr w:rsidR="003121B6" w14:paraId="4D1D4B44" w14:textId="77777777" w:rsidTr="00143856">
        <w:trPr>
          <w:trHeight w:val="227"/>
        </w:trPr>
        <w:tc>
          <w:tcPr>
            <w:tcW w:w="4852" w:type="dxa"/>
            <w:tcBorders>
              <w:bottom w:val="single" w:sz="4" w:space="0" w:color="000000"/>
            </w:tcBorders>
          </w:tcPr>
          <w:p w14:paraId="5F3EEB5D" w14:textId="77777777" w:rsidR="003121B6" w:rsidRDefault="003121B6" w:rsidP="006E080E">
            <w:pPr>
              <w:pStyle w:val="TableParagraph"/>
              <w:spacing w:line="246" w:lineRule="exact"/>
              <w:ind w:left="117"/>
            </w:pPr>
            <w:r>
              <w:t>5.</w:t>
            </w:r>
            <w:r>
              <w:rPr>
                <w:spacing w:val="-1"/>
              </w:rPr>
              <w:t xml:space="preserve"> </w:t>
            </w:r>
            <w:r>
              <w:t>Knowing</w:t>
            </w:r>
            <w:r>
              <w:rPr>
                <w:spacing w:val="-3"/>
              </w:rPr>
              <w:t xml:space="preserve"> </w:t>
            </w:r>
            <w:r>
              <w:t>that</w:t>
            </w:r>
            <w:r>
              <w:rPr>
                <w:spacing w:val="-4"/>
              </w:rPr>
              <w:t xml:space="preserve"> </w:t>
            </w:r>
            <w:r>
              <w:t>paying</w:t>
            </w:r>
            <w:r>
              <w:rPr>
                <w:spacing w:val="-4"/>
              </w:rPr>
              <w:t xml:space="preserve"> </w:t>
            </w:r>
            <w:r>
              <w:t>taxes</w:t>
            </w:r>
            <w:r>
              <w:rPr>
                <w:spacing w:val="-1"/>
              </w:rPr>
              <w:t xml:space="preserve"> </w:t>
            </w:r>
            <w:r>
              <w:t>is</w:t>
            </w:r>
            <w:r>
              <w:rPr>
                <w:spacing w:val="-6"/>
              </w:rPr>
              <w:t xml:space="preserve"> </w:t>
            </w:r>
            <w:r>
              <w:t>doing</w:t>
            </w:r>
            <w:r>
              <w:rPr>
                <w:spacing w:val="-3"/>
              </w:rPr>
              <w:t xml:space="preserve"> </w:t>
            </w:r>
            <w:r>
              <w:t xml:space="preserve">the </w:t>
            </w:r>
            <w:r>
              <w:rPr>
                <w:spacing w:val="-4"/>
              </w:rPr>
              <w:t>right</w:t>
            </w:r>
          </w:p>
          <w:p w14:paraId="0BD838F6" w14:textId="77777777" w:rsidR="003121B6" w:rsidRDefault="003121B6" w:rsidP="006E080E">
            <w:pPr>
              <w:pStyle w:val="TableParagraph"/>
              <w:spacing w:before="5" w:line="231" w:lineRule="exact"/>
              <w:ind w:left="117"/>
            </w:pPr>
            <w:r>
              <w:rPr>
                <w:spacing w:val="-2"/>
              </w:rPr>
              <w:t>thing.</w:t>
            </w:r>
          </w:p>
        </w:tc>
        <w:tc>
          <w:tcPr>
            <w:tcW w:w="848" w:type="dxa"/>
            <w:tcBorders>
              <w:bottom w:val="single" w:sz="4" w:space="0" w:color="000000"/>
            </w:tcBorders>
          </w:tcPr>
          <w:p w14:paraId="010DF79C" w14:textId="77777777" w:rsidR="003121B6" w:rsidRDefault="003121B6" w:rsidP="006E080E">
            <w:pPr>
              <w:pStyle w:val="TableParagraph"/>
              <w:spacing w:before="126"/>
              <w:ind w:left="42"/>
              <w:jc w:val="center"/>
            </w:pPr>
            <w:r>
              <w:rPr>
                <w:spacing w:val="-4"/>
              </w:rPr>
              <w:t>5.07</w:t>
            </w:r>
          </w:p>
        </w:tc>
        <w:tc>
          <w:tcPr>
            <w:tcW w:w="1218" w:type="dxa"/>
            <w:tcBorders>
              <w:bottom w:val="single" w:sz="4" w:space="0" w:color="000000"/>
            </w:tcBorders>
          </w:tcPr>
          <w:p w14:paraId="0FE0BEAB" w14:textId="77777777" w:rsidR="003121B6" w:rsidRDefault="003121B6" w:rsidP="006E080E">
            <w:pPr>
              <w:pStyle w:val="TableParagraph"/>
              <w:spacing w:before="126"/>
              <w:ind w:left="11"/>
              <w:jc w:val="center"/>
            </w:pPr>
            <w:r>
              <w:rPr>
                <w:spacing w:val="-4"/>
              </w:rPr>
              <w:t>2.59</w:t>
            </w:r>
          </w:p>
        </w:tc>
        <w:tc>
          <w:tcPr>
            <w:tcW w:w="1638" w:type="dxa"/>
            <w:tcBorders>
              <w:bottom w:val="single" w:sz="4" w:space="0" w:color="000000"/>
            </w:tcBorders>
          </w:tcPr>
          <w:p w14:paraId="3BFF52EE" w14:textId="77777777" w:rsidR="003121B6" w:rsidRDefault="003121B6" w:rsidP="006E080E">
            <w:pPr>
              <w:pStyle w:val="TableParagraph"/>
              <w:spacing w:line="246" w:lineRule="exact"/>
              <w:ind w:right="1"/>
              <w:jc w:val="center"/>
            </w:pPr>
            <w:r>
              <w:rPr>
                <w:spacing w:val="-2"/>
              </w:rPr>
              <w:t>Extensive</w:t>
            </w:r>
          </w:p>
        </w:tc>
      </w:tr>
      <w:tr w:rsidR="003121B6" w14:paraId="09C01E07" w14:textId="77777777" w:rsidTr="00143856">
        <w:trPr>
          <w:trHeight w:val="227"/>
        </w:trPr>
        <w:tc>
          <w:tcPr>
            <w:tcW w:w="4852" w:type="dxa"/>
            <w:tcBorders>
              <w:top w:val="single" w:sz="4" w:space="0" w:color="000000"/>
              <w:bottom w:val="single" w:sz="4" w:space="0" w:color="000000"/>
            </w:tcBorders>
          </w:tcPr>
          <w:p w14:paraId="77DD46EB" w14:textId="77777777" w:rsidR="003121B6" w:rsidRDefault="003121B6" w:rsidP="006E080E">
            <w:pPr>
              <w:pStyle w:val="TableParagraph"/>
              <w:spacing w:line="234" w:lineRule="exact"/>
              <w:ind w:left="1193"/>
              <w:rPr>
                <w:rFonts w:ascii="Arial"/>
                <w:b/>
              </w:rPr>
            </w:pPr>
            <w:r>
              <w:rPr>
                <w:rFonts w:ascii="Arial"/>
                <w:b/>
              </w:rPr>
              <w:t>Overall</w:t>
            </w:r>
            <w:r>
              <w:rPr>
                <w:rFonts w:ascii="Arial"/>
                <w:b/>
                <w:spacing w:val="-5"/>
              </w:rPr>
              <w:t xml:space="preserve"> </w:t>
            </w:r>
            <w:r>
              <w:rPr>
                <w:rFonts w:ascii="Arial"/>
                <w:b/>
              </w:rPr>
              <w:t xml:space="preserve">Tax </w:t>
            </w:r>
            <w:r>
              <w:rPr>
                <w:rFonts w:ascii="Arial"/>
                <w:b/>
                <w:spacing w:val="-2"/>
              </w:rPr>
              <w:t>Compliance</w:t>
            </w:r>
          </w:p>
        </w:tc>
        <w:tc>
          <w:tcPr>
            <w:tcW w:w="848" w:type="dxa"/>
            <w:tcBorders>
              <w:top w:val="single" w:sz="4" w:space="0" w:color="000000"/>
              <w:bottom w:val="single" w:sz="4" w:space="0" w:color="000000"/>
            </w:tcBorders>
          </w:tcPr>
          <w:p w14:paraId="7EF68FB1" w14:textId="77777777" w:rsidR="003121B6" w:rsidRDefault="003121B6" w:rsidP="006E080E">
            <w:pPr>
              <w:pStyle w:val="TableParagraph"/>
              <w:spacing w:before="3" w:line="231" w:lineRule="exact"/>
              <w:ind w:left="42"/>
              <w:jc w:val="center"/>
            </w:pPr>
            <w:r>
              <w:rPr>
                <w:spacing w:val="-4"/>
              </w:rPr>
              <w:t>4.84</w:t>
            </w:r>
          </w:p>
        </w:tc>
        <w:tc>
          <w:tcPr>
            <w:tcW w:w="1218" w:type="dxa"/>
            <w:tcBorders>
              <w:top w:val="single" w:sz="4" w:space="0" w:color="000000"/>
              <w:bottom w:val="single" w:sz="4" w:space="0" w:color="000000"/>
            </w:tcBorders>
          </w:tcPr>
          <w:p w14:paraId="53F36FE9" w14:textId="77777777" w:rsidR="003121B6" w:rsidRDefault="003121B6" w:rsidP="006E080E">
            <w:pPr>
              <w:pStyle w:val="TableParagraph"/>
              <w:spacing w:before="3" w:line="231" w:lineRule="exact"/>
              <w:ind w:left="11"/>
              <w:jc w:val="center"/>
            </w:pPr>
            <w:r>
              <w:rPr>
                <w:spacing w:val="-4"/>
              </w:rPr>
              <w:t>1.08</w:t>
            </w:r>
          </w:p>
        </w:tc>
        <w:tc>
          <w:tcPr>
            <w:tcW w:w="1638" w:type="dxa"/>
            <w:tcBorders>
              <w:top w:val="single" w:sz="4" w:space="0" w:color="000000"/>
              <w:bottom w:val="single" w:sz="4" w:space="0" w:color="000000"/>
            </w:tcBorders>
          </w:tcPr>
          <w:p w14:paraId="3D192C2A" w14:textId="77777777" w:rsidR="003121B6" w:rsidRDefault="003121B6" w:rsidP="006E080E">
            <w:pPr>
              <w:pStyle w:val="TableParagraph"/>
              <w:spacing w:before="3" w:line="231" w:lineRule="exact"/>
              <w:ind w:right="1"/>
              <w:jc w:val="center"/>
            </w:pPr>
            <w:r>
              <w:rPr>
                <w:spacing w:val="-2"/>
              </w:rPr>
              <w:t>Extensive</w:t>
            </w:r>
          </w:p>
        </w:tc>
      </w:tr>
    </w:tbl>
    <w:p w14:paraId="12E5EC14" w14:textId="77777777" w:rsidR="00E349C1" w:rsidRDefault="00E349C1" w:rsidP="00441B6F">
      <w:pPr>
        <w:pStyle w:val="Body"/>
        <w:spacing w:after="0"/>
        <w:rPr>
          <w:rFonts w:ascii="Arial" w:hAnsi="Arial" w:cs="Arial"/>
        </w:rPr>
      </w:pPr>
    </w:p>
    <w:p w14:paraId="42430DBB" w14:textId="41581721" w:rsidR="009A0AF4" w:rsidRPr="009A0AF4" w:rsidRDefault="009A0AF4" w:rsidP="009A0AF4">
      <w:pPr>
        <w:pStyle w:val="Body"/>
        <w:spacing w:after="0" w:line="480" w:lineRule="auto"/>
        <w:rPr>
          <w:rFonts w:ascii="Arial" w:hAnsi="Arial" w:cs="Arial"/>
          <w:lang w:val="en-PH"/>
        </w:rPr>
      </w:pPr>
      <w:r w:rsidRPr="009A0AF4">
        <w:rPr>
          <w:rFonts w:ascii="Arial" w:hAnsi="Arial" w:cs="Arial"/>
          <w:lang w:val="en-PH"/>
        </w:rPr>
        <w:t xml:space="preserve">Table </w:t>
      </w:r>
      <w:r>
        <w:rPr>
          <w:rFonts w:ascii="Arial" w:hAnsi="Arial" w:cs="Arial"/>
          <w:lang w:val="en-PH"/>
        </w:rPr>
        <w:t>6</w:t>
      </w:r>
      <w:r w:rsidRPr="009A0AF4">
        <w:rPr>
          <w:rFonts w:ascii="Arial" w:hAnsi="Arial" w:cs="Arial"/>
          <w:lang w:val="en-PH"/>
        </w:rPr>
        <w:t xml:space="preserve"> shows that tax compliance among business owners in </w:t>
      </w:r>
      <w:proofErr w:type="spellStart"/>
      <w:r w:rsidRPr="009A0AF4">
        <w:rPr>
          <w:rFonts w:ascii="Arial" w:hAnsi="Arial" w:cs="Arial"/>
          <w:lang w:val="en-PH"/>
        </w:rPr>
        <w:t>Cateel</w:t>
      </w:r>
      <w:proofErr w:type="spellEnd"/>
      <w:r w:rsidRPr="009A0AF4">
        <w:rPr>
          <w:rFonts w:ascii="Arial" w:hAnsi="Arial" w:cs="Arial"/>
          <w:lang w:val="en-PH"/>
        </w:rPr>
        <w:t xml:space="preserve"> is consistently extensive (x̄ = 4.84, s = 1.08), reflecting strong voluntary compliance, ethical responsibility, and adherence to tax regulations. The highest-rated item</w:t>
      </w:r>
      <w:proofErr w:type="gramStart"/>
      <w:r w:rsidRPr="009A0AF4">
        <w:rPr>
          <w:rFonts w:ascii="Arial" w:hAnsi="Arial" w:cs="Arial"/>
          <w:lang w:val="en-PH"/>
        </w:rPr>
        <w:t>—“</w:t>
      </w:r>
      <w:proofErr w:type="gramEnd"/>
      <w:r w:rsidRPr="009A0AF4">
        <w:rPr>
          <w:rFonts w:ascii="Arial" w:hAnsi="Arial" w:cs="Arial"/>
          <w:lang w:val="en-PH"/>
        </w:rPr>
        <w:t>Knowing that paying taxes is doing the right thing” (x̄ = 5.07)—emphasizes the moral dimension of compliance, while even the lowest-rated item (x̄ = 4.53) still indicates a high level of cooperation. Interpreted through the Theory of Planned Behavior (</w:t>
      </w:r>
      <w:proofErr w:type="spellStart"/>
      <w:r w:rsidRPr="009A0AF4">
        <w:rPr>
          <w:rFonts w:ascii="Arial" w:hAnsi="Arial" w:cs="Arial"/>
          <w:lang w:val="en-PH"/>
        </w:rPr>
        <w:t>Yucedogru</w:t>
      </w:r>
      <w:proofErr w:type="spellEnd"/>
      <w:r w:rsidRPr="009A0AF4">
        <w:rPr>
          <w:rFonts w:ascii="Arial" w:hAnsi="Arial" w:cs="Arial"/>
          <w:lang w:val="en-PH"/>
        </w:rPr>
        <w:t xml:space="preserve"> &amp; </w:t>
      </w:r>
      <w:proofErr w:type="spellStart"/>
      <w:r w:rsidRPr="009A0AF4">
        <w:rPr>
          <w:rFonts w:ascii="Arial" w:hAnsi="Arial" w:cs="Arial"/>
          <w:lang w:val="en-PH"/>
        </w:rPr>
        <w:t>Gerçek</w:t>
      </w:r>
      <w:proofErr w:type="spellEnd"/>
      <w:r w:rsidRPr="009A0AF4">
        <w:rPr>
          <w:rFonts w:ascii="Arial" w:hAnsi="Arial" w:cs="Arial"/>
          <w:lang w:val="en-PH"/>
        </w:rPr>
        <w:t xml:space="preserve">, 2021), these results suggest that business owners </w:t>
      </w:r>
      <w:r w:rsidRPr="009A0AF4">
        <w:rPr>
          <w:rFonts w:ascii="Arial" w:hAnsi="Arial" w:cs="Arial"/>
          <w:lang w:val="en-PH"/>
        </w:rPr>
        <w:lastRenderedPageBreak/>
        <w:t>are influenced by favorable attitudes, strong normative pressure, and high perceived control. Bobek et al. (2018), who found that ethical values and perceived behavioral control significantly shape tax compliance behavior.</w:t>
      </w:r>
    </w:p>
    <w:p w14:paraId="5E19178B" w14:textId="00672789" w:rsidR="009A0AF4" w:rsidRPr="009A0AF4" w:rsidRDefault="009A0AF4" w:rsidP="009A0AF4">
      <w:pPr>
        <w:pStyle w:val="Heading2"/>
        <w:spacing w:line="477" w:lineRule="auto"/>
        <w:ind w:right="1075"/>
        <w:jc w:val="both"/>
        <w:rPr>
          <w:rFonts w:ascii="Arial" w:hAnsi="Arial" w:cs="Arial"/>
          <w:b/>
          <w:bCs/>
          <w:color w:val="auto"/>
          <w:sz w:val="22"/>
          <w:szCs w:val="22"/>
        </w:rPr>
      </w:pPr>
      <w:r w:rsidRPr="009A0AF4">
        <w:rPr>
          <w:rFonts w:ascii="Arial" w:hAnsi="Arial" w:cs="Arial"/>
          <w:b/>
          <w:bCs/>
          <w:color w:val="auto"/>
          <w:sz w:val="22"/>
          <w:szCs w:val="22"/>
        </w:rPr>
        <w:t>Significant</w:t>
      </w:r>
      <w:r w:rsidRPr="009A0AF4">
        <w:rPr>
          <w:rFonts w:ascii="Arial" w:hAnsi="Arial" w:cs="Arial"/>
          <w:b/>
          <w:bCs/>
          <w:color w:val="auto"/>
          <w:spacing w:val="-5"/>
          <w:sz w:val="22"/>
          <w:szCs w:val="22"/>
        </w:rPr>
        <w:t xml:space="preserve"> </w:t>
      </w:r>
      <w:r w:rsidRPr="009A0AF4">
        <w:rPr>
          <w:rFonts w:ascii="Arial" w:hAnsi="Arial" w:cs="Arial"/>
          <w:b/>
          <w:bCs/>
          <w:color w:val="auto"/>
          <w:sz w:val="22"/>
          <w:szCs w:val="22"/>
        </w:rPr>
        <w:t>Relationship</w:t>
      </w:r>
      <w:r w:rsidRPr="009A0AF4">
        <w:rPr>
          <w:rFonts w:ascii="Arial" w:hAnsi="Arial" w:cs="Arial"/>
          <w:b/>
          <w:bCs/>
          <w:color w:val="auto"/>
          <w:spacing w:val="-4"/>
          <w:sz w:val="22"/>
          <w:szCs w:val="22"/>
        </w:rPr>
        <w:t xml:space="preserve"> </w:t>
      </w:r>
      <w:r w:rsidRPr="009A0AF4">
        <w:rPr>
          <w:rFonts w:ascii="Arial" w:hAnsi="Arial" w:cs="Arial"/>
          <w:b/>
          <w:bCs/>
          <w:color w:val="auto"/>
          <w:sz w:val="22"/>
          <w:szCs w:val="22"/>
        </w:rPr>
        <w:t>Between the</w:t>
      </w:r>
      <w:r w:rsidRPr="009A0AF4">
        <w:rPr>
          <w:rFonts w:ascii="Arial" w:hAnsi="Arial" w:cs="Arial"/>
          <w:b/>
          <w:bCs/>
          <w:color w:val="auto"/>
          <w:spacing w:val="-2"/>
          <w:sz w:val="22"/>
          <w:szCs w:val="22"/>
        </w:rPr>
        <w:t xml:space="preserve"> </w:t>
      </w:r>
      <w:r w:rsidRPr="009A0AF4">
        <w:rPr>
          <w:rFonts w:ascii="Arial" w:hAnsi="Arial" w:cs="Arial"/>
          <w:b/>
          <w:bCs/>
          <w:color w:val="auto"/>
          <w:sz w:val="22"/>
          <w:szCs w:val="22"/>
        </w:rPr>
        <w:t>Level</w:t>
      </w:r>
      <w:r w:rsidRPr="009A0AF4">
        <w:rPr>
          <w:rFonts w:ascii="Arial" w:hAnsi="Arial" w:cs="Arial"/>
          <w:b/>
          <w:bCs/>
          <w:color w:val="auto"/>
          <w:spacing w:val="-7"/>
          <w:sz w:val="22"/>
          <w:szCs w:val="22"/>
        </w:rPr>
        <w:t xml:space="preserve"> </w:t>
      </w:r>
      <w:r w:rsidRPr="009A0AF4">
        <w:rPr>
          <w:rFonts w:ascii="Arial" w:hAnsi="Arial" w:cs="Arial"/>
          <w:b/>
          <w:bCs/>
          <w:color w:val="auto"/>
          <w:sz w:val="22"/>
          <w:szCs w:val="22"/>
        </w:rPr>
        <w:t>of</w:t>
      </w:r>
      <w:r w:rsidRPr="009A0AF4">
        <w:rPr>
          <w:rFonts w:ascii="Arial" w:hAnsi="Arial" w:cs="Arial"/>
          <w:b/>
          <w:bCs/>
          <w:color w:val="auto"/>
          <w:spacing w:val="-9"/>
          <w:sz w:val="22"/>
          <w:szCs w:val="22"/>
        </w:rPr>
        <w:t xml:space="preserve"> </w:t>
      </w:r>
      <w:r w:rsidRPr="009A0AF4">
        <w:rPr>
          <w:rFonts w:ascii="Arial" w:hAnsi="Arial" w:cs="Arial"/>
          <w:b/>
          <w:bCs/>
          <w:color w:val="auto"/>
          <w:sz w:val="22"/>
          <w:szCs w:val="22"/>
        </w:rPr>
        <w:t>Tax</w:t>
      </w:r>
      <w:r w:rsidRPr="009A0AF4">
        <w:rPr>
          <w:rFonts w:ascii="Arial" w:hAnsi="Arial" w:cs="Arial"/>
          <w:b/>
          <w:bCs/>
          <w:color w:val="auto"/>
          <w:spacing w:val="-2"/>
          <w:sz w:val="22"/>
          <w:szCs w:val="22"/>
        </w:rPr>
        <w:t xml:space="preserve"> </w:t>
      </w:r>
      <w:r w:rsidRPr="009A0AF4">
        <w:rPr>
          <w:rFonts w:ascii="Arial" w:hAnsi="Arial" w:cs="Arial"/>
          <w:b/>
          <w:bCs/>
          <w:color w:val="auto"/>
          <w:sz w:val="22"/>
          <w:szCs w:val="22"/>
        </w:rPr>
        <w:t>Knowledge</w:t>
      </w:r>
      <w:r w:rsidRPr="009A0AF4">
        <w:rPr>
          <w:rFonts w:ascii="Arial" w:hAnsi="Arial" w:cs="Arial"/>
          <w:b/>
          <w:bCs/>
          <w:color w:val="auto"/>
          <w:spacing w:val="-6"/>
          <w:sz w:val="22"/>
          <w:szCs w:val="22"/>
        </w:rPr>
        <w:t xml:space="preserve"> </w:t>
      </w:r>
      <w:r w:rsidRPr="009A0AF4">
        <w:rPr>
          <w:rFonts w:ascii="Arial" w:hAnsi="Arial" w:cs="Arial"/>
          <w:b/>
          <w:bCs/>
          <w:color w:val="auto"/>
          <w:sz w:val="22"/>
          <w:szCs w:val="22"/>
        </w:rPr>
        <w:t>and</w:t>
      </w:r>
      <w:r>
        <w:rPr>
          <w:rFonts w:ascii="Arial" w:hAnsi="Arial" w:cs="Arial"/>
          <w:b/>
          <w:bCs/>
          <w:color w:val="auto"/>
          <w:sz w:val="22"/>
          <w:szCs w:val="22"/>
        </w:rPr>
        <w:t xml:space="preserve"> t</w:t>
      </w:r>
      <w:r w:rsidRPr="009A0AF4">
        <w:rPr>
          <w:rFonts w:ascii="Arial" w:hAnsi="Arial" w:cs="Arial"/>
          <w:b/>
          <w:bCs/>
          <w:color w:val="auto"/>
          <w:sz w:val="22"/>
          <w:szCs w:val="22"/>
        </w:rPr>
        <w:t>he Degree of Tax Compliance</w:t>
      </w:r>
    </w:p>
    <w:p w14:paraId="047A829D" w14:textId="729B152B" w:rsidR="00E349C1" w:rsidRPr="003121B6" w:rsidRDefault="003121B6" w:rsidP="003121B6">
      <w:pPr>
        <w:pStyle w:val="BodyText"/>
        <w:spacing w:before="156"/>
        <w:jc w:val="both"/>
      </w:pPr>
      <w:r>
        <w:t>Table</w:t>
      </w:r>
      <w:r>
        <w:rPr>
          <w:spacing w:val="-4"/>
        </w:rPr>
        <w:t xml:space="preserve"> </w:t>
      </w:r>
      <w:r>
        <w:t>7.</w:t>
      </w:r>
      <w:r>
        <w:rPr>
          <w:spacing w:val="-3"/>
        </w:rPr>
        <w:t xml:space="preserve"> </w:t>
      </w:r>
      <w:r>
        <w:t>Level</w:t>
      </w:r>
      <w:r>
        <w:rPr>
          <w:spacing w:val="-3"/>
        </w:rPr>
        <w:t xml:space="preserve"> </w:t>
      </w:r>
      <w:r>
        <w:t>of Tax</w:t>
      </w:r>
      <w:r>
        <w:rPr>
          <w:spacing w:val="-1"/>
        </w:rPr>
        <w:t xml:space="preserve"> </w:t>
      </w:r>
      <w:r>
        <w:t>Knowledge</w:t>
      </w:r>
      <w:r>
        <w:rPr>
          <w:spacing w:val="-4"/>
        </w:rPr>
        <w:t xml:space="preserve"> </w:t>
      </w:r>
      <w:r>
        <w:t>and</w:t>
      </w:r>
      <w:r>
        <w:rPr>
          <w:spacing w:val="1"/>
        </w:rPr>
        <w:t xml:space="preserve"> </w:t>
      </w:r>
      <w:r>
        <w:t>the</w:t>
      </w:r>
      <w:r>
        <w:rPr>
          <w:spacing w:val="-4"/>
        </w:rPr>
        <w:t xml:space="preserve"> </w:t>
      </w:r>
      <w:r>
        <w:t>Degree</w:t>
      </w:r>
      <w:r>
        <w:rPr>
          <w:spacing w:val="-4"/>
        </w:rPr>
        <w:t xml:space="preserve"> </w:t>
      </w:r>
      <w:r>
        <w:t>of</w:t>
      </w:r>
      <w:r>
        <w:rPr>
          <w:spacing w:val="4"/>
        </w:rPr>
        <w:t xml:space="preserve"> </w:t>
      </w:r>
      <w:r>
        <w:t>Tax</w:t>
      </w:r>
      <w:r>
        <w:rPr>
          <w:spacing w:val="-1"/>
        </w:rPr>
        <w:t xml:space="preserve"> </w:t>
      </w:r>
      <w:r>
        <w:rPr>
          <w:spacing w:val="-2"/>
        </w:rPr>
        <w:t>Compliance</w:t>
      </w:r>
    </w:p>
    <w:tbl>
      <w:tblPr>
        <w:tblpPr w:leftFromText="180" w:rightFromText="180" w:vertAnchor="text" w:horzAnchor="margin" w:tblpY="112"/>
        <w:tblW w:w="8514" w:type="dxa"/>
        <w:tblLayout w:type="fixed"/>
        <w:tblCellMar>
          <w:left w:w="0" w:type="dxa"/>
          <w:right w:w="0" w:type="dxa"/>
        </w:tblCellMar>
        <w:tblLook w:val="01E0" w:firstRow="1" w:lastRow="1" w:firstColumn="1" w:lastColumn="1" w:noHBand="0" w:noVBand="0"/>
      </w:tblPr>
      <w:tblGrid>
        <w:gridCol w:w="2089"/>
        <w:gridCol w:w="2473"/>
        <w:gridCol w:w="1559"/>
        <w:gridCol w:w="2393"/>
      </w:tblGrid>
      <w:tr w:rsidR="003121B6" w14:paraId="4E8CBBD5" w14:textId="77777777" w:rsidTr="00143856">
        <w:trPr>
          <w:trHeight w:val="170"/>
        </w:trPr>
        <w:tc>
          <w:tcPr>
            <w:tcW w:w="4562" w:type="dxa"/>
            <w:gridSpan w:val="2"/>
            <w:tcBorders>
              <w:top w:val="single" w:sz="4" w:space="0" w:color="000000"/>
              <w:bottom w:val="single" w:sz="4" w:space="0" w:color="000000"/>
            </w:tcBorders>
          </w:tcPr>
          <w:p w14:paraId="674C5D1F" w14:textId="77777777" w:rsidR="003121B6" w:rsidRDefault="003121B6" w:rsidP="003121B6">
            <w:pPr>
              <w:pStyle w:val="TableParagraph"/>
              <w:spacing w:before="120"/>
              <w:ind w:left="1152"/>
              <w:rPr>
                <w:rFonts w:ascii="Arial"/>
                <w:b/>
              </w:rPr>
            </w:pPr>
            <w:r>
              <w:rPr>
                <w:rFonts w:ascii="Arial"/>
                <w:b/>
              </w:rPr>
              <w:t>Independent</w:t>
            </w:r>
            <w:r>
              <w:rPr>
                <w:rFonts w:ascii="Arial"/>
                <w:b/>
                <w:spacing w:val="-6"/>
              </w:rPr>
              <w:t xml:space="preserve"> </w:t>
            </w:r>
            <w:r>
              <w:rPr>
                <w:rFonts w:ascii="Arial"/>
                <w:b/>
                <w:spacing w:val="-2"/>
              </w:rPr>
              <w:t>Variables</w:t>
            </w:r>
          </w:p>
        </w:tc>
        <w:tc>
          <w:tcPr>
            <w:tcW w:w="1559" w:type="dxa"/>
            <w:tcBorders>
              <w:top w:val="single" w:sz="4" w:space="0" w:color="000000"/>
              <w:bottom w:val="single" w:sz="4" w:space="0" w:color="000000"/>
            </w:tcBorders>
          </w:tcPr>
          <w:p w14:paraId="779D6A0A" w14:textId="77777777" w:rsidR="003121B6" w:rsidRDefault="003121B6" w:rsidP="003121B6">
            <w:pPr>
              <w:pStyle w:val="TableParagraph"/>
              <w:spacing w:line="250" w:lineRule="exact"/>
              <w:ind w:left="205" w:firstLine="432"/>
              <w:rPr>
                <w:rFonts w:ascii="Arial"/>
                <w:b/>
              </w:rPr>
            </w:pPr>
            <w:r>
              <w:rPr>
                <w:rFonts w:ascii="Arial"/>
                <w:b/>
                <w:spacing w:val="-4"/>
              </w:rPr>
              <w:t xml:space="preserve">Tax </w:t>
            </w:r>
            <w:r>
              <w:rPr>
                <w:rFonts w:ascii="Arial"/>
                <w:b/>
                <w:spacing w:val="-2"/>
              </w:rPr>
              <w:t>Compliance</w:t>
            </w:r>
          </w:p>
        </w:tc>
        <w:tc>
          <w:tcPr>
            <w:tcW w:w="2393" w:type="dxa"/>
            <w:tcBorders>
              <w:top w:val="single" w:sz="4" w:space="0" w:color="000000"/>
              <w:bottom w:val="single" w:sz="4" w:space="0" w:color="000000"/>
            </w:tcBorders>
          </w:tcPr>
          <w:p w14:paraId="6CFA0488" w14:textId="77777777" w:rsidR="003121B6" w:rsidRDefault="003121B6" w:rsidP="003121B6">
            <w:pPr>
              <w:pStyle w:val="TableParagraph"/>
              <w:spacing w:before="120"/>
              <w:ind w:left="486"/>
              <w:rPr>
                <w:rFonts w:ascii="Arial"/>
                <w:b/>
              </w:rPr>
            </w:pPr>
            <w:r>
              <w:rPr>
                <w:rFonts w:ascii="Arial"/>
                <w:b/>
                <w:spacing w:val="-2"/>
              </w:rPr>
              <w:t>Interpretation</w:t>
            </w:r>
          </w:p>
        </w:tc>
      </w:tr>
      <w:tr w:rsidR="003121B6" w14:paraId="0BDB35FC" w14:textId="77777777" w:rsidTr="00143856">
        <w:trPr>
          <w:trHeight w:val="170"/>
        </w:trPr>
        <w:tc>
          <w:tcPr>
            <w:tcW w:w="2089" w:type="dxa"/>
            <w:vMerge w:val="restart"/>
            <w:tcBorders>
              <w:top w:val="single" w:sz="4" w:space="0" w:color="000000"/>
            </w:tcBorders>
          </w:tcPr>
          <w:p w14:paraId="080EBFE9" w14:textId="77777777" w:rsidR="003121B6" w:rsidRDefault="003121B6" w:rsidP="003121B6">
            <w:pPr>
              <w:pStyle w:val="TableParagraph"/>
              <w:spacing w:line="254" w:lineRule="exact"/>
              <w:ind w:left="105" w:right="452"/>
            </w:pPr>
            <w:r>
              <w:t xml:space="preserve">Tax Rights and </w:t>
            </w:r>
            <w:r>
              <w:rPr>
                <w:spacing w:val="-2"/>
              </w:rPr>
              <w:t>Responsibilities</w:t>
            </w:r>
          </w:p>
        </w:tc>
        <w:tc>
          <w:tcPr>
            <w:tcW w:w="2473" w:type="dxa"/>
            <w:tcBorders>
              <w:top w:val="single" w:sz="4" w:space="0" w:color="000000"/>
            </w:tcBorders>
          </w:tcPr>
          <w:p w14:paraId="38E505D7" w14:textId="77777777" w:rsidR="003121B6" w:rsidRDefault="003121B6" w:rsidP="003121B6">
            <w:pPr>
              <w:pStyle w:val="TableParagraph"/>
              <w:spacing w:before="3"/>
              <w:ind w:left="101"/>
              <w:jc w:val="center"/>
            </w:pPr>
            <w:r>
              <w:t>Pearson</w:t>
            </w:r>
            <w:r>
              <w:rPr>
                <w:spacing w:val="-1"/>
              </w:rPr>
              <w:t xml:space="preserve"> </w:t>
            </w:r>
            <w:r>
              <w:rPr>
                <w:spacing w:val="-2"/>
              </w:rPr>
              <w:t>Correlation</w:t>
            </w:r>
          </w:p>
        </w:tc>
        <w:tc>
          <w:tcPr>
            <w:tcW w:w="1559" w:type="dxa"/>
            <w:tcBorders>
              <w:top w:val="single" w:sz="4" w:space="0" w:color="000000"/>
            </w:tcBorders>
          </w:tcPr>
          <w:p w14:paraId="451DEBC9" w14:textId="77777777" w:rsidR="003121B6" w:rsidRDefault="003121B6" w:rsidP="003121B6">
            <w:pPr>
              <w:pStyle w:val="TableParagraph"/>
              <w:spacing w:before="94"/>
              <w:ind w:right="513"/>
              <w:jc w:val="right"/>
            </w:pPr>
            <w:r>
              <w:rPr>
                <w:spacing w:val="-4"/>
              </w:rPr>
              <w:t>0.15</w:t>
            </w:r>
          </w:p>
        </w:tc>
        <w:tc>
          <w:tcPr>
            <w:tcW w:w="2393" w:type="dxa"/>
            <w:vMerge w:val="restart"/>
            <w:tcBorders>
              <w:top w:val="single" w:sz="4" w:space="0" w:color="000000"/>
            </w:tcBorders>
          </w:tcPr>
          <w:p w14:paraId="27EB6054" w14:textId="77777777" w:rsidR="003121B6" w:rsidRDefault="003121B6" w:rsidP="003121B6">
            <w:pPr>
              <w:pStyle w:val="TableParagraph"/>
              <w:spacing w:before="186" w:line="244" w:lineRule="auto"/>
              <w:ind w:left="107"/>
            </w:pPr>
            <w:r>
              <w:t>Weak</w:t>
            </w:r>
            <w:r>
              <w:rPr>
                <w:spacing w:val="-15"/>
              </w:rPr>
              <w:t xml:space="preserve"> </w:t>
            </w:r>
            <w:r>
              <w:t>but</w:t>
            </w:r>
            <w:r>
              <w:rPr>
                <w:spacing w:val="-15"/>
              </w:rPr>
              <w:t xml:space="preserve"> </w:t>
            </w:r>
            <w:r>
              <w:t xml:space="preserve">significant </w:t>
            </w:r>
            <w:r>
              <w:rPr>
                <w:spacing w:val="-2"/>
              </w:rPr>
              <w:t>relationship</w:t>
            </w:r>
          </w:p>
        </w:tc>
      </w:tr>
      <w:tr w:rsidR="003121B6" w14:paraId="00EC9814" w14:textId="77777777" w:rsidTr="00143856">
        <w:trPr>
          <w:trHeight w:val="170"/>
        </w:trPr>
        <w:tc>
          <w:tcPr>
            <w:tcW w:w="2089" w:type="dxa"/>
            <w:vMerge/>
            <w:tcBorders>
              <w:top w:val="nil"/>
            </w:tcBorders>
          </w:tcPr>
          <w:p w14:paraId="73B2B240" w14:textId="77777777" w:rsidR="003121B6" w:rsidRDefault="003121B6" w:rsidP="003121B6">
            <w:pPr>
              <w:rPr>
                <w:sz w:val="2"/>
                <w:szCs w:val="2"/>
              </w:rPr>
            </w:pPr>
          </w:p>
        </w:tc>
        <w:tc>
          <w:tcPr>
            <w:tcW w:w="2473" w:type="dxa"/>
            <w:vMerge w:val="restart"/>
          </w:tcPr>
          <w:p w14:paraId="296D39D0" w14:textId="77777777" w:rsidR="003121B6" w:rsidRDefault="003121B6" w:rsidP="003121B6">
            <w:pPr>
              <w:pStyle w:val="TableParagraph"/>
              <w:spacing w:before="49"/>
              <w:ind w:left="307"/>
            </w:pPr>
            <w:r>
              <w:t>Sig.</w:t>
            </w:r>
            <w:r>
              <w:rPr>
                <w:spacing w:val="-5"/>
              </w:rPr>
              <w:t xml:space="preserve"> </w:t>
            </w:r>
            <w:r>
              <w:t>(2-</w:t>
            </w:r>
            <w:r>
              <w:rPr>
                <w:spacing w:val="-2"/>
              </w:rPr>
              <w:t>tailed)</w:t>
            </w:r>
          </w:p>
        </w:tc>
        <w:tc>
          <w:tcPr>
            <w:tcW w:w="1559" w:type="dxa"/>
          </w:tcPr>
          <w:p w14:paraId="5E4F9E14" w14:textId="77777777" w:rsidR="003121B6" w:rsidRDefault="003121B6" w:rsidP="003121B6">
            <w:pPr>
              <w:pStyle w:val="TableParagraph"/>
              <w:rPr>
                <w:rFonts w:ascii="Times New Roman"/>
                <w:sz w:val="6"/>
              </w:rPr>
            </w:pPr>
          </w:p>
        </w:tc>
        <w:tc>
          <w:tcPr>
            <w:tcW w:w="2393" w:type="dxa"/>
            <w:vMerge/>
            <w:tcBorders>
              <w:top w:val="nil"/>
            </w:tcBorders>
          </w:tcPr>
          <w:p w14:paraId="2F7043FA" w14:textId="77777777" w:rsidR="003121B6" w:rsidRDefault="003121B6" w:rsidP="003121B6">
            <w:pPr>
              <w:rPr>
                <w:sz w:val="2"/>
                <w:szCs w:val="2"/>
              </w:rPr>
            </w:pPr>
          </w:p>
        </w:tc>
      </w:tr>
      <w:tr w:rsidR="003121B6" w14:paraId="2D936A24" w14:textId="77777777" w:rsidTr="00143856">
        <w:trPr>
          <w:trHeight w:val="170"/>
        </w:trPr>
        <w:tc>
          <w:tcPr>
            <w:tcW w:w="2089" w:type="dxa"/>
          </w:tcPr>
          <w:p w14:paraId="0F92EAF8" w14:textId="77777777" w:rsidR="003121B6" w:rsidRDefault="003121B6" w:rsidP="003121B6">
            <w:pPr>
              <w:pStyle w:val="TableParagraph"/>
              <w:rPr>
                <w:rFonts w:ascii="Times New Roman"/>
              </w:rPr>
            </w:pPr>
          </w:p>
        </w:tc>
        <w:tc>
          <w:tcPr>
            <w:tcW w:w="2473" w:type="dxa"/>
            <w:vMerge/>
            <w:tcBorders>
              <w:top w:val="nil"/>
            </w:tcBorders>
          </w:tcPr>
          <w:p w14:paraId="124CEC50" w14:textId="77777777" w:rsidR="003121B6" w:rsidRDefault="003121B6" w:rsidP="003121B6">
            <w:pPr>
              <w:rPr>
                <w:sz w:val="2"/>
                <w:szCs w:val="2"/>
              </w:rPr>
            </w:pPr>
          </w:p>
        </w:tc>
        <w:tc>
          <w:tcPr>
            <w:tcW w:w="1559" w:type="dxa"/>
          </w:tcPr>
          <w:p w14:paraId="2C126B3B" w14:textId="77777777" w:rsidR="003121B6" w:rsidRDefault="003121B6" w:rsidP="003121B6">
            <w:pPr>
              <w:pStyle w:val="TableParagraph"/>
              <w:spacing w:before="13"/>
              <w:ind w:right="513"/>
              <w:jc w:val="right"/>
            </w:pPr>
            <w:r>
              <w:rPr>
                <w:spacing w:val="-4"/>
              </w:rPr>
              <w:t>0.08</w:t>
            </w:r>
          </w:p>
        </w:tc>
        <w:tc>
          <w:tcPr>
            <w:tcW w:w="2393" w:type="dxa"/>
            <w:vMerge/>
            <w:tcBorders>
              <w:top w:val="nil"/>
            </w:tcBorders>
          </w:tcPr>
          <w:p w14:paraId="59A86E11" w14:textId="77777777" w:rsidR="003121B6" w:rsidRDefault="003121B6" w:rsidP="003121B6">
            <w:pPr>
              <w:rPr>
                <w:sz w:val="2"/>
                <w:szCs w:val="2"/>
              </w:rPr>
            </w:pPr>
          </w:p>
        </w:tc>
      </w:tr>
      <w:tr w:rsidR="003121B6" w14:paraId="210EECE4" w14:textId="77777777" w:rsidTr="00143856">
        <w:trPr>
          <w:trHeight w:val="170"/>
        </w:trPr>
        <w:tc>
          <w:tcPr>
            <w:tcW w:w="2089" w:type="dxa"/>
            <w:vMerge w:val="restart"/>
          </w:tcPr>
          <w:p w14:paraId="0B5BAEB7" w14:textId="77777777" w:rsidR="003121B6" w:rsidRDefault="003121B6" w:rsidP="003121B6">
            <w:pPr>
              <w:pStyle w:val="TableParagraph"/>
              <w:spacing w:before="39" w:line="250" w:lineRule="atLeast"/>
              <w:ind w:left="105"/>
            </w:pPr>
            <w:r>
              <w:t>Knowledge of Business</w:t>
            </w:r>
            <w:r>
              <w:rPr>
                <w:spacing w:val="-15"/>
              </w:rPr>
              <w:t xml:space="preserve"> </w:t>
            </w:r>
            <w:r>
              <w:t>Income</w:t>
            </w:r>
          </w:p>
        </w:tc>
        <w:tc>
          <w:tcPr>
            <w:tcW w:w="2473" w:type="dxa"/>
          </w:tcPr>
          <w:p w14:paraId="574A4878" w14:textId="77777777" w:rsidR="003121B6" w:rsidRDefault="003121B6" w:rsidP="003121B6">
            <w:pPr>
              <w:pStyle w:val="TableParagraph"/>
              <w:spacing w:before="44"/>
              <w:ind w:left="101" w:right="2"/>
              <w:jc w:val="center"/>
            </w:pPr>
            <w:r>
              <w:t>Pearson</w:t>
            </w:r>
            <w:r>
              <w:rPr>
                <w:spacing w:val="-3"/>
              </w:rPr>
              <w:t xml:space="preserve"> </w:t>
            </w:r>
            <w:r>
              <w:rPr>
                <w:spacing w:val="-2"/>
              </w:rPr>
              <w:t>Correlation</w:t>
            </w:r>
          </w:p>
        </w:tc>
        <w:tc>
          <w:tcPr>
            <w:tcW w:w="1559" w:type="dxa"/>
          </w:tcPr>
          <w:p w14:paraId="57CB00F4" w14:textId="77777777" w:rsidR="003121B6" w:rsidRDefault="003121B6" w:rsidP="003121B6">
            <w:pPr>
              <w:pStyle w:val="TableParagraph"/>
              <w:spacing w:before="135"/>
              <w:ind w:right="513"/>
              <w:jc w:val="right"/>
            </w:pPr>
            <w:r>
              <w:rPr>
                <w:spacing w:val="-4"/>
              </w:rPr>
              <w:t>0.13</w:t>
            </w:r>
          </w:p>
        </w:tc>
        <w:tc>
          <w:tcPr>
            <w:tcW w:w="2393" w:type="dxa"/>
            <w:vMerge w:val="restart"/>
          </w:tcPr>
          <w:p w14:paraId="21F076EB" w14:textId="77777777" w:rsidR="003121B6" w:rsidRDefault="003121B6" w:rsidP="003121B6">
            <w:pPr>
              <w:pStyle w:val="TableParagraph"/>
              <w:spacing w:before="226"/>
              <w:ind w:left="107" w:right="111"/>
            </w:pPr>
            <w:r>
              <w:t>Weak and not significant</w:t>
            </w:r>
            <w:r>
              <w:rPr>
                <w:spacing w:val="-15"/>
              </w:rPr>
              <w:t xml:space="preserve"> </w:t>
            </w:r>
            <w:r>
              <w:t>relationship</w:t>
            </w:r>
          </w:p>
        </w:tc>
      </w:tr>
      <w:tr w:rsidR="003121B6" w14:paraId="782FD7D7" w14:textId="77777777" w:rsidTr="00143856">
        <w:trPr>
          <w:trHeight w:val="170"/>
        </w:trPr>
        <w:tc>
          <w:tcPr>
            <w:tcW w:w="2089" w:type="dxa"/>
            <w:vMerge/>
            <w:tcBorders>
              <w:top w:val="nil"/>
            </w:tcBorders>
          </w:tcPr>
          <w:p w14:paraId="54A2A04C" w14:textId="77777777" w:rsidR="003121B6" w:rsidRDefault="003121B6" w:rsidP="003121B6">
            <w:pPr>
              <w:rPr>
                <w:sz w:val="2"/>
                <w:szCs w:val="2"/>
              </w:rPr>
            </w:pPr>
          </w:p>
        </w:tc>
        <w:tc>
          <w:tcPr>
            <w:tcW w:w="2473" w:type="dxa"/>
            <w:vMerge w:val="restart"/>
          </w:tcPr>
          <w:p w14:paraId="7DEC69A9" w14:textId="77777777" w:rsidR="003121B6" w:rsidRDefault="003121B6" w:rsidP="003121B6">
            <w:pPr>
              <w:pStyle w:val="TableParagraph"/>
              <w:spacing w:before="44"/>
              <w:ind w:left="307"/>
            </w:pPr>
            <w:r>
              <w:t>Sig.</w:t>
            </w:r>
            <w:r>
              <w:rPr>
                <w:spacing w:val="-5"/>
              </w:rPr>
              <w:t xml:space="preserve"> </w:t>
            </w:r>
            <w:r>
              <w:t>(2-</w:t>
            </w:r>
            <w:r>
              <w:rPr>
                <w:spacing w:val="-2"/>
              </w:rPr>
              <w:t>tailed)</w:t>
            </w:r>
          </w:p>
        </w:tc>
        <w:tc>
          <w:tcPr>
            <w:tcW w:w="1559" w:type="dxa"/>
          </w:tcPr>
          <w:p w14:paraId="719E615E" w14:textId="77777777" w:rsidR="003121B6" w:rsidRDefault="003121B6" w:rsidP="003121B6">
            <w:pPr>
              <w:pStyle w:val="TableParagraph"/>
              <w:rPr>
                <w:rFonts w:ascii="Times New Roman"/>
                <w:sz w:val="6"/>
              </w:rPr>
            </w:pPr>
          </w:p>
        </w:tc>
        <w:tc>
          <w:tcPr>
            <w:tcW w:w="2393" w:type="dxa"/>
            <w:vMerge/>
            <w:tcBorders>
              <w:top w:val="nil"/>
            </w:tcBorders>
          </w:tcPr>
          <w:p w14:paraId="640A3F6B" w14:textId="77777777" w:rsidR="003121B6" w:rsidRDefault="003121B6" w:rsidP="003121B6">
            <w:pPr>
              <w:rPr>
                <w:sz w:val="2"/>
                <w:szCs w:val="2"/>
              </w:rPr>
            </w:pPr>
          </w:p>
        </w:tc>
      </w:tr>
      <w:tr w:rsidR="003121B6" w14:paraId="3F26E5DB" w14:textId="77777777" w:rsidTr="00143856">
        <w:trPr>
          <w:trHeight w:val="170"/>
        </w:trPr>
        <w:tc>
          <w:tcPr>
            <w:tcW w:w="2089" w:type="dxa"/>
          </w:tcPr>
          <w:p w14:paraId="5E78497E" w14:textId="77777777" w:rsidR="003121B6" w:rsidRDefault="003121B6" w:rsidP="003121B6">
            <w:pPr>
              <w:pStyle w:val="TableParagraph"/>
              <w:rPr>
                <w:rFonts w:ascii="Times New Roman"/>
              </w:rPr>
            </w:pPr>
          </w:p>
        </w:tc>
        <w:tc>
          <w:tcPr>
            <w:tcW w:w="2473" w:type="dxa"/>
            <w:vMerge/>
            <w:tcBorders>
              <w:top w:val="nil"/>
            </w:tcBorders>
          </w:tcPr>
          <w:p w14:paraId="47A84050" w14:textId="77777777" w:rsidR="003121B6" w:rsidRDefault="003121B6" w:rsidP="003121B6">
            <w:pPr>
              <w:rPr>
                <w:sz w:val="2"/>
                <w:szCs w:val="2"/>
              </w:rPr>
            </w:pPr>
          </w:p>
        </w:tc>
        <w:tc>
          <w:tcPr>
            <w:tcW w:w="1559" w:type="dxa"/>
          </w:tcPr>
          <w:p w14:paraId="1CB8193A" w14:textId="77777777" w:rsidR="003121B6" w:rsidRDefault="003121B6" w:rsidP="003121B6">
            <w:pPr>
              <w:pStyle w:val="TableParagraph"/>
              <w:spacing w:before="8"/>
              <w:ind w:right="513"/>
              <w:jc w:val="right"/>
            </w:pPr>
            <w:r>
              <w:rPr>
                <w:spacing w:val="-4"/>
              </w:rPr>
              <w:t>0.13</w:t>
            </w:r>
          </w:p>
        </w:tc>
        <w:tc>
          <w:tcPr>
            <w:tcW w:w="2393" w:type="dxa"/>
            <w:vMerge/>
            <w:tcBorders>
              <w:top w:val="nil"/>
            </w:tcBorders>
          </w:tcPr>
          <w:p w14:paraId="5DAC8994" w14:textId="77777777" w:rsidR="003121B6" w:rsidRDefault="003121B6" w:rsidP="003121B6">
            <w:pPr>
              <w:rPr>
                <w:sz w:val="2"/>
                <w:szCs w:val="2"/>
              </w:rPr>
            </w:pPr>
          </w:p>
        </w:tc>
      </w:tr>
      <w:tr w:rsidR="003121B6" w14:paraId="0D8147FA" w14:textId="77777777" w:rsidTr="00143856">
        <w:trPr>
          <w:trHeight w:val="170"/>
        </w:trPr>
        <w:tc>
          <w:tcPr>
            <w:tcW w:w="2089" w:type="dxa"/>
            <w:vMerge w:val="restart"/>
          </w:tcPr>
          <w:p w14:paraId="524CDC66" w14:textId="77777777" w:rsidR="003121B6" w:rsidRDefault="003121B6" w:rsidP="003121B6">
            <w:pPr>
              <w:pStyle w:val="TableParagraph"/>
              <w:spacing w:before="35" w:line="250" w:lineRule="atLeast"/>
              <w:ind w:left="105" w:right="648"/>
            </w:pPr>
            <w:r>
              <w:t>Awareness</w:t>
            </w:r>
            <w:r>
              <w:rPr>
                <w:spacing w:val="-15"/>
              </w:rPr>
              <w:t xml:space="preserve"> </w:t>
            </w:r>
            <w:r>
              <w:t xml:space="preserve">of </w:t>
            </w:r>
            <w:r>
              <w:rPr>
                <w:spacing w:val="-2"/>
              </w:rPr>
              <w:t>Sanctions</w:t>
            </w:r>
          </w:p>
        </w:tc>
        <w:tc>
          <w:tcPr>
            <w:tcW w:w="2473" w:type="dxa"/>
          </w:tcPr>
          <w:p w14:paraId="69B006B9" w14:textId="77777777" w:rsidR="003121B6" w:rsidRDefault="003121B6" w:rsidP="003121B6">
            <w:pPr>
              <w:pStyle w:val="TableParagraph"/>
              <w:spacing w:before="44"/>
              <w:ind w:left="101" w:right="2"/>
              <w:jc w:val="center"/>
            </w:pPr>
            <w:r>
              <w:t>Pearson</w:t>
            </w:r>
            <w:r>
              <w:rPr>
                <w:spacing w:val="-3"/>
              </w:rPr>
              <w:t xml:space="preserve"> </w:t>
            </w:r>
            <w:r>
              <w:rPr>
                <w:spacing w:val="-2"/>
              </w:rPr>
              <w:t>Correlation</w:t>
            </w:r>
          </w:p>
        </w:tc>
        <w:tc>
          <w:tcPr>
            <w:tcW w:w="1559" w:type="dxa"/>
          </w:tcPr>
          <w:p w14:paraId="20FEE6F6" w14:textId="77777777" w:rsidR="003121B6" w:rsidRDefault="003121B6" w:rsidP="003121B6">
            <w:pPr>
              <w:pStyle w:val="TableParagraph"/>
              <w:spacing w:before="135"/>
              <w:ind w:right="513"/>
              <w:jc w:val="right"/>
            </w:pPr>
            <w:r>
              <w:rPr>
                <w:spacing w:val="-4"/>
              </w:rPr>
              <w:t>0.22</w:t>
            </w:r>
          </w:p>
        </w:tc>
        <w:tc>
          <w:tcPr>
            <w:tcW w:w="2393" w:type="dxa"/>
            <w:vMerge w:val="restart"/>
            <w:tcBorders>
              <w:bottom w:val="single" w:sz="4" w:space="0" w:color="000000"/>
            </w:tcBorders>
          </w:tcPr>
          <w:p w14:paraId="6DEF3997" w14:textId="77777777" w:rsidR="003121B6" w:rsidRDefault="003121B6" w:rsidP="003121B6">
            <w:pPr>
              <w:pStyle w:val="TableParagraph"/>
              <w:spacing w:before="227"/>
              <w:ind w:left="107"/>
            </w:pPr>
            <w:r>
              <w:t>Weak</w:t>
            </w:r>
            <w:r>
              <w:rPr>
                <w:spacing w:val="-15"/>
              </w:rPr>
              <w:t xml:space="preserve"> </w:t>
            </w:r>
            <w:r>
              <w:t>but</w:t>
            </w:r>
            <w:r>
              <w:rPr>
                <w:spacing w:val="-15"/>
              </w:rPr>
              <w:t xml:space="preserve"> </w:t>
            </w:r>
            <w:r>
              <w:t xml:space="preserve">significant </w:t>
            </w:r>
            <w:r>
              <w:rPr>
                <w:spacing w:val="-2"/>
              </w:rPr>
              <w:t>relationship</w:t>
            </w:r>
          </w:p>
        </w:tc>
      </w:tr>
      <w:tr w:rsidR="003121B6" w14:paraId="020839B9" w14:textId="77777777" w:rsidTr="00143856">
        <w:trPr>
          <w:trHeight w:val="170"/>
        </w:trPr>
        <w:tc>
          <w:tcPr>
            <w:tcW w:w="2089" w:type="dxa"/>
            <w:vMerge/>
            <w:tcBorders>
              <w:top w:val="nil"/>
            </w:tcBorders>
          </w:tcPr>
          <w:p w14:paraId="33B2E783" w14:textId="77777777" w:rsidR="003121B6" w:rsidRDefault="003121B6" w:rsidP="003121B6">
            <w:pPr>
              <w:rPr>
                <w:sz w:val="2"/>
                <w:szCs w:val="2"/>
              </w:rPr>
            </w:pPr>
          </w:p>
        </w:tc>
        <w:tc>
          <w:tcPr>
            <w:tcW w:w="2473" w:type="dxa"/>
            <w:vMerge w:val="restart"/>
            <w:tcBorders>
              <w:bottom w:val="single" w:sz="4" w:space="0" w:color="000000"/>
            </w:tcBorders>
          </w:tcPr>
          <w:p w14:paraId="71684E13" w14:textId="77777777" w:rsidR="003121B6" w:rsidRDefault="003121B6" w:rsidP="003121B6">
            <w:pPr>
              <w:pStyle w:val="TableParagraph"/>
              <w:spacing w:before="39"/>
              <w:ind w:left="307"/>
            </w:pPr>
            <w:r>
              <w:t>Sig.</w:t>
            </w:r>
            <w:r>
              <w:rPr>
                <w:spacing w:val="-5"/>
              </w:rPr>
              <w:t xml:space="preserve"> </w:t>
            </w:r>
            <w:r>
              <w:t>(2-</w:t>
            </w:r>
            <w:r>
              <w:rPr>
                <w:spacing w:val="-2"/>
              </w:rPr>
              <w:t>tailed)</w:t>
            </w:r>
          </w:p>
        </w:tc>
        <w:tc>
          <w:tcPr>
            <w:tcW w:w="1559" w:type="dxa"/>
          </w:tcPr>
          <w:p w14:paraId="498825AA" w14:textId="77777777" w:rsidR="003121B6" w:rsidRDefault="003121B6" w:rsidP="003121B6">
            <w:pPr>
              <w:pStyle w:val="TableParagraph"/>
              <w:rPr>
                <w:rFonts w:ascii="Times New Roman"/>
                <w:sz w:val="6"/>
              </w:rPr>
            </w:pPr>
          </w:p>
        </w:tc>
        <w:tc>
          <w:tcPr>
            <w:tcW w:w="2393" w:type="dxa"/>
            <w:vMerge/>
            <w:tcBorders>
              <w:top w:val="nil"/>
              <w:bottom w:val="single" w:sz="4" w:space="0" w:color="000000"/>
            </w:tcBorders>
          </w:tcPr>
          <w:p w14:paraId="0719C0DB" w14:textId="77777777" w:rsidR="003121B6" w:rsidRDefault="003121B6" w:rsidP="003121B6">
            <w:pPr>
              <w:rPr>
                <w:sz w:val="2"/>
                <w:szCs w:val="2"/>
              </w:rPr>
            </w:pPr>
          </w:p>
        </w:tc>
      </w:tr>
      <w:tr w:rsidR="003121B6" w14:paraId="10F3FFE7" w14:textId="77777777" w:rsidTr="00143856">
        <w:trPr>
          <w:trHeight w:val="170"/>
        </w:trPr>
        <w:tc>
          <w:tcPr>
            <w:tcW w:w="2089" w:type="dxa"/>
            <w:tcBorders>
              <w:bottom w:val="single" w:sz="4" w:space="0" w:color="000000"/>
            </w:tcBorders>
          </w:tcPr>
          <w:p w14:paraId="109B2F79" w14:textId="77777777" w:rsidR="003121B6" w:rsidRDefault="003121B6" w:rsidP="003121B6">
            <w:pPr>
              <w:pStyle w:val="TableParagraph"/>
              <w:rPr>
                <w:rFonts w:ascii="Times New Roman"/>
              </w:rPr>
            </w:pPr>
          </w:p>
        </w:tc>
        <w:tc>
          <w:tcPr>
            <w:tcW w:w="2473" w:type="dxa"/>
            <w:vMerge/>
            <w:tcBorders>
              <w:top w:val="nil"/>
              <w:bottom w:val="single" w:sz="4" w:space="0" w:color="000000"/>
            </w:tcBorders>
          </w:tcPr>
          <w:p w14:paraId="2C78F074" w14:textId="77777777" w:rsidR="003121B6" w:rsidRDefault="003121B6" w:rsidP="003121B6">
            <w:pPr>
              <w:rPr>
                <w:sz w:val="2"/>
                <w:szCs w:val="2"/>
              </w:rPr>
            </w:pPr>
          </w:p>
        </w:tc>
        <w:tc>
          <w:tcPr>
            <w:tcW w:w="1559" w:type="dxa"/>
            <w:tcBorders>
              <w:bottom w:val="single" w:sz="4" w:space="0" w:color="000000"/>
            </w:tcBorders>
          </w:tcPr>
          <w:p w14:paraId="36AD6529" w14:textId="77777777" w:rsidR="003121B6" w:rsidRDefault="003121B6" w:rsidP="003121B6">
            <w:pPr>
              <w:pStyle w:val="TableParagraph"/>
              <w:spacing w:before="3"/>
              <w:ind w:right="513"/>
              <w:jc w:val="right"/>
            </w:pPr>
            <w:r>
              <w:rPr>
                <w:spacing w:val="-4"/>
              </w:rPr>
              <w:t>0.01</w:t>
            </w:r>
          </w:p>
        </w:tc>
        <w:tc>
          <w:tcPr>
            <w:tcW w:w="2393" w:type="dxa"/>
            <w:vMerge/>
            <w:tcBorders>
              <w:top w:val="nil"/>
              <w:bottom w:val="single" w:sz="4" w:space="0" w:color="000000"/>
            </w:tcBorders>
          </w:tcPr>
          <w:p w14:paraId="350EB9A0" w14:textId="77777777" w:rsidR="003121B6" w:rsidRDefault="003121B6" w:rsidP="003121B6">
            <w:pPr>
              <w:rPr>
                <w:sz w:val="2"/>
                <w:szCs w:val="2"/>
              </w:rPr>
            </w:pPr>
          </w:p>
        </w:tc>
      </w:tr>
      <w:tr w:rsidR="003121B6" w14:paraId="6A74C5AD" w14:textId="77777777" w:rsidTr="00143856">
        <w:trPr>
          <w:trHeight w:val="170"/>
        </w:trPr>
        <w:tc>
          <w:tcPr>
            <w:tcW w:w="2089" w:type="dxa"/>
            <w:vMerge w:val="restart"/>
            <w:tcBorders>
              <w:top w:val="single" w:sz="4" w:space="0" w:color="000000"/>
            </w:tcBorders>
          </w:tcPr>
          <w:p w14:paraId="7BACED0C" w14:textId="77777777" w:rsidR="003121B6" w:rsidRDefault="003121B6" w:rsidP="003121B6">
            <w:pPr>
              <w:pStyle w:val="TableParagraph"/>
              <w:spacing w:line="243" w:lineRule="exact"/>
              <w:ind w:left="105"/>
              <w:rPr>
                <w:rFonts w:ascii="Arial"/>
                <w:b/>
              </w:rPr>
            </w:pPr>
            <w:r>
              <w:rPr>
                <w:rFonts w:ascii="Arial"/>
                <w:b/>
              </w:rPr>
              <w:t>Overall</w:t>
            </w:r>
            <w:r>
              <w:rPr>
                <w:rFonts w:ascii="Arial"/>
                <w:b/>
                <w:spacing w:val="-7"/>
              </w:rPr>
              <w:t xml:space="preserve"> </w:t>
            </w:r>
            <w:r>
              <w:rPr>
                <w:rFonts w:ascii="Arial"/>
                <w:b/>
                <w:spacing w:val="-5"/>
              </w:rPr>
              <w:t>Tax</w:t>
            </w:r>
          </w:p>
          <w:p w14:paraId="340EE50A" w14:textId="77777777" w:rsidR="003121B6" w:rsidRDefault="003121B6" w:rsidP="003121B6">
            <w:pPr>
              <w:pStyle w:val="TableParagraph"/>
              <w:spacing w:before="1" w:line="246" w:lineRule="exact"/>
              <w:ind w:left="105"/>
              <w:rPr>
                <w:rFonts w:ascii="Arial"/>
                <w:b/>
              </w:rPr>
            </w:pPr>
            <w:r>
              <w:rPr>
                <w:rFonts w:ascii="Arial"/>
                <w:b/>
                <w:spacing w:val="-2"/>
              </w:rPr>
              <w:t>Knowledge</w:t>
            </w:r>
          </w:p>
        </w:tc>
        <w:tc>
          <w:tcPr>
            <w:tcW w:w="2473" w:type="dxa"/>
            <w:tcBorders>
              <w:top w:val="single" w:sz="4" w:space="0" w:color="000000"/>
            </w:tcBorders>
          </w:tcPr>
          <w:p w14:paraId="3A7577E4" w14:textId="77777777" w:rsidR="003121B6" w:rsidRDefault="003121B6" w:rsidP="003121B6">
            <w:pPr>
              <w:pStyle w:val="TableParagraph"/>
              <w:spacing w:line="248" w:lineRule="exact"/>
              <w:ind w:left="101" w:right="2"/>
              <w:jc w:val="center"/>
            </w:pPr>
            <w:r>
              <w:t>Pearson</w:t>
            </w:r>
            <w:r>
              <w:rPr>
                <w:spacing w:val="-3"/>
              </w:rPr>
              <w:t xml:space="preserve"> </w:t>
            </w:r>
            <w:r>
              <w:rPr>
                <w:spacing w:val="-2"/>
              </w:rPr>
              <w:t>Correlation</w:t>
            </w:r>
          </w:p>
        </w:tc>
        <w:tc>
          <w:tcPr>
            <w:tcW w:w="1559" w:type="dxa"/>
            <w:tcBorders>
              <w:top w:val="single" w:sz="4" w:space="0" w:color="000000"/>
            </w:tcBorders>
          </w:tcPr>
          <w:p w14:paraId="478535B4" w14:textId="77777777" w:rsidR="003121B6" w:rsidRDefault="003121B6" w:rsidP="003121B6">
            <w:pPr>
              <w:pStyle w:val="TableParagraph"/>
              <w:spacing w:before="89"/>
              <w:ind w:right="513"/>
              <w:jc w:val="right"/>
            </w:pPr>
            <w:r>
              <w:rPr>
                <w:spacing w:val="-4"/>
              </w:rPr>
              <w:t>0.19</w:t>
            </w:r>
          </w:p>
        </w:tc>
        <w:tc>
          <w:tcPr>
            <w:tcW w:w="2393" w:type="dxa"/>
            <w:vMerge w:val="restart"/>
            <w:tcBorders>
              <w:top w:val="single" w:sz="4" w:space="0" w:color="000000"/>
              <w:bottom w:val="single" w:sz="4" w:space="0" w:color="000000"/>
            </w:tcBorders>
          </w:tcPr>
          <w:p w14:paraId="5C6A05FE" w14:textId="77777777" w:rsidR="003121B6" w:rsidRDefault="003121B6" w:rsidP="003121B6">
            <w:pPr>
              <w:pStyle w:val="TableParagraph"/>
              <w:spacing w:before="185"/>
              <w:ind w:left="107"/>
            </w:pPr>
            <w:r>
              <w:t>Weak</w:t>
            </w:r>
            <w:r>
              <w:rPr>
                <w:spacing w:val="-15"/>
              </w:rPr>
              <w:t xml:space="preserve"> </w:t>
            </w:r>
            <w:r>
              <w:t>but</w:t>
            </w:r>
            <w:r>
              <w:rPr>
                <w:spacing w:val="-15"/>
              </w:rPr>
              <w:t xml:space="preserve"> </w:t>
            </w:r>
            <w:r>
              <w:t xml:space="preserve">significant </w:t>
            </w:r>
            <w:r>
              <w:rPr>
                <w:spacing w:val="-2"/>
              </w:rPr>
              <w:t>relationship</w:t>
            </w:r>
          </w:p>
        </w:tc>
      </w:tr>
      <w:tr w:rsidR="003121B6" w14:paraId="0FDF6BA9" w14:textId="77777777" w:rsidTr="00143856">
        <w:trPr>
          <w:trHeight w:val="170"/>
        </w:trPr>
        <w:tc>
          <w:tcPr>
            <w:tcW w:w="2089" w:type="dxa"/>
            <w:vMerge/>
            <w:tcBorders>
              <w:top w:val="nil"/>
            </w:tcBorders>
          </w:tcPr>
          <w:p w14:paraId="1CD066F9" w14:textId="77777777" w:rsidR="003121B6" w:rsidRDefault="003121B6" w:rsidP="003121B6">
            <w:pPr>
              <w:rPr>
                <w:sz w:val="2"/>
                <w:szCs w:val="2"/>
              </w:rPr>
            </w:pPr>
          </w:p>
        </w:tc>
        <w:tc>
          <w:tcPr>
            <w:tcW w:w="2473" w:type="dxa"/>
            <w:vMerge w:val="restart"/>
            <w:tcBorders>
              <w:bottom w:val="single" w:sz="4" w:space="0" w:color="000000"/>
            </w:tcBorders>
          </w:tcPr>
          <w:p w14:paraId="020B323B" w14:textId="77777777" w:rsidR="003121B6" w:rsidRDefault="003121B6" w:rsidP="003121B6">
            <w:pPr>
              <w:pStyle w:val="TableParagraph"/>
              <w:spacing w:before="44"/>
              <w:ind w:left="307"/>
            </w:pPr>
            <w:r>
              <w:t>Sig.</w:t>
            </w:r>
            <w:r>
              <w:rPr>
                <w:spacing w:val="-5"/>
              </w:rPr>
              <w:t xml:space="preserve"> </w:t>
            </w:r>
            <w:r>
              <w:t>(2-</w:t>
            </w:r>
            <w:r>
              <w:rPr>
                <w:spacing w:val="-2"/>
              </w:rPr>
              <w:t>tailed)</w:t>
            </w:r>
          </w:p>
        </w:tc>
        <w:tc>
          <w:tcPr>
            <w:tcW w:w="1559" w:type="dxa"/>
          </w:tcPr>
          <w:p w14:paraId="0292B7C3" w14:textId="77777777" w:rsidR="003121B6" w:rsidRDefault="003121B6" w:rsidP="003121B6">
            <w:pPr>
              <w:pStyle w:val="TableParagraph"/>
              <w:rPr>
                <w:rFonts w:ascii="Times New Roman"/>
                <w:sz w:val="6"/>
              </w:rPr>
            </w:pPr>
          </w:p>
        </w:tc>
        <w:tc>
          <w:tcPr>
            <w:tcW w:w="2393" w:type="dxa"/>
            <w:vMerge/>
            <w:tcBorders>
              <w:top w:val="nil"/>
              <w:bottom w:val="single" w:sz="4" w:space="0" w:color="000000"/>
            </w:tcBorders>
          </w:tcPr>
          <w:p w14:paraId="51A05B67" w14:textId="77777777" w:rsidR="003121B6" w:rsidRDefault="003121B6" w:rsidP="003121B6">
            <w:pPr>
              <w:rPr>
                <w:sz w:val="2"/>
                <w:szCs w:val="2"/>
              </w:rPr>
            </w:pPr>
          </w:p>
        </w:tc>
      </w:tr>
      <w:tr w:rsidR="003121B6" w14:paraId="2C7E4650" w14:textId="77777777" w:rsidTr="00143856">
        <w:trPr>
          <w:trHeight w:val="170"/>
        </w:trPr>
        <w:tc>
          <w:tcPr>
            <w:tcW w:w="2089" w:type="dxa"/>
            <w:tcBorders>
              <w:bottom w:val="single" w:sz="4" w:space="0" w:color="000000"/>
            </w:tcBorders>
          </w:tcPr>
          <w:p w14:paraId="0931FE27" w14:textId="77777777" w:rsidR="003121B6" w:rsidRDefault="003121B6" w:rsidP="003121B6">
            <w:pPr>
              <w:pStyle w:val="TableParagraph"/>
              <w:rPr>
                <w:rFonts w:ascii="Times New Roman"/>
              </w:rPr>
            </w:pPr>
          </w:p>
        </w:tc>
        <w:tc>
          <w:tcPr>
            <w:tcW w:w="2473" w:type="dxa"/>
            <w:vMerge/>
            <w:tcBorders>
              <w:top w:val="nil"/>
              <w:bottom w:val="single" w:sz="4" w:space="0" w:color="000000"/>
            </w:tcBorders>
          </w:tcPr>
          <w:p w14:paraId="5DEFC3C8" w14:textId="77777777" w:rsidR="003121B6" w:rsidRDefault="003121B6" w:rsidP="003121B6">
            <w:pPr>
              <w:rPr>
                <w:sz w:val="2"/>
                <w:szCs w:val="2"/>
              </w:rPr>
            </w:pPr>
          </w:p>
        </w:tc>
        <w:tc>
          <w:tcPr>
            <w:tcW w:w="1559" w:type="dxa"/>
            <w:tcBorders>
              <w:bottom w:val="single" w:sz="4" w:space="0" w:color="000000"/>
            </w:tcBorders>
          </w:tcPr>
          <w:p w14:paraId="5236B08A" w14:textId="77777777" w:rsidR="003121B6" w:rsidRDefault="003121B6" w:rsidP="003121B6">
            <w:pPr>
              <w:pStyle w:val="TableParagraph"/>
              <w:spacing w:before="10"/>
              <w:ind w:right="513"/>
              <w:jc w:val="right"/>
            </w:pPr>
            <w:r>
              <w:rPr>
                <w:spacing w:val="-4"/>
              </w:rPr>
              <w:t>0.03</w:t>
            </w:r>
          </w:p>
        </w:tc>
        <w:tc>
          <w:tcPr>
            <w:tcW w:w="2393" w:type="dxa"/>
            <w:vMerge/>
            <w:tcBorders>
              <w:top w:val="nil"/>
              <w:bottom w:val="single" w:sz="4" w:space="0" w:color="000000"/>
            </w:tcBorders>
          </w:tcPr>
          <w:p w14:paraId="171F72A8" w14:textId="77777777" w:rsidR="003121B6" w:rsidRDefault="003121B6" w:rsidP="003121B6">
            <w:pPr>
              <w:rPr>
                <w:sz w:val="2"/>
                <w:szCs w:val="2"/>
              </w:rPr>
            </w:pPr>
          </w:p>
        </w:tc>
      </w:tr>
    </w:tbl>
    <w:p w14:paraId="515DB3FD" w14:textId="77777777" w:rsidR="00E349C1" w:rsidRDefault="00E349C1" w:rsidP="00441B6F">
      <w:pPr>
        <w:pStyle w:val="Body"/>
        <w:spacing w:after="0"/>
        <w:rPr>
          <w:rFonts w:ascii="Arial" w:hAnsi="Arial" w:cs="Arial"/>
        </w:rPr>
      </w:pPr>
    </w:p>
    <w:p w14:paraId="10D7B0FE" w14:textId="77777777" w:rsidR="00E349C1" w:rsidRDefault="00E349C1" w:rsidP="00441B6F">
      <w:pPr>
        <w:pStyle w:val="Body"/>
        <w:spacing w:after="0"/>
        <w:rPr>
          <w:rFonts w:ascii="Arial" w:hAnsi="Arial" w:cs="Arial"/>
        </w:rPr>
      </w:pPr>
    </w:p>
    <w:p w14:paraId="6B6ADCF7" w14:textId="45BB0DCF" w:rsidR="00E349C1" w:rsidRDefault="00AD3DC4" w:rsidP="009A0AF4">
      <w:pPr>
        <w:pStyle w:val="Body"/>
        <w:spacing w:after="0" w:line="480" w:lineRule="auto"/>
        <w:ind w:firstLine="720"/>
        <w:rPr>
          <w:rFonts w:ascii="Arial" w:hAnsi="Arial" w:cs="Arial"/>
        </w:rPr>
      </w:pPr>
      <w:r w:rsidRPr="00AD3DC4">
        <w:rPr>
          <w:rFonts w:ascii="Arial" w:hAnsi="Arial" w:cs="Arial"/>
        </w:rPr>
        <w:t>The Pearson correlation results indicate that tax rights and responsibilities (r = 0.15, p = 0.08) and awareness of sanctions (r = 0.22, p = 0.01) show weak but statistically significant relationships with tax compliance, while knowledge of business income (r = 0.13, p = 0.13) does not. These findings support the Theory of Planned Behavior (TPB), which emphasizes that attitudes, subjective norms, and perceived behavioral control shape compliance intentions (</w:t>
      </w:r>
      <w:proofErr w:type="spellStart"/>
      <w:r w:rsidRPr="00AD3DC4">
        <w:rPr>
          <w:rFonts w:ascii="Arial" w:hAnsi="Arial" w:cs="Arial"/>
        </w:rPr>
        <w:t>Taing</w:t>
      </w:r>
      <w:proofErr w:type="spellEnd"/>
      <w:r w:rsidRPr="00AD3DC4">
        <w:rPr>
          <w:rFonts w:ascii="Arial" w:hAnsi="Arial" w:cs="Arial"/>
        </w:rPr>
        <w:t xml:space="preserve"> &amp; Chang, 2021). Prior studies affirm this. Bahl and Martinez-Vazquez (2018) found that informed taxpayers are more likely to comply. Mendez and Kauffman (2019) highlighted the role of education in boosting compliance, while Saad (2014) and Olsen et al. (20</w:t>
      </w:r>
      <w:r w:rsidR="00D01CB6">
        <w:rPr>
          <w:rFonts w:ascii="Arial" w:hAnsi="Arial" w:cs="Arial"/>
        </w:rPr>
        <w:t>22</w:t>
      </w:r>
      <w:r w:rsidRPr="00AD3DC4">
        <w:rPr>
          <w:rFonts w:ascii="Arial" w:hAnsi="Arial" w:cs="Arial"/>
        </w:rPr>
        <w:t xml:space="preserve">) stressed that awareness of sanctions enhances perceived control. Mas’ud et al. (2019) showed enforcement deters evasion. In contrast, technical knowledge alone—such as understanding </w:t>
      </w:r>
      <w:r w:rsidRPr="00AD3DC4">
        <w:rPr>
          <w:rFonts w:ascii="Arial" w:hAnsi="Arial" w:cs="Arial"/>
        </w:rPr>
        <w:lastRenderedPageBreak/>
        <w:t>business income—does not strongly influence behavior, as it does not directly affect key TPB constructs without motivation or financial literacy (Putra &amp; Osman, 2019).</w:t>
      </w:r>
    </w:p>
    <w:p w14:paraId="56E77018" w14:textId="77777777" w:rsidR="00C527BC" w:rsidRPr="00607E75" w:rsidRDefault="00C527BC" w:rsidP="00441B6F">
      <w:pPr>
        <w:pStyle w:val="Body"/>
        <w:spacing w:after="0"/>
        <w:rPr>
          <w:rFonts w:ascii="Arial" w:hAnsi="Arial" w:cs="Arial"/>
        </w:rPr>
      </w:pPr>
    </w:p>
    <w:p w14:paraId="03FE7649" w14:textId="1E2D5C3C" w:rsidR="00B01FCD" w:rsidRPr="00607E75" w:rsidRDefault="00B01FCD" w:rsidP="00441B6F">
      <w:pPr>
        <w:pStyle w:val="ConcHead"/>
        <w:spacing w:after="0"/>
        <w:jc w:val="both"/>
        <w:rPr>
          <w:rFonts w:ascii="Arial" w:hAnsi="Arial" w:cs="Arial"/>
        </w:rPr>
      </w:pPr>
      <w:r w:rsidRPr="00607E75">
        <w:rPr>
          <w:rFonts w:ascii="Arial" w:hAnsi="Arial" w:cs="Arial"/>
        </w:rPr>
        <w:t>Conclusion</w:t>
      </w:r>
    </w:p>
    <w:p w14:paraId="540C7089" w14:textId="77777777" w:rsidR="00790ADA" w:rsidRPr="00607E75" w:rsidRDefault="00790ADA" w:rsidP="00441B6F">
      <w:pPr>
        <w:pStyle w:val="ConcHead"/>
        <w:spacing w:after="0"/>
        <w:jc w:val="both"/>
        <w:rPr>
          <w:rFonts w:ascii="Arial" w:hAnsi="Arial" w:cs="Arial"/>
        </w:rPr>
      </w:pPr>
    </w:p>
    <w:p w14:paraId="68F0BDD6" w14:textId="69E360B7" w:rsidR="000C1553" w:rsidRPr="00607E75" w:rsidRDefault="000C1553" w:rsidP="001B3E24">
      <w:pPr>
        <w:spacing w:line="480" w:lineRule="auto"/>
        <w:ind w:firstLine="720"/>
        <w:jc w:val="both"/>
        <w:rPr>
          <w:rFonts w:ascii="Arial" w:hAnsi="Arial" w:cs="Arial"/>
          <w:bCs/>
          <w:color w:val="000000" w:themeColor="text1"/>
        </w:rPr>
      </w:pPr>
      <w:r w:rsidRPr="00607E75">
        <w:rPr>
          <w:rFonts w:ascii="Arial" w:hAnsi="Arial" w:cs="Arial"/>
          <w:bCs/>
          <w:color w:val="000000" w:themeColor="text1"/>
        </w:rPr>
        <w:t xml:space="preserve">Based on the results, most of the business owner respondents in </w:t>
      </w:r>
      <w:proofErr w:type="spellStart"/>
      <w:r w:rsidRPr="00607E75">
        <w:rPr>
          <w:rFonts w:ascii="Arial" w:hAnsi="Arial" w:cs="Arial"/>
          <w:bCs/>
          <w:color w:val="000000" w:themeColor="text1"/>
        </w:rPr>
        <w:t>Cateel</w:t>
      </w:r>
      <w:proofErr w:type="spellEnd"/>
      <w:r w:rsidRPr="00607E75">
        <w:rPr>
          <w:rFonts w:ascii="Arial" w:hAnsi="Arial" w:cs="Arial"/>
          <w:bCs/>
          <w:color w:val="000000" w:themeColor="text1"/>
        </w:rPr>
        <w:t xml:space="preserve"> are young to middle-aged adults who primarily operate micro-sized enterprises. A significant portion of them is engaged in the trading and servicing industries. In terms of educational background, the majority are high school and college graduates. Most have been running their businesses for several years, typically within a one to nine-year range. Respondents exhibited high levels of tax knowledge, particularly regarding their rights, responsibilities, and sanctions. This reflects a relatively well-informed business community. The level of tax compliance was found to be extensive. While only a weak correlation was found between tax knowledge and compliance, the significance of the relationship—especially in terms of rights and sanctions—suggests that specific knowledge areas do influence compliance behavior.</w:t>
      </w:r>
      <w:r w:rsidRPr="00607E75">
        <w:rPr>
          <w:rFonts w:ascii="Arial" w:hAnsi="Arial" w:cs="Arial"/>
          <w:bCs/>
          <w:color w:val="000000" w:themeColor="text1"/>
          <w:lang w:val="en-PH"/>
        </w:rPr>
        <w:t xml:space="preserve"> No significant differences in tax knowledge or tax compliance were found across demographic or business-related variables, indicating consistent knowledge and behavior patterns among different groups. </w:t>
      </w:r>
      <w:r w:rsidRPr="00607E75">
        <w:rPr>
          <w:rFonts w:ascii="Arial" w:hAnsi="Arial" w:cs="Arial"/>
          <w:bCs/>
          <w:color w:val="000000" w:themeColor="text1"/>
        </w:rPr>
        <w:t>The significant relationships between compliance and both tax rights and awareness of sanctions imply that targeted knowledge influences compliance more than general tax understanding.</w:t>
      </w:r>
      <w:r w:rsidRPr="00607E75">
        <w:rPr>
          <w:rFonts w:ascii="Arial" w:hAnsi="Arial" w:cs="Arial"/>
          <w:bCs/>
          <w:color w:val="000000" w:themeColor="text1"/>
          <w:lang w:val="en-PH"/>
        </w:rPr>
        <w:t xml:space="preserve"> </w:t>
      </w:r>
      <w:r w:rsidRPr="00607E75">
        <w:rPr>
          <w:rFonts w:ascii="Arial" w:hAnsi="Arial" w:cs="Arial"/>
          <w:bCs/>
          <w:color w:val="000000" w:themeColor="text1"/>
        </w:rPr>
        <w:t>Since no demographic differences significantly influenced tax compliance, tax-related behavior among business owners appears broadly uniform across various segments.</w:t>
      </w:r>
    </w:p>
    <w:p w14:paraId="7C462370" w14:textId="4ACCCE00" w:rsidR="00B01FCD" w:rsidRPr="00607E75" w:rsidRDefault="00B01FCD" w:rsidP="00441B6F">
      <w:pPr>
        <w:pStyle w:val="Body"/>
        <w:spacing w:after="0"/>
        <w:rPr>
          <w:rFonts w:ascii="Arial" w:hAnsi="Arial" w:cs="Arial"/>
        </w:rPr>
      </w:pPr>
    </w:p>
    <w:p w14:paraId="29CA8091" w14:textId="77777777" w:rsidR="00790ADA" w:rsidRPr="00607E75" w:rsidRDefault="00790ADA" w:rsidP="00441B6F">
      <w:pPr>
        <w:pStyle w:val="Body"/>
        <w:spacing w:after="0"/>
        <w:rPr>
          <w:rFonts w:ascii="Arial" w:hAnsi="Arial" w:cs="Arial"/>
        </w:rPr>
      </w:pPr>
    </w:p>
    <w:p w14:paraId="5E911B6A" w14:textId="77777777" w:rsidR="00315186" w:rsidRPr="00607E75" w:rsidRDefault="00315186" w:rsidP="00441B6F">
      <w:pPr>
        <w:rPr>
          <w:rFonts w:ascii="Arial" w:hAnsi="Arial" w:cs="Arial"/>
        </w:rPr>
      </w:pPr>
    </w:p>
    <w:p w14:paraId="50283458" w14:textId="77777777" w:rsidR="00EF2F4A" w:rsidRPr="00607E75" w:rsidRDefault="00EF2F4A" w:rsidP="00441B6F">
      <w:pPr>
        <w:pStyle w:val="ReferHead"/>
        <w:spacing w:after="0"/>
        <w:jc w:val="both"/>
        <w:rPr>
          <w:rFonts w:ascii="Arial" w:hAnsi="Arial" w:cs="Arial"/>
          <w:b w:val="0"/>
          <w:caps w:val="0"/>
          <w:sz w:val="20"/>
        </w:rPr>
      </w:pPr>
    </w:p>
    <w:p w14:paraId="5623CB27" w14:textId="77777777" w:rsidR="002B685A" w:rsidRPr="00607E75" w:rsidRDefault="002B685A" w:rsidP="00441B6F">
      <w:pPr>
        <w:pStyle w:val="ReferHead"/>
        <w:spacing w:after="0"/>
        <w:jc w:val="both"/>
        <w:rPr>
          <w:rFonts w:ascii="Arial" w:hAnsi="Arial" w:cs="Arial"/>
          <w:bCs/>
        </w:rPr>
      </w:pPr>
      <w:r w:rsidRPr="00607E75">
        <w:rPr>
          <w:rFonts w:ascii="Arial" w:hAnsi="Arial" w:cs="Arial"/>
          <w:bCs/>
        </w:rPr>
        <w:t>Consent (where</w:t>
      </w:r>
      <w:r w:rsidR="007369E6" w:rsidRPr="00607E75">
        <w:rPr>
          <w:rFonts w:ascii="Arial" w:hAnsi="Arial" w:cs="Arial"/>
          <w:bCs/>
        </w:rPr>
        <w:t xml:space="preserve"> </w:t>
      </w:r>
      <w:r w:rsidRPr="00607E75">
        <w:rPr>
          <w:rFonts w:ascii="Arial" w:hAnsi="Arial" w:cs="Arial"/>
          <w:bCs/>
        </w:rPr>
        <w:t>ever applicable)</w:t>
      </w:r>
    </w:p>
    <w:p w14:paraId="7CABB32F" w14:textId="77777777" w:rsidR="00EF2F4A" w:rsidRPr="00607E75" w:rsidRDefault="00EF2F4A" w:rsidP="00441B6F">
      <w:pPr>
        <w:pStyle w:val="ReferHead"/>
        <w:spacing w:after="0"/>
        <w:jc w:val="both"/>
        <w:rPr>
          <w:rFonts w:ascii="Arial" w:hAnsi="Arial" w:cs="Arial"/>
          <w:b w:val="0"/>
          <w:caps w:val="0"/>
          <w:sz w:val="20"/>
        </w:rPr>
      </w:pPr>
    </w:p>
    <w:p w14:paraId="11008AEA" w14:textId="4F0B7C05" w:rsidR="001A29D8" w:rsidRPr="00607E75" w:rsidRDefault="001A29D8" w:rsidP="00441B6F">
      <w:pPr>
        <w:pStyle w:val="ReferHead"/>
        <w:spacing w:after="0"/>
        <w:jc w:val="both"/>
        <w:rPr>
          <w:rFonts w:ascii="Arial" w:hAnsi="Arial" w:cs="Arial"/>
          <w:b w:val="0"/>
          <w:caps w:val="0"/>
          <w:sz w:val="20"/>
        </w:rPr>
      </w:pPr>
      <w:r w:rsidRPr="00607E75">
        <w:rPr>
          <w:rFonts w:ascii="Arial" w:hAnsi="Arial" w:cs="Arial"/>
          <w:b w:val="0"/>
          <w:caps w:val="0"/>
          <w:sz w:val="20"/>
        </w:rPr>
        <w:t>All authors declare that ‘written informed consent</w:t>
      </w:r>
      <w:r w:rsidR="00EF2F4A" w:rsidRPr="00607E75">
        <w:rPr>
          <w:rFonts w:ascii="Arial" w:hAnsi="Arial" w:cs="Arial"/>
          <w:b w:val="0"/>
          <w:caps w:val="0"/>
          <w:sz w:val="20"/>
        </w:rPr>
        <w:t xml:space="preserve"> form</w:t>
      </w:r>
      <w:r w:rsidRPr="00607E75">
        <w:rPr>
          <w:rFonts w:ascii="Arial" w:hAnsi="Arial" w:cs="Arial"/>
          <w:b w:val="0"/>
          <w:caps w:val="0"/>
          <w:sz w:val="20"/>
        </w:rPr>
        <w:t xml:space="preserve"> was obtained from the patient (or other approved parties) for publication of this case report and accompanying images. A copy of the written consent</w:t>
      </w:r>
      <w:r w:rsidR="00EF2F4A" w:rsidRPr="00607E75">
        <w:rPr>
          <w:rFonts w:ascii="Arial" w:hAnsi="Arial" w:cs="Arial"/>
          <w:b w:val="0"/>
          <w:caps w:val="0"/>
          <w:sz w:val="20"/>
        </w:rPr>
        <w:t xml:space="preserve"> (image)</w:t>
      </w:r>
      <w:r w:rsidRPr="00607E75">
        <w:rPr>
          <w:rFonts w:ascii="Arial" w:hAnsi="Arial" w:cs="Arial"/>
          <w:b w:val="0"/>
          <w:caps w:val="0"/>
          <w:sz w:val="20"/>
        </w:rPr>
        <w:t xml:space="preserve"> is available</w:t>
      </w:r>
      <w:r w:rsidR="00EF2F4A" w:rsidRPr="00607E75">
        <w:rPr>
          <w:rFonts w:ascii="Arial" w:hAnsi="Arial" w:cs="Arial"/>
          <w:b w:val="0"/>
          <w:caps w:val="0"/>
          <w:sz w:val="20"/>
        </w:rPr>
        <w:t xml:space="preserve"> anytime</w:t>
      </w:r>
      <w:r w:rsidR="00BC1F86" w:rsidRPr="00607E75">
        <w:rPr>
          <w:rFonts w:ascii="Arial" w:hAnsi="Arial" w:cs="Arial"/>
          <w:b w:val="0"/>
          <w:caps w:val="0"/>
          <w:sz w:val="20"/>
        </w:rPr>
        <w:t xml:space="preserve"> if the editor </w:t>
      </w:r>
      <w:r w:rsidR="00F05B6F" w:rsidRPr="00607E75">
        <w:rPr>
          <w:rFonts w:ascii="Arial" w:hAnsi="Arial" w:cs="Arial"/>
          <w:b w:val="0"/>
          <w:caps w:val="0"/>
          <w:sz w:val="20"/>
        </w:rPr>
        <w:t>asks</w:t>
      </w:r>
      <w:r w:rsidR="00BC1F86" w:rsidRPr="00607E75">
        <w:rPr>
          <w:rFonts w:ascii="Arial" w:hAnsi="Arial" w:cs="Arial"/>
          <w:b w:val="0"/>
          <w:caps w:val="0"/>
          <w:sz w:val="20"/>
        </w:rPr>
        <w:t xml:space="preserve"> for it</w:t>
      </w:r>
      <w:r w:rsidR="00EF2F4A" w:rsidRPr="00607E75">
        <w:rPr>
          <w:rFonts w:ascii="Arial" w:hAnsi="Arial" w:cs="Arial"/>
          <w:b w:val="0"/>
          <w:caps w:val="0"/>
          <w:sz w:val="20"/>
        </w:rPr>
        <w:t xml:space="preserve"> </w:t>
      </w:r>
      <w:r w:rsidRPr="00607E75">
        <w:rPr>
          <w:rFonts w:ascii="Arial" w:hAnsi="Arial" w:cs="Arial"/>
          <w:b w:val="0"/>
          <w:caps w:val="0"/>
          <w:sz w:val="20"/>
        </w:rPr>
        <w:t>for review of this journal.</w:t>
      </w:r>
    </w:p>
    <w:p w14:paraId="5CDDFFCF" w14:textId="77777777" w:rsidR="001A29D8" w:rsidRPr="00607E75" w:rsidRDefault="001A29D8" w:rsidP="00441B6F">
      <w:pPr>
        <w:pStyle w:val="ReferHead"/>
        <w:spacing w:after="0"/>
        <w:jc w:val="both"/>
        <w:rPr>
          <w:rFonts w:ascii="Arial" w:hAnsi="Arial" w:cs="Arial"/>
          <w:b w:val="0"/>
          <w:caps w:val="0"/>
          <w:sz w:val="20"/>
        </w:rPr>
      </w:pPr>
    </w:p>
    <w:p w14:paraId="4BAB8902" w14:textId="77777777" w:rsidR="005C784C" w:rsidRPr="00607E75" w:rsidRDefault="005C784C" w:rsidP="00441B6F">
      <w:pPr>
        <w:pStyle w:val="ReferHead"/>
        <w:spacing w:after="0"/>
        <w:jc w:val="both"/>
        <w:rPr>
          <w:rFonts w:ascii="Arial" w:hAnsi="Arial" w:cs="Arial"/>
          <w:b w:val="0"/>
          <w:caps w:val="0"/>
          <w:sz w:val="20"/>
        </w:rPr>
      </w:pPr>
    </w:p>
    <w:p w14:paraId="0EB3DF48" w14:textId="77777777" w:rsidR="005C784C" w:rsidRPr="00607E75" w:rsidRDefault="005C784C" w:rsidP="00441B6F">
      <w:pPr>
        <w:pStyle w:val="ReferHead"/>
        <w:spacing w:after="0"/>
        <w:jc w:val="both"/>
        <w:rPr>
          <w:rFonts w:ascii="Arial" w:hAnsi="Arial" w:cs="Arial"/>
          <w:bCs/>
        </w:rPr>
      </w:pPr>
      <w:r w:rsidRPr="00607E75">
        <w:rPr>
          <w:rFonts w:ascii="Arial" w:hAnsi="Arial" w:cs="Arial"/>
          <w:bCs/>
        </w:rPr>
        <w:t>Ethical approval (where</w:t>
      </w:r>
      <w:r w:rsidR="007369E6" w:rsidRPr="00607E75">
        <w:rPr>
          <w:rFonts w:ascii="Arial" w:hAnsi="Arial" w:cs="Arial"/>
          <w:bCs/>
        </w:rPr>
        <w:t xml:space="preserve"> </w:t>
      </w:r>
      <w:r w:rsidRPr="00607E75">
        <w:rPr>
          <w:rFonts w:ascii="Arial" w:hAnsi="Arial" w:cs="Arial"/>
          <w:bCs/>
        </w:rPr>
        <w:t>ever applicable)</w:t>
      </w:r>
    </w:p>
    <w:p w14:paraId="2589808F" w14:textId="77777777" w:rsidR="005C784C" w:rsidRPr="00607E75" w:rsidRDefault="005C784C" w:rsidP="00441B6F">
      <w:pPr>
        <w:pStyle w:val="ReferHead"/>
        <w:spacing w:after="0"/>
        <w:jc w:val="both"/>
        <w:rPr>
          <w:rFonts w:ascii="Arial" w:hAnsi="Arial" w:cs="Arial"/>
          <w:bCs/>
        </w:rPr>
      </w:pPr>
    </w:p>
    <w:p w14:paraId="54DA0BC5" w14:textId="77777777" w:rsidR="00CD6856" w:rsidRPr="00607E75" w:rsidRDefault="00CD6856" w:rsidP="00441B6F">
      <w:pPr>
        <w:pStyle w:val="ReferHead"/>
        <w:spacing w:after="0"/>
        <w:jc w:val="both"/>
        <w:rPr>
          <w:rFonts w:ascii="Arial" w:hAnsi="Arial" w:cs="Arial"/>
          <w:b w:val="0"/>
          <w:caps w:val="0"/>
          <w:sz w:val="20"/>
        </w:rPr>
      </w:pPr>
      <w:r w:rsidRPr="00607E75">
        <w:rPr>
          <w:rFonts w:ascii="Arial" w:hAnsi="Arial" w:cs="Arial"/>
          <w:b w:val="0"/>
          <w:caps w:val="0"/>
          <w:sz w:val="20"/>
        </w:rPr>
        <w:t>All manuscripts which deal with the study of human subjects must be accompanied by Institutional Review Board (IRB) or Ethical Committee Approval, or the national or regional equivalent. The name of the Board or Committee giving approval and the study number assigned must accompany the submission. If required, author should be ready to submit a scanned copy of the IRB or Ethical Committee Approval at any stage of publication (</w:t>
      </w:r>
      <w:proofErr w:type="gramStart"/>
      <w:r w:rsidRPr="00607E75">
        <w:rPr>
          <w:rFonts w:ascii="Arial" w:hAnsi="Arial" w:cs="Arial"/>
          <w:b w:val="0"/>
          <w:caps w:val="0"/>
          <w:sz w:val="20"/>
        </w:rPr>
        <w:t>Pre of</w:t>
      </w:r>
      <w:proofErr w:type="gramEnd"/>
      <w:r w:rsidRPr="00607E75">
        <w:rPr>
          <w:rFonts w:ascii="Arial" w:hAnsi="Arial" w:cs="Arial"/>
          <w:b w:val="0"/>
          <w:caps w:val="0"/>
          <w:sz w:val="20"/>
        </w:rPr>
        <w:t xml:space="preserve"> post publication stage). </w:t>
      </w:r>
    </w:p>
    <w:p w14:paraId="4C027495" w14:textId="77777777" w:rsidR="00CD6856" w:rsidRPr="00607E75" w:rsidRDefault="00CD6856" w:rsidP="00441B6F">
      <w:pPr>
        <w:pStyle w:val="ReferHead"/>
        <w:spacing w:after="0"/>
        <w:jc w:val="both"/>
        <w:rPr>
          <w:rFonts w:ascii="Arial" w:hAnsi="Arial" w:cs="Arial"/>
          <w:b w:val="0"/>
          <w:caps w:val="0"/>
          <w:sz w:val="20"/>
        </w:rPr>
      </w:pPr>
    </w:p>
    <w:p w14:paraId="153F672D" w14:textId="77777777" w:rsidR="0041027F" w:rsidRPr="00607E75" w:rsidRDefault="00CD6856" w:rsidP="00441B6F">
      <w:pPr>
        <w:pStyle w:val="ReferHead"/>
        <w:spacing w:after="0"/>
        <w:jc w:val="both"/>
        <w:rPr>
          <w:rFonts w:ascii="Arial" w:hAnsi="Arial" w:cs="Arial"/>
          <w:b w:val="0"/>
          <w:caps w:val="0"/>
          <w:sz w:val="20"/>
          <w:u w:val="single"/>
        </w:rPr>
      </w:pPr>
      <w:r w:rsidRPr="00607E75">
        <w:rPr>
          <w:rFonts w:ascii="Arial" w:hAnsi="Arial" w:cs="Arial"/>
          <w:b w:val="0"/>
          <w:caps w:val="0"/>
          <w:sz w:val="20"/>
        </w:rPr>
        <w:t>For manuscripts involving human experiments, Authors may use the following wordings for this section</w:t>
      </w:r>
      <w:r w:rsidR="001A29D8" w:rsidRPr="00607E75">
        <w:rPr>
          <w:rFonts w:ascii="Arial" w:hAnsi="Arial" w:cs="Arial"/>
          <w:b w:val="0"/>
          <w:caps w:val="0"/>
          <w:sz w:val="20"/>
        </w:rPr>
        <w:t>:</w:t>
      </w:r>
      <w:r w:rsidR="001A29D8" w:rsidRPr="00607E75">
        <w:rPr>
          <w:rFonts w:ascii="Arial" w:hAnsi="Arial" w:cs="Arial"/>
          <w:b w:val="0"/>
          <w:caps w:val="0"/>
          <w:sz w:val="20"/>
          <w:u w:val="single"/>
        </w:rPr>
        <w:t xml:space="preserve"> “All authors hereby declare that a</w:t>
      </w:r>
      <w:r w:rsidR="0041027F" w:rsidRPr="00607E75">
        <w:rPr>
          <w:rFonts w:ascii="Arial" w:hAnsi="Arial" w:cs="Arial"/>
          <w:b w:val="0"/>
          <w:caps w:val="0"/>
          <w:sz w:val="20"/>
          <w:u w:val="single"/>
        </w:rPr>
        <w:t xml:space="preserve">ll </w:t>
      </w:r>
      <w:r w:rsidR="00F469F0" w:rsidRPr="00607E75">
        <w:rPr>
          <w:rFonts w:ascii="Arial" w:hAnsi="Arial" w:cs="Arial"/>
          <w:b w:val="0"/>
          <w:caps w:val="0"/>
          <w:sz w:val="20"/>
          <w:u w:val="single"/>
        </w:rPr>
        <w:t>experiments</w:t>
      </w:r>
      <w:r w:rsidR="0041027F" w:rsidRPr="00607E75">
        <w:rPr>
          <w:rFonts w:ascii="Arial" w:hAnsi="Arial" w:cs="Arial"/>
          <w:b w:val="0"/>
          <w:caps w:val="0"/>
          <w:sz w:val="20"/>
          <w:u w:val="single"/>
        </w:rPr>
        <w:t xml:space="preserve"> have been examined</w:t>
      </w:r>
      <w:r w:rsidR="001A29D8" w:rsidRPr="00607E75">
        <w:rPr>
          <w:rFonts w:ascii="Arial" w:hAnsi="Arial" w:cs="Arial"/>
          <w:b w:val="0"/>
          <w:caps w:val="0"/>
          <w:sz w:val="20"/>
          <w:u w:val="single"/>
        </w:rPr>
        <w:t xml:space="preserve"> and approved</w:t>
      </w:r>
      <w:r w:rsidR="0041027F" w:rsidRPr="00607E75">
        <w:rPr>
          <w:rFonts w:ascii="Arial" w:hAnsi="Arial" w:cs="Arial"/>
          <w:b w:val="0"/>
          <w:caps w:val="0"/>
          <w:sz w:val="20"/>
          <w:u w:val="single"/>
        </w:rPr>
        <w:t xml:space="preserve"> by the appropriate ethics committee and have therefore been performed in accordance with the ethical standards laid down in the 1964 Declaration of Helsinki.</w:t>
      </w:r>
      <w:r w:rsidR="001A29D8" w:rsidRPr="00607E75">
        <w:rPr>
          <w:rFonts w:ascii="Arial" w:hAnsi="Arial" w:cs="Arial"/>
          <w:b w:val="0"/>
          <w:caps w:val="0"/>
          <w:sz w:val="20"/>
          <w:u w:val="single"/>
        </w:rPr>
        <w:t>”</w:t>
      </w:r>
    </w:p>
    <w:p w14:paraId="3C65E42B" w14:textId="77777777" w:rsidR="00860000" w:rsidRPr="00607E75" w:rsidRDefault="00860000" w:rsidP="00441B6F">
      <w:pPr>
        <w:pStyle w:val="ReferHead"/>
        <w:spacing w:after="0"/>
        <w:jc w:val="both"/>
        <w:rPr>
          <w:rFonts w:ascii="Arial" w:hAnsi="Arial" w:cs="Arial"/>
        </w:rPr>
      </w:pPr>
    </w:p>
    <w:p w14:paraId="2BEF0FA7" w14:textId="77777777" w:rsidR="00B01FCD" w:rsidRPr="00607E75" w:rsidRDefault="00B01FCD" w:rsidP="00441B6F">
      <w:pPr>
        <w:pStyle w:val="ReferHead"/>
        <w:spacing w:after="0"/>
        <w:jc w:val="both"/>
        <w:rPr>
          <w:rFonts w:ascii="Arial" w:hAnsi="Arial" w:cs="Arial"/>
        </w:rPr>
      </w:pPr>
      <w:r w:rsidRPr="00607E75">
        <w:rPr>
          <w:rFonts w:ascii="Arial" w:hAnsi="Arial" w:cs="Arial"/>
        </w:rPr>
        <w:t>References</w:t>
      </w:r>
    </w:p>
    <w:p w14:paraId="1BF2C650" w14:textId="77777777" w:rsidR="00790ADA" w:rsidRPr="00607E75" w:rsidRDefault="00790ADA" w:rsidP="00441B6F">
      <w:pPr>
        <w:pStyle w:val="Body"/>
        <w:spacing w:after="0"/>
        <w:rPr>
          <w:rFonts w:ascii="Arial" w:hAnsi="Arial" w:cs="Arial"/>
        </w:rPr>
      </w:pPr>
    </w:p>
    <w:p w14:paraId="6A71EC70" w14:textId="77777777" w:rsidR="00C5633A" w:rsidRDefault="00C5633A" w:rsidP="00441B6F">
      <w:pPr>
        <w:pStyle w:val="Body"/>
        <w:spacing w:after="0"/>
        <w:rPr>
          <w:rFonts w:ascii="Arial" w:hAnsi="Arial" w:cs="Arial"/>
          <w:u w:val="single"/>
        </w:rPr>
      </w:pPr>
    </w:p>
    <w:p w14:paraId="7EB2F72C" w14:textId="48B84BEC" w:rsidR="00136460" w:rsidRDefault="00136460" w:rsidP="00136460">
      <w:pPr>
        <w:pStyle w:val="BodyText"/>
        <w:spacing w:line="244" w:lineRule="auto"/>
        <w:ind w:right="1076"/>
        <w:jc w:val="both"/>
        <w:rPr>
          <w:spacing w:val="-2"/>
        </w:rPr>
      </w:pPr>
      <w:proofErr w:type="spellStart"/>
      <w:r>
        <w:t>Weeghel</w:t>
      </w:r>
      <w:proofErr w:type="spellEnd"/>
      <w:r>
        <w:t>,</w:t>
      </w:r>
      <w:r>
        <w:rPr>
          <w:spacing w:val="-15"/>
        </w:rPr>
        <w:t xml:space="preserve"> </w:t>
      </w:r>
      <w:r>
        <w:t>S.</w:t>
      </w:r>
      <w:r>
        <w:rPr>
          <w:spacing w:val="-14"/>
        </w:rPr>
        <w:t xml:space="preserve"> </w:t>
      </w:r>
      <w:r>
        <w:t>(2015).</w:t>
      </w:r>
      <w:r>
        <w:rPr>
          <w:spacing w:val="-9"/>
        </w:rPr>
        <w:t xml:space="preserve"> </w:t>
      </w:r>
      <w:r>
        <w:t>Paying</w:t>
      </w:r>
      <w:r>
        <w:rPr>
          <w:spacing w:val="-9"/>
        </w:rPr>
        <w:t xml:space="preserve"> </w:t>
      </w:r>
      <w:r>
        <w:t>taxes:</w:t>
      </w:r>
      <w:r>
        <w:rPr>
          <w:spacing w:val="-14"/>
        </w:rPr>
        <w:t xml:space="preserve"> </w:t>
      </w:r>
      <w:r>
        <w:t>the</w:t>
      </w:r>
      <w:r>
        <w:rPr>
          <w:spacing w:val="-9"/>
        </w:rPr>
        <w:t xml:space="preserve"> </w:t>
      </w:r>
      <w:r>
        <w:t>global</w:t>
      </w:r>
      <w:r>
        <w:rPr>
          <w:spacing w:val="-15"/>
        </w:rPr>
        <w:t xml:space="preserve"> </w:t>
      </w:r>
      <w:r>
        <w:t>picture</w:t>
      </w:r>
      <w:r>
        <w:rPr>
          <w:spacing w:val="-1"/>
        </w:rPr>
        <w:t xml:space="preserve"> </w:t>
      </w:r>
      <w:r>
        <w:t>-</w:t>
      </w:r>
      <w:r>
        <w:rPr>
          <w:spacing w:val="-12"/>
        </w:rPr>
        <w:t xml:space="preserve"> </w:t>
      </w:r>
      <w:r>
        <w:t>the</w:t>
      </w:r>
      <w:r>
        <w:rPr>
          <w:spacing w:val="-13"/>
        </w:rPr>
        <w:t xml:space="preserve"> </w:t>
      </w:r>
      <w:r>
        <w:t>changing</w:t>
      </w:r>
      <w:r>
        <w:rPr>
          <w:spacing w:val="-13"/>
        </w:rPr>
        <w:t xml:space="preserve"> </w:t>
      </w:r>
      <w:r>
        <w:t>face</w:t>
      </w:r>
      <w:r>
        <w:rPr>
          <w:spacing w:val="-13"/>
        </w:rPr>
        <w:t xml:space="preserve"> </w:t>
      </w:r>
      <w:r>
        <w:t>of</w:t>
      </w:r>
      <w:r>
        <w:rPr>
          <w:spacing w:val="-9"/>
        </w:rPr>
        <w:t xml:space="preserve"> </w:t>
      </w:r>
      <w:r>
        <w:t>tax</w:t>
      </w:r>
      <w:r>
        <w:rPr>
          <w:spacing w:val="-10"/>
        </w:rPr>
        <w:t xml:space="preserve"> </w:t>
      </w:r>
      <w:r>
        <w:t xml:space="preserve">compliance </w:t>
      </w:r>
      <w:proofErr w:type="gramStart"/>
      <w:r>
        <w:t>in</w:t>
      </w:r>
      <w:r>
        <w:rPr>
          <w:spacing w:val="80"/>
          <w:w w:val="150"/>
        </w:rPr>
        <w:t xml:space="preserve">  </w:t>
      </w:r>
      <w:r>
        <w:t>189</w:t>
      </w:r>
      <w:proofErr w:type="gramEnd"/>
      <w:r>
        <w:rPr>
          <w:spacing w:val="40"/>
        </w:rPr>
        <w:t xml:space="preserve"> </w:t>
      </w:r>
      <w:r>
        <w:t>economies</w:t>
      </w:r>
      <w:r>
        <w:rPr>
          <w:spacing w:val="40"/>
        </w:rPr>
        <w:t xml:space="preserve"> </w:t>
      </w:r>
      <w:r>
        <w:t>worldwide</w:t>
      </w:r>
      <w:r>
        <w:rPr>
          <w:spacing w:val="40"/>
        </w:rPr>
        <w:t xml:space="preserve"> </w:t>
      </w:r>
      <w:r>
        <w:t>(English).</w:t>
      </w:r>
      <w:r>
        <w:rPr>
          <w:spacing w:val="-4"/>
        </w:rPr>
        <w:t xml:space="preserve"> </w:t>
      </w:r>
      <w:r>
        <w:t>Washington,</w:t>
      </w:r>
      <w:r>
        <w:rPr>
          <w:spacing w:val="40"/>
        </w:rPr>
        <w:t xml:space="preserve"> </w:t>
      </w:r>
      <w:r>
        <w:t>D.C.:</w:t>
      </w:r>
      <w:r>
        <w:rPr>
          <w:spacing w:val="40"/>
        </w:rPr>
        <w:t xml:space="preserve"> </w:t>
      </w:r>
      <w:r>
        <w:t>World</w:t>
      </w:r>
      <w:r>
        <w:rPr>
          <w:spacing w:val="40"/>
        </w:rPr>
        <w:t xml:space="preserve"> </w:t>
      </w:r>
      <w:r>
        <w:t>BankGroup.</w:t>
      </w:r>
      <w:hyperlink r:id="rId15">
        <w:r>
          <w:t>http://documents.worldbank.org/curated/en/758831468126901094/Paying</w:t>
        </w:r>
      </w:hyperlink>
      <w:r>
        <w:t xml:space="preserve"> taxes-2015-the-global-picture-the-changing-of-tax-compliance-in-189- </w:t>
      </w:r>
      <w:r>
        <w:rPr>
          <w:spacing w:val="-2"/>
        </w:rPr>
        <w:t>economies-worldwide.</w:t>
      </w:r>
    </w:p>
    <w:p w14:paraId="1818AE27" w14:textId="70A3927A" w:rsidR="00136460" w:rsidRPr="00136460" w:rsidRDefault="00136460" w:rsidP="00136460">
      <w:r w:rsidRPr="00136460">
        <w:t>Ajzen, I. (2020). The theory of planned behavior: Frequently asked questions. Human Behavior</w:t>
      </w:r>
      <w:r>
        <w:t xml:space="preserve"> </w:t>
      </w:r>
      <w:r w:rsidRPr="00136460">
        <w:t>and</w:t>
      </w:r>
      <w:r>
        <w:t xml:space="preserve"> </w:t>
      </w:r>
      <w:r w:rsidRPr="00136460">
        <w:t>Emerging</w:t>
      </w:r>
      <w:r>
        <w:t xml:space="preserve"> </w:t>
      </w:r>
      <w:r w:rsidRPr="00136460">
        <w:t>Technologies,</w:t>
      </w:r>
      <w:r>
        <w:t xml:space="preserve"> </w:t>
      </w:r>
      <w:r w:rsidRPr="00136460">
        <w:t>2(4),</w:t>
      </w:r>
      <w:r>
        <w:t xml:space="preserve"> </w:t>
      </w:r>
      <w:r w:rsidRPr="00136460">
        <w:t>314-324.</w:t>
      </w:r>
      <w:r>
        <w:t xml:space="preserve"> </w:t>
      </w:r>
      <w:r w:rsidRPr="00136460">
        <w:t>https://doi.org/10.1002/hbe2.195.</w:t>
      </w:r>
    </w:p>
    <w:p w14:paraId="15592648" w14:textId="77777777" w:rsidR="00136460" w:rsidRDefault="00136460" w:rsidP="00136460">
      <w:pPr>
        <w:pStyle w:val="BodyText"/>
        <w:spacing w:line="244" w:lineRule="auto"/>
        <w:ind w:right="1076"/>
        <w:jc w:val="both"/>
      </w:pPr>
    </w:p>
    <w:p w14:paraId="5371BA24" w14:textId="77777777" w:rsidR="00136460" w:rsidRPr="005A690F" w:rsidRDefault="00136460" w:rsidP="005A690F">
      <w:pPr>
        <w:jc w:val="both"/>
      </w:pPr>
      <w:r w:rsidRPr="005A690F">
        <w:t>Saad, N. (2014). Tax knowledge, tax complexity and tax compliance: Taxpayers' view.</w:t>
      </w:r>
    </w:p>
    <w:p w14:paraId="61DF8E06" w14:textId="450EDEA2" w:rsidR="00136460" w:rsidRPr="005A690F" w:rsidRDefault="00136460" w:rsidP="005A690F">
      <w:pPr>
        <w:jc w:val="both"/>
      </w:pPr>
      <w:r w:rsidRPr="005A690F">
        <w:t>Procedia</w:t>
      </w:r>
      <w:r w:rsidR="005A690F">
        <w:t xml:space="preserve"> </w:t>
      </w:r>
      <w:r w:rsidRPr="005A690F">
        <w:t xml:space="preserve">Social and Behavioral Sciences, 109, 1069-1075. </w:t>
      </w:r>
      <w:hyperlink r:id="rId16" w:history="1">
        <w:r w:rsidR="005A690F" w:rsidRPr="005A690F">
          <w:rPr>
            <w:rStyle w:val="Hyperlink"/>
            <w:color w:val="auto"/>
            <w:u w:val="none"/>
          </w:rPr>
          <w:t>https://doi.org/10.1016/j.sbspro.2013.12.590</w:t>
        </w:r>
      </w:hyperlink>
    </w:p>
    <w:p w14:paraId="52C21503" w14:textId="77777777" w:rsidR="00C5633A" w:rsidRPr="00136460" w:rsidRDefault="00C5633A" w:rsidP="00136460"/>
    <w:p w14:paraId="5C821A04" w14:textId="10B417D8" w:rsidR="00284C4C" w:rsidRDefault="005A690F" w:rsidP="005A690F">
      <w:pPr>
        <w:jc w:val="both"/>
      </w:pPr>
      <w:r>
        <w:t>Oladipupo,</w:t>
      </w:r>
      <w:r>
        <w:rPr>
          <w:spacing w:val="-2"/>
        </w:rPr>
        <w:t xml:space="preserve"> </w:t>
      </w:r>
      <w:r>
        <w:t>A. O., &amp;</w:t>
      </w:r>
      <w:r>
        <w:rPr>
          <w:spacing w:val="-2"/>
        </w:rPr>
        <w:t xml:space="preserve"> </w:t>
      </w:r>
      <w:proofErr w:type="spellStart"/>
      <w:r>
        <w:t>Obazee</w:t>
      </w:r>
      <w:proofErr w:type="spellEnd"/>
      <w:r>
        <w:t>, U. (2016). Tax knowledge,</w:t>
      </w:r>
      <w:r>
        <w:rPr>
          <w:spacing w:val="-2"/>
        </w:rPr>
        <w:t xml:space="preserve"> </w:t>
      </w:r>
      <w:r>
        <w:t>penalties,</w:t>
      </w:r>
      <w:r>
        <w:rPr>
          <w:spacing w:val="-2"/>
        </w:rPr>
        <w:t xml:space="preserve"> </w:t>
      </w:r>
      <w:r>
        <w:t>and tax</w:t>
      </w:r>
      <w:r>
        <w:rPr>
          <w:spacing w:val="-3"/>
        </w:rPr>
        <w:t xml:space="preserve"> </w:t>
      </w:r>
      <w:r>
        <w:t>compliance in small</w:t>
      </w:r>
      <w:r>
        <w:rPr>
          <w:spacing w:val="-7"/>
        </w:rPr>
        <w:t xml:space="preserve"> </w:t>
      </w:r>
      <w:r>
        <w:t>and</w:t>
      </w:r>
      <w:r>
        <w:rPr>
          <w:spacing w:val="-9"/>
        </w:rPr>
        <w:t xml:space="preserve"> </w:t>
      </w:r>
      <w:r>
        <w:t>medium</w:t>
      </w:r>
      <w:r>
        <w:rPr>
          <w:spacing w:val="-8"/>
        </w:rPr>
        <w:t xml:space="preserve"> </w:t>
      </w:r>
      <w:r>
        <w:t>scale</w:t>
      </w:r>
      <w:r>
        <w:rPr>
          <w:spacing w:val="-9"/>
        </w:rPr>
        <w:t xml:space="preserve"> </w:t>
      </w:r>
      <w:r>
        <w:t>enterprises</w:t>
      </w:r>
      <w:r>
        <w:rPr>
          <w:spacing w:val="-6"/>
        </w:rPr>
        <w:t xml:space="preserve"> </w:t>
      </w:r>
      <w:r>
        <w:t>in</w:t>
      </w:r>
      <w:r>
        <w:rPr>
          <w:spacing w:val="-5"/>
        </w:rPr>
        <w:t xml:space="preserve"> </w:t>
      </w:r>
      <w:r>
        <w:t>Nigeria.</w:t>
      </w:r>
      <w:r>
        <w:rPr>
          <w:spacing w:val="-4"/>
        </w:rPr>
        <w:t xml:space="preserve"> </w:t>
      </w:r>
      <w:r>
        <w:rPr>
          <w:rFonts w:ascii="Arial"/>
          <w:i/>
        </w:rPr>
        <w:t>European</w:t>
      </w:r>
      <w:r>
        <w:rPr>
          <w:rFonts w:ascii="Arial"/>
          <w:i/>
          <w:spacing w:val="-12"/>
        </w:rPr>
        <w:t xml:space="preserve"> </w:t>
      </w:r>
      <w:r>
        <w:rPr>
          <w:rFonts w:ascii="Arial"/>
          <w:i/>
        </w:rPr>
        <w:t>Journal</w:t>
      </w:r>
      <w:r>
        <w:rPr>
          <w:rFonts w:ascii="Arial"/>
          <w:i/>
          <w:spacing w:val="-14"/>
        </w:rPr>
        <w:t xml:space="preserve"> </w:t>
      </w:r>
      <w:r>
        <w:rPr>
          <w:rFonts w:ascii="Arial"/>
          <w:i/>
        </w:rPr>
        <w:t>of</w:t>
      </w:r>
      <w:r>
        <w:rPr>
          <w:rFonts w:ascii="Arial"/>
          <w:i/>
          <w:spacing w:val="-13"/>
        </w:rPr>
        <w:t xml:space="preserve"> </w:t>
      </w:r>
      <w:r>
        <w:rPr>
          <w:rFonts w:ascii="Arial"/>
          <w:i/>
        </w:rPr>
        <w:t>Business</w:t>
      </w:r>
      <w:r>
        <w:rPr>
          <w:rFonts w:ascii="Arial"/>
          <w:i/>
          <w:spacing w:val="-13"/>
        </w:rPr>
        <w:t xml:space="preserve"> </w:t>
      </w:r>
      <w:r>
        <w:rPr>
          <w:rFonts w:ascii="Arial"/>
          <w:i/>
        </w:rPr>
        <w:t>and Management</w:t>
      </w:r>
      <w:r>
        <w:t xml:space="preserve">, 8(17), 1-9. </w:t>
      </w:r>
      <w:hyperlink r:id="rId17">
        <w:r>
          <w:t>http://dx.doi.org/10.4236/ib.2016.81001</w:t>
        </w:r>
      </w:hyperlink>
    </w:p>
    <w:p w14:paraId="1A75DA96" w14:textId="77777777" w:rsidR="005A690F" w:rsidRDefault="005A690F" w:rsidP="005A690F">
      <w:pPr>
        <w:jc w:val="both"/>
      </w:pPr>
    </w:p>
    <w:p w14:paraId="0043F952" w14:textId="7B483BCC" w:rsidR="005A690F" w:rsidRDefault="005A690F" w:rsidP="005A690F">
      <w:pPr>
        <w:pStyle w:val="BodyText"/>
        <w:rPr>
          <w:spacing w:val="-2"/>
        </w:rPr>
      </w:pPr>
      <w:r>
        <w:t>Eriksen,</w:t>
      </w:r>
      <w:r>
        <w:rPr>
          <w:spacing w:val="-6"/>
        </w:rPr>
        <w:t xml:space="preserve"> </w:t>
      </w:r>
      <w:r>
        <w:t>K.,</w:t>
      </w:r>
      <w:r>
        <w:rPr>
          <w:spacing w:val="-1"/>
        </w:rPr>
        <w:t xml:space="preserve"> </w:t>
      </w:r>
      <w:r>
        <w:t>&amp;</w:t>
      </w:r>
      <w:r>
        <w:rPr>
          <w:spacing w:val="-6"/>
        </w:rPr>
        <w:t xml:space="preserve"> </w:t>
      </w:r>
      <w:r>
        <w:t>Fallan,</w:t>
      </w:r>
      <w:r>
        <w:rPr>
          <w:spacing w:val="-5"/>
        </w:rPr>
        <w:t xml:space="preserve"> </w:t>
      </w:r>
      <w:r>
        <w:t>L.</w:t>
      </w:r>
      <w:r>
        <w:rPr>
          <w:spacing w:val="-2"/>
        </w:rPr>
        <w:t xml:space="preserve"> </w:t>
      </w:r>
      <w:r>
        <w:t>(2016).</w:t>
      </w:r>
      <w:r>
        <w:rPr>
          <w:spacing w:val="-1"/>
        </w:rPr>
        <w:t xml:space="preserve"> </w:t>
      </w:r>
      <w:r>
        <w:t>Tax</w:t>
      </w:r>
      <w:r>
        <w:rPr>
          <w:spacing w:val="-2"/>
        </w:rPr>
        <w:t xml:space="preserve"> </w:t>
      </w:r>
      <w:r>
        <w:t>knowledge</w:t>
      </w:r>
      <w:r>
        <w:rPr>
          <w:spacing w:val="-6"/>
        </w:rPr>
        <w:t xml:space="preserve"> </w:t>
      </w:r>
      <w:r>
        <w:t>and attitudes</w:t>
      </w:r>
      <w:r>
        <w:rPr>
          <w:spacing w:val="-3"/>
        </w:rPr>
        <w:t xml:space="preserve"> </w:t>
      </w:r>
      <w:r>
        <w:t>towards</w:t>
      </w:r>
      <w:r>
        <w:rPr>
          <w:spacing w:val="-7"/>
        </w:rPr>
        <w:t xml:space="preserve"> </w:t>
      </w:r>
      <w:r>
        <w:rPr>
          <w:spacing w:val="-2"/>
        </w:rPr>
        <w:t>taxation.</w:t>
      </w:r>
    </w:p>
    <w:p w14:paraId="31FD2AF0" w14:textId="77777777" w:rsidR="005A690F" w:rsidRPr="005A690F" w:rsidRDefault="005A690F" w:rsidP="005A690F">
      <w:r w:rsidRPr="005A690F">
        <w:t xml:space="preserve">Devos, K. (2014). Factors influencing individual taxpayer compliance </w:t>
      </w:r>
      <w:proofErr w:type="spellStart"/>
      <w:r w:rsidRPr="005A690F">
        <w:t>behaviour</w:t>
      </w:r>
      <w:proofErr w:type="spellEnd"/>
      <w:r w:rsidRPr="005A690F">
        <w:t>. https://link.springer.com/book/10.1007/978-94-007-7476-6.</w:t>
      </w:r>
    </w:p>
    <w:p w14:paraId="1DFCC2D4" w14:textId="77777777" w:rsidR="005A690F" w:rsidRDefault="005A690F" w:rsidP="005A690F">
      <w:pPr>
        <w:pStyle w:val="BodyText"/>
        <w:jc w:val="both"/>
        <w:rPr>
          <w:spacing w:val="-2"/>
        </w:rPr>
      </w:pPr>
    </w:p>
    <w:p w14:paraId="51658E1E" w14:textId="12715E22" w:rsidR="005A690F" w:rsidRPr="005A690F" w:rsidRDefault="005A690F" w:rsidP="005A690F">
      <w:pPr>
        <w:jc w:val="both"/>
        <w:rPr>
          <w:rFonts w:ascii="Arial" w:hAnsi="Arial" w:cs="Arial"/>
        </w:rPr>
      </w:pPr>
      <w:r w:rsidRPr="005A690F">
        <w:rPr>
          <w:rFonts w:ascii="Arial" w:hAnsi="Arial" w:cs="Arial"/>
        </w:rPr>
        <w:t>Zhang, Y. (2021). Understanding how education affects students’ attitudes towards tax evasion</w:t>
      </w:r>
      <w:r w:rsidRPr="005A690F">
        <w:rPr>
          <w:rFonts w:ascii="Arial" w:hAnsi="Arial" w:cs="Arial"/>
        </w:rPr>
        <w:tab/>
        <w:t>and</w:t>
      </w:r>
      <w:r>
        <w:rPr>
          <w:rFonts w:ascii="Arial" w:hAnsi="Arial" w:cs="Arial"/>
        </w:rPr>
        <w:t xml:space="preserve"> </w:t>
      </w:r>
      <w:r w:rsidRPr="005A690F">
        <w:rPr>
          <w:rFonts w:ascii="Arial" w:hAnsi="Arial" w:cs="Arial"/>
        </w:rPr>
        <w:t>tax</w:t>
      </w:r>
      <w:r w:rsidRPr="005A690F">
        <w:rPr>
          <w:rFonts w:ascii="Arial" w:hAnsi="Arial" w:cs="Arial"/>
        </w:rPr>
        <w:tab/>
        <w:t>avoidance</w:t>
      </w:r>
      <w:r>
        <w:rPr>
          <w:rFonts w:ascii="Arial" w:hAnsi="Arial" w:cs="Arial"/>
        </w:rPr>
        <w:t xml:space="preserve"> in the New </w:t>
      </w:r>
      <w:r w:rsidRPr="005A690F">
        <w:rPr>
          <w:rFonts w:ascii="Arial" w:hAnsi="Arial" w:cs="Arial"/>
        </w:rPr>
        <w:t>Zealand. https://ir.canterbury.ac.nz/server/api/core/bitstreams/6f7bb485-f97f-4730-bfda- a2b06a24885d/content</w:t>
      </w:r>
    </w:p>
    <w:p w14:paraId="400A8C36" w14:textId="77777777" w:rsidR="005A690F" w:rsidRDefault="005A690F" w:rsidP="005A690F">
      <w:pPr>
        <w:pStyle w:val="BodyText"/>
        <w:jc w:val="both"/>
      </w:pPr>
    </w:p>
    <w:p w14:paraId="347B3A0F" w14:textId="77777777" w:rsidR="005A690F" w:rsidRPr="005A690F" w:rsidRDefault="005A690F" w:rsidP="005A690F">
      <w:pPr>
        <w:rPr>
          <w:rFonts w:ascii="Arial" w:hAnsi="Arial" w:cs="Arial"/>
        </w:rPr>
      </w:pPr>
      <w:r w:rsidRPr="005A690F">
        <w:rPr>
          <w:rFonts w:ascii="Arial" w:hAnsi="Arial" w:cs="Arial"/>
        </w:rPr>
        <w:lastRenderedPageBreak/>
        <w:t xml:space="preserve">Baru, M. (2016). Tax compliance </w:t>
      </w:r>
      <w:proofErr w:type="spellStart"/>
      <w:r w:rsidRPr="005A690F">
        <w:rPr>
          <w:rFonts w:ascii="Arial" w:hAnsi="Arial" w:cs="Arial"/>
        </w:rPr>
        <w:t>behaviour</w:t>
      </w:r>
      <w:proofErr w:type="spellEnd"/>
      <w:r w:rsidRPr="005A690F">
        <w:rPr>
          <w:rFonts w:ascii="Arial" w:hAnsi="Arial" w:cs="Arial"/>
        </w:rPr>
        <w:t xml:space="preserve"> among SMEs in Germany. German Economic Review.</w:t>
      </w:r>
    </w:p>
    <w:p w14:paraId="61A56569" w14:textId="77777777" w:rsidR="005A690F" w:rsidRPr="005A690F" w:rsidRDefault="005A690F" w:rsidP="005A690F">
      <w:pPr>
        <w:rPr>
          <w:rFonts w:ascii="Arial" w:hAnsi="Arial" w:cs="Arial"/>
        </w:rPr>
      </w:pPr>
    </w:p>
    <w:p w14:paraId="1646C408" w14:textId="4424178E" w:rsidR="005A690F" w:rsidRDefault="005A690F" w:rsidP="005A690F">
      <w:pPr>
        <w:jc w:val="both"/>
      </w:pPr>
      <w:r w:rsidRPr="005A690F">
        <w:t xml:space="preserve">McGee, R. W., Benk, S., </w:t>
      </w:r>
      <w:proofErr w:type="spellStart"/>
      <w:r w:rsidRPr="005A690F">
        <w:t>Yüzbaşı</w:t>
      </w:r>
      <w:proofErr w:type="spellEnd"/>
      <w:r w:rsidRPr="005A690F">
        <w:t>, B., &amp; Budak, T. (2020). Does Religiosity Affect Attitudes toward the Ethics of Tax Evasion? The Case of Turkey. Religions, 11(9), 476. https://doi.org/10.3390/rel11090476</w:t>
      </w:r>
      <w:r w:rsidR="00776174">
        <w:t>.</w:t>
      </w:r>
    </w:p>
    <w:p w14:paraId="64A043CE" w14:textId="77777777" w:rsidR="00776174" w:rsidRDefault="00776174" w:rsidP="005A690F">
      <w:pPr>
        <w:jc w:val="both"/>
      </w:pPr>
    </w:p>
    <w:p w14:paraId="3EFB1C69" w14:textId="77777777" w:rsidR="00776174" w:rsidRPr="00776174" w:rsidRDefault="00776174" w:rsidP="00776174">
      <w:pPr>
        <w:jc w:val="both"/>
      </w:pPr>
      <w:r w:rsidRPr="00776174">
        <w:t>Bahl, R., &amp; Martinez-Vazquez, J. (2018). The Role of Tax Policy in the Growth of the Informal Economy. International Journal of Public Administration, 41(4), 295-309.</w:t>
      </w:r>
    </w:p>
    <w:p w14:paraId="2831014A" w14:textId="77777777" w:rsidR="00776174" w:rsidRDefault="00776174" w:rsidP="00776174">
      <w:pPr>
        <w:jc w:val="both"/>
      </w:pPr>
    </w:p>
    <w:p w14:paraId="1C455E57" w14:textId="77777777" w:rsidR="00776174" w:rsidRPr="00776174" w:rsidRDefault="00776174" w:rsidP="00776174">
      <w:pPr>
        <w:jc w:val="both"/>
      </w:pPr>
      <w:r w:rsidRPr="00776174">
        <w:t>Mendez, F., &amp; Kauffman, J. (2019). The Impact of Taxpayer Education on Compliance: Evidence</w:t>
      </w:r>
      <w:r w:rsidRPr="00776174">
        <w:tab/>
        <w:t>from Tax Administration. Public Finance Review, 47(6), 897-920.</w:t>
      </w:r>
    </w:p>
    <w:p w14:paraId="2C40EA47" w14:textId="77777777" w:rsidR="00776174" w:rsidRDefault="00776174" w:rsidP="00776174">
      <w:pPr>
        <w:pStyle w:val="BodyText"/>
        <w:spacing w:before="17"/>
      </w:pPr>
    </w:p>
    <w:p w14:paraId="161E9E4A" w14:textId="77777777" w:rsidR="00DB7697" w:rsidRDefault="00DB7697" w:rsidP="00DB7697">
      <w:pPr>
        <w:jc w:val="both"/>
      </w:pPr>
      <w:r w:rsidRPr="00DB7697">
        <w:t>Gutiérrez-Nieto, B., &amp; Serrano-Cinca, C. (2021). The Role of Tax Education in Promoting Tax Compliance. Journal of Business Research, 124, 492-501.</w:t>
      </w:r>
    </w:p>
    <w:p w14:paraId="5A717E9A" w14:textId="77777777" w:rsidR="00DB7697" w:rsidRDefault="00DB7697" w:rsidP="00DB7697">
      <w:pPr>
        <w:jc w:val="both"/>
      </w:pPr>
    </w:p>
    <w:p w14:paraId="77FF81BD" w14:textId="5866D5BD" w:rsidR="00DB7697" w:rsidRDefault="00DB7697" w:rsidP="00DB7697">
      <w:pPr>
        <w:jc w:val="both"/>
        <w:rPr>
          <w:rFonts w:ascii="Arial" w:hAnsi="Arial" w:cs="Arial"/>
        </w:rPr>
      </w:pPr>
      <w:r w:rsidRPr="00DB7697">
        <w:rPr>
          <w:rFonts w:ascii="Arial" w:hAnsi="Arial" w:cs="Arial"/>
        </w:rPr>
        <w:t xml:space="preserve">Torgler, B. (2011). Tax morale and compliance: Review of evidence and case studies for Europe. World Bank Policy Research Working Paper. </w:t>
      </w:r>
      <w:hyperlink r:id="rId18">
        <w:r w:rsidRPr="00DB7697">
          <w:rPr>
            <w:rStyle w:val="Hyperlink"/>
            <w:rFonts w:ascii="Arial" w:hAnsi="Arial" w:cs="Arial"/>
            <w:color w:val="auto"/>
            <w:u w:val="none"/>
          </w:rPr>
          <w:t>https://doi.org/10.1596/1813-9450-5922</w:t>
        </w:r>
      </w:hyperlink>
      <w:r>
        <w:rPr>
          <w:rFonts w:ascii="Arial" w:hAnsi="Arial" w:cs="Arial"/>
        </w:rPr>
        <w:t>.</w:t>
      </w:r>
    </w:p>
    <w:p w14:paraId="653849BD" w14:textId="77777777" w:rsidR="00DB7697" w:rsidRDefault="00DB7697" w:rsidP="00DB7697">
      <w:pPr>
        <w:jc w:val="both"/>
        <w:rPr>
          <w:rFonts w:ascii="Arial" w:hAnsi="Arial" w:cs="Arial"/>
        </w:rPr>
      </w:pPr>
    </w:p>
    <w:p w14:paraId="17D721C0" w14:textId="43D6947F" w:rsidR="00DB7697" w:rsidRDefault="00DB7697" w:rsidP="00DB7697">
      <w:pPr>
        <w:jc w:val="both"/>
        <w:rPr>
          <w:rFonts w:ascii="Arial" w:hAnsi="Arial" w:cs="Arial"/>
        </w:rPr>
      </w:pPr>
      <w:r w:rsidRPr="00DB7697">
        <w:rPr>
          <w:rFonts w:ascii="Arial" w:hAnsi="Arial" w:cs="Arial"/>
        </w:rPr>
        <w:t>Feld, L. P., &amp; Frey, B. S. (2016). Tax Compliance as the Result of a Psychological Contract: The Role of Procedural Fairness. International Review of Law and Economics, 45, 24-34. https://hdl.handle.net/10419/214356</w:t>
      </w:r>
      <w:r>
        <w:rPr>
          <w:rFonts w:ascii="Arial" w:hAnsi="Arial" w:cs="Arial"/>
        </w:rPr>
        <w:t>.</w:t>
      </w:r>
    </w:p>
    <w:p w14:paraId="2408A645" w14:textId="77777777" w:rsidR="00DB7697" w:rsidRDefault="00DB7697" w:rsidP="00DB7697">
      <w:pPr>
        <w:jc w:val="both"/>
        <w:rPr>
          <w:rFonts w:ascii="Arial" w:hAnsi="Arial" w:cs="Arial"/>
        </w:rPr>
      </w:pPr>
    </w:p>
    <w:p w14:paraId="47D6A171" w14:textId="77777777" w:rsidR="00DB7697" w:rsidRPr="00DB7697" w:rsidRDefault="00DB7697" w:rsidP="00DB7697">
      <w:pPr>
        <w:jc w:val="both"/>
        <w:rPr>
          <w:rFonts w:ascii="Arial" w:hAnsi="Arial" w:cs="Arial"/>
        </w:rPr>
      </w:pPr>
      <w:proofErr w:type="spellStart"/>
      <w:r w:rsidRPr="00DB7697">
        <w:rPr>
          <w:rFonts w:ascii="Arial" w:hAnsi="Arial" w:cs="Arial"/>
        </w:rPr>
        <w:t>Slemrod</w:t>
      </w:r>
      <w:proofErr w:type="spellEnd"/>
      <w:r w:rsidRPr="00DB7697">
        <w:rPr>
          <w:rFonts w:ascii="Arial" w:hAnsi="Arial" w:cs="Arial"/>
        </w:rPr>
        <w:t>, J. (2016). The role of misperceptions in support for regressive tax reform. The Journal of Economic Perspectives, 30(2), 165-188.</w:t>
      </w:r>
    </w:p>
    <w:p w14:paraId="3770E3A1" w14:textId="77777777" w:rsidR="00DB7697" w:rsidRDefault="00DB7697" w:rsidP="00DB7697">
      <w:pPr>
        <w:jc w:val="both"/>
        <w:rPr>
          <w:rFonts w:ascii="Arial" w:hAnsi="Arial" w:cs="Arial"/>
        </w:rPr>
      </w:pPr>
    </w:p>
    <w:p w14:paraId="39C98CC5" w14:textId="77777777" w:rsidR="00DB7697" w:rsidRPr="00DB7697" w:rsidRDefault="00DB7697" w:rsidP="00DB7697">
      <w:pPr>
        <w:pStyle w:val="BodyText"/>
        <w:spacing w:before="167"/>
        <w:ind w:right="1071"/>
        <w:jc w:val="both"/>
        <w:rPr>
          <w:rFonts w:ascii="Arial" w:hAnsi="Arial" w:cs="Arial"/>
          <w:i/>
        </w:rPr>
      </w:pPr>
      <w:r w:rsidRPr="00DB7697">
        <w:rPr>
          <w:rFonts w:ascii="Arial" w:hAnsi="Arial" w:cs="Arial"/>
        </w:rPr>
        <w:t xml:space="preserve">Andreea, P., Georgescu, L., &amp; Vasile, M. (2015). Compliance and non-compliance behavior of SMEs in Bucharest: A correlation model approach. </w:t>
      </w:r>
      <w:r w:rsidRPr="00DB7697">
        <w:rPr>
          <w:rFonts w:ascii="Arial" w:hAnsi="Arial" w:cs="Arial"/>
          <w:i/>
        </w:rPr>
        <w:t xml:space="preserve">Journal of Public </w:t>
      </w:r>
      <w:r w:rsidRPr="00DB7697">
        <w:rPr>
          <w:rFonts w:ascii="Arial" w:hAnsi="Arial" w:cs="Arial"/>
          <w:spacing w:val="-2"/>
        </w:rPr>
        <w:t>Economics</w:t>
      </w:r>
      <w:r w:rsidRPr="00DB7697">
        <w:rPr>
          <w:rFonts w:ascii="Arial" w:hAnsi="Arial" w:cs="Arial"/>
          <w:i/>
          <w:spacing w:val="-2"/>
        </w:rPr>
        <w:t>.</w:t>
      </w:r>
    </w:p>
    <w:p w14:paraId="614A27E7" w14:textId="77777777" w:rsidR="00DB7697" w:rsidRDefault="00DB7697" w:rsidP="00DB7697">
      <w:pPr>
        <w:jc w:val="both"/>
        <w:rPr>
          <w:rFonts w:ascii="Arial" w:hAnsi="Arial" w:cs="Arial"/>
        </w:rPr>
      </w:pPr>
      <w:proofErr w:type="spellStart"/>
      <w:r w:rsidRPr="00DB7697">
        <w:rPr>
          <w:rFonts w:ascii="Arial" w:hAnsi="Arial" w:cs="Arial"/>
        </w:rPr>
        <w:t>Kastlunger</w:t>
      </w:r>
      <w:proofErr w:type="spellEnd"/>
      <w:r w:rsidRPr="00DB7697">
        <w:rPr>
          <w:rFonts w:ascii="Arial" w:hAnsi="Arial" w:cs="Arial"/>
        </w:rPr>
        <w:t xml:space="preserve">, B., </w:t>
      </w:r>
      <w:proofErr w:type="spellStart"/>
      <w:r w:rsidRPr="00DB7697">
        <w:rPr>
          <w:rFonts w:ascii="Arial" w:hAnsi="Arial" w:cs="Arial"/>
        </w:rPr>
        <w:t>Kirchler</w:t>
      </w:r>
      <w:proofErr w:type="spellEnd"/>
      <w:r w:rsidRPr="00DB7697">
        <w:rPr>
          <w:rFonts w:ascii="Arial" w:hAnsi="Arial" w:cs="Arial"/>
        </w:rPr>
        <w:t xml:space="preserve">, E., </w:t>
      </w:r>
      <w:proofErr w:type="spellStart"/>
      <w:r w:rsidRPr="00DB7697">
        <w:rPr>
          <w:rFonts w:ascii="Arial" w:hAnsi="Arial" w:cs="Arial"/>
        </w:rPr>
        <w:t>Mittone</w:t>
      </w:r>
      <w:proofErr w:type="spellEnd"/>
      <w:r w:rsidRPr="00DB7697">
        <w:rPr>
          <w:rFonts w:ascii="Arial" w:hAnsi="Arial" w:cs="Arial"/>
        </w:rPr>
        <w:t>, L., &amp; Pitters, J. (2015). The impact of the shadow economy on tax compliance in different cultural contexts. Journal of Economic Psychology, 39, 248-260.</w:t>
      </w:r>
    </w:p>
    <w:p w14:paraId="049B7CD3" w14:textId="7CE9EA82" w:rsidR="00DB7697" w:rsidRDefault="00DB7697" w:rsidP="00DB7697">
      <w:pPr>
        <w:jc w:val="both"/>
        <w:rPr>
          <w:rFonts w:ascii="Arial" w:hAnsi="Arial" w:cs="Arial"/>
        </w:rPr>
      </w:pPr>
      <w:r w:rsidRPr="00DB7697">
        <w:rPr>
          <w:rFonts w:ascii="Arial" w:hAnsi="Arial" w:cs="Arial"/>
        </w:rPr>
        <w:t xml:space="preserve">Luttmer, E. F. P., &amp; Singhal, M. (2014). Tax morale. Journal of Economic Perspectives, 28(4), 149-168. </w:t>
      </w:r>
      <w:hyperlink r:id="rId19">
        <w:r w:rsidRPr="00DB7697">
          <w:rPr>
            <w:rStyle w:val="Hyperlink"/>
            <w:rFonts w:ascii="Arial" w:hAnsi="Arial" w:cs="Arial"/>
            <w:color w:val="auto"/>
            <w:u w:val="none"/>
          </w:rPr>
          <w:t>https://doi.org/10.1257/jep.28.4.149</w:t>
        </w:r>
      </w:hyperlink>
      <w:r>
        <w:rPr>
          <w:rFonts w:ascii="Arial" w:hAnsi="Arial" w:cs="Arial"/>
        </w:rPr>
        <w:t>.</w:t>
      </w:r>
    </w:p>
    <w:p w14:paraId="1CBEF645" w14:textId="77777777" w:rsidR="00DB7697" w:rsidRDefault="00DB7697" w:rsidP="00DB7697">
      <w:pPr>
        <w:jc w:val="both"/>
        <w:rPr>
          <w:rFonts w:ascii="Arial" w:hAnsi="Arial" w:cs="Arial"/>
        </w:rPr>
      </w:pPr>
    </w:p>
    <w:p w14:paraId="3BB040E6" w14:textId="77777777" w:rsidR="00DB7697" w:rsidRPr="00DB7697" w:rsidRDefault="00DB7697" w:rsidP="00DB7697">
      <w:pPr>
        <w:jc w:val="both"/>
        <w:rPr>
          <w:rFonts w:ascii="Arial" w:hAnsi="Arial" w:cs="Arial"/>
        </w:rPr>
      </w:pPr>
      <w:r w:rsidRPr="00DB7697">
        <w:rPr>
          <w:rFonts w:ascii="Arial" w:hAnsi="Arial" w:cs="Arial"/>
        </w:rPr>
        <w:t xml:space="preserve">Awasthi, R., &amp; </w:t>
      </w:r>
      <w:proofErr w:type="spellStart"/>
      <w:r w:rsidRPr="00DB7697">
        <w:rPr>
          <w:rFonts w:ascii="Arial" w:hAnsi="Arial" w:cs="Arial"/>
        </w:rPr>
        <w:t>Engelschalk</w:t>
      </w:r>
      <w:proofErr w:type="spellEnd"/>
      <w:r w:rsidRPr="00DB7697">
        <w:rPr>
          <w:rFonts w:ascii="Arial" w:hAnsi="Arial" w:cs="Arial"/>
        </w:rPr>
        <w:t>, M. (2018). Taxation and the shadow economy: How the tax system can stimulate and enforce the formalization of business activities. The World Bank Group.</w:t>
      </w:r>
    </w:p>
    <w:p w14:paraId="6CFBF530" w14:textId="77777777" w:rsidR="00DB7697" w:rsidRDefault="00DB7697" w:rsidP="00DB7697">
      <w:pPr>
        <w:jc w:val="both"/>
        <w:rPr>
          <w:rFonts w:ascii="Arial" w:hAnsi="Arial" w:cs="Arial"/>
        </w:rPr>
      </w:pPr>
    </w:p>
    <w:p w14:paraId="7FE141DE" w14:textId="77777777" w:rsidR="00CE482F" w:rsidRPr="00CE482F" w:rsidRDefault="00CE482F" w:rsidP="00CE482F">
      <w:pPr>
        <w:rPr>
          <w:rFonts w:ascii="Arial" w:hAnsi="Arial" w:cs="Arial"/>
        </w:rPr>
      </w:pPr>
      <w:r w:rsidRPr="00CE482F">
        <w:rPr>
          <w:rFonts w:ascii="Arial" w:hAnsi="Arial" w:cs="Arial"/>
        </w:rPr>
        <w:t xml:space="preserve">Kahneman, D., &amp; Tversky, A. (2019). Prospect Theory: An Analysis of Decision under Risk. </w:t>
      </w:r>
      <w:proofErr w:type="spellStart"/>
      <w:r w:rsidRPr="00CE482F">
        <w:rPr>
          <w:rFonts w:ascii="Arial" w:hAnsi="Arial" w:cs="Arial"/>
        </w:rPr>
        <w:t>Econometrica</w:t>
      </w:r>
      <w:proofErr w:type="spellEnd"/>
      <w:r w:rsidRPr="00CE482F">
        <w:rPr>
          <w:rFonts w:ascii="Arial" w:hAnsi="Arial" w:cs="Arial"/>
        </w:rPr>
        <w:t>, 47(2), 263-292.</w:t>
      </w:r>
    </w:p>
    <w:p w14:paraId="7FA8E66B" w14:textId="77777777" w:rsidR="00CE482F" w:rsidRPr="00CE482F" w:rsidRDefault="00CE482F" w:rsidP="00CE482F">
      <w:pPr>
        <w:rPr>
          <w:rFonts w:ascii="Arial" w:hAnsi="Arial" w:cs="Arial"/>
        </w:rPr>
      </w:pPr>
    </w:p>
    <w:p w14:paraId="6995A44A" w14:textId="32544EE8" w:rsidR="00CE482F" w:rsidRPr="002D0D93" w:rsidRDefault="00CE482F" w:rsidP="00CE482F">
      <w:pPr>
        <w:jc w:val="both"/>
        <w:rPr>
          <w:rFonts w:ascii="Arial" w:hAnsi="Arial" w:cs="Arial"/>
        </w:rPr>
      </w:pPr>
      <w:proofErr w:type="spellStart"/>
      <w:r w:rsidRPr="002D0D93">
        <w:rPr>
          <w:rFonts w:ascii="Arial" w:hAnsi="Arial" w:cs="Arial"/>
        </w:rPr>
        <w:t>Belahouaoui</w:t>
      </w:r>
      <w:proofErr w:type="spellEnd"/>
      <w:r w:rsidRPr="002D0D93">
        <w:rPr>
          <w:rFonts w:ascii="Arial" w:hAnsi="Arial" w:cs="Arial"/>
        </w:rPr>
        <w:t>,</w:t>
      </w:r>
      <w:r w:rsidRPr="002D0D93">
        <w:rPr>
          <w:rFonts w:ascii="Arial" w:hAnsi="Arial" w:cs="Arial"/>
          <w:spacing w:val="-5"/>
        </w:rPr>
        <w:t xml:space="preserve"> </w:t>
      </w:r>
      <w:r w:rsidRPr="002D0D93">
        <w:rPr>
          <w:rFonts w:ascii="Arial" w:hAnsi="Arial" w:cs="Arial"/>
        </w:rPr>
        <w:t>R.,</w:t>
      </w:r>
      <w:r w:rsidRPr="002D0D93">
        <w:rPr>
          <w:rFonts w:ascii="Arial" w:hAnsi="Arial" w:cs="Arial"/>
          <w:spacing w:val="-5"/>
        </w:rPr>
        <w:t xml:space="preserve"> </w:t>
      </w:r>
      <w:r w:rsidRPr="002D0D93">
        <w:rPr>
          <w:rFonts w:ascii="Arial" w:hAnsi="Arial" w:cs="Arial"/>
        </w:rPr>
        <w:t xml:space="preserve">&amp; </w:t>
      </w:r>
      <w:proofErr w:type="spellStart"/>
      <w:r w:rsidRPr="002D0D93">
        <w:rPr>
          <w:rFonts w:ascii="Arial" w:hAnsi="Arial" w:cs="Arial"/>
        </w:rPr>
        <w:t>Attak</w:t>
      </w:r>
      <w:proofErr w:type="spellEnd"/>
      <w:r w:rsidRPr="002D0D93">
        <w:rPr>
          <w:rFonts w:ascii="Arial" w:hAnsi="Arial" w:cs="Arial"/>
        </w:rPr>
        <w:t>,</w:t>
      </w:r>
      <w:r w:rsidRPr="002D0D93">
        <w:rPr>
          <w:rFonts w:ascii="Arial" w:hAnsi="Arial" w:cs="Arial"/>
          <w:spacing w:val="-1"/>
        </w:rPr>
        <w:t xml:space="preserve"> </w:t>
      </w:r>
      <w:r w:rsidRPr="002D0D93">
        <w:rPr>
          <w:rFonts w:ascii="Arial" w:hAnsi="Arial" w:cs="Arial"/>
        </w:rPr>
        <w:t>E.</w:t>
      </w:r>
      <w:r w:rsidRPr="002D0D93">
        <w:rPr>
          <w:rFonts w:ascii="Arial" w:hAnsi="Arial" w:cs="Arial"/>
          <w:spacing w:val="-1"/>
        </w:rPr>
        <w:t xml:space="preserve"> </w:t>
      </w:r>
      <w:r w:rsidRPr="002D0D93">
        <w:rPr>
          <w:rFonts w:ascii="Arial" w:hAnsi="Arial" w:cs="Arial"/>
        </w:rPr>
        <w:t>H.</w:t>
      </w:r>
      <w:r w:rsidRPr="002D0D93">
        <w:rPr>
          <w:rFonts w:ascii="Arial" w:hAnsi="Arial" w:cs="Arial"/>
          <w:spacing w:val="-1"/>
        </w:rPr>
        <w:t xml:space="preserve"> </w:t>
      </w:r>
      <w:r w:rsidRPr="002D0D93">
        <w:rPr>
          <w:rFonts w:ascii="Arial" w:hAnsi="Arial" w:cs="Arial"/>
        </w:rPr>
        <w:t>(2024). Exploring the relationship between taxpayers</w:t>
      </w:r>
      <w:r w:rsidRPr="002D0D93">
        <w:rPr>
          <w:rFonts w:ascii="Arial" w:hAnsi="Arial" w:cs="Arial"/>
          <w:spacing w:val="-6"/>
        </w:rPr>
        <w:t xml:space="preserve"> </w:t>
      </w:r>
      <w:r w:rsidRPr="002D0D93">
        <w:rPr>
          <w:rFonts w:ascii="Arial" w:hAnsi="Arial" w:cs="Arial"/>
        </w:rPr>
        <w:t>and tax</w:t>
      </w:r>
      <w:r w:rsidRPr="002D0D93">
        <w:rPr>
          <w:rFonts w:ascii="Arial" w:hAnsi="Arial" w:cs="Arial"/>
          <w:spacing w:val="-4"/>
        </w:rPr>
        <w:t xml:space="preserve"> </w:t>
      </w:r>
      <w:r w:rsidRPr="002D0D93">
        <w:rPr>
          <w:rFonts w:ascii="Arial" w:hAnsi="Arial" w:cs="Arial"/>
        </w:rPr>
        <w:t>authorities</w:t>
      </w:r>
      <w:r w:rsidRPr="002D0D93">
        <w:rPr>
          <w:rFonts w:ascii="Arial" w:hAnsi="Arial" w:cs="Arial"/>
          <w:spacing w:val="-5"/>
        </w:rPr>
        <w:t xml:space="preserve"> </w:t>
      </w:r>
      <w:r w:rsidRPr="002D0D93">
        <w:rPr>
          <w:rFonts w:ascii="Arial" w:hAnsi="Arial" w:cs="Arial"/>
        </w:rPr>
        <w:t>in</w:t>
      </w:r>
      <w:r w:rsidRPr="002D0D93">
        <w:rPr>
          <w:rFonts w:ascii="Arial" w:hAnsi="Arial" w:cs="Arial"/>
          <w:spacing w:val="-3"/>
        </w:rPr>
        <w:t xml:space="preserve"> </w:t>
      </w:r>
      <w:r w:rsidRPr="002D0D93">
        <w:rPr>
          <w:rFonts w:ascii="Arial" w:hAnsi="Arial" w:cs="Arial"/>
        </w:rPr>
        <w:t>the</w:t>
      </w:r>
      <w:r w:rsidRPr="002D0D93">
        <w:rPr>
          <w:rFonts w:ascii="Arial" w:hAnsi="Arial" w:cs="Arial"/>
          <w:spacing w:val="-3"/>
        </w:rPr>
        <w:t xml:space="preserve"> </w:t>
      </w:r>
      <w:r w:rsidRPr="002D0D93">
        <w:rPr>
          <w:rFonts w:ascii="Arial" w:hAnsi="Arial" w:cs="Arial"/>
        </w:rPr>
        <w:t>digital</w:t>
      </w:r>
      <w:r w:rsidRPr="002D0D93">
        <w:rPr>
          <w:rFonts w:ascii="Arial" w:hAnsi="Arial" w:cs="Arial"/>
          <w:spacing w:val="-5"/>
        </w:rPr>
        <w:t xml:space="preserve"> </w:t>
      </w:r>
      <w:r w:rsidRPr="002D0D93">
        <w:rPr>
          <w:rFonts w:ascii="Arial" w:hAnsi="Arial" w:cs="Arial"/>
        </w:rPr>
        <w:t>era:</w:t>
      </w:r>
      <w:r w:rsidRPr="002D0D93">
        <w:rPr>
          <w:rFonts w:ascii="Arial" w:hAnsi="Arial" w:cs="Arial"/>
          <w:spacing w:val="-3"/>
        </w:rPr>
        <w:t xml:space="preserve"> </w:t>
      </w:r>
      <w:r w:rsidRPr="002D0D93">
        <w:rPr>
          <w:rFonts w:ascii="Arial" w:hAnsi="Arial" w:cs="Arial"/>
        </w:rPr>
        <w:t>evidence</w:t>
      </w:r>
      <w:r w:rsidRPr="002D0D93">
        <w:rPr>
          <w:rFonts w:ascii="Arial" w:hAnsi="Arial" w:cs="Arial"/>
          <w:spacing w:val="-3"/>
        </w:rPr>
        <w:t xml:space="preserve"> </w:t>
      </w:r>
      <w:r w:rsidRPr="002D0D93">
        <w:rPr>
          <w:rFonts w:ascii="Arial" w:hAnsi="Arial" w:cs="Arial"/>
        </w:rPr>
        <w:t>on</w:t>
      </w:r>
      <w:r w:rsidRPr="002D0D93">
        <w:rPr>
          <w:rFonts w:ascii="Arial" w:hAnsi="Arial" w:cs="Arial"/>
          <w:spacing w:val="-3"/>
        </w:rPr>
        <w:t xml:space="preserve"> </w:t>
      </w:r>
      <w:r w:rsidRPr="002D0D93">
        <w:rPr>
          <w:rFonts w:ascii="Arial" w:hAnsi="Arial" w:cs="Arial"/>
        </w:rPr>
        <w:t>tax</w:t>
      </w:r>
      <w:r w:rsidRPr="002D0D93">
        <w:rPr>
          <w:rFonts w:ascii="Arial" w:hAnsi="Arial" w:cs="Arial"/>
          <w:spacing w:val="-5"/>
        </w:rPr>
        <w:t xml:space="preserve"> </w:t>
      </w:r>
      <w:r w:rsidRPr="002D0D93">
        <w:rPr>
          <w:rFonts w:ascii="Arial" w:hAnsi="Arial" w:cs="Arial"/>
        </w:rPr>
        <w:t>compliance</w:t>
      </w:r>
      <w:r w:rsidRPr="002D0D93">
        <w:rPr>
          <w:rFonts w:ascii="Arial" w:hAnsi="Arial" w:cs="Arial"/>
          <w:spacing w:val="-3"/>
        </w:rPr>
        <w:t xml:space="preserve"> </w:t>
      </w:r>
      <w:r w:rsidRPr="002D0D93">
        <w:rPr>
          <w:rFonts w:ascii="Arial" w:hAnsi="Arial" w:cs="Arial"/>
        </w:rPr>
        <w:t>behavior</w:t>
      </w:r>
      <w:r w:rsidRPr="002D0D93">
        <w:rPr>
          <w:rFonts w:ascii="Arial" w:hAnsi="Arial" w:cs="Arial"/>
          <w:spacing w:val="-1"/>
        </w:rPr>
        <w:t xml:space="preserve"> </w:t>
      </w:r>
      <w:r w:rsidRPr="002D0D93">
        <w:rPr>
          <w:rFonts w:ascii="Arial" w:hAnsi="Arial" w:cs="Arial"/>
        </w:rPr>
        <w:t>in</w:t>
      </w:r>
      <w:r w:rsidRPr="002D0D93">
        <w:rPr>
          <w:rFonts w:ascii="Arial" w:hAnsi="Arial" w:cs="Arial"/>
          <w:spacing w:val="-3"/>
        </w:rPr>
        <w:t xml:space="preserve"> </w:t>
      </w:r>
      <w:r w:rsidRPr="002D0D93">
        <w:rPr>
          <w:rFonts w:ascii="Arial" w:hAnsi="Arial" w:cs="Arial"/>
        </w:rPr>
        <w:t>emerging economies. International Journal of Law and Management.</w:t>
      </w:r>
    </w:p>
    <w:p w14:paraId="3AEFB16B" w14:textId="77777777" w:rsidR="00DB7697" w:rsidRPr="00DB7697" w:rsidRDefault="00DB7697" w:rsidP="00DB7697">
      <w:pPr>
        <w:jc w:val="both"/>
        <w:rPr>
          <w:rFonts w:ascii="Arial" w:hAnsi="Arial" w:cs="Arial"/>
        </w:rPr>
      </w:pPr>
    </w:p>
    <w:p w14:paraId="5EF9A5A5" w14:textId="3256980D" w:rsidR="002D0D93" w:rsidRDefault="00CE482F" w:rsidP="002D0D93">
      <w:pPr>
        <w:jc w:val="both"/>
        <w:rPr>
          <w:rFonts w:ascii="Arial" w:hAnsi="Arial" w:cs="Arial"/>
        </w:rPr>
      </w:pPr>
      <w:r w:rsidRPr="002D0D93">
        <w:rPr>
          <w:rFonts w:ascii="Arial" w:hAnsi="Arial" w:cs="Arial"/>
        </w:rPr>
        <w:t xml:space="preserve"> </w:t>
      </w:r>
      <w:r w:rsidR="002D0D93" w:rsidRPr="002D0D93">
        <w:rPr>
          <w:rFonts w:ascii="Arial" w:hAnsi="Arial" w:cs="Arial"/>
        </w:rPr>
        <w:t>Baldini, M., et al. (2018). Tax Compliance and the Role of Tax Morale in the European Union. European Journal of Political Economy, 54, 120-132.</w:t>
      </w:r>
    </w:p>
    <w:p w14:paraId="22216819" w14:textId="77777777" w:rsidR="002D0D93" w:rsidRDefault="002D0D93" w:rsidP="002D0D93">
      <w:pPr>
        <w:jc w:val="both"/>
        <w:rPr>
          <w:rFonts w:ascii="Arial" w:hAnsi="Arial" w:cs="Arial"/>
        </w:rPr>
      </w:pPr>
    </w:p>
    <w:p w14:paraId="42EEA187" w14:textId="77777777" w:rsidR="002D0D93" w:rsidRPr="002D0D93" w:rsidRDefault="002D0D93" w:rsidP="002D0D93">
      <w:pPr>
        <w:jc w:val="both"/>
        <w:rPr>
          <w:rFonts w:ascii="Arial" w:hAnsi="Arial" w:cs="Arial"/>
        </w:rPr>
      </w:pPr>
      <w:r w:rsidRPr="002D0D93">
        <w:rPr>
          <w:rFonts w:ascii="Arial" w:hAnsi="Arial" w:cs="Arial"/>
        </w:rPr>
        <w:t>Alm, J., &amp; Torgler, B. (2019). Culture and Tax Compliance: A Global Perspective.</w:t>
      </w:r>
    </w:p>
    <w:p w14:paraId="57B7879E" w14:textId="77777777" w:rsidR="002D0D93" w:rsidRPr="002D0D93" w:rsidRDefault="002D0D93" w:rsidP="002D0D93">
      <w:pPr>
        <w:jc w:val="both"/>
        <w:rPr>
          <w:rFonts w:ascii="Arial" w:hAnsi="Arial" w:cs="Arial"/>
        </w:rPr>
      </w:pPr>
      <w:r w:rsidRPr="002D0D93">
        <w:rPr>
          <w:rFonts w:ascii="Arial" w:hAnsi="Arial" w:cs="Arial"/>
        </w:rPr>
        <w:t>International Tax and Public Finance, 26(4), 1010-1035.</w:t>
      </w:r>
    </w:p>
    <w:p w14:paraId="0C3127D8" w14:textId="77777777" w:rsidR="002D0D93" w:rsidRDefault="002D0D93" w:rsidP="002D0D93">
      <w:pPr>
        <w:jc w:val="both"/>
        <w:rPr>
          <w:rFonts w:ascii="Arial" w:hAnsi="Arial" w:cs="Arial"/>
        </w:rPr>
      </w:pPr>
    </w:p>
    <w:p w14:paraId="5A1114A6" w14:textId="15C1F06A" w:rsidR="002D0D93" w:rsidRDefault="002D0D93" w:rsidP="002D0D93">
      <w:pPr>
        <w:jc w:val="both"/>
        <w:rPr>
          <w:rFonts w:ascii="Arial" w:hAnsi="Arial" w:cs="Arial"/>
        </w:rPr>
      </w:pPr>
      <w:proofErr w:type="spellStart"/>
      <w:r w:rsidRPr="002D0D93">
        <w:rPr>
          <w:rFonts w:ascii="Arial" w:hAnsi="Arial" w:cs="Arial"/>
        </w:rPr>
        <w:t>Pacaldo</w:t>
      </w:r>
      <w:proofErr w:type="spellEnd"/>
      <w:r w:rsidRPr="002D0D93">
        <w:rPr>
          <w:rFonts w:ascii="Arial" w:hAnsi="Arial" w:cs="Arial"/>
        </w:rPr>
        <w:t xml:space="preserve">, R. S., &amp; Ferrer, R. C. (2020). Determinants of tax morale using structural </w:t>
      </w:r>
      <w:proofErr w:type="spellStart"/>
      <w:r w:rsidRPr="002D0D93">
        <w:rPr>
          <w:rFonts w:ascii="Arial" w:hAnsi="Arial" w:cs="Arial"/>
        </w:rPr>
        <w:t>equationmodel</w:t>
      </w:r>
      <w:proofErr w:type="spellEnd"/>
      <w:r w:rsidRPr="002D0D93">
        <w:rPr>
          <w:rFonts w:ascii="Arial" w:hAnsi="Arial" w:cs="Arial"/>
        </w:rPr>
        <w:t xml:space="preserve"> (SEM). DLSU Business and Economics Review, 29(2), 40-57.https://</w:t>
      </w:r>
      <w:hyperlink r:id="rId20">
        <w:r w:rsidRPr="002D0D93">
          <w:rPr>
            <w:rStyle w:val="Hyperlink"/>
            <w:rFonts w:ascii="Arial" w:hAnsi="Arial" w:cs="Arial"/>
            <w:color w:val="auto"/>
            <w:u w:val="none"/>
          </w:rPr>
          <w:t>www.researchgate.net/profile/Raymond-Pacaldo-</w:t>
        </w:r>
      </w:hyperlink>
      <w:r w:rsidRPr="002D0D93">
        <w:rPr>
          <w:rFonts w:ascii="Arial" w:hAnsi="Arial" w:cs="Arial"/>
        </w:rPr>
        <w:t>/publication/344739865_Determinants_of_Tax_Morale_using_Structural_Equati on_Model_SEM/links/5f8d427692851c14bcd2a86b/Determinants-of-Tax-Morale- using- Structural-Equation-Model-SEM.pdf?</w:t>
      </w:r>
    </w:p>
    <w:p w14:paraId="58A49D22" w14:textId="77777777" w:rsidR="002D0D93" w:rsidRDefault="002D0D93" w:rsidP="002D0D93">
      <w:pPr>
        <w:jc w:val="both"/>
        <w:rPr>
          <w:rFonts w:ascii="Arial" w:hAnsi="Arial" w:cs="Arial"/>
        </w:rPr>
      </w:pPr>
    </w:p>
    <w:p w14:paraId="4F118066" w14:textId="76B3979F" w:rsidR="002D0D93" w:rsidRPr="002D0D93" w:rsidRDefault="002D0D93" w:rsidP="002D0D93">
      <w:pPr>
        <w:jc w:val="both"/>
        <w:rPr>
          <w:rFonts w:ascii="Arial" w:hAnsi="Arial" w:cs="Arial"/>
        </w:rPr>
      </w:pPr>
      <w:r w:rsidRPr="002D0D93">
        <w:rPr>
          <w:rFonts w:ascii="Arial" w:hAnsi="Arial" w:cs="Arial"/>
        </w:rPr>
        <w:t>Nguyen, H. T., &amp; Darsono, S. N. A. C. (2022). The Impacts of Tax Revenue and Investment on the Economic Growth in Southeast Asian Countries. Journal of Accounting</w:t>
      </w:r>
      <w:r w:rsidRPr="002D0D93">
        <w:rPr>
          <w:rFonts w:ascii="Arial" w:hAnsi="Arial" w:cs="Arial"/>
        </w:rPr>
        <w:tab/>
        <w:t>and</w:t>
      </w:r>
      <w:r>
        <w:rPr>
          <w:rFonts w:ascii="Arial" w:hAnsi="Arial" w:cs="Arial"/>
        </w:rPr>
        <w:t xml:space="preserve"> </w:t>
      </w:r>
      <w:r w:rsidRPr="002D0D93">
        <w:rPr>
          <w:rFonts w:ascii="Arial" w:hAnsi="Arial" w:cs="Arial"/>
        </w:rPr>
        <w:t>Investment,</w:t>
      </w:r>
      <w:r w:rsidRPr="002D0D93">
        <w:rPr>
          <w:rFonts w:ascii="Arial" w:hAnsi="Arial" w:cs="Arial"/>
        </w:rPr>
        <w:tab/>
        <w:t>23(1),</w:t>
      </w:r>
      <w:r w:rsidRPr="002D0D93">
        <w:rPr>
          <w:rFonts w:ascii="Arial" w:hAnsi="Arial" w:cs="Arial"/>
        </w:rPr>
        <w:tab/>
        <w:t>128–146.</w:t>
      </w:r>
      <w:r w:rsidRPr="002D0D93">
        <w:rPr>
          <w:rFonts w:ascii="Arial" w:hAnsi="Arial" w:cs="Arial"/>
        </w:rPr>
        <w:tab/>
        <w:t xml:space="preserve">DOI: </w:t>
      </w:r>
      <w:hyperlink r:id="rId21">
        <w:r w:rsidRPr="002D0D93">
          <w:rPr>
            <w:rStyle w:val="Hyperlink"/>
            <w:rFonts w:ascii="Arial" w:hAnsi="Arial" w:cs="Arial"/>
            <w:color w:val="auto"/>
            <w:u w:val="none"/>
          </w:rPr>
          <w:t>https://doi.org/10.18196/jai.v23i1.13270</w:t>
        </w:r>
      </w:hyperlink>
      <w:r w:rsidRPr="002D0D93">
        <w:rPr>
          <w:rFonts w:ascii="Arial" w:hAnsi="Arial" w:cs="Arial"/>
        </w:rPr>
        <w:t>.</w:t>
      </w:r>
    </w:p>
    <w:p w14:paraId="52223073" w14:textId="77777777" w:rsidR="002D0D93" w:rsidRDefault="002D0D93" w:rsidP="002D0D93">
      <w:pPr>
        <w:jc w:val="both"/>
        <w:rPr>
          <w:rFonts w:ascii="Arial" w:hAnsi="Arial" w:cs="Arial"/>
        </w:rPr>
      </w:pPr>
    </w:p>
    <w:p w14:paraId="08F10E23" w14:textId="175C5CD2" w:rsidR="002D0D93" w:rsidRPr="002D0D93" w:rsidRDefault="002D0D93" w:rsidP="002D0D93">
      <w:pPr>
        <w:jc w:val="both"/>
        <w:rPr>
          <w:rFonts w:ascii="Arial" w:hAnsi="Arial" w:cs="Arial"/>
        </w:rPr>
      </w:pPr>
      <w:r w:rsidRPr="002D0D93">
        <w:rPr>
          <w:rFonts w:ascii="Arial" w:hAnsi="Arial" w:cs="Arial"/>
        </w:rPr>
        <w:t xml:space="preserve">De Castro, J. A. C., Cordero, M. J. D., De Chavez, J. R., Gabia, M. F. P., Mortel, S. A. A., </w:t>
      </w:r>
      <w:proofErr w:type="spellStart"/>
      <w:r w:rsidRPr="002D0D93">
        <w:rPr>
          <w:rFonts w:ascii="Arial" w:hAnsi="Arial" w:cs="Arial"/>
        </w:rPr>
        <w:t>Yortas</w:t>
      </w:r>
      <w:proofErr w:type="spellEnd"/>
      <w:r w:rsidRPr="002D0D93">
        <w:rPr>
          <w:rFonts w:ascii="Arial" w:hAnsi="Arial" w:cs="Arial"/>
        </w:rPr>
        <w:t xml:space="preserve">, J. C., ... &amp; </w:t>
      </w:r>
      <w:proofErr w:type="spellStart"/>
      <w:r w:rsidRPr="002D0D93">
        <w:rPr>
          <w:rFonts w:ascii="Arial" w:hAnsi="Arial" w:cs="Arial"/>
        </w:rPr>
        <w:t>Pateña</w:t>
      </w:r>
      <w:proofErr w:type="spellEnd"/>
      <w:r w:rsidRPr="002D0D93">
        <w:rPr>
          <w:rFonts w:ascii="Arial" w:hAnsi="Arial" w:cs="Arial"/>
        </w:rPr>
        <w:t xml:space="preserve">, A. D. (2015). Awareness on BIR e-Filing and Payment </w:t>
      </w:r>
      <w:proofErr w:type="spellStart"/>
      <w:r w:rsidRPr="002D0D93">
        <w:rPr>
          <w:rFonts w:ascii="Arial" w:hAnsi="Arial" w:cs="Arial"/>
        </w:rPr>
        <w:t>Ssystem</w:t>
      </w:r>
      <w:proofErr w:type="spellEnd"/>
      <w:r w:rsidRPr="002D0D93">
        <w:rPr>
          <w:rFonts w:ascii="Arial" w:hAnsi="Arial" w:cs="Arial"/>
        </w:rPr>
        <w:t>: Basis for Efficient Revenue Transactions. Asia Pacific Journal of Academic   Research   in   Business   Administration, 1(1),</w:t>
      </w:r>
      <w:r w:rsidR="00412D0D">
        <w:rPr>
          <w:rFonts w:ascii="Arial" w:hAnsi="Arial" w:cs="Arial"/>
        </w:rPr>
        <w:t xml:space="preserve"> </w:t>
      </w:r>
      <w:r w:rsidRPr="002D0D93">
        <w:rPr>
          <w:rFonts w:ascii="Arial" w:hAnsi="Arial" w:cs="Arial"/>
        </w:rPr>
        <w:t>32-40.</w:t>
      </w:r>
      <w:r>
        <w:rPr>
          <w:rFonts w:ascii="Arial" w:hAnsi="Arial" w:cs="Arial"/>
        </w:rPr>
        <w:t xml:space="preserve"> </w:t>
      </w:r>
      <w:hyperlink r:id="rId22">
        <w:r w:rsidRPr="002D0D93">
          <w:rPr>
            <w:rStyle w:val="Hyperlink"/>
            <w:rFonts w:ascii="Arial" w:hAnsi="Arial" w:cs="Arial"/>
            <w:color w:val="auto"/>
            <w:u w:val="none"/>
          </w:rPr>
          <w:t>https://research.lpubatangas.edu.ph/wp-content/uploads/2015/05/APJARBA-</w:t>
        </w:r>
      </w:hyperlink>
      <w:r w:rsidRPr="002D0D93">
        <w:rPr>
          <w:rFonts w:ascii="Arial" w:hAnsi="Arial" w:cs="Arial"/>
        </w:rPr>
        <w:t xml:space="preserve"> </w:t>
      </w:r>
      <w:hyperlink r:id="rId23">
        <w:r w:rsidRPr="002D0D93">
          <w:rPr>
            <w:rStyle w:val="Hyperlink"/>
            <w:rFonts w:ascii="Arial" w:hAnsi="Arial" w:cs="Arial"/>
            <w:color w:val="auto"/>
            <w:u w:val="none"/>
          </w:rPr>
          <w:t>2015-1-</w:t>
        </w:r>
        <w:r w:rsidRPr="002D0D93">
          <w:rPr>
            <w:rStyle w:val="Hyperlink"/>
            <w:rFonts w:ascii="Arial" w:hAnsi="Arial" w:cs="Arial"/>
            <w:color w:val="auto"/>
            <w:u w:val="none"/>
          </w:rPr>
          <w:tab/>
          <w:t>004-Awareness-on-BIR-E-Filing-and-Payment-System.pdf</w:t>
        </w:r>
      </w:hyperlink>
    </w:p>
    <w:p w14:paraId="185AD4AF" w14:textId="77777777" w:rsidR="002D0D93" w:rsidRPr="002D0D93" w:rsidRDefault="002D0D93" w:rsidP="002D0D93">
      <w:pPr>
        <w:jc w:val="both"/>
        <w:rPr>
          <w:rFonts w:ascii="Arial" w:hAnsi="Arial" w:cs="Arial"/>
        </w:rPr>
      </w:pPr>
    </w:p>
    <w:p w14:paraId="2423176A" w14:textId="4ECDACAB" w:rsidR="002D0D93" w:rsidRPr="002D0D93" w:rsidRDefault="002D0D93" w:rsidP="002D0D93">
      <w:pPr>
        <w:jc w:val="both"/>
        <w:rPr>
          <w:rFonts w:ascii="Arial" w:hAnsi="Arial" w:cs="Arial"/>
        </w:rPr>
      </w:pPr>
      <w:r w:rsidRPr="002D0D93">
        <w:rPr>
          <w:rFonts w:ascii="Arial" w:hAnsi="Arial" w:cs="Arial"/>
        </w:rPr>
        <w:t>United Nations Economic and Social Commission for Asia and the Pacific.</w:t>
      </w:r>
      <w:r>
        <w:rPr>
          <w:rFonts w:ascii="Arial" w:hAnsi="Arial" w:cs="Arial"/>
        </w:rPr>
        <w:t xml:space="preserve"> </w:t>
      </w:r>
      <w:r w:rsidRPr="002D0D93">
        <w:rPr>
          <w:rFonts w:ascii="Arial" w:hAnsi="Arial" w:cs="Arial"/>
        </w:rPr>
        <w:t xml:space="preserve">(2023). The digitalization of tax administrations in Asia and the Pacific: a manual for practitioners. </w:t>
      </w:r>
      <w:hyperlink r:id="rId24">
        <w:r w:rsidRPr="002D0D93">
          <w:rPr>
            <w:rStyle w:val="Hyperlink"/>
            <w:rFonts w:ascii="Arial" w:hAnsi="Arial" w:cs="Arial"/>
            <w:color w:val="auto"/>
            <w:u w:val="none"/>
          </w:rPr>
          <w:t>https://hdl.handle.net/20.500.12870/5291</w:t>
        </w:r>
      </w:hyperlink>
      <w:r w:rsidRPr="002D0D93">
        <w:rPr>
          <w:rFonts w:ascii="Arial" w:hAnsi="Arial" w:cs="Arial"/>
        </w:rPr>
        <w:t>.</w:t>
      </w:r>
    </w:p>
    <w:p w14:paraId="3F3B22B3" w14:textId="7146140C" w:rsidR="00DB7697" w:rsidRDefault="00DB7697" w:rsidP="00DB7697">
      <w:pPr>
        <w:jc w:val="both"/>
        <w:rPr>
          <w:rFonts w:ascii="Arial" w:hAnsi="Arial" w:cs="Arial"/>
        </w:rPr>
      </w:pPr>
    </w:p>
    <w:p w14:paraId="21B0D24D" w14:textId="77777777" w:rsidR="00412D0D" w:rsidRPr="00412D0D" w:rsidRDefault="00412D0D" w:rsidP="00412D0D">
      <w:pPr>
        <w:jc w:val="both"/>
      </w:pPr>
      <w:proofErr w:type="spellStart"/>
      <w:r w:rsidRPr="00412D0D">
        <w:t>Akmed</w:t>
      </w:r>
      <w:proofErr w:type="spellEnd"/>
      <w:r w:rsidRPr="00412D0D">
        <w:t xml:space="preserve">, J &amp; </w:t>
      </w:r>
      <w:proofErr w:type="spellStart"/>
      <w:r w:rsidRPr="00412D0D">
        <w:t>Masnona</w:t>
      </w:r>
      <w:proofErr w:type="spellEnd"/>
      <w:r w:rsidRPr="00412D0D">
        <w:t xml:space="preserve"> A. (2024). Assessment on doing business at the Bureau of Internal Revenue-Jolo: Taxpayers’ perspective. SOCIAL PSYCHOLOGY AND HUMAN EXPERIENCE. 1. 1-15 10.62596/p2x2xn44.</w:t>
      </w:r>
    </w:p>
    <w:p w14:paraId="3E57366D" w14:textId="77777777" w:rsidR="002D0D93" w:rsidRPr="00DB7697" w:rsidRDefault="002D0D93" w:rsidP="00DB7697">
      <w:pPr>
        <w:jc w:val="both"/>
        <w:rPr>
          <w:rFonts w:ascii="Arial" w:hAnsi="Arial" w:cs="Arial"/>
        </w:rPr>
      </w:pPr>
    </w:p>
    <w:p w14:paraId="4D410696" w14:textId="7EEE67CB" w:rsidR="00412D0D" w:rsidRDefault="00412D0D" w:rsidP="00412D0D">
      <w:pPr>
        <w:jc w:val="both"/>
      </w:pPr>
      <w:r w:rsidRPr="00412D0D">
        <w:rPr>
          <w:rFonts w:ascii="Arial" w:hAnsi="Arial" w:cs="Arial"/>
        </w:rPr>
        <w:t>DOF, (2024). BIR ramps up tax compliance and enforcement drives in 2023, results in higher collection</w:t>
      </w:r>
      <w:r w:rsidRPr="00412D0D">
        <w:rPr>
          <w:rFonts w:ascii="Arial" w:hAnsi="Arial" w:cs="Arial"/>
        </w:rPr>
        <w:tab/>
        <w:t>performance.</w:t>
      </w:r>
      <w:r w:rsidRPr="00412D0D">
        <w:rPr>
          <w:rFonts w:ascii="Arial" w:hAnsi="Arial" w:cs="Arial"/>
        </w:rPr>
        <w:tab/>
        <w:t>Department</w:t>
      </w:r>
      <w:r w:rsidRPr="00412D0D">
        <w:rPr>
          <w:rFonts w:ascii="Arial" w:hAnsi="Arial" w:cs="Arial"/>
        </w:rPr>
        <w:tab/>
        <w:t>of</w:t>
      </w:r>
      <w:r w:rsidRPr="00412D0D">
        <w:rPr>
          <w:rFonts w:ascii="Arial" w:hAnsi="Arial" w:cs="Arial"/>
        </w:rPr>
        <w:tab/>
        <w:t>Finance. https://</w:t>
      </w:r>
      <w:hyperlink r:id="rId25">
        <w:r w:rsidRPr="00412D0D">
          <w:rPr>
            <w:rStyle w:val="Hyperlink"/>
            <w:rFonts w:ascii="Arial" w:hAnsi="Arial" w:cs="Arial"/>
            <w:color w:val="auto"/>
            <w:u w:val="none"/>
          </w:rPr>
          <w:t>www.dof.gov.ph/bir-</w:t>
        </w:r>
      </w:hyperlink>
      <w:r w:rsidRPr="00412D0D">
        <w:rPr>
          <w:rFonts w:ascii="Arial" w:hAnsi="Arial" w:cs="Arial"/>
        </w:rPr>
        <w:t xml:space="preserve"> ramps- up-tax-compliance-and-enforcement-drives- in-2023-results-in-higher-</w:t>
      </w:r>
      <w:r>
        <w:rPr>
          <w:rFonts w:ascii="Arial" w:hAnsi="Arial" w:cs="Arial"/>
        </w:rPr>
        <w:t xml:space="preserve"> </w:t>
      </w:r>
      <w:r w:rsidRPr="00412D0D">
        <w:rPr>
          <w:rFonts w:ascii="Arial" w:hAnsi="Arial" w:cs="Arial"/>
        </w:rPr>
        <w:t>collection-</w:t>
      </w:r>
      <w:r>
        <w:t>performance/?cf_chl_tk=gaqPYovux0Pz6Xh0RZ9xguNqLLmzpLgIN3lZRYWfs Y8</w:t>
      </w:r>
      <w:proofErr w:type="gramStart"/>
      <w:r>
        <w:t>-</w:t>
      </w:r>
      <w:r>
        <w:rPr>
          <w:spacing w:val="80"/>
        </w:rPr>
        <w:t xml:space="preserve">  </w:t>
      </w:r>
      <w:r>
        <w:t>1730943207</w:t>
      </w:r>
      <w:proofErr w:type="gramEnd"/>
      <w:r>
        <w:t>-1.0.1.1-y3ZlGfs9o0FgdFjSxnJREw.EF7Tgac5ryB4fLl18puI.</w:t>
      </w:r>
    </w:p>
    <w:p w14:paraId="512D4D41" w14:textId="77777777" w:rsidR="00412D0D" w:rsidRDefault="00412D0D" w:rsidP="00412D0D">
      <w:pPr>
        <w:jc w:val="both"/>
      </w:pPr>
    </w:p>
    <w:p w14:paraId="4D125058" w14:textId="6EBF728F" w:rsidR="00412D0D" w:rsidRDefault="00412D0D" w:rsidP="00412D0D">
      <w:pPr>
        <w:rPr>
          <w:rFonts w:ascii="Arial" w:hAnsi="Arial" w:cs="Arial"/>
        </w:rPr>
      </w:pPr>
      <w:r w:rsidRPr="00412D0D">
        <w:rPr>
          <w:rFonts w:ascii="Arial" w:hAnsi="Arial" w:cs="Arial"/>
        </w:rPr>
        <w:t>Rosid, A., Evans, C., &amp; Tran-Nam, B. (2018). Tax Non-Compliance and Perceptions of Corruption: Policy Implications for Developing Countries. Bulletin of Indonesian</w:t>
      </w:r>
      <w:r>
        <w:rPr>
          <w:rFonts w:ascii="Arial" w:hAnsi="Arial" w:cs="Arial"/>
        </w:rPr>
        <w:t xml:space="preserve"> </w:t>
      </w:r>
      <w:proofErr w:type="spellStart"/>
      <w:r w:rsidRPr="00412D0D">
        <w:rPr>
          <w:rFonts w:ascii="Arial" w:hAnsi="Arial" w:cs="Arial"/>
        </w:rPr>
        <w:t>EconomicStudies</w:t>
      </w:r>
      <w:proofErr w:type="spellEnd"/>
      <w:r w:rsidRPr="00412D0D">
        <w:rPr>
          <w:rFonts w:ascii="Arial" w:hAnsi="Arial" w:cs="Arial"/>
        </w:rPr>
        <w:t>, 54(1),</w:t>
      </w:r>
      <w:r w:rsidRPr="00412D0D">
        <w:rPr>
          <w:rFonts w:ascii="Arial" w:hAnsi="Arial" w:cs="Arial"/>
        </w:rPr>
        <w:tab/>
        <w:t>25–60.</w:t>
      </w:r>
      <w:r w:rsidRPr="00412D0D">
        <w:rPr>
          <w:rFonts w:ascii="Arial" w:hAnsi="Arial" w:cs="Arial"/>
        </w:rPr>
        <w:tab/>
        <w:t>DOI:</w:t>
      </w:r>
      <w:r>
        <w:rPr>
          <w:rFonts w:ascii="Arial" w:hAnsi="Arial" w:cs="Arial"/>
        </w:rPr>
        <w:t xml:space="preserve"> </w:t>
      </w:r>
      <w:r w:rsidRPr="00412D0D">
        <w:rPr>
          <w:rFonts w:ascii="Arial" w:hAnsi="Arial" w:cs="Arial"/>
        </w:rPr>
        <w:t>https://doi.org/10.1080/00074918.2017.1364349.</w:t>
      </w:r>
    </w:p>
    <w:p w14:paraId="5C5BF787" w14:textId="77777777" w:rsidR="00412D0D" w:rsidRDefault="00412D0D" w:rsidP="00412D0D">
      <w:pPr>
        <w:rPr>
          <w:rFonts w:ascii="Arial" w:hAnsi="Arial" w:cs="Arial"/>
        </w:rPr>
      </w:pPr>
    </w:p>
    <w:p w14:paraId="3EB813AC" w14:textId="77777777" w:rsidR="00412D0D" w:rsidRPr="00412D0D" w:rsidRDefault="00412D0D" w:rsidP="00412D0D">
      <w:pPr>
        <w:jc w:val="both"/>
        <w:rPr>
          <w:rFonts w:ascii="Arial" w:hAnsi="Arial" w:cs="Arial"/>
        </w:rPr>
      </w:pPr>
      <w:r w:rsidRPr="00412D0D">
        <w:rPr>
          <w:rFonts w:ascii="Arial" w:hAnsi="Arial" w:cs="Arial"/>
        </w:rPr>
        <w:t xml:space="preserve">Gandia, Giann Carlo V. and </w:t>
      </w:r>
      <w:proofErr w:type="spellStart"/>
      <w:r w:rsidRPr="00412D0D">
        <w:rPr>
          <w:rFonts w:ascii="Arial" w:hAnsi="Arial" w:cs="Arial"/>
        </w:rPr>
        <w:t>Vigonte</w:t>
      </w:r>
      <w:proofErr w:type="spellEnd"/>
      <w:r w:rsidRPr="00412D0D">
        <w:rPr>
          <w:rFonts w:ascii="Arial" w:hAnsi="Arial" w:cs="Arial"/>
        </w:rPr>
        <w:t xml:space="preserve">, Florinda and </w:t>
      </w:r>
      <w:proofErr w:type="spellStart"/>
      <w:r w:rsidRPr="00412D0D">
        <w:rPr>
          <w:rFonts w:ascii="Arial" w:hAnsi="Arial" w:cs="Arial"/>
        </w:rPr>
        <w:t>Abante</w:t>
      </w:r>
      <w:proofErr w:type="spellEnd"/>
      <w:r w:rsidRPr="00412D0D">
        <w:rPr>
          <w:rFonts w:ascii="Arial" w:hAnsi="Arial" w:cs="Arial"/>
        </w:rPr>
        <w:t xml:space="preserve">, </w:t>
      </w:r>
      <w:proofErr w:type="spellStart"/>
      <w:r w:rsidRPr="00412D0D">
        <w:rPr>
          <w:rFonts w:ascii="Arial" w:hAnsi="Arial" w:cs="Arial"/>
        </w:rPr>
        <w:t>Marmelo</w:t>
      </w:r>
      <w:proofErr w:type="spellEnd"/>
      <w:r w:rsidRPr="00412D0D">
        <w:rPr>
          <w:rFonts w:ascii="Arial" w:hAnsi="Arial" w:cs="Arial"/>
        </w:rPr>
        <w:t xml:space="preserve"> V., (2024). Assessing </w:t>
      </w:r>
      <w:proofErr w:type="gramStart"/>
      <w:r w:rsidRPr="00412D0D">
        <w:rPr>
          <w:rFonts w:ascii="Arial" w:hAnsi="Arial" w:cs="Arial"/>
        </w:rPr>
        <w:t>the  Efficacy</w:t>
      </w:r>
      <w:proofErr w:type="gramEnd"/>
      <w:r w:rsidRPr="00412D0D">
        <w:rPr>
          <w:rFonts w:ascii="Arial" w:hAnsi="Arial" w:cs="Arial"/>
        </w:rPr>
        <w:tab/>
        <w:t>and Challenges of Tax Collection in the Philippines. Available   at</w:t>
      </w:r>
    </w:p>
    <w:p w14:paraId="36D78261" w14:textId="77777777" w:rsidR="00412D0D" w:rsidRPr="00412D0D" w:rsidRDefault="00412D0D" w:rsidP="00412D0D">
      <w:pPr>
        <w:jc w:val="both"/>
        <w:rPr>
          <w:rFonts w:ascii="Arial" w:hAnsi="Arial" w:cs="Arial"/>
        </w:rPr>
      </w:pPr>
      <w:r w:rsidRPr="00412D0D">
        <w:rPr>
          <w:rFonts w:ascii="Arial" w:hAnsi="Arial" w:cs="Arial"/>
        </w:rPr>
        <w:t xml:space="preserve">SSRN: </w:t>
      </w:r>
      <w:hyperlink r:id="rId26">
        <w:r w:rsidRPr="00412D0D">
          <w:rPr>
            <w:rStyle w:val="Hyperlink"/>
            <w:rFonts w:ascii="Arial" w:hAnsi="Arial" w:cs="Arial"/>
            <w:color w:val="auto"/>
            <w:u w:val="none"/>
          </w:rPr>
          <w:t>https://ssrn.com/abstract=4849597</w:t>
        </w:r>
      </w:hyperlink>
      <w:r w:rsidRPr="00412D0D">
        <w:rPr>
          <w:rFonts w:ascii="Arial" w:hAnsi="Arial" w:cs="Arial"/>
        </w:rPr>
        <w:t xml:space="preserve"> or </w:t>
      </w:r>
      <w:hyperlink r:id="rId27">
        <w:r w:rsidRPr="00412D0D">
          <w:rPr>
            <w:rStyle w:val="Hyperlink"/>
            <w:rFonts w:ascii="Arial" w:hAnsi="Arial" w:cs="Arial"/>
            <w:color w:val="auto"/>
            <w:u w:val="none"/>
          </w:rPr>
          <w:t>http://dx.doi.org/10.2139/ssrn.4849</w:t>
        </w:r>
      </w:hyperlink>
      <w:r w:rsidRPr="00412D0D">
        <w:rPr>
          <w:rFonts w:ascii="Arial" w:hAnsi="Arial" w:cs="Arial"/>
        </w:rPr>
        <w:t xml:space="preserve"> </w:t>
      </w:r>
      <w:hyperlink r:id="rId28">
        <w:r w:rsidRPr="00412D0D">
          <w:rPr>
            <w:rStyle w:val="Hyperlink"/>
            <w:rFonts w:ascii="Arial" w:hAnsi="Arial" w:cs="Arial"/>
            <w:color w:val="auto"/>
            <w:u w:val="none"/>
          </w:rPr>
          <w:t>597</w:t>
        </w:r>
      </w:hyperlink>
      <w:r w:rsidRPr="00412D0D">
        <w:rPr>
          <w:rFonts w:ascii="Arial" w:hAnsi="Arial" w:cs="Arial"/>
        </w:rPr>
        <w:t>.</w:t>
      </w:r>
    </w:p>
    <w:p w14:paraId="56917D95" w14:textId="77777777" w:rsidR="00412D0D" w:rsidRPr="00412D0D" w:rsidRDefault="00412D0D" w:rsidP="00412D0D">
      <w:pPr>
        <w:rPr>
          <w:rFonts w:ascii="Arial" w:hAnsi="Arial" w:cs="Arial"/>
        </w:rPr>
      </w:pPr>
    </w:p>
    <w:p w14:paraId="63AF5DFC" w14:textId="77777777" w:rsidR="00D16BD0" w:rsidRPr="00D16BD0" w:rsidRDefault="00D16BD0" w:rsidP="00D16BD0">
      <w:pPr>
        <w:jc w:val="both"/>
        <w:rPr>
          <w:rFonts w:ascii="Arial" w:hAnsi="Arial" w:cs="Arial"/>
        </w:rPr>
      </w:pPr>
      <w:r w:rsidRPr="00D16BD0">
        <w:rPr>
          <w:rFonts w:ascii="Arial" w:hAnsi="Arial" w:cs="Arial"/>
        </w:rPr>
        <w:t xml:space="preserve">Santos, B. M., Serrano, K. S., &amp; Pigao, K. J. (2022). An Assessment: The Philippine Outstanding Debt and Other Economic Determinants Towards its Implication on Economic Growth.  Journal of Economics, Finance and Accounting Studies, 4(2), 126–147. DOI: </w:t>
      </w:r>
      <w:hyperlink r:id="rId29">
        <w:r w:rsidRPr="00D16BD0">
          <w:rPr>
            <w:rStyle w:val="Hyperlink"/>
            <w:rFonts w:ascii="Arial" w:hAnsi="Arial" w:cs="Arial"/>
            <w:color w:val="auto"/>
            <w:u w:val="none"/>
          </w:rPr>
          <w:t>https://doi.org/10.32996/jefas.2022.4.2.11</w:t>
        </w:r>
      </w:hyperlink>
    </w:p>
    <w:p w14:paraId="65F09288" w14:textId="77777777" w:rsidR="00412D0D" w:rsidRDefault="00412D0D" w:rsidP="00412D0D">
      <w:pPr>
        <w:jc w:val="both"/>
      </w:pPr>
    </w:p>
    <w:p w14:paraId="063E3BB3" w14:textId="4585D818" w:rsidR="00D16BD0" w:rsidRDefault="00D16BD0" w:rsidP="00D16BD0">
      <w:pPr>
        <w:pStyle w:val="BodyText"/>
        <w:tabs>
          <w:tab w:val="left" w:pos="5361"/>
          <w:tab w:val="left" w:pos="8788"/>
        </w:tabs>
        <w:spacing w:before="1" w:line="242" w:lineRule="auto"/>
        <w:ind w:right="1070"/>
        <w:jc w:val="both"/>
      </w:pPr>
      <w:proofErr w:type="spellStart"/>
      <w:r w:rsidRPr="00D16BD0">
        <w:rPr>
          <w:rFonts w:ascii="Arial" w:hAnsi="Arial" w:cs="Arial"/>
        </w:rPr>
        <w:t>Compio</w:t>
      </w:r>
      <w:proofErr w:type="spellEnd"/>
      <w:r w:rsidRPr="00D16BD0">
        <w:rPr>
          <w:rFonts w:ascii="Arial" w:hAnsi="Arial" w:cs="Arial"/>
        </w:rPr>
        <w:t xml:space="preserve">, M., Gadiel, S., Cruz, B., Timothy, M., </w:t>
      </w:r>
      <w:proofErr w:type="spellStart"/>
      <w:r w:rsidRPr="00D16BD0">
        <w:rPr>
          <w:rFonts w:ascii="Arial" w:hAnsi="Arial" w:cs="Arial"/>
        </w:rPr>
        <w:t>Gaurano</w:t>
      </w:r>
      <w:proofErr w:type="spellEnd"/>
      <w:r w:rsidRPr="00D16BD0">
        <w:rPr>
          <w:rFonts w:ascii="Arial" w:hAnsi="Arial" w:cs="Arial"/>
        </w:rPr>
        <w:t>, P., &amp; Cabauatan, R. (2022). The Study on How Tax Reform for Acceleration and Inclusion Law (TRAIN) Affects Low-Income Class Families in Manila. International Journal of Social and Management</w:t>
      </w:r>
      <w:r>
        <w:rPr>
          <w:rFonts w:ascii="Arial" w:hAnsi="Arial" w:cs="Arial"/>
        </w:rPr>
        <w:t xml:space="preserve"> </w:t>
      </w:r>
      <w:r w:rsidRPr="00D16BD0">
        <w:rPr>
          <w:rFonts w:ascii="Arial" w:hAnsi="Arial" w:cs="Arial"/>
        </w:rPr>
        <w:t>Studies,</w:t>
      </w:r>
      <w:r>
        <w:rPr>
          <w:rFonts w:ascii="Arial" w:hAnsi="Arial" w:cs="Arial"/>
        </w:rPr>
        <w:t xml:space="preserve"> </w:t>
      </w:r>
      <w:r w:rsidRPr="00D16BD0">
        <w:rPr>
          <w:rFonts w:ascii="Arial" w:hAnsi="Arial" w:cs="Arial"/>
        </w:rPr>
        <w:t xml:space="preserve">3(05). </w:t>
      </w:r>
      <w:hyperlink r:id="rId30">
        <w:r w:rsidRPr="00D16BD0">
          <w:rPr>
            <w:rStyle w:val="Hyperlink"/>
            <w:rFonts w:ascii="Arial" w:hAnsi="Arial" w:cs="Arial"/>
            <w:color w:val="auto"/>
            <w:u w:val="none"/>
          </w:rPr>
          <w:t>https://www.ijosmas.org/index.php/ijosmas/article/download/168/124</w:t>
        </w:r>
      </w:hyperlink>
      <w:r>
        <w:rPr>
          <w:spacing w:val="-2"/>
        </w:rPr>
        <w:t>.</w:t>
      </w:r>
    </w:p>
    <w:p w14:paraId="54E90AA2" w14:textId="57253505" w:rsidR="00D16BD0" w:rsidRPr="00D16BD0" w:rsidRDefault="00D16BD0" w:rsidP="00D16BD0">
      <w:pPr>
        <w:jc w:val="both"/>
        <w:rPr>
          <w:rFonts w:ascii="Arial" w:hAnsi="Arial" w:cs="Arial"/>
        </w:rPr>
      </w:pPr>
      <w:r w:rsidRPr="00D16BD0">
        <w:rPr>
          <w:rFonts w:ascii="Arial" w:hAnsi="Arial" w:cs="Arial"/>
        </w:rPr>
        <w:lastRenderedPageBreak/>
        <w:t xml:space="preserve">Kleven, H. J., Kreiner, C. T., &amp; Saez, E. (2016). Why Can Modern Governments Tax So Much? An Agency Model of Firms as Fiscal Intermediaries. Economica, 83(330), 219–246. DOI: </w:t>
      </w:r>
      <w:hyperlink r:id="rId31">
        <w:r w:rsidRPr="00D16BD0">
          <w:rPr>
            <w:rStyle w:val="Hyperlink"/>
            <w:rFonts w:ascii="Arial" w:hAnsi="Arial" w:cs="Arial"/>
            <w:color w:val="auto"/>
            <w:u w:val="none"/>
          </w:rPr>
          <w:t>https://doi.org/10.1111/ecca.12182</w:t>
        </w:r>
      </w:hyperlink>
      <w:r w:rsidRPr="00D16BD0">
        <w:rPr>
          <w:rFonts w:ascii="Arial" w:hAnsi="Arial" w:cs="Arial"/>
        </w:rPr>
        <w:t>.</w:t>
      </w:r>
    </w:p>
    <w:p w14:paraId="58BD2353" w14:textId="77777777" w:rsidR="00DB7697" w:rsidRPr="00DB7697" w:rsidRDefault="00DB7697" w:rsidP="00DB7697">
      <w:pPr>
        <w:jc w:val="both"/>
        <w:rPr>
          <w:rFonts w:ascii="Arial" w:hAnsi="Arial" w:cs="Arial"/>
        </w:rPr>
      </w:pPr>
    </w:p>
    <w:p w14:paraId="0F961604" w14:textId="77777777" w:rsidR="00D16BD0" w:rsidRPr="00D16BD0" w:rsidRDefault="00D16BD0" w:rsidP="00D16BD0">
      <w:pPr>
        <w:jc w:val="both"/>
        <w:rPr>
          <w:rFonts w:ascii="Arial" w:hAnsi="Arial" w:cs="Arial"/>
        </w:rPr>
      </w:pPr>
      <w:proofErr w:type="spellStart"/>
      <w:r w:rsidRPr="00D16BD0">
        <w:rPr>
          <w:rFonts w:ascii="Arial" w:hAnsi="Arial" w:cs="Arial"/>
        </w:rPr>
        <w:t>Fatoki</w:t>
      </w:r>
      <w:proofErr w:type="spellEnd"/>
      <w:r w:rsidRPr="00D16BD0">
        <w:rPr>
          <w:rFonts w:ascii="Arial" w:hAnsi="Arial" w:cs="Arial"/>
        </w:rPr>
        <w:t>, O. (2019). The financial literacy of micro-entrepreneurs in South Africa. Journal of Social</w:t>
      </w:r>
      <w:r w:rsidRPr="00D16BD0">
        <w:rPr>
          <w:rFonts w:ascii="Arial" w:hAnsi="Arial" w:cs="Arial"/>
        </w:rPr>
        <w:tab/>
        <w:t>Science,</w:t>
      </w:r>
      <w:r w:rsidRPr="00D16BD0">
        <w:rPr>
          <w:rFonts w:ascii="Arial" w:hAnsi="Arial" w:cs="Arial"/>
        </w:rPr>
        <w:tab/>
        <w:t>58(1-3),</w:t>
      </w:r>
      <w:r w:rsidRPr="00D16BD0">
        <w:rPr>
          <w:rFonts w:ascii="Arial" w:hAnsi="Arial" w:cs="Arial"/>
        </w:rPr>
        <w:tab/>
        <w:t>45-54.</w:t>
      </w:r>
    </w:p>
    <w:p w14:paraId="0BD75798" w14:textId="4289E33F" w:rsidR="00D16BD0" w:rsidRDefault="00661B4B" w:rsidP="00D16BD0">
      <w:pPr>
        <w:jc w:val="both"/>
        <w:rPr>
          <w:rFonts w:ascii="Arial" w:hAnsi="Arial" w:cs="Arial"/>
        </w:rPr>
      </w:pPr>
      <w:hyperlink r:id="rId32">
        <w:r w:rsidR="00D16BD0" w:rsidRPr="00D16BD0">
          <w:rPr>
            <w:rStyle w:val="Hyperlink"/>
            <w:rFonts w:ascii="Arial" w:hAnsi="Arial" w:cs="Arial"/>
            <w:color w:val="auto"/>
            <w:u w:val="none"/>
          </w:rPr>
          <w:t>http://dx.doi.org/10.1080/09718923.2014.11893311</w:t>
        </w:r>
      </w:hyperlink>
      <w:r w:rsidR="00D16BD0">
        <w:rPr>
          <w:rFonts w:ascii="Arial" w:hAnsi="Arial" w:cs="Arial"/>
        </w:rPr>
        <w:t>.</w:t>
      </w:r>
    </w:p>
    <w:p w14:paraId="0DE5C7B1" w14:textId="77777777" w:rsidR="00D16BD0" w:rsidRDefault="00D16BD0" w:rsidP="00D16BD0">
      <w:pPr>
        <w:jc w:val="both"/>
        <w:rPr>
          <w:rFonts w:ascii="Arial" w:hAnsi="Arial" w:cs="Arial"/>
        </w:rPr>
      </w:pPr>
    </w:p>
    <w:p w14:paraId="49C429C6" w14:textId="77777777" w:rsidR="00D16BD0" w:rsidRPr="00D16BD0" w:rsidRDefault="00D16BD0" w:rsidP="00D16BD0">
      <w:pPr>
        <w:jc w:val="both"/>
      </w:pPr>
      <w:proofErr w:type="spellStart"/>
      <w:r w:rsidRPr="00D16BD0">
        <w:t>Manipol</w:t>
      </w:r>
      <w:proofErr w:type="spellEnd"/>
      <w:r w:rsidRPr="00D16BD0">
        <w:t xml:space="preserve">, </w:t>
      </w:r>
      <w:proofErr w:type="spellStart"/>
      <w:r w:rsidRPr="00D16BD0">
        <w:t>Vergel</w:t>
      </w:r>
      <w:proofErr w:type="spellEnd"/>
      <w:r w:rsidRPr="00D16BD0">
        <w:t>. (2023). Effectiveness of Microenterprise Law to Registered Microenterprises: Quantitative Assessment in The Philippines. International Journal</w:t>
      </w:r>
      <w:r w:rsidRPr="00D16BD0">
        <w:tab/>
        <w:t>of Multidisciplinary: Applied Business and Education Research.</w:t>
      </w:r>
    </w:p>
    <w:p w14:paraId="058370FE" w14:textId="77777777" w:rsidR="00D16BD0" w:rsidRPr="00D16BD0" w:rsidRDefault="00D16BD0" w:rsidP="00D16BD0">
      <w:pPr>
        <w:jc w:val="both"/>
      </w:pPr>
      <w:r w:rsidRPr="00D16BD0">
        <w:t>4. 1299-1309. 10.11594/ijmaber.04.04.25.</w:t>
      </w:r>
    </w:p>
    <w:p w14:paraId="7BA9DF4D" w14:textId="77777777" w:rsidR="00D16BD0" w:rsidRPr="00D16BD0" w:rsidRDefault="00D16BD0" w:rsidP="00D16BD0">
      <w:pPr>
        <w:jc w:val="both"/>
        <w:rPr>
          <w:rFonts w:ascii="Arial" w:hAnsi="Arial" w:cs="Arial"/>
        </w:rPr>
      </w:pPr>
    </w:p>
    <w:p w14:paraId="1C609703" w14:textId="77777777" w:rsidR="00D16BD0" w:rsidRDefault="00D16BD0" w:rsidP="00D16BD0">
      <w:pPr>
        <w:jc w:val="both"/>
        <w:rPr>
          <w:rFonts w:ascii="Arial" w:hAnsi="Arial" w:cs="Arial"/>
        </w:rPr>
      </w:pPr>
      <w:proofErr w:type="spellStart"/>
      <w:r w:rsidRPr="00D16BD0">
        <w:rPr>
          <w:rFonts w:ascii="Arial" w:hAnsi="Arial" w:cs="Arial"/>
        </w:rPr>
        <w:t>Granfon</w:t>
      </w:r>
      <w:proofErr w:type="spellEnd"/>
      <w:r w:rsidRPr="00D16BD0">
        <w:rPr>
          <w:rFonts w:ascii="Arial" w:hAnsi="Arial" w:cs="Arial"/>
        </w:rPr>
        <w:t xml:space="preserve">, J., et al., (2023). Factors Affecting Tax Compliance of MSMEs in </w:t>
      </w:r>
      <w:proofErr w:type="spellStart"/>
      <w:r w:rsidRPr="00D16BD0">
        <w:rPr>
          <w:rFonts w:ascii="Arial" w:hAnsi="Arial" w:cs="Arial"/>
        </w:rPr>
        <w:t>Dipolog</w:t>
      </w:r>
      <w:proofErr w:type="spellEnd"/>
      <w:r w:rsidRPr="00D16BD0">
        <w:rPr>
          <w:rFonts w:ascii="Arial" w:hAnsi="Arial" w:cs="Arial"/>
        </w:rPr>
        <w:t xml:space="preserve"> City. </w:t>
      </w:r>
      <w:hyperlink r:id="rId33">
        <w:r w:rsidRPr="00D16BD0">
          <w:rPr>
            <w:rStyle w:val="Hyperlink"/>
            <w:rFonts w:ascii="Arial" w:hAnsi="Arial" w:cs="Arial"/>
            <w:color w:val="auto"/>
            <w:u w:val="none"/>
          </w:rPr>
          <w:t>http://dx.doi.org/10.11594/ijmaber.04.04.29</w:t>
        </w:r>
      </w:hyperlink>
    </w:p>
    <w:p w14:paraId="7BABED0A" w14:textId="77777777" w:rsidR="00D16BD0" w:rsidRDefault="00D16BD0" w:rsidP="00D16BD0">
      <w:pPr>
        <w:jc w:val="both"/>
        <w:rPr>
          <w:rFonts w:ascii="Arial" w:hAnsi="Arial" w:cs="Arial"/>
        </w:rPr>
      </w:pPr>
    </w:p>
    <w:p w14:paraId="4F3B94B7" w14:textId="77777777" w:rsidR="00D16BD0" w:rsidRPr="00D16BD0" w:rsidRDefault="00D16BD0" w:rsidP="00D16BD0">
      <w:pPr>
        <w:jc w:val="both"/>
        <w:rPr>
          <w:rFonts w:ascii="Arial" w:hAnsi="Arial" w:cs="Arial"/>
        </w:rPr>
      </w:pPr>
      <w:r w:rsidRPr="00D16BD0">
        <w:rPr>
          <w:rFonts w:ascii="Arial" w:hAnsi="Arial" w:cs="Arial"/>
        </w:rPr>
        <w:t xml:space="preserve">Kritikos, A. (2015). Entrepreneurship and Economic Growth. </w:t>
      </w:r>
      <w:hyperlink r:id="rId34">
        <w:r w:rsidRPr="00D16BD0">
          <w:rPr>
            <w:rStyle w:val="Hyperlink"/>
            <w:rFonts w:ascii="Arial" w:hAnsi="Arial" w:cs="Arial"/>
            <w:color w:val="auto"/>
            <w:u w:val="none"/>
          </w:rPr>
          <w:t>https://doi.org/10.1016/B978-</w:t>
        </w:r>
      </w:hyperlink>
      <w:r w:rsidRPr="00D16BD0">
        <w:rPr>
          <w:rFonts w:ascii="Arial" w:hAnsi="Arial" w:cs="Arial"/>
        </w:rPr>
        <w:t xml:space="preserve"> </w:t>
      </w:r>
      <w:hyperlink r:id="rId35">
        <w:r w:rsidRPr="00D16BD0">
          <w:rPr>
            <w:rStyle w:val="Hyperlink"/>
            <w:rFonts w:ascii="Arial" w:hAnsi="Arial" w:cs="Arial"/>
            <w:color w:val="auto"/>
            <w:u w:val="none"/>
          </w:rPr>
          <w:t>0-08- 097086-8.94004-2</w:t>
        </w:r>
      </w:hyperlink>
    </w:p>
    <w:p w14:paraId="229828BF" w14:textId="77777777" w:rsidR="00D16BD0" w:rsidRPr="00D16BD0" w:rsidRDefault="00D16BD0" w:rsidP="00D16BD0">
      <w:pPr>
        <w:jc w:val="both"/>
        <w:rPr>
          <w:rFonts w:ascii="Arial" w:hAnsi="Arial" w:cs="Arial"/>
        </w:rPr>
      </w:pPr>
    </w:p>
    <w:p w14:paraId="07F2C9CD" w14:textId="4010A323" w:rsidR="00D16BD0" w:rsidRPr="00D16BD0" w:rsidRDefault="00D16BD0" w:rsidP="00D16BD0">
      <w:pPr>
        <w:jc w:val="both"/>
        <w:rPr>
          <w:rFonts w:ascii="Arial" w:hAnsi="Arial" w:cs="Arial"/>
        </w:rPr>
      </w:pPr>
      <w:r w:rsidRPr="00D16BD0">
        <w:rPr>
          <w:rFonts w:ascii="Arial" w:hAnsi="Arial" w:cs="Arial"/>
        </w:rPr>
        <w:t>United Nations Industrial Development Organization.</w:t>
      </w:r>
      <w:r>
        <w:rPr>
          <w:rFonts w:ascii="Arial" w:hAnsi="Arial" w:cs="Arial"/>
        </w:rPr>
        <w:t xml:space="preserve"> </w:t>
      </w:r>
      <w:r w:rsidRPr="00D16BD0">
        <w:rPr>
          <w:rFonts w:ascii="Arial" w:hAnsi="Arial" w:cs="Arial"/>
        </w:rPr>
        <w:t xml:space="preserve">(2016). The Importance of Manufacturing in Economic Development: has this </w:t>
      </w:r>
      <w:proofErr w:type="spellStart"/>
      <w:r w:rsidRPr="00D16BD0">
        <w:rPr>
          <w:rFonts w:ascii="Arial" w:hAnsi="Arial" w:cs="Arial"/>
        </w:rPr>
        <w:t>Changed.https</w:t>
      </w:r>
      <w:proofErr w:type="spellEnd"/>
      <w:r w:rsidRPr="00D16BD0">
        <w:rPr>
          <w:rFonts w:ascii="Arial" w:hAnsi="Arial" w:cs="Arial"/>
        </w:rPr>
        <w:t>://</w:t>
      </w:r>
      <w:hyperlink r:id="rId36">
        <w:r w:rsidRPr="00D16BD0">
          <w:rPr>
            <w:rStyle w:val="Hyperlink"/>
            <w:rFonts w:ascii="Arial" w:hAnsi="Arial" w:cs="Arial"/>
            <w:color w:val="auto"/>
            <w:u w:val="none"/>
          </w:rPr>
          <w:t>www.unido.org/sites/default/files/2017-</w:t>
        </w:r>
      </w:hyperlink>
      <w:r w:rsidRPr="00D16BD0">
        <w:rPr>
          <w:rFonts w:ascii="Arial" w:hAnsi="Arial" w:cs="Arial"/>
        </w:rPr>
        <w:t xml:space="preserve"> 02/the_importance_of_manufacturing_in_economic_development_0.pdf</w:t>
      </w:r>
    </w:p>
    <w:p w14:paraId="1AF11ADE" w14:textId="77777777" w:rsidR="00DB7697" w:rsidRPr="00D16BD0" w:rsidRDefault="00DB7697" w:rsidP="00D16BD0">
      <w:pPr>
        <w:jc w:val="both"/>
        <w:rPr>
          <w:rFonts w:ascii="Arial" w:hAnsi="Arial" w:cs="Arial"/>
        </w:rPr>
      </w:pPr>
    </w:p>
    <w:p w14:paraId="5304B81C" w14:textId="38DD6D2D" w:rsidR="00D16BD0" w:rsidRDefault="00D16BD0" w:rsidP="00D16BD0">
      <w:pPr>
        <w:jc w:val="both"/>
        <w:rPr>
          <w:spacing w:val="-2"/>
        </w:rPr>
      </w:pPr>
      <w:r w:rsidRPr="00D16BD0">
        <w:t xml:space="preserve">International </w:t>
      </w:r>
      <w:proofErr w:type="spellStart"/>
      <w:r w:rsidRPr="00D16BD0">
        <w:t>Labour</w:t>
      </w:r>
      <w:proofErr w:type="spellEnd"/>
      <w:r w:rsidRPr="00D16BD0">
        <w:t xml:space="preserve"> Organization</w:t>
      </w:r>
      <w:r>
        <w:t>.</w:t>
      </w:r>
      <w:r>
        <w:rPr>
          <w:spacing w:val="-6"/>
        </w:rPr>
        <w:t xml:space="preserve"> </w:t>
      </w:r>
      <w:r>
        <w:t>(2015).</w:t>
      </w:r>
      <w:r>
        <w:rPr>
          <w:spacing w:val="-8"/>
        </w:rPr>
        <w:t xml:space="preserve"> </w:t>
      </w:r>
      <w:r>
        <w:t>Small</w:t>
      </w:r>
      <w:r>
        <w:rPr>
          <w:spacing w:val="-12"/>
        </w:rPr>
        <w:t xml:space="preserve"> </w:t>
      </w:r>
      <w:r>
        <w:t>and</w:t>
      </w:r>
      <w:r>
        <w:rPr>
          <w:spacing w:val="-9"/>
        </w:rPr>
        <w:t xml:space="preserve"> </w:t>
      </w:r>
      <w:r>
        <w:t>medium-sized</w:t>
      </w:r>
      <w:r>
        <w:rPr>
          <w:spacing w:val="-9"/>
        </w:rPr>
        <w:t xml:space="preserve"> </w:t>
      </w:r>
      <w:r>
        <w:t>enterprises</w:t>
      </w:r>
      <w:r>
        <w:rPr>
          <w:spacing w:val="-11"/>
        </w:rPr>
        <w:t xml:space="preserve"> </w:t>
      </w:r>
      <w:r>
        <w:t>and</w:t>
      </w:r>
      <w:r>
        <w:rPr>
          <w:spacing w:val="-9"/>
        </w:rPr>
        <w:t xml:space="preserve"> </w:t>
      </w:r>
      <w:r>
        <w:t>decent</w:t>
      </w:r>
      <w:r>
        <w:rPr>
          <w:spacing w:val="-10"/>
        </w:rPr>
        <w:t xml:space="preserve"> </w:t>
      </w:r>
      <w:r>
        <w:t>and</w:t>
      </w:r>
      <w:r>
        <w:rPr>
          <w:spacing w:val="-9"/>
        </w:rPr>
        <w:t xml:space="preserve"> </w:t>
      </w:r>
      <w:r>
        <w:t>productive</w:t>
      </w:r>
      <w:r>
        <w:rPr>
          <w:spacing w:val="-9"/>
        </w:rPr>
        <w:t xml:space="preserve"> </w:t>
      </w:r>
      <w:r>
        <w:t xml:space="preserve">employment </w:t>
      </w:r>
      <w:r>
        <w:rPr>
          <w:spacing w:val="-2"/>
        </w:rPr>
        <w:t xml:space="preserve">creation. </w:t>
      </w:r>
      <w:hyperlink r:id="rId37">
        <w:r>
          <w:rPr>
            <w:spacing w:val="-2"/>
          </w:rPr>
          <w:t>https://www.ilo.org/sites/default/files/wcmsp5/groups/public/@ed_norm/@relconf/</w:t>
        </w:r>
      </w:hyperlink>
      <w:r>
        <w:rPr>
          <w:spacing w:val="-2"/>
        </w:rPr>
        <w:t xml:space="preserve"> documents/</w:t>
      </w:r>
      <w:proofErr w:type="spellStart"/>
      <w:r>
        <w:rPr>
          <w:spacing w:val="-2"/>
        </w:rPr>
        <w:t>meetingdocument</w:t>
      </w:r>
      <w:proofErr w:type="spellEnd"/>
      <w:r>
        <w:rPr>
          <w:spacing w:val="-2"/>
        </w:rPr>
        <w:t>/wcms_358294.pdf.</w:t>
      </w:r>
    </w:p>
    <w:p w14:paraId="00B1020E" w14:textId="77777777" w:rsidR="00D16BD0" w:rsidRDefault="00D16BD0" w:rsidP="00D16BD0">
      <w:pPr>
        <w:jc w:val="both"/>
        <w:rPr>
          <w:spacing w:val="-2"/>
        </w:rPr>
      </w:pPr>
    </w:p>
    <w:p w14:paraId="5E0B7F06" w14:textId="77777777" w:rsidR="00D16BD0" w:rsidRPr="00D16BD0" w:rsidRDefault="00D16BD0" w:rsidP="00D16BD0">
      <w:pPr>
        <w:jc w:val="both"/>
        <w:rPr>
          <w:rFonts w:ascii="Arial" w:hAnsi="Arial" w:cs="Arial"/>
        </w:rPr>
      </w:pPr>
      <w:r w:rsidRPr="00D16BD0">
        <w:rPr>
          <w:rFonts w:ascii="Arial" w:hAnsi="Arial" w:cs="Arial"/>
        </w:rPr>
        <w:t>Bird, R. M. (2015). Improving tax administration in developing countries. Journal of Tax</w:t>
      </w:r>
    </w:p>
    <w:p w14:paraId="7A14E33E" w14:textId="77777777" w:rsidR="00D16BD0" w:rsidRPr="00D16BD0" w:rsidRDefault="00D16BD0" w:rsidP="00D16BD0">
      <w:pPr>
        <w:jc w:val="both"/>
        <w:rPr>
          <w:rFonts w:ascii="Arial" w:hAnsi="Arial" w:cs="Arial"/>
        </w:rPr>
      </w:pPr>
      <w:r w:rsidRPr="00D16BD0">
        <w:rPr>
          <w:rFonts w:ascii="Arial" w:hAnsi="Arial" w:cs="Arial"/>
        </w:rPr>
        <w:t>Administration, 1(1), 23-45. https://doi.org/10.5089/9781557753175.071.</w:t>
      </w:r>
    </w:p>
    <w:p w14:paraId="06644C34" w14:textId="77777777" w:rsidR="00D16BD0" w:rsidRPr="00D16BD0" w:rsidRDefault="00D16BD0" w:rsidP="00D16BD0">
      <w:pPr>
        <w:jc w:val="both"/>
        <w:rPr>
          <w:rFonts w:ascii="Arial" w:hAnsi="Arial" w:cs="Arial"/>
        </w:rPr>
      </w:pPr>
    </w:p>
    <w:p w14:paraId="2183707E" w14:textId="2F92597F" w:rsidR="00776174" w:rsidRPr="00D16BD0" w:rsidRDefault="00D16BD0" w:rsidP="00D16BD0">
      <w:pPr>
        <w:jc w:val="both"/>
        <w:rPr>
          <w:rFonts w:ascii="Arial" w:hAnsi="Arial" w:cs="Arial"/>
        </w:rPr>
      </w:pPr>
      <w:r w:rsidRPr="00D16BD0">
        <w:rPr>
          <w:rFonts w:ascii="Arial" w:hAnsi="Arial" w:cs="Arial"/>
        </w:rPr>
        <w:t xml:space="preserve">Ali, M., O. Fjelstad, and I. Sjursen. 2014. To Pay or Not to Pay? Citizens’ Attitudes </w:t>
      </w:r>
      <w:proofErr w:type="spellStart"/>
      <w:r w:rsidRPr="00D16BD0">
        <w:rPr>
          <w:rFonts w:ascii="Arial" w:hAnsi="Arial" w:cs="Arial"/>
          <w:spacing w:val="-2"/>
        </w:rPr>
        <w:t>Toward</w:t>
      </w:r>
      <w:r w:rsidRPr="00D16BD0">
        <w:rPr>
          <w:rFonts w:ascii="Arial" w:hAnsi="Arial" w:cs="Arial"/>
        </w:rPr>
        <w:t>Taxation</w:t>
      </w:r>
      <w:proofErr w:type="spellEnd"/>
      <w:r w:rsidRPr="00D16BD0">
        <w:rPr>
          <w:rFonts w:ascii="Arial" w:hAnsi="Arial" w:cs="Arial"/>
        </w:rPr>
        <w:t xml:space="preserve"> in Kenya, Tanzania, Uganda, and South Africa. </w:t>
      </w:r>
      <w:r w:rsidRPr="00D16BD0">
        <w:rPr>
          <w:rFonts w:ascii="Arial" w:hAnsi="Arial" w:cs="Arial"/>
          <w:i/>
        </w:rPr>
        <w:t xml:space="preserve">World Development </w:t>
      </w:r>
      <w:r w:rsidRPr="00D16BD0">
        <w:rPr>
          <w:rFonts w:ascii="Arial" w:hAnsi="Arial" w:cs="Arial"/>
        </w:rPr>
        <w:t>64: 828–</w:t>
      </w:r>
      <w:r w:rsidRPr="00D16BD0">
        <w:rPr>
          <w:rFonts w:ascii="Arial" w:hAnsi="Arial" w:cs="Arial"/>
          <w:spacing w:val="-4"/>
        </w:rPr>
        <w:t xml:space="preserve">842. </w:t>
      </w:r>
      <w:hyperlink r:id="rId38">
        <w:r w:rsidRPr="00D16BD0">
          <w:rPr>
            <w:rFonts w:ascii="Arial" w:hAnsi="Arial" w:cs="Arial"/>
            <w:spacing w:val="-2"/>
          </w:rPr>
          <w:t>https://doi.org/10.1016/j.worlddev.2014.07.006</w:t>
        </w:r>
      </w:hyperlink>
      <w:r>
        <w:rPr>
          <w:rFonts w:ascii="Arial" w:hAnsi="Arial" w:cs="Arial"/>
        </w:rPr>
        <w:t>.</w:t>
      </w:r>
    </w:p>
    <w:p w14:paraId="4077C8B3" w14:textId="77777777" w:rsidR="005A690F" w:rsidRPr="00776174" w:rsidRDefault="005A690F" w:rsidP="00776174">
      <w:pPr>
        <w:jc w:val="both"/>
      </w:pPr>
    </w:p>
    <w:p w14:paraId="0CD37BD3" w14:textId="77777777" w:rsidR="004814B2" w:rsidRPr="004814B2" w:rsidRDefault="004814B2" w:rsidP="004814B2">
      <w:pPr>
        <w:jc w:val="both"/>
        <w:rPr>
          <w:rFonts w:ascii="Arial" w:hAnsi="Arial" w:cs="Arial"/>
        </w:rPr>
      </w:pPr>
      <w:proofErr w:type="spellStart"/>
      <w:r w:rsidRPr="004814B2">
        <w:rPr>
          <w:rFonts w:ascii="Arial" w:hAnsi="Arial" w:cs="Arial"/>
        </w:rPr>
        <w:t>Renoria</w:t>
      </w:r>
      <w:proofErr w:type="spellEnd"/>
      <w:r w:rsidRPr="004814B2">
        <w:rPr>
          <w:rFonts w:ascii="Arial" w:hAnsi="Arial" w:cs="Arial"/>
        </w:rPr>
        <w:t xml:space="preserve">, KM. (2024). The Tax Awareness and Compliance Levels among Small Business Owners: Basis for Tax Education Program. </w:t>
      </w:r>
      <w:hyperlink r:id="rId39">
        <w:r w:rsidRPr="004814B2">
          <w:rPr>
            <w:rStyle w:val="Hyperlink"/>
            <w:rFonts w:ascii="Arial" w:hAnsi="Arial" w:cs="Arial"/>
            <w:color w:val="auto"/>
            <w:u w:val="none"/>
          </w:rPr>
          <w:t>https://uijrt.com/articles/v5/i7/UIJRTV5I70015.pdf</w:t>
        </w:r>
      </w:hyperlink>
    </w:p>
    <w:p w14:paraId="11AB587B" w14:textId="2B4DD673" w:rsidR="005A690F" w:rsidRPr="00776174" w:rsidRDefault="005A690F" w:rsidP="00776174">
      <w:pPr>
        <w:jc w:val="both"/>
      </w:pPr>
    </w:p>
    <w:p w14:paraId="34BA2E63" w14:textId="5F5EBEE4" w:rsidR="005A690F" w:rsidRDefault="004814B2" w:rsidP="004814B2">
      <w:pPr>
        <w:jc w:val="both"/>
        <w:rPr>
          <w:rFonts w:ascii="Arial" w:hAnsi="Arial" w:cs="Arial"/>
        </w:rPr>
      </w:pPr>
      <w:r w:rsidRPr="004814B2">
        <w:rPr>
          <w:rFonts w:ascii="Arial" w:hAnsi="Arial" w:cs="Arial"/>
        </w:rPr>
        <w:t xml:space="preserve">Wibowo, S. N., Siregar, N. F., &amp; </w:t>
      </w:r>
      <w:proofErr w:type="spellStart"/>
      <w:r w:rsidRPr="004814B2">
        <w:rPr>
          <w:rFonts w:ascii="Arial" w:hAnsi="Arial" w:cs="Arial"/>
        </w:rPr>
        <w:t>Febriansyah</w:t>
      </w:r>
      <w:proofErr w:type="spellEnd"/>
      <w:r w:rsidRPr="004814B2">
        <w:rPr>
          <w:rFonts w:ascii="Arial" w:hAnsi="Arial" w:cs="Arial"/>
        </w:rPr>
        <w:t xml:space="preserve">, R. (2023). Determinants of Tax Aggressiveness in Indonesia: The Influence of Profitability, Leverage, and Liquidity. Graduate Journal of Food Studies, 1(2). </w:t>
      </w:r>
      <w:hyperlink r:id="rId40">
        <w:r w:rsidRPr="004814B2">
          <w:rPr>
            <w:rStyle w:val="Hyperlink"/>
            <w:rFonts w:ascii="Arial" w:hAnsi="Arial" w:cs="Arial"/>
            <w:color w:val="auto"/>
            <w:u w:val="none"/>
          </w:rPr>
          <w:t>https://doi.org/10.21428/92775833.4cd5987b</w:t>
        </w:r>
      </w:hyperlink>
      <w:r>
        <w:rPr>
          <w:rFonts w:ascii="Arial" w:hAnsi="Arial" w:cs="Arial"/>
        </w:rPr>
        <w:t>.</w:t>
      </w:r>
    </w:p>
    <w:p w14:paraId="4259E63C" w14:textId="77777777" w:rsidR="004814B2" w:rsidRDefault="004814B2" w:rsidP="004814B2">
      <w:pPr>
        <w:jc w:val="both"/>
        <w:rPr>
          <w:rFonts w:ascii="Arial" w:hAnsi="Arial" w:cs="Arial"/>
        </w:rPr>
      </w:pPr>
    </w:p>
    <w:p w14:paraId="49E2C45C" w14:textId="601F098B" w:rsidR="004814B2" w:rsidRDefault="004814B2" w:rsidP="004814B2">
      <w:pPr>
        <w:jc w:val="both"/>
      </w:pPr>
      <w:r>
        <w:t xml:space="preserve">Hauptman, L., </w:t>
      </w:r>
      <w:proofErr w:type="spellStart"/>
      <w:r>
        <w:t>Žmuk</w:t>
      </w:r>
      <w:proofErr w:type="spellEnd"/>
      <w:r>
        <w:t>, B., &amp; Pavić, I. (2024). Tax Compliance in Slovenia: An Empirical Assessment of Tax Knowledge and Fairness Perception. Journal of Risk and Financial Management, 17(3), 89. https://doi.org/10.3390/jrfm17030089.</w:t>
      </w:r>
    </w:p>
    <w:p w14:paraId="5596DC80" w14:textId="77777777" w:rsidR="004814B2" w:rsidRDefault="004814B2" w:rsidP="004814B2">
      <w:pPr>
        <w:jc w:val="both"/>
      </w:pPr>
    </w:p>
    <w:p w14:paraId="5D5EA9C4" w14:textId="77777777" w:rsidR="004814B2" w:rsidRDefault="004814B2" w:rsidP="004814B2">
      <w:pPr>
        <w:jc w:val="both"/>
      </w:pPr>
      <w:r>
        <w:t>Kahneman, D., &amp; Tversky, A. (2019). Prospect Theory: An Analysis of Decision under Risk.</w:t>
      </w:r>
      <w:r>
        <w:rPr>
          <w:spacing w:val="80"/>
          <w:w w:val="150"/>
        </w:rPr>
        <w:t xml:space="preserve"> </w:t>
      </w:r>
      <w:proofErr w:type="spellStart"/>
      <w:r>
        <w:rPr>
          <w:rFonts w:ascii="Arial"/>
          <w:i/>
        </w:rPr>
        <w:t>Econometrica</w:t>
      </w:r>
      <w:proofErr w:type="spellEnd"/>
      <w:r>
        <w:t>, 47(2), 263-292.</w:t>
      </w:r>
    </w:p>
    <w:p w14:paraId="69B3E48E" w14:textId="77777777" w:rsidR="004814B2" w:rsidRDefault="004814B2" w:rsidP="004814B2">
      <w:pPr>
        <w:jc w:val="both"/>
      </w:pPr>
    </w:p>
    <w:p w14:paraId="2B70D3BA" w14:textId="77777777" w:rsidR="004814B2" w:rsidRDefault="004814B2" w:rsidP="004814B2">
      <w:pPr>
        <w:jc w:val="both"/>
      </w:pPr>
      <w:proofErr w:type="spellStart"/>
      <w:r>
        <w:t>Yucedogru</w:t>
      </w:r>
      <w:proofErr w:type="spellEnd"/>
      <w:r>
        <w:t xml:space="preserve">, Recep. (2021). Understanding Tax Compliance Decisions with Theory of Planned </w:t>
      </w:r>
      <w:proofErr w:type="spellStart"/>
      <w:r>
        <w:t>Behaviour</w:t>
      </w:r>
      <w:proofErr w:type="spellEnd"/>
      <w:r>
        <w:t>.</w:t>
      </w:r>
    </w:p>
    <w:p w14:paraId="1574E0EA" w14:textId="77777777" w:rsidR="004814B2" w:rsidRDefault="004814B2" w:rsidP="004814B2">
      <w:pPr>
        <w:jc w:val="both"/>
      </w:pPr>
    </w:p>
    <w:p w14:paraId="46EC2526" w14:textId="77777777" w:rsidR="004814B2" w:rsidRDefault="004814B2" w:rsidP="004814B2">
      <w:pPr>
        <w:jc w:val="both"/>
      </w:pPr>
      <w:r>
        <w:lastRenderedPageBreak/>
        <w:t>Bobek,</w:t>
      </w:r>
      <w:r>
        <w:rPr>
          <w:spacing w:val="-5"/>
        </w:rPr>
        <w:t xml:space="preserve"> </w:t>
      </w:r>
      <w:r>
        <w:t>Donna</w:t>
      </w:r>
      <w:r>
        <w:rPr>
          <w:spacing w:val="-8"/>
        </w:rPr>
        <w:t xml:space="preserve"> </w:t>
      </w:r>
      <w:r>
        <w:t>&amp;</w:t>
      </w:r>
      <w:r>
        <w:rPr>
          <w:spacing w:val="-5"/>
        </w:rPr>
        <w:t xml:space="preserve"> </w:t>
      </w:r>
      <w:r>
        <w:t>Hageman,</w:t>
      </w:r>
      <w:r>
        <w:rPr>
          <w:spacing w:val="-9"/>
        </w:rPr>
        <w:t xml:space="preserve"> </w:t>
      </w:r>
      <w:r>
        <w:t>Amy</w:t>
      </w:r>
      <w:r>
        <w:rPr>
          <w:spacing w:val="-6"/>
        </w:rPr>
        <w:t xml:space="preserve"> </w:t>
      </w:r>
      <w:r>
        <w:t>&amp;</w:t>
      </w:r>
      <w:r>
        <w:rPr>
          <w:spacing w:val="-5"/>
        </w:rPr>
        <w:t xml:space="preserve"> </w:t>
      </w:r>
      <w:r>
        <w:t>Kelliher,</w:t>
      </w:r>
      <w:r>
        <w:rPr>
          <w:spacing w:val="-5"/>
        </w:rPr>
        <w:t xml:space="preserve"> </w:t>
      </w:r>
      <w:r>
        <w:t>Charles.</w:t>
      </w:r>
      <w:r>
        <w:rPr>
          <w:spacing w:val="-5"/>
        </w:rPr>
        <w:t xml:space="preserve"> </w:t>
      </w:r>
      <w:r>
        <w:t>(2012).</w:t>
      </w:r>
      <w:r>
        <w:rPr>
          <w:spacing w:val="-5"/>
        </w:rPr>
        <w:t xml:space="preserve"> </w:t>
      </w:r>
      <w:r>
        <w:t>Analyzing</w:t>
      </w:r>
      <w:r>
        <w:rPr>
          <w:spacing w:val="-5"/>
        </w:rPr>
        <w:t xml:space="preserve"> </w:t>
      </w:r>
      <w:r>
        <w:t>the</w:t>
      </w:r>
      <w:r>
        <w:rPr>
          <w:spacing w:val="-5"/>
        </w:rPr>
        <w:t xml:space="preserve"> </w:t>
      </w:r>
      <w:r>
        <w:t>Role</w:t>
      </w:r>
      <w:r>
        <w:rPr>
          <w:spacing w:val="-5"/>
        </w:rPr>
        <w:t xml:space="preserve"> </w:t>
      </w:r>
      <w:r>
        <w:t>of</w:t>
      </w:r>
      <w:r>
        <w:rPr>
          <w:spacing w:val="-6"/>
        </w:rPr>
        <w:t xml:space="preserve"> </w:t>
      </w:r>
      <w:r>
        <w:t>Social Norms in Tax Compliance Behavior. Journal of Business Ethics. 115. 10.1007/s10551-012-1390-</w:t>
      </w:r>
      <w:r>
        <w:rPr>
          <w:spacing w:val="80"/>
          <w:w w:val="150"/>
        </w:rPr>
        <w:t xml:space="preserve"> </w:t>
      </w:r>
      <w:r>
        <w:t>7.</w:t>
      </w:r>
    </w:p>
    <w:p w14:paraId="0316D749" w14:textId="77777777" w:rsidR="004814B2" w:rsidRDefault="004814B2" w:rsidP="004814B2">
      <w:pPr>
        <w:jc w:val="both"/>
      </w:pPr>
    </w:p>
    <w:p w14:paraId="7E021C21" w14:textId="77777777" w:rsidR="00D01CB6" w:rsidRDefault="00D01CB6" w:rsidP="00D01CB6">
      <w:pPr>
        <w:jc w:val="both"/>
      </w:pPr>
      <w:proofErr w:type="spellStart"/>
      <w:r>
        <w:t>Taing</w:t>
      </w:r>
      <w:proofErr w:type="spellEnd"/>
      <w:r>
        <w:t>, H. B., &amp; Chang, Y. (2020). Determinants of Tax Compliance Intention: Focus on The Theory of Planned Behavior. International Journal of Public Administration, 44(1), 62–73</w:t>
      </w:r>
    </w:p>
    <w:p w14:paraId="79575FE8" w14:textId="77777777" w:rsidR="004814B2" w:rsidRDefault="004814B2" w:rsidP="004814B2">
      <w:pPr>
        <w:jc w:val="both"/>
      </w:pPr>
    </w:p>
    <w:p w14:paraId="499CD3FB" w14:textId="77777777" w:rsidR="00D01CB6" w:rsidRDefault="00D01CB6" w:rsidP="00D01CB6">
      <w:pPr>
        <w:jc w:val="both"/>
      </w:pPr>
      <w:r>
        <w:t xml:space="preserve">Olsen, J Kogler, </w:t>
      </w:r>
      <w:proofErr w:type="gramStart"/>
      <w:r>
        <w:t>C.,.,</w:t>
      </w:r>
      <w:proofErr w:type="gramEnd"/>
      <w:r>
        <w:t xml:space="preserve"> </w:t>
      </w:r>
      <w:proofErr w:type="spellStart"/>
      <w:r>
        <w:t>Kirchler</w:t>
      </w:r>
      <w:proofErr w:type="spellEnd"/>
      <w:r>
        <w:t xml:space="preserve">, E., </w:t>
      </w:r>
      <w:proofErr w:type="spellStart"/>
      <w:r>
        <w:t>Batrancea</w:t>
      </w:r>
      <w:proofErr w:type="spellEnd"/>
      <w:r>
        <w:t xml:space="preserve">, L. M., &amp; Nichita, A. (2022). Perceptions of </w:t>
      </w:r>
      <w:proofErr w:type="gramStart"/>
      <w:r>
        <w:t>trust</w:t>
      </w:r>
      <w:r>
        <w:rPr>
          <w:spacing w:val="40"/>
        </w:rPr>
        <w:t xml:space="preserve">  </w:t>
      </w:r>
      <w:r>
        <w:t>and</w:t>
      </w:r>
      <w:proofErr w:type="gramEnd"/>
      <w:r>
        <w:rPr>
          <w:spacing w:val="80"/>
        </w:rPr>
        <w:t xml:space="preserve">  </w:t>
      </w:r>
      <w:r>
        <w:t>power</w:t>
      </w:r>
      <w:r>
        <w:rPr>
          <w:spacing w:val="80"/>
        </w:rPr>
        <w:t xml:space="preserve"> </w:t>
      </w:r>
      <w:r>
        <w:t>are</w:t>
      </w:r>
      <w:r>
        <w:rPr>
          <w:spacing w:val="80"/>
        </w:rPr>
        <w:t xml:space="preserve"> </w:t>
      </w:r>
      <w:r>
        <w:t>associated</w:t>
      </w:r>
      <w:r>
        <w:rPr>
          <w:spacing w:val="80"/>
        </w:rPr>
        <w:t xml:space="preserve"> </w:t>
      </w:r>
      <w:r>
        <w:t>with</w:t>
      </w:r>
      <w:r>
        <w:rPr>
          <w:spacing w:val="80"/>
        </w:rPr>
        <w:t xml:space="preserve"> </w:t>
      </w:r>
      <w:r>
        <w:t>tax</w:t>
      </w:r>
      <w:r>
        <w:rPr>
          <w:spacing w:val="80"/>
        </w:rPr>
        <w:t xml:space="preserve"> </w:t>
      </w:r>
      <w:r>
        <w:t>compliance:</w:t>
      </w:r>
      <w:r>
        <w:rPr>
          <w:spacing w:val="80"/>
        </w:rPr>
        <w:t xml:space="preserve"> </w:t>
      </w:r>
      <w:r>
        <w:t>A</w:t>
      </w:r>
      <w:r>
        <w:rPr>
          <w:spacing w:val="80"/>
        </w:rPr>
        <w:t xml:space="preserve"> </w:t>
      </w:r>
      <w:r>
        <w:t>cross-cultural study. Economic and Political</w:t>
      </w:r>
      <w:r>
        <w:tab/>
        <w:t>Studies, 11(3),</w:t>
      </w:r>
      <w:r>
        <w:tab/>
      </w:r>
      <w:r>
        <w:rPr>
          <w:spacing w:val="-2"/>
        </w:rPr>
        <w:t>365–381. https://doi.org/10.1080/20954816.2022.2130501.</w:t>
      </w:r>
    </w:p>
    <w:p w14:paraId="486989F3" w14:textId="77777777" w:rsidR="004814B2" w:rsidRDefault="004814B2" w:rsidP="004814B2">
      <w:pPr>
        <w:jc w:val="both"/>
        <w:rPr>
          <w:rFonts w:ascii="Arial" w:hAnsi="Arial" w:cs="Arial"/>
        </w:rPr>
      </w:pPr>
    </w:p>
    <w:p w14:paraId="7E15DCBC" w14:textId="77777777" w:rsidR="004814B2" w:rsidRPr="004814B2" w:rsidRDefault="004814B2" w:rsidP="004814B2">
      <w:pPr>
        <w:jc w:val="both"/>
        <w:rPr>
          <w:rFonts w:ascii="Arial" w:hAnsi="Arial" w:cs="Arial"/>
        </w:rPr>
      </w:pPr>
    </w:p>
    <w:p w14:paraId="7CD0C917" w14:textId="7813E405" w:rsidR="00D01CB6" w:rsidRDefault="00D01CB6" w:rsidP="00D01CB6">
      <w:proofErr w:type="spellStart"/>
      <w:r>
        <w:t>Masud</w:t>
      </w:r>
      <w:proofErr w:type="spellEnd"/>
      <w:r>
        <w:t>,</w:t>
      </w:r>
      <w:r>
        <w:rPr>
          <w:spacing w:val="-1"/>
        </w:rPr>
        <w:t xml:space="preserve"> </w:t>
      </w:r>
      <w:r>
        <w:t>Abdulsalam &amp;</w:t>
      </w:r>
      <w:r>
        <w:rPr>
          <w:spacing w:val="-2"/>
        </w:rPr>
        <w:t xml:space="preserve"> </w:t>
      </w:r>
      <w:proofErr w:type="spellStart"/>
      <w:r>
        <w:t>Manaf</w:t>
      </w:r>
      <w:proofErr w:type="spellEnd"/>
      <w:r>
        <w:t>, Nor</w:t>
      </w:r>
      <w:r>
        <w:rPr>
          <w:spacing w:val="-5"/>
        </w:rPr>
        <w:t xml:space="preserve"> </w:t>
      </w:r>
      <w:r>
        <w:t>&amp;</w:t>
      </w:r>
      <w:r>
        <w:rPr>
          <w:spacing w:val="-2"/>
        </w:rPr>
        <w:t xml:space="preserve"> </w:t>
      </w:r>
      <w:r>
        <w:t xml:space="preserve">Saad, </w:t>
      </w:r>
      <w:proofErr w:type="spellStart"/>
      <w:r>
        <w:t>Natrah</w:t>
      </w:r>
      <w:proofErr w:type="spellEnd"/>
      <w:r>
        <w:t>.</w:t>
      </w:r>
      <w:r>
        <w:rPr>
          <w:spacing w:val="-2"/>
        </w:rPr>
        <w:t xml:space="preserve"> </w:t>
      </w:r>
      <w:r>
        <w:t>(2019).</w:t>
      </w:r>
      <w:r>
        <w:rPr>
          <w:spacing w:val="-2"/>
        </w:rPr>
        <w:t xml:space="preserve"> </w:t>
      </w:r>
      <w:r>
        <w:t>Trust</w:t>
      </w:r>
      <w:r>
        <w:rPr>
          <w:spacing w:val="-2"/>
        </w:rPr>
        <w:t xml:space="preserve"> </w:t>
      </w:r>
      <w:r>
        <w:t>and</w:t>
      </w:r>
      <w:r>
        <w:rPr>
          <w:spacing w:val="-2"/>
        </w:rPr>
        <w:t xml:space="preserve"> </w:t>
      </w:r>
      <w:r>
        <w:t xml:space="preserve">power as predictors </w:t>
      </w:r>
      <w:proofErr w:type="spellStart"/>
      <w:r>
        <w:rPr>
          <w:spacing w:val="-5"/>
        </w:rPr>
        <w:t>totax</w:t>
      </w:r>
      <w:proofErr w:type="spellEnd"/>
      <w:r>
        <w:tab/>
        <w:t>compliance:</w:t>
      </w:r>
      <w:r>
        <w:rPr>
          <w:spacing w:val="35"/>
        </w:rPr>
        <w:t xml:space="preserve"> </w:t>
      </w:r>
      <w:r>
        <w:t>Global</w:t>
      </w:r>
      <w:r>
        <w:rPr>
          <w:spacing w:val="38"/>
        </w:rPr>
        <w:t xml:space="preserve"> </w:t>
      </w:r>
      <w:r>
        <w:t>evidence.</w:t>
      </w:r>
      <w:r>
        <w:rPr>
          <w:spacing w:val="40"/>
        </w:rPr>
        <w:t xml:space="preserve"> </w:t>
      </w:r>
      <w:r>
        <w:t>Economics</w:t>
      </w:r>
      <w:r>
        <w:rPr>
          <w:spacing w:val="34"/>
        </w:rPr>
        <w:t xml:space="preserve"> </w:t>
      </w:r>
      <w:r>
        <w:t>&amp;</w:t>
      </w:r>
      <w:r>
        <w:rPr>
          <w:spacing w:val="40"/>
        </w:rPr>
        <w:t xml:space="preserve"> </w:t>
      </w:r>
      <w:r>
        <w:t>Sociology.</w:t>
      </w:r>
      <w:r>
        <w:rPr>
          <w:spacing w:val="40"/>
        </w:rPr>
        <w:t xml:space="preserve"> </w:t>
      </w:r>
      <w:r>
        <w:t>12.</w:t>
      </w:r>
      <w:r>
        <w:rPr>
          <w:spacing w:val="39"/>
        </w:rPr>
        <w:t xml:space="preserve"> </w:t>
      </w:r>
      <w:r>
        <w:rPr>
          <w:spacing w:val="-4"/>
        </w:rPr>
        <w:t>192-</w:t>
      </w:r>
    </w:p>
    <w:p w14:paraId="70BF6B45" w14:textId="77777777" w:rsidR="00D01CB6" w:rsidRDefault="00D01CB6" w:rsidP="00D01CB6">
      <w:pPr>
        <w:pStyle w:val="BodyText"/>
        <w:tabs>
          <w:tab w:val="left" w:pos="2161"/>
          <w:tab w:val="left" w:pos="4321"/>
        </w:tabs>
        <w:spacing w:before="7"/>
        <w:jc w:val="both"/>
        <w:rPr>
          <w:spacing w:val="-4"/>
        </w:rPr>
      </w:pPr>
      <w:r>
        <w:rPr>
          <w:spacing w:val="-4"/>
        </w:rPr>
        <w:t>204.</w:t>
      </w:r>
      <w:r>
        <w:tab/>
      </w:r>
      <w:r>
        <w:rPr>
          <w:spacing w:val="-2"/>
        </w:rPr>
        <w:t>10.14254/2071-</w:t>
      </w:r>
      <w:r>
        <w:tab/>
      </w:r>
      <w:r>
        <w:rPr>
          <w:spacing w:val="-2"/>
        </w:rPr>
        <w:t>789X.2019/12-</w:t>
      </w:r>
      <w:r>
        <w:rPr>
          <w:spacing w:val="-4"/>
        </w:rPr>
        <w:t>2/11.</w:t>
      </w:r>
    </w:p>
    <w:p w14:paraId="768A86ED" w14:textId="2E695E31" w:rsidR="00FC008B" w:rsidRDefault="00FC008B" w:rsidP="001B0D84">
      <w:pPr>
        <w:jc w:val="both"/>
      </w:pPr>
      <w:r>
        <w:t xml:space="preserve">Putra, I. M. W., AMP, I. N. K., &amp; </w:t>
      </w:r>
      <w:proofErr w:type="spellStart"/>
      <w:r>
        <w:t>Sudiartana</w:t>
      </w:r>
      <w:proofErr w:type="spellEnd"/>
      <w:r>
        <w:t xml:space="preserve">, I. M. (2021). </w:t>
      </w:r>
      <w:proofErr w:type="spellStart"/>
      <w:r>
        <w:t>Pengaruh</w:t>
      </w:r>
      <w:proofErr w:type="spellEnd"/>
      <w:r>
        <w:t xml:space="preserv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Sanksi</w:t>
      </w:r>
      <w:proofErr w:type="spellEnd"/>
      <w:r>
        <w:t xml:space="preserve"> </w:t>
      </w:r>
      <w:proofErr w:type="spellStart"/>
      <w:r>
        <w:t>Pajak</w:t>
      </w:r>
      <w:proofErr w:type="spellEnd"/>
      <w:r>
        <w:t xml:space="preserve">, </w:t>
      </w:r>
      <w:proofErr w:type="spellStart"/>
      <w:r>
        <w:t>Sosialisasi</w:t>
      </w:r>
      <w:proofErr w:type="spellEnd"/>
      <w:r>
        <w:t xml:space="preserve"> </w:t>
      </w:r>
      <w:proofErr w:type="spellStart"/>
      <w:r>
        <w:t>Pajak</w:t>
      </w:r>
      <w:proofErr w:type="spellEnd"/>
      <w:r>
        <w:t xml:space="preserve"> Dan </w:t>
      </w:r>
      <w:proofErr w:type="spellStart"/>
      <w:r>
        <w:t>Penerapan</w:t>
      </w:r>
      <w:proofErr w:type="spellEnd"/>
      <w:r>
        <w:t xml:space="preserve"> E-Billing </w:t>
      </w:r>
      <w:proofErr w:type="spellStart"/>
      <w:r>
        <w:t>Terhadap</w:t>
      </w:r>
      <w:proofErr w:type="spellEnd"/>
      <w:r>
        <w:t xml:space="preserve"> </w:t>
      </w:r>
      <w:proofErr w:type="spellStart"/>
      <w:r>
        <w:t>Kepatuhan</w:t>
      </w:r>
      <w:proofErr w:type="spellEnd"/>
      <w:r>
        <w:rPr>
          <w:spacing w:val="-15"/>
        </w:rPr>
        <w:t xml:space="preserve"> </w:t>
      </w:r>
      <w:proofErr w:type="spellStart"/>
      <w:r>
        <w:t>Membayar</w:t>
      </w:r>
      <w:proofErr w:type="spellEnd"/>
      <w:r>
        <w:rPr>
          <w:spacing w:val="-15"/>
        </w:rPr>
        <w:t xml:space="preserve"> </w:t>
      </w:r>
      <w:proofErr w:type="spellStart"/>
      <w:r>
        <w:t>Pajak</w:t>
      </w:r>
      <w:proofErr w:type="spellEnd"/>
      <w:r>
        <w:rPr>
          <w:spacing w:val="-14"/>
        </w:rPr>
        <w:t xml:space="preserve"> </w:t>
      </w:r>
      <w:proofErr w:type="spellStart"/>
      <w:r>
        <w:t>Wajib</w:t>
      </w:r>
      <w:proofErr w:type="spellEnd"/>
      <w:r>
        <w:rPr>
          <w:spacing w:val="-15"/>
        </w:rPr>
        <w:t xml:space="preserve"> </w:t>
      </w:r>
      <w:proofErr w:type="spellStart"/>
      <w:r>
        <w:t>Pajak</w:t>
      </w:r>
      <w:proofErr w:type="spellEnd"/>
      <w:r>
        <w:rPr>
          <w:spacing w:val="-15"/>
        </w:rPr>
        <w:t xml:space="preserve"> </w:t>
      </w:r>
      <w:r>
        <w:t>Orang</w:t>
      </w:r>
      <w:r>
        <w:rPr>
          <w:spacing w:val="-14"/>
        </w:rPr>
        <w:t xml:space="preserve"> </w:t>
      </w:r>
      <w:proofErr w:type="spellStart"/>
      <w:r>
        <w:t>Pribadi</w:t>
      </w:r>
      <w:proofErr w:type="spellEnd"/>
      <w:r>
        <w:rPr>
          <w:spacing w:val="-15"/>
        </w:rPr>
        <w:t xml:space="preserve"> </w:t>
      </w:r>
      <w:r>
        <w:t>di</w:t>
      </w:r>
      <w:r>
        <w:rPr>
          <w:spacing w:val="-14"/>
        </w:rPr>
        <w:t xml:space="preserve"> </w:t>
      </w:r>
      <w:r>
        <w:t>Kantor</w:t>
      </w:r>
      <w:r>
        <w:rPr>
          <w:spacing w:val="-15"/>
        </w:rPr>
        <w:t xml:space="preserve"> </w:t>
      </w:r>
      <w:proofErr w:type="spellStart"/>
      <w:r>
        <w:t>Pelayanan</w:t>
      </w:r>
      <w:proofErr w:type="spellEnd"/>
      <w:r>
        <w:rPr>
          <w:spacing w:val="-15"/>
        </w:rPr>
        <w:t xml:space="preserve"> </w:t>
      </w:r>
      <w:proofErr w:type="spellStart"/>
      <w:r>
        <w:t>Pajak</w:t>
      </w:r>
      <w:proofErr w:type="spellEnd"/>
      <w:r>
        <w:t xml:space="preserve"> </w:t>
      </w:r>
      <w:proofErr w:type="spellStart"/>
      <w:r>
        <w:t>Pratama</w:t>
      </w:r>
      <w:proofErr w:type="spellEnd"/>
      <w:r>
        <w:t xml:space="preserve"> </w:t>
      </w:r>
      <w:proofErr w:type="spellStart"/>
      <w:r>
        <w:t>Badung</w:t>
      </w:r>
      <w:proofErr w:type="spellEnd"/>
      <w:r>
        <w:t xml:space="preserve"> Utara. </w:t>
      </w:r>
      <w:proofErr w:type="spellStart"/>
      <w:r>
        <w:t>Jurnal</w:t>
      </w:r>
      <w:proofErr w:type="spellEnd"/>
      <w:r>
        <w:t xml:space="preserve"> </w:t>
      </w:r>
      <w:proofErr w:type="spellStart"/>
      <w:r>
        <w:t>Kharisma</w:t>
      </w:r>
      <w:proofErr w:type="spellEnd"/>
      <w:r>
        <w:t>, 3(1), 117–127.</w:t>
      </w:r>
    </w:p>
    <w:p w14:paraId="1475A175" w14:textId="6C5165A3" w:rsidR="00D01CB6" w:rsidRDefault="00D01CB6" w:rsidP="00D01CB6">
      <w:pPr>
        <w:tabs>
          <w:tab w:val="left" w:pos="4321"/>
          <w:tab w:val="left" w:pos="6482"/>
        </w:tabs>
        <w:spacing w:line="241" w:lineRule="exact"/>
        <w:ind w:left="1441"/>
      </w:pPr>
      <w:r>
        <w:rPr>
          <w:spacing w:val="-4"/>
          <w:sz w:val="22"/>
        </w:rPr>
        <w:t>.</w:t>
      </w:r>
    </w:p>
    <w:p w14:paraId="010F3CB8" w14:textId="77777777" w:rsidR="005A690F" w:rsidRDefault="005A690F" w:rsidP="005A690F">
      <w:pPr>
        <w:jc w:val="both"/>
      </w:pPr>
    </w:p>
    <w:p w14:paraId="7201B9A4" w14:textId="77777777" w:rsidR="005A690F" w:rsidRDefault="005A690F" w:rsidP="005A690F">
      <w:pPr>
        <w:jc w:val="both"/>
      </w:pPr>
    </w:p>
    <w:p w14:paraId="5CB45563" w14:textId="77777777" w:rsidR="005A690F" w:rsidRDefault="005A690F" w:rsidP="005A690F">
      <w:pPr>
        <w:jc w:val="both"/>
      </w:pPr>
    </w:p>
    <w:p w14:paraId="56AE9542" w14:textId="77777777" w:rsidR="005A690F" w:rsidRDefault="005A690F" w:rsidP="005A690F">
      <w:pPr>
        <w:jc w:val="both"/>
      </w:pPr>
    </w:p>
    <w:p w14:paraId="68632AF7" w14:textId="77777777" w:rsidR="005A690F" w:rsidRDefault="005A690F" w:rsidP="005A690F">
      <w:pPr>
        <w:jc w:val="both"/>
      </w:pPr>
    </w:p>
    <w:p w14:paraId="1F0A75D1" w14:textId="77777777" w:rsidR="005A690F" w:rsidRPr="00607E75" w:rsidRDefault="005A690F" w:rsidP="005A690F">
      <w:pPr>
        <w:jc w:val="both"/>
        <w:rPr>
          <w:rFonts w:ascii="Arial" w:hAnsi="Arial" w:cs="Arial"/>
          <w:u w:val="single"/>
        </w:rPr>
      </w:pPr>
    </w:p>
    <w:p w14:paraId="2B66E860" w14:textId="77777777" w:rsidR="007110EC" w:rsidRPr="00607E75" w:rsidRDefault="007110EC" w:rsidP="00441B6F">
      <w:pPr>
        <w:pStyle w:val="Body"/>
        <w:spacing w:after="0"/>
        <w:rPr>
          <w:rFonts w:ascii="Arial" w:hAnsi="Arial" w:cs="Arial"/>
        </w:rPr>
      </w:pPr>
    </w:p>
    <w:p w14:paraId="7280E412" w14:textId="77777777" w:rsidR="007110EC" w:rsidRPr="00607E75" w:rsidRDefault="007110EC" w:rsidP="00441B6F">
      <w:pPr>
        <w:pStyle w:val="Body"/>
        <w:spacing w:after="0"/>
        <w:rPr>
          <w:rFonts w:ascii="Arial" w:hAnsi="Arial" w:cs="Arial"/>
        </w:rPr>
      </w:pPr>
    </w:p>
    <w:p w14:paraId="4CDBCC27" w14:textId="77777777" w:rsidR="007110EC" w:rsidRPr="00607E75" w:rsidRDefault="007110EC" w:rsidP="00441B6F">
      <w:pPr>
        <w:pStyle w:val="Body"/>
        <w:spacing w:after="0"/>
        <w:rPr>
          <w:rFonts w:ascii="Arial" w:hAnsi="Arial" w:cs="Arial"/>
        </w:rPr>
      </w:pPr>
    </w:p>
    <w:p w14:paraId="246FAE3C" w14:textId="77777777" w:rsidR="001E17DC" w:rsidRPr="00607E75" w:rsidRDefault="001E17DC" w:rsidP="00441B6F">
      <w:pPr>
        <w:pStyle w:val="Appendix"/>
        <w:spacing w:after="0"/>
        <w:jc w:val="both"/>
        <w:rPr>
          <w:rFonts w:ascii="Arial" w:hAnsi="Arial" w:cs="Arial"/>
        </w:rPr>
        <w:sectPr w:rsidR="001E17DC" w:rsidRPr="00607E75" w:rsidSect="001B0D84">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p>
    <w:p w14:paraId="2EC09A0D" w14:textId="289FA4A1" w:rsidR="007110EC" w:rsidRPr="00607E75" w:rsidRDefault="007110EC" w:rsidP="00441B6F">
      <w:pPr>
        <w:pStyle w:val="Appendix"/>
        <w:spacing w:after="0"/>
        <w:jc w:val="both"/>
        <w:rPr>
          <w:rFonts w:ascii="Arial" w:hAnsi="Arial" w:cs="Arial"/>
        </w:rPr>
      </w:pPr>
    </w:p>
    <w:p w14:paraId="5B55ED6E" w14:textId="0F7B72E8" w:rsidR="004D4277" w:rsidRPr="00607E75" w:rsidRDefault="003D6BEF" w:rsidP="00441B6F">
      <w:pPr>
        <w:pStyle w:val="Appendix"/>
        <w:spacing w:after="0"/>
        <w:jc w:val="both"/>
        <w:rPr>
          <w:rFonts w:ascii="Arial" w:hAnsi="Arial" w:cs="Arial"/>
          <w:b w:val="0"/>
        </w:rPr>
        <w:sectPr w:rsidR="004D4277" w:rsidRPr="00607E75" w:rsidSect="001B0D84">
          <w:pgSz w:w="12240" w:h="15840"/>
          <w:pgMar w:top="1440" w:right="2016" w:bottom="2016" w:left="2016" w:header="720" w:footer="1123" w:gutter="0"/>
          <w:cols w:space="720"/>
          <w:docGrid w:linePitch="272"/>
        </w:sectPr>
      </w:pPr>
      <w:r w:rsidRPr="00607E75">
        <w:rPr>
          <w:rFonts w:ascii="Arial" w:hAnsi="Arial" w:cs="Arial"/>
          <w:b w:val="0"/>
          <w:noProof/>
        </w:rPr>
        <w:drawing>
          <wp:anchor distT="0" distB="0" distL="114300" distR="114300" simplePos="0" relativeHeight="251658240" behindDoc="0" locked="0" layoutInCell="1" allowOverlap="1" wp14:anchorId="4B505994" wp14:editId="4EDC51FD">
            <wp:simplePos x="0" y="0"/>
            <wp:positionH relativeFrom="margin">
              <wp:align>left</wp:align>
            </wp:positionH>
            <wp:positionV relativeFrom="paragraph">
              <wp:posOffset>580753</wp:posOffset>
            </wp:positionV>
            <wp:extent cx="4124325" cy="5677535"/>
            <wp:effectExtent l="0" t="0" r="9525" b="0"/>
            <wp:wrapNone/>
            <wp:docPr id="12091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036" name=""/>
                    <pic:cNvPicPr/>
                  </pic:nvPicPr>
                  <pic:blipFill>
                    <a:blip r:embed="rId45">
                      <a:extLst>
                        <a:ext uri="{28A0092B-C50C-407E-A947-70E740481C1C}">
                          <a14:useLocalDpi xmlns:a14="http://schemas.microsoft.com/office/drawing/2010/main" val="0"/>
                        </a:ext>
                      </a:extLst>
                    </a:blip>
                    <a:stretch>
                      <a:fillRect/>
                    </a:stretch>
                  </pic:blipFill>
                  <pic:spPr>
                    <a:xfrm>
                      <a:off x="0" y="0"/>
                      <a:ext cx="4124325" cy="5677535"/>
                    </a:xfrm>
                    <a:prstGeom prst="rect">
                      <a:avLst/>
                    </a:prstGeom>
                  </pic:spPr>
                </pic:pic>
              </a:graphicData>
            </a:graphic>
          </wp:anchor>
        </w:drawing>
      </w:r>
      <w:r w:rsidR="00B01FCD" w:rsidRPr="00607E75">
        <w:rPr>
          <w:rFonts w:ascii="Arial" w:hAnsi="Arial" w:cs="Arial"/>
        </w:rPr>
        <w:t>APPENDIX</w:t>
      </w:r>
    </w:p>
    <w:p w14:paraId="48F27E0E" w14:textId="1FA897DF" w:rsidR="007110EC" w:rsidRPr="00607E75" w:rsidRDefault="007110EC" w:rsidP="00441B6F">
      <w:pPr>
        <w:pStyle w:val="Appendix"/>
        <w:spacing w:after="0"/>
        <w:jc w:val="both"/>
        <w:rPr>
          <w:rFonts w:ascii="Arial" w:hAnsi="Arial" w:cs="Arial"/>
          <w:b w:val="0"/>
        </w:rPr>
      </w:pPr>
    </w:p>
    <w:p w14:paraId="5B05BDA9" w14:textId="48DDB387"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59264" behindDoc="0" locked="0" layoutInCell="1" allowOverlap="1" wp14:anchorId="7D23B5CD" wp14:editId="1F4CDA28">
            <wp:simplePos x="0" y="0"/>
            <wp:positionH relativeFrom="column">
              <wp:posOffset>1333319</wp:posOffset>
            </wp:positionH>
            <wp:positionV relativeFrom="paragraph">
              <wp:posOffset>100454</wp:posOffset>
            </wp:positionV>
            <wp:extent cx="4095750" cy="4906010"/>
            <wp:effectExtent l="0" t="0" r="0" b="8890"/>
            <wp:wrapNone/>
            <wp:docPr id="51148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85339" name=""/>
                    <pic:cNvPicPr/>
                  </pic:nvPicPr>
                  <pic:blipFill>
                    <a:blip r:embed="rId46">
                      <a:extLst>
                        <a:ext uri="{28A0092B-C50C-407E-A947-70E740481C1C}">
                          <a14:useLocalDpi xmlns:a14="http://schemas.microsoft.com/office/drawing/2010/main" val="0"/>
                        </a:ext>
                      </a:extLst>
                    </a:blip>
                    <a:stretch>
                      <a:fillRect/>
                    </a:stretch>
                  </pic:blipFill>
                  <pic:spPr>
                    <a:xfrm>
                      <a:off x="0" y="0"/>
                      <a:ext cx="4095750" cy="4906010"/>
                    </a:xfrm>
                    <a:prstGeom prst="rect">
                      <a:avLst/>
                    </a:prstGeom>
                  </pic:spPr>
                </pic:pic>
              </a:graphicData>
            </a:graphic>
          </wp:anchor>
        </w:drawing>
      </w:r>
    </w:p>
    <w:p w14:paraId="4709009B" w14:textId="77777777" w:rsidR="007110EC" w:rsidRPr="00607E75" w:rsidRDefault="007110EC" w:rsidP="00441B6F">
      <w:pPr>
        <w:pStyle w:val="Appendix"/>
        <w:spacing w:after="0"/>
        <w:jc w:val="both"/>
        <w:rPr>
          <w:rFonts w:ascii="Arial" w:hAnsi="Arial" w:cs="Arial"/>
          <w:b w:val="0"/>
        </w:rPr>
      </w:pPr>
    </w:p>
    <w:p w14:paraId="2C49D405" w14:textId="58657F9E" w:rsidR="007110EC" w:rsidRPr="00607E75" w:rsidRDefault="007110EC" w:rsidP="00441B6F">
      <w:pPr>
        <w:pStyle w:val="Appendix"/>
        <w:spacing w:after="0"/>
        <w:jc w:val="both"/>
        <w:rPr>
          <w:rFonts w:ascii="Arial" w:hAnsi="Arial" w:cs="Arial"/>
          <w:b w:val="0"/>
        </w:rPr>
      </w:pPr>
    </w:p>
    <w:p w14:paraId="4BEA644D" w14:textId="099AA746" w:rsidR="007110EC" w:rsidRPr="00607E75" w:rsidRDefault="007110EC" w:rsidP="00441B6F">
      <w:pPr>
        <w:pStyle w:val="Appendix"/>
        <w:spacing w:after="0"/>
        <w:jc w:val="both"/>
        <w:rPr>
          <w:rFonts w:ascii="Arial" w:hAnsi="Arial" w:cs="Arial"/>
          <w:b w:val="0"/>
        </w:rPr>
      </w:pPr>
    </w:p>
    <w:p w14:paraId="304CC1FB" w14:textId="77777777" w:rsidR="007110EC" w:rsidRPr="00607E75" w:rsidRDefault="007110EC" w:rsidP="00441B6F">
      <w:pPr>
        <w:pStyle w:val="Appendix"/>
        <w:spacing w:after="0"/>
        <w:jc w:val="both"/>
        <w:rPr>
          <w:rFonts w:ascii="Arial" w:hAnsi="Arial" w:cs="Arial"/>
          <w:b w:val="0"/>
        </w:rPr>
      </w:pPr>
    </w:p>
    <w:p w14:paraId="23711354" w14:textId="007FA678" w:rsidR="007110EC" w:rsidRPr="00607E75" w:rsidRDefault="007110EC" w:rsidP="00441B6F">
      <w:pPr>
        <w:pStyle w:val="Appendix"/>
        <w:spacing w:after="0"/>
        <w:jc w:val="both"/>
        <w:rPr>
          <w:rFonts w:ascii="Arial" w:hAnsi="Arial" w:cs="Arial"/>
          <w:b w:val="0"/>
        </w:rPr>
      </w:pPr>
    </w:p>
    <w:p w14:paraId="644393B7" w14:textId="77777777" w:rsidR="007110EC" w:rsidRPr="00607E75" w:rsidRDefault="007110EC" w:rsidP="00441B6F">
      <w:pPr>
        <w:pStyle w:val="Appendix"/>
        <w:spacing w:after="0"/>
        <w:jc w:val="both"/>
        <w:rPr>
          <w:rFonts w:ascii="Arial" w:hAnsi="Arial" w:cs="Arial"/>
          <w:b w:val="0"/>
        </w:rPr>
      </w:pPr>
    </w:p>
    <w:p w14:paraId="302BB44C" w14:textId="43AC6C98" w:rsidR="007110EC" w:rsidRPr="00607E75" w:rsidRDefault="007110EC" w:rsidP="00441B6F">
      <w:pPr>
        <w:pStyle w:val="Appendix"/>
        <w:spacing w:after="0"/>
        <w:jc w:val="both"/>
        <w:rPr>
          <w:rFonts w:ascii="Arial" w:hAnsi="Arial" w:cs="Arial"/>
          <w:b w:val="0"/>
        </w:rPr>
      </w:pPr>
    </w:p>
    <w:p w14:paraId="016DF945" w14:textId="0A8865ED" w:rsidR="007110EC" w:rsidRPr="00607E75" w:rsidRDefault="007110EC" w:rsidP="00441B6F">
      <w:pPr>
        <w:pStyle w:val="Appendix"/>
        <w:spacing w:after="0"/>
        <w:jc w:val="both"/>
        <w:rPr>
          <w:rFonts w:ascii="Arial" w:hAnsi="Arial" w:cs="Arial"/>
          <w:b w:val="0"/>
        </w:rPr>
      </w:pPr>
    </w:p>
    <w:p w14:paraId="11F28B73" w14:textId="77777777" w:rsidR="007110EC" w:rsidRPr="00607E75" w:rsidRDefault="007110EC" w:rsidP="00441B6F">
      <w:pPr>
        <w:pStyle w:val="Appendix"/>
        <w:spacing w:after="0"/>
        <w:jc w:val="both"/>
        <w:rPr>
          <w:rFonts w:ascii="Arial" w:hAnsi="Arial" w:cs="Arial"/>
          <w:b w:val="0"/>
        </w:rPr>
      </w:pPr>
    </w:p>
    <w:p w14:paraId="529F0BFF" w14:textId="3077BFCF" w:rsidR="007110EC" w:rsidRPr="00607E75" w:rsidRDefault="007110EC" w:rsidP="00441B6F">
      <w:pPr>
        <w:pStyle w:val="Appendix"/>
        <w:spacing w:after="0"/>
        <w:jc w:val="both"/>
        <w:rPr>
          <w:rFonts w:ascii="Arial" w:hAnsi="Arial" w:cs="Arial"/>
          <w:b w:val="0"/>
        </w:rPr>
      </w:pPr>
    </w:p>
    <w:p w14:paraId="52059A6A" w14:textId="3137913E" w:rsidR="007110EC" w:rsidRPr="00607E75" w:rsidRDefault="007110EC" w:rsidP="00441B6F">
      <w:pPr>
        <w:pStyle w:val="Appendix"/>
        <w:spacing w:after="0"/>
        <w:jc w:val="both"/>
        <w:rPr>
          <w:rFonts w:ascii="Arial" w:hAnsi="Arial" w:cs="Arial"/>
          <w:b w:val="0"/>
        </w:rPr>
      </w:pPr>
    </w:p>
    <w:p w14:paraId="1C2D0986" w14:textId="53497F30" w:rsidR="007110EC" w:rsidRPr="00607E75" w:rsidRDefault="007110EC" w:rsidP="00441B6F">
      <w:pPr>
        <w:pStyle w:val="Appendix"/>
        <w:spacing w:after="0"/>
        <w:jc w:val="both"/>
        <w:rPr>
          <w:rFonts w:ascii="Arial" w:hAnsi="Arial" w:cs="Arial"/>
          <w:b w:val="0"/>
        </w:rPr>
      </w:pPr>
    </w:p>
    <w:p w14:paraId="0B3F8655" w14:textId="7847EA7D" w:rsidR="007110EC" w:rsidRPr="00607E75" w:rsidRDefault="007110EC" w:rsidP="00441B6F">
      <w:pPr>
        <w:pStyle w:val="Appendix"/>
        <w:spacing w:after="0"/>
        <w:jc w:val="both"/>
        <w:rPr>
          <w:rFonts w:ascii="Arial" w:hAnsi="Arial" w:cs="Arial"/>
          <w:b w:val="0"/>
        </w:rPr>
      </w:pPr>
    </w:p>
    <w:p w14:paraId="2326FAAC" w14:textId="77777777" w:rsidR="007110EC" w:rsidRPr="00607E75" w:rsidRDefault="007110EC" w:rsidP="00441B6F">
      <w:pPr>
        <w:pStyle w:val="Appendix"/>
        <w:spacing w:after="0"/>
        <w:jc w:val="both"/>
        <w:rPr>
          <w:rFonts w:ascii="Arial" w:hAnsi="Arial" w:cs="Arial"/>
          <w:b w:val="0"/>
        </w:rPr>
      </w:pPr>
    </w:p>
    <w:p w14:paraId="04262B47" w14:textId="289D0D73" w:rsidR="007110EC" w:rsidRPr="00607E75" w:rsidRDefault="007110EC" w:rsidP="00441B6F">
      <w:pPr>
        <w:pStyle w:val="Appendix"/>
        <w:spacing w:after="0"/>
        <w:jc w:val="both"/>
        <w:rPr>
          <w:rFonts w:ascii="Arial" w:hAnsi="Arial" w:cs="Arial"/>
          <w:b w:val="0"/>
        </w:rPr>
      </w:pPr>
    </w:p>
    <w:p w14:paraId="16CD8178" w14:textId="695955B2" w:rsidR="007110EC" w:rsidRPr="00607E75" w:rsidRDefault="007110EC" w:rsidP="00441B6F">
      <w:pPr>
        <w:pStyle w:val="Appendix"/>
        <w:spacing w:after="0"/>
        <w:jc w:val="both"/>
        <w:rPr>
          <w:rFonts w:ascii="Arial" w:hAnsi="Arial" w:cs="Arial"/>
          <w:b w:val="0"/>
        </w:rPr>
      </w:pPr>
    </w:p>
    <w:p w14:paraId="001E2C5F" w14:textId="1DB93C69" w:rsidR="007110EC" w:rsidRPr="00607E75" w:rsidRDefault="007110EC" w:rsidP="00441B6F">
      <w:pPr>
        <w:pStyle w:val="Appendix"/>
        <w:spacing w:after="0"/>
        <w:jc w:val="both"/>
        <w:rPr>
          <w:rFonts w:ascii="Arial" w:hAnsi="Arial" w:cs="Arial"/>
          <w:b w:val="0"/>
        </w:rPr>
      </w:pPr>
    </w:p>
    <w:p w14:paraId="1480D296" w14:textId="77777777" w:rsidR="007110EC" w:rsidRPr="00607E75" w:rsidRDefault="007110EC" w:rsidP="00441B6F">
      <w:pPr>
        <w:pStyle w:val="Appendix"/>
        <w:spacing w:after="0"/>
        <w:jc w:val="both"/>
        <w:rPr>
          <w:rFonts w:ascii="Arial" w:hAnsi="Arial" w:cs="Arial"/>
          <w:b w:val="0"/>
        </w:rPr>
      </w:pPr>
    </w:p>
    <w:p w14:paraId="7BC5C9EF" w14:textId="77777777" w:rsidR="007110EC" w:rsidRPr="00607E75" w:rsidRDefault="007110EC" w:rsidP="00441B6F">
      <w:pPr>
        <w:pStyle w:val="Appendix"/>
        <w:spacing w:after="0"/>
        <w:jc w:val="both"/>
        <w:rPr>
          <w:rFonts w:ascii="Arial" w:hAnsi="Arial" w:cs="Arial"/>
          <w:b w:val="0"/>
        </w:rPr>
      </w:pPr>
    </w:p>
    <w:p w14:paraId="53CCFCF1" w14:textId="77777777" w:rsidR="007110EC" w:rsidRPr="00607E75" w:rsidRDefault="007110EC" w:rsidP="00441B6F">
      <w:pPr>
        <w:pStyle w:val="Appendix"/>
        <w:spacing w:after="0"/>
        <w:jc w:val="both"/>
        <w:rPr>
          <w:rFonts w:ascii="Arial" w:hAnsi="Arial" w:cs="Arial"/>
          <w:b w:val="0"/>
        </w:rPr>
      </w:pPr>
    </w:p>
    <w:p w14:paraId="539FDF1A" w14:textId="77777777" w:rsidR="007110EC" w:rsidRPr="00607E75" w:rsidRDefault="007110EC" w:rsidP="00441B6F">
      <w:pPr>
        <w:pStyle w:val="Appendix"/>
        <w:spacing w:after="0"/>
        <w:jc w:val="both"/>
        <w:rPr>
          <w:rFonts w:ascii="Arial" w:hAnsi="Arial" w:cs="Arial"/>
          <w:b w:val="0"/>
        </w:rPr>
      </w:pPr>
    </w:p>
    <w:p w14:paraId="7E782F98" w14:textId="77777777" w:rsidR="007110EC" w:rsidRPr="00607E75" w:rsidRDefault="007110EC" w:rsidP="00441B6F">
      <w:pPr>
        <w:pStyle w:val="Appendix"/>
        <w:spacing w:after="0"/>
        <w:jc w:val="both"/>
        <w:rPr>
          <w:rFonts w:ascii="Arial" w:hAnsi="Arial" w:cs="Arial"/>
          <w:b w:val="0"/>
        </w:rPr>
      </w:pPr>
    </w:p>
    <w:p w14:paraId="0C22EFCA" w14:textId="0EC705C6" w:rsidR="007110EC" w:rsidRPr="00607E75" w:rsidRDefault="007110EC" w:rsidP="00441B6F">
      <w:pPr>
        <w:pStyle w:val="Appendix"/>
        <w:spacing w:after="0"/>
        <w:jc w:val="both"/>
        <w:rPr>
          <w:rFonts w:ascii="Arial" w:hAnsi="Arial" w:cs="Arial"/>
          <w:b w:val="0"/>
        </w:rPr>
      </w:pPr>
    </w:p>
    <w:p w14:paraId="72A7CDF5" w14:textId="77777777" w:rsidR="007110EC" w:rsidRPr="00607E75" w:rsidRDefault="007110EC" w:rsidP="00441B6F">
      <w:pPr>
        <w:pStyle w:val="Appendix"/>
        <w:spacing w:after="0"/>
        <w:jc w:val="both"/>
        <w:rPr>
          <w:rFonts w:ascii="Arial" w:hAnsi="Arial" w:cs="Arial"/>
          <w:b w:val="0"/>
        </w:rPr>
      </w:pPr>
    </w:p>
    <w:p w14:paraId="66C9AEB2" w14:textId="4A875233" w:rsidR="007110EC" w:rsidRPr="00607E75" w:rsidRDefault="007110EC" w:rsidP="00441B6F">
      <w:pPr>
        <w:pStyle w:val="Appendix"/>
        <w:spacing w:after="0"/>
        <w:jc w:val="both"/>
        <w:rPr>
          <w:rFonts w:ascii="Arial" w:hAnsi="Arial" w:cs="Arial"/>
          <w:b w:val="0"/>
        </w:rPr>
      </w:pPr>
    </w:p>
    <w:p w14:paraId="54966BC1" w14:textId="77777777" w:rsidR="007110EC" w:rsidRPr="00607E75" w:rsidRDefault="007110EC" w:rsidP="00441B6F">
      <w:pPr>
        <w:pStyle w:val="Appendix"/>
        <w:spacing w:after="0"/>
        <w:jc w:val="both"/>
        <w:rPr>
          <w:rFonts w:ascii="Arial" w:hAnsi="Arial" w:cs="Arial"/>
          <w:b w:val="0"/>
        </w:rPr>
      </w:pPr>
    </w:p>
    <w:p w14:paraId="707C767E" w14:textId="7D42BEC2" w:rsidR="007110EC" w:rsidRPr="00607E75" w:rsidRDefault="007110EC" w:rsidP="00441B6F">
      <w:pPr>
        <w:pStyle w:val="Appendix"/>
        <w:spacing w:after="0"/>
        <w:jc w:val="both"/>
        <w:rPr>
          <w:rFonts w:ascii="Arial" w:hAnsi="Arial" w:cs="Arial"/>
          <w:b w:val="0"/>
        </w:rPr>
      </w:pPr>
    </w:p>
    <w:p w14:paraId="71F56168" w14:textId="2A1903F4" w:rsidR="007110EC" w:rsidRPr="00607E75" w:rsidRDefault="007110EC" w:rsidP="00441B6F">
      <w:pPr>
        <w:pStyle w:val="Appendix"/>
        <w:spacing w:after="0"/>
        <w:jc w:val="both"/>
        <w:rPr>
          <w:rFonts w:ascii="Arial" w:hAnsi="Arial" w:cs="Arial"/>
          <w:b w:val="0"/>
        </w:rPr>
      </w:pPr>
    </w:p>
    <w:p w14:paraId="0DF12DF4" w14:textId="5641252E" w:rsidR="007110EC" w:rsidRPr="00607E75" w:rsidRDefault="007110EC" w:rsidP="00441B6F">
      <w:pPr>
        <w:pStyle w:val="Appendix"/>
        <w:spacing w:after="0"/>
        <w:jc w:val="both"/>
        <w:rPr>
          <w:rFonts w:ascii="Arial" w:hAnsi="Arial" w:cs="Arial"/>
          <w:b w:val="0"/>
        </w:rPr>
      </w:pPr>
    </w:p>
    <w:p w14:paraId="32790E64" w14:textId="4807CB30" w:rsidR="007110EC" w:rsidRPr="00607E75" w:rsidRDefault="007110EC" w:rsidP="00441B6F">
      <w:pPr>
        <w:pStyle w:val="Appendix"/>
        <w:spacing w:after="0"/>
        <w:jc w:val="both"/>
        <w:rPr>
          <w:rFonts w:ascii="Arial" w:hAnsi="Arial" w:cs="Arial"/>
          <w:b w:val="0"/>
        </w:rPr>
      </w:pPr>
    </w:p>
    <w:p w14:paraId="388B5F49" w14:textId="696CC452" w:rsidR="007110EC" w:rsidRPr="00607E75" w:rsidRDefault="007110EC" w:rsidP="00441B6F">
      <w:pPr>
        <w:pStyle w:val="Appendix"/>
        <w:spacing w:after="0"/>
        <w:jc w:val="both"/>
        <w:rPr>
          <w:rFonts w:ascii="Arial" w:hAnsi="Arial" w:cs="Arial"/>
          <w:b w:val="0"/>
        </w:rPr>
      </w:pPr>
    </w:p>
    <w:p w14:paraId="0B923B4F" w14:textId="6E0AC661" w:rsidR="007110EC" w:rsidRPr="00607E75" w:rsidRDefault="001B0D84"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0288" behindDoc="0" locked="0" layoutInCell="1" allowOverlap="1" wp14:anchorId="13139533" wp14:editId="62154657">
            <wp:simplePos x="0" y="0"/>
            <wp:positionH relativeFrom="margin">
              <wp:posOffset>1250950</wp:posOffset>
            </wp:positionH>
            <wp:positionV relativeFrom="paragraph">
              <wp:posOffset>7620</wp:posOffset>
            </wp:positionV>
            <wp:extent cx="4154805" cy="3144520"/>
            <wp:effectExtent l="0" t="0" r="0" b="0"/>
            <wp:wrapNone/>
            <wp:docPr id="169916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60532" name=""/>
                    <pic:cNvPicPr/>
                  </pic:nvPicPr>
                  <pic:blipFill rotWithShape="1">
                    <a:blip r:embed="rId47">
                      <a:extLst>
                        <a:ext uri="{28A0092B-C50C-407E-A947-70E740481C1C}">
                          <a14:useLocalDpi xmlns:a14="http://schemas.microsoft.com/office/drawing/2010/main" val="0"/>
                        </a:ext>
                      </a:extLst>
                    </a:blip>
                    <a:srcRect t="9048"/>
                    <a:stretch>
                      <a:fillRect/>
                    </a:stretch>
                  </pic:blipFill>
                  <pic:spPr bwMode="auto">
                    <a:xfrm>
                      <a:off x="0" y="0"/>
                      <a:ext cx="4154805" cy="314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A590F" w14:textId="77777777" w:rsidR="007110EC" w:rsidRPr="00607E75" w:rsidRDefault="007110EC" w:rsidP="00441B6F">
      <w:pPr>
        <w:pStyle w:val="Appendix"/>
        <w:spacing w:after="0"/>
        <w:jc w:val="both"/>
        <w:rPr>
          <w:rFonts w:ascii="Arial" w:hAnsi="Arial" w:cs="Arial"/>
          <w:b w:val="0"/>
        </w:rPr>
      </w:pPr>
    </w:p>
    <w:p w14:paraId="4434D8CD" w14:textId="77777777" w:rsidR="007110EC" w:rsidRPr="00607E75" w:rsidRDefault="007110EC" w:rsidP="00441B6F">
      <w:pPr>
        <w:pStyle w:val="Appendix"/>
        <w:spacing w:after="0"/>
        <w:jc w:val="both"/>
        <w:rPr>
          <w:rFonts w:ascii="Arial" w:hAnsi="Arial" w:cs="Arial"/>
          <w:b w:val="0"/>
        </w:rPr>
      </w:pPr>
    </w:p>
    <w:p w14:paraId="161F0D8C" w14:textId="77777777" w:rsidR="007110EC" w:rsidRPr="00607E75" w:rsidRDefault="007110EC" w:rsidP="00441B6F">
      <w:pPr>
        <w:pStyle w:val="Appendix"/>
        <w:spacing w:after="0"/>
        <w:jc w:val="both"/>
        <w:rPr>
          <w:rFonts w:ascii="Arial" w:hAnsi="Arial" w:cs="Arial"/>
          <w:b w:val="0"/>
        </w:rPr>
      </w:pPr>
    </w:p>
    <w:p w14:paraId="30FAC373" w14:textId="77777777" w:rsidR="007110EC" w:rsidRPr="00607E75" w:rsidRDefault="007110EC" w:rsidP="00441B6F">
      <w:pPr>
        <w:pStyle w:val="Appendix"/>
        <w:spacing w:after="0"/>
        <w:jc w:val="both"/>
        <w:rPr>
          <w:rFonts w:ascii="Arial" w:hAnsi="Arial" w:cs="Arial"/>
          <w:b w:val="0"/>
        </w:rPr>
      </w:pPr>
    </w:p>
    <w:p w14:paraId="5ABC1589" w14:textId="77777777" w:rsidR="007110EC" w:rsidRPr="00607E75" w:rsidRDefault="007110EC" w:rsidP="00441B6F">
      <w:pPr>
        <w:pStyle w:val="Appendix"/>
        <w:spacing w:after="0"/>
        <w:jc w:val="both"/>
        <w:rPr>
          <w:rFonts w:ascii="Arial" w:hAnsi="Arial" w:cs="Arial"/>
          <w:b w:val="0"/>
        </w:rPr>
      </w:pPr>
    </w:p>
    <w:p w14:paraId="08E9F5BD" w14:textId="77777777" w:rsidR="007110EC" w:rsidRPr="00607E75" w:rsidRDefault="007110EC" w:rsidP="00441B6F">
      <w:pPr>
        <w:pStyle w:val="Appendix"/>
        <w:spacing w:after="0"/>
        <w:jc w:val="both"/>
        <w:rPr>
          <w:rFonts w:ascii="Arial" w:hAnsi="Arial" w:cs="Arial"/>
          <w:b w:val="0"/>
        </w:rPr>
      </w:pPr>
    </w:p>
    <w:p w14:paraId="365D7399" w14:textId="675A4708" w:rsidR="007110EC" w:rsidRPr="00607E75" w:rsidRDefault="007110EC" w:rsidP="00441B6F">
      <w:pPr>
        <w:pStyle w:val="Appendix"/>
        <w:spacing w:after="0"/>
        <w:jc w:val="both"/>
        <w:rPr>
          <w:rFonts w:ascii="Arial" w:hAnsi="Arial" w:cs="Arial"/>
          <w:b w:val="0"/>
        </w:rPr>
      </w:pPr>
    </w:p>
    <w:p w14:paraId="1E807D88" w14:textId="77777777" w:rsidR="007110EC" w:rsidRPr="00607E75" w:rsidRDefault="007110EC" w:rsidP="00441B6F">
      <w:pPr>
        <w:pStyle w:val="Appendix"/>
        <w:spacing w:after="0"/>
        <w:jc w:val="both"/>
        <w:rPr>
          <w:rFonts w:ascii="Arial" w:hAnsi="Arial" w:cs="Arial"/>
          <w:b w:val="0"/>
        </w:rPr>
      </w:pPr>
    </w:p>
    <w:p w14:paraId="4D7AC581" w14:textId="77777777" w:rsidR="007110EC" w:rsidRPr="00607E75" w:rsidRDefault="007110EC" w:rsidP="00441B6F">
      <w:pPr>
        <w:pStyle w:val="Appendix"/>
        <w:spacing w:after="0"/>
        <w:jc w:val="both"/>
        <w:rPr>
          <w:rFonts w:ascii="Arial" w:hAnsi="Arial" w:cs="Arial"/>
          <w:b w:val="0"/>
        </w:rPr>
      </w:pPr>
    </w:p>
    <w:p w14:paraId="665A375E" w14:textId="77777777" w:rsidR="007110EC" w:rsidRPr="00607E75" w:rsidRDefault="007110EC" w:rsidP="00441B6F">
      <w:pPr>
        <w:pStyle w:val="Appendix"/>
        <w:spacing w:after="0"/>
        <w:jc w:val="both"/>
        <w:rPr>
          <w:rFonts w:ascii="Arial" w:hAnsi="Arial" w:cs="Arial"/>
          <w:b w:val="0"/>
        </w:rPr>
      </w:pPr>
    </w:p>
    <w:p w14:paraId="7E7B789C" w14:textId="77777777" w:rsidR="007110EC" w:rsidRPr="00607E75" w:rsidRDefault="007110EC" w:rsidP="00441B6F">
      <w:pPr>
        <w:pStyle w:val="Appendix"/>
        <w:spacing w:after="0"/>
        <w:jc w:val="both"/>
        <w:rPr>
          <w:rFonts w:ascii="Arial" w:hAnsi="Arial" w:cs="Arial"/>
          <w:b w:val="0"/>
        </w:rPr>
      </w:pPr>
    </w:p>
    <w:p w14:paraId="740263FC" w14:textId="77777777" w:rsidR="007110EC" w:rsidRPr="00607E75" w:rsidRDefault="007110EC" w:rsidP="00441B6F">
      <w:pPr>
        <w:pStyle w:val="Appendix"/>
        <w:spacing w:after="0"/>
        <w:jc w:val="both"/>
        <w:rPr>
          <w:rFonts w:ascii="Arial" w:hAnsi="Arial" w:cs="Arial"/>
          <w:b w:val="0"/>
        </w:rPr>
      </w:pPr>
    </w:p>
    <w:p w14:paraId="78FCF7DC" w14:textId="77777777" w:rsidR="007110EC" w:rsidRPr="00607E75" w:rsidRDefault="007110EC" w:rsidP="00441B6F">
      <w:pPr>
        <w:pStyle w:val="Appendix"/>
        <w:spacing w:after="0"/>
        <w:jc w:val="both"/>
        <w:rPr>
          <w:rFonts w:ascii="Arial" w:hAnsi="Arial" w:cs="Arial"/>
          <w:b w:val="0"/>
        </w:rPr>
      </w:pPr>
    </w:p>
    <w:p w14:paraId="057813F8" w14:textId="77777777" w:rsidR="007110EC" w:rsidRPr="00607E75" w:rsidRDefault="007110EC" w:rsidP="00441B6F">
      <w:pPr>
        <w:pStyle w:val="Appendix"/>
        <w:spacing w:after="0"/>
        <w:jc w:val="both"/>
        <w:rPr>
          <w:rFonts w:ascii="Arial" w:hAnsi="Arial" w:cs="Arial"/>
          <w:b w:val="0"/>
        </w:rPr>
      </w:pPr>
    </w:p>
    <w:p w14:paraId="54002B64" w14:textId="77777777" w:rsidR="007110EC" w:rsidRPr="00607E75" w:rsidRDefault="007110EC" w:rsidP="00441B6F">
      <w:pPr>
        <w:pStyle w:val="Appendix"/>
        <w:spacing w:after="0"/>
        <w:jc w:val="both"/>
        <w:rPr>
          <w:rFonts w:ascii="Arial" w:hAnsi="Arial" w:cs="Arial"/>
          <w:b w:val="0"/>
        </w:rPr>
      </w:pPr>
    </w:p>
    <w:p w14:paraId="6BBBAD9E" w14:textId="77777777" w:rsidR="007110EC" w:rsidRPr="00607E75" w:rsidRDefault="007110EC" w:rsidP="00441B6F">
      <w:pPr>
        <w:pStyle w:val="Appendix"/>
        <w:spacing w:after="0"/>
        <w:jc w:val="both"/>
        <w:rPr>
          <w:rFonts w:ascii="Arial" w:hAnsi="Arial" w:cs="Arial"/>
          <w:b w:val="0"/>
        </w:rPr>
      </w:pPr>
    </w:p>
    <w:p w14:paraId="19E573A1" w14:textId="77777777" w:rsidR="007110EC" w:rsidRPr="00607E75" w:rsidRDefault="007110EC" w:rsidP="00441B6F">
      <w:pPr>
        <w:pStyle w:val="Appendix"/>
        <w:spacing w:after="0"/>
        <w:jc w:val="both"/>
        <w:rPr>
          <w:rFonts w:ascii="Arial" w:hAnsi="Arial" w:cs="Arial"/>
          <w:b w:val="0"/>
        </w:rPr>
      </w:pPr>
    </w:p>
    <w:p w14:paraId="70EA67DD" w14:textId="77777777" w:rsidR="007110EC" w:rsidRPr="00607E75" w:rsidRDefault="007110EC" w:rsidP="00441B6F">
      <w:pPr>
        <w:pStyle w:val="Appendix"/>
        <w:spacing w:after="0"/>
        <w:jc w:val="both"/>
        <w:rPr>
          <w:rFonts w:ascii="Arial" w:hAnsi="Arial" w:cs="Arial"/>
          <w:b w:val="0"/>
        </w:rPr>
      </w:pPr>
    </w:p>
    <w:p w14:paraId="54A20869" w14:textId="77777777" w:rsidR="007110EC" w:rsidRPr="00607E75" w:rsidRDefault="007110EC" w:rsidP="00441B6F">
      <w:pPr>
        <w:pStyle w:val="Appendix"/>
        <w:spacing w:after="0"/>
        <w:jc w:val="both"/>
        <w:rPr>
          <w:rFonts w:ascii="Arial" w:hAnsi="Arial" w:cs="Arial"/>
          <w:b w:val="0"/>
        </w:rPr>
      </w:pPr>
    </w:p>
    <w:p w14:paraId="61253DDE" w14:textId="77777777" w:rsidR="007110EC" w:rsidRPr="00607E75" w:rsidRDefault="007110EC" w:rsidP="00441B6F">
      <w:pPr>
        <w:pStyle w:val="Appendix"/>
        <w:spacing w:after="0"/>
        <w:jc w:val="both"/>
        <w:rPr>
          <w:rFonts w:ascii="Arial" w:hAnsi="Arial" w:cs="Arial"/>
          <w:b w:val="0"/>
        </w:rPr>
      </w:pPr>
    </w:p>
    <w:p w14:paraId="73EF1588" w14:textId="77777777" w:rsidR="007110EC" w:rsidRPr="00607E75" w:rsidRDefault="007110EC" w:rsidP="00441B6F">
      <w:pPr>
        <w:pStyle w:val="Appendix"/>
        <w:spacing w:after="0"/>
        <w:jc w:val="both"/>
        <w:rPr>
          <w:rFonts w:ascii="Arial" w:hAnsi="Arial" w:cs="Arial"/>
          <w:b w:val="0"/>
        </w:rPr>
      </w:pPr>
    </w:p>
    <w:p w14:paraId="71AC790C" w14:textId="77777777" w:rsidR="007110EC" w:rsidRPr="00607E75" w:rsidRDefault="007110EC" w:rsidP="00441B6F">
      <w:pPr>
        <w:pStyle w:val="Appendix"/>
        <w:spacing w:after="0"/>
        <w:jc w:val="both"/>
        <w:rPr>
          <w:rFonts w:ascii="Arial" w:hAnsi="Arial" w:cs="Arial"/>
          <w:b w:val="0"/>
        </w:rPr>
      </w:pPr>
    </w:p>
    <w:p w14:paraId="10F11498" w14:textId="1F1230A2" w:rsidR="007110EC" w:rsidRPr="00607E75" w:rsidRDefault="007110EC" w:rsidP="00441B6F">
      <w:pPr>
        <w:pStyle w:val="Appendix"/>
        <w:spacing w:after="0"/>
        <w:jc w:val="both"/>
        <w:rPr>
          <w:rFonts w:ascii="Arial" w:hAnsi="Arial" w:cs="Arial"/>
          <w:b w:val="0"/>
        </w:rPr>
      </w:pPr>
    </w:p>
    <w:p w14:paraId="40DF5796" w14:textId="5AB90BEF"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1312" behindDoc="0" locked="0" layoutInCell="1" allowOverlap="1" wp14:anchorId="66C0E013" wp14:editId="529C8D3D">
            <wp:simplePos x="0" y="0"/>
            <wp:positionH relativeFrom="column">
              <wp:posOffset>533400</wp:posOffset>
            </wp:positionH>
            <wp:positionV relativeFrom="paragraph">
              <wp:posOffset>125095</wp:posOffset>
            </wp:positionV>
            <wp:extent cx="5105400" cy="4716780"/>
            <wp:effectExtent l="0" t="0" r="0" b="7620"/>
            <wp:wrapNone/>
            <wp:docPr id="143940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07811" name=""/>
                    <pic:cNvPicPr/>
                  </pic:nvPicPr>
                  <pic:blipFill rotWithShape="1">
                    <a:blip r:embed="rId48">
                      <a:extLst>
                        <a:ext uri="{28A0092B-C50C-407E-A947-70E740481C1C}">
                          <a14:useLocalDpi xmlns:a14="http://schemas.microsoft.com/office/drawing/2010/main" val="0"/>
                        </a:ext>
                      </a:extLst>
                    </a:blip>
                    <a:srcRect l="11070" r="9594"/>
                    <a:stretch>
                      <a:fillRect/>
                    </a:stretch>
                  </pic:blipFill>
                  <pic:spPr bwMode="auto">
                    <a:xfrm>
                      <a:off x="0" y="0"/>
                      <a:ext cx="5105845" cy="4717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FC0E4" w14:textId="3C9E7645" w:rsidR="007110EC" w:rsidRPr="00607E75" w:rsidRDefault="007110EC" w:rsidP="00441B6F">
      <w:pPr>
        <w:pStyle w:val="Appendix"/>
        <w:spacing w:after="0"/>
        <w:jc w:val="both"/>
        <w:rPr>
          <w:rFonts w:ascii="Arial" w:hAnsi="Arial" w:cs="Arial"/>
          <w:b w:val="0"/>
        </w:rPr>
      </w:pPr>
    </w:p>
    <w:p w14:paraId="18B7E14D" w14:textId="01CAC375" w:rsidR="007110EC" w:rsidRPr="00607E75" w:rsidRDefault="007110EC" w:rsidP="00441B6F">
      <w:pPr>
        <w:pStyle w:val="Appendix"/>
        <w:spacing w:after="0"/>
        <w:jc w:val="both"/>
        <w:rPr>
          <w:rFonts w:ascii="Arial" w:hAnsi="Arial" w:cs="Arial"/>
          <w:b w:val="0"/>
        </w:rPr>
      </w:pPr>
    </w:p>
    <w:p w14:paraId="03873D40" w14:textId="638993D3" w:rsidR="007110EC" w:rsidRPr="00607E75" w:rsidRDefault="007110EC" w:rsidP="00441B6F">
      <w:pPr>
        <w:pStyle w:val="Appendix"/>
        <w:spacing w:after="0"/>
        <w:jc w:val="both"/>
        <w:rPr>
          <w:rFonts w:ascii="Arial" w:hAnsi="Arial" w:cs="Arial"/>
          <w:b w:val="0"/>
        </w:rPr>
      </w:pPr>
    </w:p>
    <w:p w14:paraId="6385D9A6" w14:textId="75E36B90" w:rsidR="007110EC" w:rsidRPr="00607E75" w:rsidRDefault="007110EC" w:rsidP="00441B6F">
      <w:pPr>
        <w:pStyle w:val="Appendix"/>
        <w:spacing w:after="0"/>
        <w:jc w:val="both"/>
        <w:rPr>
          <w:rFonts w:ascii="Arial" w:hAnsi="Arial" w:cs="Arial"/>
          <w:b w:val="0"/>
        </w:rPr>
      </w:pPr>
    </w:p>
    <w:p w14:paraId="5ECB188F" w14:textId="4DEDE34D" w:rsidR="007110EC" w:rsidRPr="00607E75" w:rsidRDefault="007110EC" w:rsidP="00441B6F">
      <w:pPr>
        <w:pStyle w:val="Appendix"/>
        <w:spacing w:after="0"/>
        <w:jc w:val="both"/>
        <w:rPr>
          <w:rFonts w:ascii="Arial" w:hAnsi="Arial" w:cs="Arial"/>
          <w:b w:val="0"/>
        </w:rPr>
      </w:pPr>
    </w:p>
    <w:p w14:paraId="412DBFCF" w14:textId="00D1DC82" w:rsidR="007110EC" w:rsidRPr="00607E75" w:rsidRDefault="007110EC" w:rsidP="00441B6F">
      <w:pPr>
        <w:pStyle w:val="Appendix"/>
        <w:spacing w:after="0"/>
        <w:jc w:val="both"/>
        <w:rPr>
          <w:rFonts w:ascii="Arial" w:hAnsi="Arial" w:cs="Arial"/>
          <w:b w:val="0"/>
        </w:rPr>
      </w:pPr>
    </w:p>
    <w:p w14:paraId="2B7B60B5" w14:textId="4042857B" w:rsidR="007110EC" w:rsidRPr="00607E75" w:rsidRDefault="007110EC" w:rsidP="00441B6F">
      <w:pPr>
        <w:pStyle w:val="Appendix"/>
        <w:spacing w:after="0"/>
        <w:jc w:val="both"/>
        <w:rPr>
          <w:rFonts w:ascii="Arial" w:hAnsi="Arial" w:cs="Arial"/>
          <w:b w:val="0"/>
        </w:rPr>
      </w:pPr>
    </w:p>
    <w:p w14:paraId="7D7A6D6D" w14:textId="6AB7E3ED" w:rsidR="007110EC" w:rsidRPr="00607E75" w:rsidRDefault="007110EC" w:rsidP="00441B6F">
      <w:pPr>
        <w:pStyle w:val="Appendix"/>
        <w:spacing w:after="0"/>
        <w:jc w:val="both"/>
        <w:rPr>
          <w:rFonts w:ascii="Arial" w:hAnsi="Arial" w:cs="Arial"/>
          <w:b w:val="0"/>
        </w:rPr>
      </w:pPr>
    </w:p>
    <w:p w14:paraId="5D0B9EDB" w14:textId="353E5546" w:rsidR="007110EC" w:rsidRPr="00607E75" w:rsidRDefault="007110EC" w:rsidP="00441B6F">
      <w:pPr>
        <w:pStyle w:val="Appendix"/>
        <w:spacing w:after="0"/>
        <w:jc w:val="both"/>
        <w:rPr>
          <w:rFonts w:ascii="Arial" w:hAnsi="Arial" w:cs="Arial"/>
          <w:b w:val="0"/>
        </w:rPr>
      </w:pPr>
    </w:p>
    <w:p w14:paraId="6EE200A4" w14:textId="37424EA3" w:rsidR="007110EC" w:rsidRPr="00607E75" w:rsidRDefault="007110EC" w:rsidP="00441B6F">
      <w:pPr>
        <w:pStyle w:val="Appendix"/>
        <w:spacing w:after="0"/>
        <w:jc w:val="both"/>
        <w:rPr>
          <w:rFonts w:ascii="Arial" w:hAnsi="Arial" w:cs="Arial"/>
          <w:b w:val="0"/>
        </w:rPr>
      </w:pPr>
    </w:p>
    <w:p w14:paraId="5C561E1D" w14:textId="003A12F8" w:rsidR="007110EC" w:rsidRPr="00607E75" w:rsidRDefault="007110EC" w:rsidP="00441B6F">
      <w:pPr>
        <w:pStyle w:val="Appendix"/>
        <w:spacing w:after="0"/>
        <w:jc w:val="both"/>
        <w:rPr>
          <w:rFonts w:ascii="Arial" w:hAnsi="Arial" w:cs="Arial"/>
          <w:b w:val="0"/>
        </w:rPr>
      </w:pPr>
    </w:p>
    <w:p w14:paraId="336BCCB5" w14:textId="77777777" w:rsidR="007110EC" w:rsidRPr="00607E75" w:rsidRDefault="007110EC" w:rsidP="00441B6F">
      <w:pPr>
        <w:pStyle w:val="Appendix"/>
        <w:spacing w:after="0"/>
        <w:jc w:val="both"/>
        <w:rPr>
          <w:rFonts w:ascii="Arial" w:hAnsi="Arial" w:cs="Arial"/>
          <w:b w:val="0"/>
        </w:rPr>
      </w:pPr>
    </w:p>
    <w:p w14:paraId="1209E269" w14:textId="49DE05A8" w:rsidR="007110EC" w:rsidRPr="00607E75" w:rsidRDefault="007110EC" w:rsidP="00441B6F">
      <w:pPr>
        <w:pStyle w:val="Appendix"/>
        <w:spacing w:after="0"/>
        <w:jc w:val="both"/>
        <w:rPr>
          <w:rFonts w:ascii="Arial" w:hAnsi="Arial" w:cs="Arial"/>
          <w:b w:val="0"/>
        </w:rPr>
      </w:pPr>
    </w:p>
    <w:p w14:paraId="56A20F6A" w14:textId="575F3D62" w:rsidR="007110EC" w:rsidRPr="00607E75" w:rsidRDefault="007110EC" w:rsidP="00441B6F">
      <w:pPr>
        <w:pStyle w:val="Appendix"/>
        <w:spacing w:after="0"/>
        <w:jc w:val="both"/>
        <w:rPr>
          <w:rFonts w:ascii="Arial" w:hAnsi="Arial" w:cs="Arial"/>
          <w:b w:val="0"/>
        </w:rPr>
      </w:pPr>
    </w:p>
    <w:p w14:paraId="1BE3B0B5" w14:textId="77777777" w:rsidR="007110EC" w:rsidRPr="00607E75" w:rsidRDefault="007110EC" w:rsidP="00441B6F">
      <w:pPr>
        <w:pStyle w:val="Appendix"/>
        <w:spacing w:after="0"/>
        <w:jc w:val="both"/>
        <w:rPr>
          <w:rFonts w:ascii="Arial" w:hAnsi="Arial" w:cs="Arial"/>
          <w:b w:val="0"/>
        </w:rPr>
      </w:pPr>
    </w:p>
    <w:p w14:paraId="1EB34E90" w14:textId="77777777" w:rsidR="007110EC" w:rsidRPr="00607E75" w:rsidRDefault="007110EC" w:rsidP="00441B6F">
      <w:pPr>
        <w:pStyle w:val="Appendix"/>
        <w:spacing w:after="0"/>
        <w:jc w:val="both"/>
        <w:rPr>
          <w:rFonts w:ascii="Arial" w:hAnsi="Arial" w:cs="Arial"/>
          <w:b w:val="0"/>
        </w:rPr>
      </w:pPr>
    </w:p>
    <w:p w14:paraId="22FF5C89" w14:textId="5569D43F" w:rsidR="007110EC" w:rsidRPr="00607E75" w:rsidRDefault="007110EC" w:rsidP="00441B6F">
      <w:pPr>
        <w:pStyle w:val="Appendix"/>
        <w:spacing w:after="0"/>
        <w:jc w:val="both"/>
        <w:rPr>
          <w:rFonts w:ascii="Arial" w:hAnsi="Arial" w:cs="Arial"/>
          <w:b w:val="0"/>
        </w:rPr>
      </w:pPr>
    </w:p>
    <w:p w14:paraId="0112C06C" w14:textId="0312E5D1" w:rsidR="007110EC" w:rsidRPr="00607E75" w:rsidRDefault="007110EC" w:rsidP="00441B6F">
      <w:pPr>
        <w:pStyle w:val="Appendix"/>
        <w:spacing w:after="0"/>
        <w:jc w:val="both"/>
        <w:rPr>
          <w:rFonts w:ascii="Arial" w:hAnsi="Arial" w:cs="Arial"/>
          <w:b w:val="0"/>
        </w:rPr>
      </w:pPr>
    </w:p>
    <w:p w14:paraId="2D056B05" w14:textId="77777777" w:rsidR="007110EC" w:rsidRPr="00607E75" w:rsidRDefault="007110EC" w:rsidP="00441B6F">
      <w:pPr>
        <w:pStyle w:val="Appendix"/>
        <w:spacing w:after="0"/>
        <w:jc w:val="both"/>
        <w:rPr>
          <w:rFonts w:ascii="Arial" w:hAnsi="Arial" w:cs="Arial"/>
          <w:b w:val="0"/>
        </w:rPr>
      </w:pPr>
    </w:p>
    <w:p w14:paraId="47BABB0E" w14:textId="77777777" w:rsidR="007110EC" w:rsidRPr="00607E75" w:rsidRDefault="007110EC" w:rsidP="00441B6F">
      <w:pPr>
        <w:pStyle w:val="Appendix"/>
        <w:spacing w:after="0"/>
        <w:jc w:val="both"/>
        <w:rPr>
          <w:rFonts w:ascii="Arial" w:hAnsi="Arial" w:cs="Arial"/>
          <w:b w:val="0"/>
        </w:rPr>
      </w:pPr>
    </w:p>
    <w:p w14:paraId="49464E7C" w14:textId="5F4EC4B1" w:rsidR="007110EC" w:rsidRPr="00607E75" w:rsidRDefault="007110EC" w:rsidP="00441B6F">
      <w:pPr>
        <w:pStyle w:val="Appendix"/>
        <w:spacing w:after="0"/>
        <w:jc w:val="both"/>
        <w:rPr>
          <w:rFonts w:ascii="Arial" w:hAnsi="Arial" w:cs="Arial"/>
          <w:b w:val="0"/>
        </w:rPr>
      </w:pPr>
    </w:p>
    <w:p w14:paraId="0084B363" w14:textId="77777777" w:rsidR="007110EC" w:rsidRPr="00607E75" w:rsidRDefault="007110EC" w:rsidP="00441B6F">
      <w:pPr>
        <w:pStyle w:val="Appendix"/>
        <w:spacing w:after="0"/>
        <w:jc w:val="both"/>
        <w:rPr>
          <w:rFonts w:ascii="Arial" w:hAnsi="Arial" w:cs="Arial"/>
          <w:b w:val="0"/>
        </w:rPr>
      </w:pPr>
    </w:p>
    <w:p w14:paraId="4D227D92" w14:textId="66C5A5D1" w:rsidR="007110EC" w:rsidRPr="00607E75" w:rsidRDefault="007110EC" w:rsidP="00441B6F">
      <w:pPr>
        <w:pStyle w:val="Appendix"/>
        <w:spacing w:after="0"/>
        <w:jc w:val="both"/>
        <w:rPr>
          <w:rFonts w:ascii="Arial" w:hAnsi="Arial" w:cs="Arial"/>
          <w:b w:val="0"/>
        </w:rPr>
      </w:pPr>
    </w:p>
    <w:p w14:paraId="30B98BB7" w14:textId="53C2B076" w:rsidR="007110EC" w:rsidRPr="00607E75" w:rsidRDefault="007110EC" w:rsidP="00441B6F">
      <w:pPr>
        <w:pStyle w:val="Appendix"/>
        <w:spacing w:after="0"/>
        <w:jc w:val="both"/>
        <w:rPr>
          <w:rFonts w:ascii="Arial" w:hAnsi="Arial" w:cs="Arial"/>
          <w:b w:val="0"/>
        </w:rPr>
      </w:pPr>
    </w:p>
    <w:p w14:paraId="34287A65" w14:textId="1EC1FB6F" w:rsidR="007110EC" w:rsidRPr="00607E75" w:rsidRDefault="007110EC" w:rsidP="00441B6F">
      <w:pPr>
        <w:pStyle w:val="Appendix"/>
        <w:spacing w:after="0"/>
        <w:jc w:val="both"/>
        <w:rPr>
          <w:rFonts w:ascii="Arial" w:hAnsi="Arial" w:cs="Arial"/>
          <w:b w:val="0"/>
        </w:rPr>
      </w:pPr>
    </w:p>
    <w:p w14:paraId="1840C8C5" w14:textId="0DA47475" w:rsidR="007110EC" w:rsidRPr="00607E75" w:rsidRDefault="007110EC" w:rsidP="00441B6F">
      <w:pPr>
        <w:pStyle w:val="Appendix"/>
        <w:spacing w:after="0"/>
        <w:jc w:val="both"/>
        <w:rPr>
          <w:rFonts w:ascii="Arial" w:hAnsi="Arial" w:cs="Arial"/>
          <w:b w:val="0"/>
        </w:rPr>
      </w:pPr>
    </w:p>
    <w:p w14:paraId="4ABD86E5" w14:textId="0E051C34"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2336" behindDoc="0" locked="0" layoutInCell="1" allowOverlap="1" wp14:anchorId="23B51413" wp14:editId="4A236270">
            <wp:simplePos x="0" y="0"/>
            <wp:positionH relativeFrom="margin">
              <wp:align>left</wp:align>
            </wp:positionH>
            <wp:positionV relativeFrom="paragraph">
              <wp:posOffset>169545</wp:posOffset>
            </wp:positionV>
            <wp:extent cx="6515735" cy="2895600"/>
            <wp:effectExtent l="0" t="0" r="0" b="0"/>
            <wp:wrapNone/>
            <wp:docPr id="133877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9561" name=""/>
                    <pic:cNvPicPr/>
                  </pic:nvPicPr>
                  <pic:blipFill rotWithShape="1">
                    <a:blip r:embed="rId49">
                      <a:extLst>
                        <a:ext uri="{28A0092B-C50C-407E-A947-70E740481C1C}">
                          <a14:useLocalDpi xmlns:a14="http://schemas.microsoft.com/office/drawing/2010/main" val="0"/>
                        </a:ext>
                      </a:extLst>
                    </a:blip>
                    <a:srcRect l="5847" t="10029" r="-5847" b="45138"/>
                    <a:stretch>
                      <a:fillRect/>
                    </a:stretch>
                  </pic:blipFill>
                  <pic:spPr bwMode="auto">
                    <a:xfrm>
                      <a:off x="0" y="0"/>
                      <a:ext cx="6515735" cy="2895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ED9601" w14:textId="54B18DAD" w:rsidR="007110EC" w:rsidRPr="00607E75" w:rsidRDefault="007110EC" w:rsidP="00441B6F">
      <w:pPr>
        <w:pStyle w:val="Appendix"/>
        <w:spacing w:after="0"/>
        <w:jc w:val="both"/>
        <w:rPr>
          <w:rFonts w:ascii="Arial" w:hAnsi="Arial" w:cs="Arial"/>
          <w:b w:val="0"/>
        </w:rPr>
      </w:pPr>
    </w:p>
    <w:p w14:paraId="75536CCD" w14:textId="01ABFDD0" w:rsidR="007110EC" w:rsidRPr="00607E75" w:rsidRDefault="007110EC" w:rsidP="00441B6F">
      <w:pPr>
        <w:pStyle w:val="Appendix"/>
        <w:spacing w:after="0"/>
        <w:jc w:val="both"/>
        <w:rPr>
          <w:rFonts w:ascii="Arial" w:hAnsi="Arial" w:cs="Arial"/>
          <w:b w:val="0"/>
        </w:rPr>
      </w:pPr>
    </w:p>
    <w:p w14:paraId="7ECE51DB" w14:textId="40090C76" w:rsidR="007110EC" w:rsidRPr="00607E75" w:rsidRDefault="007110EC" w:rsidP="00441B6F">
      <w:pPr>
        <w:pStyle w:val="Appendix"/>
        <w:spacing w:after="0"/>
        <w:jc w:val="both"/>
        <w:rPr>
          <w:rFonts w:ascii="Arial" w:hAnsi="Arial" w:cs="Arial"/>
          <w:b w:val="0"/>
        </w:rPr>
      </w:pPr>
    </w:p>
    <w:p w14:paraId="087AD2BA" w14:textId="756E0E8E" w:rsidR="007110EC" w:rsidRPr="00607E75" w:rsidRDefault="007110EC" w:rsidP="00441B6F">
      <w:pPr>
        <w:pStyle w:val="Appendix"/>
        <w:spacing w:after="0"/>
        <w:jc w:val="both"/>
        <w:rPr>
          <w:rFonts w:ascii="Arial" w:hAnsi="Arial" w:cs="Arial"/>
          <w:b w:val="0"/>
        </w:rPr>
      </w:pPr>
    </w:p>
    <w:p w14:paraId="43C43409" w14:textId="77777777" w:rsidR="007110EC" w:rsidRPr="00607E75" w:rsidRDefault="007110EC" w:rsidP="00441B6F">
      <w:pPr>
        <w:pStyle w:val="Appendix"/>
        <w:spacing w:after="0"/>
        <w:jc w:val="both"/>
        <w:rPr>
          <w:rFonts w:ascii="Arial" w:hAnsi="Arial" w:cs="Arial"/>
          <w:b w:val="0"/>
        </w:rPr>
      </w:pPr>
    </w:p>
    <w:p w14:paraId="3E4C6880" w14:textId="0CC4272F" w:rsidR="007110EC" w:rsidRPr="00607E75" w:rsidRDefault="007110EC" w:rsidP="00441B6F">
      <w:pPr>
        <w:pStyle w:val="Appendix"/>
        <w:spacing w:after="0"/>
        <w:jc w:val="both"/>
        <w:rPr>
          <w:rFonts w:ascii="Arial" w:hAnsi="Arial" w:cs="Arial"/>
          <w:b w:val="0"/>
        </w:rPr>
      </w:pPr>
    </w:p>
    <w:p w14:paraId="5816F1D0" w14:textId="77777777" w:rsidR="007110EC" w:rsidRPr="00607E75" w:rsidRDefault="007110EC" w:rsidP="00441B6F">
      <w:pPr>
        <w:pStyle w:val="Appendix"/>
        <w:spacing w:after="0"/>
        <w:jc w:val="both"/>
        <w:rPr>
          <w:rFonts w:ascii="Arial" w:hAnsi="Arial" w:cs="Arial"/>
          <w:b w:val="0"/>
        </w:rPr>
      </w:pPr>
    </w:p>
    <w:p w14:paraId="77CA8858" w14:textId="77777777" w:rsidR="007110EC" w:rsidRPr="00607E75" w:rsidRDefault="007110EC" w:rsidP="00441B6F">
      <w:pPr>
        <w:pStyle w:val="Appendix"/>
        <w:spacing w:after="0"/>
        <w:jc w:val="both"/>
        <w:rPr>
          <w:rFonts w:ascii="Arial" w:hAnsi="Arial" w:cs="Arial"/>
          <w:b w:val="0"/>
        </w:rPr>
      </w:pPr>
    </w:p>
    <w:p w14:paraId="6CF0E284" w14:textId="77777777" w:rsidR="007110EC" w:rsidRPr="00607E75" w:rsidRDefault="007110EC" w:rsidP="00441B6F">
      <w:pPr>
        <w:pStyle w:val="Appendix"/>
        <w:spacing w:after="0"/>
        <w:jc w:val="both"/>
        <w:rPr>
          <w:rFonts w:ascii="Arial" w:hAnsi="Arial" w:cs="Arial"/>
          <w:b w:val="0"/>
        </w:rPr>
      </w:pPr>
    </w:p>
    <w:p w14:paraId="786BD587" w14:textId="77777777" w:rsidR="007110EC" w:rsidRPr="00607E75" w:rsidRDefault="007110EC" w:rsidP="00441B6F">
      <w:pPr>
        <w:pStyle w:val="Appendix"/>
        <w:spacing w:after="0"/>
        <w:jc w:val="both"/>
        <w:rPr>
          <w:rFonts w:ascii="Arial" w:hAnsi="Arial" w:cs="Arial"/>
          <w:b w:val="0"/>
        </w:rPr>
      </w:pPr>
    </w:p>
    <w:p w14:paraId="061D5A44" w14:textId="77777777" w:rsidR="007110EC" w:rsidRPr="00607E75" w:rsidRDefault="007110EC" w:rsidP="00441B6F">
      <w:pPr>
        <w:pStyle w:val="Appendix"/>
        <w:spacing w:after="0"/>
        <w:jc w:val="both"/>
        <w:rPr>
          <w:rFonts w:ascii="Arial" w:hAnsi="Arial" w:cs="Arial"/>
          <w:b w:val="0"/>
        </w:rPr>
      </w:pPr>
    </w:p>
    <w:p w14:paraId="11FC8DA7" w14:textId="77777777" w:rsidR="007110EC" w:rsidRPr="00607E75" w:rsidRDefault="007110EC" w:rsidP="00441B6F">
      <w:pPr>
        <w:pStyle w:val="Appendix"/>
        <w:spacing w:after="0"/>
        <w:jc w:val="both"/>
        <w:rPr>
          <w:rFonts w:ascii="Arial" w:hAnsi="Arial" w:cs="Arial"/>
          <w:b w:val="0"/>
        </w:rPr>
      </w:pPr>
    </w:p>
    <w:p w14:paraId="5C803447" w14:textId="77777777" w:rsidR="007110EC" w:rsidRPr="00607E75" w:rsidRDefault="007110EC" w:rsidP="00441B6F">
      <w:pPr>
        <w:pStyle w:val="Appendix"/>
        <w:spacing w:after="0"/>
        <w:jc w:val="both"/>
        <w:rPr>
          <w:rFonts w:ascii="Arial" w:hAnsi="Arial" w:cs="Arial"/>
          <w:b w:val="0"/>
        </w:rPr>
      </w:pPr>
    </w:p>
    <w:p w14:paraId="61F3107A" w14:textId="77292C01" w:rsidR="007110EC" w:rsidRPr="00607E75" w:rsidRDefault="007110EC" w:rsidP="00441B6F">
      <w:pPr>
        <w:pStyle w:val="Appendix"/>
        <w:spacing w:after="0"/>
        <w:jc w:val="both"/>
        <w:rPr>
          <w:rFonts w:ascii="Arial" w:hAnsi="Arial" w:cs="Arial"/>
          <w:b w:val="0"/>
        </w:rPr>
      </w:pPr>
    </w:p>
    <w:p w14:paraId="7C511949" w14:textId="77777777" w:rsidR="007110EC" w:rsidRPr="00607E75" w:rsidRDefault="007110EC" w:rsidP="00441B6F">
      <w:pPr>
        <w:pStyle w:val="Appendix"/>
        <w:spacing w:after="0"/>
        <w:jc w:val="both"/>
        <w:rPr>
          <w:rFonts w:ascii="Arial" w:hAnsi="Arial" w:cs="Arial"/>
          <w:b w:val="0"/>
        </w:rPr>
      </w:pPr>
    </w:p>
    <w:p w14:paraId="51C38784" w14:textId="77777777" w:rsidR="007110EC" w:rsidRPr="00607E75" w:rsidRDefault="007110EC" w:rsidP="00441B6F">
      <w:pPr>
        <w:pStyle w:val="Appendix"/>
        <w:spacing w:after="0"/>
        <w:jc w:val="both"/>
        <w:rPr>
          <w:rFonts w:ascii="Arial" w:hAnsi="Arial" w:cs="Arial"/>
          <w:b w:val="0"/>
        </w:rPr>
      </w:pPr>
    </w:p>
    <w:p w14:paraId="176DB1E9" w14:textId="77777777" w:rsidR="007110EC" w:rsidRPr="00607E75" w:rsidRDefault="007110EC" w:rsidP="00441B6F">
      <w:pPr>
        <w:pStyle w:val="Appendix"/>
        <w:spacing w:after="0"/>
        <w:jc w:val="both"/>
        <w:rPr>
          <w:rFonts w:ascii="Arial" w:hAnsi="Arial" w:cs="Arial"/>
          <w:b w:val="0"/>
        </w:rPr>
      </w:pPr>
    </w:p>
    <w:p w14:paraId="0C33C0AF" w14:textId="77777777" w:rsidR="007110EC" w:rsidRPr="00607E75" w:rsidRDefault="007110EC" w:rsidP="00441B6F">
      <w:pPr>
        <w:pStyle w:val="Appendix"/>
        <w:spacing w:after="0"/>
        <w:jc w:val="both"/>
        <w:rPr>
          <w:rFonts w:ascii="Arial" w:hAnsi="Arial" w:cs="Arial"/>
          <w:b w:val="0"/>
        </w:rPr>
      </w:pPr>
    </w:p>
    <w:p w14:paraId="16BF7716" w14:textId="77777777" w:rsidR="007110EC" w:rsidRPr="00607E75" w:rsidRDefault="007110EC" w:rsidP="00441B6F">
      <w:pPr>
        <w:pStyle w:val="Appendix"/>
        <w:spacing w:after="0"/>
        <w:jc w:val="both"/>
        <w:rPr>
          <w:rFonts w:ascii="Arial" w:hAnsi="Arial" w:cs="Arial"/>
          <w:b w:val="0"/>
        </w:rPr>
      </w:pPr>
    </w:p>
    <w:p w14:paraId="6CC7031B" w14:textId="77777777" w:rsidR="007110EC" w:rsidRPr="00607E75" w:rsidRDefault="007110EC" w:rsidP="00441B6F">
      <w:pPr>
        <w:pStyle w:val="Appendix"/>
        <w:spacing w:after="0"/>
        <w:jc w:val="both"/>
        <w:rPr>
          <w:rFonts w:ascii="Arial" w:hAnsi="Arial" w:cs="Arial"/>
          <w:b w:val="0"/>
        </w:rPr>
      </w:pPr>
    </w:p>
    <w:p w14:paraId="20A8E70B" w14:textId="77777777" w:rsidR="007110EC" w:rsidRPr="00607E75" w:rsidRDefault="007110EC" w:rsidP="00441B6F">
      <w:pPr>
        <w:pStyle w:val="Appendix"/>
        <w:spacing w:after="0"/>
        <w:jc w:val="both"/>
        <w:rPr>
          <w:rFonts w:ascii="Arial" w:hAnsi="Arial" w:cs="Arial"/>
          <w:b w:val="0"/>
        </w:rPr>
      </w:pPr>
    </w:p>
    <w:p w14:paraId="0386A131" w14:textId="77777777" w:rsidR="007110EC" w:rsidRPr="00607E75" w:rsidRDefault="007110EC" w:rsidP="00441B6F">
      <w:pPr>
        <w:pStyle w:val="Appendix"/>
        <w:spacing w:after="0"/>
        <w:jc w:val="both"/>
        <w:rPr>
          <w:rFonts w:ascii="Arial" w:hAnsi="Arial" w:cs="Arial"/>
          <w:b w:val="0"/>
        </w:rPr>
      </w:pPr>
    </w:p>
    <w:p w14:paraId="6433445F" w14:textId="77777777" w:rsidR="007110EC" w:rsidRPr="00607E75" w:rsidRDefault="007110EC" w:rsidP="00441B6F">
      <w:pPr>
        <w:pStyle w:val="Appendix"/>
        <w:spacing w:after="0"/>
        <w:jc w:val="both"/>
        <w:rPr>
          <w:rFonts w:ascii="Arial" w:hAnsi="Arial" w:cs="Arial"/>
          <w:b w:val="0"/>
        </w:rPr>
      </w:pPr>
    </w:p>
    <w:p w14:paraId="54570CC3" w14:textId="77777777" w:rsidR="007110EC" w:rsidRPr="00607E75" w:rsidRDefault="007110EC" w:rsidP="00441B6F">
      <w:pPr>
        <w:pStyle w:val="Appendix"/>
        <w:spacing w:after="0"/>
        <w:jc w:val="both"/>
        <w:rPr>
          <w:rFonts w:ascii="Arial" w:hAnsi="Arial" w:cs="Arial"/>
          <w:b w:val="0"/>
        </w:rPr>
      </w:pPr>
    </w:p>
    <w:p w14:paraId="6B59C576" w14:textId="77777777" w:rsidR="007110EC" w:rsidRPr="00607E75" w:rsidRDefault="007110EC" w:rsidP="00441B6F">
      <w:pPr>
        <w:pStyle w:val="Appendix"/>
        <w:spacing w:after="0"/>
        <w:jc w:val="both"/>
        <w:rPr>
          <w:rFonts w:ascii="Arial" w:hAnsi="Arial" w:cs="Arial"/>
          <w:b w:val="0"/>
        </w:rPr>
      </w:pPr>
    </w:p>
    <w:p w14:paraId="302AEC59" w14:textId="77777777" w:rsidR="007110EC" w:rsidRPr="00607E75" w:rsidRDefault="007110EC" w:rsidP="00441B6F">
      <w:pPr>
        <w:pStyle w:val="Appendix"/>
        <w:spacing w:after="0"/>
        <w:jc w:val="both"/>
        <w:rPr>
          <w:rFonts w:ascii="Arial" w:hAnsi="Arial" w:cs="Arial"/>
          <w:b w:val="0"/>
        </w:rPr>
      </w:pPr>
    </w:p>
    <w:p w14:paraId="609E3A07" w14:textId="77777777" w:rsidR="007110EC" w:rsidRPr="00607E75" w:rsidRDefault="007110EC" w:rsidP="00441B6F">
      <w:pPr>
        <w:pStyle w:val="Appendix"/>
        <w:spacing w:after="0"/>
        <w:jc w:val="both"/>
        <w:rPr>
          <w:rFonts w:ascii="Arial" w:hAnsi="Arial" w:cs="Arial"/>
          <w:b w:val="0"/>
        </w:rPr>
      </w:pPr>
    </w:p>
    <w:p w14:paraId="55FDB1B3" w14:textId="3ABD0E33" w:rsidR="007110EC" w:rsidRPr="00607E75" w:rsidRDefault="007110EC" w:rsidP="00441B6F">
      <w:pPr>
        <w:pStyle w:val="Appendix"/>
        <w:spacing w:after="0"/>
        <w:jc w:val="both"/>
        <w:rPr>
          <w:rFonts w:ascii="Arial" w:hAnsi="Arial" w:cs="Arial"/>
          <w:b w:val="0"/>
        </w:rPr>
      </w:pPr>
    </w:p>
    <w:p w14:paraId="0D19E513" w14:textId="4EF687DC" w:rsidR="007110EC" w:rsidRPr="00607E75" w:rsidRDefault="007110EC" w:rsidP="00441B6F">
      <w:pPr>
        <w:pStyle w:val="Appendix"/>
        <w:spacing w:after="0"/>
        <w:jc w:val="both"/>
        <w:rPr>
          <w:rFonts w:ascii="Arial" w:hAnsi="Arial" w:cs="Arial"/>
          <w:b w:val="0"/>
        </w:rPr>
      </w:pPr>
    </w:p>
    <w:p w14:paraId="506DA0CC" w14:textId="01D69678"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3360" behindDoc="0" locked="0" layoutInCell="1" allowOverlap="1" wp14:anchorId="0FA4C7E9" wp14:editId="64415B3D">
            <wp:simplePos x="0" y="0"/>
            <wp:positionH relativeFrom="page">
              <wp:posOffset>552450</wp:posOffset>
            </wp:positionH>
            <wp:positionV relativeFrom="paragraph">
              <wp:posOffset>21590</wp:posOffset>
            </wp:positionV>
            <wp:extent cx="6163310" cy="7782560"/>
            <wp:effectExtent l="0" t="0" r="8890" b="8890"/>
            <wp:wrapNone/>
            <wp:docPr id="17167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4654" name=""/>
                    <pic:cNvPicPr/>
                  </pic:nvPicPr>
                  <pic:blipFill>
                    <a:blip r:embed="rId50">
                      <a:extLst>
                        <a:ext uri="{28A0092B-C50C-407E-A947-70E740481C1C}">
                          <a14:useLocalDpi xmlns:a14="http://schemas.microsoft.com/office/drawing/2010/main" val="0"/>
                        </a:ext>
                      </a:extLst>
                    </a:blip>
                    <a:stretch>
                      <a:fillRect/>
                    </a:stretch>
                  </pic:blipFill>
                  <pic:spPr>
                    <a:xfrm>
                      <a:off x="0" y="0"/>
                      <a:ext cx="6163310" cy="7782560"/>
                    </a:xfrm>
                    <a:prstGeom prst="rect">
                      <a:avLst/>
                    </a:prstGeom>
                  </pic:spPr>
                </pic:pic>
              </a:graphicData>
            </a:graphic>
          </wp:anchor>
        </w:drawing>
      </w:r>
    </w:p>
    <w:p w14:paraId="51579C70" w14:textId="77777777" w:rsidR="007110EC" w:rsidRPr="00607E75" w:rsidRDefault="007110EC" w:rsidP="00441B6F">
      <w:pPr>
        <w:pStyle w:val="Appendix"/>
        <w:spacing w:after="0"/>
        <w:jc w:val="both"/>
        <w:rPr>
          <w:rFonts w:ascii="Arial" w:hAnsi="Arial" w:cs="Arial"/>
          <w:b w:val="0"/>
        </w:rPr>
      </w:pPr>
    </w:p>
    <w:p w14:paraId="70D15AE5" w14:textId="252F48BB" w:rsidR="007110EC" w:rsidRPr="00607E75" w:rsidRDefault="007110EC" w:rsidP="00441B6F">
      <w:pPr>
        <w:pStyle w:val="Appendix"/>
        <w:spacing w:after="0"/>
        <w:jc w:val="both"/>
        <w:rPr>
          <w:rFonts w:ascii="Arial" w:hAnsi="Arial" w:cs="Arial"/>
          <w:b w:val="0"/>
        </w:rPr>
      </w:pPr>
    </w:p>
    <w:p w14:paraId="2EAC358C" w14:textId="114E8965" w:rsidR="007110EC" w:rsidRPr="00607E75" w:rsidRDefault="007110EC" w:rsidP="00441B6F">
      <w:pPr>
        <w:pStyle w:val="Appendix"/>
        <w:spacing w:after="0"/>
        <w:jc w:val="both"/>
        <w:rPr>
          <w:rFonts w:ascii="Arial" w:hAnsi="Arial" w:cs="Arial"/>
          <w:b w:val="0"/>
        </w:rPr>
      </w:pPr>
    </w:p>
    <w:p w14:paraId="3E9F8C9C" w14:textId="77777777" w:rsidR="007110EC" w:rsidRPr="00607E75" w:rsidRDefault="007110EC" w:rsidP="00441B6F">
      <w:pPr>
        <w:pStyle w:val="Appendix"/>
        <w:spacing w:after="0"/>
        <w:jc w:val="both"/>
        <w:rPr>
          <w:rFonts w:ascii="Arial" w:hAnsi="Arial" w:cs="Arial"/>
          <w:b w:val="0"/>
        </w:rPr>
      </w:pPr>
    </w:p>
    <w:p w14:paraId="161F2964" w14:textId="781B6B49" w:rsidR="007110EC" w:rsidRPr="00607E75" w:rsidRDefault="007110EC" w:rsidP="00441B6F">
      <w:pPr>
        <w:pStyle w:val="Appendix"/>
        <w:spacing w:after="0"/>
        <w:jc w:val="both"/>
        <w:rPr>
          <w:rFonts w:ascii="Arial" w:hAnsi="Arial" w:cs="Arial"/>
          <w:b w:val="0"/>
        </w:rPr>
      </w:pPr>
    </w:p>
    <w:p w14:paraId="649843DA" w14:textId="77777777" w:rsidR="007110EC" w:rsidRPr="00607E75" w:rsidRDefault="007110EC" w:rsidP="00441B6F">
      <w:pPr>
        <w:pStyle w:val="Appendix"/>
        <w:spacing w:after="0"/>
        <w:jc w:val="both"/>
        <w:rPr>
          <w:rFonts w:ascii="Arial" w:hAnsi="Arial" w:cs="Arial"/>
          <w:b w:val="0"/>
        </w:rPr>
      </w:pPr>
    </w:p>
    <w:p w14:paraId="7204FB63" w14:textId="51212C23" w:rsidR="007110EC" w:rsidRPr="00607E75" w:rsidRDefault="007110EC" w:rsidP="00441B6F">
      <w:pPr>
        <w:pStyle w:val="Appendix"/>
        <w:spacing w:after="0"/>
        <w:jc w:val="both"/>
        <w:rPr>
          <w:rFonts w:ascii="Arial" w:hAnsi="Arial" w:cs="Arial"/>
          <w:b w:val="0"/>
        </w:rPr>
      </w:pPr>
    </w:p>
    <w:p w14:paraId="238490E7" w14:textId="77777777" w:rsidR="007110EC" w:rsidRPr="00607E75" w:rsidRDefault="007110EC" w:rsidP="00441B6F">
      <w:pPr>
        <w:pStyle w:val="Appendix"/>
        <w:spacing w:after="0"/>
        <w:jc w:val="both"/>
        <w:rPr>
          <w:rFonts w:ascii="Arial" w:hAnsi="Arial" w:cs="Arial"/>
          <w:b w:val="0"/>
        </w:rPr>
      </w:pPr>
    </w:p>
    <w:p w14:paraId="3883D534" w14:textId="1C3A595B" w:rsidR="007110EC" w:rsidRPr="00607E75" w:rsidRDefault="007110EC" w:rsidP="00441B6F">
      <w:pPr>
        <w:pStyle w:val="Appendix"/>
        <w:spacing w:after="0"/>
        <w:jc w:val="both"/>
        <w:rPr>
          <w:rFonts w:ascii="Arial" w:hAnsi="Arial" w:cs="Arial"/>
          <w:b w:val="0"/>
        </w:rPr>
      </w:pPr>
    </w:p>
    <w:p w14:paraId="688D00E7" w14:textId="77777777" w:rsidR="007110EC" w:rsidRPr="00607E75" w:rsidRDefault="007110EC" w:rsidP="00441B6F">
      <w:pPr>
        <w:pStyle w:val="Appendix"/>
        <w:spacing w:after="0"/>
        <w:jc w:val="both"/>
        <w:rPr>
          <w:rFonts w:ascii="Arial" w:hAnsi="Arial" w:cs="Arial"/>
          <w:b w:val="0"/>
        </w:rPr>
      </w:pPr>
    </w:p>
    <w:p w14:paraId="5A648AB6" w14:textId="77777777" w:rsidR="007110EC" w:rsidRPr="00607E75" w:rsidRDefault="007110EC" w:rsidP="00441B6F">
      <w:pPr>
        <w:pStyle w:val="Appendix"/>
        <w:spacing w:after="0"/>
        <w:jc w:val="both"/>
        <w:rPr>
          <w:rFonts w:ascii="Arial" w:hAnsi="Arial" w:cs="Arial"/>
          <w:b w:val="0"/>
        </w:rPr>
      </w:pPr>
    </w:p>
    <w:p w14:paraId="111E46AE" w14:textId="59897FEC" w:rsidR="007110EC" w:rsidRPr="00607E75" w:rsidRDefault="007110EC" w:rsidP="00441B6F">
      <w:pPr>
        <w:pStyle w:val="Appendix"/>
        <w:spacing w:after="0"/>
        <w:jc w:val="both"/>
        <w:rPr>
          <w:rFonts w:ascii="Arial" w:hAnsi="Arial" w:cs="Arial"/>
          <w:b w:val="0"/>
        </w:rPr>
      </w:pPr>
    </w:p>
    <w:p w14:paraId="43A24188" w14:textId="77777777" w:rsidR="007110EC" w:rsidRPr="00607E75" w:rsidRDefault="007110EC" w:rsidP="00441B6F">
      <w:pPr>
        <w:pStyle w:val="Appendix"/>
        <w:spacing w:after="0"/>
        <w:jc w:val="both"/>
        <w:rPr>
          <w:rFonts w:ascii="Arial" w:hAnsi="Arial" w:cs="Arial"/>
          <w:b w:val="0"/>
        </w:rPr>
      </w:pPr>
    </w:p>
    <w:p w14:paraId="358A7549" w14:textId="77777777" w:rsidR="007110EC" w:rsidRPr="00607E75" w:rsidRDefault="007110EC" w:rsidP="00441B6F">
      <w:pPr>
        <w:pStyle w:val="Appendix"/>
        <w:spacing w:after="0"/>
        <w:jc w:val="both"/>
        <w:rPr>
          <w:rFonts w:ascii="Arial" w:hAnsi="Arial" w:cs="Arial"/>
          <w:b w:val="0"/>
        </w:rPr>
      </w:pPr>
    </w:p>
    <w:p w14:paraId="3B6839C0" w14:textId="77777777" w:rsidR="007110EC" w:rsidRPr="00607E75" w:rsidRDefault="007110EC" w:rsidP="00441B6F">
      <w:pPr>
        <w:pStyle w:val="Appendix"/>
        <w:spacing w:after="0"/>
        <w:jc w:val="both"/>
        <w:rPr>
          <w:rFonts w:ascii="Arial" w:hAnsi="Arial" w:cs="Arial"/>
          <w:b w:val="0"/>
        </w:rPr>
      </w:pPr>
    </w:p>
    <w:p w14:paraId="54520A84" w14:textId="093CFF2D" w:rsidR="007110EC" w:rsidRPr="00607E75" w:rsidRDefault="007110EC" w:rsidP="00441B6F">
      <w:pPr>
        <w:pStyle w:val="Appendix"/>
        <w:spacing w:after="0"/>
        <w:jc w:val="both"/>
        <w:rPr>
          <w:rFonts w:ascii="Arial" w:hAnsi="Arial" w:cs="Arial"/>
          <w:b w:val="0"/>
        </w:rPr>
      </w:pPr>
    </w:p>
    <w:p w14:paraId="50BBE1E8" w14:textId="77777777" w:rsidR="007110EC" w:rsidRPr="00607E75" w:rsidRDefault="007110EC" w:rsidP="00441B6F">
      <w:pPr>
        <w:pStyle w:val="Appendix"/>
        <w:spacing w:after="0"/>
        <w:jc w:val="both"/>
        <w:rPr>
          <w:rFonts w:ascii="Arial" w:hAnsi="Arial" w:cs="Arial"/>
          <w:b w:val="0"/>
        </w:rPr>
      </w:pPr>
    </w:p>
    <w:p w14:paraId="28C729D5" w14:textId="77777777" w:rsidR="007110EC" w:rsidRPr="00607E75" w:rsidRDefault="007110EC" w:rsidP="00441B6F">
      <w:pPr>
        <w:pStyle w:val="Appendix"/>
        <w:spacing w:after="0"/>
        <w:jc w:val="both"/>
        <w:rPr>
          <w:rFonts w:ascii="Arial" w:hAnsi="Arial" w:cs="Arial"/>
          <w:b w:val="0"/>
        </w:rPr>
      </w:pPr>
    </w:p>
    <w:p w14:paraId="27A64206" w14:textId="77777777" w:rsidR="007110EC" w:rsidRPr="00607E75" w:rsidRDefault="007110EC" w:rsidP="00441B6F">
      <w:pPr>
        <w:pStyle w:val="Appendix"/>
        <w:spacing w:after="0"/>
        <w:jc w:val="both"/>
        <w:rPr>
          <w:rFonts w:ascii="Arial" w:hAnsi="Arial" w:cs="Arial"/>
          <w:b w:val="0"/>
        </w:rPr>
      </w:pPr>
    </w:p>
    <w:p w14:paraId="604C9BF4" w14:textId="77777777" w:rsidR="007110EC" w:rsidRPr="00607E75" w:rsidRDefault="007110EC" w:rsidP="00441B6F">
      <w:pPr>
        <w:pStyle w:val="Appendix"/>
        <w:spacing w:after="0"/>
        <w:jc w:val="both"/>
        <w:rPr>
          <w:rFonts w:ascii="Arial" w:hAnsi="Arial" w:cs="Arial"/>
          <w:b w:val="0"/>
        </w:rPr>
      </w:pPr>
    </w:p>
    <w:p w14:paraId="6FB5A28D" w14:textId="77777777" w:rsidR="007110EC" w:rsidRPr="00607E75" w:rsidRDefault="007110EC" w:rsidP="00441B6F">
      <w:pPr>
        <w:pStyle w:val="Appendix"/>
        <w:spacing w:after="0"/>
        <w:jc w:val="both"/>
        <w:rPr>
          <w:rFonts w:ascii="Arial" w:hAnsi="Arial" w:cs="Arial"/>
          <w:b w:val="0"/>
        </w:rPr>
      </w:pPr>
    </w:p>
    <w:p w14:paraId="229BF638" w14:textId="5FCE2F5A" w:rsidR="007110EC" w:rsidRPr="00607E75" w:rsidRDefault="007110EC" w:rsidP="00441B6F">
      <w:pPr>
        <w:pStyle w:val="Appendix"/>
        <w:spacing w:after="0"/>
        <w:jc w:val="both"/>
        <w:rPr>
          <w:rFonts w:ascii="Arial" w:hAnsi="Arial" w:cs="Arial"/>
          <w:b w:val="0"/>
        </w:rPr>
      </w:pPr>
    </w:p>
    <w:p w14:paraId="05E3D4E2" w14:textId="77777777" w:rsidR="007110EC" w:rsidRPr="00607E75" w:rsidRDefault="007110EC" w:rsidP="00441B6F">
      <w:pPr>
        <w:pStyle w:val="Appendix"/>
        <w:spacing w:after="0"/>
        <w:jc w:val="both"/>
        <w:rPr>
          <w:rFonts w:ascii="Arial" w:hAnsi="Arial" w:cs="Arial"/>
          <w:b w:val="0"/>
        </w:rPr>
      </w:pPr>
    </w:p>
    <w:p w14:paraId="222D86BD" w14:textId="77777777" w:rsidR="007110EC" w:rsidRPr="00607E75" w:rsidRDefault="007110EC" w:rsidP="00441B6F">
      <w:pPr>
        <w:pStyle w:val="Appendix"/>
        <w:spacing w:after="0"/>
        <w:jc w:val="both"/>
        <w:rPr>
          <w:rFonts w:ascii="Arial" w:hAnsi="Arial" w:cs="Arial"/>
          <w:b w:val="0"/>
        </w:rPr>
      </w:pPr>
    </w:p>
    <w:p w14:paraId="7F913F48" w14:textId="77777777" w:rsidR="007110EC" w:rsidRPr="00607E75" w:rsidRDefault="007110EC" w:rsidP="00441B6F">
      <w:pPr>
        <w:pStyle w:val="Appendix"/>
        <w:spacing w:after="0"/>
        <w:jc w:val="both"/>
        <w:rPr>
          <w:rFonts w:ascii="Arial" w:hAnsi="Arial" w:cs="Arial"/>
          <w:b w:val="0"/>
        </w:rPr>
      </w:pPr>
    </w:p>
    <w:p w14:paraId="35A1AB76" w14:textId="77777777" w:rsidR="007110EC" w:rsidRPr="00607E75" w:rsidRDefault="007110EC" w:rsidP="00441B6F">
      <w:pPr>
        <w:pStyle w:val="Appendix"/>
        <w:spacing w:after="0"/>
        <w:jc w:val="both"/>
        <w:rPr>
          <w:rFonts w:ascii="Arial" w:hAnsi="Arial" w:cs="Arial"/>
          <w:b w:val="0"/>
        </w:rPr>
      </w:pPr>
    </w:p>
    <w:p w14:paraId="626588D2" w14:textId="77777777" w:rsidR="007110EC" w:rsidRPr="00607E75" w:rsidRDefault="007110EC" w:rsidP="00441B6F">
      <w:pPr>
        <w:pStyle w:val="Appendix"/>
        <w:spacing w:after="0"/>
        <w:jc w:val="both"/>
        <w:rPr>
          <w:rFonts w:ascii="Arial" w:hAnsi="Arial" w:cs="Arial"/>
          <w:b w:val="0"/>
        </w:rPr>
      </w:pPr>
    </w:p>
    <w:p w14:paraId="20B6AF13" w14:textId="77777777" w:rsidR="007110EC" w:rsidRPr="00607E75" w:rsidRDefault="007110EC" w:rsidP="00441B6F">
      <w:pPr>
        <w:pStyle w:val="Appendix"/>
        <w:spacing w:after="0"/>
        <w:jc w:val="both"/>
        <w:rPr>
          <w:rFonts w:ascii="Arial" w:hAnsi="Arial" w:cs="Arial"/>
          <w:b w:val="0"/>
        </w:rPr>
      </w:pPr>
    </w:p>
    <w:p w14:paraId="78159A5C" w14:textId="77777777" w:rsidR="007110EC" w:rsidRPr="00607E75" w:rsidRDefault="007110EC" w:rsidP="00441B6F">
      <w:pPr>
        <w:pStyle w:val="Appendix"/>
        <w:spacing w:after="0"/>
        <w:jc w:val="both"/>
        <w:rPr>
          <w:rFonts w:ascii="Arial" w:hAnsi="Arial" w:cs="Arial"/>
          <w:b w:val="0"/>
        </w:rPr>
      </w:pPr>
    </w:p>
    <w:p w14:paraId="7FFD97E1" w14:textId="77777777" w:rsidR="007110EC" w:rsidRPr="00607E75" w:rsidRDefault="007110EC" w:rsidP="00441B6F">
      <w:pPr>
        <w:pStyle w:val="Appendix"/>
        <w:spacing w:after="0"/>
        <w:jc w:val="both"/>
        <w:rPr>
          <w:rFonts w:ascii="Arial" w:hAnsi="Arial" w:cs="Arial"/>
          <w:b w:val="0"/>
        </w:rPr>
      </w:pPr>
    </w:p>
    <w:p w14:paraId="64F91947" w14:textId="77777777" w:rsidR="007110EC" w:rsidRPr="00607E75" w:rsidRDefault="007110EC" w:rsidP="00441B6F">
      <w:pPr>
        <w:pStyle w:val="Appendix"/>
        <w:spacing w:after="0"/>
        <w:jc w:val="both"/>
        <w:rPr>
          <w:rFonts w:ascii="Arial" w:hAnsi="Arial" w:cs="Arial"/>
          <w:b w:val="0"/>
        </w:rPr>
      </w:pPr>
    </w:p>
    <w:p w14:paraId="6AF4F2C4" w14:textId="77777777" w:rsidR="007110EC" w:rsidRPr="00607E75" w:rsidRDefault="007110EC" w:rsidP="00441B6F">
      <w:pPr>
        <w:pStyle w:val="Appendix"/>
        <w:spacing w:after="0"/>
        <w:jc w:val="both"/>
        <w:rPr>
          <w:rFonts w:ascii="Arial" w:hAnsi="Arial" w:cs="Arial"/>
          <w:b w:val="0"/>
        </w:rPr>
      </w:pPr>
    </w:p>
    <w:p w14:paraId="24C98DA6" w14:textId="77777777" w:rsidR="007110EC" w:rsidRPr="00607E75" w:rsidRDefault="007110EC" w:rsidP="00441B6F">
      <w:pPr>
        <w:pStyle w:val="Appendix"/>
        <w:spacing w:after="0"/>
        <w:jc w:val="both"/>
        <w:rPr>
          <w:rFonts w:ascii="Arial" w:hAnsi="Arial" w:cs="Arial"/>
          <w:b w:val="0"/>
        </w:rPr>
      </w:pPr>
    </w:p>
    <w:p w14:paraId="041B30CD" w14:textId="77777777" w:rsidR="007110EC" w:rsidRPr="00607E75" w:rsidRDefault="007110EC" w:rsidP="00441B6F">
      <w:pPr>
        <w:pStyle w:val="Appendix"/>
        <w:spacing w:after="0"/>
        <w:jc w:val="both"/>
        <w:rPr>
          <w:rFonts w:ascii="Arial" w:hAnsi="Arial" w:cs="Arial"/>
          <w:b w:val="0"/>
        </w:rPr>
      </w:pPr>
    </w:p>
    <w:p w14:paraId="6A1CDB6A" w14:textId="77777777" w:rsidR="007110EC" w:rsidRPr="00607E75" w:rsidRDefault="007110EC" w:rsidP="00441B6F">
      <w:pPr>
        <w:pStyle w:val="Appendix"/>
        <w:spacing w:after="0"/>
        <w:jc w:val="both"/>
        <w:rPr>
          <w:rFonts w:ascii="Arial" w:hAnsi="Arial" w:cs="Arial"/>
          <w:b w:val="0"/>
        </w:rPr>
      </w:pPr>
    </w:p>
    <w:p w14:paraId="031DDEE6" w14:textId="77777777" w:rsidR="007110EC" w:rsidRPr="00607E75" w:rsidRDefault="007110EC" w:rsidP="00441B6F">
      <w:pPr>
        <w:pStyle w:val="Appendix"/>
        <w:spacing w:after="0"/>
        <w:jc w:val="both"/>
        <w:rPr>
          <w:rFonts w:ascii="Arial" w:hAnsi="Arial" w:cs="Arial"/>
          <w:b w:val="0"/>
        </w:rPr>
      </w:pPr>
    </w:p>
    <w:p w14:paraId="476C27EE" w14:textId="77777777" w:rsidR="007110EC" w:rsidRPr="00607E75" w:rsidRDefault="007110EC" w:rsidP="00441B6F">
      <w:pPr>
        <w:pStyle w:val="Appendix"/>
        <w:spacing w:after="0"/>
        <w:jc w:val="both"/>
        <w:rPr>
          <w:rFonts w:ascii="Arial" w:hAnsi="Arial" w:cs="Arial"/>
          <w:b w:val="0"/>
        </w:rPr>
      </w:pPr>
    </w:p>
    <w:p w14:paraId="1E3A7421" w14:textId="77777777" w:rsidR="007110EC" w:rsidRPr="00607E75" w:rsidRDefault="007110EC" w:rsidP="00441B6F">
      <w:pPr>
        <w:pStyle w:val="Appendix"/>
        <w:spacing w:after="0"/>
        <w:jc w:val="both"/>
        <w:rPr>
          <w:rFonts w:ascii="Arial" w:hAnsi="Arial" w:cs="Arial"/>
          <w:b w:val="0"/>
        </w:rPr>
      </w:pPr>
    </w:p>
    <w:p w14:paraId="4DA482F1" w14:textId="77777777" w:rsidR="007110EC" w:rsidRPr="00607E75" w:rsidRDefault="007110EC" w:rsidP="00441B6F">
      <w:pPr>
        <w:pStyle w:val="Appendix"/>
        <w:spacing w:after="0"/>
        <w:jc w:val="both"/>
        <w:rPr>
          <w:rFonts w:ascii="Arial" w:hAnsi="Arial" w:cs="Arial"/>
          <w:b w:val="0"/>
        </w:rPr>
      </w:pPr>
    </w:p>
    <w:p w14:paraId="17EDAB35" w14:textId="77777777" w:rsidR="007110EC" w:rsidRPr="00607E75" w:rsidRDefault="007110EC" w:rsidP="00441B6F">
      <w:pPr>
        <w:pStyle w:val="Appendix"/>
        <w:spacing w:after="0"/>
        <w:jc w:val="both"/>
        <w:rPr>
          <w:rFonts w:ascii="Arial" w:hAnsi="Arial" w:cs="Arial"/>
          <w:b w:val="0"/>
        </w:rPr>
      </w:pPr>
    </w:p>
    <w:p w14:paraId="25310C68" w14:textId="77777777" w:rsidR="007110EC" w:rsidRPr="00607E75" w:rsidRDefault="007110EC" w:rsidP="00441B6F">
      <w:pPr>
        <w:pStyle w:val="Appendix"/>
        <w:spacing w:after="0"/>
        <w:jc w:val="both"/>
        <w:rPr>
          <w:rFonts w:ascii="Arial" w:hAnsi="Arial" w:cs="Arial"/>
          <w:b w:val="0"/>
        </w:rPr>
      </w:pPr>
    </w:p>
    <w:p w14:paraId="5FE1C0F0" w14:textId="77777777" w:rsidR="007110EC" w:rsidRPr="00607E75" w:rsidRDefault="007110EC" w:rsidP="00441B6F">
      <w:pPr>
        <w:pStyle w:val="Appendix"/>
        <w:spacing w:after="0"/>
        <w:jc w:val="both"/>
        <w:rPr>
          <w:rFonts w:ascii="Arial" w:hAnsi="Arial" w:cs="Arial"/>
          <w:b w:val="0"/>
        </w:rPr>
      </w:pPr>
    </w:p>
    <w:p w14:paraId="426D8D5B" w14:textId="77777777" w:rsidR="007110EC" w:rsidRPr="00607E75" w:rsidRDefault="007110EC" w:rsidP="00441B6F">
      <w:pPr>
        <w:pStyle w:val="Appendix"/>
        <w:spacing w:after="0"/>
        <w:jc w:val="both"/>
        <w:rPr>
          <w:rFonts w:ascii="Arial" w:hAnsi="Arial" w:cs="Arial"/>
          <w:b w:val="0"/>
        </w:rPr>
      </w:pPr>
    </w:p>
    <w:p w14:paraId="178AEED4" w14:textId="77777777" w:rsidR="007110EC" w:rsidRPr="00607E75" w:rsidRDefault="007110EC" w:rsidP="00441B6F">
      <w:pPr>
        <w:pStyle w:val="Appendix"/>
        <w:spacing w:after="0"/>
        <w:jc w:val="both"/>
        <w:rPr>
          <w:rFonts w:ascii="Arial" w:hAnsi="Arial" w:cs="Arial"/>
          <w:b w:val="0"/>
        </w:rPr>
      </w:pPr>
    </w:p>
    <w:p w14:paraId="1FF6BF32" w14:textId="77777777" w:rsidR="007110EC" w:rsidRPr="00607E75" w:rsidRDefault="007110EC" w:rsidP="00441B6F">
      <w:pPr>
        <w:pStyle w:val="Appendix"/>
        <w:spacing w:after="0"/>
        <w:jc w:val="both"/>
        <w:rPr>
          <w:rFonts w:ascii="Arial" w:hAnsi="Arial" w:cs="Arial"/>
          <w:b w:val="0"/>
        </w:rPr>
      </w:pPr>
    </w:p>
    <w:p w14:paraId="024D0B57" w14:textId="77777777" w:rsidR="007110EC" w:rsidRPr="00607E75" w:rsidRDefault="007110EC" w:rsidP="00441B6F">
      <w:pPr>
        <w:pStyle w:val="Appendix"/>
        <w:spacing w:after="0"/>
        <w:jc w:val="both"/>
        <w:rPr>
          <w:rFonts w:ascii="Arial" w:hAnsi="Arial" w:cs="Arial"/>
          <w:b w:val="0"/>
        </w:rPr>
      </w:pPr>
    </w:p>
    <w:p w14:paraId="0C4584D3" w14:textId="77777777" w:rsidR="007110EC" w:rsidRPr="00607E75" w:rsidRDefault="007110EC" w:rsidP="00441B6F">
      <w:pPr>
        <w:pStyle w:val="Appendix"/>
        <w:spacing w:after="0"/>
        <w:jc w:val="both"/>
        <w:rPr>
          <w:rFonts w:ascii="Arial" w:hAnsi="Arial" w:cs="Arial"/>
          <w:b w:val="0"/>
        </w:rPr>
      </w:pPr>
    </w:p>
    <w:p w14:paraId="45227C05" w14:textId="77777777" w:rsidR="007110EC" w:rsidRPr="00607E75" w:rsidRDefault="007110EC" w:rsidP="00441B6F">
      <w:pPr>
        <w:pStyle w:val="Appendix"/>
        <w:spacing w:after="0"/>
        <w:jc w:val="both"/>
        <w:rPr>
          <w:rFonts w:ascii="Arial" w:hAnsi="Arial" w:cs="Arial"/>
          <w:b w:val="0"/>
        </w:rPr>
      </w:pPr>
    </w:p>
    <w:p w14:paraId="6918F130" w14:textId="77777777" w:rsidR="007110EC" w:rsidRPr="00607E75" w:rsidRDefault="007110EC" w:rsidP="00441B6F">
      <w:pPr>
        <w:pStyle w:val="Appendix"/>
        <w:spacing w:after="0"/>
        <w:jc w:val="both"/>
        <w:rPr>
          <w:rFonts w:ascii="Arial" w:hAnsi="Arial" w:cs="Arial"/>
          <w:b w:val="0"/>
        </w:rPr>
      </w:pPr>
    </w:p>
    <w:p w14:paraId="199BAC39" w14:textId="77777777" w:rsidR="007110EC" w:rsidRPr="00607E75" w:rsidRDefault="007110EC" w:rsidP="00441B6F">
      <w:pPr>
        <w:pStyle w:val="Appendix"/>
        <w:spacing w:after="0"/>
        <w:jc w:val="both"/>
        <w:rPr>
          <w:rFonts w:ascii="Arial" w:hAnsi="Arial" w:cs="Arial"/>
          <w:b w:val="0"/>
        </w:rPr>
      </w:pPr>
    </w:p>
    <w:p w14:paraId="74DA1297" w14:textId="77777777" w:rsidR="007110EC" w:rsidRPr="00607E75" w:rsidRDefault="007110EC" w:rsidP="00441B6F">
      <w:pPr>
        <w:pStyle w:val="Appendix"/>
        <w:spacing w:after="0"/>
        <w:jc w:val="both"/>
        <w:rPr>
          <w:rFonts w:ascii="Arial" w:hAnsi="Arial" w:cs="Arial"/>
          <w:b w:val="0"/>
        </w:rPr>
      </w:pPr>
    </w:p>
    <w:p w14:paraId="2ED3E264" w14:textId="77777777" w:rsidR="007110EC" w:rsidRPr="00607E75" w:rsidRDefault="007110EC" w:rsidP="00441B6F">
      <w:pPr>
        <w:pStyle w:val="Appendix"/>
        <w:spacing w:after="0"/>
        <w:jc w:val="both"/>
        <w:rPr>
          <w:rFonts w:ascii="Arial" w:hAnsi="Arial" w:cs="Arial"/>
          <w:b w:val="0"/>
        </w:rPr>
      </w:pPr>
    </w:p>
    <w:p w14:paraId="14C58A16" w14:textId="77777777" w:rsidR="007110EC" w:rsidRPr="00607E75" w:rsidRDefault="007110EC" w:rsidP="00441B6F">
      <w:pPr>
        <w:pStyle w:val="Appendix"/>
        <w:spacing w:after="0"/>
        <w:jc w:val="both"/>
        <w:rPr>
          <w:rFonts w:ascii="Arial" w:hAnsi="Arial" w:cs="Arial"/>
          <w:b w:val="0"/>
        </w:rPr>
      </w:pPr>
    </w:p>
    <w:p w14:paraId="752B027C" w14:textId="78D0B8AE" w:rsidR="007110EC" w:rsidRPr="00607E75" w:rsidRDefault="007110EC" w:rsidP="00441B6F">
      <w:pPr>
        <w:pStyle w:val="Appendix"/>
        <w:spacing w:after="0"/>
        <w:jc w:val="both"/>
        <w:rPr>
          <w:rFonts w:ascii="Arial" w:hAnsi="Arial" w:cs="Arial"/>
          <w:b w:val="0"/>
        </w:rPr>
      </w:pPr>
    </w:p>
    <w:p w14:paraId="5529E059" w14:textId="77777777" w:rsidR="007110EC" w:rsidRPr="00607E75" w:rsidRDefault="007110EC" w:rsidP="00441B6F">
      <w:pPr>
        <w:pStyle w:val="Appendix"/>
        <w:spacing w:after="0"/>
        <w:jc w:val="both"/>
        <w:rPr>
          <w:rFonts w:ascii="Arial" w:hAnsi="Arial" w:cs="Arial"/>
          <w:b w:val="0"/>
        </w:rPr>
      </w:pPr>
    </w:p>
    <w:p w14:paraId="799620A8" w14:textId="0A30051F"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4384" behindDoc="0" locked="0" layoutInCell="1" allowOverlap="1" wp14:anchorId="3E50CF49" wp14:editId="1018D20D">
            <wp:simplePos x="0" y="0"/>
            <wp:positionH relativeFrom="column">
              <wp:posOffset>666750</wp:posOffset>
            </wp:positionH>
            <wp:positionV relativeFrom="paragraph">
              <wp:posOffset>152400</wp:posOffset>
            </wp:positionV>
            <wp:extent cx="5858510" cy="7715885"/>
            <wp:effectExtent l="0" t="0" r="8890" b="0"/>
            <wp:wrapNone/>
            <wp:docPr id="129135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56199" name=""/>
                    <pic:cNvPicPr/>
                  </pic:nvPicPr>
                  <pic:blipFill>
                    <a:blip r:embed="rId51">
                      <a:extLst>
                        <a:ext uri="{28A0092B-C50C-407E-A947-70E740481C1C}">
                          <a14:useLocalDpi xmlns:a14="http://schemas.microsoft.com/office/drawing/2010/main" val="0"/>
                        </a:ext>
                      </a:extLst>
                    </a:blip>
                    <a:stretch>
                      <a:fillRect/>
                    </a:stretch>
                  </pic:blipFill>
                  <pic:spPr>
                    <a:xfrm>
                      <a:off x="0" y="0"/>
                      <a:ext cx="5858510" cy="7715885"/>
                    </a:xfrm>
                    <a:prstGeom prst="rect">
                      <a:avLst/>
                    </a:prstGeom>
                  </pic:spPr>
                </pic:pic>
              </a:graphicData>
            </a:graphic>
          </wp:anchor>
        </w:drawing>
      </w:r>
    </w:p>
    <w:p w14:paraId="051088B7" w14:textId="77777777" w:rsidR="007110EC" w:rsidRPr="00607E75" w:rsidRDefault="007110EC" w:rsidP="00441B6F">
      <w:pPr>
        <w:pStyle w:val="Appendix"/>
        <w:spacing w:after="0"/>
        <w:jc w:val="both"/>
        <w:rPr>
          <w:rFonts w:ascii="Arial" w:hAnsi="Arial" w:cs="Arial"/>
          <w:b w:val="0"/>
        </w:rPr>
      </w:pPr>
    </w:p>
    <w:p w14:paraId="13A466FC" w14:textId="77777777" w:rsidR="007110EC" w:rsidRPr="00607E75" w:rsidRDefault="007110EC" w:rsidP="00441B6F">
      <w:pPr>
        <w:pStyle w:val="Appendix"/>
        <w:spacing w:after="0"/>
        <w:jc w:val="both"/>
        <w:rPr>
          <w:rFonts w:ascii="Arial" w:hAnsi="Arial" w:cs="Arial"/>
          <w:b w:val="0"/>
        </w:rPr>
      </w:pPr>
    </w:p>
    <w:p w14:paraId="3DA2A71B" w14:textId="77777777" w:rsidR="007110EC" w:rsidRPr="00607E75" w:rsidRDefault="007110EC" w:rsidP="00441B6F">
      <w:pPr>
        <w:pStyle w:val="Appendix"/>
        <w:spacing w:after="0"/>
        <w:jc w:val="both"/>
        <w:rPr>
          <w:rFonts w:ascii="Arial" w:hAnsi="Arial" w:cs="Arial"/>
          <w:b w:val="0"/>
        </w:rPr>
      </w:pPr>
    </w:p>
    <w:p w14:paraId="4DBD1D7E" w14:textId="215F093B" w:rsidR="007110EC" w:rsidRPr="00607E75" w:rsidRDefault="007110EC" w:rsidP="00441B6F">
      <w:pPr>
        <w:pStyle w:val="Appendix"/>
        <w:spacing w:after="0"/>
        <w:jc w:val="both"/>
        <w:rPr>
          <w:rFonts w:ascii="Arial" w:hAnsi="Arial" w:cs="Arial"/>
          <w:b w:val="0"/>
        </w:rPr>
      </w:pPr>
    </w:p>
    <w:p w14:paraId="7F0AC689" w14:textId="77777777" w:rsidR="007110EC" w:rsidRPr="00607E75" w:rsidRDefault="007110EC" w:rsidP="00441B6F">
      <w:pPr>
        <w:pStyle w:val="Appendix"/>
        <w:spacing w:after="0"/>
        <w:jc w:val="both"/>
        <w:rPr>
          <w:rFonts w:ascii="Arial" w:hAnsi="Arial" w:cs="Arial"/>
          <w:b w:val="0"/>
        </w:rPr>
      </w:pPr>
    </w:p>
    <w:p w14:paraId="311D0B05" w14:textId="77777777" w:rsidR="007110EC" w:rsidRPr="00607E75" w:rsidRDefault="007110EC" w:rsidP="00441B6F">
      <w:pPr>
        <w:pStyle w:val="Appendix"/>
        <w:spacing w:after="0"/>
        <w:jc w:val="both"/>
        <w:rPr>
          <w:rFonts w:ascii="Arial" w:hAnsi="Arial" w:cs="Arial"/>
          <w:b w:val="0"/>
        </w:rPr>
      </w:pPr>
    </w:p>
    <w:p w14:paraId="4AE43A42" w14:textId="77777777" w:rsidR="007110EC" w:rsidRPr="00607E75" w:rsidRDefault="007110EC" w:rsidP="00441B6F">
      <w:pPr>
        <w:pStyle w:val="Appendix"/>
        <w:spacing w:after="0"/>
        <w:jc w:val="both"/>
        <w:rPr>
          <w:rFonts w:ascii="Arial" w:hAnsi="Arial" w:cs="Arial"/>
          <w:b w:val="0"/>
        </w:rPr>
      </w:pPr>
    </w:p>
    <w:p w14:paraId="695B68D8" w14:textId="2D0BBB79" w:rsidR="007110EC" w:rsidRPr="00607E75" w:rsidRDefault="007110EC" w:rsidP="00441B6F">
      <w:pPr>
        <w:pStyle w:val="Appendix"/>
        <w:spacing w:after="0"/>
        <w:jc w:val="both"/>
        <w:rPr>
          <w:rFonts w:ascii="Arial" w:hAnsi="Arial" w:cs="Arial"/>
          <w:b w:val="0"/>
        </w:rPr>
      </w:pPr>
    </w:p>
    <w:p w14:paraId="1E6DC161" w14:textId="06CA474C" w:rsidR="007110EC" w:rsidRPr="00607E75" w:rsidRDefault="007110EC" w:rsidP="00441B6F">
      <w:pPr>
        <w:pStyle w:val="Appendix"/>
        <w:spacing w:after="0"/>
        <w:jc w:val="both"/>
        <w:rPr>
          <w:rFonts w:ascii="Arial" w:hAnsi="Arial" w:cs="Arial"/>
          <w:b w:val="0"/>
        </w:rPr>
      </w:pPr>
    </w:p>
    <w:p w14:paraId="5064AFB3" w14:textId="77777777" w:rsidR="007110EC" w:rsidRPr="00607E75" w:rsidRDefault="007110EC" w:rsidP="00441B6F">
      <w:pPr>
        <w:pStyle w:val="Appendix"/>
        <w:spacing w:after="0"/>
        <w:jc w:val="both"/>
        <w:rPr>
          <w:rFonts w:ascii="Arial" w:hAnsi="Arial" w:cs="Arial"/>
          <w:b w:val="0"/>
        </w:rPr>
      </w:pPr>
    </w:p>
    <w:p w14:paraId="299E21A3" w14:textId="0CBB6F72" w:rsidR="007110EC" w:rsidRPr="00607E75" w:rsidRDefault="007110EC" w:rsidP="00441B6F">
      <w:pPr>
        <w:pStyle w:val="Appendix"/>
        <w:spacing w:after="0"/>
        <w:jc w:val="both"/>
        <w:rPr>
          <w:rFonts w:ascii="Arial" w:hAnsi="Arial" w:cs="Arial"/>
          <w:b w:val="0"/>
        </w:rPr>
      </w:pPr>
    </w:p>
    <w:p w14:paraId="01ED9401" w14:textId="77777777" w:rsidR="007110EC" w:rsidRPr="00607E75" w:rsidRDefault="007110EC" w:rsidP="00441B6F">
      <w:pPr>
        <w:pStyle w:val="Appendix"/>
        <w:spacing w:after="0"/>
        <w:jc w:val="both"/>
        <w:rPr>
          <w:rFonts w:ascii="Arial" w:hAnsi="Arial" w:cs="Arial"/>
          <w:b w:val="0"/>
        </w:rPr>
      </w:pPr>
    </w:p>
    <w:p w14:paraId="23957F97" w14:textId="350DC02D" w:rsidR="007110EC" w:rsidRPr="00607E75" w:rsidRDefault="007110EC" w:rsidP="00441B6F">
      <w:pPr>
        <w:pStyle w:val="Appendix"/>
        <w:spacing w:after="0"/>
        <w:jc w:val="both"/>
        <w:rPr>
          <w:rFonts w:ascii="Arial" w:hAnsi="Arial" w:cs="Arial"/>
          <w:b w:val="0"/>
        </w:rPr>
      </w:pPr>
    </w:p>
    <w:p w14:paraId="071ACD42" w14:textId="77777777" w:rsidR="007110EC" w:rsidRPr="00607E75" w:rsidRDefault="007110EC" w:rsidP="00441B6F">
      <w:pPr>
        <w:pStyle w:val="Appendix"/>
        <w:spacing w:after="0"/>
        <w:jc w:val="both"/>
        <w:rPr>
          <w:rFonts w:ascii="Arial" w:hAnsi="Arial" w:cs="Arial"/>
          <w:b w:val="0"/>
        </w:rPr>
      </w:pPr>
    </w:p>
    <w:p w14:paraId="6DF1AC2D" w14:textId="77777777" w:rsidR="007110EC" w:rsidRPr="00607E75" w:rsidRDefault="007110EC" w:rsidP="00441B6F">
      <w:pPr>
        <w:pStyle w:val="Appendix"/>
        <w:spacing w:after="0"/>
        <w:jc w:val="both"/>
        <w:rPr>
          <w:rFonts w:ascii="Arial" w:hAnsi="Arial" w:cs="Arial"/>
          <w:b w:val="0"/>
        </w:rPr>
      </w:pPr>
    </w:p>
    <w:p w14:paraId="46D535D3" w14:textId="77777777" w:rsidR="007110EC" w:rsidRPr="00607E75" w:rsidRDefault="007110EC" w:rsidP="00441B6F">
      <w:pPr>
        <w:pStyle w:val="Appendix"/>
        <w:spacing w:after="0"/>
        <w:jc w:val="both"/>
        <w:rPr>
          <w:rFonts w:ascii="Arial" w:hAnsi="Arial" w:cs="Arial"/>
          <w:b w:val="0"/>
        </w:rPr>
      </w:pPr>
    </w:p>
    <w:p w14:paraId="06E0B35A" w14:textId="77777777" w:rsidR="007110EC" w:rsidRPr="00607E75" w:rsidRDefault="007110EC" w:rsidP="00441B6F">
      <w:pPr>
        <w:pStyle w:val="Appendix"/>
        <w:spacing w:after="0"/>
        <w:jc w:val="both"/>
        <w:rPr>
          <w:rFonts w:ascii="Arial" w:hAnsi="Arial" w:cs="Arial"/>
          <w:b w:val="0"/>
        </w:rPr>
      </w:pPr>
    </w:p>
    <w:p w14:paraId="1A30418A" w14:textId="77777777" w:rsidR="007110EC" w:rsidRPr="00607E75" w:rsidRDefault="007110EC" w:rsidP="00441B6F">
      <w:pPr>
        <w:pStyle w:val="Appendix"/>
        <w:spacing w:after="0"/>
        <w:jc w:val="both"/>
        <w:rPr>
          <w:rFonts w:ascii="Arial" w:hAnsi="Arial" w:cs="Arial"/>
          <w:b w:val="0"/>
        </w:rPr>
      </w:pPr>
    </w:p>
    <w:p w14:paraId="1A067D35" w14:textId="77777777" w:rsidR="007110EC" w:rsidRPr="00607E75" w:rsidRDefault="007110EC" w:rsidP="00441B6F">
      <w:pPr>
        <w:pStyle w:val="Appendix"/>
        <w:spacing w:after="0"/>
        <w:jc w:val="both"/>
        <w:rPr>
          <w:rFonts w:ascii="Arial" w:hAnsi="Arial" w:cs="Arial"/>
          <w:b w:val="0"/>
        </w:rPr>
      </w:pPr>
    </w:p>
    <w:p w14:paraId="66A7DED2" w14:textId="77777777" w:rsidR="007110EC" w:rsidRPr="00607E75" w:rsidRDefault="007110EC" w:rsidP="00441B6F">
      <w:pPr>
        <w:pStyle w:val="Appendix"/>
        <w:spacing w:after="0"/>
        <w:jc w:val="both"/>
        <w:rPr>
          <w:rFonts w:ascii="Arial" w:hAnsi="Arial" w:cs="Arial"/>
          <w:b w:val="0"/>
        </w:rPr>
      </w:pPr>
    </w:p>
    <w:p w14:paraId="59E9B29E" w14:textId="77777777" w:rsidR="007110EC" w:rsidRPr="00607E75" w:rsidRDefault="007110EC" w:rsidP="00441B6F">
      <w:pPr>
        <w:pStyle w:val="Appendix"/>
        <w:spacing w:after="0"/>
        <w:jc w:val="both"/>
        <w:rPr>
          <w:rFonts w:ascii="Arial" w:hAnsi="Arial" w:cs="Arial"/>
          <w:b w:val="0"/>
        </w:rPr>
      </w:pPr>
    </w:p>
    <w:p w14:paraId="34759BEC" w14:textId="77777777" w:rsidR="007110EC" w:rsidRPr="00607E75" w:rsidRDefault="007110EC" w:rsidP="00441B6F">
      <w:pPr>
        <w:pStyle w:val="Appendix"/>
        <w:spacing w:after="0"/>
        <w:jc w:val="both"/>
        <w:rPr>
          <w:rFonts w:ascii="Arial" w:hAnsi="Arial" w:cs="Arial"/>
          <w:b w:val="0"/>
        </w:rPr>
      </w:pPr>
    </w:p>
    <w:p w14:paraId="57653D24" w14:textId="77777777" w:rsidR="007110EC" w:rsidRPr="00607E75" w:rsidRDefault="007110EC" w:rsidP="00441B6F">
      <w:pPr>
        <w:pStyle w:val="Appendix"/>
        <w:spacing w:after="0"/>
        <w:jc w:val="both"/>
        <w:rPr>
          <w:rFonts w:ascii="Arial" w:hAnsi="Arial" w:cs="Arial"/>
          <w:b w:val="0"/>
        </w:rPr>
      </w:pPr>
    </w:p>
    <w:p w14:paraId="54A437A9" w14:textId="77777777" w:rsidR="007110EC" w:rsidRPr="00607E75" w:rsidRDefault="007110EC" w:rsidP="00441B6F">
      <w:pPr>
        <w:pStyle w:val="Appendix"/>
        <w:spacing w:after="0"/>
        <w:jc w:val="both"/>
        <w:rPr>
          <w:rFonts w:ascii="Arial" w:hAnsi="Arial" w:cs="Arial"/>
          <w:b w:val="0"/>
        </w:rPr>
      </w:pPr>
    </w:p>
    <w:p w14:paraId="30C5DE3B" w14:textId="77777777" w:rsidR="007110EC" w:rsidRPr="00607E75" w:rsidRDefault="007110EC" w:rsidP="00441B6F">
      <w:pPr>
        <w:pStyle w:val="Appendix"/>
        <w:spacing w:after="0"/>
        <w:jc w:val="both"/>
        <w:rPr>
          <w:rFonts w:ascii="Arial" w:hAnsi="Arial" w:cs="Arial"/>
          <w:b w:val="0"/>
        </w:rPr>
      </w:pPr>
    </w:p>
    <w:p w14:paraId="676F893F" w14:textId="77777777" w:rsidR="007110EC" w:rsidRPr="00607E75" w:rsidRDefault="007110EC" w:rsidP="00441B6F">
      <w:pPr>
        <w:pStyle w:val="Appendix"/>
        <w:spacing w:after="0"/>
        <w:jc w:val="both"/>
        <w:rPr>
          <w:rFonts w:ascii="Arial" w:hAnsi="Arial" w:cs="Arial"/>
          <w:b w:val="0"/>
        </w:rPr>
      </w:pPr>
    </w:p>
    <w:p w14:paraId="4835B0A8" w14:textId="77777777" w:rsidR="007110EC" w:rsidRPr="00607E75" w:rsidRDefault="007110EC" w:rsidP="00441B6F">
      <w:pPr>
        <w:pStyle w:val="Appendix"/>
        <w:spacing w:after="0"/>
        <w:jc w:val="both"/>
        <w:rPr>
          <w:rFonts w:ascii="Arial" w:hAnsi="Arial" w:cs="Arial"/>
          <w:b w:val="0"/>
        </w:rPr>
      </w:pPr>
    </w:p>
    <w:p w14:paraId="4E77F6CF" w14:textId="77777777" w:rsidR="007110EC" w:rsidRPr="00607E75" w:rsidRDefault="007110EC" w:rsidP="00441B6F">
      <w:pPr>
        <w:pStyle w:val="Appendix"/>
        <w:spacing w:after="0"/>
        <w:jc w:val="both"/>
        <w:rPr>
          <w:rFonts w:ascii="Arial" w:hAnsi="Arial" w:cs="Arial"/>
          <w:b w:val="0"/>
        </w:rPr>
      </w:pPr>
    </w:p>
    <w:p w14:paraId="7A1A29D2" w14:textId="77777777" w:rsidR="007110EC" w:rsidRPr="00607E75" w:rsidRDefault="007110EC" w:rsidP="00441B6F">
      <w:pPr>
        <w:pStyle w:val="Appendix"/>
        <w:spacing w:after="0"/>
        <w:jc w:val="both"/>
        <w:rPr>
          <w:rFonts w:ascii="Arial" w:hAnsi="Arial" w:cs="Arial"/>
          <w:b w:val="0"/>
        </w:rPr>
      </w:pPr>
    </w:p>
    <w:p w14:paraId="1B982911" w14:textId="77777777" w:rsidR="007110EC" w:rsidRPr="00607E75" w:rsidRDefault="007110EC" w:rsidP="00441B6F">
      <w:pPr>
        <w:pStyle w:val="Appendix"/>
        <w:spacing w:after="0"/>
        <w:jc w:val="both"/>
        <w:rPr>
          <w:rFonts w:ascii="Arial" w:hAnsi="Arial" w:cs="Arial"/>
          <w:b w:val="0"/>
        </w:rPr>
      </w:pPr>
    </w:p>
    <w:p w14:paraId="710F903D" w14:textId="77777777" w:rsidR="007110EC" w:rsidRPr="00607E75" w:rsidRDefault="007110EC" w:rsidP="00441B6F">
      <w:pPr>
        <w:pStyle w:val="Appendix"/>
        <w:spacing w:after="0"/>
        <w:jc w:val="both"/>
        <w:rPr>
          <w:rFonts w:ascii="Arial" w:hAnsi="Arial" w:cs="Arial"/>
          <w:b w:val="0"/>
        </w:rPr>
      </w:pPr>
    </w:p>
    <w:p w14:paraId="7F4445AC" w14:textId="77777777" w:rsidR="007110EC" w:rsidRPr="00607E75" w:rsidRDefault="007110EC" w:rsidP="00441B6F">
      <w:pPr>
        <w:pStyle w:val="Appendix"/>
        <w:spacing w:after="0"/>
        <w:jc w:val="both"/>
        <w:rPr>
          <w:rFonts w:ascii="Arial" w:hAnsi="Arial" w:cs="Arial"/>
          <w:b w:val="0"/>
        </w:rPr>
      </w:pPr>
    </w:p>
    <w:p w14:paraId="59182F6B" w14:textId="77777777" w:rsidR="007110EC" w:rsidRPr="00607E75" w:rsidRDefault="007110EC" w:rsidP="00441B6F">
      <w:pPr>
        <w:pStyle w:val="Appendix"/>
        <w:spacing w:after="0"/>
        <w:jc w:val="both"/>
        <w:rPr>
          <w:rFonts w:ascii="Arial" w:hAnsi="Arial" w:cs="Arial"/>
          <w:b w:val="0"/>
        </w:rPr>
      </w:pPr>
    </w:p>
    <w:p w14:paraId="7459A363" w14:textId="77777777" w:rsidR="007110EC" w:rsidRPr="00607E75" w:rsidRDefault="007110EC" w:rsidP="00441B6F">
      <w:pPr>
        <w:pStyle w:val="Appendix"/>
        <w:spacing w:after="0"/>
        <w:jc w:val="both"/>
        <w:rPr>
          <w:rFonts w:ascii="Arial" w:hAnsi="Arial" w:cs="Arial"/>
          <w:b w:val="0"/>
        </w:rPr>
      </w:pPr>
    </w:p>
    <w:p w14:paraId="4494DD50" w14:textId="77777777" w:rsidR="007110EC" w:rsidRPr="00607E75" w:rsidRDefault="007110EC" w:rsidP="00441B6F">
      <w:pPr>
        <w:pStyle w:val="Appendix"/>
        <w:spacing w:after="0"/>
        <w:jc w:val="both"/>
        <w:rPr>
          <w:rFonts w:ascii="Arial" w:hAnsi="Arial" w:cs="Arial"/>
          <w:b w:val="0"/>
        </w:rPr>
      </w:pPr>
    </w:p>
    <w:p w14:paraId="7F2BB9A6" w14:textId="77777777" w:rsidR="007110EC" w:rsidRPr="00607E75" w:rsidRDefault="007110EC" w:rsidP="00441B6F">
      <w:pPr>
        <w:pStyle w:val="Appendix"/>
        <w:spacing w:after="0"/>
        <w:jc w:val="both"/>
        <w:rPr>
          <w:rFonts w:ascii="Arial" w:hAnsi="Arial" w:cs="Arial"/>
          <w:b w:val="0"/>
        </w:rPr>
      </w:pPr>
    </w:p>
    <w:p w14:paraId="484412F3" w14:textId="77777777" w:rsidR="007110EC" w:rsidRPr="00607E75" w:rsidRDefault="007110EC" w:rsidP="00441B6F">
      <w:pPr>
        <w:pStyle w:val="Appendix"/>
        <w:spacing w:after="0"/>
        <w:jc w:val="both"/>
        <w:rPr>
          <w:rFonts w:ascii="Arial" w:hAnsi="Arial" w:cs="Arial"/>
          <w:b w:val="0"/>
        </w:rPr>
      </w:pPr>
    </w:p>
    <w:p w14:paraId="29C321B0" w14:textId="77777777" w:rsidR="007110EC" w:rsidRPr="00607E75" w:rsidRDefault="007110EC" w:rsidP="00441B6F">
      <w:pPr>
        <w:pStyle w:val="Appendix"/>
        <w:spacing w:after="0"/>
        <w:jc w:val="both"/>
        <w:rPr>
          <w:rFonts w:ascii="Arial" w:hAnsi="Arial" w:cs="Arial"/>
          <w:b w:val="0"/>
        </w:rPr>
      </w:pPr>
    </w:p>
    <w:p w14:paraId="60C023CE" w14:textId="77777777" w:rsidR="007110EC" w:rsidRPr="00607E75" w:rsidRDefault="007110EC" w:rsidP="00441B6F">
      <w:pPr>
        <w:pStyle w:val="Appendix"/>
        <w:spacing w:after="0"/>
        <w:jc w:val="both"/>
        <w:rPr>
          <w:rFonts w:ascii="Arial" w:hAnsi="Arial" w:cs="Arial"/>
          <w:b w:val="0"/>
        </w:rPr>
      </w:pPr>
    </w:p>
    <w:p w14:paraId="35E96B4A" w14:textId="77777777" w:rsidR="007110EC" w:rsidRPr="00607E75" w:rsidRDefault="007110EC" w:rsidP="00441B6F">
      <w:pPr>
        <w:pStyle w:val="Appendix"/>
        <w:spacing w:after="0"/>
        <w:jc w:val="both"/>
        <w:rPr>
          <w:rFonts w:ascii="Arial" w:hAnsi="Arial" w:cs="Arial"/>
          <w:b w:val="0"/>
        </w:rPr>
      </w:pPr>
    </w:p>
    <w:p w14:paraId="51939B02" w14:textId="77777777" w:rsidR="007110EC" w:rsidRPr="00607E75" w:rsidRDefault="007110EC" w:rsidP="00441B6F">
      <w:pPr>
        <w:pStyle w:val="Appendix"/>
        <w:spacing w:after="0"/>
        <w:jc w:val="both"/>
        <w:rPr>
          <w:rFonts w:ascii="Arial" w:hAnsi="Arial" w:cs="Arial"/>
          <w:b w:val="0"/>
        </w:rPr>
      </w:pPr>
    </w:p>
    <w:p w14:paraId="70BBC24F" w14:textId="77777777" w:rsidR="007110EC" w:rsidRPr="00607E75" w:rsidRDefault="007110EC" w:rsidP="00441B6F">
      <w:pPr>
        <w:pStyle w:val="Appendix"/>
        <w:spacing w:after="0"/>
        <w:jc w:val="both"/>
        <w:rPr>
          <w:rFonts w:ascii="Arial" w:hAnsi="Arial" w:cs="Arial"/>
          <w:b w:val="0"/>
        </w:rPr>
      </w:pPr>
    </w:p>
    <w:p w14:paraId="3320715B" w14:textId="77777777" w:rsidR="007110EC" w:rsidRPr="00607E75" w:rsidRDefault="007110EC" w:rsidP="00441B6F">
      <w:pPr>
        <w:pStyle w:val="Appendix"/>
        <w:spacing w:after="0"/>
        <w:jc w:val="both"/>
        <w:rPr>
          <w:rFonts w:ascii="Arial" w:hAnsi="Arial" w:cs="Arial"/>
          <w:b w:val="0"/>
        </w:rPr>
      </w:pPr>
    </w:p>
    <w:p w14:paraId="71C5064B" w14:textId="77777777" w:rsidR="007110EC" w:rsidRPr="00607E75" w:rsidRDefault="007110EC" w:rsidP="00441B6F">
      <w:pPr>
        <w:pStyle w:val="Appendix"/>
        <w:spacing w:after="0"/>
        <w:jc w:val="both"/>
        <w:rPr>
          <w:rFonts w:ascii="Arial" w:hAnsi="Arial" w:cs="Arial"/>
          <w:b w:val="0"/>
        </w:rPr>
      </w:pPr>
    </w:p>
    <w:p w14:paraId="5D863EFE" w14:textId="77777777" w:rsidR="007110EC" w:rsidRPr="00607E75" w:rsidRDefault="007110EC" w:rsidP="00441B6F">
      <w:pPr>
        <w:pStyle w:val="Appendix"/>
        <w:spacing w:after="0"/>
        <w:jc w:val="both"/>
        <w:rPr>
          <w:rFonts w:ascii="Arial" w:hAnsi="Arial" w:cs="Arial"/>
          <w:b w:val="0"/>
        </w:rPr>
      </w:pPr>
    </w:p>
    <w:p w14:paraId="4F1CB158" w14:textId="77777777" w:rsidR="007110EC" w:rsidRPr="00607E75" w:rsidRDefault="007110EC" w:rsidP="00441B6F">
      <w:pPr>
        <w:pStyle w:val="Appendix"/>
        <w:spacing w:after="0"/>
        <w:jc w:val="both"/>
        <w:rPr>
          <w:rFonts w:ascii="Arial" w:hAnsi="Arial" w:cs="Arial"/>
          <w:b w:val="0"/>
        </w:rPr>
      </w:pPr>
    </w:p>
    <w:p w14:paraId="7E70D7A5" w14:textId="602AAC25" w:rsidR="007110EC" w:rsidRPr="00607E75" w:rsidRDefault="007110EC" w:rsidP="00441B6F">
      <w:pPr>
        <w:pStyle w:val="Appendix"/>
        <w:spacing w:after="0"/>
        <w:jc w:val="both"/>
        <w:rPr>
          <w:rFonts w:ascii="Arial" w:hAnsi="Arial" w:cs="Arial"/>
          <w:b w:val="0"/>
        </w:rPr>
      </w:pPr>
    </w:p>
    <w:p w14:paraId="1E5E2DE6" w14:textId="77777777" w:rsidR="007110EC" w:rsidRPr="00607E75" w:rsidRDefault="007110EC" w:rsidP="00441B6F">
      <w:pPr>
        <w:pStyle w:val="Appendix"/>
        <w:spacing w:after="0"/>
        <w:jc w:val="both"/>
        <w:rPr>
          <w:rFonts w:ascii="Arial" w:hAnsi="Arial" w:cs="Arial"/>
          <w:b w:val="0"/>
        </w:rPr>
      </w:pPr>
    </w:p>
    <w:p w14:paraId="2095AC23" w14:textId="77777777" w:rsidR="007110EC" w:rsidRPr="00607E75" w:rsidRDefault="007110EC" w:rsidP="00441B6F">
      <w:pPr>
        <w:pStyle w:val="Appendix"/>
        <w:spacing w:after="0"/>
        <w:jc w:val="both"/>
        <w:rPr>
          <w:rFonts w:ascii="Arial" w:hAnsi="Arial" w:cs="Arial"/>
          <w:b w:val="0"/>
        </w:rPr>
      </w:pPr>
    </w:p>
    <w:p w14:paraId="42E2FAA3" w14:textId="77777777" w:rsidR="007110EC" w:rsidRPr="00607E75" w:rsidRDefault="007110EC" w:rsidP="00441B6F">
      <w:pPr>
        <w:pStyle w:val="Appendix"/>
        <w:spacing w:after="0"/>
        <w:jc w:val="both"/>
        <w:rPr>
          <w:rFonts w:ascii="Arial" w:hAnsi="Arial" w:cs="Arial"/>
          <w:b w:val="0"/>
        </w:rPr>
      </w:pPr>
    </w:p>
    <w:p w14:paraId="2366EBD8" w14:textId="5BDDB24C" w:rsidR="007110EC" w:rsidRPr="00607E75" w:rsidRDefault="007110EC" w:rsidP="00441B6F">
      <w:pPr>
        <w:pStyle w:val="Appendix"/>
        <w:spacing w:after="0"/>
        <w:jc w:val="both"/>
        <w:rPr>
          <w:rFonts w:ascii="Arial" w:hAnsi="Arial" w:cs="Arial"/>
          <w:b w:val="0"/>
        </w:rPr>
      </w:pPr>
    </w:p>
    <w:p w14:paraId="0C75505A" w14:textId="77777777" w:rsidR="007110EC" w:rsidRPr="00607E75" w:rsidRDefault="007110EC" w:rsidP="00441B6F">
      <w:pPr>
        <w:pStyle w:val="Appendix"/>
        <w:spacing w:after="0"/>
        <w:jc w:val="both"/>
        <w:rPr>
          <w:rFonts w:ascii="Arial" w:hAnsi="Arial" w:cs="Arial"/>
          <w:b w:val="0"/>
        </w:rPr>
      </w:pPr>
    </w:p>
    <w:p w14:paraId="6A0E3C7D" w14:textId="77777777" w:rsidR="007110EC" w:rsidRPr="00607E75" w:rsidRDefault="007110EC" w:rsidP="00441B6F">
      <w:pPr>
        <w:pStyle w:val="Appendix"/>
        <w:spacing w:after="0"/>
        <w:jc w:val="both"/>
        <w:rPr>
          <w:rFonts w:ascii="Arial" w:hAnsi="Arial" w:cs="Arial"/>
          <w:b w:val="0"/>
        </w:rPr>
      </w:pPr>
    </w:p>
    <w:p w14:paraId="3E815460" w14:textId="661C5FDA"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5408" behindDoc="0" locked="0" layoutInCell="1" allowOverlap="1" wp14:anchorId="1A8E3B50" wp14:editId="52B54D06">
            <wp:simplePos x="0" y="0"/>
            <wp:positionH relativeFrom="page">
              <wp:align>right</wp:align>
            </wp:positionH>
            <wp:positionV relativeFrom="paragraph">
              <wp:posOffset>19050</wp:posOffset>
            </wp:positionV>
            <wp:extent cx="6725589" cy="7983064"/>
            <wp:effectExtent l="0" t="0" r="0" b="0"/>
            <wp:wrapNone/>
            <wp:docPr id="71377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78750" name=""/>
                    <pic:cNvPicPr/>
                  </pic:nvPicPr>
                  <pic:blipFill>
                    <a:blip r:embed="rId52">
                      <a:extLst>
                        <a:ext uri="{28A0092B-C50C-407E-A947-70E740481C1C}">
                          <a14:useLocalDpi xmlns:a14="http://schemas.microsoft.com/office/drawing/2010/main" val="0"/>
                        </a:ext>
                      </a:extLst>
                    </a:blip>
                    <a:stretch>
                      <a:fillRect/>
                    </a:stretch>
                  </pic:blipFill>
                  <pic:spPr>
                    <a:xfrm>
                      <a:off x="0" y="0"/>
                      <a:ext cx="6725589" cy="7983064"/>
                    </a:xfrm>
                    <a:prstGeom prst="rect">
                      <a:avLst/>
                    </a:prstGeom>
                  </pic:spPr>
                </pic:pic>
              </a:graphicData>
            </a:graphic>
          </wp:anchor>
        </w:drawing>
      </w:r>
    </w:p>
    <w:p w14:paraId="01978D0B" w14:textId="01B6D3B5" w:rsidR="007110EC" w:rsidRPr="00607E75" w:rsidRDefault="007110EC" w:rsidP="00441B6F">
      <w:pPr>
        <w:pStyle w:val="Appendix"/>
        <w:spacing w:after="0"/>
        <w:jc w:val="both"/>
        <w:rPr>
          <w:rFonts w:ascii="Arial" w:hAnsi="Arial" w:cs="Arial"/>
          <w:b w:val="0"/>
        </w:rPr>
      </w:pPr>
    </w:p>
    <w:p w14:paraId="4EFC82C5" w14:textId="5C925909" w:rsidR="007110EC" w:rsidRPr="00607E75" w:rsidRDefault="007110EC" w:rsidP="00441B6F">
      <w:pPr>
        <w:pStyle w:val="Appendix"/>
        <w:spacing w:after="0"/>
        <w:jc w:val="both"/>
        <w:rPr>
          <w:rFonts w:ascii="Arial" w:hAnsi="Arial" w:cs="Arial"/>
          <w:b w:val="0"/>
        </w:rPr>
      </w:pPr>
    </w:p>
    <w:p w14:paraId="58F3972E" w14:textId="59FF5AFD" w:rsidR="007110EC" w:rsidRPr="00607E75" w:rsidRDefault="007110EC" w:rsidP="00441B6F">
      <w:pPr>
        <w:pStyle w:val="Appendix"/>
        <w:spacing w:after="0"/>
        <w:jc w:val="both"/>
        <w:rPr>
          <w:rFonts w:ascii="Arial" w:hAnsi="Arial" w:cs="Arial"/>
          <w:b w:val="0"/>
        </w:rPr>
      </w:pPr>
    </w:p>
    <w:p w14:paraId="194D1441" w14:textId="77777777" w:rsidR="007110EC" w:rsidRPr="00607E75" w:rsidRDefault="007110EC" w:rsidP="00441B6F">
      <w:pPr>
        <w:pStyle w:val="Appendix"/>
        <w:spacing w:after="0"/>
        <w:jc w:val="both"/>
        <w:rPr>
          <w:rFonts w:ascii="Arial" w:hAnsi="Arial" w:cs="Arial"/>
          <w:b w:val="0"/>
        </w:rPr>
      </w:pPr>
    </w:p>
    <w:p w14:paraId="0A8281FC" w14:textId="7CCED1DF" w:rsidR="00B01FCD" w:rsidRPr="00607E75" w:rsidRDefault="00B01FCD" w:rsidP="00441B6F">
      <w:pPr>
        <w:pStyle w:val="Appendix"/>
        <w:spacing w:after="0"/>
        <w:jc w:val="both"/>
        <w:rPr>
          <w:rFonts w:ascii="Arial" w:hAnsi="Arial" w:cs="Arial"/>
          <w:b w:val="0"/>
        </w:rPr>
      </w:pPr>
    </w:p>
    <w:p w14:paraId="2F508735" w14:textId="77777777" w:rsidR="007110EC" w:rsidRPr="00607E75" w:rsidRDefault="007110EC" w:rsidP="00441B6F">
      <w:pPr>
        <w:pStyle w:val="Appendix"/>
        <w:spacing w:after="0"/>
        <w:jc w:val="both"/>
        <w:rPr>
          <w:rFonts w:ascii="Arial" w:hAnsi="Arial" w:cs="Arial"/>
          <w:b w:val="0"/>
        </w:rPr>
      </w:pPr>
    </w:p>
    <w:p w14:paraId="1F6B3E89" w14:textId="77777777" w:rsidR="007110EC" w:rsidRPr="00607E75" w:rsidRDefault="007110EC" w:rsidP="00441B6F">
      <w:pPr>
        <w:pStyle w:val="Appendix"/>
        <w:spacing w:after="0"/>
        <w:jc w:val="both"/>
        <w:rPr>
          <w:rFonts w:ascii="Arial" w:hAnsi="Arial" w:cs="Arial"/>
          <w:b w:val="0"/>
        </w:rPr>
      </w:pPr>
    </w:p>
    <w:p w14:paraId="612DA93F" w14:textId="77777777" w:rsidR="007110EC" w:rsidRPr="00607E75" w:rsidRDefault="007110EC" w:rsidP="00441B6F">
      <w:pPr>
        <w:pStyle w:val="Appendix"/>
        <w:spacing w:after="0"/>
        <w:jc w:val="both"/>
        <w:rPr>
          <w:rFonts w:ascii="Arial" w:hAnsi="Arial" w:cs="Arial"/>
          <w:b w:val="0"/>
        </w:rPr>
      </w:pPr>
    </w:p>
    <w:p w14:paraId="7DEB1B9E" w14:textId="77777777" w:rsidR="007110EC" w:rsidRPr="00607E75" w:rsidRDefault="007110EC" w:rsidP="00441B6F">
      <w:pPr>
        <w:pStyle w:val="Appendix"/>
        <w:spacing w:after="0"/>
        <w:jc w:val="both"/>
        <w:rPr>
          <w:rFonts w:ascii="Arial" w:hAnsi="Arial" w:cs="Arial"/>
          <w:b w:val="0"/>
        </w:rPr>
      </w:pPr>
    </w:p>
    <w:p w14:paraId="1BFC8450" w14:textId="77777777" w:rsidR="007110EC" w:rsidRPr="00607E75" w:rsidRDefault="007110EC" w:rsidP="00441B6F">
      <w:pPr>
        <w:pStyle w:val="Appendix"/>
        <w:spacing w:after="0"/>
        <w:jc w:val="both"/>
        <w:rPr>
          <w:rFonts w:ascii="Arial" w:hAnsi="Arial" w:cs="Arial"/>
          <w:b w:val="0"/>
        </w:rPr>
      </w:pPr>
    </w:p>
    <w:p w14:paraId="28143864" w14:textId="77777777" w:rsidR="007110EC" w:rsidRPr="00607E75" w:rsidRDefault="007110EC" w:rsidP="00441B6F">
      <w:pPr>
        <w:pStyle w:val="Appendix"/>
        <w:spacing w:after="0"/>
        <w:jc w:val="both"/>
        <w:rPr>
          <w:rFonts w:ascii="Arial" w:hAnsi="Arial" w:cs="Arial"/>
          <w:b w:val="0"/>
        </w:rPr>
      </w:pPr>
    </w:p>
    <w:p w14:paraId="68D535F5" w14:textId="77777777" w:rsidR="007110EC" w:rsidRPr="00607E75" w:rsidRDefault="007110EC" w:rsidP="00441B6F">
      <w:pPr>
        <w:pStyle w:val="Appendix"/>
        <w:spacing w:after="0"/>
        <w:jc w:val="both"/>
        <w:rPr>
          <w:rFonts w:ascii="Arial" w:hAnsi="Arial" w:cs="Arial"/>
          <w:b w:val="0"/>
        </w:rPr>
      </w:pPr>
    </w:p>
    <w:p w14:paraId="2D8DFD25" w14:textId="77777777" w:rsidR="007110EC" w:rsidRPr="00607E75" w:rsidRDefault="007110EC" w:rsidP="00441B6F">
      <w:pPr>
        <w:pStyle w:val="Appendix"/>
        <w:spacing w:after="0"/>
        <w:jc w:val="both"/>
        <w:rPr>
          <w:rFonts w:ascii="Arial" w:hAnsi="Arial" w:cs="Arial"/>
          <w:b w:val="0"/>
        </w:rPr>
      </w:pPr>
    </w:p>
    <w:p w14:paraId="188B7071" w14:textId="77777777" w:rsidR="007110EC" w:rsidRPr="00607E75" w:rsidRDefault="007110EC" w:rsidP="00441B6F">
      <w:pPr>
        <w:pStyle w:val="Appendix"/>
        <w:spacing w:after="0"/>
        <w:jc w:val="both"/>
        <w:rPr>
          <w:rFonts w:ascii="Arial" w:hAnsi="Arial" w:cs="Arial"/>
          <w:b w:val="0"/>
        </w:rPr>
      </w:pPr>
    </w:p>
    <w:p w14:paraId="741739FF" w14:textId="77777777" w:rsidR="007110EC" w:rsidRPr="00607E75" w:rsidRDefault="007110EC" w:rsidP="00441B6F">
      <w:pPr>
        <w:pStyle w:val="Appendix"/>
        <w:spacing w:after="0"/>
        <w:jc w:val="both"/>
        <w:rPr>
          <w:rFonts w:ascii="Arial" w:hAnsi="Arial" w:cs="Arial"/>
          <w:b w:val="0"/>
        </w:rPr>
      </w:pPr>
    </w:p>
    <w:p w14:paraId="3FFA8189" w14:textId="77777777" w:rsidR="007110EC" w:rsidRPr="00607E75" w:rsidRDefault="007110EC" w:rsidP="00441B6F">
      <w:pPr>
        <w:pStyle w:val="Appendix"/>
        <w:spacing w:after="0"/>
        <w:jc w:val="both"/>
        <w:rPr>
          <w:rFonts w:ascii="Arial" w:hAnsi="Arial" w:cs="Arial"/>
          <w:b w:val="0"/>
        </w:rPr>
      </w:pPr>
    </w:p>
    <w:p w14:paraId="5A8D1806" w14:textId="77777777" w:rsidR="007110EC" w:rsidRPr="00607E75" w:rsidRDefault="007110EC" w:rsidP="00441B6F">
      <w:pPr>
        <w:pStyle w:val="Appendix"/>
        <w:spacing w:after="0"/>
        <w:jc w:val="both"/>
        <w:rPr>
          <w:rFonts w:ascii="Arial" w:hAnsi="Arial" w:cs="Arial"/>
          <w:b w:val="0"/>
        </w:rPr>
      </w:pPr>
    </w:p>
    <w:p w14:paraId="3AB9A90F" w14:textId="77777777" w:rsidR="007110EC" w:rsidRPr="00607E75" w:rsidRDefault="007110EC" w:rsidP="00441B6F">
      <w:pPr>
        <w:pStyle w:val="Appendix"/>
        <w:spacing w:after="0"/>
        <w:jc w:val="both"/>
        <w:rPr>
          <w:rFonts w:ascii="Arial" w:hAnsi="Arial" w:cs="Arial"/>
          <w:b w:val="0"/>
        </w:rPr>
      </w:pPr>
    </w:p>
    <w:p w14:paraId="2D03FA04" w14:textId="77777777" w:rsidR="007110EC" w:rsidRPr="00607E75" w:rsidRDefault="007110EC" w:rsidP="00441B6F">
      <w:pPr>
        <w:pStyle w:val="Appendix"/>
        <w:spacing w:after="0"/>
        <w:jc w:val="both"/>
        <w:rPr>
          <w:rFonts w:ascii="Arial" w:hAnsi="Arial" w:cs="Arial"/>
          <w:b w:val="0"/>
        </w:rPr>
      </w:pPr>
    </w:p>
    <w:p w14:paraId="7C12F8E5" w14:textId="77777777" w:rsidR="007110EC" w:rsidRPr="00607E75" w:rsidRDefault="007110EC" w:rsidP="00441B6F">
      <w:pPr>
        <w:pStyle w:val="Appendix"/>
        <w:spacing w:after="0"/>
        <w:jc w:val="both"/>
        <w:rPr>
          <w:rFonts w:ascii="Arial" w:hAnsi="Arial" w:cs="Arial"/>
          <w:b w:val="0"/>
        </w:rPr>
      </w:pPr>
    </w:p>
    <w:p w14:paraId="267BCB10" w14:textId="407601CE" w:rsidR="007110EC" w:rsidRPr="00607E75" w:rsidRDefault="007110EC" w:rsidP="00441B6F">
      <w:pPr>
        <w:pStyle w:val="Appendix"/>
        <w:spacing w:after="0"/>
        <w:jc w:val="both"/>
        <w:rPr>
          <w:rFonts w:ascii="Arial" w:hAnsi="Arial" w:cs="Arial"/>
          <w:b w:val="0"/>
        </w:rPr>
      </w:pPr>
    </w:p>
    <w:p w14:paraId="664E4BEC" w14:textId="77777777" w:rsidR="007110EC" w:rsidRPr="00607E75" w:rsidRDefault="007110EC" w:rsidP="00441B6F">
      <w:pPr>
        <w:pStyle w:val="Appendix"/>
        <w:spacing w:after="0"/>
        <w:jc w:val="both"/>
        <w:rPr>
          <w:rFonts w:ascii="Arial" w:hAnsi="Arial" w:cs="Arial"/>
          <w:b w:val="0"/>
        </w:rPr>
      </w:pPr>
    </w:p>
    <w:p w14:paraId="5807F961" w14:textId="77777777" w:rsidR="007110EC" w:rsidRPr="00607E75" w:rsidRDefault="007110EC" w:rsidP="00441B6F">
      <w:pPr>
        <w:pStyle w:val="Appendix"/>
        <w:spacing w:after="0"/>
        <w:jc w:val="both"/>
        <w:rPr>
          <w:rFonts w:ascii="Arial" w:hAnsi="Arial" w:cs="Arial"/>
          <w:b w:val="0"/>
        </w:rPr>
      </w:pPr>
    </w:p>
    <w:p w14:paraId="5FBC2F67" w14:textId="77777777" w:rsidR="007110EC" w:rsidRPr="00607E75" w:rsidRDefault="007110EC" w:rsidP="00441B6F">
      <w:pPr>
        <w:pStyle w:val="Appendix"/>
        <w:spacing w:after="0"/>
        <w:jc w:val="both"/>
        <w:rPr>
          <w:rFonts w:ascii="Arial" w:hAnsi="Arial" w:cs="Arial"/>
          <w:b w:val="0"/>
        </w:rPr>
      </w:pPr>
    </w:p>
    <w:p w14:paraId="07AD4434" w14:textId="77777777" w:rsidR="007110EC" w:rsidRPr="00607E75" w:rsidRDefault="007110EC" w:rsidP="00441B6F">
      <w:pPr>
        <w:pStyle w:val="Appendix"/>
        <w:spacing w:after="0"/>
        <w:jc w:val="both"/>
        <w:rPr>
          <w:rFonts w:ascii="Arial" w:hAnsi="Arial" w:cs="Arial"/>
          <w:b w:val="0"/>
        </w:rPr>
      </w:pPr>
    </w:p>
    <w:p w14:paraId="3C426ED3" w14:textId="77777777" w:rsidR="007110EC" w:rsidRPr="00607E75" w:rsidRDefault="007110EC" w:rsidP="00441B6F">
      <w:pPr>
        <w:pStyle w:val="Appendix"/>
        <w:spacing w:after="0"/>
        <w:jc w:val="both"/>
        <w:rPr>
          <w:rFonts w:ascii="Arial" w:hAnsi="Arial" w:cs="Arial"/>
          <w:b w:val="0"/>
        </w:rPr>
      </w:pPr>
    </w:p>
    <w:p w14:paraId="02E273EC" w14:textId="77777777" w:rsidR="007110EC" w:rsidRPr="00607E75" w:rsidRDefault="007110EC" w:rsidP="00441B6F">
      <w:pPr>
        <w:pStyle w:val="Appendix"/>
        <w:spacing w:after="0"/>
        <w:jc w:val="both"/>
        <w:rPr>
          <w:rFonts w:ascii="Arial" w:hAnsi="Arial" w:cs="Arial"/>
          <w:b w:val="0"/>
        </w:rPr>
      </w:pPr>
    </w:p>
    <w:p w14:paraId="0F000443" w14:textId="77777777" w:rsidR="007110EC" w:rsidRPr="00607E75" w:rsidRDefault="007110EC" w:rsidP="00441B6F">
      <w:pPr>
        <w:pStyle w:val="Appendix"/>
        <w:spacing w:after="0"/>
        <w:jc w:val="both"/>
        <w:rPr>
          <w:rFonts w:ascii="Arial" w:hAnsi="Arial" w:cs="Arial"/>
          <w:b w:val="0"/>
        </w:rPr>
      </w:pPr>
    </w:p>
    <w:p w14:paraId="754EF546" w14:textId="77777777" w:rsidR="007110EC" w:rsidRPr="00607E75" w:rsidRDefault="007110EC" w:rsidP="00441B6F">
      <w:pPr>
        <w:pStyle w:val="Appendix"/>
        <w:spacing w:after="0"/>
        <w:jc w:val="both"/>
        <w:rPr>
          <w:rFonts w:ascii="Arial" w:hAnsi="Arial" w:cs="Arial"/>
          <w:b w:val="0"/>
        </w:rPr>
      </w:pPr>
    </w:p>
    <w:p w14:paraId="60A7D99F" w14:textId="77777777" w:rsidR="007110EC" w:rsidRPr="00607E75" w:rsidRDefault="007110EC" w:rsidP="00441B6F">
      <w:pPr>
        <w:pStyle w:val="Appendix"/>
        <w:spacing w:after="0"/>
        <w:jc w:val="both"/>
        <w:rPr>
          <w:rFonts w:ascii="Arial" w:hAnsi="Arial" w:cs="Arial"/>
          <w:b w:val="0"/>
        </w:rPr>
      </w:pPr>
    </w:p>
    <w:p w14:paraId="15A5BAC0" w14:textId="77777777" w:rsidR="007110EC" w:rsidRPr="00607E75" w:rsidRDefault="007110EC" w:rsidP="00441B6F">
      <w:pPr>
        <w:pStyle w:val="Appendix"/>
        <w:spacing w:after="0"/>
        <w:jc w:val="both"/>
        <w:rPr>
          <w:rFonts w:ascii="Arial" w:hAnsi="Arial" w:cs="Arial"/>
          <w:b w:val="0"/>
        </w:rPr>
      </w:pPr>
    </w:p>
    <w:p w14:paraId="217C0306" w14:textId="77777777" w:rsidR="007110EC" w:rsidRPr="00607E75" w:rsidRDefault="007110EC" w:rsidP="00441B6F">
      <w:pPr>
        <w:pStyle w:val="Appendix"/>
        <w:spacing w:after="0"/>
        <w:jc w:val="both"/>
        <w:rPr>
          <w:rFonts w:ascii="Arial" w:hAnsi="Arial" w:cs="Arial"/>
          <w:b w:val="0"/>
        </w:rPr>
      </w:pPr>
    </w:p>
    <w:p w14:paraId="145A829A" w14:textId="77777777" w:rsidR="007110EC" w:rsidRPr="00607E75" w:rsidRDefault="007110EC" w:rsidP="00441B6F">
      <w:pPr>
        <w:pStyle w:val="Appendix"/>
        <w:spacing w:after="0"/>
        <w:jc w:val="both"/>
        <w:rPr>
          <w:rFonts w:ascii="Arial" w:hAnsi="Arial" w:cs="Arial"/>
          <w:b w:val="0"/>
        </w:rPr>
      </w:pPr>
    </w:p>
    <w:p w14:paraId="14ADB8E7" w14:textId="77777777" w:rsidR="007110EC" w:rsidRPr="00607E75" w:rsidRDefault="007110EC" w:rsidP="00441B6F">
      <w:pPr>
        <w:pStyle w:val="Appendix"/>
        <w:spacing w:after="0"/>
        <w:jc w:val="both"/>
        <w:rPr>
          <w:rFonts w:ascii="Arial" w:hAnsi="Arial" w:cs="Arial"/>
          <w:b w:val="0"/>
        </w:rPr>
      </w:pPr>
    </w:p>
    <w:p w14:paraId="179A04B7" w14:textId="77777777" w:rsidR="007110EC" w:rsidRPr="00607E75" w:rsidRDefault="007110EC" w:rsidP="00441B6F">
      <w:pPr>
        <w:pStyle w:val="Appendix"/>
        <w:spacing w:after="0"/>
        <w:jc w:val="both"/>
        <w:rPr>
          <w:rFonts w:ascii="Arial" w:hAnsi="Arial" w:cs="Arial"/>
          <w:b w:val="0"/>
        </w:rPr>
      </w:pPr>
    </w:p>
    <w:p w14:paraId="69F959C5" w14:textId="77777777" w:rsidR="007110EC" w:rsidRPr="00607E75" w:rsidRDefault="007110EC" w:rsidP="00441B6F">
      <w:pPr>
        <w:pStyle w:val="Appendix"/>
        <w:spacing w:after="0"/>
        <w:jc w:val="both"/>
        <w:rPr>
          <w:rFonts w:ascii="Arial" w:hAnsi="Arial" w:cs="Arial"/>
          <w:b w:val="0"/>
        </w:rPr>
      </w:pPr>
    </w:p>
    <w:p w14:paraId="398B2829" w14:textId="77777777" w:rsidR="007110EC" w:rsidRPr="00607E75" w:rsidRDefault="007110EC" w:rsidP="00441B6F">
      <w:pPr>
        <w:pStyle w:val="Appendix"/>
        <w:spacing w:after="0"/>
        <w:jc w:val="both"/>
        <w:rPr>
          <w:rFonts w:ascii="Arial" w:hAnsi="Arial" w:cs="Arial"/>
          <w:b w:val="0"/>
        </w:rPr>
      </w:pPr>
    </w:p>
    <w:p w14:paraId="7710AF91" w14:textId="77777777" w:rsidR="007110EC" w:rsidRPr="00607E75" w:rsidRDefault="007110EC" w:rsidP="00441B6F">
      <w:pPr>
        <w:pStyle w:val="Appendix"/>
        <w:spacing w:after="0"/>
        <w:jc w:val="both"/>
        <w:rPr>
          <w:rFonts w:ascii="Arial" w:hAnsi="Arial" w:cs="Arial"/>
          <w:b w:val="0"/>
        </w:rPr>
      </w:pPr>
    </w:p>
    <w:p w14:paraId="0F2FA685" w14:textId="77777777" w:rsidR="007110EC" w:rsidRPr="00607E75" w:rsidRDefault="007110EC" w:rsidP="00441B6F">
      <w:pPr>
        <w:pStyle w:val="Appendix"/>
        <w:spacing w:after="0"/>
        <w:jc w:val="both"/>
        <w:rPr>
          <w:rFonts w:ascii="Arial" w:hAnsi="Arial" w:cs="Arial"/>
          <w:b w:val="0"/>
        </w:rPr>
      </w:pPr>
    </w:p>
    <w:p w14:paraId="3C2AEB39" w14:textId="77777777" w:rsidR="007110EC" w:rsidRPr="00607E75" w:rsidRDefault="007110EC" w:rsidP="00441B6F">
      <w:pPr>
        <w:pStyle w:val="Appendix"/>
        <w:spacing w:after="0"/>
        <w:jc w:val="both"/>
        <w:rPr>
          <w:rFonts w:ascii="Arial" w:hAnsi="Arial" w:cs="Arial"/>
          <w:b w:val="0"/>
        </w:rPr>
      </w:pPr>
    </w:p>
    <w:p w14:paraId="126B41B7" w14:textId="77777777" w:rsidR="007110EC" w:rsidRPr="00607E75" w:rsidRDefault="007110EC" w:rsidP="00441B6F">
      <w:pPr>
        <w:pStyle w:val="Appendix"/>
        <w:spacing w:after="0"/>
        <w:jc w:val="both"/>
        <w:rPr>
          <w:rFonts w:ascii="Arial" w:hAnsi="Arial" w:cs="Arial"/>
          <w:b w:val="0"/>
        </w:rPr>
      </w:pPr>
    </w:p>
    <w:p w14:paraId="329D235A" w14:textId="77777777" w:rsidR="007110EC" w:rsidRPr="00607E75" w:rsidRDefault="007110EC" w:rsidP="00441B6F">
      <w:pPr>
        <w:pStyle w:val="Appendix"/>
        <w:spacing w:after="0"/>
        <w:jc w:val="both"/>
        <w:rPr>
          <w:rFonts w:ascii="Arial" w:hAnsi="Arial" w:cs="Arial"/>
          <w:b w:val="0"/>
        </w:rPr>
      </w:pPr>
    </w:p>
    <w:p w14:paraId="221CD0B4" w14:textId="77777777" w:rsidR="007110EC" w:rsidRPr="00607E75" w:rsidRDefault="007110EC" w:rsidP="00441B6F">
      <w:pPr>
        <w:pStyle w:val="Appendix"/>
        <w:spacing w:after="0"/>
        <w:jc w:val="both"/>
        <w:rPr>
          <w:rFonts w:ascii="Arial" w:hAnsi="Arial" w:cs="Arial"/>
          <w:b w:val="0"/>
        </w:rPr>
      </w:pPr>
    </w:p>
    <w:p w14:paraId="0312AD46" w14:textId="77777777" w:rsidR="007110EC" w:rsidRPr="00607E75" w:rsidRDefault="007110EC" w:rsidP="00441B6F">
      <w:pPr>
        <w:pStyle w:val="Appendix"/>
        <w:spacing w:after="0"/>
        <w:jc w:val="both"/>
        <w:rPr>
          <w:rFonts w:ascii="Arial" w:hAnsi="Arial" w:cs="Arial"/>
          <w:b w:val="0"/>
        </w:rPr>
      </w:pPr>
    </w:p>
    <w:p w14:paraId="7D821BB7" w14:textId="77777777" w:rsidR="007110EC" w:rsidRPr="00607E75" w:rsidRDefault="007110EC" w:rsidP="00441B6F">
      <w:pPr>
        <w:pStyle w:val="Appendix"/>
        <w:spacing w:after="0"/>
        <w:jc w:val="both"/>
        <w:rPr>
          <w:rFonts w:ascii="Arial" w:hAnsi="Arial" w:cs="Arial"/>
          <w:b w:val="0"/>
        </w:rPr>
      </w:pPr>
    </w:p>
    <w:p w14:paraId="619362A6" w14:textId="77777777" w:rsidR="007110EC" w:rsidRPr="00607E75" w:rsidRDefault="007110EC" w:rsidP="00441B6F">
      <w:pPr>
        <w:pStyle w:val="Appendix"/>
        <w:spacing w:after="0"/>
        <w:jc w:val="both"/>
        <w:rPr>
          <w:rFonts w:ascii="Arial" w:hAnsi="Arial" w:cs="Arial"/>
          <w:b w:val="0"/>
        </w:rPr>
      </w:pPr>
    </w:p>
    <w:p w14:paraId="4B9B08B2" w14:textId="77777777" w:rsidR="007110EC" w:rsidRPr="00607E75" w:rsidRDefault="007110EC" w:rsidP="00441B6F">
      <w:pPr>
        <w:pStyle w:val="Appendix"/>
        <w:spacing w:after="0"/>
        <w:jc w:val="both"/>
        <w:rPr>
          <w:rFonts w:ascii="Arial" w:hAnsi="Arial" w:cs="Arial"/>
          <w:b w:val="0"/>
        </w:rPr>
      </w:pPr>
    </w:p>
    <w:p w14:paraId="229B5582" w14:textId="77777777" w:rsidR="007110EC" w:rsidRPr="00607E75" w:rsidRDefault="007110EC" w:rsidP="00441B6F">
      <w:pPr>
        <w:pStyle w:val="Appendix"/>
        <w:spacing w:after="0"/>
        <w:jc w:val="both"/>
        <w:rPr>
          <w:rFonts w:ascii="Arial" w:hAnsi="Arial" w:cs="Arial"/>
          <w:b w:val="0"/>
        </w:rPr>
      </w:pPr>
    </w:p>
    <w:p w14:paraId="31015079" w14:textId="77777777" w:rsidR="007110EC" w:rsidRPr="00607E75" w:rsidRDefault="007110EC" w:rsidP="00441B6F">
      <w:pPr>
        <w:pStyle w:val="Appendix"/>
        <w:spacing w:after="0"/>
        <w:jc w:val="both"/>
        <w:rPr>
          <w:rFonts w:ascii="Arial" w:hAnsi="Arial" w:cs="Arial"/>
          <w:b w:val="0"/>
        </w:rPr>
      </w:pPr>
    </w:p>
    <w:p w14:paraId="5A4FCDCF" w14:textId="77777777" w:rsidR="007110EC" w:rsidRPr="00607E75" w:rsidRDefault="007110EC" w:rsidP="00441B6F">
      <w:pPr>
        <w:pStyle w:val="Appendix"/>
        <w:spacing w:after="0"/>
        <w:jc w:val="both"/>
        <w:rPr>
          <w:rFonts w:ascii="Arial" w:hAnsi="Arial" w:cs="Arial"/>
          <w:b w:val="0"/>
        </w:rPr>
      </w:pPr>
    </w:p>
    <w:p w14:paraId="50B192F8" w14:textId="77777777" w:rsidR="007110EC" w:rsidRPr="00607E75" w:rsidRDefault="007110EC" w:rsidP="00441B6F">
      <w:pPr>
        <w:pStyle w:val="Appendix"/>
        <w:spacing w:after="0"/>
        <w:jc w:val="both"/>
        <w:rPr>
          <w:rFonts w:ascii="Arial" w:hAnsi="Arial" w:cs="Arial"/>
          <w:b w:val="0"/>
        </w:rPr>
      </w:pPr>
    </w:p>
    <w:p w14:paraId="73D9141F" w14:textId="77777777" w:rsidR="007110EC" w:rsidRPr="00607E75" w:rsidRDefault="007110EC" w:rsidP="00441B6F">
      <w:pPr>
        <w:pStyle w:val="Appendix"/>
        <w:spacing w:after="0"/>
        <w:jc w:val="both"/>
        <w:rPr>
          <w:rFonts w:ascii="Arial" w:hAnsi="Arial" w:cs="Arial"/>
          <w:b w:val="0"/>
        </w:rPr>
      </w:pPr>
    </w:p>
    <w:p w14:paraId="0509B3EC" w14:textId="77777777" w:rsidR="007110EC" w:rsidRPr="00607E75" w:rsidRDefault="007110EC" w:rsidP="00441B6F">
      <w:pPr>
        <w:pStyle w:val="Appendix"/>
        <w:spacing w:after="0"/>
        <w:jc w:val="both"/>
        <w:rPr>
          <w:rFonts w:ascii="Arial" w:hAnsi="Arial" w:cs="Arial"/>
          <w:b w:val="0"/>
        </w:rPr>
      </w:pPr>
    </w:p>
    <w:p w14:paraId="07AFC27D" w14:textId="77777777" w:rsidR="007110EC" w:rsidRPr="00607E75" w:rsidRDefault="007110EC" w:rsidP="00441B6F">
      <w:pPr>
        <w:pStyle w:val="Appendix"/>
        <w:spacing w:after="0"/>
        <w:jc w:val="both"/>
        <w:rPr>
          <w:rFonts w:ascii="Arial" w:hAnsi="Arial" w:cs="Arial"/>
          <w:b w:val="0"/>
        </w:rPr>
      </w:pPr>
    </w:p>
    <w:p w14:paraId="17A68A82" w14:textId="77777777" w:rsidR="007110EC" w:rsidRPr="00607E75" w:rsidRDefault="007110EC" w:rsidP="00441B6F">
      <w:pPr>
        <w:pStyle w:val="Appendix"/>
        <w:spacing w:after="0"/>
        <w:jc w:val="both"/>
        <w:rPr>
          <w:rFonts w:ascii="Arial" w:hAnsi="Arial" w:cs="Arial"/>
          <w:b w:val="0"/>
        </w:rPr>
      </w:pPr>
    </w:p>
    <w:p w14:paraId="1F37B780" w14:textId="61659AE0" w:rsidR="007110EC" w:rsidRPr="00607E75" w:rsidRDefault="007110EC" w:rsidP="00441B6F">
      <w:pPr>
        <w:pStyle w:val="Appendix"/>
        <w:spacing w:after="0"/>
        <w:jc w:val="both"/>
        <w:rPr>
          <w:rFonts w:ascii="Arial" w:hAnsi="Arial" w:cs="Arial"/>
          <w:b w:val="0"/>
        </w:rPr>
      </w:pPr>
    </w:p>
    <w:p w14:paraId="08DE5911" w14:textId="77777777" w:rsidR="007110EC" w:rsidRPr="00607E75" w:rsidRDefault="007110EC" w:rsidP="00441B6F">
      <w:pPr>
        <w:pStyle w:val="Appendix"/>
        <w:spacing w:after="0"/>
        <w:jc w:val="both"/>
        <w:rPr>
          <w:rFonts w:ascii="Arial" w:hAnsi="Arial" w:cs="Arial"/>
          <w:b w:val="0"/>
        </w:rPr>
      </w:pPr>
    </w:p>
    <w:p w14:paraId="6AD11C96" w14:textId="77777777" w:rsidR="007110EC" w:rsidRPr="00607E75" w:rsidRDefault="007110EC" w:rsidP="00441B6F">
      <w:pPr>
        <w:pStyle w:val="Appendix"/>
        <w:spacing w:after="0"/>
        <w:jc w:val="both"/>
        <w:rPr>
          <w:rFonts w:ascii="Arial" w:hAnsi="Arial" w:cs="Arial"/>
          <w:b w:val="0"/>
        </w:rPr>
      </w:pPr>
    </w:p>
    <w:p w14:paraId="1CB9943B" w14:textId="77777777" w:rsidR="007110EC" w:rsidRPr="00607E75" w:rsidRDefault="007110EC" w:rsidP="00441B6F">
      <w:pPr>
        <w:pStyle w:val="Appendix"/>
        <w:spacing w:after="0"/>
        <w:jc w:val="both"/>
        <w:rPr>
          <w:rFonts w:ascii="Arial" w:hAnsi="Arial" w:cs="Arial"/>
          <w:b w:val="0"/>
        </w:rPr>
      </w:pPr>
    </w:p>
    <w:p w14:paraId="393A5411" w14:textId="77777777" w:rsidR="007110EC" w:rsidRPr="00607E75" w:rsidRDefault="007110EC" w:rsidP="00441B6F">
      <w:pPr>
        <w:pStyle w:val="Appendix"/>
        <w:spacing w:after="0"/>
        <w:jc w:val="both"/>
        <w:rPr>
          <w:rFonts w:ascii="Arial" w:hAnsi="Arial" w:cs="Arial"/>
          <w:b w:val="0"/>
        </w:rPr>
      </w:pPr>
    </w:p>
    <w:p w14:paraId="6D19D4D3" w14:textId="77777777" w:rsidR="007110EC" w:rsidRPr="00607E75" w:rsidRDefault="007110EC" w:rsidP="00441B6F">
      <w:pPr>
        <w:pStyle w:val="Appendix"/>
        <w:spacing w:after="0"/>
        <w:jc w:val="both"/>
        <w:rPr>
          <w:rFonts w:ascii="Arial" w:hAnsi="Arial" w:cs="Arial"/>
          <w:b w:val="0"/>
        </w:rPr>
      </w:pPr>
    </w:p>
    <w:p w14:paraId="401EA23E" w14:textId="77777777" w:rsidR="007110EC" w:rsidRPr="00607E75" w:rsidRDefault="007110EC" w:rsidP="00441B6F">
      <w:pPr>
        <w:pStyle w:val="Appendix"/>
        <w:spacing w:after="0"/>
        <w:jc w:val="both"/>
        <w:rPr>
          <w:rFonts w:ascii="Arial" w:hAnsi="Arial" w:cs="Arial"/>
          <w:b w:val="0"/>
        </w:rPr>
      </w:pPr>
    </w:p>
    <w:p w14:paraId="7AA8AAB5" w14:textId="77777777" w:rsidR="007110EC" w:rsidRPr="00607E75" w:rsidRDefault="007110EC" w:rsidP="00441B6F">
      <w:pPr>
        <w:pStyle w:val="Appendix"/>
        <w:spacing w:after="0"/>
        <w:jc w:val="both"/>
        <w:rPr>
          <w:rFonts w:ascii="Arial" w:hAnsi="Arial" w:cs="Arial"/>
          <w:b w:val="0"/>
        </w:rPr>
      </w:pPr>
    </w:p>
    <w:p w14:paraId="4A0B71E7" w14:textId="77777777" w:rsidR="007110EC" w:rsidRPr="00607E75" w:rsidRDefault="007110EC" w:rsidP="00441B6F">
      <w:pPr>
        <w:pStyle w:val="Appendix"/>
        <w:spacing w:after="0"/>
        <w:jc w:val="both"/>
        <w:rPr>
          <w:rFonts w:ascii="Arial" w:hAnsi="Arial" w:cs="Arial"/>
          <w:b w:val="0"/>
        </w:rPr>
      </w:pPr>
    </w:p>
    <w:p w14:paraId="6AB94DE5" w14:textId="2AA70FF8" w:rsidR="007110EC" w:rsidRPr="00607E75" w:rsidRDefault="007110EC" w:rsidP="00441B6F">
      <w:pPr>
        <w:pStyle w:val="Appendix"/>
        <w:spacing w:after="0"/>
        <w:jc w:val="both"/>
        <w:rPr>
          <w:rFonts w:ascii="Arial" w:hAnsi="Arial" w:cs="Arial"/>
          <w:b w:val="0"/>
        </w:rPr>
      </w:pPr>
    </w:p>
    <w:p w14:paraId="0347AE07" w14:textId="77777777" w:rsidR="007110EC" w:rsidRPr="00607E75" w:rsidRDefault="007110EC" w:rsidP="00441B6F">
      <w:pPr>
        <w:pStyle w:val="Appendix"/>
        <w:spacing w:after="0"/>
        <w:jc w:val="both"/>
        <w:rPr>
          <w:rFonts w:ascii="Arial" w:hAnsi="Arial" w:cs="Arial"/>
          <w:b w:val="0"/>
        </w:rPr>
      </w:pPr>
    </w:p>
    <w:p w14:paraId="2490B0C3" w14:textId="326774D9"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7456" behindDoc="0" locked="0" layoutInCell="1" allowOverlap="1" wp14:anchorId="45FA8179" wp14:editId="6945E0FF">
            <wp:simplePos x="0" y="0"/>
            <wp:positionH relativeFrom="column">
              <wp:posOffset>0</wp:posOffset>
            </wp:positionH>
            <wp:positionV relativeFrom="paragraph">
              <wp:posOffset>-1767205</wp:posOffset>
            </wp:positionV>
            <wp:extent cx="6221860" cy="7848600"/>
            <wp:effectExtent l="0" t="0" r="7620" b="0"/>
            <wp:wrapNone/>
            <wp:docPr id="72123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2633" name=""/>
                    <pic:cNvPicPr/>
                  </pic:nvPicPr>
                  <pic:blipFill>
                    <a:blip r:embed="rId53">
                      <a:extLst>
                        <a:ext uri="{28A0092B-C50C-407E-A947-70E740481C1C}">
                          <a14:useLocalDpi xmlns:a14="http://schemas.microsoft.com/office/drawing/2010/main" val="0"/>
                        </a:ext>
                      </a:extLst>
                    </a:blip>
                    <a:stretch>
                      <a:fillRect/>
                    </a:stretch>
                  </pic:blipFill>
                  <pic:spPr>
                    <a:xfrm>
                      <a:off x="0" y="0"/>
                      <a:ext cx="6221860" cy="7848600"/>
                    </a:xfrm>
                    <a:prstGeom prst="rect">
                      <a:avLst/>
                    </a:prstGeom>
                  </pic:spPr>
                </pic:pic>
              </a:graphicData>
            </a:graphic>
          </wp:anchor>
        </w:drawing>
      </w:r>
    </w:p>
    <w:p w14:paraId="6649A288" w14:textId="66034091" w:rsidR="007110EC" w:rsidRPr="00607E75" w:rsidRDefault="007110EC" w:rsidP="00441B6F">
      <w:pPr>
        <w:pStyle w:val="Appendix"/>
        <w:spacing w:after="0"/>
        <w:jc w:val="both"/>
        <w:rPr>
          <w:rFonts w:ascii="Arial" w:hAnsi="Arial" w:cs="Arial"/>
          <w:b w:val="0"/>
        </w:rPr>
      </w:pPr>
    </w:p>
    <w:p w14:paraId="74C79FE8" w14:textId="77777777" w:rsidR="007110EC" w:rsidRPr="00607E75" w:rsidRDefault="007110EC" w:rsidP="00441B6F">
      <w:pPr>
        <w:pStyle w:val="Appendix"/>
        <w:spacing w:after="0"/>
        <w:jc w:val="both"/>
        <w:rPr>
          <w:rFonts w:ascii="Arial" w:hAnsi="Arial" w:cs="Arial"/>
          <w:b w:val="0"/>
        </w:rPr>
      </w:pPr>
    </w:p>
    <w:p w14:paraId="7603B236" w14:textId="77777777" w:rsidR="007110EC" w:rsidRPr="00607E75" w:rsidRDefault="007110EC" w:rsidP="00441B6F">
      <w:pPr>
        <w:pStyle w:val="Appendix"/>
        <w:spacing w:after="0"/>
        <w:jc w:val="both"/>
        <w:rPr>
          <w:rFonts w:ascii="Arial" w:hAnsi="Arial" w:cs="Arial"/>
          <w:b w:val="0"/>
        </w:rPr>
      </w:pPr>
    </w:p>
    <w:p w14:paraId="2BA5BB83" w14:textId="77777777" w:rsidR="007110EC" w:rsidRPr="00607E75" w:rsidRDefault="007110EC" w:rsidP="00441B6F">
      <w:pPr>
        <w:pStyle w:val="Appendix"/>
        <w:spacing w:after="0"/>
        <w:jc w:val="both"/>
        <w:rPr>
          <w:rFonts w:ascii="Arial" w:hAnsi="Arial" w:cs="Arial"/>
          <w:b w:val="0"/>
        </w:rPr>
      </w:pPr>
    </w:p>
    <w:p w14:paraId="18B6ED85" w14:textId="77777777" w:rsidR="007110EC" w:rsidRPr="00607E75" w:rsidRDefault="007110EC" w:rsidP="00441B6F">
      <w:pPr>
        <w:pStyle w:val="Appendix"/>
        <w:spacing w:after="0"/>
        <w:jc w:val="both"/>
        <w:rPr>
          <w:rFonts w:ascii="Arial" w:hAnsi="Arial" w:cs="Arial"/>
          <w:b w:val="0"/>
        </w:rPr>
      </w:pPr>
    </w:p>
    <w:p w14:paraId="02B6E39B" w14:textId="77777777" w:rsidR="007110EC" w:rsidRPr="00607E75" w:rsidRDefault="007110EC" w:rsidP="00441B6F">
      <w:pPr>
        <w:pStyle w:val="Appendix"/>
        <w:spacing w:after="0"/>
        <w:jc w:val="both"/>
        <w:rPr>
          <w:rFonts w:ascii="Arial" w:hAnsi="Arial" w:cs="Arial"/>
          <w:b w:val="0"/>
        </w:rPr>
      </w:pPr>
    </w:p>
    <w:p w14:paraId="6F567606" w14:textId="77777777" w:rsidR="007110EC" w:rsidRPr="00607E75" w:rsidRDefault="007110EC" w:rsidP="00441B6F">
      <w:pPr>
        <w:pStyle w:val="Appendix"/>
        <w:spacing w:after="0"/>
        <w:jc w:val="both"/>
        <w:rPr>
          <w:rFonts w:ascii="Arial" w:hAnsi="Arial" w:cs="Arial"/>
          <w:b w:val="0"/>
        </w:rPr>
      </w:pPr>
    </w:p>
    <w:p w14:paraId="4103DD32" w14:textId="77777777" w:rsidR="007110EC" w:rsidRPr="00607E75" w:rsidRDefault="007110EC" w:rsidP="00441B6F">
      <w:pPr>
        <w:pStyle w:val="Appendix"/>
        <w:spacing w:after="0"/>
        <w:jc w:val="both"/>
        <w:rPr>
          <w:rFonts w:ascii="Arial" w:hAnsi="Arial" w:cs="Arial"/>
          <w:b w:val="0"/>
        </w:rPr>
      </w:pPr>
    </w:p>
    <w:p w14:paraId="3E0212A7" w14:textId="77777777" w:rsidR="007110EC" w:rsidRPr="00607E75" w:rsidRDefault="007110EC" w:rsidP="00441B6F">
      <w:pPr>
        <w:pStyle w:val="Appendix"/>
        <w:spacing w:after="0"/>
        <w:jc w:val="both"/>
        <w:rPr>
          <w:rFonts w:ascii="Arial" w:hAnsi="Arial" w:cs="Arial"/>
          <w:b w:val="0"/>
        </w:rPr>
      </w:pPr>
    </w:p>
    <w:p w14:paraId="15C1645F" w14:textId="77777777" w:rsidR="007110EC" w:rsidRPr="00607E75" w:rsidRDefault="007110EC" w:rsidP="00441B6F">
      <w:pPr>
        <w:pStyle w:val="Appendix"/>
        <w:spacing w:after="0"/>
        <w:jc w:val="both"/>
        <w:rPr>
          <w:rFonts w:ascii="Arial" w:hAnsi="Arial" w:cs="Arial"/>
          <w:b w:val="0"/>
        </w:rPr>
      </w:pPr>
    </w:p>
    <w:p w14:paraId="3FCB4DA1" w14:textId="77777777" w:rsidR="007110EC" w:rsidRPr="00607E75" w:rsidRDefault="007110EC" w:rsidP="00441B6F">
      <w:pPr>
        <w:pStyle w:val="Appendix"/>
        <w:spacing w:after="0"/>
        <w:jc w:val="both"/>
        <w:rPr>
          <w:rFonts w:ascii="Arial" w:hAnsi="Arial" w:cs="Arial"/>
          <w:b w:val="0"/>
        </w:rPr>
      </w:pPr>
    </w:p>
    <w:p w14:paraId="5C4EA99C" w14:textId="77777777" w:rsidR="007110EC" w:rsidRPr="00607E75" w:rsidRDefault="007110EC" w:rsidP="00441B6F">
      <w:pPr>
        <w:pStyle w:val="Appendix"/>
        <w:spacing w:after="0"/>
        <w:jc w:val="both"/>
        <w:rPr>
          <w:rFonts w:ascii="Arial" w:hAnsi="Arial" w:cs="Arial"/>
          <w:b w:val="0"/>
        </w:rPr>
      </w:pPr>
    </w:p>
    <w:p w14:paraId="324C9061" w14:textId="77777777" w:rsidR="007110EC" w:rsidRPr="00607E75" w:rsidRDefault="007110EC" w:rsidP="00441B6F">
      <w:pPr>
        <w:pStyle w:val="Appendix"/>
        <w:spacing w:after="0"/>
        <w:jc w:val="both"/>
        <w:rPr>
          <w:rFonts w:ascii="Arial" w:hAnsi="Arial" w:cs="Arial"/>
          <w:b w:val="0"/>
        </w:rPr>
      </w:pPr>
    </w:p>
    <w:p w14:paraId="686BFED4" w14:textId="77777777" w:rsidR="007110EC" w:rsidRPr="00607E75" w:rsidRDefault="007110EC" w:rsidP="00441B6F">
      <w:pPr>
        <w:pStyle w:val="Appendix"/>
        <w:spacing w:after="0"/>
        <w:jc w:val="both"/>
        <w:rPr>
          <w:rFonts w:ascii="Arial" w:hAnsi="Arial" w:cs="Arial"/>
          <w:b w:val="0"/>
        </w:rPr>
      </w:pPr>
    </w:p>
    <w:p w14:paraId="48E0F7FB" w14:textId="77777777" w:rsidR="007110EC" w:rsidRPr="00607E75" w:rsidRDefault="007110EC" w:rsidP="00441B6F">
      <w:pPr>
        <w:pStyle w:val="Appendix"/>
        <w:spacing w:after="0"/>
        <w:jc w:val="both"/>
        <w:rPr>
          <w:rFonts w:ascii="Arial" w:hAnsi="Arial" w:cs="Arial"/>
          <w:b w:val="0"/>
        </w:rPr>
      </w:pPr>
    </w:p>
    <w:p w14:paraId="66998E74" w14:textId="77777777" w:rsidR="007110EC" w:rsidRPr="00607E75" w:rsidRDefault="007110EC" w:rsidP="00441B6F">
      <w:pPr>
        <w:pStyle w:val="Appendix"/>
        <w:spacing w:after="0"/>
        <w:jc w:val="both"/>
        <w:rPr>
          <w:rFonts w:ascii="Arial" w:hAnsi="Arial" w:cs="Arial"/>
          <w:b w:val="0"/>
        </w:rPr>
      </w:pPr>
    </w:p>
    <w:p w14:paraId="20DE09F6" w14:textId="77777777" w:rsidR="007110EC" w:rsidRPr="00607E75" w:rsidRDefault="007110EC" w:rsidP="00441B6F">
      <w:pPr>
        <w:pStyle w:val="Appendix"/>
        <w:spacing w:after="0"/>
        <w:jc w:val="both"/>
        <w:rPr>
          <w:rFonts w:ascii="Arial" w:hAnsi="Arial" w:cs="Arial"/>
          <w:b w:val="0"/>
        </w:rPr>
      </w:pPr>
    </w:p>
    <w:p w14:paraId="09A2CADB" w14:textId="77777777" w:rsidR="007110EC" w:rsidRPr="00607E75" w:rsidRDefault="007110EC" w:rsidP="00441B6F">
      <w:pPr>
        <w:pStyle w:val="Appendix"/>
        <w:spacing w:after="0"/>
        <w:jc w:val="both"/>
        <w:rPr>
          <w:rFonts w:ascii="Arial" w:hAnsi="Arial" w:cs="Arial"/>
          <w:b w:val="0"/>
        </w:rPr>
      </w:pPr>
    </w:p>
    <w:p w14:paraId="03C3BDC4" w14:textId="77777777" w:rsidR="007110EC" w:rsidRPr="00607E75" w:rsidRDefault="007110EC" w:rsidP="00441B6F">
      <w:pPr>
        <w:pStyle w:val="Appendix"/>
        <w:spacing w:after="0"/>
        <w:jc w:val="both"/>
        <w:rPr>
          <w:rFonts w:ascii="Arial" w:hAnsi="Arial" w:cs="Arial"/>
          <w:b w:val="0"/>
        </w:rPr>
      </w:pPr>
    </w:p>
    <w:p w14:paraId="39CB41BD" w14:textId="77777777" w:rsidR="007110EC" w:rsidRPr="00607E75" w:rsidRDefault="007110EC" w:rsidP="00441B6F">
      <w:pPr>
        <w:pStyle w:val="Appendix"/>
        <w:spacing w:after="0"/>
        <w:jc w:val="both"/>
        <w:rPr>
          <w:rFonts w:ascii="Arial" w:hAnsi="Arial" w:cs="Arial"/>
          <w:b w:val="0"/>
        </w:rPr>
      </w:pPr>
    </w:p>
    <w:p w14:paraId="3D57E929" w14:textId="77777777" w:rsidR="007110EC" w:rsidRPr="00607E75" w:rsidRDefault="007110EC" w:rsidP="00441B6F">
      <w:pPr>
        <w:pStyle w:val="Appendix"/>
        <w:spacing w:after="0"/>
        <w:jc w:val="both"/>
        <w:rPr>
          <w:rFonts w:ascii="Arial" w:hAnsi="Arial" w:cs="Arial"/>
          <w:b w:val="0"/>
        </w:rPr>
      </w:pPr>
    </w:p>
    <w:p w14:paraId="55E6D582" w14:textId="77777777" w:rsidR="007110EC" w:rsidRPr="00607E75" w:rsidRDefault="007110EC" w:rsidP="00441B6F">
      <w:pPr>
        <w:pStyle w:val="Appendix"/>
        <w:spacing w:after="0"/>
        <w:jc w:val="both"/>
        <w:rPr>
          <w:rFonts w:ascii="Arial" w:hAnsi="Arial" w:cs="Arial"/>
          <w:b w:val="0"/>
        </w:rPr>
      </w:pPr>
    </w:p>
    <w:p w14:paraId="4E332BC9" w14:textId="77777777" w:rsidR="007110EC" w:rsidRPr="00607E75" w:rsidRDefault="007110EC" w:rsidP="00441B6F">
      <w:pPr>
        <w:pStyle w:val="Appendix"/>
        <w:spacing w:after="0"/>
        <w:jc w:val="both"/>
        <w:rPr>
          <w:rFonts w:ascii="Arial" w:hAnsi="Arial" w:cs="Arial"/>
          <w:b w:val="0"/>
        </w:rPr>
      </w:pPr>
    </w:p>
    <w:p w14:paraId="0DB4E7CC" w14:textId="77777777" w:rsidR="007110EC" w:rsidRPr="00607E75" w:rsidRDefault="007110EC" w:rsidP="00441B6F">
      <w:pPr>
        <w:pStyle w:val="Appendix"/>
        <w:spacing w:after="0"/>
        <w:jc w:val="both"/>
        <w:rPr>
          <w:rFonts w:ascii="Arial" w:hAnsi="Arial" w:cs="Arial"/>
          <w:b w:val="0"/>
        </w:rPr>
      </w:pPr>
    </w:p>
    <w:p w14:paraId="014BF961" w14:textId="77777777" w:rsidR="007110EC" w:rsidRPr="00607E75" w:rsidRDefault="007110EC" w:rsidP="00441B6F">
      <w:pPr>
        <w:pStyle w:val="Appendix"/>
        <w:spacing w:after="0"/>
        <w:jc w:val="both"/>
        <w:rPr>
          <w:rFonts w:ascii="Arial" w:hAnsi="Arial" w:cs="Arial"/>
          <w:b w:val="0"/>
        </w:rPr>
      </w:pPr>
    </w:p>
    <w:p w14:paraId="3D6E0C11" w14:textId="77777777" w:rsidR="007110EC" w:rsidRPr="00607E75" w:rsidRDefault="007110EC" w:rsidP="00441B6F">
      <w:pPr>
        <w:pStyle w:val="Appendix"/>
        <w:spacing w:after="0"/>
        <w:jc w:val="both"/>
        <w:rPr>
          <w:rFonts w:ascii="Arial" w:hAnsi="Arial" w:cs="Arial"/>
          <w:b w:val="0"/>
        </w:rPr>
      </w:pPr>
    </w:p>
    <w:p w14:paraId="1781971B" w14:textId="77777777" w:rsidR="007110EC" w:rsidRPr="00607E75" w:rsidRDefault="007110EC" w:rsidP="00441B6F">
      <w:pPr>
        <w:pStyle w:val="Appendix"/>
        <w:spacing w:after="0"/>
        <w:jc w:val="both"/>
        <w:rPr>
          <w:rFonts w:ascii="Arial" w:hAnsi="Arial" w:cs="Arial"/>
          <w:b w:val="0"/>
        </w:rPr>
      </w:pPr>
    </w:p>
    <w:p w14:paraId="66590C56" w14:textId="77777777" w:rsidR="007110EC" w:rsidRPr="00607E75" w:rsidRDefault="007110EC" w:rsidP="00441B6F">
      <w:pPr>
        <w:pStyle w:val="Appendix"/>
        <w:spacing w:after="0"/>
        <w:jc w:val="both"/>
        <w:rPr>
          <w:rFonts w:ascii="Arial" w:hAnsi="Arial" w:cs="Arial"/>
          <w:b w:val="0"/>
        </w:rPr>
      </w:pPr>
    </w:p>
    <w:p w14:paraId="686A3C79" w14:textId="77777777" w:rsidR="007110EC" w:rsidRPr="00607E75" w:rsidRDefault="007110EC" w:rsidP="00441B6F">
      <w:pPr>
        <w:pStyle w:val="Appendix"/>
        <w:spacing w:after="0"/>
        <w:jc w:val="both"/>
        <w:rPr>
          <w:rFonts w:ascii="Arial" w:hAnsi="Arial" w:cs="Arial"/>
          <w:b w:val="0"/>
        </w:rPr>
      </w:pPr>
    </w:p>
    <w:p w14:paraId="2C67328C" w14:textId="77777777" w:rsidR="007110EC" w:rsidRPr="00607E75" w:rsidRDefault="007110EC" w:rsidP="00441B6F">
      <w:pPr>
        <w:pStyle w:val="Appendix"/>
        <w:spacing w:after="0"/>
        <w:jc w:val="both"/>
        <w:rPr>
          <w:rFonts w:ascii="Arial" w:hAnsi="Arial" w:cs="Arial"/>
          <w:b w:val="0"/>
        </w:rPr>
      </w:pPr>
    </w:p>
    <w:p w14:paraId="7320D1EF" w14:textId="77777777" w:rsidR="007110EC" w:rsidRPr="00607E75" w:rsidRDefault="007110EC" w:rsidP="00441B6F">
      <w:pPr>
        <w:pStyle w:val="Appendix"/>
        <w:spacing w:after="0"/>
        <w:jc w:val="both"/>
        <w:rPr>
          <w:rFonts w:ascii="Arial" w:hAnsi="Arial" w:cs="Arial"/>
          <w:b w:val="0"/>
        </w:rPr>
      </w:pPr>
    </w:p>
    <w:p w14:paraId="4A5D5E7B" w14:textId="77777777" w:rsidR="007110EC" w:rsidRPr="00607E75" w:rsidRDefault="007110EC" w:rsidP="00441B6F">
      <w:pPr>
        <w:pStyle w:val="Appendix"/>
        <w:spacing w:after="0"/>
        <w:jc w:val="both"/>
        <w:rPr>
          <w:rFonts w:ascii="Arial" w:hAnsi="Arial" w:cs="Arial"/>
          <w:b w:val="0"/>
        </w:rPr>
      </w:pPr>
    </w:p>
    <w:p w14:paraId="072F854C" w14:textId="77777777" w:rsidR="007110EC" w:rsidRPr="00607E75" w:rsidRDefault="007110EC" w:rsidP="00441B6F">
      <w:pPr>
        <w:pStyle w:val="Appendix"/>
        <w:spacing w:after="0"/>
        <w:jc w:val="both"/>
        <w:rPr>
          <w:rFonts w:ascii="Arial" w:hAnsi="Arial" w:cs="Arial"/>
          <w:b w:val="0"/>
        </w:rPr>
      </w:pPr>
    </w:p>
    <w:p w14:paraId="6F5A4729" w14:textId="77777777" w:rsidR="007110EC" w:rsidRPr="00607E75" w:rsidRDefault="007110EC" w:rsidP="00441B6F">
      <w:pPr>
        <w:pStyle w:val="Appendix"/>
        <w:spacing w:after="0"/>
        <w:jc w:val="both"/>
        <w:rPr>
          <w:rFonts w:ascii="Arial" w:hAnsi="Arial" w:cs="Arial"/>
          <w:b w:val="0"/>
        </w:rPr>
      </w:pPr>
    </w:p>
    <w:p w14:paraId="5F93EF52" w14:textId="77777777" w:rsidR="007110EC" w:rsidRPr="00607E75" w:rsidRDefault="007110EC" w:rsidP="00441B6F">
      <w:pPr>
        <w:pStyle w:val="Appendix"/>
        <w:spacing w:after="0"/>
        <w:jc w:val="both"/>
        <w:rPr>
          <w:rFonts w:ascii="Arial" w:hAnsi="Arial" w:cs="Arial"/>
          <w:b w:val="0"/>
        </w:rPr>
      </w:pPr>
    </w:p>
    <w:p w14:paraId="4F435AE8" w14:textId="77777777" w:rsidR="007110EC" w:rsidRPr="00607E75" w:rsidRDefault="007110EC" w:rsidP="00441B6F">
      <w:pPr>
        <w:pStyle w:val="Appendix"/>
        <w:spacing w:after="0"/>
        <w:jc w:val="both"/>
        <w:rPr>
          <w:rFonts w:ascii="Arial" w:hAnsi="Arial" w:cs="Arial"/>
          <w:b w:val="0"/>
        </w:rPr>
      </w:pPr>
    </w:p>
    <w:p w14:paraId="6A5C507B" w14:textId="77777777" w:rsidR="007110EC" w:rsidRPr="00607E75" w:rsidRDefault="007110EC" w:rsidP="00441B6F">
      <w:pPr>
        <w:pStyle w:val="Appendix"/>
        <w:spacing w:after="0"/>
        <w:jc w:val="both"/>
        <w:rPr>
          <w:rFonts w:ascii="Arial" w:hAnsi="Arial" w:cs="Arial"/>
          <w:b w:val="0"/>
        </w:rPr>
      </w:pPr>
    </w:p>
    <w:p w14:paraId="7494D866" w14:textId="77777777" w:rsidR="007110EC" w:rsidRPr="00607E75" w:rsidRDefault="007110EC" w:rsidP="00441B6F">
      <w:pPr>
        <w:pStyle w:val="Appendix"/>
        <w:spacing w:after="0"/>
        <w:jc w:val="both"/>
        <w:rPr>
          <w:rFonts w:ascii="Arial" w:hAnsi="Arial" w:cs="Arial"/>
          <w:b w:val="0"/>
        </w:rPr>
      </w:pPr>
    </w:p>
    <w:p w14:paraId="05DF916A" w14:textId="77777777" w:rsidR="007110EC" w:rsidRPr="00607E75" w:rsidRDefault="007110EC" w:rsidP="00441B6F">
      <w:pPr>
        <w:pStyle w:val="Appendix"/>
        <w:spacing w:after="0"/>
        <w:jc w:val="both"/>
        <w:rPr>
          <w:rFonts w:ascii="Arial" w:hAnsi="Arial" w:cs="Arial"/>
          <w:b w:val="0"/>
        </w:rPr>
      </w:pPr>
    </w:p>
    <w:p w14:paraId="5B8C83ED" w14:textId="77777777" w:rsidR="007110EC" w:rsidRPr="00607E75" w:rsidRDefault="007110EC" w:rsidP="00441B6F">
      <w:pPr>
        <w:pStyle w:val="Appendix"/>
        <w:spacing w:after="0"/>
        <w:jc w:val="both"/>
        <w:rPr>
          <w:rFonts w:ascii="Arial" w:hAnsi="Arial" w:cs="Arial"/>
          <w:b w:val="0"/>
        </w:rPr>
      </w:pPr>
    </w:p>
    <w:p w14:paraId="4AFE3CF2" w14:textId="58AB7632" w:rsidR="007110EC" w:rsidRPr="00607E75" w:rsidRDefault="007110EC" w:rsidP="00441B6F">
      <w:pPr>
        <w:pStyle w:val="Appendix"/>
        <w:spacing w:after="0"/>
        <w:jc w:val="both"/>
        <w:rPr>
          <w:rFonts w:ascii="Arial" w:hAnsi="Arial" w:cs="Arial"/>
          <w:b w:val="0"/>
        </w:rPr>
      </w:pPr>
    </w:p>
    <w:sectPr w:rsidR="007110EC" w:rsidRPr="00607E75" w:rsidSect="001B0D8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B5738" w14:textId="77777777" w:rsidR="00661B4B" w:rsidRDefault="00661B4B" w:rsidP="00C37E61">
      <w:r>
        <w:separator/>
      </w:r>
    </w:p>
  </w:endnote>
  <w:endnote w:type="continuationSeparator" w:id="0">
    <w:p w14:paraId="2187356D" w14:textId="77777777" w:rsidR="00661B4B" w:rsidRDefault="00661B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AFAB" w14:textId="77777777" w:rsidR="00412735" w:rsidRDefault="00412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2F6B" w14:textId="77777777" w:rsidR="00412735" w:rsidRDefault="00412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101F4" w14:textId="77777777" w:rsidR="009E048A" w:rsidRDefault="009E048A">
    <w:pPr>
      <w:pStyle w:val="Footer"/>
      <w:rPr>
        <w:rFonts w:ascii="Arial" w:hAnsi="Arial" w:cs="Arial"/>
        <w:sz w:val="16"/>
      </w:rPr>
    </w:pPr>
  </w:p>
  <w:p w14:paraId="48D4D7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8626F7F" w14:textId="77777777" w:rsidR="009E048A" w:rsidRDefault="009E048A">
    <w:pPr>
      <w:pStyle w:val="Footer"/>
      <w:rPr>
        <w:rFonts w:ascii="Arial" w:hAnsi="Arial" w:cs="Arial"/>
        <w:sz w:val="16"/>
      </w:rPr>
    </w:pPr>
  </w:p>
  <w:p w14:paraId="635C33B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AF0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833A3" w14:textId="77777777" w:rsidR="00661B4B" w:rsidRDefault="00661B4B" w:rsidP="00C37E61">
      <w:r>
        <w:separator/>
      </w:r>
    </w:p>
  </w:footnote>
  <w:footnote w:type="continuationSeparator" w:id="0">
    <w:p w14:paraId="7B957D64" w14:textId="77777777" w:rsidR="00661B4B" w:rsidRDefault="00661B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336E9" w14:textId="4C788C4F" w:rsidR="00412735" w:rsidRDefault="00412735">
    <w:pPr>
      <w:pStyle w:val="Header"/>
    </w:pPr>
    <w:r>
      <w:rPr>
        <w:noProof/>
      </w:rPr>
      <w:pict w14:anchorId="3119F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8FA74" w14:textId="3B616F21" w:rsidR="00412735" w:rsidRDefault="00412735">
    <w:pPr>
      <w:pStyle w:val="Header"/>
    </w:pPr>
    <w:r>
      <w:rPr>
        <w:noProof/>
      </w:rPr>
      <w:pict w14:anchorId="71A3F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CC85A" w14:textId="7F3E0A3B" w:rsidR="00296529" w:rsidRPr="00296529" w:rsidRDefault="00412735" w:rsidP="00296529">
    <w:pPr>
      <w:ind w:left="2160"/>
      <w:jc w:val="center"/>
      <w:rPr>
        <w:rFonts w:ascii="Times New Roman" w:eastAsia="Calibri" w:hAnsi="Times New Roman"/>
        <w:i/>
        <w:sz w:val="18"/>
        <w:szCs w:val="22"/>
      </w:rPr>
    </w:pPr>
    <w:r>
      <w:rPr>
        <w:noProof/>
      </w:rPr>
      <w:pict w14:anchorId="6C4A7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F0F185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2473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5DB5B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106C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0EB2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DFC8C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8C979" w14:textId="74956C95" w:rsidR="00412735" w:rsidRDefault="00412735">
    <w:pPr>
      <w:pStyle w:val="Header"/>
    </w:pPr>
    <w:r>
      <w:rPr>
        <w:noProof/>
      </w:rPr>
      <w:pict w14:anchorId="0877B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A071C" w14:textId="119026E0" w:rsidR="00412735" w:rsidRDefault="00412735">
    <w:pPr>
      <w:pStyle w:val="Header"/>
    </w:pPr>
    <w:r>
      <w:rPr>
        <w:noProof/>
      </w:rPr>
      <w:pict w14:anchorId="1A964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CF91" w14:textId="12FE64F0" w:rsidR="00412735" w:rsidRDefault="00412735">
    <w:pPr>
      <w:pStyle w:val="Header"/>
    </w:pPr>
    <w:r>
      <w:rPr>
        <w:noProof/>
      </w:rPr>
      <w:pict w14:anchorId="41D1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C1553"/>
    <w:rsid w:val="000D1AFD"/>
    <w:rsid w:val="000D689F"/>
    <w:rsid w:val="000E7B7B"/>
    <w:rsid w:val="000E7D62"/>
    <w:rsid w:val="00103357"/>
    <w:rsid w:val="00123C9F"/>
    <w:rsid w:val="00126190"/>
    <w:rsid w:val="00130F17"/>
    <w:rsid w:val="001320BF"/>
    <w:rsid w:val="00132920"/>
    <w:rsid w:val="00136460"/>
    <w:rsid w:val="00143326"/>
    <w:rsid w:val="00143856"/>
    <w:rsid w:val="00163BC4"/>
    <w:rsid w:val="00191062"/>
    <w:rsid w:val="00192B72"/>
    <w:rsid w:val="001A29D8"/>
    <w:rsid w:val="001A5CAA"/>
    <w:rsid w:val="001B0427"/>
    <w:rsid w:val="001B0D84"/>
    <w:rsid w:val="001B3E24"/>
    <w:rsid w:val="001D0454"/>
    <w:rsid w:val="001D3A51"/>
    <w:rsid w:val="001E10D2"/>
    <w:rsid w:val="001E17DC"/>
    <w:rsid w:val="001E25B4"/>
    <w:rsid w:val="001E44FE"/>
    <w:rsid w:val="00200595"/>
    <w:rsid w:val="00204835"/>
    <w:rsid w:val="00231920"/>
    <w:rsid w:val="0023195C"/>
    <w:rsid w:val="00235283"/>
    <w:rsid w:val="0024282C"/>
    <w:rsid w:val="002460DC"/>
    <w:rsid w:val="00250985"/>
    <w:rsid w:val="002536DF"/>
    <w:rsid w:val="002556F6"/>
    <w:rsid w:val="00275D52"/>
    <w:rsid w:val="00283105"/>
    <w:rsid w:val="00284C4C"/>
    <w:rsid w:val="00287E68"/>
    <w:rsid w:val="00296529"/>
    <w:rsid w:val="002B27FB"/>
    <w:rsid w:val="002B685A"/>
    <w:rsid w:val="002C57D2"/>
    <w:rsid w:val="002D0D93"/>
    <w:rsid w:val="002E0D56"/>
    <w:rsid w:val="003121B6"/>
    <w:rsid w:val="00315186"/>
    <w:rsid w:val="0033343E"/>
    <w:rsid w:val="0034476C"/>
    <w:rsid w:val="003512C2"/>
    <w:rsid w:val="00371FB6"/>
    <w:rsid w:val="003763C1"/>
    <w:rsid w:val="00376BBE"/>
    <w:rsid w:val="0039224F"/>
    <w:rsid w:val="003A43A4"/>
    <w:rsid w:val="003A7E18"/>
    <w:rsid w:val="003C4C86"/>
    <w:rsid w:val="003C6258"/>
    <w:rsid w:val="003D6BEF"/>
    <w:rsid w:val="003E2904"/>
    <w:rsid w:val="003F1303"/>
    <w:rsid w:val="00401927"/>
    <w:rsid w:val="0041027F"/>
    <w:rsid w:val="00412475"/>
    <w:rsid w:val="00412735"/>
    <w:rsid w:val="00412D0D"/>
    <w:rsid w:val="00423789"/>
    <w:rsid w:val="00440F43"/>
    <w:rsid w:val="00441B6F"/>
    <w:rsid w:val="00446221"/>
    <w:rsid w:val="00447036"/>
    <w:rsid w:val="00450E62"/>
    <w:rsid w:val="004539DB"/>
    <w:rsid w:val="00471A80"/>
    <w:rsid w:val="004814B2"/>
    <w:rsid w:val="004B5904"/>
    <w:rsid w:val="004D305E"/>
    <w:rsid w:val="004D4277"/>
    <w:rsid w:val="004D7AB3"/>
    <w:rsid w:val="00502516"/>
    <w:rsid w:val="00505F06"/>
    <w:rsid w:val="00506828"/>
    <w:rsid w:val="0053056E"/>
    <w:rsid w:val="00554FDA"/>
    <w:rsid w:val="00567AEB"/>
    <w:rsid w:val="005A690F"/>
    <w:rsid w:val="005C784C"/>
    <w:rsid w:val="005D17F6"/>
    <w:rsid w:val="005E5539"/>
    <w:rsid w:val="005F0A3C"/>
    <w:rsid w:val="006008F0"/>
    <w:rsid w:val="00602BF5"/>
    <w:rsid w:val="00607E75"/>
    <w:rsid w:val="00617FDD"/>
    <w:rsid w:val="00633614"/>
    <w:rsid w:val="00633F68"/>
    <w:rsid w:val="00636EB2"/>
    <w:rsid w:val="006375B8"/>
    <w:rsid w:val="00661B4B"/>
    <w:rsid w:val="0066510A"/>
    <w:rsid w:val="00673F9F"/>
    <w:rsid w:val="00686953"/>
    <w:rsid w:val="00687DEA"/>
    <w:rsid w:val="00687E67"/>
    <w:rsid w:val="006967F7"/>
    <w:rsid w:val="006A250C"/>
    <w:rsid w:val="006B21D3"/>
    <w:rsid w:val="006B57D0"/>
    <w:rsid w:val="006C7905"/>
    <w:rsid w:val="006D30FF"/>
    <w:rsid w:val="006D6940"/>
    <w:rsid w:val="006F11EC"/>
    <w:rsid w:val="006F5B5D"/>
    <w:rsid w:val="0070082C"/>
    <w:rsid w:val="007110EC"/>
    <w:rsid w:val="00733073"/>
    <w:rsid w:val="007369E6"/>
    <w:rsid w:val="00746E59"/>
    <w:rsid w:val="00754C9A"/>
    <w:rsid w:val="0075599A"/>
    <w:rsid w:val="00761D52"/>
    <w:rsid w:val="00776174"/>
    <w:rsid w:val="0077749E"/>
    <w:rsid w:val="00790ADA"/>
    <w:rsid w:val="007D2288"/>
    <w:rsid w:val="007E088F"/>
    <w:rsid w:val="007F7B32"/>
    <w:rsid w:val="00801FE6"/>
    <w:rsid w:val="00804BC2"/>
    <w:rsid w:val="0081431A"/>
    <w:rsid w:val="0083216F"/>
    <w:rsid w:val="00837270"/>
    <w:rsid w:val="0084032C"/>
    <w:rsid w:val="00840DB0"/>
    <w:rsid w:val="00860000"/>
    <w:rsid w:val="00863BD3"/>
    <w:rsid w:val="008641ED"/>
    <w:rsid w:val="00866D66"/>
    <w:rsid w:val="008671C6"/>
    <w:rsid w:val="008678A3"/>
    <w:rsid w:val="00875803"/>
    <w:rsid w:val="008B3353"/>
    <w:rsid w:val="008B459E"/>
    <w:rsid w:val="008C2167"/>
    <w:rsid w:val="008E13AE"/>
    <w:rsid w:val="008E1506"/>
    <w:rsid w:val="008E710C"/>
    <w:rsid w:val="008F69D6"/>
    <w:rsid w:val="00902823"/>
    <w:rsid w:val="00915CA6"/>
    <w:rsid w:val="00927834"/>
    <w:rsid w:val="009500A6"/>
    <w:rsid w:val="00957C18"/>
    <w:rsid w:val="009659BA"/>
    <w:rsid w:val="00983040"/>
    <w:rsid w:val="0099597B"/>
    <w:rsid w:val="009A0AF4"/>
    <w:rsid w:val="009B3FB9"/>
    <w:rsid w:val="009C2465"/>
    <w:rsid w:val="009D35A0"/>
    <w:rsid w:val="009D7EB7"/>
    <w:rsid w:val="009E048A"/>
    <w:rsid w:val="009E08E9"/>
    <w:rsid w:val="009E3C0C"/>
    <w:rsid w:val="009E3DB9"/>
    <w:rsid w:val="009E6E35"/>
    <w:rsid w:val="009F0EDA"/>
    <w:rsid w:val="00A03B96"/>
    <w:rsid w:val="00A05B19"/>
    <w:rsid w:val="00A1134E"/>
    <w:rsid w:val="00A24E7E"/>
    <w:rsid w:val="00A258C3"/>
    <w:rsid w:val="00A347C0"/>
    <w:rsid w:val="00A51431"/>
    <w:rsid w:val="00A539AD"/>
    <w:rsid w:val="00A94063"/>
    <w:rsid w:val="00A957AC"/>
    <w:rsid w:val="00AA6219"/>
    <w:rsid w:val="00AA74E0"/>
    <w:rsid w:val="00AB703F"/>
    <w:rsid w:val="00AC6BB8"/>
    <w:rsid w:val="00AD3DC4"/>
    <w:rsid w:val="00AE008F"/>
    <w:rsid w:val="00B01FCD"/>
    <w:rsid w:val="00B162AD"/>
    <w:rsid w:val="00B1776C"/>
    <w:rsid w:val="00B52583"/>
    <w:rsid w:val="00B52896"/>
    <w:rsid w:val="00B95236"/>
    <w:rsid w:val="00B96BD9"/>
    <w:rsid w:val="00BA1B01"/>
    <w:rsid w:val="00BA2641"/>
    <w:rsid w:val="00BB37AA"/>
    <w:rsid w:val="00BC16BE"/>
    <w:rsid w:val="00BC1F86"/>
    <w:rsid w:val="00BC4B2B"/>
    <w:rsid w:val="00BC53A0"/>
    <w:rsid w:val="00BE62AD"/>
    <w:rsid w:val="00BF121F"/>
    <w:rsid w:val="00BF1F80"/>
    <w:rsid w:val="00C166EF"/>
    <w:rsid w:val="00C17EB0"/>
    <w:rsid w:val="00C27F5F"/>
    <w:rsid w:val="00C30A0F"/>
    <w:rsid w:val="00C37E61"/>
    <w:rsid w:val="00C527BC"/>
    <w:rsid w:val="00C5633A"/>
    <w:rsid w:val="00C70F1B"/>
    <w:rsid w:val="00C71A47"/>
    <w:rsid w:val="00C7464C"/>
    <w:rsid w:val="00C85588"/>
    <w:rsid w:val="00CD3814"/>
    <w:rsid w:val="00CD6755"/>
    <w:rsid w:val="00CD6856"/>
    <w:rsid w:val="00CE0089"/>
    <w:rsid w:val="00CE482F"/>
    <w:rsid w:val="00CE793C"/>
    <w:rsid w:val="00CF193C"/>
    <w:rsid w:val="00D01CB6"/>
    <w:rsid w:val="00D16BD0"/>
    <w:rsid w:val="00D173F1"/>
    <w:rsid w:val="00D74CB0"/>
    <w:rsid w:val="00D8295D"/>
    <w:rsid w:val="00DB7697"/>
    <w:rsid w:val="00DC2A65"/>
    <w:rsid w:val="00DE15F0"/>
    <w:rsid w:val="00DE5663"/>
    <w:rsid w:val="00DE78AA"/>
    <w:rsid w:val="00DF1C76"/>
    <w:rsid w:val="00E053D0"/>
    <w:rsid w:val="00E15994"/>
    <w:rsid w:val="00E3114E"/>
    <w:rsid w:val="00E31A70"/>
    <w:rsid w:val="00E349C1"/>
    <w:rsid w:val="00E35B02"/>
    <w:rsid w:val="00E66496"/>
    <w:rsid w:val="00E66B35"/>
    <w:rsid w:val="00E66E10"/>
    <w:rsid w:val="00E769F6"/>
    <w:rsid w:val="00E8407C"/>
    <w:rsid w:val="00E84F3C"/>
    <w:rsid w:val="00EA012C"/>
    <w:rsid w:val="00EB2398"/>
    <w:rsid w:val="00EB2C31"/>
    <w:rsid w:val="00EC6A55"/>
    <w:rsid w:val="00ED0004"/>
    <w:rsid w:val="00ED0288"/>
    <w:rsid w:val="00EE52CB"/>
    <w:rsid w:val="00EF1F0E"/>
    <w:rsid w:val="00EF2F4A"/>
    <w:rsid w:val="00EF581D"/>
    <w:rsid w:val="00EF7FD8"/>
    <w:rsid w:val="00F05B6F"/>
    <w:rsid w:val="00F06F59"/>
    <w:rsid w:val="00F17988"/>
    <w:rsid w:val="00F469F0"/>
    <w:rsid w:val="00F46DE5"/>
    <w:rsid w:val="00F53273"/>
    <w:rsid w:val="00F65CC1"/>
    <w:rsid w:val="00F755E4"/>
    <w:rsid w:val="00F77D02"/>
    <w:rsid w:val="00FB3A86"/>
    <w:rsid w:val="00FC008B"/>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D5EA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A0AF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B3353"/>
    <w:rPr>
      <w:color w:val="666666"/>
    </w:rPr>
  </w:style>
  <w:style w:type="paragraph" w:styleId="NormalWeb">
    <w:name w:val="Normal (Web)"/>
    <w:basedOn w:val="Normal"/>
    <w:semiHidden/>
    <w:unhideWhenUsed/>
    <w:rsid w:val="004D7AB3"/>
    <w:rPr>
      <w:rFonts w:ascii="Times New Roman" w:hAnsi="Times New Roman"/>
      <w:sz w:val="24"/>
      <w:szCs w:val="24"/>
    </w:rPr>
  </w:style>
  <w:style w:type="paragraph" w:customStyle="1" w:styleId="TableParagraph">
    <w:name w:val="Table Paragraph"/>
    <w:basedOn w:val="Normal"/>
    <w:uiPriority w:val="1"/>
    <w:qFormat/>
    <w:rsid w:val="0073307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nhideWhenUsed/>
    <w:rsid w:val="00733073"/>
    <w:pPr>
      <w:spacing w:after="120"/>
    </w:pPr>
  </w:style>
  <w:style w:type="character" w:customStyle="1" w:styleId="BodyTextChar">
    <w:name w:val="Body Text Char"/>
    <w:basedOn w:val="DefaultParagraphFont"/>
    <w:link w:val="BodyText"/>
    <w:rsid w:val="00733073"/>
    <w:rPr>
      <w:rFonts w:ascii="Helvetica" w:hAnsi="Helvetica"/>
    </w:rPr>
  </w:style>
  <w:style w:type="character" w:customStyle="1" w:styleId="Heading2Char">
    <w:name w:val="Heading 2 Char"/>
    <w:basedOn w:val="DefaultParagraphFont"/>
    <w:link w:val="Heading2"/>
    <w:rsid w:val="009A0AF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2352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5294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659336">
      <w:bodyDiv w:val="1"/>
      <w:marLeft w:val="0"/>
      <w:marRight w:val="0"/>
      <w:marTop w:val="0"/>
      <w:marBottom w:val="0"/>
      <w:divBdr>
        <w:top w:val="none" w:sz="0" w:space="0" w:color="auto"/>
        <w:left w:val="none" w:sz="0" w:space="0" w:color="auto"/>
        <w:bottom w:val="none" w:sz="0" w:space="0" w:color="auto"/>
        <w:right w:val="none" w:sz="0" w:space="0" w:color="auto"/>
      </w:divBdr>
    </w:div>
    <w:div w:id="23346880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5863765">
      <w:bodyDiv w:val="1"/>
      <w:marLeft w:val="0"/>
      <w:marRight w:val="0"/>
      <w:marTop w:val="0"/>
      <w:marBottom w:val="0"/>
      <w:divBdr>
        <w:top w:val="none" w:sz="0" w:space="0" w:color="auto"/>
        <w:left w:val="none" w:sz="0" w:space="0" w:color="auto"/>
        <w:bottom w:val="none" w:sz="0" w:space="0" w:color="auto"/>
        <w:right w:val="none" w:sz="0" w:space="0" w:color="auto"/>
      </w:divBdr>
      <w:divsChild>
        <w:div w:id="1257784971">
          <w:marLeft w:val="0"/>
          <w:marRight w:val="0"/>
          <w:marTop w:val="15"/>
          <w:marBottom w:val="0"/>
          <w:divBdr>
            <w:top w:val="single" w:sz="48" w:space="0" w:color="auto"/>
            <w:left w:val="single" w:sz="48" w:space="0" w:color="auto"/>
            <w:bottom w:val="single" w:sz="48" w:space="0" w:color="auto"/>
            <w:right w:val="single" w:sz="48" w:space="0" w:color="auto"/>
          </w:divBdr>
          <w:divsChild>
            <w:div w:id="1670793476">
              <w:marLeft w:val="0"/>
              <w:marRight w:val="0"/>
              <w:marTop w:val="0"/>
              <w:marBottom w:val="0"/>
              <w:divBdr>
                <w:top w:val="none" w:sz="0" w:space="0" w:color="auto"/>
                <w:left w:val="none" w:sz="0" w:space="0" w:color="auto"/>
                <w:bottom w:val="none" w:sz="0" w:space="0" w:color="auto"/>
                <w:right w:val="none" w:sz="0" w:space="0" w:color="auto"/>
              </w:divBdr>
            </w:div>
          </w:divsChild>
        </w:div>
        <w:div w:id="1073238089">
          <w:marLeft w:val="0"/>
          <w:marRight w:val="0"/>
          <w:marTop w:val="15"/>
          <w:marBottom w:val="0"/>
          <w:divBdr>
            <w:top w:val="single" w:sz="48" w:space="0" w:color="auto"/>
            <w:left w:val="single" w:sz="48" w:space="0" w:color="auto"/>
            <w:bottom w:val="single" w:sz="48" w:space="0" w:color="auto"/>
            <w:right w:val="single" w:sz="48" w:space="0" w:color="auto"/>
          </w:divBdr>
          <w:divsChild>
            <w:div w:id="19073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415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67625093">
      <w:bodyDiv w:val="1"/>
      <w:marLeft w:val="0"/>
      <w:marRight w:val="0"/>
      <w:marTop w:val="0"/>
      <w:marBottom w:val="0"/>
      <w:divBdr>
        <w:top w:val="none" w:sz="0" w:space="0" w:color="auto"/>
        <w:left w:val="none" w:sz="0" w:space="0" w:color="auto"/>
        <w:bottom w:val="none" w:sz="0" w:space="0" w:color="auto"/>
        <w:right w:val="none" w:sz="0" w:space="0" w:color="auto"/>
      </w:divBdr>
    </w:div>
    <w:div w:id="833952300">
      <w:bodyDiv w:val="1"/>
      <w:marLeft w:val="0"/>
      <w:marRight w:val="0"/>
      <w:marTop w:val="0"/>
      <w:marBottom w:val="0"/>
      <w:divBdr>
        <w:top w:val="none" w:sz="0" w:space="0" w:color="auto"/>
        <w:left w:val="none" w:sz="0" w:space="0" w:color="auto"/>
        <w:bottom w:val="none" w:sz="0" w:space="0" w:color="auto"/>
        <w:right w:val="none" w:sz="0" w:space="0" w:color="auto"/>
      </w:divBdr>
      <w:divsChild>
        <w:div w:id="2134445214">
          <w:marLeft w:val="0"/>
          <w:marRight w:val="0"/>
          <w:marTop w:val="15"/>
          <w:marBottom w:val="0"/>
          <w:divBdr>
            <w:top w:val="single" w:sz="48" w:space="0" w:color="auto"/>
            <w:left w:val="single" w:sz="48" w:space="0" w:color="auto"/>
            <w:bottom w:val="single" w:sz="48" w:space="0" w:color="auto"/>
            <w:right w:val="single" w:sz="48" w:space="0" w:color="auto"/>
          </w:divBdr>
          <w:divsChild>
            <w:div w:id="1314260195">
              <w:marLeft w:val="0"/>
              <w:marRight w:val="0"/>
              <w:marTop w:val="0"/>
              <w:marBottom w:val="0"/>
              <w:divBdr>
                <w:top w:val="none" w:sz="0" w:space="0" w:color="auto"/>
                <w:left w:val="none" w:sz="0" w:space="0" w:color="auto"/>
                <w:bottom w:val="none" w:sz="0" w:space="0" w:color="auto"/>
                <w:right w:val="none" w:sz="0" w:space="0" w:color="auto"/>
              </w:divBdr>
            </w:div>
          </w:divsChild>
        </w:div>
        <w:div w:id="1476071520">
          <w:marLeft w:val="0"/>
          <w:marRight w:val="0"/>
          <w:marTop w:val="15"/>
          <w:marBottom w:val="0"/>
          <w:divBdr>
            <w:top w:val="single" w:sz="48" w:space="0" w:color="auto"/>
            <w:left w:val="single" w:sz="48" w:space="0" w:color="auto"/>
            <w:bottom w:val="single" w:sz="48" w:space="0" w:color="auto"/>
            <w:right w:val="single" w:sz="48" w:space="0" w:color="auto"/>
          </w:divBdr>
          <w:divsChild>
            <w:div w:id="518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955344">
      <w:bodyDiv w:val="1"/>
      <w:marLeft w:val="0"/>
      <w:marRight w:val="0"/>
      <w:marTop w:val="0"/>
      <w:marBottom w:val="0"/>
      <w:divBdr>
        <w:top w:val="none" w:sz="0" w:space="0" w:color="auto"/>
        <w:left w:val="none" w:sz="0" w:space="0" w:color="auto"/>
        <w:bottom w:val="none" w:sz="0" w:space="0" w:color="auto"/>
        <w:right w:val="none" w:sz="0" w:space="0" w:color="auto"/>
      </w:divBdr>
    </w:div>
    <w:div w:id="103326383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3553764">
      <w:bodyDiv w:val="1"/>
      <w:marLeft w:val="0"/>
      <w:marRight w:val="0"/>
      <w:marTop w:val="0"/>
      <w:marBottom w:val="0"/>
      <w:divBdr>
        <w:top w:val="none" w:sz="0" w:space="0" w:color="auto"/>
        <w:left w:val="none" w:sz="0" w:space="0" w:color="auto"/>
        <w:bottom w:val="none" w:sz="0" w:space="0" w:color="auto"/>
        <w:right w:val="none" w:sz="0" w:space="0" w:color="auto"/>
      </w:divBdr>
    </w:div>
    <w:div w:id="1206212912">
      <w:bodyDiv w:val="1"/>
      <w:marLeft w:val="0"/>
      <w:marRight w:val="0"/>
      <w:marTop w:val="0"/>
      <w:marBottom w:val="0"/>
      <w:divBdr>
        <w:top w:val="none" w:sz="0" w:space="0" w:color="auto"/>
        <w:left w:val="none" w:sz="0" w:space="0" w:color="auto"/>
        <w:bottom w:val="none" w:sz="0" w:space="0" w:color="auto"/>
        <w:right w:val="none" w:sz="0" w:space="0" w:color="auto"/>
      </w:divBdr>
    </w:div>
    <w:div w:id="1381056676">
      <w:bodyDiv w:val="1"/>
      <w:marLeft w:val="0"/>
      <w:marRight w:val="0"/>
      <w:marTop w:val="0"/>
      <w:marBottom w:val="0"/>
      <w:divBdr>
        <w:top w:val="none" w:sz="0" w:space="0" w:color="auto"/>
        <w:left w:val="none" w:sz="0" w:space="0" w:color="auto"/>
        <w:bottom w:val="none" w:sz="0" w:space="0" w:color="auto"/>
        <w:right w:val="none" w:sz="0" w:space="0" w:color="auto"/>
      </w:divBdr>
    </w:div>
    <w:div w:id="1397319278">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51238674">
      <w:bodyDiv w:val="1"/>
      <w:marLeft w:val="0"/>
      <w:marRight w:val="0"/>
      <w:marTop w:val="0"/>
      <w:marBottom w:val="0"/>
      <w:divBdr>
        <w:top w:val="none" w:sz="0" w:space="0" w:color="auto"/>
        <w:left w:val="none" w:sz="0" w:space="0" w:color="auto"/>
        <w:bottom w:val="none" w:sz="0" w:space="0" w:color="auto"/>
        <w:right w:val="none" w:sz="0" w:space="0" w:color="auto"/>
      </w:divBdr>
    </w:div>
    <w:div w:id="14929819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63087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470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596/1813-9450-5922" TargetMode="External"/><Relationship Id="rId26" Type="http://schemas.openxmlformats.org/officeDocument/2006/relationships/hyperlink" Target="https://ssrn.com/abstract%3D4849597" TargetMode="External"/><Relationship Id="rId39" Type="http://schemas.openxmlformats.org/officeDocument/2006/relationships/hyperlink" Target="https://uijrt.com/articles/v5/i7/UIJRTV5I70015.pdf" TargetMode="External"/><Relationship Id="rId21" Type="http://schemas.openxmlformats.org/officeDocument/2006/relationships/hyperlink" Target="https://doi.org/10.18196/jai.v23i1.13270" TargetMode="External"/><Relationship Id="rId34" Type="http://schemas.openxmlformats.org/officeDocument/2006/relationships/hyperlink" Target="https://doi.org/10.1016/B978-0-08-%09097086-8.94004-2" TargetMode="External"/><Relationship Id="rId42" Type="http://schemas.openxmlformats.org/officeDocument/2006/relationships/header" Target="header5.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sbspro.2013.12.590" TargetMode="External"/><Relationship Id="rId29" Type="http://schemas.openxmlformats.org/officeDocument/2006/relationships/hyperlink" Target="https://doi.org/10.32996/jefas.2022.4.2.11" TargetMode="External"/><Relationship Id="rId11" Type="http://schemas.openxmlformats.org/officeDocument/2006/relationships/footer" Target="footer2.xml"/><Relationship Id="rId24" Type="http://schemas.openxmlformats.org/officeDocument/2006/relationships/hyperlink" Target="https://hdl.handle.net/20.500.12870/5291" TargetMode="External"/><Relationship Id="rId32" Type="http://schemas.openxmlformats.org/officeDocument/2006/relationships/hyperlink" Target="http://dx.doi.org/10.1080/09718923.2014.11893311" TargetMode="External"/><Relationship Id="rId37" Type="http://schemas.openxmlformats.org/officeDocument/2006/relationships/hyperlink" Target="https://www.ilo.org/sites/default/files/wcmsp5/groups/public/%40ed_norm/%40relconf/" TargetMode="External"/><Relationship Id="rId40" Type="http://schemas.openxmlformats.org/officeDocument/2006/relationships/hyperlink" Target="https://doi.org/10.21428/92775833.4cd5987b" TargetMode="External"/><Relationship Id="rId45" Type="http://schemas.openxmlformats.org/officeDocument/2006/relationships/image" Target="media/image2.png"/><Relationship Id="rId53" Type="http://schemas.openxmlformats.org/officeDocument/2006/relationships/image" Target="media/image10.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1257/jep.28.4.149" TargetMode="External"/><Relationship Id="rId31" Type="http://schemas.openxmlformats.org/officeDocument/2006/relationships/hyperlink" Target="https://doi.org/10.1111/ecca.12182" TargetMode="External"/><Relationship Id="rId44" Type="http://schemas.openxmlformats.org/officeDocument/2006/relationships/header" Target="header6.xm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research.lpubatangas.edu.ph/wp-content/uploads/2015/05/APJARBA-%092015-1-%09004-Awareness-on-BIR-E-Filing-and-Payment-System.pdf" TargetMode="External"/><Relationship Id="rId27" Type="http://schemas.openxmlformats.org/officeDocument/2006/relationships/hyperlink" Target="http://dx.doi.org/10.2139/ssrn.4849%09597" TargetMode="External"/><Relationship Id="rId30" Type="http://schemas.openxmlformats.org/officeDocument/2006/relationships/hyperlink" Target="https://www.ijosmas.org/index.php/ijosmas/article/download/168/124" TargetMode="External"/><Relationship Id="rId35" Type="http://schemas.openxmlformats.org/officeDocument/2006/relationships/hyperlink" Target="https://doi.org/10.1016/B978-0-08-%09097086-8.94004-2" TargetMode="External"/><Relationship Id="rId43" Type="http://schemas.openxmlformats.org/officeDocument/2006/relationships/footer" Target="footer4.xml"/><Relationship Id="rId48"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dx.doi.org/10.4236/ib.2016.81001" TargetMode="External"/><Relationship Id="rId25" Type="http://schemas.openxmlformats.org/officeDocument/2006/relationships/hyperlink" Target="http://www.dof.gov.ph/bir-" TargetMode="External"/><Relationship Id="rId33" Type="http://schemas.openxmlformats.org/officeDocument/2006/relationships/hyperlink" Target="http://dx.doi.org/10.11594/ijmaber.04.04.29" TargetMode="External"/><Relationship Id="rId38" Type="http://schemas.openxmlformats.org/officeDocument/2006/relationships/hyperlink" Target="https://doi.org/10.1016/j.worlddev.2014.07.006" TargetMode="External"/><Relationship Id="rId46" Type="http://schemas.openxmlformats.org/officeDocument/2006/relationships/image" Target="media/image3.png"/><Relationship Id="rId20" Type="http://schemas.openxmlformats.org/officeDocument/2006/relationships/hyperlink" Target="http://www.researchgate.net/profile/Raymond-Pacaldo-" TargetMode="External"/><Relationship Id="rId41" Type="http://schemas.openxmlformats.org/officeDocument/2006/relationships/header" Target="head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uments.worldbank.org/curated/en/758831468126901094/Paying%09-" TargetMode="External"/><Relationship Id="rId23" Type="http://schemas.openxmlformats.org/officeDocument/2006/relationships/hyperlink" Target="https://research.lpubatangas.edu.ph/wp-content/uploads/2015/05/APJARBA-%092015-1-%09004-Awareness-on-BIR-E-Filing-and-Payment-System.pdf" TargetMode="External"/><Relationship Id="rId28" Type="http://schemas.openxmlformats.org/officeDocument/2006/relationships/hyperlink" Target="http://dx.doi.org/10.2139/ssrn.4849%09597" TargetMode="External"/><Relationship Id="rId36" Type="http://schemas.openxmlformats.org/officeDocument/2006/relationships/hyperlink" Target="http://www.unido.org/sites/default/files/2017-" TargetMode="External"/><Relationship Id="rId4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3EC5-E2A2-45A5-89F4-08E98A37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1702</TotalTime>
  <Pages>24</Pages>
  <Words>5089</Words>
  <Characters>29013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34034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42</cp:revision>
  <cp:lastPrinted>1999-07-06T11:00:00Z</cp:lastPrinted>
  <dcterms:created xsi:type="dcterms:W3CDTF">2025-07-03T10:07:00Z</dcterms:created>
  <dcterms:modified xsi:type="dcterms:W3CDTF">2025-07-07T07:11:00Z</dcterms:modified>
</cp:coreProperties>
</file>