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D420F" w14:textId="77777777" w:rsidR="0029188A" w:rsidRPr="0029188A" w:rsidRDefault="0029188A" w:rsidP="0029188A">
      <w:pPr>
        <w:pStyle w:val="NormalWeb"/>
        <w:jc w:val="both"/>
        <w:rPr>
          <w:rFonts w:ascii="Arial" w:hAnsi="Arial" w:cs="Arial"/>
          <w:b/>
          <w:bCs/>
          <w:i/>
          <w:iCs/>
          <w:sz w:val="36"/>
          <w:szCs w:val="36"/>
          <w:u w:val="single"/>
          <w:lang w:val="en-US"/>
        </w:rPr>
      </w:pPr>
      <w:r w:rsidRPr="0029188A">
        <w:rPr>
          <w:rFonts w:ascii="Arial" w:hAnsi="Arial" w:cs="Arial"/>
          <w:b/>
          <w:bCs/>
          <w:i/>
          <w:iCs/>
          <w:sz w:val="36"/>
          <w:szCs w:val="36"/>
          <w:u w:val="single"/>
          <w:lang w:val="en-US"/>
        </w:rPr>
        <w:t>Review Article</w:t>
      </w:r>
    </w:p>
    <w:p w14:paraId="549BEC92" w14:textId="1AD024A1" w:rsidR="00D406F7" w:rsidRDefault="00D406F7" w:rsidP="00551099">
      <w:pPr>
        <w:pStyle w:val="NormalWeb"/>
        <w:jc w:val="both"/>
        <w:rPr>
          <w:rStyle w:val="Strong"/>
          <w:rFonts w:ascii="Arial" w:hAnsi="Arial" w:cs="Arial"/>
          <w:sz w:val="36"/>
          <w:szCs w:val="36"/>
        </w:rPr>
      </w:pPr>
      <w:r w:rsidRPr="00551099">
        <w:rPr>
          <w:rStyle w:val="Strong"/>
          <w:rFonts w:ascii="Arial" w:hAnsi="Arial" w:cs="Arial"/>
          <w:sz w:val="36"/>
          <w:szCs w:val="36"/>
        </w:rPr>
        <w:t>Grass Pea (</w:t>
      </w:r>
      <w:r w:rsidRPr="00551099">
        <w:rPr>
          <w:rStyle w:val="Emphasis"/>
          <w:rFonts w:ascii="Arial" w:hAnsi="Arial" w:cs="Arial"/>
          <w:b/>
          <w:bCs/>
          <w:sz w:val="36"/>
          <w:szCs w:val="36"/>
        </w:rPr>
        <w:t>Lathyrus sativus</w:t>
      </w:r>
      <w:r w:rsidRPr="00551099">
        <w:rPr>
          <w:rStyle w:val="Strong"/>
          <w:rFonts w:ascii="Arial" w:hAnsi="Arial" w:cs="Arial"/>
          <w:sz w:val="36"/>
          <w:szCs w:val="36"/>
        </w:rPr>
        <w:t xml:space="preserve"> L.): An Underutilized Legume with Emerging Potential for Food Security, Climate Resilience, and Sustainable Agriculture-A review</w:t>
      </w:r>
    </w:p>
    <w:p w14:paraId="6CC5C18D" w14:textId="77777777" w:rsidR="00330550" w:rsidRPr="00837B11" w:rsidRDefault="00330550" w:rsidP="00551099">
      <w:pPr>
        <w:pStyle w:val="NormalWeb"/>
        <w:jc w:val="both"/>
        <w:rPr>
          <w:rFonts w:ascii="Arial" w:hAnsi="Arial" w:cs="Arial"/>
          <w:i/>
          <w:iCs/>
          <w:sz w:val="20"/>
          <w:szCs w:val="20"/>
        </w:rPr>
      </w:pPr>
      <w:bookmarkStart w:id="0" w:name="_GoBack"/>
      <w:bookmarkEnd w:id="0"/>
    </w:p>
    <w:p w14:paraId="48B4E047" w14:textId="77777777" w:rsidR="00B54DD6" w:rsidRPr="00551099" w:rsidRDefault="00B54DD6" w:rsidP="00551099">
      <w:pPr>
        <w:spacing w:line="360" w:lineRule="auto"/>
        <w:jc w:val="both"/>
        <w:rPr>
          <w:rStyle w:val="css-15iwe0d"/>
          <w:rFonts w:ascii="Arial" w:hAnsi="Arial" w:cs="Arial"/>
          <w:sz w:val="36"/>
          <w:szCs w:val="36"/>
        </w:rPr>
      </w:pPr>
    </w:p>
    <w:p w14:paraId="12FFFCA4" w14:textId="77777777" w:rsidR="00837B11" w:rsidRPr="00837B11" w:rsidRDefault="00837B11">
      <w:pPr>
        <w:spacing w:after="0" w:line="360" w:lineRule="auto"/>
        <w:jc w:val="both"/>
        <w:rPr>
          <w:rStyle w:val="css-0"/>
          <w:rFonts w:ascii="Arial" w:hAnsi="Arial" w:cs="Arial"/>
          <w:b/>
          <w:bCs/>
        </w:rPr>
      </w:pPr>
      <w:r w:rsidRPr="00837B11">
        <w:rPr>
          <w:rStyle w:val="css-0"/>
          <w:rFonts w:ascii="Arial" w:hAnsi="Arial" w:cs="Arial"/>
          <w:b/>
          <w:bCs/>
        </w:rPr>
        <w:t>Abstract</w:t>
      </w:r>
    </w:p>
    <w:p w14:paraId="5E0CE7AC" w14:textId="412A68B7" w:rsidR="00B54DD6" w:rsidRDefault="004F3709">
      <w:pPr>
        <w:spacing w:after="0" w:line="360" w:lineRule="auto"/>
        <w:jc w:val="both"/>
        <w:rPr>
          <w:rStyle w:val="css-0"/>
          <w:sz w:val="24"/>
          <w:szCs w:val="24"/>
        </w:rPr>
      </w:pPr>
      <w:r>
        <w:rPr>
          <w:rStyle w:val="css-0"/>
          <w:sz w:val="24"/>
          <w:szCs w:val="24"/>
        </w:rPr>
        <w:t xml:space="preserve">Grass pea, or </w:t>
      </w:r>
      <w:r>
        <w:rPr>
          <w:rStyle w:val="css-0"/>
          <w:i/>
          <w:sz w:val="24"/>
          <w:szCs w:val="24"/>
        </w:rPr>
        <w:t>Lathyrus sativus</w:t>
      </w:r>
      <w:r>
        <w:rPr>
          <w:rStyle w:val="css-0"/>
          <w:sz w:val="24"/>
          <w:szCs w:val="24"/>
        </w:rPr>
        <w:t xml:space="preserve">, is a leguminous crop valued for </w:t>
      </w:r>
      <w:r>
        <w:rPr>
          <w:rStyle w:val="css-0"/>
          <w:sz w:val="24"/>
          <w:szCs w:val="24"/>
        </w:rPr>
        <w:t>its high nutritional value and its ability to withstand environmental challenges. Grass peas are valued for having a balanced amino acid profile, including essential amino acids like tryptophan and lysine, and a high protein content of 20–25%. It is a sign</w:t>
      </w:r>
      <w:r>
        <w:rPr>
          <w:rStyle w:val="css-0"/>
          <w:sz w:val="24"/>
          <w:szCs w:val="24"/>
        </w:rPr>
        <w:t>ificant source of protein for the diet, especially in areas with restricted access to animal p</w:t>
      </w:r>
      <w:r w:rsidR="00DC7795">
        <w:rPr>
          <w:rStyle w:val="css-0"/>
          <w:sz w:val="24"/>
          <w:szCs w:val="24"/>
        </w:rPr>
        <w:t>r</w:t>
      </w:r>
      <w:r>
        <w:rPr>
          <w:rStyle w:val="css-0"/>
          <w:sz w:val="24"/>
          <w:szCs w:val="24"/>
        </w:rPr>
        <w:t>otein. On the other hand, excessive use of β-N-oxalyl-L-</w:t>
      </w:r>
      <w:proofErr w:type="gramStart"/>
      <w:r>
        <w:rPr>
          <w:rStyle w:val="css-0"/>
          <w:sz w:val="24"/>
          <w:szCs w:val="24"/>
        </w:rPr>
        <w:t>α,β</w:t>
      </w:r>
      <w:proofErr w:type="gramEnd"/>
      <w:r>
        <w:rPr>
          <w:rStyle w:val="css-0"/>
          <w:sz w:val="24"/>
          <w:szCs w:val="24"/>
        </w:rPr>
        <w:t>-</w:t>
      </w:r>
      <w:proofErr w:type="spellStart"/>
      <w:r>
        <w:rPr>
          <w:rStyle w:val="css-0"/>
          <w:sz w:val="24"/>
          <w:szCs w:val="24"/>
        </w:rPr>
        <w:t>diaminopropionic</w:t>
      </w:r>
      <w:proofErr w:type="spellEnd"/>
      <w:r>
        <w:rPr>
          <w:rStyle w:val="css-0"/>
          <w:sz w:val="24"/>
          <w:szCs w:val="24"/>
        </w:rPr>
        <w:t xml:space="preserve"> acid (ODAP), a neurotoxic, might result in ailments related to lathyrism. In spite o</w:t>
      </w:r>
      <w:r>
        <w:rPr>
          <w:rStyle w:val="css-0"/>
          <w:sz w:val="24"/>
          <w:szCs w:val="24"/>
        </w:rPr>
        <w:t>f challenges like reducing ODAP toxicity and improving market acceptance, grass peas have enormous potential as a sustainable crop that can support agricultural sustainability and food security in regions with limited resources. To achieve its full potenti</w:t>
      </w:r>
      <w:r>
        <w:rPr>
          <w:rStyle w:val="css-0"/>
          <w:sz w:val="24"/>
          <w:szCs w:val="24"/>
        </w:rPr>
        <w:t>al and ensure safe consumption everywhere, ongoing research and breeding efforts are crucial.</w:t>
      </w:r>
    </w:p>
    <w:p w14:paraId="593E7834" w14:textId="77777777" w:rsidR="00837B11" w:rsidRPr="002F5FBA" w:rsidRDefault="00837B11">
      <w:pPr>
        <w:spacing w:after="0" w:line="360" w:lineRule="auto"/>
        <w:jc w:val="both"/>
        <w:rPr>
          <w:rStyle w:val="css-0"/>
          <w:sz w:val="24"/>
          <w:szCs w:val="24"/>
        </w:rPr>
      </w:pPr>
    </w:p>
    <w:p w14:paraId="30209032" w14:textId="633A7D85" w:rsidR="00B54DD6" w:rsidRPr="002F5FBA" w:rsidRDefault="00837B11">
      <w:pPr>
        <w:spacing w:line="360" w:lineRule="auto"/>
        <w:jc w:val="both"/>
        <w:rPr>
          <w:rStyle w:val="css-0"/>
          <w:rFonts w:ascii="Arial" w:hAnsi="Arial" w:cs="Arial"/>
          <w:i/>
          <w:iCs/>
          <w:sz w:val="20"/>
          <w:szCs w:val="20"/>
        </w:rPr>
      </w:pPr>
      <w:r w:rsidRPr="002F5FBA">
        <w:rPr>
          <w:rStyle w:val="css-0"/>
          <w:rFonts w:ascii="Arial" w:hAnsi="Arial" w:cs="Arial"/>
          <w:i/>
          <w:iCs/>
          <w:sz w:val="20"/>
          <w:szCs w:val="20"/>
        </w:rPr>
        <w:t xml:space="preserve">Key words: Grass pea, </w:t>
      </w:r>
      <w:proofErr w:type="spellStart"/>
      <w:r w:rsidRPr="002F5FBA">
        <w:rPr>
          <w:rStyle w:val="css-0"/>
          <w:rFonts w:ascii="Arial" w:hAnsi="Arial" w:cs="Arial"/>
          <w:i/>
          <w:iCs/>
          <w:sz w:val="20"/>
          <w:szCs w:val="20"/>
        </w:rPr>
        <w:t>Lathyrus</w:t>
      </w:r>
      <w:proofErr w:type="spellEnd"/>
      <w:r w:rsidRPr="002F5FBA">
        <w:rPr>
          <w:rStyle w:val="css-0"/>
          <w:rFonts w:ascii="Arial" w:hAnsi="Arial" w:cs="Arial"/>
          <w:i/>
          <w:iCs/>
          <w:sz w:val="20"/>
          <w:szCs w:val="20"/>
        </w:rPr>
        <w:t xml:space="preserve"> sativus, ODAP, </w:t>
      </w:r>
      <w:proofErr w:type="spellStart"/>
      <w:r w:rsidR="002F5FBA" w:rsidRPr="002F5FBA">
        <w:rPr>
          <w:rStyle w:val="css-15iwe0d"/>
          <w:rFonts w:ascii="Arial" w:hAnsi="Arial" w:cs="Arial"/>
          <w:i/>
          <w:iCs/>
          <w:sz w:val="20"/>
          <w:szCs w:val="20"/>
        </w:rPr>
        <w:t>Neurolathyrism</w:t>
      </w:r>
      <w:proofErr w:type="spellEnd"/>
      <w:r w:rsidRPr="002F5FBA">
        <w:rPr>
          <w:rStyle w:val="css-0"/>
          <w:rFonts w:ascii="Arial" w:hAnsi="Arial" w:cs="Arial"/>
          <w:i/>
          <w:iCs/>
          <w:sz w:val="20"/>
          <w:szCs w:val="20"/>
        </w:rPr>
        <w:t>, neurotoxic</w:t>
      </w:r>
    </w:p>
    <w:p w14:paraId="6C48986A" w14:textId="4A5E9E1B" w:rsidR="00B54DD6" w:rsidRPr="00837B11" w:rsidRDefault="00443751">
      <w:pPr>
        <w:spacing w:line="360" w:lineRule="auto"/>
        <w:jc w:val="both"/>
        <w:rPr>
          <w:rStyle w:val="css-15iwe0d"/>
          <w:rFonts w:ascii="Arial" w:hAnsi="Arial" w:cs="Arial"/>
          <w:b/>
          <w:bCs/>
        </w:rPr>
      </w:pPr>
      <w:r w:rsidRPr="00837B11">
        <w:rPr>
          <w:rStyle w:val="css-15iwe0d"/>
          <w:rFonts w:ascii="Arial" w:hAnsi="Arial" w:cs="Arial"/>
          <w:b/>
          <w:bCs/>
        </w:rPr>
        <w:t>1. Introduction</w:t>
      </w:r>
    </w:p>
    <w:p w14:paraId="380C1AF0" w14:textId="1C97ABAD" w:rsidR="00B54DD6" w:rsidRPr="00837B11" w:rsidRDefault="00B62402" w:rsidP="00B62402">
      <w:pPr>
        <w:spacing w:line="360" w:lineRule="auto"/>
        <w:jc w:val="both"/>
        <w:rPr>
          <w:rStyle w:val="css-15iwe0d"/>
          <w:rFonts w:ascii="Arial" w:hAnsi="Arial" w:cs="Arial"/>
          <w:sz w:val="20"/>
          <w:szCs w:val="20"/>
        </w:rPr>
      </w:pPr>
      <w:r w:rsidRPr="00837B11">
        <w:rPr>
          <w:rFonts w:ascii="Arial" w:hAnsi="Arial" w:cs="Arial"/>
          <w:sz w:val="20"/>
          <w:szCs w:val="20"/>
        </w:rPr>
        <w:t xml:space="preserve">The urgency for </w:t>
      </w:r>
      <w:r w:rsidRPr="00837B11">
        <w:rPr>
          <w:rStyle w:val="Strong"/>
          <w:rFonts w:ascii="Arial" w:hAnsi="Arial" w:cs="Arial"/>
          <w:b w:val="0"/>
          <w:bCs w:val="0"/>
          <w:sz w:val="20"/>
          <w:szCs w:val="20"/>
        </w:rPr>
        <w:t>sustainable food security</w:t>
      </w:r>
      <w:r w:rsidRPr="00837B11">
        <w:rPr>
          <w:rFonts w:ascii="Arial" w:hAnsi="Arial" w:cs="Arial"/>
          <w:sz w:val="20"/>
          <w:szCs w:val="20"/>
        </w:rPr>
        <w:t xml:space="preserve"> has reached unprecedented levels, driven by rapid population growth, climate change, and mounting agricultural pressures. In this context, one often-overlooked yet promising crop is </w:t>
      </w:r>
      <w:r w:rsidRPr="00837B11">
        <w:rPr>
          <w:rStyle w:val="Strong"/>
          <w:rFonts w:ascii="Arial" w:hAnsi="Arial" w:cs="Arial"/>
          <w:b w:val="0"/>
          <w:bCs w:val="0"/>
          <w:sz w:val="20"/>
          <w:szCs w:val="20"/>
        </w:rPr>
        <w:t>grass pea (</w:t>
      </w:r>
      <w:r w:rsidRPr="00837B11">
        <w:rPr>
          <w:rStyle w:val="Strong"/>
          <w:rFonts w:ascii="Arial" w:hAnsi="Arial" w:cs="Arial"/>
          <w:b w:val="0"/>
          <w:bCs w:val="0"/>
          <w:i/>
          <w:iCs/>
          <w:sz w:val="20"/>
          <w:szCs w:val="20"/>
        </w:rPr>
        <w:t>Lathyrus sativus</w:t>
      </w:r>
      <w:r w:rsidRPr="00837B11">
        <w:rPr>
          <w:rStyle w:val="Strong"/>
          <w:rFonts w:ascii="Arial" w:hAnsi="Arial" w:cs="Arial"/>
          <w:b w:val="0"/>
          <w:bCs w:val="0"/>
          <w:sz w:val="20"/>
          <w:szCs w:val="20"/>
        </w:rPr>
        <w:t xml:space="preserve"> L.)</w:t>
      </w:r>
      <w:r w:rsidRPr="00837B11">
        <w:rPr>
          <w:rFonts w:ascii="Arial" w:hAnsi="Arial" w:cs="Arial"/>
          <w:b/>
          <w:bCs/>
          <w:sz w:val="20"/>
          <w:szCs w:val="20"/>
        </w:rPr>
        <w:t>—</w:t>
      </w:r>
      <w:r w:rsidRPr="00837B11">
        <w:rPr>
          <w:rFonts w:ascii="Arial" w:hAnsi="Arial" w:cs="Arial"/>
          <w:sz w:val="20"/>
          <w:szCs w:val="20"/>
        </w:rPr>
        <w:t xml:space="preserve">a hardy, nutrient-rich legume capable of thriving in some of the world's harshest growing conditions. It is a </w:t>
      </w:r>
      <w:r w:rsidRPr="00837B11">
        <w:rPr>
          <w:rStyle w:val="Strong"/>
          <w:rFonts w:ascii="Arial" w:hAnsi="Arial" w:cs="Arial"/>
          <w:b w:val="0"/>
          <w:bCs w:val="0"/>
          <w:sz w:val="20"/>
          <w:szCs w:val="20"/>
        </w:rPr>
        <w:t>self-pollinating grain</w:t>
      </w:r>
      <w:r w:rsidRPr="00837B11">
        <w:rPr>
          <w:rStyle w:val="Strong"/>
          <w:rFonts w:ascii="Arial" w:hAnsi="Arial" w:cs="Arial"/>
          <w:sz w:val="20"/>
          <w:szCs w:val="20"/>
        </w:rPr>
        <w:t xml:space="preserve"> </w:t>
      </w:r>
      <w:r w:rsidRPr="00837B11">
        <w:rPr>
          <w:rStyle w:val="Strong"/>
          <w:rFonts w:ascii="Arial" w:hAnsi="Arial" w:cs="Arial"/>
          <w:b w:val="0"/>
          <w:bCs w:val="0"/>
          <w:sz w:val="20"/>
          <w:szCs w:val="20"/>
        </w:rPr>
        <w:t>legume</w:t>
      </w:r>
      <w:r w:rsidRPr="00837B11">
        <w:rPr>
          <w:rFonts w:ascii="Arial" w:hAnsi="Arial" w:cs="Arial"/>
          <w:b/>
          <w:bCs/>
          <w:sz w:val="20"/>
          <w:szCs w:val="20"/>
        </w:rPr>
        <w:t xml:space="preserve"> </w:t>
      </w:r>
      <w:r w:rsidRPr="00837B11">
        <w:rPr>
          <w:rFonts w:ascii="Arial" w:hAnsi="Arial" w:cs="Arial"/>
          <w:sz w:val="20"/>
          <w:szCs w:val="20"/>
        </w:rPr>
        <w:t xml:space="preserve">belonging to the </w:t>
      </w:r>
      <w:r w:rsidRPr="00837B11">
        <w:rPr>
          <w:rStyle w:val="Strong"/>
          <w:rFonts w:ascii="Arial" w:hAnsi="Arial" w:cs="Arial"/>
          <w:b w:val="0"/>
          <w:bCs w:val="0"/>
          <w:sz w:val="20"/>
          <w:szCs w:val="20"/>
        </w:rPr>
        <w:t>Fabaceae</w:t>
      </w:r>
      <w:r w:rsidRPr="00837B11">
        <w:rPr>
          <w:rFonts w:ascii="Arial" w:hAnsi="Arial" w:cs="Arial"/>
          <w:sz w:val="20"/>
          <w:szCs w:val="20"/>
        </w:rPr>
        <w:t xml:space="preserve"> family. What sets it apart is its exceptional resilience to drought, floods, and poor soils—traits that make it invaluable for farmers in marginal environments. </w:t>
      </w:r>
      <w:r w:rsidRPr="00837B11">
        <w:rPr>
          <w:rStyle w:val="css-15iwe0d"/>
          <w:rFonts w:ascii="Arial" w:hAnsi="Arial" w:cs="Arial"/>
          <w:sz w:val="20"/>
          <w:szCs w:val="20"/>
        </w:rPr>
        <w:t>In India, China, Bangladesh,</w:t>
      </w:r>
      <w:r w:rsidR="0020609B" w:rsidRPr="00837B11">
        <w:rPr>
          <w:rStyle w:val="css-15iwe0d"/>
          <w:rFonts w:ascii="Arial" w:hAnsi="Arial" w:cs="Arial"/>
          <w:sz w:val="20"/>
          <w:szCs w:val="20"/>
        </w:rPr>
        <w:t xml:space="preserve"> Ethiopia</w:t>
      </w:r>
      <w:r w:rsidRPr="00837B11">
        <w:rPr>
          <w:rStyle w:val="css-15iwe0d"/>
          <w:rFonts w:ascii="Arial" w:hAnsi="Arial" w:cs="Arial"/>
          <w:sz w:val="20"/>
          <w:szCs w:val="20"/>
        </w:rPr>
        <w:t xml:space="preserve"> and Nepal, as well as to a lesser extent in southern Europe, West Asia, North Africa, and South America, grass</w:t>
      </w:r>
      <w:r w:rsidR="003E1B0B" w:rsidRPr="00837B11">
        <w:rPr>
          <w:rStyle w:val="css-15iwe0d"/>
          <w:rFonts w:ascii="Arial" w:hAnsi="Arial" w:cs="Arial"/>
          <w:sz w:val="20"/>
          <w:szCs w:val="20"/>
        </w:rPr>
        <w:t xml:space="preserve"> </w:t>
      </w:r>
      <w:r w:rsidRPr="00837B11">
        <w:rPr>
          <w:rStyle w:val="css-15iwe0d"/>
          <w:rFonts w:ascii="Arial" w:hAnsi="Arial" w:cs="Arial"/>
          <w:sz w:val="20"/>
          <w:szCs w:val="20"/>
        </w:rPr>
        <w:t>pea has been grown for millennia as a food and forage legume (Bell, 1989). It is cultivated as a forage crop in the Mediterranean region of western Australia (</w:t>
      </w:r>
      <w:r w:rsidR="0017042D" w:rsidRPr="00837B11">
        <w:rPr>
          <w:rStyle w:val="css-15iwe0d"/>
          <w:rFonts w:ascii="Arial" w:hAnsi="Arial" w:cs="Arial"/>
          <w:sz w:val="20"/>
          <w:szCs w:val="20"/>
        </w:rPr>
        <w:t>S</w:t>
      </w:r>
      <w:r w:rsidRPr="00837B11">
        <w:rPr>
          <w:rStyle w:val="css-15iwe0d"/>
          <w:rFonts w:ascii="Arial" w:hAnsi="Arial" w:cs="Arial"/>
          <w:sz w:val="20"/>
          <w:szCs w:val="20"/>
        </w:rPr>
        <w:t>iddique et al., 1996), Europe (Piergiovanni et al., 2013), and North America (Campbell et al., 1994), where it is regarded as an N-fixing crop for cereal production.</w:t>
      </w:r>
    </w:p>
    <w:p w14:paraId="16C3FCBD" w14:textId="77777777" w:rsidR="00B62402" w:rsidRPr="00837B11" w:rsidRDefault="00B62402" w:rsidP="00B62402">
      <w:pPr>
        <w:jc w:val="both"/>
        <w:rPr>
          <w:rStyle w:val="css-15iwe0d"/>
          <w:rFonts w:ascii="Arial" w:eastAsia="Times New Roman" w:hAnsi="Arial" w:cs="Arial"/>
          <w:sz w:val="20"/>
          <w:szCs w:val="20"/>
          <w:lang w:eastAsia="en-IN"/>
        </w:rPr>
      </w:pPr>
    </w:p>
    <w:p w14:paraId="4372298D" w14:textId="50F2BA14" w:rsidR="00B54DD6" w:rsidRPr="00837B11" w:rsidRDefault="004F3709">
      <w:pPr>
        <w:spacing w:line="360" w:lineRule="auto"/>
        <w:jc w:val="both"/>
        <w:rPr>
          <w:rStyle w:val="css-15iwe0d"/>
          <w:rFonts w:ascii="Arial" w:hAnsi="Arial" w:cs="Arial"/>
          <w:sz w:val="20"/>
          <w:szCs w:val="20"/>
        </w:rPr>
      </w:pPr>
      <w:r w:rsidRPr="00837B11">
        <w:rPr>
          <w:rStyle w:val="css-15iwe0d"/>
          <w:rFonts w:ascii="Arial" w:hAnsi="Arial" w:cs="Arial"/>
          <w:sz w:val="20"/>
          <w:szCs w:val="20"/>
        </w:rPr>
        <w:t xml:space="preserve">The </w:t>
      </w:r>
      <w:r w:rsidRPr="00837B11">
        <w:rPr>
          <w:rStyle w:val="css-15iwe0d"/>
          <w:rFonts w:ascii="Arial" w:hAnsi="Arial" w:cs="Arial"/>
          <w:sz w:val="20"/>
          <w:szCs w:val="20"/>
        </w:rPr>
        <w:t>grass pea has numerous advantages that make it a desirable crop in locations that are wet or dry, have low soil quality, and experience harsh weather conditions. Grass</w:t>
      </w:r>
      <w:r w:rsidR="003E1B0B" w:rsidRPr="00837B11">
        <w:rPr>
          <w:rStyle w:val="css-15iwe0d"/>
          <w:rFonts w:ascii="Arial" w:hAnsi="Arial" w:cs="Arial"/>
          <w:sz w:val="20"/>
          <w:szCs w:val="20"/>
        </w:rPr>
        <w:t xml:space="preserve"> </w:t>
      </w:r>
      <w:r w:rsidRPr="00837B11">
        <w:rPr>
          <w:rStyle w:val="css-15iwe0d"/>
          <w:rFonts w:ascii="Arial" w:hAnsi="Arial" w:cs="Arial"/>
          <w:sz w:val="20"/>
          <w:szCs w:val="20"/>
        </w:rPr>
        <w:t>pea is distinguished from other legume species by having a strong, deep, soil-penetratin</w:t>
      </w:r>
      <w:r w:rsidRPr="00837B11">
        <w:rPr>
          <w:rStyle w:val="css-15iwe0d"/>
          <w:rFonts w:ascii="Arial" w:hAnsi="Arial" w:cs="Arial"/>
          <w:sz w:val="20"/>
          <w:szCs w:val="20"/>
        </w:rPr>
        <w:t>g, pile root system that extends 1.5 m (Campbel et al., 1994), which increases its resistance to abiotic stress (Vaz Patto et al., 2006). Grass pea is frequently cultivated for both grain and feed purposes in South Asian nations. The crop's use as animal f</w:t>
      </w:r>
      <w:r w:rsidRPr="00837B11">
        <w:rPr>
          <w:rStyle w:val="css-15iwe0d"/>
          <w:rFonts w:ascii="Arial" w:hAnsi="Arial" w:cs="Arial"/>
          <w:sz w:val="20"/>
          <w:szCs w:val="20"/>
        </w:rPr>
        <w:t>eed, rather than as sustenance for humans, has gained more important. According to reports, grass pea seeds are rich in proteins, essential amino acids, minerals, essential fatty acids, ascorbic acid, glutathione, folic acid, and total phenolic content (Ta</w:t>
      </w:r>
      <w:r w:rsidRPr="00837B11">
        <w:rPr>
          <w:rStyle w:val="css-15iwe0d"/>
          <w:rFonts w:ascii="Arial" w:hAnsi="Arial" w:cs="Arial"/>
          <w:sz w:val="20"/>
          <w:szCs w:val="20"/>
        </w:rPr>
        <w:t>mburino et al., 2012).  It is characterised by a high protein content (relatively rich in lysine) ranging from 23.0 to 34.2 percent, higher drought resilience, little disease and pest damage, high feed values, and nitrogen-fixing activity (Rizvi et al., 20</w:t>
      </w:r>
      <w:r w:rsidRPr="00837B11">
        <w:rPr>
          <w:rStyle w:val="css-15iwe0d"/>
          <w:rFonts w:ascii="Arial" w:hAnsi="Arial" w:cs="Arial"/>
          <w:sz w:val="20"/>
          <w:szCs w:val="20"/>
        </w:rPr>
        <w:t>16).</w:t>
      </w:r>
    </w:p>
    <w:p w14:paraId="0DB0E130" w14:textId="53CBE703" w:rsidR="00B54DD6" w:rsidRPr="00837B11" w:rsidRDefault="004F3709">
      <w:pPr>
        <w:spacing w:line="360" w:lineRule="auto"/>
        <w:jc w:val="both"/>
        <w:rPr>
          <w:rStyle w:val="css-15iwe0d"/>
          <w:rFonts w:ascii="Arial" w:hAnsi="Arial" w:cs="Arial"/>
          <w:sz w:val="20"/>
          <w:szCs w:val="20"/>
        </w:rPr>
      </w:pPr>
      <w:r w:rsidRPr="00837B11">
        <w:rPr>
          <w:rStyle w:val="css-15iwe0d"/>
          <w:rFonts w:ascii="Arial" w:hAnsi="Arial" w:cs="Arial"/>
          <w:sz w:val="20"/>
          <w:szCs w:val="20"/>
        </w:rPr>
        <w:t xml:space="preserve">However, one significant disadvantage outweighs all other benefits: the presence of antinutritional factors (ANF In instance, -diamino-propionic acid (ODAP), a nonprotein amino acid that induces </w:t>
      </w:r>
      <w:proofErr w:type="spellStart"/>
      <w:r w:rsidRPr="00837B11">
        <w:rPr>
          <w:rStyle w:val="css-15iwe0d"/>
          <w:rFonts w:ascii="Arial" w:hAnsi="Arial" w:cs="Arial"/>
          <w:sz w:val="20"/>
          <w:szCs w:val="20"/>
        </w:rPr>
        <w:t>neurolathyrism</w:t>
      </w:r>
      <w:proofErr w:type="spellEnd"/>
      <w:r w:rsidRPr="00837B11">
        <w:rPr>
          <w:rStyle w:val="css-15iwe0d"/>
          <w:rFonts w:ascii="Arial" w:hAnsi="Arial" w:cs="Arial"/>
          <w:sz w:val="20"/>
          <w:szCs w:val="20"/>
        </w:rPr>
        <w:t xml:space="preserve"> and is a neurotoxic secondary metabolite,</w:t>
      </w:r>
      <w:r w:rsidRPr="00837B11">
        <w:rPr>
          <w:rStyle w:val="css-15iwe0d"/>
          <w:rFonts w:ascii="Arial" w:hAnsi="Arial" w:cs="Arial"/>
          <w:sz w:val="20"/>
          <w:szCs w:val="20"/>
        </w:rPr>
        <w:t xml:space="preserve"> can be lowered by cooking along with the levels of the proteinaceous ANFs (Enneking, 2011). Because of the neurotoxin "</w:t>
      </w:r>
      <w:r w:rsidR="00EA296A" w:rsidRPr="00837B11">
        <w:rPr>
          <w:rStyle w:val="css-0"/>
          <w:rFonts w:ascii="Arial" w:hAnsi="Arial" w:cs="Arial"/>
          <w:sz w:val="20"/>
          <w:szCs w:val="20"/>
        </w:rPr>
        <w:t xml:space="preserve"> β-N-oxalyl-L-α,</w:t>
      </w:r>
      <w:r w:rsidR="003E1B0B" w:rsidRPr="00837B11">
        <w:rPr>
          <w:rStyle w:val="css-0"/>
          <w:rFonts w:ascii="Arial" w:hAnsi="Arial" w:cs="Arial"/>
          <w:sz w:val="20"/>
          <w:szCs w:val="20"/>
        </w:rPr>
        <w:t xml:space="preserve"> </w:t>
      </w:r>
      <w:r w:rsidR="00EA296A" w:rsidRPr="00837B11">
        <w:rPr>
          <w:rStyle w:val="css-0"/>
          <w:rFonts w:ascii="Arial" w:hAnsi="Arial" w:cs="Arial"/>
          <w:sz w:val="20"/>
          <w:szCs w:val="20"/>
        </w:rPr>
        <w:t>β-</w:t>
      </w:r>
      <w:proofErr w:type="spellStart"/>
      <w:r w:rsidR="00EA296A" w:rsidRPr="00837B11">
        <w:rPr>
          <w:rStyle w:val="css-0"/>
          <w:rFonts w:ascii="Arial" w:hAnsi="Arial" w:cs="Arial"/>
          <w:sz w:val="20"/>
          <w:szCs w:val="20"/>
        </w:rPr>
        <w:t>diaminopropionic</w:t>
      </w:r>
      <w:proofErr w:type="spellEnd"/>
      <w:r w:rsidR="00EA296A" w:rsidRPr="00837B11">
        <w:rPr>
          <w:rStyle w:val="css-0"/>
          <w:rFonts w:ascii="Arial" w:hAnsi="Arial" w:cs="Arial"/>
          <w:sz w:val="20"/>
          <w:szCs w:val="20"/>
        </w:rPr>
        <w:t xml:space="preserve"> acid (ODAP or </w:t>
      </w:r>
      <w:r w:rsidRPr="00837B11">
        <w:rPr>
          <w:rStyle w:val="css-15iwe0d"/>
          <w:rFonts w:ascii="Arial" w:hAnsi="Arial" w:cs="Arial"/>
          <w:sz w:val="20"/>
          <w:szCs w:val="20"/>
        </w:rPr>
        <w:t>BOAA)," which is thought to be a probable cause of the neurological disorder "lathyris</w:t>
      </w:r>
      <w:r w:rsidRPr="00837B11">
        <w:rPr>
          <w:rStyle w:val="css-15iwe0d"/>
          <w:rFonts w:ascii="Arial" w:hAnsi="Arial" w:cs="Arial"/>
          <w:sz w:val="20"/>
          <w:szCs w:val="20"/>
        </w:rPr>
        <w:t>m" in humans when grass pea grains are consumed in excess for extended periods of time, this legume is still underappreciated despite having all these positive qualities.</w:t>
      </w:r>
    </w:p>
    <w:p w14:paraId="55BBB58B" w14:textId="352E7006" w:rsidR="00B54DD6" w:rsidRPr="00837B11" w:rsidRDefault="00443751">
      <w:pPr>
        <w:spacing w:line="360" w:lineRule="auto"/>
        <w:jc w:val="both"/>
        <w:rPr>
          <w:rStyle w:val="css-15iwe0d"/>
          <w:rFonts w:ascii="Arial" w:hAnsi="Arial" w:cs="Arial"/>
          <w:b/>
          <w:bCs/>
        </w:rPr>
      </w:pPr>
      <w:r w:rsidRPr="00837B11">
        <w:rPr>
          <w:rStyle w:val="css-15iwe0d"/>
          <w:rFonts w:ascii="Arial" w:hAnsi="Arial" w:cs="Arial"/>
          <w:b/>
          <w:bCs/>
        </w:rPr>
        <w:t>2. Taxonomy of Grass</w:t>
      </w:r>
      <w:r w:rsidR="00844067">
        <w:rPr>
          <w:rStyle w:val="css-15iwe0d"/>
          <w:rFonts w:ascii="Arial" w:hAnsi="Arial" w:cs="Arial"/>
          <w:b/>
          <w:bCs/>
        </w:rPr>
        <w:t xml:space="preserve"> </w:t>
      </w:r>
      <w:r w:rsidRPr="00837B11">
        <w:rPr>
          <w:rStyle w:val="css-15iwe0d"/>
          <w:rFonts w:ascii="Arial" w:hAnsi="Arial" w:cs="Arial"/>
          <w:b/>
          <w:bCs/>
        </w:rPr>
        <w:t>pea</w:t>
      </w:r>
    </w:p>
    <w:p w14:paraId="1D307DCC" w14:textId="32C21577" w:rsidR="00B54DD6" w:rsidRPr="00837B11" w:rsidRDefault="004F3709" w:rsidP="00ED0F94">
      <w:pPr>
        <w:spacing w:after="0" w:line="360" w:lineRule="auto"/>
        <w:jc w:val="both"/>
        <w:rPr>
          <w:rFonts w:ascii="Arial" w:eastAsia="Times New Roman" w:hAnsi="Arial" w:cs="Arial"/>
          <w:sz w:val="20"/>
          <w:szCs w:val="20"/>
          <w:lang w:eastAsia="en-IN"/>
        </w:rPr>
      </w:pPr>
      <w:r w:rsidRPr="00837B11">
        <w:rPr>
          <w:rStyle w:val="css-15iwe0d"/>
          <w:rFonts w:ascii="Arial" w:hAnsi="Arial" w:cs="Arial"/>
          <w:i/>
          <w:sz w:val="20"/>
          <w:szCs w:val="20"/>
        </w:rPr>
        <w:t>Lathyrus sativus</w:t>
      </w:r>
      <w:r w:rsidRPr="00837B11">
        <w:rPr>
          <w:rStyle w:val="css-15iwe0d"/>
          <w:rFonts w:ascii="Arial" w:hAnsi="Arial" w:cs="Arial"/>
          <w:sz w:val="20"/>
          <w:szCs w:val="20"/>
        </w:rPr>
        <w:t xml:space="preserve"> is a diploid species (2n = 2x = 14) that is a member of the tribe </w:t>
      </w:r>
      <w:proofErr w:type="spellStart"/>
      <w:r w:rsidRPr="00837B11">
        <w:rPr>
          <w:rStyle w:val="css-15iwe0d"/>
          <w:rFonts w:ascii="Arial" w:hAnsi="Arial" w:cs="Arial"/>
          <w:sz w:val="20"/>
          <w:szCs w:val="20"/>
        </w:rPr>
        <w:t>Vicieae</w:t>
      </w:r>
      <w:proofErr w:type="spellEnd"/>
      <w:r w:rsidRPr="00837B11">
        <w:rPr>
          <w:rStyle w:val="css-15iwe0d"/>
          <w:rFonts w:ascii="Arial" w:hAnsi="Arial" w:cs="Arial"/>
          <w:sz w:val="20"/>
          <w:szCs w:val="20"/>
        </w:rPr>
        <w:t xml:space="preserve"> (also known as </w:t>
      </w:r>
      <w:proofErr w:type="spellStart"/>
      <w:r w:rsidRPr="00837B11">
        <w:rPr>
          <w:rStyle w:val="css-15iwe0d"/>
          <w:rFonts w:ascii="Arial" w:hAnsi="Arial" w:cs="Arial"/>
          <w:sz w:val="20"/>
          <w:szCs w:val="20"/>
        </w:rPr>
        <w:t>Fabaea</w:t>
      </w:r>
      <w:proofErr w:type="spellEnd"/>
      <w:r w:rsidRPr="00837B11">
        <w:rPr>
          <w:rStyle w:val="css-15iwe0d"/>
          <w:rFonts w:ascii="Arial" w:hAnsi="Arial" w:cs="Arial"/>
          <w:sz w:val="20"/>
          <w:szCs w:val="20"/>
        </w:rPr>
        <w:t xml:space="preserve">), subfamily </w:t>
      </w:r>
      <w:proofErr w:type="spellStart"/>
      <w:r w:rsidRPr="00837B11">
        <w:rPr>
          <w:rStyle w:val="css-15iwe0d"/>
          <w:rFonts w:ascii="Arial" w:hAnsi="Arial" w:cs="Arial"/>
          <w:sz w:val="20"/>
          <w:szCs w:val="20"/>
        </w:rPr>
        <w:t>Papilionoideae</w:t>
      </w:r>
      <w:proofErr w:type="spellEnd"/>
      <w:r w:rsidRPr="00837B11">
        <w:rPr>
          <w:rStyle w:val="css-15iwe0d"/>
          <w:rFonts w:ascii="Arial" w:hAnsi="Arial" w:cs="Arial"/>
          <w:sz w:val="20"/>
          <w:szCs w:val="20"/>
        </w:rPr>
        <w:t>, and family Leguminosae (also known as Fabaceae).  The genus Lathyrus contains 150 species in 15 sections, with grass</w:t>
      </w:r>
      <w:r w:rsidR="003E1B0B" w:rsidRPr="00837B11">
        <w:rPr>
          <w:rStyle w:val="css-15iwe0d"/>
          <w:rFonts w:ascii="Arial" w:hAnsi="Arial" w:cs="Arial"/>
          <w:sz w:val="20"/>
          <w:szCs w:val="20"/>
        </w:rPr>
        <w:t xml:space="preserve"> </w:t>
      </w:r>
      <w:r w:rsidRPr="00837B11">
        <w:rPr>
          <w:rStyle w:val="css-15iwe0d"/>
          <w:rFonts w:ascii="Arial" w:hAnsi="Arial" w:cs="Arial"/>
          <w:sz w:val="20"/>
          <w:szCs w:val="20"/>
        </w:rPr>
        <w:t xml:space="preserve">pea being one </w:t>
      </w:r>
      <w:r w:rsidRPr="00837B11">
        <w:rPr>
          <w:rStyle w:val="css-15iwe0d"/>
          <w:rFonts w:ascii="Arial" w:hAnsi="Arial" w:cs="Arial"/>
          <w:sz w:val="20"/>
          <w:szCs w:val="20"/>
        </w:rPr>
        <w:t>of them (Smartt et al., 1994). The grass</w:t>
      </w:r>
      <w:r w:rsidR="003E1B0B" w:rsidRPr="00837B11">
        <w:rPr>
          <w:rStyle w:val="css-15iwe0d"/>
          <w:rFonts w:ascii="Arial" w:hAnsi="Arial" w:cs="Arial"/>
          <w:sz w:val="20"/>
          <w:szCs w:val="20"/>
        </w:rPr>
        <w:t xml:space="preserve"> </w:t>
      </w:r>
      <w:r w:rsidRPr="00837B11">
        <w:rPr>
          <w:rStyle w:val="css-15iwe0d"/>
          <w:rFonts w:ascii="Arial" w:hAnsi="Arial" w:cs="Arial"/>
          <w:sz w:val="20"/>
          <w:szCs w:val="20"/>
        </w:rPr>
        <w:t>pea is an abundantly branching suberect, straggling, or climbing herbaceous winter annual with stems that range in height from 0.6 to 9.0 m. The leaves are pinnately compound and typically have two leaflets that are</w:t>
      </w:r>
      <w:r w:rsidRPr="00837B11">
        <w:rPr>
          <w:rStyle w:val="css-15iwe0d"/>
          <w:rFonts w:ascii="Arial" w:hAnsi="Arial" w:cs="Arial"/>
          <w:sz w:val="20"/>
          <w:szCs w:val="20"/>
        </w:rPr>
        <w:t xml:space="preserve"> linear-lanceolate and 25 to 150 mm long by 3 to 9 mm wide (Duke, 1981). The leaflets are sessile, whole, and have cuneate bases and acuminate apex</w:t>
      </w:r>
      <w:r w:rsidR="0017042D" w:rsidRPr="00837B11">
        <w:rPr>
          <w:rStyle w:val="css-15iwe0d"/>
          <w:rFonts w:ascii="Arial" w:hAnsi="Arial" w:cs="Arial"/>
          <w:sz w:val="20"/>
          <w:szCs w:val="20"/>
        </w:rPr>
        <w:t xml:space="preserve"> </w:t>
      </w:r>
      <w:r w:rsidR="00ED0F94" w:rsidRPr="00837B11">
        <w:rPr>
          <w:rFonts w:ascii="Arial" w:eastAsia="Times New Roman" w:hAnsi="Arial" w:cs="Arial"/>
          <w:sz w:val="20"/>
          <w:szCs w:val="20"/>
          <w:lang w:eastAsia="en-IN"/>
        </w:rPr>
        <w:t xml:space="preserve">L. sativus is a sub-erect, herbaceous winter annual plant. The stems can grow up to 25 to 60 cm in height.  The </w:t>
      </w:r>
      <w:r w:rsidR="00ED0F94" w:rsidRPr="00837B11">
        <w:rPr>
          <w:rFonts w:ascii="Arial" w:eastAsia="Times New Roman" w:hAnsi="Arial" w:cs="Arial"/>
          <w:i/>
          <w:iCs/>
          <w:sz w:val="20"/>
          <w:szCs w:val="20"/>
          <w:lang w:eastAsia="en-IN"/>
        </w:rPr>
        <w:t>L. sativus</w:t>
      </w:r>
      <w:r w:rsidR="00ED0F94" w:rsidRPr="00837B11">
        <w:rPr>
          <w:rFonts w:ascii="Arial" w:eastAsia="Times New Roman" w:hAnsi="Arial" w:cs="Arial"/>
          <w:sz w:val="20"/>
          <w:szCs w:val="20"/>
          <w:lang w:eastAsia="en-IN"/>
        </w:rPr>
        <w:t xml:space="preserve"> has pinnately complex leaves with two leaflets, with modified tendrils on the top ones. </w:t>
      </w:r>
      <w:r w:rsidRPr="00837B11">
        <w:rPr>
          <w:rStyle w:val="css-15iwe0d"/>
          <w:rFonts w:ascii="Arial" w:hAnsi="Arial" w:cs="Arial"/>
          <w:sz w:val="20"/>
          <w:szCs w:val="20"/>
        </w:rPr>
        <w:t xml:space="preserve">The flowers are axillary, single, and come in a range of hues, including blue, violet blue, pink, dark pink, bright yellow, white, and white with purple </w:t>
      </w:r>
      <w:r w:rsidRPr="00837B11">
        <w:rPr>
          <w:rStyle w:val="css-15iwe0d"/>
          <w:rFonts w:ascii="Arial" w:hAnsi="Arial" w:cs="Arial"/>
          <w:sz w:val="20"/>
          <w:szCs w:val="20"/>
        </w:rPr>
        <w:t>stripes</w:t>
      </w:r>
      <w:r w:rsidR="00871BCD" w:rsidRPr="00837B11">
        <w:rPr>
          <w:rStyle w:val="css-15iwe0d"/>
          <w:rFonts w:ascii="Arial" w:hAnsi="Arial" w:cs="Arial"/>
          <w:sz w:val="20"/>
          <w:szCs w:val="20"/>
        </w:rPr>
        <w:t xml:space="preserve"> (Fig</w:t>
      </w:r>
      <w:r w:rsidR="0042359D" w:rsidRPr="00837B11">
        <w:rPr>
          <w:rStyle w:val="css-15iwe0d"/>
          <w:rFonts w:ascii="Arial" w:hAnsi="Arial" w:cs="Arial"/>
          <w:sz w:val="20"/>
          <w:szCs w:val="20"/>
        </w:rPr>
        <w:t xml:space="preserve"> 1</w:t>
      </w:r>
      <w:r w:rsidR="00871BCD" w:rsidRPr="00837B11">
        <w:rPr>
          <w:rStyle w:val="css-15iwe0d"/>
          <w:rFonts w:ascii="Arial" w:hAnsi="Arial" w:cs="Arial"/>
          <w:sz w:val="20"/>
          <w:szCs w:val="20"/>
        </w:rPr>
        <w:t>)</w:t>
      </w:r>
      <w:r w:rsidRPr="00837B11">
        <w:rPr>
          <w:rStyle w:val="css-15iwe0d"/>
          <w:rFonts w:ascii="Arial" w:hAnsi="Arial" w:cs="Arial"/>
          <w:sz w:val="20"/>
          <w:szCs w:val="20"/>
        </w:rPr>
        <w:t xml:space="preserve">. Each pod contains three to five white, </w:t>
      </w:r>
      <w:proofErr w:type="spellStart"/>
      <w:r w:rsidRPr="00837B11">
        <w:rPr>
          <w:rStyle w:val="css-15iwe0d"/>
          <w:rFonts w:ascii="Arial" w:hAnsi="Arial" w:cs="Arial"/>
          <w:sz w:val="20"/>
          <w:szCs w:val="20"/>
        </w:rPr>
        <w:t>grayish</w:t>
      </w:r>
      <w:proofErr w:type="spellEnd"/>
      <w:r w:rsidRPr="00837B11">
        <w:rPr>
          <w:rStyle w:val="css-15iwe0d"/>
          <w:rFonts w:ascii="Arial" w:hAnsi="Arial" w:cs="Arial"/>
          <w:sz w:val="20"/>
          <w:szCs w:val="20"/>
        </w:rPr>
        <w:t xml:space="preserve">-brown, or yellowish seeds that are typically speckled or mottled, and they are oblong, 2.5 to 4.0 cm long, flat, and slightly curved (Duke, 1981). The seeds are angled, wedge-shaped, and have </w:t>
      </w:r>
      <w:r w:rsidRPr="00837B11">
        <w:rPr>
          <w:rStyle w:val="css-15iwe0d"/>
          <w:rFonts w:ascii="Arial" w:hAnsi="Arial" w:cs="Arial"/>
          <w:sz w:val="20"/>
          <w:szCs w:val="20"/>
        </w:rPr>
        <w:t>spots or mottling in addition to being white, brownish-</w:t>
      </w:r>
      <w:proofErr w:type="spellStart"/>
      <w:r w:rsidRPr="00837B11">
        <w:rPr>
          <w:rStyle w:val="css-15iwe0d"/>
          <w:rFonts w:ascii="Arial" w:hAnsi="Arial" w:cs="Arial"/>
          <w:sz w:val="20"/>
          <w:szCs w:val="20"/>
        </w:rPr>
        <w:t>gray</w:t>
      </w:r>
      <w:proofErr w:type="spellEnd"/>
      <w:r w:rsidRPr="00837B11">
        <w:rPr>
          <w:rStyle w:val="css-15iwe0d"/>
          <w:rFonts w:ascii="Arial" w:hAnsi="Arial" w:cs="Arial"/>
          <w:sz w:val="20"/>
          <w:szCs w:val="20"/>
        </w:rPr>
        <w:t>, or yellow (</w:t>
      </w:r>
      <w:proofErr w:type="spellStart"/>
      <w:r w:rsidRPr="00837B11">
        <w:rPr>
          <w:rStyle w:val="css-15iwe0d"/>
          <w:rFonts w:ascii="Arial" w:hAnsi="Arial" w:cs="Arial"/>
          <w:sz w:val="20"/>
          <w:szCs w:val="20"/>
        </w:rPr>
        <w:t>Barpete</w:t>
      </w:r>
      <w:proofErr w:type="spellEnd"/>
      <w:r w:rsidR="00973538" w:rsidRPr="00837B11">
        <w:rPr>
          <w:rStyle w:val="css-15iwe0d"/>
          <w:rFonts w:ascii="Arial" w:hAnsi="Arial" w:cs="Arial"/>
          <w:sz w:val="20"/>
          <w:szCs w:val="20"/>
        </w:rPr>
        <w:t xml:space="preserve">, </w:t>
      </w:r>
      <w:r w:rsidRPr="00837B11">
        <w:rPr>
          <w:rStyle w:val="css-15iwe0d"/>
          <w:rFonts w:ascii="Arial" w:hAnsi="Arial" w:cs="Arial"/>
          <w:sz w:val="20"/>
          <w:szCs w:val="20"/>
        </w:rPr>
        <w:t>2015).</w:t>
      </w:r>
      <w:r w:rsidR="000538E2" w:rsidRPr="00837B11">
        <w:rPr>
          <w:rFonts w:ascii="Arial" w:hAnsi="Arial" w:cs="Arial"/>
          <w:noProof/>
          <w:sz w:val="20"/>
          <w:szCs w:val="20"/>
        </w:rPr>
        <w:t xml:space="preserve"> </w:t>
      </w:r>
    </w:p>
    <w:p w14:paraId="6856CEF4" w14:textId="77777777" w:rsidR="000538E2" w:rsidRDefault="000538E2" w:rsidP="000538E2">
      <w:pPr>
        <w:spacing w:line="360" w:lineRule="auto"/>
        <w:jc w:val="center"/>
        <w:rPr>
          <w:rStyle w:val="css-15iwe0d"/>
          <w:sz w:val="24"/>
          <w:szCs w:val="24"/>
        </w:rPr>
      </w:pPr>
      <w:r>
        <w:rPr>
          <w:rStyle w:val="css-15iwe0d"/>
          <w:noProof/>
          <w:sz w:val="24"/>
          <w:szCs w:val="24"/>
        </w:rPr>
        <w:lastRenderedPageBreak/>
        <w:drawing>
          <wp:inline distT="0" distB="0" distL="0" distR="0" wp14:anchorId="24F54851" wp14:editId="70E408DD">
            <wp:extent cx="3066415" cy="2792095"/>
            <wp:effectExtent l="0" t="0" r="635" b="8255"/>
            <wp:docPr id="1166186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6415" cy="2792095"/>
                    </a:xfrm>
                    <a:prstGeom prst="rect">
                      <a:avLst/>
                    </a:prstGeom>
                    <a:noFill/>
                  </pic:spPr>
                </pic:pic>
              </a:graphicData>
            </a:graphic>
          </wp:inline>
        </w:drawing>
      </w:r>
    </w:p>
    <w:p w14:paraId="29B2D316" w14:textId="1ACC4044" w:rsidR="0042359D" w:rsidRPr="009D0A25" w:rsidRDefault="0042359D" w:rsidP="000538E2">
      <w:pPr>
        <w:spacing w:line="360" w:lineRule="auto"/>
        <w:jc w:val="center"/>
        <w:rPr>
          <w:rStyle w:val="css-15iwe0d"/>
          <w:rFonts w:ascii="Arial" w:hAnsi="Arial" w:cs="Arial"/>
          <w:b/>
          <w:bCs/>
          <w:sz w:val="20"/>
          <w:szCs w:val="20"/>
        </w:rPr>
      </w:pPr>
      <w:r w:rsidRPr="009D0A25">
        <w:rPr>
          <w:rStyle w:val="css-15iwe0d"/>
          <w:rFonts w:ascii="Arial" w:hAnsi="Arial" w:cs="Arial"/>
          <w:b/>
          <w:bCs/>
          <w:sz w:val="20"/>
          <w:szCs w:val="20"/>
        </w:rPr>
        <w:t>Fig.</w:t>
      </w:r>
      <w:r w:rsidR="009D0A25">
        <w:rPr>
          <w:rStyle w:val="css-15iwe0d"/>
          <w:rFonts w:ascii="Arial" w:hAnsi="Arial" w:cs="Arial"/>
          <w:b/>
          <w:bCs/>
          <w:sz w:val="20"/>
          <w:szCs w:val="20"/>
        </w:rPr>
        <w:t xml:space="preserve"> </w:t>
      </w:r>
      <w:r w:rsidRPr="009D0A25">
        <w:rPr>
          <w:rStyle w:val="css-15iwe0d"/>
          <w:rFonts w:ascii="Arial" w:hAnsi="Arial" w:cs="Arial"/>
          <w:b/>
          <w:bCs/>
          <w:sz w:val="20"/>
          <w:szCs w:val="20"/>
        </w:rPr>
        <w:t>1</w:t>
      </w:r>
      <w:r w:rsidR="009D0A25">
        <w:rPr>
          <w:rStyle w:val="css-15iwe0d"/>
          <w:rFonts w:ascii="Arial" w:hAnsi="Arial" w:cs="Arial"/>
          <w:b/>
          <w:bCs/>
          <w:sz w:val="20"/>
          <w:szCs w:val="20"/>
        </w:rPr>
        <w:t>.</w:t>
      </w:r>
      <w:r w:rsidRPr="009D0A25">
        <w:rPr>
          <w:rStyle w:val="css-15iwe0d"/>
          <w:rFonts w:ascii="Arial" w:hAnsi="Arial" w:cs="Arial"/>
          <w:b/>
          <w:bCs/>
          <w:sz w:val="20"/>
          <w:szCs w:val="20"/>
        </w:rPr>
        <w:t xml:space="preserve"> </w:t>
      </w:r>
      <w:r w:rsidR="00D27806" w:rsidRPr="009D0A25">
        <w:rPr>
          <w:rStyle w:val="css-15iwe0d"/>
          <w:rFonts w:ascii="Arial" w:hAnsi="Arial" w:cs="Arial"/>
          <w:b/>
          <w:bCs/>
          <w:sz w:val="20"/>
          <w:szCs w:val="20"/>
        </w:rPr>
        <w:t>Characteristics of grass pea flower, pod, seed and flour</w:t>
      </w:r>
    </w:p>
    <w:p w14:paraId="654E4A4B" w14:textId="75B89993" w:rsidR="00B54DD6"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3. Nutrition of grass pea</w:t>
      </w:r>
    </w:p>
    <w:p w14:paraId="07850F6B" w14:textId="5A16B46F"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 xml:space="preserve">pea seeds have a protein level of 8.6-34.6%, higher than that of </w:t>
      </w:r>
      <w:r w:rsidRPr="00844067">
        <w:rPr>
          <w:rStyle w:val="css-15iwe0d"/>
          <w:rFonts w:ascii="Arial" w:hAnsi="Arial" w:cs="Arial"/>
          <w:sz w:val="20"/>
          <w:szCs w:val="20"/>
        </w:rPr>
        <w:t>chickpeas (18%), field peas (21%), and French beans (20%) (</w:t>
      </w:r>
      <w:proofErr w:type="spellStart"/>
      <w:r w:rsidRPr="00844067">
        <w:rPr>
          <w:rStyle w:val="css-15iwe0d"/>
          <w:rFonts w:ascii="Arial" w:hAnsi="Arial" w:cs="Arial"/>
          <w:sz w:val="20"/>
          <w:szCs w:val="20"/>
        </w:rPr>
        <w:t>Longvah</w:t>
      </w:r>
      <w:proofErr w:type="spellEnd"/>
      <w:r w:rsidRPr="00844067">
        <w:rPr>
          <w:rStyle w:val="css-15iwe0d"/>
          <w:rFonts w:ascii="Arial" w:hAnsi="Arial" w:cs="Arial"/>
          <w:sz w:val="20"/>
          <w:szCs w:val="20"/>
        </w:rPr>
        <w:t xml:space="preserve"> et al., 2017). The percentages of crude </w:t>
      </w:r>
      <w:proofErr w:type="spellStart"/>
      <w:r w:rsidRPr="00844067">
        <w:rPr>
          <w:rStyle w:val="css-15iwe0d"/>
          <w:rFonts w:ascii="Arial" w:hAnsi="Arial" w:cs="Arial"/>
          <w:sz w:val="20"/>
          <w:szCs w:val="20"/>
        </w:rPr>
        <w:t>fiber</w:t>
      </w:r>
      <w:proofErr w:type="spellEnd"/>
      <w:r w:rsidRPr="00844067">
        <w:rPr>
          <w:rStyle w:val="css-15iwe0d"/>
          <w:rFonts w:ascii="Arial" w:hAnsi="Arial" w:cs="Arial"/>
          <w:sz w:val="20"/>
          <w:szCs w:val="20"/>
        </w:rPr>
        <w:t xml:space="preserve"> and carbohydrates in seeds, respectively, have been shown to range from 1.1 to 1.7% and 48 to 52.3% (</w:t>
      </w:r>
      <w:proofErr w:type="gramStart"/>
      <w:r w:rsidRPr="00844067">
        <w:rPr>
          <w:rStyle w:val="css-15iwe0d"/>
          <w:rFonts w:ascii="Arial" w:hAnsi="Arial" w:cs="Arial"/>
          <w:sz w:val="20"/>
          <w:szCs w:val="20"/>
        </w:rPr>
        <w:t>Tamburino  et al.</w:t>
      </w:r>
      <w:proofErr w:type="gramEnd"/>
      <w:r w:rsidRPr="00844067">
        <w:rPr>
          <w:rStyle w:val="css-15iwe0d"/>
          <w:rFonts w:ascii="Arial" w:hAnsi="Arial" w:cs="Arial"/>
          <w:sz w:val="20"/>
          <w:szCs w:val="20"/>
        </w:rPr>
        <w:t>, 2012). The overall prot</w:t>
      </w:r>
      <w:r w:rsidRPr="00844067">
        <w:rPr>
          <w:rStyle w:val="css-15iwe0d"/>
          <w:rFonts w:ascii="Arial" w:hAnsi="Arial" w:cs="Arial"/>
          <w:sz w:val="20"/>
          <w:szCs w:val="20"/>
        </w:rPr>
        <w:t>ein content of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is made up of roughly 60% globulins and 30% albumins, with 90% of that protein being digestible with a 10% protein consumption (Gupta et al.,2021</w:t>
      </w:r>
      <w:r w:rsidR="003E1B0B" w:rsidRPr="00844067">
        <w:rPr>
          <w:rStyle w:val="css-15iwe0d"/>
          <w:rFonts w:ascii="Arial" w:hAnsi="Arial" w:cs="Arial"/>
          <w:sz w:val="20"/>
          <w:szCs w:val="20"/>
        </w:rPr>
        <w:t>)</w:t>
      </w:r>
      <w:r w:rsidRPr="00844067">
        <w:rPr>
          <w:rStyle w:val="css-15iwe0d"/>
          <w:rFonts w:ascii="Arial" w:hAnsi="Arial" w:cs="Arial"/>
          <w:sz w:val="20"/>
          <w:szCs w:val="20"/>
        </w:rPr>
        <w:t>. According to Hanbury et al. (2000), the amino acid profiles of L. sativus are</w:t>
      </w:r>
      <w:r w:rsidRPr="00844067">
        <w:rPr>
          <w:rStyle w:val="css-15iwe0d"/>
          <w:rFonts w:ascii="Arial" w:hAnsi="Arial" w:cs="Arial"/>
          <w:sz w:val="20"/>
          <w:szCs w:val="20"/>
        </w:rPr>
        <w:t xml:space="preserve"> comparable to those of numerous grain legumes. Additionally, grass pea, like the majority of grain legumes, is poor in the critical </w:t>
      </w:r>
      <w:proofErr w:type="spellStart"/>
      <w:r w:rsidRPr="00844067">
        <w:rPr>
          <w:rStyle w:val="css-15iwe0d"/>
          <w:rFonts w:ascii="Arial" w:hAnsi="Arial" w:cs="Arial"/>
          <w:sz w:val="20"/>
          <w:szCs w:val="20"/>
        </w:rPr>
        <w:t>sulfur</w:t>
      </w:r>
      <w:proofErr w:type="spellEnd"/>
      <w:r w:rsidRPr="00844067">
        <w:rPr>
          <w:rStyle w:val="css-15iwe0d"/>
          <w:rFonts w:ascii="Arial" w:hAnsi="Arial" w:cs="Arial"/>
          <w:sz w:val="20"/>
          <w:szCs w:val="20"/>
        </w:rPr>
        <w:t>-containing amino acids methionine and cysteine, but is abundant in the amino acid lysine, which is scarce in cereals</w:t>
      </w:r>
      <w:r w:rsidRPr="00844067">
        <w:rPr>
          <w:rStyle w:val="css-15iwe0d"/>
          <w:rFonts w:ascii="Arial" w:hAnsi="Arial" w:cs="Arial"/>
          <w:sz w:val="20"/>
          <w:szCs w:val="20"/>
        </w:rPr>
        <w:t>. (Mahler-</w:t>
      </w:r>
      <w:proofErr w:type="spellStart"/>
      <w:r w:rsidRPr="00844067">
        <w:rPr>
          <w:rStyle w:val="css-15iwe0d"/>
          <w:rFonts w:ascii="Arial" w:hAnsi="Arial" w:cs="Arial"/>
          <w:sz w:val="20"/>
          <w:szCs w:val="20"/>
        </w:rPr>
        <w:t>Slasky</w:t>
      </w:r>
      <w:proofErr w:type="spellEnd"/>
      <w:r w:rsidRPr="00844067">
        <w:rPr>
          <w:rStyle w:val="css-15iwe0d"/>
          <w:rFonts w:ascii="Arial" w:hAnsi="Arial" w:cs="Arial"/>
          <w:sz w:val="20"/>
          <w:szCs w:val="20"/>
        </w:rPr>
        <w:t xml:space="preserve"> and </w:t>
      </w:r>
      <w:proofErr w:type="gramStart"/>
      <w:r w:rsidRPr="00844067">
        <w:rPr>
          <w:rStyle w:val="css-15iwe0d"/>
          <w:rFonts w:ascii="Arial" w:hAnsi="Arial" w:cs="Arial"/>
          <w:sz w:val="20"/>
          <w:szCs w:val="20"/>
        </w:rPr>
        <w:t>Kislev</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 xml:space="preserve"> 2010</w:t>
      </w:r>
      <w:proofErr w:type="gramEnd"/>
      <w:r w:rsidRPr="00844067">
        <w:rPr>
          <w:rStyle w:val="css-15iwe0d"/>
          <w:rFonts w:ascii="Arial" w:hAnsi="Arial" w:cs="Arial"/>
          <w:sz w:val="20"/>
          <w:szCs w:val="20"/>
        </w:rPr>
        <w:t>). In the same order, the total lipids, ascorbic acid, and glutathione each provide 1.67 g, 13.50 mg, and 15.90 mg/100 g of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A significant source of vitamin B complex,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have 4.60 mg of thiamin</w:t>
      </w:r>
      <w:r w:rsidRPr="00844067">
        <w:rPr>
          <w:rStyle w:val="css-15iwe0d"/>
          <w:rFonts w:ascii="Arial" w:hAnsi="Arial" w:cs="Arial"/>
          <w:sz w:val="20"/>
          <w:szCs w:val="20"/>
        </w:rPr>
        <w:t>e (B1), 2.30 mg of riboflavin (B2), 16.40 mg of niacin (B3), 18.40 mg of pantothenic acid (B5), 5.80 mg of pyridoxine (B6), and 5.40 mg/kg of folic acid (B9). In addition,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contain high levels of ascorbic acid (42.5 mg/kg), retinol (34.9 g/k</w:t>
      </w:r>
      <w:r w:rsidRPr="00844067">
        <w:rPr>
          <w:rStyle w:val="css-15iwe0d"/>
          <w:rFonts w:ascii="Arial" w:hAnsi="Arial" w:cs="Arial"/>
          <w:sz w:val="20"/>
          <w:szCs w:val="20"/>
        </w:rPr>
        <w:t>g), and carotene (323.3 g/kg) (52). In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the concentrations of iron and zinc varied from 6.9 to 8.7 mg/100 g and from 2.43 to 26.7 mg/100 g, respectively (Urga et al, 2005). A significant source of vitamin B complex, grass</w:t>
      </w:r>
      <w:r w:rsidR="003E1B0B" w:rsidRPr="00844067">
        <w:rPr>
          <w:rStyle w:val="css-15iwe0d"/>
          <w:rFonts w:ascii="Arial" w:hAnsi="Arial" w:cs="Arial"/>
          <w:sz w:val="20"/>
          <w:szCs w:val="20"/>
        </w:rPr>
        <w:t xml:space="preserve"> </w:t>
      </w:r>
      <w:r w:rsidRPr="00844067">
        <w:rPr>
          <w:rStyle w:val="css-15iwe0d"/>
          <w:rFonts w:ascii="Arial" w:hAnsi="Arial" w:cs="Arial"/>
          <w:sz w:val="20"/>
          <w:szCs w:val="20"/>
        </w:rPr>
        <w:t>pea seeds have 4.6</w:t>
      </w:r>
      <w:r w:rsidRPr="00844067">
        <w:rPr>
          <w:rStyle w:val="css-15iwe0d"/>
          <w:rFonts w:ascii="Arial" w:hAnsi="Arial" w:cs="Arial"/>
          <w:sz w:val="20"/>
          <w:szCs w:val="20"/>
        </w:rPr>
        <w:t xml:space="preserve">0 mg of thiamine (B1), 2.30 mg of riboflavin (B2), 16.40 mg of niacin (B3), 18.40 mg of pantothenic acid (B5), 5.80 mg of pyridoxine (B6), and 5.40 mg/kg of folic acid (B9). In addition, </w:t>
      </w:r>
      <w:r w:rsidR="0042359D" w:rsidRPr="00844067">
        <w:rPr>
          <w:rStyle w:val="css-15iwe0d"/>
          <w:rFonts w:ascii="Arial" w:hAnsi="Arial" w:cs="Arial"/>
          <w:sz w:val="20"/>
          <w:szCs w:val="20"/>
        </w:rPr>
        <w:t>grass pea</w:t>
      </w:r>
      <w:r w:rsidRPr="00844067">
        <w:rPr>
          <w:rStyle w:val="css-15iwe0d"/>
          <w:rFonts w:ascii="Arial" w:hAnsi="Arial" w:cs="Arial"/>
          <w:sz w:val="20"/>
          <w:szCs w:val="20"/>
        </w:rPr>
        <w:t xml:space="preserve"> seeds contain high levels of ascorbic acid (42.5 mg/kg), retinol (34.9 g/kg), and carotene (323.3 g/kg) (Arslan</w:t>
      </w:r>
      <w:r w:rsidR="003E1B0B" w:rsidRPr="00844067">
        <w:rPr>
          <w:rStyle w:val="css-15iwe0d"/>
          <w:rFonts w:ascii="Arial" w:hAnsi="Arial" w:cs="Arial"/>
          <w:sz w:val="20"/>
          <w:szCs w:val="20"/>
        </w:rPr>
        <w:t>,</w:t>
      </w:r>
      <w:r w:rsidRPr="00844067">
        <w:rPr>
          <w:rStyle w:val="css-15iwe0d"/>
          <w:rFonts w:ascii="Arial" w:hAnsi="Arial" w:cs="Arial"/>
          <w:sz w:val="20"/>
          <w:szCs w:val="20"/>
        </w:rPr>
        <w:t xml:space="preserve"> 2017). Only a few of the more well-known species of Lathyrus have had their polyphenol content, antioxidant activity, and usefulness examined.</w:t>
      </w:r>
      <w:r w:rsidRPr="00844067">
        <w:rPr>
          <w:rStyle w:val="css-15iwe0d"/>
          <w:rFonts w:ascii="Arial" w:hAnsi="Arial" w:cs="Arial"/>
          <w:sz w:val="20"/>
          <w:szCs w:val="20"/>
        </w:rPr>
        <w:t xml:space="preserve"> Lathyrus seeds contain between 0.1 to 5% (w/w) polyphenols. The concentration of tannins and polyphenols related with the </w:t>
      </w:r>
      <w:r w:rsidR="0042359D" w:rsidRPr="00844067">
        <w:rPr>
          <w:rStyle w:val="css-15iwe0d"/>
          <w:rFonts w:ascii="Arial" w:hAnsi="Arial" w:cs="Arial"/>
          <w:sz w:val="20"/>
          <w:szCs w:val="20"/>
        </w:rPr>
        <w:t>colour</w:t>
      </w:r>
      <w:r w:rsidRPr="00844067">
        <w:rPr>
          <w:rStyle w:val="css-15iwe0d"/>
          <w:rFonts w:ascii="Arial" w:hAnsi="Arial" w:cs="Arial"/>
          <w:sz w:val="20"/>
          <w:szCs w:val="20"/>
        </w:rPr>
        <w:t xml:space="preserve"> of the seed coat were observed to range from 39 to 999 mg/kg (Deshpande and Campbell, 1992) in 100 lines of L. sativus. </w:t>
      </w:r>
      <w:proofErr w:type="spellStart"/>
      <w:r w:rsidRPr="00844067">
        <w:rPr>
          <w:rStyle w:val="css-15iwe0d"/>
          <w:rFonts w:ascii="Arial" w:hAnsi="Arial" w:cs="Arial"/>
          <w:sz w:val="20"/>
          <w:szCs w:val="20"/>
        </w:rPr>
        <w:t>Ranaba</w:t>
      </w:r>
      <w:r w:rsidRPr="00844067">
        <w:rPr>
          <w:rStyle w:val="css-15iwe0d"/>
          <w:rFonts w:ascii="Arial" w:hAnsi="Arial" w:cs="Arial"/>
          <w:sz w:val="20"/>
          <w:szCs w:val="20"/>
        </w:rPr>
        <w:t>hu</w:t>
      </w:r>
      <w:proofErr w:type="spellEnd"/>
      <w:r w:rsidRPr="00844067">
        <w:rPr>
          <w:rStyle w:val="css-15iwe0d"/>
          <w:rFonts w:ascii="Arial" w:hAnsi="Arial" w:cs="Arial"/>
          <w:sz w:val="20"/>
          <w:szCs w:val="20"/>
        </w:rPr>
        <w:t xml:space="preserve"> et al. (1993) investigated the flavonoids in the leaves of 36 species of Lathyrus, a group of polyphenols </w:t>
      </w:r>
      <w:r w:rsidRPr="00844067">
        <w:rPr>
          <w:rStyle w:val="css-15iwe0d"/>
          <w:rFonts w:ascii="Arial" w:hAnsi="Arial" w:cs="Arial"/>
          <w:sz w:val="20"/>
          <w:szCs w:val="20"/>
        </w:rPr>
        <w:lastRenderedPageBreak/>
        <w:t xml:space="preserve">that are common in legumes. The antioxidant activity of the polyphenols from the non-cultivated L. maritimus was reported by Shahidi and coauthors </w:t>
      </w:r>
      <w:r w:rsidRPr="00844067">
        <w:rPr>
          <w:rStyle w:val="css-15iwe0d"/>
          <w:rFonts w:ascii="Arial" w:hAnsi="Arial" w:cs="Arial"/>
          <w:sz w:val="20"/>
          <w:szCs w:val="20"/>
        </w:rPr>
        <w:t>(Shahidi, et al., 2001).</w:t>
      </w:r>
      <w:r w:rsidR="0042359D" w:rsidRPr="00844067">
        <w:rPr>
          <w:rStyle w:val="css-15iwe0d"/>
          <w:rFonts w:ascii="Arial" w:hAnsi="Arial" w:cs="Arial"/>
          <w:sz w:val="20"/>
          <w:szCs w:val="20"/>
        </w:rPr>
        <w:t xml:space="preserve"> </w:t>
      </w:r>
      <w:r w:rsidRPr="00844067">
        <w:rPr>
          <w:rStyle w:val="css-15iwe0d"/>
          <w:rFonts w:ascii="Arial" w:hAnsi="Arial" w:cs="Arial"/>
          <w:i/>
          <w:sz w:val="20"/>
          <w:szCs w:val="20"/>
        </w:rPr>
        <w:t>Lathyrus sativus</w:t>
      </w:r>
      <w:r w:rsidRPr="00844067">
        <w:rPr>
          <w:rStyle w:val="css-15iwe0d"/>
          <w:rFonts w:ascii="Arial" w:hAnsi="Arial" w:cs="Arial"/>
          <w:sz w:val="20"/>
          <w:szCs w:val="20"/>
        </w:rPr>
        <w:t xml:space="preserve">' mean protein content (29.71.5%) compares </w:t>
      </w:r>
      <w:proofErr w:type="spellStart"/>
      <w:r w:rsidRPr="00844067">
        <w:rPr>
          <w:rStyle w:val="css-15iwe0d"/>
          <w:rFonts w:ascii="Arial" w:hAnsi="Arial" w:cs="Arial"/>
          <w:sz w:val="20"/>
          <w:szCs w:val="20"/>
        </w:rPr>
        <w:t>favorably</w:t>
      </w:r>
      <w:proofErr w:type="spellEnd"/>
      <w:r w:rsidRPr="00844067">
        <w:rPr>
          <w:rStyle w:val="css-15iwe0d"/>
          <w:rFonts w:ascii="Arial" w:hAnsi="Arial" w:cs="Arial"/>
          <w:sz w:val="20"/>
          <w:szCs w:val="20"/>
        </w:rPr>
        <w:t xml:space="preserve"> to that of more common legumes like Glycine max and Lupinus species (Urga et al., 2005). Magnesium and phosphorus are present in larger amounts in the seeds, foll</w:t>
      </w:r>
      <w:r w:rsidRPr="00844067">
        <w:rPr>
          <w:rStyle w:val="css-15iwe0d"/>
          <w:rFonts w:ascii="Arial" w:hAnsi="Arial" w:cs="Arial"/>
          <w:sz w:val="20"/>
          <w:szCs w:val="20"/>
        </w:rPr>
        <w:t>owed by calcium as reported by Urga et al.,</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2005</w:t>
      </w:r>
      <w:r w:rsidR="00EA296A" w:rsidRPr="00844067">
        <w:rPr>
          <w:rStyle w:val="css-15iwe0d"/>
          <w:rFonts w:ascii="Arial" w:hAnsi="Arial" w:cs="Arial"/>
          <w:sz w:val="20"/>
          <w:szCs w:val="20"/>
        </w:rPr>
        <w:t>)</w:t>
      </w:r>
      <w:r w:rsidRPr="00844067">
        <w:rPr>
          <w:rStyle w:val="css-15iwe0d"/>
          <w:rFonts w:ascii="Arial" w:hAnsi="Arial" w:cs="Arial"/>
          <w:sz w:val="20"/>
          <w:szCs w:val="20"/>
        </w:rPr>
        <w:t>. Along with offering high-quality proteins for both human and animal nutrition, the Lathyrus genus represents a potential new source of natural antioxidants.</w:t>
      </w:r>
    </w:p>
    <w:p w14:paraId="12A58663" w14:textId="77777777" w:rsidR="00ED0F94" w:rsidRPr="00844067" w:rsidRDefault="00ED0F94">
      <w:pPr>
        <w:spacing w:line="360" w:lineRule="auto"/>
        <w:jc w:val="both"/>
        <w:rPr>
          <w:rStyle w:val="css-15iwe0d"/>
          <w:rFonts w:ascii="Arial" w:hAnsi="Arial" w:cs="Arial"/>
        </w:rPr>
      </w:pPr>
    </w:p>
    <w:p w14:paraId="16AD2C21" w14:textId="033307B7" w:rsidR="00AA6312"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 xml:space="preserve">4. </w:t>
      </w:r>
      <w:r w:rsidR="00ED0F94" w:rsidRPr="00844067">
        <w:rPr>
          <w:rStyle w:val="css-15iwe0d"/>
          <w:rFonts w:ascii="Arial" w:hAnsi="Arial" w:cs="Arial"/>
          <w:b/>
          <w:bCs/>
        </w:rPr>
        <w:t>Chemistry of BOAA</w:t>
      </w:r>
    </w:p>
    <w:p w14:paraId="4E8A021E" w14:textId="7A8FADBE" w:rsidR="00FB2C95" w:rsidRPr="00844067" w:rsidRDefault="00FB2C95" w:rsidP="00802EE6">
      <w:pPr>
        <w:spacing w:after="0" w:line="360" w:lineRule="auto"/>
        <w:jc w:val="both"/>
        <w:rPr>
          <w:rFonts w:ascii="Arial" w:eastAsia="Times New Roman" w:hAnsi="Arial" w:cs="Arial"/>
          <w:sz w:val="20"/>
          <w:szCs w:val="20"/>
          <w:lang w:eastAsia="en-IN"/>
        </w:rPr>
      </w:pPr>
      <w:r w:rsidRPr="00844067">
        <w:rPr>
          <w:rFonts w:ascii="Arial" w:eastAsia="Times New Roman" w:hAnsi="Arial" w:cs="Arial"/>
          <w:sz w:val="20"/>
          <w:szCs w:val="20"/>
          <w:lang w:eastAsia="en-IN"/>
        </w:rPr>
        <w:t xml:space="preserve">The chemical formula for β-ODAP, also known as BOAA or </w:t>
      </w:r>
      <w:proofErr w:type="spellStart"/>
      <w:r w:rsidRPr="00844067">
        <w:rPr>
          <w:rFonts w:ascii="Arial" w:eastAsia="Times New Roman" w:hAnsi="Arial" w:cs="Arial"/>
          <w:sz w:val="20"/>
          <w:szCs w:val="20"/>
          <w:lang w:eastAsia="en-IN"/>
        </w:rPr>
        <w:t>Dencichin</w:t>
      </w:r>
      <w:proofErr w:type="spellEnd"/>
      <w:r w:rsidRPr="00844067">
        <w:rPr>
          <w:rFonts w:ascii="Arial" w:eastAsia="Times New Roman" w:hAnsi="Arial" w:cs="Arial"/>
          <w:sz w:val="20"/>
          <w:szCs w:val="20"/>
          <w:lang w:eastAsia="en-IN"/>
        </w:rPr>
        <w:t>, is C</w:t>
      </w:r>
      <w:r w:rsidRPr="002F5FBA">
        <w:rPr>
          <w:rFonts w:ascii="Arial" w:eastAsia="Times New Roman" w:hAnsi="Arial" w:cs="Arial"/>
          <w:sz w:val="20"/>
          <w:szCs w:val="20"/>
          <w:vertAlign w:val="subscript"/>
          <w:lang w:eastAsia="en-IN"/>
        </w:rPr>
        <w:t>5</w:t>
      </w:r>
      <w:r w:rsidRPr="00844067">
        <w:rPr>
          <w:rFonts w:ascii="Arial" w:eastAsia="Times New Roman" w:hAnsi="Arial" w:cs="Arial"/>
          <w:sz w:val="20"/>
          <w:szCs w:val="20"/>
          <w:lang w:eastAsia="en-IN"/>
        </w:rPr>
        <w:t>H</w:t>
      </w:r>
      <w:r w:rsidRPr="002F5FBA">
        <w:rPr>
          <w:rFonts w:ascii="Arial" w:eastAsia="Times New Roman" w:hAnsi="Arial" w:cs="Arial"/>
          <w:sz w:val="20"/>
          <w:szCs w:val="20"/>
          <w:vertAlign w:val="subscript"/>
          <w:lang w:eastAsia="en-IN"/>
        </w:rPr>
        <w:t>8</w:t>
      </w:r>
      <w:r w:rsidRPr="00844067">
        <w:rPr>
          <w:rFonts w:ascii="Arial" w:eastAsia="Times New Roman" w:hAnsi="Arial" w:cs="Arial"/>
          <w:sz w:val="20"/>
          <w:szCs w:val="20"/>
          <w:lang w:eastAsia="en-IN"/>
        </w:rPr>
        <w:t>N</w:t>
      </w:r>
      <w:r w:rsidRPr="002F5FBA">
        <w:rPr>
          <w:rFonts w:ascii="Arial" w:eastAsia="Times New Roman" w:hAnsi="Arial" w:cs="Arial"/>
          <w:sz w:val="20"/>
          <w:szCs w:val="20"/>
          <w:vertAlign w:val="subscript"/>
          <w:lang w:eastAsia="en-IN"/>
        </w:rPr>
        <w:t>2</w:t>
      </w:r>
      <w:r w:rsidRPr="00844067">
        <w:rPr>
          <w:rFonts w:ascii="Arial" w:eastAsia="Times New Roman" w:hAnsi="Arial" w:cs="Arial"/>
          <w:sz w:val="20"/>
          <w:szCs w:val="20"/>
          <w:lang w:eastAsia="en-IN"/>
        </w:rPr>
        <w:t>O</w:t>
      </w:r>
      <w:r w:rsidRPr="002F5FBA">
        <w:rPr>
          <w:rFonts w:ascii="Arial" w:eastAsia="Times New Roman" w:hAnsi="Arial" w:cs="Arial"/>
          <w:sz w:val="20"/>
          <w:szCs w:val="20"/>
          <w:vertAlign w:val="subscript"/>
          <w:lang w:eastAsia="en-IN"/>
        </w:rPr>
        <w:t>5</w:t>
      </w:r>
      <w:r w:rsidRPr="00844067">
        <w:rPr>
          <w:rFonts w:ascii="Arial" w:eastAsia="Times New Roman" w:hAnsi="Arial" w:cs="Arial"/>
          <w:sz w:val="20"/>
          <w:szCs w:val="20"/>
          <w:lang w:eastAsia="en-IN"/>
        </w:rPr>
        <w:t>, with a molecular weight of 176. ODAP is available in two forms: α-ODAP and β-ODAP isomers</w:t>
      </w:r>
      <w:r w:rsidR="0042359D" w:rsidRPr="00844067">
        <w:rPr>
          <w:rFonts w:ascii="Arial" w:eastAsia="Times New Roman" w:hAnsi="Arial" w:cs="Arial"/>
          <w:sz w:val="20"/>
          <w:szCs w:val="20"/>
          <w:lang w:eastAsia="en-IN"/>
        </w:rPr>
        <w:t xml:space="preserve"> (Fig. 2). </w:t>
      </w:r>
      <w:r w:rsidRPr="00844067">
        <w:rPr>
          <w:rFonts w:ascii="Arial" w:eastAsia="Times New Roman" w:hAnsi="Arial" w:cs="Arial"/>
          <w:sz w:val="20"/>
          <w:szCs w:val="20"/>
          <w:lang w:eastAsia="en-IN"/>
        </w:rPr>
        <w:t xml:space="preserve">According to </w:t>
      </w:r>
      <w:proofErr w:type="spellStart"/>
      <w:r w:rsidRPr="00844067">
        <w:rPr>
          <w:rFonts w:ascii="Arial" w:eastAsia="Times New Roman" w:hAnsi="Arial" w:cs="Arial"/>
          <w:sz w:val="20"/>
          <w:szCs w:val="20"/>
          <w:lang w:eastAsia="en-IN"/>
        </w:rPr>
        <w:t>Gresta</w:t>
      </w:r>
      <w:proofErr w:type="spellEnd"/>
      <w:r w:rsidRPr="00844067">
        <w:rPr>
          <w:rFonts w:ascii="Arial" w:eastAsia="Times New Roman" w:hAnsi="Arial" w:cs="Arial"/>
          <w:sz w:val="20"/>
          <w:szCs w:val="20"/>
          <w:lang w:eastAsia="en-IN"/>
        </w:rPr>
        <w:t xml:space="preserve"> et al. (2014), the α-isomer of ODAP is less hazardous than the β-isomer and does not cause </w:t>
      </w:r>
      <w:proofErr w:type="spellStart"/>
      <w:r w:rsidRPr="00844067">
        <w:rPr>
          <w:rFonts w:ascii="Arial" w:eastAsia="Times New Roman" w:hAnsi="Arial" w:cs="Arial"/>
          <w:sz w:val="20"/>
          <w:szCs w:val="20"/>
          <w:lang w:eastAsia="en-IN"/>
        </w:rPr>
        <w:t>neurolathyrism</w:t>
      </w:r>
      <w:proofErr w:type="spellEnd"/>
      <w:r w:rsidRPr="00844067">
        <w:rPr>
          <w:rFonts w:ascii="Arial" w:eastAsia="Times New Roman" w:hAnsi="Arial" w:cs="Arial"/>
          <w:sz w:val="20"/>
          <w:szCs w:val="20"/>
          <w:lang w:eastAsia="en-IN"/>
        </w:rPr>
        <w:t>. Toxicity is mostly determined by the ratio of β-ODAP to total ODAP. The β:α ratio typically hovers around 95:5, but can change depending on conditions. The neurotoxin BOAA is structurally related to the neurotransmitter glutamate found in Lathyrus species.</w:t>
      </w:r>
    </w:p>
    <w:p w14:paraId="33AE3E80" w14:textId="77777777" w:rsidR="008E7D21" w:rsidRPr="00844067" w:rsidRDefault="008E7D21" w:rsidP="00802EE6">
      <w:pPr>
        <w:spacing w:line="360" w:lineRule="auto"/>
        <w:jc w:val="center"/>
        <w:rPr>
          <w:rStyle w:val="css-15iwe0d"/>
          <w:rFonts w:ascii="Arial" w:hAnsi="Arial" w:cs="Arial"/>
          <w:b/>
          <w:bCs/>
          <w:sz w:val="20"/>
          <w:szCs w:val="20"/>
        </w:rPr>
      </w:pPr>
    </w:p>
    <w:p w14:paraId="2ED5248C" w14:textId="35F7A4CE" w:rsidR="008E7D21" w:rsidRDefault="00844067" w:rsidP="00802EE6">
      <w:pPr>
        <w:spacing w:line="360" w:lineRule="auto"/>
        <w:jc w:val="center"/>
        <w:rPr>
          <w:rStyle w:val="css-15iwe0d"/>
          <w:b/>
          <w:bCs/>
          <w:sz w:val="24"/>
          <w:szCs w:val="24"/>
        </w:rPr>
      </w:pPr>
      <w:r>
        <w:rPr>
          <w:rStyle w:val="css-15iwe0d"/>
          <w:b/>
          <w:bCs/>
          <w:noProof/>
          <w:sz w:val="24"/>
          <w:szCs w:val="24"/>
        </w:rPr>
        <w:drawing>
          <wp:inline distT="0" distB="0" distL="0" distR="0" wp14:anchorId="787A3CF0" wp14:editId="0480B5AF">
            <wp:extent cx="2542903" cy="3650017"/>
            <wp:effectExtent l="0" t="0" r="0" b="7620"/>
            <wp:docPr id="143934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511" cy="3653761"/>
                    </a:xfrm>
                    <a:prstGeom prst="rect">
                      <a:avLst/>
                    </a:prstGeom>
                    <a:noFill/>
                  </pic:spPr>
                </pic:pic>
              </a:graphicData>
            </a:graphic>
          </wp:inline>
        </w:drawing>
      </w:r>
    </w:p>
    <w:p w14:paraId="0839C566" w14:textId="258A3190" w:rsidR="008E7D21" w:rsidRPr="009D0A25" w:rsidRDefault="0042359D">
      <w:pPr>
        <w:spacing w:line="360" w:lineRule="auto"/>
        <w:jc w:val="both"/>
        <w:rPr>
          <w:rStyle w:val="css-15iwe0d"/>
          <w:rFonts w:ascii="Arial" w:hAnsi="Arial" w:cs="Arial"/>
          <w:b/>
          <w:bCs/>
          <w:sz w:val="20"/>
          <w:szCs w:val="20"/>
        </w:rPr>
      </w:pPr>
      <w:r w:rsidRPr="009D0A25">
        <w:rPr>
          <w:rStyle w:val="css-15iwe0d"/>
          <w:rFonts w:ascii="Arial" w:hAnsi="Arial" w:cs="Arial"/>
          <w:b/>
          <w:bCs/>
          <w:sz w:val="20"/>
          <w:szCs w:val="20"/>
        </w:rPr>
        <w:t>Fig</w:t>
      </w:r>
      <w:r w:rsidR="009D0A25">
        <w:rPr>
          <w:rStyle w:val="css-15iwe0d"/>
          <w:rFonts w:ascii="Arial" w:hAnsi="Arial" w:cs="Arial"/>
          <w:b/>
          <w:bCs/>
          <w:sz w:val="20"/>
          <w:szCs w:val="20"/>
        </w:rPr>
        <w:t xml:space="preserve">. </w:t>
      </w:r>
      <w:r w:rsidRPr="009D0A25">
        <w:rPr>
          <w:rStyle w:val="css-15iwe0d"/>
          <w:rFonts w:ascii="Arial" w:hAnsi="Arial" w:cs="Arial"/>
          <w:b/>
          <w:bCs/>
          <w:sz w:val="20"/>
          <w:szCs w:val="20"/>
        </w:rPr>
        <w:t>2</w:t>
      </w:r>
      <w:r w:rsidR="009D0A25">
        <w:rPr>
          <w:rStyle w:val="css-15iwe0d"/>
          <w:rFonts w:ascii="Arial" w:hAnsi="Arial" w:cs="Arial"/>
          <w:b/>
          <w:bCs/>
          <w:sz w:val="20"/>
          <w:szCs w:val="20"/>
        </w:rPr>
        <w:t xml:space="preserve">. </w:t>
      </w:r>
      <w:r w:rsidR="008E7D21" w:rsidRPr="009D0A25">
        <w:rPr>
          <w:rStyle w:val="css-15iwe0d"/>
          <w:rFonts w:ascii="Arial" w:hAnsi="Arial" w:cs="Arial"/>
          <w:b/>
          <w:bCs/>
          <w:sz w:val="20"/>
          <w:szCs w:val="20"/>
        </w:rPr>
        <w:t>Two isomers of ODAP</w:t>
      </w:r>
    </w:p>
    <w:p w14:paraId="56751866" w14:textId="77777777" w:rsidR="00844067" w:rsidRDefault="00844067">
      <w:pPr>
        <w:spacing w:line="360" w:lineRule="auto"/>
        <w:jc w:val="both"/>
        <w:rPr>
          <w:rStyle w:val="css-15iwe0d"/>
          <w:sz w:val="24"/>
          <w:szCs w:val="24"/>
        </w:rPr>
      </w:pPr>
    </w:p>
    <w:p w14:paraId="2C23B5BD" w14:textId="77777777" w:rsidR="009D0A25" w:rsidRPr="003E1B0B" w:rsidRDefault="009D0A25">
      <w:pPr>
        <w:spacing w:line="360" w:lineRule="auto"/>
        <w:jc w:val="both"/>
        <w:rPr>
          <w:rStyle w:val="css-15iwe0d"/>
          <w:sz w:val="24"/>
          <w:szCs w:val="24"/>
        </w:rPr>
      </w:pPr>
    </w:p>
    <w:p w14:paraId="0C82A091" w14:textId="50B9D8E3" w:rsidR="00AA6312"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lastRenderedPageBreak/>
        <w:t xml:space="preserve">5. </w:t>
      </w:r>
      <w:r w:rsidR="00AA6312" w:rsidRPr="00844067">
        <w:rPr>
          <w:rStyle w:val="css-15iwe0d"/>
          <w:rFonts w:ascii="Arial" w:hAnsi="Arial" w:cs="Arial"/>
          <w:b/>
          <w:bCs/>
        </w:rPr>
        <w:t>Multifaceted use of grass pea</w:t>
      </w:r>
      <w:r w:rsidR="008E7D21" w:rsidRPr="00844067">
        <w:rPr>
          <w:rStyle w:val="css-15iwe0d"/>
          <w:rFonts w:ascii="Arial" w:hAnsi="Arial" w:cs="Arial"/>
          <w:b/>
          <w:bCs/>
        </w:rPr>
        <w:t xml:space="preserve">  </w:t>
      </w:r>
    </w:p>
    <w:p w14:paraId="0A56A575" w14:textId="0BB2D722" w:rsidR="00AA6312" w:rsidRPr="00844067" w:rsidRDefault="00AA6312" w:rsidP="00AA6312">
      <w:pPr>
        <w:spacing w:after="0" w:line="360" w:lineRule="auto"/>
        <w:jc w:val="both"/>
        <w:rPr>
          <w:rFonts w:ascii="Arial" w:eastAsia="Times New Roman" w:hAnsi="Arial" w:cs="Arial"/>
          <w:sz w:val="20"/>
          <w:szCs w:val="20"/>
        </w:rPr>
      </w:pPr>
      <w:r w:rsidRPr="00844067">
        <w:rPr>
          <w:rFonts w:ascii="Arial" w:eastAsia="Times New Roman" w:hAnsi="Arial" w:cs="Arial"/>
          <w:sz w:val="20"/>
          <w:szCs w:val="20"/>
        </w:rPr>
        <w:t>Unlike other legumes, grass pea has evolved various morphological drought tolerance qualities as adaptive mechanisms, including as small leaves, winged stems, and a deep and broad root system. Thus, under drought stress, grass pea performance is highly related to root system development and distribution (</w:t>
      </w:r>
      <w:proofErr w:type="spellStart"/>
      <w:r w:rsidRPr="00844067">
        <w:rPr>
          <w:rFonts w:ascii="Arial" w:eastAsia="Times New Roman" w:hAnsi="Arial" w:cs="Arial"/>
          <w:sz w:val="20"/>
          <w:szCs w:val="20"/>
        </w:rPr>
        <w:t>Koevoets</w:t>
      </w:r>
      <w:proofErr w:type="spellEnd"/>
      <w:r w:rsidRPr="00844067">
        <w:rPr>
          <w:rFonts w:ascii="Arial" w:eastAsia="Times New Roman" w:hAnsi="Arial" w:cs="Arial"/>
          <w:sz w:val="20"/>
          <w:szCs w:val="20"/>
        </w:rPr>
        <w:t xml:space="preserve"> et al.</w:t>
      </w:r>
      <w:r w:rsidR="00EA296A" w:rsidRPr="00844067">
        <w:rPr>
          <w:rFonts w:ascii="Arial" w:eastAsia="Times New Roman" w:hAnsi="Arial" w:cs="Arial"/>
          <w:sz w:val="20"/>
          <w:szCs w:val="20"/>
        </w:rPr>
        <w:t>,</w:t>
      </w:r>
      <w:r w:rsidRPr="00844067">
        <w:rPr>
          <w:rFonts w:ascii="Arial" w:eastAsia="Times New Roman" w:hAnsi="Arial" w:cs="Arial"/>
          <w:sz w:val="20"/>
          <w:szCs w:val="20"/>
        </w:rPr>
        <w:t xml:space="preserve"> 2016). Indeed, the deeper the root depth and biomass, the more effectively accessible soil moisture is taken (</w:t>
      </w:r>
      <w:proofErr w:type="spellStart"/>
      <w:r w:rsidRPr="00844067">
        <w:rPr>
          <w:rFonts w:ascii="Arial" w:eastAsia="Times New Roman" w:hAnsi="Arial" w:cs="Arial"/>
          <w:sz w:val="20"/>
          <w:szCs w:val="20"/>
        </w:rPr>
        <w:t>Fenta</w:t>
      </w:r>
      <w:proofErr w:type="spellEnd"/>
      <w:r w:rsidRPr="00844067">
        <w:rPr>
          <w:rFonts w:ascii="Arial" w:eastAsia="Times New Roman" w:hAnsi="Arial" w:cs="Arial"/>
          <w:sz w:val="20"/>
          <w:szCs w:val="20"/>
        </w:rPr>
        <w:t xml:space="preserve"> et al.</w:t>
      </w:r>
      <w:r w:rsidR="00EA296A" w:rsidRPr="00844067">
        <w:rPr>
          <w:rFonts w:ascii="Arial" w:eastAsia="Times New Roman" w:hAnsi="Arial" w:cs="Arial"/>
          <w:sz w:val="20"/>
          <w:szCs w:val="20"/>
        </w:rPr>
        <w:t xml:space="preserve">, </w:t>
      </w:r>
      <w:r w:rsidRPr="00844067">
        <w:rPr>
          <w:rFonts w:ascii="Arial" w:eastAsia="Times New Roman" w:hAnsi="Arial" w:cs="Arial"/>
          <w:sz w:val="20"/>
          <w:szCs w:val="20"/>
        </w:rPr>
        <w:t xml:space="preserve">2014) (Fig </w:t>
      </w:r>
      <w:r w:rsidR="0042359D" w:rsidRPr="00844067">
        <w:rPr>
          <w:rFonts w:ascii="Arial" w:eastAsia="Times New Roman" w:hAnsi="Arial" w:cs="Arial"/>
          <w:sz w:val="20"/>
          <w:szCs w:val="20"/>
        </w:rPr>
        <w:t>3</w:t>
      </w:r>
      <w:r w:rsidRPr="00844067">
        <w:rPr>
          <w:rFonts w:ascii="Arial" w:eastAsia="Times New Roman" w:hAnsi="Arial" w:cs="Arial"/>
          <w:sz w:val="20"/>
          <w:szCs w:val="20"/>
        </w:rPr>
        <w:t>).</w:t>
      </w:r>
    </w:p>
    <w:p w14:paraId="3916379F" w14:textId="77777777" w:rsidR="00AA6312" w:rsidRPr="00844067" w:rsidRDefault="00AA6312" w:rsidP="00FB2C95">
      <w:pPr>
        <w:spacing w:after="0" w:line="360" w:lineRule="auto"/>
        <w:jc w:val="both"/>
        <w:rPr>
          <w:rFonts w:ascii="Arial" w:eastAsia="Times New Roman" w:hAnsi="Arial" w:cs="Arial"/>
          <w:sz w:val="20"/>
          <w:szCs w:val="20"/>
        </w:rPr>
      </w:pPr>
    </w:p>
    <w:p w14:paraId="2460987E" w14:textId="600C63E4" w:rsidR="00AA6312" w:rsidRPr="00844067" w:rsidRDefault="00AA6312" w:rsidP="00FB2C95">
      <w:pPr>
        <w:spacing w:after="0" w:line="360" w:lineRule="auto"/>
        <w:jc w:val="both"/>
        <w:rPr>
          <w:rFonts w:ascii="Arial" w:eastAsia="Times New Roman" w:hAnsi="Arial" w:cs="Arial"/>
          <w:sz w:val="20"/>
          <w:szCs w:val="20"/>
          <w:lang w:eastAsia="en-IN"/>
        </w:rPr>
      </w:pPr>
      <w:r w:rsidRPr="00844067">
        <w:rPr>
          <w:rFonts w:ascii="Arial" w:eastAsia="Times New Roman" w:hAnsi="Arial" w:cs="Arial"/>
          <w:sz w:val="20"/>
          <w:szCs w:val="20"/>
        </w:rPr>
        <w:t xml:space="preserve">It is one of the most affordable and the largest source of protein next to soybean. It is a hardy crop, tolerant to both drought and flooding. It fixes 60–124 kg/ha nitrogen under dry conditions (Kumar et al., 2020). </w:t>
      </w:r>
      <w:proofErr w:type="spellStart"/>
      <w:r w:rsidRPr="00844067">
        <w:rPr>
          <w:rFonts w:ascii="Arial" w:eastAsia="Times New Roman" w:hAnsi="Arial" w:cs="Arial"/>
          <w:sz w:val="20"/>
          <w:szCs w:val="20"/>
        </w:rPr>
        <w:t>Grasspea</w:t>
      </w:r>
      <w:proofErr w:type="spellEnd"/>
      <w:r w:rsidRPr="00844067">
        <w:rPr>
          <w:rFonts w:ascii="Arial" w:eastAsia="Times New Roman" w:hAnsi="Arial" w:cs="Arial"/>
          <w:sz w:val="20"/>
          <w:szCs w:val="20"/>
        </w:rPr>
        <w:t xml:space="preserve"> is an abandoned and underutilized crop that can be used to extract a variety of compounds beneficial to human health. It has high folic acid that plays a vital role in erythropoiesis (the production of red blood cells) along with nucleic acid and protein synthesis. Therefore, it is essential in preventing congenital disabilities (</w:t>
      </w:r>
      <w:r w:rsidRPr="00844067">
        <w:rPr>
          <w:rFonts w:ascii="Arial" w:hAnsi="Arial" w:cs="Arial"/>
          <w:sz w:val="20"/>
          <w:szCs w:val="20"/>
        </w:rPr>
        <w:t>Tamburino et al., 2012)</w:t>
      </w:r>
      <w:r w:rsidRPr="00844067">
        <w:rPr>
          <w:rFonts w:ascii="Arial" w:eastAsia="Times New Roman" w:hAnsi="Arial" w:cs="Arial"/>
          <w:sz w:val="20"/>
          <w:szCs w:val="20"/>
        </w:rPr>
        <w:t xml:space="preserve">). The β-ODAP metabolite has been found to naturally heal wounds (Sharma et al., 2018). </w:t>
      </w:r>
      <w:r w:rsidR="00FB2C95" w:rsidRPr="00844067">
        <w:rPr>
          <w:rFonts w:ascii="Arial" w:eastAsia="Times New Roman" w:hAnsi="Arial" w:cs="Arial"/>
          <w:sz w:val="20"/>
          <w:szCs w:val="20"/>
          <w:lang w:eastAsia="en-IN"/>
        </w:rPr>
        <w:t xml:space="preserve">The seed oil of L. sativus has numerous therapeutic advantages. It is an effective cathartic. It can effectively treat scabies, allergies, and eczema. Grass pea kernels are used to make homeopathic medicines and share structural similarities with the neurotransmitter glutamate found in the Lathyrus species. </w:t>
      </w:r>
      <w:r w:rsidRPr="00844067">
        <w:rPr>
          <w:rFonts w:ascii="Arial" w:eastAsia="Times New Roman" w:hAnsi="Arial" w:cs="Arial"/>
          <w:sz w:val="20"/>
          <w:szCs w:val="20"/>
        </w:rPr>
        <w:t>Their roots contain phenol phytochemicals, which explain their radical scavenging effect.</w:t>
      </w:r>
      <w:r w:rsidR="00FB2C95" w:rsidRPr="00844067">
        <w:rPr>
          <w:rFonts w:ascii="Arial" w:eastAsia="Times New Roman" w:hAnsi="Arial" w:cs="Arial"/>
          <w:sz w:val="20"/>
          <w:szCs w:val="20"/>
        </w:rPr>
        <w:t xml:space="preserve"> As a result, </w:t>
      </w:r>
      <w:r w:rsidR="0042359D" w:rsidRPr="00844067">
        <w:rPr>
          <w:rFonts w:ascii="Arial" w:eastAsia="Times New Roman" w:hAnsi="Arial" w:cs="Arial"/>
          <w:sz w:val="20"/>
          <w:szCs w:val="20"/>
        </w:rPr>
        <w:t>grass pea</w:t>
      </w:r>
      <w:r w:rsidR="00FB2C95" w:rsidRPr="00844067">
        <w:rPr>
          <w:rFonts w:ascii="Arial" w:eastAsia="Times New Roman" w:hAnsi="Arial" w:cs="Arial"/>
          <w:sz w:val="20"/>
          <w:szCs w:val="20"/>
        </w:rPr>
        <w:t xml:space="preserve"> seeds have showed a wide range of therapeutic characteristics, indicating that they could be used as a future medicinal or pharmaceutical crop.</w:t>
      </w:r>
    </w:p>
    <w:p w14:paraId="28C6E96D" w14:textId="77777777" w:rsidR="00AA6312" w:rsidRPr="00844067" w:rsidRDefault="00AA6312" w:rsidP="00AA6312">
      <w:pPr>
        <w:spacing w:after="0" w:line="360" w:lineRule="auto"/>
        <w:jc w:val="both"/>
        <w:rPr>
          <w:rFonts w:ascii="Arial" w:eastAsia="Times New Roman" w:hAnsi="Arial" w:cs="Arial"/>
          <w:sz w:val="20"/>
          <w:szCs w:val="20"/>
        </w:rPr>
      </w:pPr>
    </w:p>
    <w:p w14:paraId="71F5B14B" w14:textId="77777777" w:rsidR="00B54DD6" w:rsidRPr="00844067" w:rsidRDefault="00C75103">
      <w:pPr>
        <w:spacing w:line="360" w:lineRule="auto"/>
        <w:jc w:val="both"/>
        <w:rPr>
          <w:rStyle w:val="css-15iwe0d"/>
          <w:rFonts w:ascii="Arial" w:hAnsi="Arial" w:cs="Arial"/>
          <w:sz w:val="20"/>
          <w:szCs w:val="20"/>
        </w:rPr>
      </w:pPr>
      <w:r w:rsidRPr="00844067">
        <w:rPr>
          <w:rFonts w:ascii="Arial" w:hAnsi="Arial" w:cs="Arial"/>
          <w:noProof/>
          <w:sz w:val="20"/>
          <w:szCs w:val="20"/>
        </w:rPr>
        <w:drawing>
          <wp:inline distT="0" distB="0" distL="0" distR="0" wp14:anchorId="77350463" wp14:editId="47F63EC7">
            <wp:extent cx="5731510" cy="3223895"/>
            <wp:effectExtent l="0" t="0" r="2540" b="0"/>
            <wp:docPr id="3084416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41679"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223895"/>
                    </a:xfrm>
                    <a:prstGeom prst="rect">
                      <a:avLst/>
                    </a:prstGeom>
                  </pic:spPr>
                </pic:pic>
              </a:graphicData>
            </a:graphic>
          </wp:inline>
        </w:drawing>
      </w:r>
    </w:p>
    <w:p w14:paraId="799F7B03" w14:textId="28CA3AE2" w:rsidR="00B54DD6" w:rsidRDefault="000E1B78">
      <w:pPr>
        <w:spacing w:line="360" w:lineRule="auto"/>
        <w:jc w:val="both"/>
        <w:rPr>
          <w:rStyle w:val="css-15iwe0d"/>
          <w:rFonts w:ascii="Arial" w:hAnsi="Arial" w:cs="Arial"/>
          <w:b/>
          <w:bCs/>
          <w:sz w:val="20"/>
          <w:szCs w:val="20"/>
        </w:rPr>
      </w:pPr>
      <w:r w:rsidRPr="009D0A25">
        <w:rPr>
          <w:rStyle w:val="css-15iwe0d"/>
          <w:rFonts w:ascii="Arial" w:hAnsi="Arial" w:cs="Arial"/>
          <w:b/>
          <w:bCs/>
          <w:sz w:val="20"/>
          <w:szCs w:val="20"/>
        </w:rPr>
        <w:t>Fig</w:t>
      </w:r>
      <w:r w:rsidR="009D0A25">
        <w:rPr>
          <w:rStyle w:val="css-15iwe0d"/>
          <w:rFonts w:ascii="Arial" w:hAnsi="Arial" w:cs="Arial"/>
          <w:b/>
          <w:bCs/>
          <w:sz w:val="20"/>
          <w:szCs w:val="20"/>
        </w:rPr>
        <w:t xml:space="preserve">. </w:t>
      </w:r>
      <w:r w:rsidR="0042359D" w:rsidRPr="009D0A25">
        <w:rPr>
          <w:rStyle w:val="css-15iwe0d"/>
          <w:rFonts w:ascii="Arial" w:hAnsi="Arial" w:cs="Arial"/>
          <w:b/>
          <w:bCs/>
          <w:sz w:val="20"/>
          <w:szCs w:val="20"/>
        </w:rPr>
        <w:t>3</w:t>
      </w:r>
      <w:r w:rsidR="009D0A25">
        <w:rPr>
          <w:rStyle w:val="css-15iwe0d"/>
          <w:rFonts w:ascii="Arial" w:hAnsi="Arial" w:cs="Arial"/>
          <w:b/>
          <w:bCs/>
          <w:sz w:val="20"/>
          <w:szCs w:val="20"/>
        </w:rPr>
        <w:t>.</w:t>
      </w:r>
      <w:r w:rsidR="00D27806" w:rsidRPr="009D0A25">
        <w:rPr>
          <w:rStyle w:val="css-15iwe0d"/>
          <w:rFonts w:ascii="Arial" w:hAnsi="Arial" w:cs="Arial"/>
          <w:b/>
          <w:bCs/>
          <w:sz w:val="20"/>
          <w:szCs w:val="20"/>
        </w:rPr>
        <w:t xml:space="preserve"> Multifaceted use of grass pea plant</w:t>
      </w:r>
    </w:p>
    <w:p w14:paraId="2119C949" w14:textId="77777777" w:rsidR="009D0A25" w:rsidRPr="009D0A25" w:rsidRDefault="009D0A25">
      <w:pPr>
        <w:spacing w:line="360" w:lineRule="auto"/>
        <w:jc w:val="both"/>
        <w:rPr>
          <w:rStyle w:val="css-15iwe0d"/>
          <w:rFonts w:ascii="Arial" w:hAnsi="Arial" w:cs="Arial"/>
          <w:b/>
          <w:bCs/>
          <w:sz w:val="20"/>
          <w:szCs w:val="20"/>
        </w:rPr>
      </w:pPr>
    </w:p>
    <w:p w14:paraId="763F0A2A" w14:textId="44979498" w:rsidR="00B54DD6" w:rsidRPr="00844067" w:rsidRDefault="00443751">
      <w:pPr>
        <w:spacing w:line="360" w:lineRule="auto"/>
        <w:jc w:val="both"/>
        <w:rPr>
          <w:rStyle w:val="css-15iwe0d"/>
          <w:rFonts w:ascii="Arial" w:hAnsi="Arial" w:cs="Arial"/>
          <w:b/>
          <w:bCs/>
          <w:i/>
        </w:rPr>
      </w:pPr>
      <w:r w:rsidRPr="00844067">
        <w:rPr>
          <w:rStyle w:val="css-15iwe0d"/>
          <w:rFonts w:ascii="Arial" w:hAnsi="Arial" w:cs="Arial"/>
          <w:b/>
          <w:bCs/>
        </w:rPr>
        <w:lastRenderedPageBreak/>
        <w:t xml:space="preserve">6. </w:t>
      </w:r>
      <w:proofErr w:type="spellStart"/>
      <w:r w:rsidRPr="00844067">
        <w:rPr>
          <w:rStyle w:val="css-15iwe0d"/>
          <w:rFonts w:ascii="Arial" w:hAnsi="Arial" w:cs="Arial"/>
          <w:b/>
          <w:bCs/>
        </w:rPr>
        <w:t>Neurolathyrism</w:t>
      </w:r>
      <w:proofErr w:type="spellEnd"/>
      <w:r w:rsidRPr="00844067">
        <w:rPr>
          <w:rStyle w:val="css-15iwe0d"/>
          <w:rFonts w:ascii="Arial" w:hAnsi="Arial" w:cs="Arial"/>
          <w:b/>
          <w:bCs/>
        </w:rPr>
        <w:t xml:space="preserve"> of grass pea</w:t>
      </w:r>
    </w:p>
    <w:p w14:paraId="6B75D2A2" w14:textId="76BE3BD3"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 xml:space="preserve">Since ancient times, Lathyrus </w:t>
      </w:r>
      <w:r w:rsidRPr="00844067">
        <w:rPr>
          <w:rStyle w:val="css-15iwe0d"/>
          <w:rFonts w:ascii="Arial" w:hAnsi="Arial" w:cs="Arial"/>
          <w:sz w:val="20"/>
          <w:szCs w:val="20"/>
        </w:rPr>
        <w:t>species, especially L. sativus, have been linked to "lathyrism," or more specifically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a paralysis that affects both humans and animals. Overconsumption of grass pea (</w:t>
      </w:r>
      <w:r w:rsidRPr="00844067">
        <w:rPr>
          <w:rStyle w:val="css-15iwe0d"/>
          <w:rFonts w:ascii="Arial" w:hAnsi="Arial" w:cs="Arial"/>
          <w:i/>
          <w:sz w:val="20"/>
          <w:szCs w:val="20"/>
        </w:rPr>
        <w:t>Lathyrus sativus</w:t>
      </w:r>
      <w:r w:rsidRPr="00844067">
        <w:rPr>
          <w:rStyle w:val="css-15iwe0d"/>
          <w:rFonts w:ascii="Arial" w:hAnsi="Arial" w:cs="Arial"/>
          <w:sz w:val="20"/>
          <w:szCs w:val="20"/>
        </w:rPr>
        <w:t xml:space="preserve"> L.) seeds results in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(Spencer &amp; Schaumbu</w:t>
      </w:r>
      <w:r w:rsidRPr="00844067">
        <w:rPr>
          <w:rStyle w:val="css-15iwe0d"/>
          <w:rFonts w:ascii="Arial" w:hAnsi="Arial" w:cs="Arial"/>
          <w:sz w:val="20"/>
          <w:szCs w:val="20"/>
        </w:rPr>
        <w:t>rg</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1983), a condition marked by loss of pyramidal cells in the region of the cortex responsible for controlling the leg as well as symmetrical axonal degeneration of crossed and uncrossed pyramidal tracts in the thoracic, lumbar, and sacral spinal cords (</w:t>
      </w:r>
      <w:r w:rsidRPr="00844067">
        <w:rPr>
          <w:rStyle w:val="css-15iwe0d"/>
          <w:rFonts w:ascii="Arial" w:hAnsi="Arial" w:cs="Arial"/>
          <w:sz w:val="20"/>
          <w:szCs w:val="20"/>
        </w:rPr>
        <w:t>Haimanot et al.</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 xml:space="preserve">1990). Lathyrism comes in two different forms: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and </w:t>
      </w:r>
      <w:proofErr w:type="spellStart"/>
      <w:r w:rsidRPr="00844067">
        <w:rPr>
          <w:rStyle w:val="css-15iwe0d"/>
          <w:rFonts w:ascii="Arial" w:hAnsi="Arial" w:cs="Arial"/>
          <w:sz w:val="20"/>
          <w:szCs w:val="20"/>
        </w:rPr>
        <w:t>osteolathyrism</w:t>
      </w:r>
      <w:proofErr w:type="spellEnd"/>
      <w:r w:rsidRPr="00844067">
        <w:rPr>
          <w:rStyle w:val="css-15iwe0d"/>
          <w:rFonts w:ascii="Arial" w:hAnsi="Arial" w:cs="Arial"/>
          <w:sz w:val="20"/>
          <w:szCs w:val="20"/>
        </w:rPr>
        <w:t xml:space="preserve">. Consumption of the species </w:t>
      </w:r>
      <w:r w:rsidRPr="00844067">
        <w:rPr>
          <w:rStyle w:val="css-15iwe0d"/>
          <w:rFonts w:ascii="Arial" w:hAnsi="Arial" w:cs="Arial"/>
          <w:i/>
          <w:iCs/>
          <w:sz w:val="20"/>
          <w:szCs w:val="20"/>
        </w:rPr>
        <w:t xml:space="preserve">L. </w:t>
      </w:r>
      <w:proofErr w:type="spellStart"/>
      <w:r w:rsidRPr="00844067">
        <w:rPr>
          <w:rStyle w:val="css-15iwe0d"/>
          <w:rFonts w:ascii="Arial" w:hAnsi="Arial" w:cs="Arial"/>
          <w:i/>
          <w:iCs/>
          <w:sz w:val="20"/>
          <w:szCs w:val="20"/>
        </w:rPr>
        <w:t>odoratus</w:t>
      </w:r>
      <w:proofErr w:type="spellEnd"/>
      <w:r w:rsidRPr="00844067">
        <w:rPr>
          <w:rStyle w:val="css-15iwe0d"/>
          <w:rFonts w:ascii="Arial" w:hAnsi="Arial" w:cs="Arial"/>
          <w:i/>
          <w:iCs/>
          <w:sz w:val="20"/>
          <w:szCs w:val="20"/>
        </w:rPr>
        <w:t xml:space="preserve"> </w:t>
      </w:r>
      <w:r w:rsidRPr="00844067">
        <w:rPr>
          <w:rStyle w:val="css-15iwe0d"/>
          <w:rFonts w:ascii="Arial" w:hAnsi="Arial" w:cs="Arial"/>
          <w:sz w:val="20"/>
          <w:szCs w:val="20"/>
        </w:rPr>
        <w:t xml:space="preserve">(sweet pea), </w:t>
      </w:r>
      <w:r w:rsidRPr="00844067">
        <w:rPr>
          <w:rStyle w:val="css-15iwe0d"/>
          <w:rFonts w:ascii="Arial" w:hAnsi="Arial" w:cs="Arial"/>
          <w:i/>
          <w:iCs/>
          <w:sz w:val="20"/>
          <w:szCs w:val="20"/>
        </w:rPr>
        <w:t xml:space="preserve">L. </w:t>
      </w:r>
      <w:proofErr w:type="spellStart"/>
      <w:r w:rsidRPr="00844067">
        <w:rPr>
          <w:rStyle w:val="css-15iwe0d"/>
          <w:rFonts w:ascii="Arial" w:hAnsi="Arial" w:cs="Arial"/>
          <w:i/>
          <w:iCs/>
          <w:sz w:val="20"/>
          <w:szCs w:val="20"/>
        </w:rPr>
        <w:t>hirsutus</w:t>
      </w:r>
      <w:proofErr w:type="spellEnd"/>
      <w:r w:rsidRPr="00844067">
        <w:rPr>
          <w:rStyle w:val="css-15iwe0d"/>
          <w:rFonts w:ascii="Arial" w:hAnsi="Arial" w:cs="Arial"/>
          <w:i/>
          <w:iCs/>
          <w:sz w:val="20"/>
          <w:szCs w:val="20"/>
        </w:rPr>
        <w:t>, L. pusillus, and L. roseus</w:t>
      </w:r>
      <w:r w:rsidRPr="00844067">
        <w:rPr>
          <w:rStyle w:val="css-15iwe0d"/>
          <w:rFonts w:ascii="Arial" w:hAnsi="Arial" w:cs="Arial"/>
          <w:sz w:val="20"/>
          <w:szCs w:val="20"/>
        </w:rPr>
        <w:t xml:space="preserve"> might result in </w:t>
      </w:r>
      <w:proofErr w:type="spellStart"/>
      <w:r w:rsidRPr="00844067">
        <w:rPr>
          <w:rStyle w:val="css-15iwe0d"/>
          <w:rFonts w:ascii="Arial" w:hAnsi="Arial" w:cs="Arial"/>
          <w:sz w:val="20"/>
          <w:szCs w:val="20"/>
        </w:rPr>
        <w:t>osteolathyrism</w:t>
      </w:r>
      <w:proofErr w:type="spellEnd"/>
      <w:r w:rsidRPr="00844067">
        <w:rPr>
          <w:rStyle w:val="css-15iwe0d"/>
          <w:rFonts w:ascii="Arial" w:hAnsi="Arial" w:cs="Arial"/>
          <w:sz w:val="20"/>
          <w:szCs w:val="20"/>
        </w:rPr>
        <w:t xml:space="preserve">, which is characterised by skeletal abnormalities (Roy, 1981). The hind limbs become weakened, and the muscles become rigid or paralysed. The category of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has been further subdivided into two subcategories within the Lathyrus genus. The firs</w:t>
      </w:r>
      <w:r w:rsidRPr="00844067">
        <w:rPr>
          <w:rStyle w:val="css-15iwe0d"/>
          <w:rFonts w:ascii="Arial" w:hAnsi="Arial" w:cs="Arial"/>
          <w:sz w:val="20"/>
          <w:szCs w:val="20"/>
        </w:rPr>
        <w:t xml:space="preserve">t is brought on by the substance L-2,4-diaminobutyric acid (DABA), which is principally found in the perennial species </w:t>
      </w:r>
      <w:r w:rsidRPr="00844067">
        <w:rPr>
          <w:rStyle w:val="css-15iwe0d"/>
          <w:rFonts w:ascii="Arial" w:hAnsi="Arial" w:cs="Arial"/>
          <w:i/>
          <w:iCs/>
          <w:sz w:val="20"/>
          <w:szCs w:val="20"/>
        </w:rPr>
        <w:t>L. sylvestris</w:t>
      </w:r>
      <w:r w:rsidRPr="00844067">
        <w:rPr>
          <w:rStyle w:val="css-15iwe0d"/>
          <w:rFonts w:ascii="Arial" w:hAnsi="Arial" w:cs="Arial"/>
          <w:sz w:val="20"/>
          <w:szCs w:val="20"/>
        </w:rPr>
        <w:t xml:space="preserve"> (Foster, 1990) and </w:t>
      </w:r>
      <w:r w:rsidRPr="00844067">
        <w:rPr>
          <w:rStyle w:val="css-15iwe0d"/>
          <w:rFonts w:ascii="Arial" w:hAnsi="Arial" w:cs="Arial"/>
          <w:i/>
          <w:iCs/>
          <w:sz w:val="20"/>
          <w:szCs w:val="20"/>
        </w:rPr>
        <w:t>L. latifolius</w:t>
      </w:r>
      <w:r w:rsidRPr="00844067">
        <w:rPr>
          <w:rStyle w:val="css-15iwe0d"/>
          <w:rFonts w:ascii="Arial" w:hAnsi="Arial" w:cs="Arial"/>
          <w:sz w:val="20"/>
          <w:szCs w:val="20"/>
        </w:rPr>
        <w:t xml:space="preserve"> (Barrow et al., 1974). However, neither </w:t>
      </w:r>
      <w:r w:rsidRPr="00844067">
        <w:rPr>
          <w:rStyle w:val="css-15iwe0d"/>
          <w:rFonts w:ascii="Arial" w:hAnsi="Arial" w:cs="Arial"/>
          <w:i/>
          <w:iCs/>
          <w:sz w:val="20"/>
          <w:szCs w:val="20"/>
        </w:rPr>
        <w:t xml:space="preserve">L. </w:t>
      </w:r>
      <w:proofErr w:type="spellStart"/>
      <w:r w:rsidRPr="00844067">
        <w:rPr>
          <w:rStyle w:val="css-15iwe0d"/>
          <w:rFonts w:ascii="Arial" w:hAnsi="Arial" w:cs="Arial"/>
          <w:i/>
          <w:iCs/>
          <w:sz w:val="20"/>
          <w:szCs w:val="20"/>
        </w:rPr>
        <w:t>cicera</w:t>
      </w:r>
      <w:proofErr w:type="spellEnd"/>
      <w:r w:rsidRPr="00844067">
        <w:rPr>
          <w:rStyle w:val="css-15iwe0d"/>
          <w:rFonts w:ascii="Arial" w:hAnsi="Arial" w:cs="Arial"/>
          <w:sz w:val="20"/>
          <w:szCs w:val="20"/>
        </w:rPr>
        <w:t xml:space="preserve"> nor </w:t>
      </w:r>
      <w:r w:rsidRPr="00844067">
        <w:rPr>
          <w:rStyle w:val="css-15iwe0d"/>
          <w:rFonts w:ascii="Arial" w:hAnsi="Arial" w:cs="Arial"/>
          <w:i/>
          <w:iCs/>
          <w:sz w:val="20"/>
          <w:szCs w:val="20"/>
        </w:rPr>
        <w:t xml:space="preserve">L. sativus </w:t>
      </w:r>
      <w:r w:rsidRPr="00844067">
        <w:rPr>
          <w:rStyle w:val="css-15iwe0d"/>
          <w:rFonts w:ascii="Arial" w:hAnsi="Arial" w:cs="Arial"/>
          <w:sz w:val="20"/>
          <w:szCs w:val="20"/>
        </w:rPr>
        <w:t>contain DABA (Padmanaban,</w:t>
      </w:r>
      <w:r w:rsidRPr="00844067">
        <w:rPr>
          <w:rStyle w:val="css-15iwe0d"/>
          <w:rFonts w:ascii="Arial" w:hAnsi="Arial" w:cs="Arial"/>
          <w:sz w:val="20"/>
          <w:szCs w:val="20"/>
        </w:rPr>
        <w:t xml:space="preserve"> 1980). The non-protein amino acid 3-(-N-oxalyl)-L-2,3-diamino propionic acid (ODAP, also known as b-N-</w:t>
      </w:r>
      <w:proofErr w:type="spellStart"/>
      <w:r w:rsidRPr="00844067">
        <w:rPr>
          <w:rStyle w:val="css-15iwe0d"/>
          <w:rFonts w:ascii="Arial" w:hAnsi="Arial" w:cs="Arial"/>
          <w:sz w:val="20"/>
          <w:szCs w:val="20"/>
        </w:rPr>
        <w:t>oxalylamino</w:t>
      </w:r>
      <w:proofErr w:type="spellEnd"/>
      <w:r w:rsidRPr="00844067">
        <w:rPr>
          <w:rStyle w:val="css-15iwe0d"/>
          <w:rFonts w:ascii="Arial" w:hAnsi="Arial" w:cs="Arial"/>
          <w:sz w:val="20"/>
          <w:szCs w:val="20"/>
        </w:rPr>
        <w:t xml:space="preserve">-L-alanine or BOAA): which has been recorded in humans and animals after consumption of </w:t>
      </w:r>
      <w:r w:rsidRPr="00844067">
        <w:rPr>
          <w:rStyle w:val="css-15iwe0d"/>
          <w:rFonts w:ascii="Arial" w:hAnsi="Arial" w:cs="Arial"/>
          <w:i/>
          <w:iCs/>
          <w:sz w:val="20"/>
          <w:szCs w:val="20"/>
        </w:rPr>
        <w:t xml:space="preserve">L. sativus, L. </w:t>
      </w:r>
      <w:proofErr w:type="spellStart"/>
      <w:r w:rsidRPr="00844067">
        <w:rPr>
          <w:rStyle w:val="css-15iwe0d"/>
          <w:rFonts w:ascii="Arial" w:hAnsi="Arial" w:cs="Arial"/>
          <w:i/>
          <w:iCs/>
          <w:sz w:val="20"/>
          <w:szCs w:val="20"/>
        </w:rPr>
        <w:t>cicera</w:t>
      </w:r>
      <w:proofErr w:type="spellEnd"/>
      <w:r w:rsidRPr="00844067">
        <w:rPr>
          <w:rStyle w:val="css-15iwe0d"/>
          <w:rFonts w:ascii="Arial" w:hAnsi="Arial" w:cs="Arial"/>
          <w:i/>
          <w:iCs/>
          <w:sz w:val="20"/>
          <w:szCs w:val="20"/>
        </w:rPr>
        <w:t xml:space="preserve">, L. </w:t>
      </w:r>
      <w:proofErr w:type="spellStart"/>
      <w:r w:rsidRPr="00844067">
        <w:rPr>
          <w:rStyle w:val="css-15iwe0d"/>
          <w:rFonts w:ascii="Arial" w:hAnsi="Arial" w:cs="Arial"/>
          <w:i/>
          <w:iCs/>
          <w:sz w:val="20"/>
          <w:szCs w:val="20"/>
        </w:rPr>
        <w:t>ochrus</w:t>
      </w:r>
      <w:proofErr w:type="spellEnd"/>
      <w:r w:rsidRPr="00844067">
        <w:rPr>
          <w:rStyle w:val="css-15iwe0d"/>
          <w:rFonts w:ascii="Arial" w:hAnsi="Arial" w:cs="Arial"/>
          <w:i/>
          <w:iCs/>
          <w:sz w:val="20"/>
          <w:szCs w:val="20"/>
        </w:rPr>
        <w:t xml:space="preserve">, and L. </w:t>
      </w:r>
      <w:proofErr w:type="spellStart"/>
      <w:r w:rsidRPr="00844067">
        <w:rPr>
          <w:rStyle w:val="css-15iwe0d"/>
          <w:rFonts w:ascii="Arial" w:hAnsi="Arial" w:cs="Arial"/>
          <w:i/>
          <w:iCs/>
          <w:sz w:val="20"/>
          <w:szCs w:val="20"/>
        </w:rPr>
        <w:t>clymenum</w:t>
      </w:r>
      <w:proofErr w:type="spellEnd"/>
      <w:r w:rsidRPr="00844067">
        <w:rPr>
          <w:rStyle w:val="css-15iwe0d"/>
          <w:rFonts w:ascii="Arial" w:hAnsi="Arial" w:cs="Arial"/>
          <w:sz w:val="20"/>
          <w:szCs w:val="20"/>
        </w:rPr>
        <w:t>. ODA</w:t>
      </w:r>
      <w:r w:rsidRPr="00844067">
        <w:rPr>
          <w:rStyle w:val="css-15iwe0d"/>
          <w:rFonts w:ascii="Arial" w:hAnsi="Arial" w:cs="Arial"/>
          <w:sz w:val="20"/>
          <w:szCs w:val="20"/>
        </w:rPr>
        <w:t>P has been discovered in the seeds of several different uncultivated Lathyrus species (Bell, 1964). Hugon et al. (2000) found that the paralysis is seldom reversible (and even then, only in the early stages of the symptoms), and this can have disastrous ef</w:t>
      </w:r>
      <w:r w:rsidRPr="00844067">
        <w:rPr>
          <w:rStyle w:val="css-15iwe0d"/>
          <w:rFonts w:ascii="Arial" w:hAnsi="Arial" w:cs="Arial"/>
          <w:sz w:val="20"/>
          <w:szCs w:val="20"/>
        </w:rPr>
        <w:t>fects on underdeveloped communities who depend on L. sativus as their main source of food during times of food scarcity. Lathyrism is endemic to India, Bangladesh, Ethiopia, and Nepal, which are also significant global centres for L. sativus agriculture. A</w:t>
      </w:r>
      <w:r w:rsidRPr="00844067">
        <w:rPr>
          <w:rStyle w:val="css-15iwe0d"/>
          <w:rFonts w:ascii="Arial" w:hAnsi="Arial" w:cs="Arial"/>
          <w:sz w:val="20"/>
          <w:szCs w:val="20"/>
        </w:rPr>
        <w:t>lthough outbreaks were also noted in Syria, Afghanistan, Algeria, China, France, Germany, Italy, Pakistan, Romania, Russia, and Spain during the 20th century (Hugon et al., 2000).</w:t>
      </w:r>
    </w:p>
    <w:p w14:paraId="221E87EA" w14:textId="3700473A"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In numerous instances, boiling has been reported to lower ODAP levels; howev</w:t>
      </w:r>
      <w:r w:rsidRPr="00844067">
        <w:rPr>
          <w:rStyle w:val="css-15iwe0d"/>
          <w:rFonts w:ascii="Arial" w:hAnsi="Arial" w:cs="Arial"/>
          <w:sz w:val="20"/>
          <w:szCs w:val="20"/>
        </w:rPr>
        <w:t xml:space="preserve">er, there are conflicting findings on the effects of various types of cooking (Akalu et al., 1998). According to </w:t>
      </w:r>
      <w:proofErr w:type="spellStart"/>
      <w:r w:rsidRPr="00844067">
        <w:rPr>
          <w:rStyle w:val="css-15iwe0d"/>
          <w:rFonts w:ascii="Arial" w:hAnsi="Arial" w:cs="Arial"/>
          <w:sz w:val="20"/>
          <w:szCs w:val="20"/>
        </w:rPr>
        <w:t>Padmajaprasad</w:t>
      </w:r>
      <w:proofErr w:type="spellEnd"/>
      <w:r w:rsidRPr="00844067">
        <w:rPr>
          <w:rStyle w:val="css-15iwe0d"/>
          <w:rFonts w:ascii="Arial" w:hAnsi="Arial" w:cs="Arial"/>
          <w:sz w:val="20"/>
          <w:szCs w:val="20"/>
        </w:rPr>
        <w:t xml:space="preserve"> et al. (1997), cooking grain and removing the water reduced ODAP levels by up to 90%. Zn deficiency in plants and humans, respect</w:t>
      </w:r>
      <w:r w:rsidRPr="00844067">
        <w:rPr>
          <w:rStyle w:val="css-15iwe0d"/>
          <w:rFonts w:ascii="Arial" w:hAnsi="Arial" w:cs="Arial"/>
          <w:sz w:val="20"/>
          <w:szCs w:val="20"/>
        </w:rPr>
        <w:t>ively, may be related to ODAP production and sensitivity (</w:t>
      </w:r>
      <w:proofErr w:type="spellStart"/>
      <w:r w:rsidRPr="00844067">
        <w:rPr>
          <w:rStyle w:val="css-15iwe0d"/>
          <w:rFonts w:ascii="Arial" w:hAnsi="Arial" w:cs="Arial"/>
          <w:sz w:val="20"/>
          <w:szCs w:val="20"/>
        </w:rPr>
        <w:t>Lambein</w:t>
      </w:r>
      <w:proofErr w:type="spellEnd"/>
      <w:r w:rsidRPr="00844067">
        <w:rPr>
          <w:rStyle w:val="css-15iwe0d"/>
          <w:rFonts w:ascii="Arial" w:hAnsi="Arial" w:cs="Arial"/>
          <w:sz w:val="20"/>
          <w:szCs w:val="20"/>
        </w:rPr>
        <w:t xml:space="preserve"> and </w:t>
      </w:r>
      <w:proofErr w:type="spellStart"/>
      <w:r w:rsidRPr="00844067">
        <w:rPr>
          <w:rStyle w:val="css-15iwe0d"/>
          <w:rFonts w:ascii="Arial" w:hAnsi="Arial" w:cs="Arial"/>
          <w:sz w:val="20"/>
          <w:szCs w:val="20"/>
        </w:rPr>
        <w:t>Kuo</w:t>
      </w:r>
      <w:proofErr w:type="spellEnd"/>
      <w:r w:rsidRPr="00844067">
        <w:rPr>
          <w:rStyle w:val="css-15iwe0d"/>
          <w:rFonts w:ascii="Arial" w:hAnsi="Arial" w:cs="Arial"/>
          <w:sz w:val="20"/>
          <w:szCs w:val="20"/>
        </w:rPr>
        <w:t>, 1997). The growth of several insects and yeasts has also been reported to be inhibited by ODAP (Mehta et al., 1972), suggesting that it may have a protective role for plants.</w:t>
      </w:r>
    </w:p>
    <w:p w14:paraId="0850E79D" w14:textId="214CECE5"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 xml:space="preserve">While </w:t>
      </w:r>
      <w:r w:rsidRPr="00844067">
        <w:rPr>
          <w:rStyle w:val="css-15iwe0d"/>
          <w:rFonts w:ascii="Arial" w:hAnsi="Arial" w:cs="Arial"/>
          <w:sz w:val="20"/>
          <w:szCs w:val="20"/>
        </w:rPr>
        <w:t xml:space="preserve">eating the protein-rich seeds of L. sativus, which contain a neuro-excitatory amino acid, is linked to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(meaning broken legs</w:t>
      </w:r>
      <w:r w:rsidR="003E1B0B" w:rsidRPr="00844067">
        <w:rPr>
          <w:rStyle w:val="css-15iwe0d"/>
          <w:rFonts w:ascii="Arial" w:hAnsi="Arial" w:cs="Arial"/>
          <w:sz w:val="20"/>
          <w:szCs w:val="20"/>
        </w:rPr>
        <w:t>)</w:t>
      </w:r>
      <w:r w:rsidRPr="00844067">
        <w:rPr>
          <w:rStyle w:val="css-15iwe0d"/>
          <w:rFonts w:ascii="Arial" w:hAnsi="Arial" w:cs="Arial"/>
          <w:sz w:val="20"/>
          <w:szCs w:val="20"/>
        </w:rPr>
        <w:t>, konzo (meaning tied legs in the Yaka language), occurs when people consume the carbohydrate-rich roots of Manihot e</w:t>
      </w:r>
      <w:r w:rsidRPr="00844067">
        <w:rPr>
          <w:rStyle w:val="css-15iwe0d"/>
          <w:rFonts w:ascii="Arial" w:hAnsi="Arial" w:cs="Arial"/>
          <w:sz w:val="20"/>
          <w:szCs w:val="20"/>
        </w:rPr>
        <w:t xml:space="preserve">sculenta (cassava), which still contain residual </w:t>
      </w:r>
      <w:proofErr w:type="spellStart"/>
      <w:r w:rsidRPr="00844067">
        <w:rPr>
          <w:rStyle w:val="css-15iwe0d"/>
          <w:rFonts w:ascii="Arial" w:hAnsi="Arial" w:cs="Arial"/>
          <w:sz w:val="20"/>
          <w:szCs w:val="20"/>
        </w:rPr>
        <w:t>cyanogens</w:t>
      </w:r>
      <w:proofErr w:type="spellEnd"/>
      <w:r w:rsidRPr="00844067">
        <w:rPr>
          <w:rStyle w:val="css-15iwe0d"/>
          <w:rFonts w:ascii="Arial" w:hAnsi="Arial" w:cs="Arial"/>
          <w:sz w:val="20"/>
          <w:szCs w:val="20"/>
        </w:rPr>
        <w:t xml:space="preserve">. Both diseases have oxidative stress as its aetiology, which is caused by a variety of reasons including micronutrient imbalances, the depletion of glutathione due to a diet lacking in </w:t>
      </w:r>
      <w:proofErr w:type="spellStart"/>
      <w:r w:rsidRPr="00844067">
        <w:rPr>
          <w:rStyle w:val="css-15iwe0d"/>
          <w:rFonts w:ascii="Arial" w:hAnsi="Arial" w:cs="Arial"/>
          <w:sz w:val="20"/>
          <w:szCs w:val="20"/>
        </w:rPr>
        <w:t>sulfur</w:t>
      </w:r>
      <w:proofErr w:type="spellEnd"/>
      <w:r w:rsidRPr="00844067">
        <w:rPr>
          <w:rStyle w:val="css-15iwe0d"/>
          <w:rFonts w:ascii="Arial" w:hAnsi="Arial" w:cs="Arial"/>
          <w:sz w:val="20"/>
          <w:szCs w:val="20"/>
        </w:rPr>
        <w:t>-conta</w:t>
      </w:r>
      <w:r w:rsidRPr="00844067">
        <w:rPr>
          <w:rStyle w:val="css-15iwe0d"/>
          <w:rFonts w:ascii="Arial" w:hAnsi="Arial" w:cs="Arial"/>
          <w:sz w:val="20"/>
          <w:szCs w:val="20"/>
        </w:rPr>
        <w:t>ining amino acids, antioxidants, and reducing power, and oxidative stress itself.</w:t>
      </w:r>
    </w:p>
    <w:p w14:paraId="22D23014" w14:textId="77777777"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lastRenderedPageBreak/>
        <w:t>Because both diseases mostly affect extremely poor rural residents who live as subsistence farmers on marginal lands that are prone to drought, their epidemiology and socioec</w:t>
      </w:r>
      <w:r w:rsidRPr="00844067">
        <w:rPr>
          <w:rStyle w:val="css-15iwe0d"/>
          <w:rFonts w:ascii="Arial" w:hAnsi="Arial" w:cs="Arial"/>
          <w:sz w:val="20"/>
          <w:szCs w:val="20"/>
        </w:rPr>
        <w:t>onomic backgrounds are also highly similar despite the two diseases occurring in different geographic regions.</w:t>
      </w:r>
    </w:p>
    <w:p w14:paraId="748B3206" w14:textId="0274CE0F" w:rsidR="00B54DD6" w:rsidRPr="00844067" w:rsidRDefault="004F3709">
      <w:pPr>
        <w:spacing w:line="360" w:lineRule="auto"/>
        <w:jc w:val="both"/>
        <w:rPr>
          <w:rStyle w:val="css-15iwe0d"/>
          <w:rFonts w:ascii="Arial" w:hAnsi="Arial" w:cs="Arial"/>
          <w:sz w:val="20"/>
          <w:szCs w:val="20"/>
        </w:rPr>
      </w:pP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epidemics in Bangladesh (1980s), India (1980s), and Ethiopia (1980s and 1990s) all spread during or after drought seasons (Bradbur</w:t>
      </w:r>
      <w:r w:rsidRPr="00844067">
        <w:rPr>
          <w:rStyle w:val="css-15iwe0d"/>
          <w:rFonts w:ascii="Arial" w:hAnsi="Arial" w:cs="Arial"/>
          <w:sz w:val="20"/>
          <w:szCs w:val="20"/>
        </w:rPr>
        <w:t xml:space="preserve">y and </w:t>
      </w:r>
      <w:proofErr w:type="spellStart"/>
      <w:r w:rsidRPr="00844067">
        <w:rPr>
          <w:rStyle w:val="css-15iwe0d"/>
          <w:rFonts w:ascii="Arial" w:hAnsi="Arial" w:cs="Arial"/>
          <w:sz w:val="20"/>
          <w:szCs w:val="20"/>
        </w:rPr>
        <w:t>Lambein</w:t>
      </w:r>
      <w:proofErr w:type="spellEnd"/>
      <w:r w:rsidRPr="00844067">
        <w:rPr>
          <w:rStyle w:val="css-15iwe0d"/>
          <w:rFonts w:ascii="Arial" w:hAnsi="Arial" w:cs="Arial"/>
          <w:sz w:val="20"/>
          <w:szCs w:val="20"/>
        </w:rPr>
        <w:t xml:space="preserve"> 2011). Konzo outbreaks in Mozambique and Tanzania (1980s and 1990s). The issue of whether konzo and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are brought on by intoxication, a nutrient deficiency, or a combination of both emerges. Simple dietary changes can lower the p</w:t>
      </w:r>
      <w:r w:rsidRPr="00844067">
        <w:rPr>
          <w:rStyle w:val="css-15iwe0d"/>
          <w:rFonts w:ascii="Arial" w:hAnsi="Arial" w:cs="Arial"/>
          <w:sz w:val="20"/>
          <w:szCs w:val="20"/>
        </w:rPr>
        <w:t xml:space="preserve">revalence of </w:t>
      </w:r>
      <w:proofErr w:type="spellStart"/>
      <w:r w:rsidRPr="00844067">
        <w:rPr>
          <w:rStyle w:val="css-15iwe0d"/>
          <w:rFonts w:ascii="Arial" w:hAnsi="Arial" w:cs="Arial"/>
          <w:sz w:val="20"/>
          <w:szCs w:val="20"/>
        </w:rPr>
        <w:t>neurolathyrism</w:t>
      </w:r>
      <w:proofErr w:type="spellEnd"/>
      <w:r w:rsidRPr="00844067">
        <w:rPr>
          <w:rStyle w:val="css-15iwe0d"/>
          <w:rFonts w:ascii="Arial" w:hAnsi="Arial" w:cs="Arial"/>
          <w:sz w:val="20"/>
          <w:szCs w:val="20"/>
        </w:rPr>
        <w:t xml:space="preserve">. </w:t>
      </w:r>
    </w:p>
    <w:p w14:paraId="1B0B0A51" w14:textId="56659A82"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By including sufficient grains to raise the diet's amino acid score and antioxidant-containing foods (fruits and vegetables), the disease can be avoided (Getahun et al.</w:t>
      </w:r>
      <w:r w:rsidR="00EA296A" w:rsidRPr="00844067">
        <w:rPr>
          <w:rStyle w:val="css-15iwe0d"/>
          <w:rFonts w:ascii="Arial" w:hAnsi="Arial" w:cs="Arial"/>
          <w:sz w:val="20"/>
          <w:szCs w:val="20"/>
        </w:rPr>
        <w:t>,</w:t>
      </w:r>
      <w:r w:rsidRPr="00844067">
        <w:rPr>
          <w:rStyle w:val="css-15iwe0d"/>
          <w:rFonts w:ascii="Arial" w:hAnsi="Arial" w:cs="Arial"/>
          <w:sz w:val="20"/>
          <w:szCs w:val="20"/>
        </w:rPr>
        <w:t xml:space="preserve"> 2003). Additionally, by using various food preparation t</w:t>
      </w:r>
      <w:r w:rsidRPr="00844067">
        <w:rPr>
          <w:rStyle w:val="css-15iwe0d"/>
          <w:rFonts w:ascii="Arial" w:hAnsi="Arial" w:cs="Arial"/>
          <w:sz w:val="20"/>
          <w:szCs w:val="20"/>
        </w:rPr>
        <w:t>echniques (such soaking in water or boiling), seeds can be partially detoxified, and grains can be roasted at 150 °C (Kumar et al.</w:t>
      </w:r>
      <w:r w:rsidR="00EA296A" w:rsidRPr="00844067">
        <w:rPr>
          <w:rStyle w:val="css-15iwe0d"/>
          <w:rFonts w:ascii="Arial" w:hAnsi="Arial" w:cs="Arial"/>
          <w:sz w:val="20"/>
          <w:szCs w:val="20"/>
        </w:rPr>
        <w:t>,</w:t>
      </w:r>
      <w:r w:rsidRPr="00844067">
        <w:rPr>
          <w:rStyle w:val="css-15iwe0d"/>
          <w:rFonts w:ascii="Arial" w:hAnsi="Arial" w:cs="Arial"/>
          <w:sz w:val="20"/>
          <w:szCs w:val="20"/>
        </w:rPr>
        <w:t xml:space="preserve"> 2011). Additionally, it has been demonstrated that fermentation can reduce -ODAP by 80–90% (Kuo et al.</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1995).</w:t>
      </w:r>
    </w:p>
    <w:p w14:paraId="11977BE7" w14:textId="77777777" w:rsidR="00B54DD6" w:rsidRPr="00844067" w:rsidRDefault="00B54DD6">
      <w:pPr>
        <w:spacing w:line="360" w:lineRule="auto"/>
        <w:jc w:val="both"/>
        <w:rPr>
          <w:rStyle w:val="css-15iwe0d"/>
          <w:rFonts w:ascii="Arial" w:hAnsi="Arial" w:cs="Arial"/>
          <w:sz w:val="20"/>
          <w:szCs w:val="20"/>
        </w:rPr>
      </w:pPr>
    </w:p>
    <w:p w14:paraId="7B79026A" w14:textId="4F85B3F4" w:rsidR="00B54DD6"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7. Elimination of grass pea toxicity through food processing</w:t>
      </w:r>
    </w:p>
    <w:p w14:paraId="6C5E90DE" w14:textId="7D4B458F" w:rsidR="00A36B39" w:rsidRPr="00844067" w:rsidRDefault="004F3709" w:rsidP="00A36B39">
      <w:pPr>
        <w:spacing w:line="360" w:lineRule="auto"/>
        <w:ind w:firstLine="425"/>
        <w:jc w:val="both"/>
        <w:rPr>
          <w:rFonts w:ascii="Arial" w:hAnsi="Arial" w:cs="Arial"/>
          <w:sz w:val="20"/>
          <w:szCs w:val="20"/>
        </w:rPr>
      </w:pPr>
      <w:r w:rsidRPr="00844067">
        <w:rPr>
          <w:rStyle w:val="css-15iwe0d"/>
          <w:rFonts w:ascii="Arial" w:hAnsi="Arial" w:cs="Arial"/>
          <w:sz w:val="20"/>
          <w:szCs w:val="20"/>
        </w:rPr>
        <w:t>All plant organs possess the toxin -L-ODAP, however young shoots, leaves, and developing pods have the highest amount. Less frequently, grass pea shoots are used as a leafy vegetable after being steamed or b</w:t>
      </w:r>
      <w:r w:rsidRPr="00844067">
        <w:rPr>
          <w:rStyle w:val="css-15iwe0d"/>
          <w:rFonts w:ascii="Arial" w:hAnsi="Arial" w:cs="Arial"/>
          <w:sz w:val="20"/>
          <w:szCs w:val="20"/>
        </w:rPr>
        <w:t>oiled. These methods of preparation lower the toxicity to some extent by either partially converting -L-ODAP into ineffective -L-ODAP (</w:t>
      </w:r>
      <w:proofErr w:type="spellStart"/>
      <w:r w:rsidRPr="00844067">
        <w:rPr>
          <w:rStyle w:val="css-15iwe0d"/>
          <w:rFonts w:ascii="Arial" w:hAnsi="Arial" w:cs="Arial"/>
          <w:sz w:val="20"/>
          <w:szCs w:val="20"/>
        </w:rPr>
        <w:t>Padmajaprasad</w:t>
      </w:r>
      <w:proofErr w:type="spellEnd"/>
      <w:r w:rsidRPr="00844067">
        <w:rPr>
          <w:rStyle w:val="css-15iwe0d"/>
          <w:rFonts w:ascii="Arial" w:hAnsi="Arial" w:cs="Arial"/>
          <w:sz w:val="20"/>
          <w:szCs w:val="20"/>
        </w:rPr>
        <w:t xml:space="preserve"> et al., 1997) or by leaching away the toxin through steeping or boiling and discarding the water. Several </w:t>
      </w:r>
      <w:r w:rsidR="00EA296A" w:rsidRPr="00844067">
        <w:rPr>
          <w:rStyle w:val="css-15iwe0d"/>
          <w:rFonts w:ascii="Arial" w:hAnsi="Arial" w:cs="Arial"/>
          <w:sz w:val="20"/>
          <w:szCs w:val="20"/>
        </w:rPr>
        <w:t>researchers</w:t>
      </w:r>
      <w:r w:rsidRPr="00844067">
        <w:rPr>
          <w:rStyle w:val="css-15iwe0d"/>
          <w:rFonts w:ascii="Arial" w:hAnsi="Arial" w:cs="Arial"/>
          <w:sz w:val="20"/>
          <w:szCs w:val="20"/>
        </w:rPr>
        <w:t xml:space="preserve"> reported that </w:t>
      </w:r>
      <w:r w:rsidR="003E1B0B" w:rsidRPr="00844067">
        <w:rPr>
          <w:rStyle w:val="css-15iwe0d"/>
          <w:rFonts w:ascii="Arial" w:hAnsi="Arial" w:cs="Arial"/>
          <w:sz w:val="20"/>
          <w:szCs w:val="20"/>
        </w:rPr>
        <w:t>boiling</w:t>
      </w:r>
      <w:r w:rsidRPr="00844067">
        <w:rPr>
          <w:rStyle w:val="css-15iwe0d"/>
          <w:rFonts w:ascii="Arial" w:hAnsi="Arial" w:cs="Arial"/>
          <w:sz w:val="20"/>
          <w:szCs w:val="20"/>
        </w:rPr>
        <w:t xml:space="preserve"> and fermentation with the fungal species Rhizopus </w:t>
      </w:r>
      <w:proofErr w:type="spellStart"/>
      <w:r w:rsidRPr="00844067">
        <w:rPr>
          <w:rStyle w:val="css-15iwe0d"/>
          <w:rFonts w:ascii="Arial" w:hAnsi="Arial" w:cs="Arial"/>
          <w:sz w:val="20"/>
          <w:szCs w:val="20"/>
        </w:rPr>
        <w:t>oligosporus</w:t>
      </w:r>
      <w:proofErr w:type="spellEnd"/>
      <w:r w:rsidRPr="00844067">
        <w:rPr>
          <w:rStyle w:val="css-15iwe0d"/>
          <w:rFonts w:ascii="Arial" w:hAnsi="Arial" w:cs="Arial"/>
          <w:sz w:val="20"/>
          <w:szCs w:val="20"/>
        </w:rPr>
        <w:t xml:space="preserve"> and Aspergillus </w:t>
      </w:r>
      <w:proofErr w:type="spellStart"/>
      <w:r w:rsidRPr="00844067">
        <w:rPr>
          <w:rStyle w:val="css-15iwe0d"/>
          <w:rFonts w:ascii="Arial" w:hAnsi="Arial" w:cs="Arial"/>
          <w:sz w:val="20"/>
          <w:szCs w:val="20"/>
        </w:rPr>
        <w:t>oryzae</w:t>
      </w:r>
      <w:proofErr w:type="spellEnd"/>
      <w:r w:rsidRPr="00844067">
        <w:rPr>
          <w:rStyle w:val="css-15iwe0d"/>
          <w:rFonts w:ascii="Arial" w:hAnsi="Arial" w:cs="Arial"/>
          <w:sz w:val="20"/>
          <w:szCs w:val="20"/>
        </w:rPr>
        <w:t xml:space="preserve"> appear to be more effective at reducing toxicity than roasting (</w:t>
      </w:r>
      <w:proofErr w:type="spellStart"/>
      <w:r w:rsidRPr="00844067">
        <w:rPr>
          <w:rStyle w:val="css-15iwe0d"/>
          <w:rFonts w:ascii="Arial" w:hAnsi="Arial" w:cs="Arial"/>
          <w:sz w:val="20"/>
          <w:szCs w:val="20"/>
        </w:rPr>
        <w:t>Padmajaprasad</w:t>
      </w:r>
      <w:proofErr w:type="spellEnd"/>
      <w:r w:rsidRPr="00844067">
        <w:rPr>
          <w:rStyle w:val="css-15iwe0d"/>
          <w:rFonts w:ascii="Arial" w:hAnsi="Arial" w:cs="Arial"/>
          <w:sz w:val="20"/>
          <w:szCs w:val="20"/>
        </w:rPr>
        <w:t xml:space="preserve"> et al., 1997).</w:t>
      </w:r>
      <w:r w:rsidR="0039477C" w:rsidRPr="00844067">
        <w:rPr>
          <w:rFonts w:ascii="Arial" w:hAnsi="Arial" w:cs="Arial"/>
          <w:sz w:val="20"/>
          <w:szCs w:val="20"/>
        </w:rPr>
        <w:t xml:space="preserve"> </w:t>
      </w:r>
      <w:r w:rsidR="0039477C" w:rsidRPr="00844067">
        <w:rPr>
          <w:rFonts w:ascii="Arial" w:eastAsia="Times New Roman" w:hAnsi="Arial" w:cs="Arial"/>
          <w:sz w:val="20"/>
          <w:szCs w:val="20"/>
          <w:lang w:eastAsia="en-IN"/>
        </w:rPr>
        <w:t>Processing techniques such as milling, boiling, soaking, fermenting, and sprouting are used to improve the nutritional qualities of grass peas while lowering antinutritional components (</w:t>
      </w:r>
      <w:proofErr w:type="spellStart"/>
      <w:r w:rsidR="0039477C" w:rsidRPr="00844067">
        <w:rPr>
          <w:rFonts w:ascii="Arial" w:eastAsia="Times New Roman" w:hAnsi="Arial" w:cs="Arial"/>
          <w:sz w:val="20"/>
          <w:szCs w:val="20"/>
          <w:lang w:eastAsia="en-IN"/>
        </w:rPr>
        <w:t>Solovieva</w:t>
      </w:r>
      <w:proofErr w:type="spellEnd"/>
      <w:r w:rsidR="0039477C" w:rsidRPr="00844067">
        <w:rPr>
          <w:rFonts w:ascii="Arial" w:eastAsia="Times New Roman" w:hAnsi="Arial" w:cs="Arial"/>
          <w:sz w:val="20"/>
          <w:szCs w:val="20"/>
          <w:lang w:eastAsia="en-IN"/>
        </w:rPr>
        <w:t xml:space="preserve"> et al., 2025). Roasting and boiling reduced β-ODAP levels by 12% and 38%, respectively, while increasing mineral content such as zinc, iron, and calcium. Soaking in boiling water lowers β-ODAP by 65-70%, trypsin inhibitors by 42-48%, and polyphenols by 30-37% </w:t>
      </w:r>
      <w:r w:rsidR="0042359D" w:rsidRPr="00844067">
        <w:rPr>
          <w:rFonts w:ascii="Arial" w:eastAsia="Times New Roman" w:hAnsi="Arial" w:cs="Arial"/>
          <w:sz w:val="20"/>
          <w:szCs w:val="20"/>
          <w:lang w:eastAsia="en-IN"/>
        </w:rPr>
        <w:t>(</w:t>
      </w:r>
      <w:r w:rsidR="0039477C" w:rsidRPr="00844067">
        <w:rPr>
          <w:rFonts w:ascii="Arial" w:eastAsia="Times New Roman" w:hAnsi="Arial" w:cs="Arial"/>
          <w:sz w:val="20"/>
          <w:szCs w:val="20"/>
          <w:lang w:eastAsia="en-IN"/>
        </w:rPr>
        <w:t xml:space="preserve">Srivastava </w:t>
      </w:r>
      <w:r w:rsidR="0017042D" w:rsidRPr="00844067">
        <w:rPr>
          <w:rFonts w:ascii="Arial" w:eastAsia="Times New Roman" w:hAnsi="Arial" w:cs="Arial"/>
          <w:sz w:val="20"/>
          <w:szCs w:val="20"/>
          <w:lang w:eastAsia="en-IN"/>
        </w:rPr>
        <w:t xml:space="preserve">and </w:t>
      </w:r>
      <w:r w:rsidR="0017042D" w:rsidRPr="00844067">
        <w:rPr>
          <w:rFonts w:ascii="Arial" w:hAnsi="Arial" w:cs="Arial"/>
          <w:sz w:val="20"/>
          <w:szCs w:val="20"/>
        </w:rPr>
        <w:t>Khokhar,</w:t>
      </w:r>
      <w:r w:rsidR="0039477C" w:rsidRPr="00844067">
        <w:rPr>
          <w:rFonts w:ascii="Arial" w:eastAsia="Times New Roman" w:hAnsi="Arial" w:cs="Arial"/>
          <w:sz w:val="20"/>
          <w:szCs w:val="20"/>
          <w:lang w:eastAsia="en-IN"/>
        </w:rPr>
        <w:t xml:space="preserve"> 1996</w:t>
      </w:r>
      <w:r w:rsidR="0042359D" w:rsidRPr="00844067">
        <w:rPr>
          <w:rFonts w:ascii="Arial" w:eastAsia="Times New Roman" w:hAnsi="Arial" w:cs="Arial"/>
          <w:sz w:val="20"/>
          <w:szCs w:val="20"/>
          <w:lang w:eastAsia="en-IN"/>
        </w:rPr>
        <w:t>)</w:t>
      </w:r>
      <w:r w:rsidR="0039477C" w:rsidRPr="00844067">
        <w:rPr>
          <w:rFonts w:ascii="Arial" w:eastAsia="Times New Roman" w:hAnsi="Arial" w:cs="Arial"/>
          <w:sz w:val="20"/>
          <w:szCs w:val="20"/>
          <w:lang w:eastAsia="en-IN"/>
        </w:rPr>
        <w:t xml:space="preserve">. </w:t>
      </w:r>
      <w:r w:rsidR="00A36B39" w:rsidRPr="00844067">
        <w:rPr>
          <w:rFonts w:ascii="Arial" w:hAnsi="Arial" w:cs="Arial"/>
          <w:sz w:val="20"/>
          <w:szCs w:val="20"/>
        </w:rPr>
        <w:t>Simultaneously, these treatments may reduce the harmful compounds such as β-ODAP, trypsin inhibitors, polyphenols, amylase inhibitors, phytate, and tannins, making grass peas a safer and more nutritionally valuable ingredient for food products</w:t>
      </w:r>
      <w:r w:rsidR="001945F3" w:rsidRPr="00844067">
        <w:rPr>
          <w:rFonts w:ascii="Arial" w:hAnsi="Arial" w:cs="Arial"/>
          <w:sz w:val="20"/>
          <w:szCs w:val="20"/>
        </w:rPr>
        <w:t xml:space="preserve"> (Fig </w:t>
      </w:r>
      <w:r w:rsidR="0042359D" w:rsidRPr="00844067">
        <w:rPr>
          <w:rFonts w:ascii="Arial" w:hAnsi="Arial" w:cs="Arial"/>
          <w:sz w:val="20"/>
          <w:szCs w:val="20"/>
        </w:rPr>
        <w:t>4</w:t>
      </w:r>
      <w:r w:rsidR="001945F3" w:rsidRPr="00844067">
        <w:rPr>
          <w:rFonts w:ascii="Arial" w:hAnsi="Arial" w:cs="Arial"/>
          <w:sz w:val="20"/>
          <w:szCs w:val="20"/>
        </w:rPr>
        <w:t>).</w:t>
      </w:r>
    </w:p>
    <w:p w14:paraId="02E8984D" w14:textId="77777777" w:rsidR="00A36B39" w:rsidRDefault="001945F3" w:rsidP="00614F96">
      <w:pPr>
        <w:spacing w:line="276" w:lineRule="auto"/>
        <w:ind w:firstLine="425"/>
        <w:jc w:val="center"/>
      </w:pPr>
      <w:r>
        <w:rPr>
          <w:noProof/>
        </w:rPr>
        <w:lastRenderedPageBreak/>
        <w:drawing>
          <wp:inline distT="0" distB="0" distL="0" distR="0" wp14:anchorId="4CD33906" wp14:editId="638EA84C">
            <wp:extent cx="4135448" cy="2325948"/>
            <wp:effectExtent l="0" t="0" r="0" b="0"/>
            <wp:docPr id="91438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305" cy="2339928"/>
                    </a:xfrm>
                    <a:prstGeom prst="rect">
                      <a:avLst/>
                    </a:prstGeom>
                    <a:noFill/>
                  </pic:spPr>
                </pic:pic>
              </a:graphicData>
            </a:graphic>
          </wp:inline>
        </w:drawing>
      </w:r>
    </w:p>
    <w:p w14:paraId="725A1369" w14:textId="07094310" w:rsidR="009D0A25" w:rsidRPr="009D0A25" w:rsidRDefault="001945F3" w:rsidP="00D27806">
      <w:pPr>
        <w:spacing w:after="0" w:line="240" w:lineRule="auto"/>
        <w:rPr>
          <w:rFonts w:ascii="Arial" w:eastAsia="Times New Roman" w:hAnsi="Arial" w:cs="Arial"/>
          <w:b/>
          <w:bCs/>
          <w:sz w:val="20"/>
          <w:szCs w:val="20"/>
          <w:lang w:eastAsia="en-IN"/>
        </w:rPr>
      </w:pPr>
      <w:r w:rsidRPr="009D0A25">
        <w:rPr>
          <w:rFonts w:ascii="Arial" w:eastAsia="Times New Roman" w:hAnsi="Arial" w:cs="Arial"/>
          <w:b/>
          <w:bCs/>
          <w:sz w:val="20"/>
          <w:szCs w:val="20"/>
          <w:lang w:eastAsia="en-IN"/>
        </w:rPr>
        <w:t>Fig</w:t>
      </w:r>
      <w:r w:rsidR="009D0A25">
        <w:rPr>
          <w:rFonts w:ascii="Arial" w:eastAsia="Times New Roman" w:hAnsi="Arial" w:cs="Arial"/>
          <w:b/>
          <w:bCs/>
          <w:sz w:val="20"/>
          <w:szCs w:val="20"/>
          <w:lang w:eastAsia="en-IN"/>
        </w:rPr>
        <w:t>.</w:t>
      </w:r>
      <w:r w:rsidR="0042359D" w:rsidRPr="009D0A25">
        <w:rPr>
          <w:rFonts w:ascii="Arial" w:eastAsia="Times New Roman" w:hAnsi="Arial" w:cs="Arial"/>
          <w:b/>
          <w:bCs/>
          <w:sz w:val="20"/>
          <w:szCs w:val="20"/>
          <w:lang w:eastAsia="en-IN"/>
        </w:rPr>
        <w:t>4</w:t>
      </w:r>
      <w:r w:rsidR="009D0A25">
        <w:rPr>
          <w:rFonts w:ascii="Arial" w:eastAsia="Times New Roman" w:hAnsi="Arial" w:cs="Arial"/>
          <w:b/>
          <w:bCs/>
          <w:sz w:val="20"/>
          <w:szCs w:val="20"/>
          <w:lang w:eastAsia="en-IN"/>
        </w:rPr>
        <w:t>.</w:t>
      </w:r>
      <w:r w:rsidR="00D27806" w:rsidRPr="009D0A25">
        <w:rPr>
          <w:rFonts w:ascii="Arial" w:eastAsia="Times New Roman" w:hAnsi="Arial" w:cs="Arial"/>
          <w:b/>
          <w:bCs/>
          <w:sz w:val="20"/>
          <w:szCs w:val="20"/>
          <w:lang w:eastAsia="en-IN"/>
        </w:rPr>
        <w:t xml:space="preserve"> Variations in nutritional composition of grass pea throughout processing</w:t>
      </w:r>
    </w:p>
    <w:p w14:paraId="30277AFF" w14:textId="17A67970" w:rsidR="0039477C" w:rsidRPr="0039477C" w:rsidRDefault="0039477C" w:rsidP="0039477C">
      <w:pPr>
        <w:spacing w:after="0" w:line="240" w:lineRule="auto"/>
        <w:jc w:val="both"/>
        <w:rPr>
          <w:rFonts w:ascii="Times New Roman" w:eastAsia="Times New Roman" w:hAnsi="Times New Roman" w:cs="Times New Roman"/>
          <w:sz w:val="24"/>
          <w:szCs w:val="24"/>
          <w:lang w:eastAsia="en-IN"/>
        </w:rPr>
      </w:pPr>
    </w:p>
    <w:p w14:paraId="29A17411" w14:textId="77777777" w:rsidR="0039477C" w:rsidRPr="00443751" w:rsidRDefault="0039477C" w:rsidP="0039477C">
      <w:pPr>
        <w:spacing w:after="0" w:line="240" w:lineRule="auto"/>
        <w:jc w:val="both"/>
        <w:rPr>
          <w:rStyle w:val="css-15iwe0d"/>
          <w:b/>
          <w:bCs/>
          <w:sz w:val="24"/>
          <w:szCs w:val="24"/>
        </w:rPr>
      </w:pPr>
    </w:p>
    <w:p w14:paraId="31EE7D94" w14:textId="0A2D38E5" w:rsidR="00B54DD6"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8. Use of Grass pea as animal feed</w:t>
      </w:r>
    </w:p>
    <w:p w14:paraId="25546298" w14:textId="2134D970"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 xml:space="preserve">Being </w:t>
      </w:r>
      <w:r w:rsidR="003E1B0B" w:rsidRPr="00844067">
        <w:rPr>
          <w:rStyle w:val="css-15iwe0d"/>
          <w:rFonts w:ascii="Arial" w:hAnsi="Arial" w:cs="Arial"/>
          <w:sz w:val="20"/>
          <w:szCs w:val="20"/>
        </w:rPr>
        <w:t>a drought tolerant crop,</w:t>
      </w:r>
      <w:r w:rsidRPr="00844067">
        <w:rPr>
          <w:rStyle w:val="css-15iwe0d"/>
          <w:rFonts w:ascii="Arial" w:hAnsi="Arial" w:cs="Arial"/>
          <w:sz w:val="20"/>
          <w:szCs w:val="20"/>
        </w:rPr>
        <w:t xml:space="preserve"> the seed and leaves </w:t>
      </w:r>
      <w:r w:rsidR="003E1B0B" w:rsidRPr="00844067">
        <w:rPr>
          <w:rStyle w:val="css-15iwe0d"/>
          <w:rFonts w:ascii="Arial" w:hAnsi="Arial" w:cs="Arial"/>
          <w:sz w:val="20"/>
          <w:szCs w:val="20"/>
        </w:rPr>
        <w:t>of grass</w:t>
      </w:r>
      <w:r w:rsidRPr="00844067">
        <w:rPr>
          <w:rStyle w:val="css-15iwe0d"/>
          <w:rFonts w:ascii="Arial" w:hAnsi="Arial" w:cs="Arial"/>
          <w:sz w:val="20"/>
          <w:szCs w:val="20"/>
        </w:rPr>
        <w:t xml:space="preserve"> pea can be used as an animal feed is tolerant for both high moisture (Sinha, 1980) and drought (Jiang et al., 2013</w:t>
      </w:r>
      <w:r w:rsidR="0042359D" w:rsidRPr="00844067">
        <w:rPr>
          <w:rStyle w:val="css-15iwe0d"/>
          <w:rFonts w:ascii="Arial" w:hAnsi="Arial" w:cs="Arial"/>
          <w:sz w:val="20"/>
          <w:szCs w:val="20"/>
        </w:rPr>
        <w:t xml:space="preserve">). </w:t>
      </w:r>
      <w:r w:rsidRPr="00844067">
        <w:rPr>
          <w:rStyle w:val="css-15iwe0d"/>
          <w:rFonts w:ascii="Arial" w:hAnsi="Arial" w:cs="Arial"/>
          <w:sz w:val="20"/>
          <w:szCs w:val="20"/>
        </w:rPr>
        <w:t xml:space="preserve">The proximate composition of grass pea seeds exhibits very good nutritional digestibility, low fat and acid detergent </w:t>
      </w:r>
      <w:proofErr w:type="spellStart"/>
      <w:r w:rsidRPr="00844067">
        <w:rPr>
          <w:rStyle w:val="css-15iwe0d"/>
          <w:rFonts w:ascii="Arial" w:hAnsi="Arial" w:cs="Arial"/>
          <w:sz w:val="20"/>
          <w:szCs w:val="20"/>
        </w:rPr>
        <w:t>fiber</w:t>
      </w:r>
      <w:proofErr w:type="spellEnd"/>
      <w:r w:rsidRPr="00844067">
        <w:rPr>
          <w:rStyle w:val="css-15iwe0d"/>
          <w:rFonts w:ascii="Arial" w:hAnsi="Arial" w:cs="Arial"/>
          <w:sz w:val="20"/>
          <w:szCs w:val="20"/>
        </w:rPr>
        <w:t xml:space="preserve"> (ADF) levels, </w:t>
      </w:r>
      <w:r w:rsidRPr="00844067">
        <w:rPr>
          <w:rStyle w:val="css-15iwe0d"/>
          <w:rFonts w:ascii="Arial" w:hAnsi="Arial" w:cs="Arial"/>
          <w:sz w:val="20"/>
          <w:szCs w:val="20"/>
        </w:rPr>
        <w:t>and high starch and protein contents (Larbi et al., 2010). In a study conducted in Iran (</w:t>
      </w:r>
      <w:proofErr w:type="spellStart"/>
      <w:r w:rsidRPr="00844067">
        <w:rPr>
          <w:rStyle w:val="css-15iwe0d"/>
          <w:rFonts w:ascii="Arial" w:hAnsi="Arial" w:cs="Arial"/>
          <w:sz w:val="20"/>
          <w:szCs w:val="20"/>
        </w:rPr>
        <w:t>Vahdani</w:t>
      </w:r>
      <w:proofErr w:type="spellEnd"/>
      <w:r w:rsidRPr="00844067">
        <w:rPr>
          <w:rStyle w:val="css-15iwe0d"/>
          <w:rFonts w:ascii="Arial" w:hAnsi="Arial" w:cs="Arial"/>
          <w:sz w:val="20"/>
          <w:szCs w:val="20"/>
        </w:rPr>
        <w:t xml:space="preserve"> et al.</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 xml:space="preserve">2014), the values of grass pea hay's crude protein (CP), neutral detergent </w:t>
      </w:r>
      <w:proofErr w:type="spellStart"/>
      <w:r w:rsidRPr="00844067">
        <w:rPr>
          <w:rStyle w:val="css-15iwe0d"/>
          <w:rFonts w:ascii="Arial" w:hAnsi="Arial" w:cs="Arial"/>
          <w:sz w:val="20"/>
          <w:szCs w:val="20"/>
        </w:rPr>
        <w:t>fiber</w:t>
      </w:r>
      <w:proofErr w:type="spellEnd"/>
      <w:r w:rsidRPr="00844067">
        <w:rPr>
          <w:rStyle w:val="css-15iwe0d"/>
          <w:rFonts w:ascii="Arial" w:hAnsi="Arial" w:cs="Arial"/>
          <w:sz w:val="20"/>
          <w:szCs w:val="20"/>
        </w:rPr>
        <w:t xml:space="preserve"> (NDF), and acid detergent </w:t>
      </w:r>
      <w:proofErr w:type="spellStart"/>
      <w:r w:rsidRPr="00844067">
        <w:rPr>
          <w:rStyle w:val="css-15iwe0d"/>
          <w:rFonts w:ascii="Arial" w:hAnsi="Arial" w:cs="Arial"/>
          <w:sz w:val="20"/>
          <w:szCs w:val="20"/>
        </w:rPr>
        <w:t>fiber</w:t>
      </w:r>
      <w:proofErr w:type="spellEnd"/>
      <w:r w:rsidRPr="00844067">
        <w:rPr>
          <w:rStyle w:val="css-15iwe0d"/>
          <w:rFonts w:ascii="Arial" w:hAnsi="Arial" w:cs="Arial"/>
          <w:sz w:val="20"/>
          <w:szCs w:val="20"/>
        </w:rPr>
        <w:t xml:space="preserve"> (ADF) were </w:t>
      </w:r>
      <w:proofErr w:type="spellStart"/>
      <w:r w:rsidRPr="00844067">
        <w:rPr>
          <w:rStyle w:val="css-15iwe0d"/>
          <w:rFonts w:ascii="Arial" w:hAnsi="Arial" w:cs="Arial"/>
          <w:sz w:val="20"/>
          <w:szCs w:val="20"/>
        </w:rPr>
        <w:t>analyzed</w:t>
      </w:r>
      <w:proofErr w:type="spellEnd"/>
      <w:r w:rsidRPr="00844067">
        <w:rPr>
          <w:rStyle w:val="css-15iwe0d"/>
          <w:rFonts w:ascii="Arial" w:hAnsi="Arial" w:cs="Arial"/>
          <w:sz w:val="20"/>
          <w:szCs w:val="20"/>
        </w:rPr>
        <w:t xml:space="preserve"> and found to be 23</w:t>
      </w:r>
      <w:r w:rsidRPr="00844067">
        <w:rPr>
          <w:rStyle w:val="css-15iwe0d"/>
          <w:rFonts w:ascii="Arial" w:hAnsi="Arial" w:cs="Arial"/>
          <w:sz w:val="20"/>
          <w:szCs w:val="20"/>
        </w:rPr>
        <w:t>2.4, 397, and 300.6 (g kg-1 DM) correspondingly.</w:t>
      </w:r>
    </w:p>
    <w:p w14:paraId="3157342A" w14:textId="77777777" w:rsidR="00B54DD6" w:rsidRPr="00844067" w:rsidRDefault="00B54DD6">
      <w:pPr>
        <w:spacing w:line="360" w:lineRule="auto"/>
        <w:jc w:val="both"/>
        <w:rPr>
          <w:rStyle w:val="css-15iwe0d"/>
          <w:rFonts w:ascii="Arial" w:hAnsi="Arial" w:cs="Arial"/>
          <w:sz w:val="20"/>
          <w:szCs w:val="20"/>
        </w:rPr>
      </w:pPr>
    </w:p>
    <w:p w14:paraId="79790C04" w14:textId="2F858CB8" w:rsidR="00B54DD6" w:rsidRPr="00844067" w:rsidRDefault="00443751">
      <w:pPr>
        <w:spacing w:line="360" w:lineRule="auto"/>
        <w:jc w:val="both"/>
        <w:rPr>
          <w:rStyle w:val="css-15iwe0d"/>
          <w:rFonts w:ascii="Arial" w:hAnsi="Arial" w:cs="Arial"/>
          <w:b/>
          <w:bCs/>
        </w:rPr>
      </w:pPr>
      <w:r w:rsidRPr="00844067">
        <w:rPr>
          <w:rStyle w:val="css-15iwe0d"/>
          <w:rFonts w:ascii="Arial" w:hAnsi="Arial" w:cs="Arial"/>
          <w:b/>
          <w:bCs/>
        </w:rPr>
        <w:t>9. Conclusion</w:t>
      </w:r>
    </w:p>
    <w:p w14:paraId="33CEF0B6" w14:textId="6BF88F3C" w:rsidR="00B54DD6" w:rsidRPr="00844067" w:rsidRDefault="004F3709">
      <w:pPr>
        <w:spacing w:line="360" w:lineRule="auto"/>
        <w:jc w:val="both"/>
        <w:rPr>
          <w:rStyle w:val="css-15iwe0d"/>
          <w:rFonts w:ascii="Arial" w:hAnsi="Arial" w:cs="Arial"/>
          <w:sz w:val="20"/>
          <w:szCs w:val="20"/>
        </w:rPr>
      </w:pPr>
      <w:r w:rsidRPr="00844067">
        <w:rPr>
          <w:rStyle w:val="css-15iwe0d"/>
          <w:rFonts w:ascii="Arial" w:hAnsi="Arial" w:cs="Arial"/>
          <w:sz w:val="20"/>
          <w:szCs w:val="20"/>
        </w:rPr>
        <w:t>Grass peas are resilient crops that provide nutritional advantages, especially in regions that are subject to environmental stressors.</w:t>
      </w:r>
      <w:r w:rsidR="0042359D" w:rsidRPr="00844067">
        <w:rPr>
          <w:rStyle w:val="css-15iwe0d"/>
          <w:rFonts w:ascii="Arial" w:hAnsi="Arial" w:cs="Arial"/>
          <w:sz w:val="20"/>
          <w:szCs w:val="20"/>
        </w:rPr>
        <w:t xml:space="preserve"> </w:t>
      </w:r>
      <w:r w:rsidRPr="00844067">
        <w:rPr>
          <w:rStyle w:val="css-15iwe0d"/>
          <w:rFonts w:ascii="Arial" w:hAnsi="Arial" w:cs="Arial"/>
          <w:sz w:val="20"/>
          <w:szCs w:val="20"/>
        </w:rPr>
        <w:t>Even with all of its potential, there are challenges like</w:t>
      </w:r>
      <w:r w:rsidRPr="00844067">
        <w:rPr>
          <w:rStyle w:val="css-15iwe0d"/>
          <w:rFonts w:ascii="Arial" w:hAnsi="Arial" w:cs="Arial"/>
          <w:sz w:val="20"/>
          <w:szCs w:val="20"/>
        </w:rPr>
        <w:t xml:space="preserve"> neurotoxins (ODAP) that need to be carefully managed through breeding and processing techniques.</w:t>
      </w:r>
      <w:r w:rsidR="0042359D" w:rsidRPr="00844067">
        <w:rPr>
          <w:rStyle w:val="css-15iwe0d"/>
          <w:rFonts w:ascii="Arial" w:hAnsi="Arial" w:cs="Arial"/>
          <w:sz w:val="20"/>
          <w:szCs w:val="20"/>
        </w:rPr>
        <w:t xml:space="preserve"> </w:t>
      </w:r>
      <w:r w:rsidRPr="00844067">
        <w:rPr>
          <w:rStyle w:val="css-15iwe0d"/>
          <w:rFonts w:ascii="Arial" w:hAnsi="Arial" w:cs="Arial"/>
          <w:sz w:val="20"/>
          <w:szCs w:val="20"/>
        </w:rPr>
        <w:t>By concentrating on these factors, scientists need to develop varieties that contribute to food security, sustainable agriculture, and greater quality of life</w:t>
      </w:r>
      <w:r w:rsidRPr="00844067">
        <w:rPr>
          <w:rStyle w:val="css-15iwe0d"/>
          <w:rFonts w:ascii="Arial" w:hAnsi="Arial" w:cs="Arial"/>
          <w:sz w:val="20"/>
          <w:szCs w:val="20"/>
        </w:rPr>
        <w:t xml:space="preserve"> for farming communities across the globe.</w:t>
      </w:r>
      <w:r w:rsidR="00EA296A" w:rsidRPr="00844067">
        <w:rPr>
          <w:rStyle w:val="css-15iwe0d"/>
          <w:rFonts w:ascii="Arial" w:hAnsi="Arial" w:cs="Arial"/>
          <w:sz w:val="20"/>
          <w:szCs w:val="20"/>
        </w:rPr>
        <w:t xml:space="preserve"> </w:t>
      </w:r>
      <w:r w:rsidRPr="00844067">
        <w:rPr>
          <w:rStyle w:val="css-15iwe0d"/>
          <w:rFonts w:ascii="Arial" w:hAnsi="Arial" w:cs="Arial"/>
          <w:sz w:val="20"/>
          <w:szCs w:val="20"/>
        </w:rPr>
        <w:t>The key objectives of future breeding programs should be to raise genetic diversity, improve yield potential, enhance agronomic attributes, and reduce the amount of ODAP in plants</w:t>
      </w:r>
      <w:r w:rsidR="00DC7795" w:rsidRPr="00844067">
        <w:rPr>
          <w:rStyle w:val="css-15iwe0d"/>
          <w:rFonts w:ascii="Arial" w:hAnsi="Arial" w:cs="Arial"/>
          <w:sz w:val="20"/>
          <w:szCs w:val="20"/>
        </w:rPr>
        <w:t>.</w:t>
      </w:r>
    </w:p>
    <w:p w14:paraId="3D6B77D8" w14:textId="72DB50E9" w:rsidR="007F62F5" w:rsidRPr="00614F96" w:rsidRDefault="007F62F5">
      <w:pPr>
        <w:spacing w:line="360" w:lineRule="auto"/>
        <w:jc w:val="both"/>
        <w:rPr>
          <w:rStyle w:val="css-15iwe0d"/>
          <w:rFonts w:ascii="Arial" w:hAnsi="Arial" w:cs="Arial"/>
          <w:sz w:val="20"/>
          <w:szCs w:val="20"/>
          <w:shd w:val="clear" w:color="auto" w:fill="FFFFFF"/>
        </w:rPr>
      </w:pPr>
      <w:r w:rsidRPr="00844067">
        <w:rPr>
          <w:rFonts w:ascii="Arial" w:hAnsi="Arial" w:cs="Arial"/>
          <w:sz w:val="20"/>
          <w:szCs w:val="20"/>
          <w:shd w:val="clear" w:color="auto" w:fill="FFFFFF"/>
        </w:rPr>
        <w:t>COMPETING INTERESTS: Authors    have    declared    that    no    competing interests exist</w:t>
      </w:r>
      <w:r w:rsidR="009D0A25">
        <w:rPr>
          <w:rFonts w:ascii="Arial" w:hAnsi="Arial" w:cs="Arial"/>
          <w:sz w:val="20"/>
          <w:szCs w:val="20"/>
          <w:shd w:val="clear" w:color="auto" w:fill="FFFFFF"/>
        </w:rPr>
        <w:t>.</w:t>
      </w:r>
    </w:p>
    <w:p w14:paraId="0B871E90" w14:textId="1E0EEF91" w:rsidR="007F62F5" w:rsidRPr="00844067" w:rsidRDefault="007F62F5">
      <w:pPr>
        <w:spacing w:line="360" w:lineRule="auto"/>
        <w:jc w:val="both"/>
        <w:rPr>
          <w:rStyle w:val="css-15iwe0d"/>
          <w:rFonts w:ascii="Arial" w:hAnsi="Arial" w:cs="Arial"/>
          <w:b/>
          <w:bCs/>
          <w:sz w:val="24"/>
          <w:szCs w:val="24"/>
        </w:rPr>
      </w:pPr>
      <w:r w:rsidRPr="00844067">
        <w:rPr>
          <w:rStyle w:val="css-15iwe0d"/>
          <w:rFonts w:ascii="Arial" w:hAnsi="Arial" w:cs="Arial"/>
          <w:b/>
          <w:bCs/>
          <w:sz w:val="24"/>
          <w:szCs w:val="24"/>
        </w:rPr>
        <w:t>Reference</w:t>
      </w:r>
    </w:p>
    <w:p w14:paraId="1F691E99"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Akalu, G., Johansson, G. &amp; Nair, B. M. (1998). Effect of processing on the content of b-N-oxalyl-</w:t>
      </w:r>
      <w:proofErr w:type="spellStart"/>
      <w:proofErr w:type="gramStart"/>
      <w:r w:rsidRPr="00844067">
        <w:rPr>
          <w:rFonts w:ascii="Arial" w:hAnsi="Arial" w:cs="Arial"/>
          <w:sz w:val="20"/>
          <w:szCs w:val="20"/>
        </w:rPr>
        <w:t>a,b</w:t>
      </w:r>
      <w:proofErr w:type="spellEnd"/>
      <w:proofErr w:type="gramEnd"/>
      <w:r w:rsidRPr="00844067">
        <w:rPr>
          <w:rFonts w:ascii="Arial" w:hAnsi="Arial" w:cs="Arial"/>
          <w:sz w:val="20"/>
          <w:szCs w:val="20"/>
        </w:rPr>
        <w:t xml:space="preserve"> </w:t>
      </w:r>
      <w:proofErr w:type="spellStart"/>
      <w:r w:rsidRPr="00844067">
        <w:rPr>
          <w:rFonts w:ascii="Arial" w:hAnsi="Arial" w:cs="Arial"/>
          <w:sz w:val="20"/>
          <w:szCs w:val="20"/>
        </w:rPr>
        <w:t>diaminopropionic</w:t>
      </w:r>
      <w:proofErr w:type="spellEnd"/>
      <w:r w:rsidRPr="00844067">
        <w:rPr>
          <w:rFonts w:ascii="Arial" w:hAnsi="Arial" w:cs="Arial"/>
          <w:sz w:val="20"/>
          <w:szCs w:val="20"/>
        </w:rPr>
        <w:t xml:space="preserve"> acid (b-ODAP) in </w:t>
      </w:r>
      <w:proofErr w:type="spellStart"/>
      <w:r w:rsidRPr="00844067">
        <w:rPr>
          <w:rFonts w:ascii="Arial" w:hAnsi="Arial" w:cs="Arial"/>
          <w:sz w:val="20"/>
          <w:szCs w:val="20"/>
        </w:rPr>
        <w:t>grasspea</w:t>
      </w:r>
      <w:proofErr w:type="spellEnd"/>
      <w:r w:rsidRPr="00844067">
        <w:rPr>
          <w:rFonts w:ascii="Arial" w:hAnsi="Arial" w:cs="Arial"/>
          <w:sz w:val="20"/>
          <w:szCs w:val="20"/>
        </w:rPr>
        <w:t xml:space="preserv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seeds and our as determined by ow injection analysis. </w:t>
      </w:r>
      <w:r w:rsidRPr="00844067">
        <w:rPr>
          <w:rFonts w:ascii="Arial" w:hAnsi="Arial" w:cs="Arial"/>
          <w:i/>
          <w:iCs/>
          <w:sz w:val="20"/>
          <w:szCs w:val="20"/>
        </w:rPr>
        <w:t>Food Chemistry</w:t>
      </w:r>
      <w:r w:rsidRPr="00844067">
        <w:rPr>
          <w:rFonts w:ascii="Arial" w:hAnsi="Arial" w:cs="Arial"/>
          <w:sz w:val="20"/>
          <w:szCs w:val="20"/>
        </w:rPr>
        <w:t>, 62, 233-237</w:t>
      </w:r>
    </w:p>
    <w:p w14:paraId="1EC7924D"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lastRenderedPageBreak/>
        <w:t xml:space="preserve">Arslan, M. (2017). Diversity for vitamin and amino acid content in grass pea (Lathyrus sativus L.). </w:t>
      </w:r>
      <w:r w:rsidRPr="00844067">
        <w:rPr>
          <w:rFonts w:ascii="Arial" w:hAnsi="Arial" w:cs="Arial"/>
          <w:i/>
          <w:iCs/>
          <w:sz w:val="20"/>
          <w:szCs w:val="20"/>
        </w:rPr>
        <w:t>Legume Research - An International Journal</w:t>
      </w:r>
      <w:r w:rsidRPr="00844067">
        <w:rPr>
          <w:rFonts w:ascii="Arial" w:hAnsi="Arial" w:cs="Arial"/>
          <w:sz w:val="20"/>
          <w:szCs w:val="20"/>
        </w:rPr>
        <w:t xml:space="preserve">, 40:803–10.10.18805/LR-369. </w:t>
      </w:r>
      <w:proofErr w:type="spellStart"/>
      <w:r w:rsidRPr="00844067">
        <w:rPr>
          <w:rFonts w:ascii="Arial" w:hAnsi="Arial" w:cs="Arial"/>
          <w:sz w:val="20"/>
          <w:szCs w:val="20"/>
        </w:rPr>
        <w:t>doi</w:t>
      </w:r>
      <w:proofErr w:type="spellEnd"/>
      <w:r w:rsidRPr="00844067">
        <w:rPr>
          <w:rFonts w:ascii="Arial" w:hAnsi="Arial" w:cs="Arial"/>
          <w:sz w:val="20"/>
          <w:szCs w:val="20"/>
        </w:rPr>
        <w:t>: 10.18805/LR-369</w:t>
      </w:r>
    </w:p>
    <w:p w14:paraId="694448B8" w14:textId="77777777" w:rsidR="00DC7795" w:rsidRPr="00844067" w:rsidRDefault="00DC7795" w:rsidP="00DC7795">
      <w:pPr>
        <w:spacing w:line="360" w:lineRule="auto"/>
        <w:jc w:val="both"/>
        <w:rPr>
          <w:rFonts w:ascii="Arial" w:hAnsi="Arial" w:cs="Arial"/>
          <w:sz w:val="20"/>
          <w:szCs w:val="20"/>
        </w:rPr>
      </w:pPr>
      <w:proofErr w:type="spellStart"/>
      <w:r w:rsidRPr="00844067">
        <w:rPr>
          <w:rFonts w:ascii="Arial" w:hAnsi="Arial" w:cs="Arial"/>
          <w:sz w:val="20"/>
          <w:szCs w:val="20"/>
        </w:rPr>
        <w:t>Barpete</w:t>
      </w:r>
      <w:proofErr w:type="spellEnd"/>
      <w:r w:rsidRPr="00844067">
        <w:rPr>
          <w:rFonts w:ascii="Arial" w:hAnsi="Arial" w:cs="Arial"/>
          <w:sz w:val="20"/>
          <w:szCs w:val="20"/>
        </w:rPr>
        <w:t xml:space="preserve">, S. (2015). Genetic associations, variability and diversity in biochemical and morphological seed characters in Indian grass pea (Lathyrus sativus L.) accessions. </w:t>
      </w:r>
      <w:r w:rsidRPr="00844067">
        <w:rPr>
          <w:rFonts w:ascii="Arial" w:hAnsi="Arial" w:cs="Arial"/>
          <w:i/>
          <w:iCs/>
          <w:sz w:val="20"/>
          <w:szCs w:val="20"/>
        </w:rPr>
        <w:t>Fresenius Environmental Bulletin,</w:t>
      </w:r>
      <w:r w:rsidRPr="00844067">
        <w:rPr>
          <w:rFonts w:ascii="Arial" w:hAnsi="Arial" w:cs="Arial"/>
          <w:sz w:val="20"/>
          <w:szCs w:val="20"/>
        </w:rPr>
        <w:t xml:space="preserve"> 24, 1-6 </w:t>
      </w:r>
    </w:p>
    <w:p w14:paraId="7BA6B63F"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Barrow, M. V., Simpson, C. F. &amp; Miller, E. J. (1974). Lathyrism: a review. </w:t>
      </w:r>
      <w:r w:rsidRPr="00844067">
        <w:rPr>
          <w:rFonts w:ascii="Arial" w:hAnsi="Arial" w:cs="Arial"/>
          <w:i/>
          <w:iCs/>
          <w:sz w:val="20"/>
          <w:szCs w:val="20"/>
        </w:rPr>
        <w:t>Quarterly Review of Biology</w:t>
      </w:r>
      <w:r w:rsidRPr="00844067">
        <w:rPr>
          <w:rFonts w:ascii="Arial" w:hAnsi="Arial" w:cs="Arial"/>
          <w:sz w:val="20"/>
          <w:szCs w:val="20"/>
        </w:rPr>
        <w:t>, 49,101-128</w:t>
      </w:r>
    </w:p>
    <w:p w14:paraId="45AA954F"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Bell, E. A. (1964). Relevance of biochemical taxonomy to the problem of lathyrism. </w:t>
      </w:r>
      <w:r w:rsidRPr="00844067">
        <w:rPr>
          <w:rFonts w:ascii="Arial" w:hAnsi="Arial" w:cs="Arial"/>
          <w:i/>
          <w:iCs/>
          <w:sz w:val="20"/>
          <w:szCs w:val="20"/>
        </w:rPr>
        <w:t>Nature,</w:t>
      </w:r>
      <w:r w:rsidRPr="00844067">
        <w:rPr>
          <w:rFonts w:ascii="Arial" w:hAnsi="Arial" w:cs="Arial"/>
          <w:sz w:val="20"/>
          <w:szCs w:val="20"/>
        </w:rPr>
        <w:t xml:space="preserve"> 203, 378±380</w:t>
      </w:r>
    </w:p>
    <w:p w14:paraId="3C2ECC72"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 Bradbury, H.L. &amp; </w:t>
      </w:r>
      <w:proofErr w:type="spellStart"/>
      <w:r w:rsidRPr="00844067">
        <w:rPr>
          <w:rFonts w:ascii="Arial" w:hAnsi="Arial" w:cs="Arial"/>
          <w:sz w:val="20"/>
          <w:szCs w:val="20"/>
        </w:rPr>
        <w:t>Lambein</w:t>
      </w:r>
      <w:proofErr w:type="spellEnd"/>
      <w:r w:rsidRPr="00844067">
        <w:rPr>
          <w:rFonts w:ascii="Arial" w:hAnsi="Arial" w:cs="Arial"/>
          <w:sz w:val="20"/>
          <w:szCs w:val="20"/>
        </w:rPr>
        <w:t xml:space="preserve">, F. (2011). Konzo and </w:t>
      </w:r>
      <w:proofErr w:type="spellStart"/>
      <w:r w:rsidRPr="00844067">
        <w:rPr>
          <w:rFonts w:ascii="Arial" w:hAnsi="Arial" w:cs="Arial"/>
          <w:sz w:val="20"/>
          <w:szCs w:val="20"/>
        </w:rPr>
        <w:t>neurolathyrism</w:t>
      </w:r>
      <w:proofErr w:type="spellEnd"/>
      <w:r w:rsidRPr="00844067">
        <w:rPr>
          <w:rFonts w:ascii="Arial" w:hAnsi="Arial" w:cs="Arial"/>
          <w:sz w:val="20"/>
          <w:szCs w:val="20"/>
        </w:rPr>
        <w:t>: similarities and dissimilarities between these crippling neurodegenerative diseases of the poor. </w:t>
      </w:r>
      <w:bookmarkStart w:id="1" w:name="_Hlk201320297"/>
      <w:r w:rsidRPr="00844067">
        <w:rPr>
          <w:rFonts w:ascii="Arial" w:hAnsi="Arial" w:cs="Arial"/>
          <w:i/>
          <w:iCs/>
          <w:sz w:val="20"/>
          <w:szCs w:val="20"/>
        </w:rPr>
        <w:t>Food and Chemical Toxicology</w:t>
      </w:r>
      <w:bookmarkEnd w:id="1"/>
      <w:r w:rsidRPr="00844067">
        <w:rPr>
          <w:rFonts w:ascii="Arial" w:hAnsi="Arial" w:cs="Arial"/>
          <w:sz w:val="20"/>
          <w:szCs w:val="20"/>
        </w:rPr>
        <w:t>, 49, 537–538</w:t>
      </w:r>
    </w:p>
    <w:p w14:paraId="6A65F599"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Campbell, C. G., Mehra, R. B., Agrawal, S. K., Chen, Y. Z., El Ali, A. M. A., Khawaja, H. I. T., Yadav, C. R., Toy, J. &amp; Araya, W.A. (1994). </w:t>
      </w:r>
      <w:r w:rsidRPr="00844067">
        <w:rPr>
          <w:rFonts w:ascii="Arial" w:hAnsi="Arial" w:cs="Arial"/>
          <w:b/>
          <w:bCs/>
          <w:sz w:val="20"/>
          <w:szCs w:val="20"/>
        </w:rPr>
        <w:t>Current</w:t>
      </w:r>
      <w:r w:rsidRPr="00844067">
        <w:rPr>
          <w:rFonts w:ascii="Arial" w:hAnsi="Arial" w:cs="Arial"/>
          <w:sz w:val="20"/>
          <w:szCs w:val="20"/>
        </w:rPr>
        <w:t xml:space="preserve"> status and future strategy in breeding grass pea (Lathyrus sativus). </w:t>
      </w:r>
      <w:r w:rsidRPr="00844067">
        <w:rPr>
          <w:rFonts w:ascii="Arial" w:hAnsi="Arial" w:cs="Arial"/>
          <w:i/>
          <w:iCs/>
          <w:sz w:val="20"/>
          <w:szCs w:val="20"/>
        </w:rPr>
        <w:t>Euphytica</w:t>
      </w:r>
      <w:r w:rsidRPr="00844067">
        <w:rPr>
          <w:rFonts w:ascii="Arial" w:hAnsi="Arial" w:cs="Arial"/>
          <w:sz w:val="20"/>
          <w:szCs w:val="20"/>
        </w:rPr>
        <w:t>,73,167–175.</w:t>
      </w:r>
    </w:p>
    <w:p w14:paraId="648BD3A9"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Deshpande, S. S. &amp; Campbell, C. G. (1992). Genotype variation in BOAA, condensed tannins, phenolics and enzyme inhibitors of grass pea (Lathyrus sativa). </w:t>
      </w:r>
      <w:r w:rsidRPr="00844067">
        <w:rPr>
          <w:rFonts w:ascii="Arial" w:hAnsi="Arial" w:cs="Arial"/>
          <w:i/>
          <w:iCs/>
          <w:sz w:val="20"/>
          <w:szCs w:val="20"/>
        </w:rPr>
        <w:t>Canadian Journal of Plant Science</w:t>
      </w:r>
      <w:r w:rsidRPr="00844067">
        <w:rPr>
          <w:rFonts w:ascii="Arial" w:hAnsi="Arial" w:cs="Arial"/>
          <w:sz w:val="20"/>
          <w:szCs w:val="20"/>
        </w:rPr>
        <w:t xml:space="preserve">,72, 1037-1047. </w:t>
      </w:r>
    </w:p>
    <w:p w14:paraId="6343D581"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Duke, J. A. (1981). Handbook of legumes of world economic importance.1981; 199-265. Plenum Press, New York.</w:t>
      </w:r>
    </w:p>
    <w:p w14:paraId="3C62B145" w14:textId="089AAE21"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lang w:eastAsia="en-IN"/>
        </w:rPr>
        <w:t>Enneking, </w:t>
      </w:r>
      <w:r w:rsidRPr="00844067">
        <w:rPr>
          <w:rFonts w:ascii="Arial" w:hAnsi="Arial" w:cs="Arial"/>
          <w:sz w:val="20"/>
          <w:szCs w:val="20"/>
        </w:rPr>
        <w:t>D. (2011</w:t>
      </w:r>
      <w:r w:rsidR="009D0A25" w:rsidRPr="00844067">
        <w:rPr>
          <w:rFonts w:ascii="Arial" w:hAnsi="Arial" w:cs="Arial"/>
          <w:sz w:val="20"/>
          <w:szCs w:val="20"/>
        </w:rPr>
        <w:t>).</w:t>
      </w:r>
      <w:r w:rsidR="009D0A25" w:rsidRPr="00844067">
        <w:rPr>
          <w:rFonts w:ascii="Arial" w:hAnsi="Arial" w:cs="Arial"/>
          <w:sz w:val="20"/>
          <w:szCs w:val="20"/>
          <w:lang w:eastAsia="en-IN"/>
        </w:rPr>
        <w:t xml:space="preserve"> The</w:t>
      </w:r>
      <w:r w:rsidRPr="00844067">
        <w:rPr>
          <w:rFonts w:ascii="Arial" w:hAnsi="Arial" w:cs="Arial"/>
          <w:sz w:val="20"/>
          <w:szCs w:val="20"/>
          <w:lang w:eastAsia="en-IN"/>
        </w:rPr>
        <w:t xml:space="preserve"> nutritive value of </w:t>
      </w:r>
      <w:proofErr w:type="spellStart"/>
      <w:r w:rsidRPr="00844067">
        <w:rPr>
          <w:rFonts w:ascii="Arial" w:hAnsi="Arial" w:cs="Arial"/>
          <w:sz w:val="20"/>
          <w:szCs w:val="20"/>
          <w:lang w:eastAsia="en-IN"/>
        </w:rPr>
        <w:t>grasspea</w:t>
      </w:r>
      <w:proofErr w:type="spellEnd"/>
      <w:r w:rsidRPr="00844067">
        <w:rPr>
          <w:rFonts w:ascii="Arial" w:hAnsi="Arial" w:cs="Arial"/>
          <w:sz w:val="20"/>
          <w:szCs w:val="20"/>
          <w:lang w:eastAsia="en-IN"/>
        </w:rPr>
        <w:t xml:space="preserve"> (</w:t>
      </w:r>
      <w:proofErr w:type="spellStart"/>
      <w:r w:rsidRPr="00844067">
        <w:rPr>
          <w:rFonts w:ascii="Arial" w:hAnsi="Arial" w:cs="Arial"/>
          <w:sz w:val="20"/>
          <w:szCs w:val="20"/>
          <w:lang w:eastAsia="en-IN"/>
        </w:rPr>
        <w:t>Lathyrus</w:t>
      </w:r>
      <w:proofErr w:type="spellEnd"/>
      <w:r w:rsidRPr="00844067">
        <w:rPr>
          <w:rFonts w:ascii="Arial" w:hAnsi="Arial" w:cs="Arial"/>
          <w:sz w:val="20"/>
          <w:szCs w:val="20"/>
          <w:lang w:eastAsia="en-IN"/>
        </w:rPr>
        <w:t xml:space="preserve"> sativus) and allied species, their toxicity to animals and the role of malnutrition in </w:t>
      </w:r>
      <w:proofErr w:type="spellStart"/>
      <w:r w:rsidRPr="00844067">
        <w:rPr>
          <w:rFonts w:ascii="Arial" w:hAnsi="Arial" w:cs="Arial"/>
          <w:sz w:val="20"/>
          <w:szCs w:val="20"/>
          <w:lang w:eastAsia="en-IN"/>
        </w:rPr>
        <w:t>neurolathyrism</w:t>
      </w:r>
      <w:proofErr w:type="spellEnd"/>
      <w:r w:rsidRPr="00844067">
        <w:rPr>
          <w:rFonts w:ascii="Arial" w:hAnsi="Arial" w:cs="Arial"/>
          <w:sz w:val="20"/>
          <w:szCs w:val="20"/>
        </w:rPr>
        <w:t xml:space="preserve">. </w:t>
      </w:r>
      <w:r w:rsidRPr="00844067">
        <w:rPr>
          <w:rFonts w:ascii="Arial" w:hAnsi="Arial" w:cs="Arial"/>
          <w:i/>
          <w:iCs/>
          <w:sz w:val="20"/>
          <w:szCs w:val="20"/>
        </w:rPr>
        <w:t>Food and Chemical Toxicology</w:t>
      </w:r>
      <w:r w:rsidRPr="00844067">
        <w:rPr>
          <w:rFonts w:ascii="Arial" w:hAnsi="Arial" w:cs="Arial"/>
          <w:sz w:val="20"/>
          <w:szCs w:val="20"/>
        </w:rPr>
        <w:t xml:space="preserve">, </w:t>
      </w:r>
      <w:r w:rsidRPr="00844067">
        <w:rPr>
          <w:rFonts w:ascii="Arial" w:hAnsi="Arial" w:cs="Arial"/>
          <w:sz w:val="20"/>
          <w:szCs w:val="20"/>
          <w:lang w:eastAsia="en-IN"/>
        </w:rPr>
        <w:t>49(3), 694-709.</w:t>
      </w:r>
    </w:p>
    <w:p w14:paraId="31378420"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Foster, J. G. (1990). </w:t>
      </w:r>
      <w:proofErr w:type="spellStart"/>
      <w:r w:rsidRPr="00844067">
        <w:rPr>
          <w:rFonts w:ascii="Arial" w:hAnsi="Arial" w:cs="Arial"/>
          <w:sz w:val="20"/>
          <w:szCs w:val="20"/>
        </w:rPr>
        <w:t>Flatpea</w:t>
      </w:r>
      <w:proofErr w:type="spellEnd"/>
      <w:r w:rsidRPr="00844067">
        <w:rPr>
          <w:rFonts w:ascii="Arial" w:hAnsi="Arial" w:cs="Arial"/>
          <w:sz w:val="20"/>
          <w:szCs w:val="20"/>
        </w:rPr>
        <w:t xml:space="preserv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w:t>
      </w:r>
      <w:proofErr w:type="spellStart"/>
      <w:r w:rsidRPr="00844067">
        <w:rPr>
          <w:rFonts w:ascii="Arial" w:hAnsi="Arial" w:cs="Arial"/>
          <w:sz w:val="20"/>
          <w:szCs w:val="20"/>
        </w:rPr>
        <w:t>sylvestris</w:t>
      </w:r>
      <w:proofErr w:type="spellEnd"/>
      <w:r w:rsidRPr="00844067">
        <w:rPr>
          <w:rFonts w:ascii="Arial" w:hAnsi="Arial" w:cs="Arial"/>
          <w:sz w:val="20"/>
          <w:szCs w:val="20"/>
        </w:rPr>
        <w:t xml:space="preserve"> L.): a new forage species? a comprehensive review. </w:t>
      </w:r>
      <w:r w:rsidRPr="00844067">
        <w:rPr>
          <w:rFonts w:ascii="Arial" w:hAnsi="Arial" w:cs="Arial"/>
          <w:i/>
          <w:iCs/>
          <w:sz w:val="20"/>
          <w:szCs w:val="20"/>
        </w:rPr>
        <w:t>Advances in Agronomy</w:t>
      </w:r>
      <w:r w:rsidRPr="00844067">
        <w:rPr>
          <w:rFonts w:ascii="Arial" w:hAnsi="Arial" w:cs="Arial"/>
          <w:sz w:val="20"/>
          <w:szCs w:val="20"/>
        </w:rPr>
        <w:t>, 43, 241-313.</w:t>
      </w:r>
    </w:p>
    <w:p w14:paraId="39D49438"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Getahun, H., </w:t>
      </w:r>
      <w:proofErr w:type="spellStart"/>
      <w:r w:rsidRPr="00844067">
        <w:rPr>
          <w:rFonts w:ascii="Arial" w:hAnsi="Arial" w:cs="Arial"/>
          <w:sz w:val="20"/>
          <w:szCs w:val="20"/>
        </w:rPr>
        <w:t>Lambein</w:t>
      </w:r>
      <w:proofErr w:type="spellEnd"/>
      <w:r w:rsidRPr="00844067">
        <w:rPr>
          <w:rFonts w:ascii="Arial" w:hAnsi="Arial" w:cs="Arial"/>
          <w:sz w:val="20"/>
          <w:szCs w:val="20"/>
        </w:rPr>
        <w:t xml:space="preserve">, F., </w:t>
      </w:r>
      <w:proofErr w:type="spellStart"/>
      <w:r w:rsidRPr="00844067">
        <w:rPr>
          <w:rFonts w:ascii="Arial" w:hAnsi="Arial" w:cs="Arial"/>
          <w:sz w:val="20"/>
          <w:szCs w:val="20"/>
        </w:rPr>
        <w:t>Vanhoorne</w:t>
      </w:r>
      <w:proofErr w:type="spellEnd"/>
      <w:r w:rsidRPr="00844067">
        <w:rPr>
          <w:rFonts w:ascii="Arial" w:hAnsi="Arial" w:cs="Arial"/>
          <w:sz w:val="20"/>
          <w:szCs w:val="20"/>
        </w:rPr>
        <w:t xml:space="preserve">, M. &amp; Van der </w:t>
      </w:r>
      <w:proofErr w:type="spellStart"/>
      <w:r w:rsidRPr="00844067">
        <w:rPr>
          <w:rFonts w:ascii="Arial" w:hAnsi="Arial" w:cs="Arial"/>
          <w:sz w:val="20"/>
          <w:szCs w:val="20"/>
        </w:rPr>
        <w:t>Stuyft</w:t>
      </w:r>
      <w:proofErr w:type="spellEnd"/>
      <w:r w:rsidRPr="00844067">
        <w:rPr>
          <w:rFonts w:ascii="Arial" w:hAnsi="Arial" w:cs="Arial"/>
          <w:sz w:val="20"/>
          <w:szCs w:val="20"/>
        </w:rPr>
        <w:t xml:space="preserve">, P. (2003). Food-aid cereals to reduce </w:t>
      </w:r>
      <w:proofErr w:type="spellStart"/>
      <w:r w:rsidRPr="00844067">
        <w:rPr>
          <w:rFonts w:ascii="Arial" w:hAnsi="Arial" w:cs="Arial"/>
          <w:sz w:val="20"/>
          <w:szCs w:val="20"/>
        </w:rPr>
        <w:t>neurolathyrism</w:t>
      </w:r>
      <w:proofErr w:type="spellEnd"/>
      <w:r w:rsidRPr="00844067">
        <w:rPr>
          <w:rFonts w:ascii="Arial" w:hAnsi="Arial" w:cs="Arial"/>
          <w:sz w:val="20"/>
          <w:szCs w:val="20"/>
        </w:rPr>
        <w:t xml:space="preserve"> related to grass-pea preparations during famine. </w:t>
      </w:r>
      <w:r w:rsidRPr="00844067">
        <w:rPr>
          <w:rFonts w:ascii="Arial" w:hAnsi="Arial" w:cs="Arial"/>
          <w:i/>
          <w:iCs/>
          <w:sz w:val="20"/>
          <w:szCs w:val="20"/>
        </w:rPr>
        <w:t>Lancet</w:t>
      </w:r>
      <w:r w:rsidRPr="00844067">
        <w:rPr>
          <w:rFonts w:ascii="Arial" w:hAnsi="Arial" w:cs="Arial"/>
          <w:sz w:val="20"/>
          <w:szCs w:val="20"/>
        </w:rPr>
        <w:t>, 362, 1808–1810.</w:t>
      </w:r>
    </w:p>
    <w:p w14:paraId="2B4704F5" w14:textId="77777777" w:rsidR="00DC7795" w:rsidRPr="00844067" w:rsidRDefault="00DC7795" w:rsidP="00DC7795">
      <w:pPr>
        <w:spacing w:line="360" w:lineRule="auto"/>
        <w:jc w:val="both"/>
        <w:rPr>
          <w:rFonts w:ascii="Arial" w:hAnsi="Arial" w:cs="Arial"/>
          <w:sz w:val="20"/>
          <w:szCs w:val="20"/>
        </w:rPr>
      </w:pPr>
      <w:proofErr w:type="spellStart"/>
      <w:r w:rsidRPr="00844067">
        <w:rPr>
          <w:rFonts w:ascii="Arial" w:hAnsi="Arial" w:cs="Arial"/>
          <w:sz w:val="20"/>
          <w:szCs w:val="20"/>
        </w:rPr>
        <w:t>Gresta</w:t>
      </w:r>
      <w:proofErr w:type="spellEnd"/>
      <w:r w:rsidRPr="00844067">
        <w:rPr>
          <w:rFonts w:ascii="Arial" w:hAnsi="Arial" w:cs="Arial"/>
          <w:sz w:val="20"/>
          <w:szCs w:val="20"/>
        </w:rPr>
        <w:t xml:space="preserve">, F., Rocco, C., Lombardo, G. M., Avola, G. &amp; Ruberto, G. (2014). Agronomic characterization and α-and β-ODAP determination through the adoption of new analytical strategies (HPLC-ELSD and NMR) of ten Sicilian accessions of grass pea. </w:t>
      </w:r>
      <w:r w:rsidRPr="00844067">
        <w:rPr>
          <w:rFonts w:ascii="Arial" w:hAnsi="Arial" w:cs="Arial"/>
          <w:i/>
          <w:iCs/>
          <w:sz w:val="20"/>
          <w:szCs w:val="20"/>
        </w:rPr>
        <w:t>Journal of Agricultural and Food Chemistry</w:t>
      </w:r>
      <w:r w:rsidRPr="00844067">
        <w:rPr>
          <w:rFonts w:ascii="Arial" w:hAnsi="Arial" w:cs="Arial"/>
          <w:sz w:val="20"/>
          <w:szCs w:val="20"/>
        </w:rPr>
        <w:t>, 62(11), 2436–2442.</w:t>
      </w:r>
    </w:p>
    <w:p w14:paraId="5E95F1F6"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Gupta, D. S., </w:t>
      </w:r>
      <w:proofErr w:type="spellStart"/>
      <w:r w:rsidRPr="00844067">
        <w:rPr>
          <w:rFonts w:ascii="Arial" w:hAnsi="Arial" w:cs="Arial"/>
          <w:sz w:val="20"/>
          <w:szCs w:val="20"/>
        </w:rPr>
        <w:t>Barpete</w:t>
      </w:r>
      <w:proofErr w:type="spellEnd"/>
      <w:r w:rsidRPr="00844067">
        <w:rPr>
          <w:rFonts w:ascii="Arial" w:hAnsi="Arial" w:cs="Arial"/>
          <w:sz w:val="20"/>
          <w:szCs w:val="20"/>
        </w:rPr>
        <w:t xml:space="preserve">, S., Kumar, J. &amp; Kumar, S. (2021). Breeding for Better Grain Quality in Lathyrus. In: Gupta DS, Gupta S, Kumar J, editors. Breeding for Enhanced Nutrition and Bio-Active Compounds in Food Legumes. Cham: Springer, 131–56. </w:t>
      </w:r>
      <w:proofErr w:type="spellStart"/>
      <w:r w:rsidRPr="00844067">
        <w:rPr>
          <w:rFonts w:ascii="Arial" w:hAnsi="Arial" w:cs="Arial"/>
          <w:sz w:val="20"/>
          <w:szCs w:val="20"/>
        </w:rPr>
        <w:t>doi</w:t>
      </w:r>
      <w:proofErr w:type="spellEnd"/>
      <w:r w:rsidRPr="00844067">
        <w:rPr>
          <w:rFonts w:ascii="Arial" w:hAnsi="Arial" w:cs="Arial"/>
          <w:sz w:val="20"/>
          <w:szCs w:val="20"/>
        </w:rPr>
        <w:t>: 10.1007/978-3-030-59215-8_6</w:t>
      </w:r>
    </w:p>
    <w:p w14:paraId="397044BB"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lastRenderedPageBreak/>
        <w:t xml:space="preserve">Haimanot, R. T., Kidane, Y. &amp; </w:t>
      </w:r>
      <w:proofErr w:type="spellStart"/>
      <w:r w:rsidRPr="00844067">
        <w:rPr>
          <w:rFonts w:ascii="Arial" w:hAnsi="Arial" w:cs="Arial"/>
          <w:sz w:val="20"/>
          <w:szCs w:val="20"/>
        </w:rPr>
        <w:t>Wuhib</w:t>
      </w:r>
      <w:proofErr w:type="spellEnd"/>
      <w:r w:rsidRPr="00844067">
        <w:rPr>
          <w:rFonts w:ascii="Arial" w:hAnsi="Arial" w:cs="Arial"/>
          <w:sz w:val="20"/>
          <w:szCs w:val="20"/>
        </w:rPr>
        <w:t xml:space="preserve">, E. (1990). Lathyrism in rural northern Ethiopia: A highly prevalent neurotoxic disorder. </w:t>
      </w:r>
      <w:r w:rsidRPr="00844067">
        <w:rPr>
          <w:rFonts w:ascii="Arial" w:hAnsi="Arial" w:cs="Arial"/>
          <w:i/>
          <w:iCs/>
          <w:sz w:val="20"/>
          <w:szCs w:val="20"/>
        </w:rPr>
        <w:t>International Journal of Epidemiology</w:t>
      </w:r>
      <w:r w:rsidRPr="00844067">
        <w:rPr>
          <w:rFonts w:ascii="Arial" w:hAnsi="Arial" w:cs="Arial"/>
          <w:sz w:val="20"/>
          <w:szCs w:val="20"/>
        </w:rPr>
        <w:t>, 19, 664–672.</w:t>
      </w:r>
    </w:p>
    <w:p w14:paraId="23099606"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Hanbury, C. D., Siddique, K. H. M., Galwey, N. W. &amp; Cocks, P. S. (1999). Genotype environment interaction for seed yield and ODAP concentration of Lathyrus sativus L. and L. </w:t>
      </w:r>
      <w:proofErr w:type="spellStart"/>
      <w:r w:rsidRPr="00844067">
        <w:rPr>
          <w:rFonts w:ascii="Arial" w:hAnsi="Arial" w:cs="Arial"/>
          <w:sz w:val="20"/>
          <w:szCs w:val="20"/>
        </w:rPr>
        <w:t>cicera</w:t>
      </w:r>
      <w:proofErr w:type="spellEnd"/>
      <w:r w:rsidRPr="00844067">
        <w:rPr>
          <w:rFonts w:ascii="Arial" w:hAnsi="Arial" w:cs="Arial"/>
          <w:sz w:val="20"/>
          <w:szCs w:val="20"/>
        </w:rPr>
        <w:t xml:space="preserve"> L. in Mediterranean-type environments. </w:t>
      </w:r>
      <w:proofErr w:type="spellStart"/>
      <w:r w:rsidRPr="00844067">
        <w:rPr>
          <w:rFonts w:ascii="Arial" w:hAnsi="Arial" w:cs="Arial"/>
          <w:i/>
          <w:iCs/>
          <w:sz w:val="20"/>
          <w:szCs w:val="20"/>
        </w:rPr>
        <w:t>Euphytica</w:t>
      </w:r>
      <w:proofErr w:type="spellEnd"/>
      <w:r w:rsidRPr="00844067">
        <w:rPr>
          <w:rFonts w:ascii="Arial" w:hAnsi="Arial" w:cs="Arial"/>
          <w:i/>
          <w:iCs/>
          <w:sz w:val="20"/>
          <w:szCs w:val="20"/>
        </w:rPr>
        <w:t>,</w:t>
      </w:r>
      <w:r w:rsidRPr="00844067">
        <w:rPr>
          <w:rFonts w:ascii="Arial" w:hAnsi="Arial" w:cs="Arial"/>
          <w:sz w:val="20"/>
          <w:szCs w:val="20"/>
        </w:rPr>
        <w:t xml:space="preserve"> 110, 45–60. </w:t>
      </w:r>
      <w:proofErr w:type="spellStart"/>
      <w:r w:rsidRPr="00844067">
        <w:rPr>
          <w:rFonts w:ascii="Arial" w:hAnsi="Arial" w:cs="Arial"/>
          <w:sz w:val="20"/>
          <w:szCs w:val="20"/>
        </w:rPr>
        <w:t>doi</w:t>
      </w:r>
      <w:proofErr w:type="spellEnd"/>
      <w:r w:rsidRPr="00844067">
        <w:rPr>
          <w:rFonts w:ascii="Arial" w:hAnsi="Arial" w:cs="Arial"/>
          <w:sz w:val="20"/>
          <w:szCs w:val="20"/>
        </w:rPr>
        <w:t>: 10.1023/A:1003770216955</w:t>
      </w:r>
    </w:p>
    <w:p w14:paraId="41CD20B9"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Hugon, J., Ludolph, A. C. &amp; Spencer, P. S. (2000). b-N-</w:t>
      </w:r>
      <w:proofErr w:type="spellStart"/>
      <w:r w:rsidRPr="00844067">
        <w:rPr>
          <w:rFonts w:ascii="Arial" w:hAnsi="Arial" w:cs="Arial"/>
          <w:sz w:val="20"/>
          <w:szCs w:val="20"/>
        </w:rPr>
        <w:t>oxalylamino</w:t>
      </w:r>
      <w:proofErr w:type="spellEnd"/>
      <w:r w:rsidRPr="00844067">
        <w:rPr>
          <w:rFonts w:ascii="Arial" w:hAnsi="Arial" w:cs="Arial"/>
          <w:sz w:val="20"/>
          <w:szCs w:val="20"/>
        </w:rPr>
        <w:t>-L-alanine. In: Spencer, P.S., Schaumburg, H. (Eds.), Experimental and Clinical Neurotoxicology, 2nd Edition. Oxford University Press, New York, 925-938.</w:t>
      </w:r>
    </w:p>
    <w:p w14:paraId="756D2A0D" w14:textId="16A63990"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Jiang, J., Su, M., Chen, Y., Gao, N., Jiao, C., Sun, Z., Li, F. &amp; Wang, C. (2013</w:t>
      </w:r>
      <w:r w:rsidR="009D0A25" w:rsidRPr="00844067">
        <w:rPr>
          <w:rFonts w:ascii="Arial" w:hAnsi="Arial" w:cs="Arial"/>
          <w:sz w:val="20"/>
          <w:szCs w:val="20"/>
        </w:rPr>
        <w:t>). Correlation</w:t>
      </w:r>
      <w:r w:rsidRPr="00844067">
        <w:rPr>
          <w:rFonts w:ascii="Arial" w:hAnsi="Arial" w:cs="Arial"/>
          <w:sz w:val="20"/>
          <w:szCs w:val="20"/>
        </w:rPr>
        <w:t xml:space="preserve"> of drought resistance in grass pea (Lathyrus sativus) with reactive oxygen species scavenging and osmotic adjustment.</w:t>
      </w:r>
      <w:r w:rsidRPr="00844067">
        <w:rPr>
          <w:rFonts w:ascii="Arial" w:hAnsi="Arial" w:cs="Arial"/>
          <w:i/>
          <w:iCs/>
          <w:sz w:val="20"/>
          <w:szCs w:val="20"/>
        </w:rPr>
        <w:t xml:space="preserve"> </w:t>
      </w:r>
      <w:proofErr w:type="spellStart"/>
      <w:r w:rsidRPr="00844067">
        <w:rPr>
          <w:rFonts w:ascii="Arial" w:hAnsi="Arial" w:cs="Arial"/>
          <w:i/>
          <w:iCs/>
          <w:sz w:val="20"/>
          <w:szCs w:val="20"/>
        </w:rPr>
        <w:t>Biologia</w:t>
      </w:r>
      <w:proofErr w:type="spellEnd"/>
      <w:r w:rsidRPr="00844067">
        <w:rPr>
          <w:rFonts w:ascii="Arial" w:hAnsi="Arial" w:cs="Arial"/>
          <w:sz w:val="20"/>
          <w:szCs w:val="20"/>
        </w:rPr>
        <w:t>, 68, 231-240.</w:t>
      </w:r>
    </w:p>
    <w:p w14:paraId="77F3348C" w14:textId="2BE98FBB"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Kumar, S., </w:t>
      </w:r>
      <w:proofErr w:type="spellStart"/>
      <w:r w:rsidRPr="00844067">
        <w:rPr>
          <w:rFonts w:ascii="Arial" w:hAnsi="Arial" w:cs="Arial"/>
          <w:sz w:val="20"/>
          <w:szCs w:val="20"/>
        </w:rPr>
        <w:t>Bejiga</w:t>
      </w:r>
      <w:proofErr w:type="spellEnd"/>
      <w:r w:rsidRPr="00844067">
        <w:rPr>
          <w:rFonts w:ascii="Arial" w:hAnsi="Arial" w:cs="Arial"/>
          <w:sz w:val="20"/>
          <w:szCs w:val="20"/>
        </w:rPr>
        <w:t xml:space="preserve">, G. S., Ahmed, H., </w:t>
      </w:r>
      <w:proofErr w:type="spellStart"/>
      <w:r w:rsidRPr="00844067">
        <w:rPr>
          <w:rFonts w:ascii="Arial" w:hAnsi="Arial" w:cs="Arial"/>
          <w:sz w:val="20"/>
          <w:szCs w:val="20"/>
        </w:rPr>
        <w:t>Nakkoul</w:t>
      </w:r>
      <w:proofErr w:type="spellEnd"/>
      <w:r w:rsidRPr="00844067">
        <w:rPr>
          <w:rFonts w:ascii="Arial" w:hAnsi="Arial" w:cs="Arial"/>
          <w:sz w:val="20"/>
          <w:szCs w:val="20"/>
        </w:rPr>
        <w:t xml:space="preserve">, A. &amp; Sarker. (2011). Genetic improvement of grass pea for low neurotoxin (ODAP) content. </w:t>
      </w:r>
      <w:r w:rsidRPr="00844067">
        <w:rPr>
          <w:rFonts w:ascii="Arial" w:hAnsi="Arial" w:cs="Arial"/>
          <w:i/>
          <w:iCs/>
          <w:sz w:val="20"/>
          <w:szCs w:val="20"/>
        </w:rPr>
        <w:t xml:space="preserve">Food and Chemical </w:t>
      </w:r>
      <w:proofErr w:type="gramStart"/>
      <w:r w:rsidRPr="00844067">
        <w:rPr>
          <w:rFonts w:ascii="Arial" w:hAnsi="Arial" w:cs="Arial"/>
          <w:i/>
          <w:iCs/>
          <w:sz w:val="20"/>
          <w:szCs w:val="20"/>
        </w:rPr>
        <w:t>Toxicology</w:t>
      </w:r>
      <w:r w:rsidRPr="00844067">
        <w:rPr>
          <w:rFonts w:ascii="Arial" w:hAnsi="Arial" w:cs="Arial"/>
          <w:sz w:val="20"/>
          <w:szCs w:val="20"/>
        </w:rPr>
        <w:t>,  49</w:t>
      </w:r>
      <w:proofErr w:type="gramEnd"/>
      <w:r w:rsidRPr="00844067">
        <w:rPr>
          <w:rFonts w:ascii="Arial" w:hAnsi="Arial" w:cs="Arial"/>
          <w:sz w:val="20"/>
          <w:szCs w:val="20"/>
        </w:rPr>
        <w:t>, 589–600.</w:t>
      </w:r>
    </w:p>
    <w:p w14:paraId="4833DA91"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shd w:val="clear" w:color="auto" w:fill="F7F7F7"/>
        </w:rPr>
        <w:t xml:space="preserve">Kumar, S., Gupta, P., </w:t>
      </w:r>
      <w:proofErr w:type="spellStart"/>
      <w:r w:rsidRPr="00844067">
        <w:rPr>
          <w:rFonts w:ascii="Arial" w:hAnsi="Arial" w:cs="Arial"/>
          <w:sz w:val="20"/>
          <w:szCs w:val="20"/>
          <w:shd w:val="clear" w:color="auto" w:fill="F7F7F7"/>
        </w:rPr>
        <w:t>Barpete</w:t>
      </w:r>
      <w:proofErr w:type="spellEnd"/>
      <w:r w:rsidRPr="00844067">
        <w:rPr>
          <w:rFonts w:ascii="Arial" w:hAnsi="Arial" w:cs="Arial"/>
          <w:sz w:val="20"/>
          <w:szCs w:val="20"/>
          <w:shd w:val="clear" w:color="auto" w:fill="F7F7F7"/>
        </w:rPr>
        <w:t>, S., Choukri, H., Maalouf, F. &amp; Sarkar, A. (2020). “Grass pea,” in </w:t>
      </w:r>
      <w:r w:rsidRPr="00844067">
        <w:rPr>
          <w:rFonts w:ascii="Arial" w:hAnsi="Arial" w:cs="Arial"/>
          <w:i/>
          <w:iCs/>
          <w:sz w:val="20"/>
          <w:szCs w:val="20"/>
          <w:shd w:val="clear" w:color="auto" w:fill="F7F7F7"/>
        </w:rPr>
        <w:t>The Beans and the Peas, From Orphan to Mainstream Crops</w:t>
      </w:r>
      <w:r w:rsidRPr="00844067">
        <w:rPr>
          <w:rFonts w:ascii="Arial" w:hAnsi="Arial" w:cs="Arial"/>
          <w:sz w:val="20"/>
          <w:szCs w:val="20"/>
          <w:shd w:val="clear" w:color="auto" w:fill="F7F7F7"/>
        </w:rPr>
        <w:t xml:space="preserve">. eds A. Pratap and S. Gupta (London: Elsevier). </w:t>
      </w:r>
      <w:proofErr w:type="spellStart"/>
      <w:r w:rsidRPr="00844067">
        <w:rPr>
          <w:rFonts w:ascii="Arial" w:hAnsi="Arial" w:cs="Arial"/>
          <w:sz w:val="20"/>
          <w:szCs w:val="20"/>
          <w:shd w:val="clear" w:color="auto" w:fill="F7F7F7"/>
        </w:rPr>
        <w:t>doi</w:t>
      </w:r>
      <w:proofErr w:type="spellEnd"/>
      <w:r w:rsidRPr="00844067">
        <w:rPr>
          <w:rFonts w:ascii="Arial" w:hAnsi="Arial" w:cs="Arial"/>
          <w:sz w:val="20"/>
          <w:szCs w:val="20"/>
          <w:shd w:val="clear" w:color="auto" w:fill="F7F7F7"/>
        </w:rPr>
        <w:t>: 10.1016/B978-0-12-821450-3.00005-6</w:t>
      </w:r>
    </w:p>
    <w:p w14:paraId="0854C253"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Kuo, Y. H., Bau, H. M., Quemener, B., Khan, J. K. (1995</w:t>
      </w:r>
      <w:proofErr w:type="gramStart"/>
      <w:r w:rsidRPr="00844067">
        <w:rPr>
          <w:rFonts w:ascii="Arial" w:hAnsi="Arial" w:cs="Arial"/>
          <w:sz w:val="20"/>
          <w:szCs w:val="20"/>
        </w:rPr>
        <w:t>).</w:t>
      </w:r>
      <w:proofErr w:type="spellStart"/>
      <w:r w:rsidRPr="00844067">
        <w:rPr>
          <w:rFonts w:ascii="Arial" w:hAnsi="Arial" w:cs="Arial"/>
          <w:sz w:val="20"/>
          <w:szCs w:val="20"/>
        </w:rPr>
        <w:t>Lambein</w:t>
      </w:r>
      <w:proofErr w:type="spellEnd"/>
      <w:proofErr w:type="gramEnd"/>
      <w:r w:rsidRPr="00844067">
        <w:rPr>
          <w:rFonts w:ascii="Arial" w:hAnsi="Arial" w:cs="Arial"/>
          <w:sz w:val="20"/>
          <w:szCs w:val="20"/>
        </w:rPr>
        <w:t xml:space="preserve">, F. Solid-state fermentation of Lathyrus sativus seeds using Aspergillus </w:t>
      </w:r>
      <w:proofErr w:type="spellStart"/>
      <w:r w:rsidRPr="00844067">
        <w:rPr>
          <w:rFonts w:ascii="Arial" w:hAnsi="Arial" w:cs="Arial"/>
          <w:sz w:val="20"/>
          <w:szCs w:val="20"/>
        </w:rPr>
        <w:t>oryzae</w:t>
      </w:r>
      <w:proofErr w:type="spellEnd"/>
      <w:r w:rsidRPr="00844067">
        <w:rPr>
          <w:rFonts w:ascii="Arial" w:hAnsi="Arial" w:cs="Arial"/>
          <w:sz w:val="20"/>
          <w:szCs w:val="20"/>
        </w:rPr>
        <w:t xml:space="preserve"> and Rhizopus </w:t>
      </w:r>
      <w:proofErr w:type="spellStart"/>
      <w:r w:rsidRPr="00844067">
        <w:rPr>
          <w:rFonts w:ascii="Arial" w:hAnsi="Arial" w:cs="Arial"/>
          <w:sz w:val="20"/>
          <w:szCs w:val="20"/>
        </w:rPr>
        <w:t>oligosporus</w:t>
      </w:r>
      <w:proofErr w:type="spellEnd"/>
      <w:r w:rsidRPr="00844067">
        <w:rPr>
          <w:rFonts w:ascii="Arial" w:hAnsi="Arial" w:cs="Arial"/>
          <w:sz w:val="20"/>
          <w:szCs w:val="20"/>
        </w:rPr>
        <w:t> </w:t>
      </w:r>
      <w:proofErr w:type="spellStart"/>
      <w:r w:rsidRPr="00844067">
        <w:rPr>
          <w:rFonts w:ascii="Arial" w:hAnsi="Arial" w:cs="Arial"/>
          <w:sz w:val="20"/>
          <w:szCs w:val="20"/>
        </w:rPr>
        <w:t>sp</w:t>
      </w:r>
      <w:proofErr w:type="spellEnd"/>
      <w:r w:rsidRPr="00844067">
        <w:rPr>
          <w:rFonts w:ascii="Arial" w:hAnsi="Arial" w:cs="Arial"/>
          <w:sz w:val="20"/>
          <w:szCs w:val="20"/>
        </w:rPr>
        <w:t xml:space="preserve"> T-3 to eliminate the neurotoxin β-ODAP without loss of nutritional value. </w:t>
      </w:r>
      <w:r w:rsidRPr="00844067">
        <w:rPr>
          <w:rFonts w:ascii="Arial" w:hAnsi="Arial" w:cs="Arial"/>
          <w:i/>
          <w:iCs/>
          <w:sz w:val="20"/>
          <w:szCs w:val="20"/>
        </w:rPr>
        <w:t>Journal of the Science of Food and Agriculture,</w:t>
      </w:r>
      <w:r w:rsidRPr="00844067">
        <w:rPr>
          <w:rFonts w:ascii="Arial" w:hAnsi="Arial" w:cs="Arial"/>
          <w:sz w:val="20"/>
          <w:szCs w:val="20"/>
        </w:rPr>
        <w:t xml:space="preserve"> 69,81–89. </w:t>
      </w:r>
      <w:hyperlink r:id="rId12" w:history="1">
        <w:r w:rsidRPr="00844067">
          <w:rPr>
            <w:rFonts w:ascii="Arial" w:hAnsi="Arial" w:cs="Arial"/>
            <w:sz w:val="20"/>
            <w:szCs w:val="20"/>
          </w:rPr>
          <w:t>https://doi.org/10.1002/jsfa.2740690113</w:t>
        </w:r>
      </w:hyperlink>
    </w:p>
    <w:p w14:paraId="36AF8EDE" w14:textId="77777777" w:rsidR="00DC7795" w:rsidRPr="00844067" w:rsidRDefault="00DC7795" w:rsidP="00DC7795">
      <w:pPr>
        <w:spacing w:line="360" w:lineRule="auto"/>
        <w:jc w:val="both"/>
        <w:rPr>
          <w:rFonts w:ascii="Arial" w:hAnsi="Arial" w:cs="Arial"/>
          <w:sz w:val="20"/>
          <w:szCs w:val="20"/>
        </w:rPr>
      </w:pPr>
      <w:proofErr w:type="spellStart"/>
      <w:r w:rsidRPr="00844067">
        <w:rPr>
          <w:rFonts w:ascii="Arial" w:hAnsi="Arial" w:cs="Arial"/>
          <w:sz w:val="20"/>
          <w:szCs w:val="20"/>
        </w:rPr>
        <w:t>Lambein</w:t>
      </w:r>
      <w:proofErr w:type="spellEnd"/>
      <w:r w:rsidRPr="00844067">
        <w:rPr>
          <w:rFonts w:ascii="Arial" w:hAnsi="Arial" w:cs="Arial"/>
          <w:sz w:val="20"/>
          <w:szCs w:val="20"/>
        </w:rPr>
        <w:t xml:space="preserve">, F. &amp; Kuo, Y. H. (1997). Lathyrus sativus, a </w:t>
      </w:r>
      <w:proofErr w:type="spellStart"/>
      <w:r w:rsidRPr="00844067">
        <w:rPr>
          <w:rFonts w:ascii="Arial" w:hAnsi="Arial" w:cs="Arial"/>
          <w:sz w:val="20"/>
          <w:szCs w:val="20"/>
        </w:rPr>
        <w:t>neolithic</w:t>
      </w:r>
      <w:proofErr w:type="spellEnd"/>
      <w:r w:rsidRPr="00844067">
        <w:rPr>
          <w:rFonts w:ascii="Arial" w:hAnsi="Arial" w:cs="Arial"/>
          <w:sz w:val="20"/>
          <w:szCs w:val="20"/>
        </w:rPr>
        <w:t xml:space="preserve"> </w:t>
      </w:r>
      <w:proofErr w:type="spellStart"/>
      <w:r w:rsidRPr="00844067">
        <w:rPr>
          <w:rFonts w:ascii="Arial" w:hAnsi="Arial" w:cs="Arial"/>
          <w:sz w:val="20"/>
          <w:szCs w:val="20"/>
        </w:rPr>
        <w:t>cropwith</w:t>
      </w:r>
      <w:proofErr w:type="spellEnd"/>
      <w:r w:rsidRPr="00844067">
        <w:rPr>
          <w:rFonts w:ascii="Arial" w:hAnsi="Arial" w:cs="Arial"/>
          <w:sz w:val="20"/>
          <w:szCs w:val="20"/>
        </w:rPr>
        <w:t xml:space="preserve"> a modern future. An overview of the present </w:t>
      </w:r>
      <w:proofErr w:type="spellStart"/>
      <w:proofErr w:type="gramStart"/>
      <w:r w:rsidRPr="00844067">
        <w:rPr>
          <w:rFonts w:ascii="Arial" w:hAnsi="Arial" w:cs="Arial"/>
          <w:sz w:val="20"/>
          <w:szCs w:val="20"/>
        </w:rPr>
        <w:t>situation.In</w:t>
      </w:r>
      <w:proofErr w:type="spellEnd"/>
      <w:proofErr w:type="gramEnd"/>
      <w:r w:rsidRPr="00844067">
        <w:rPr>
          <w:rFonts w:ascii="Arial" w:hAnsi="Arial" w:cs="Arial"/>
          <w:sz w:val="20"/>
          <w:szCs w:val="20"/>
        </w:rPr>
        <w:t xml:space="preserve">: </w:t>
      </w:r>
      <w:proofErr w:type="spellStart"/>
      <w:r w:rsidRPr="00844067">
        <w:rPr>
          <w:rFonts w:ascii="Arial" w:hAnsi="Arial" w:cs="Arial"/>
          <w:sz w:val="20"/>
          <w:szCs w:val="20"/>
        </w:rPr>
        <w:t>Grela</w:t>
      </w:r>
      <w:proofErr w:type="spellEnd"/>
      <w:r w:rsidRPr="00844067">
        <w:rPr>
          <w:rFonts w:ascii="Arial" w:hAnsi="Arial" w:cs="Arial"/>
          <w:sz w:val="20"/>
          <w:szCs w:val="20"/>
        </w:rPr>
        <w:t xml:space="preserve"> ER (ed)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sativus–cultivation and </w:t>
      </w:r>
      <w:proofErr w:type="spellStart"/>
      <w:r w:rsidRPr="00844067">
        <w:rPr>
          <w:rFonts w:ascii="Arial" w:hAnsi="Arial" w:cs="Arial"/>
          <w:sz w:val="20"/>
          <w:szCs w:val="20"/>
        </w:rPr>
        <w:t>nutritivevalue</w:t>
      </w:r>
      <w:proofErr w:type="spellEnd"/>
      <w:r w:rsidRPr="00844067">
        <w:rPr>
          <w:rFonts w:ascii="Arial" w:hAnsi="Arial" w:cs="Arial"/>
          <w:sz w:val="20"/>
          <w:szCs w:val="20"/>
        </w:rPr>
        <w:t xml:space="preserve"> in animals and human. International Scientific Con-</w:t>
      </w:r>
      <w:proofErr w:type="spellStart"/>
      <w:r w:rsidRPr="00844067">
        <w:rPr>
          <w:rFonts w:ascii="Arial" w:hAnsi="Arial" w:cs="Arial"/>
          <w:sz w:val="20"/>
          <w:szCs w:val="20"/>
        </w:rPr>
        <w:t>ference</w:t>
      </w:r>
      <w:proofErr w:type="spellEnd"/>
      <w:r w:rsidRPr="00844067">
        <w:rPr>
          <w:rFonts w:ascii="Arial" w:hAnsi="Arial" w:cs="Arial"/>
          <w:sz w:val="20"/>
          <w:szCs w:val="20"/>
        </w:rPr>
        <w:t>, Radom 1997, Poland. Institute of Animal Nutri-</w:t>
      </w:r>
      <w:proofErr w:type="spellStart"/>
      <w:r w:rsidRPr="00844067">
        <w:rPr>
          <w:rFonts w:ascii="Arial" w:hAnsi="Arial" w:cs="Arial"/>
          <w:sz w:val="20"/>
          <w:szCs w:val="20"/>
        </w:rPr>
        <w:t>tion</w:t>
      </w:r>
      <w:proofErr w:type="spellEnd"/>
      <w:r w:rsidRPr="00844067">
        <w:rPr>
          <w:rFonts w:ascii="Arial" w:hAnsi="Arial" w:cs="Arial"/>
          <w:sz w:val="20"/>
          <w:szCs w:val="20"/>
        </w:rPr>
        <w:t xml:space="preserve">, Agricultural University, Lublin, pp 6–1 </w:t>
      </w:r>
    </w:p>
    <w:p w14:paraId="0808B4A4"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Larbi, A., El-Moneim, A. A., </w:t>
      </w:r>
      <w:proofErr w:type="spellStart"/>
      <w:r w:rsidRPr="00844067">
        <w:rPr>
          <w:rFonts w:ascii="Arial" w:hAnsi="Arial" w:cs="Arial"/>
          <w:sz w:val="20"/>
          <w:szCs w:val="20"/>
        </w:rPr>
        <w:t>Nakkoul</w:t>
      </w:r>
      <w:proofErr w:type="spellEnd"/>
      <w:r w:rsidRPr="00844067">
        <w:rPr>
          <w:rFonts w:ascii="Arial" w:hAnsi="Arial" w:cs="Arial"/>
          <w:sz w:val="20"/>
          <w:szCs w:val="20"/>
        </w:rPr>
        <w:t xml:space="preserve">, H., Jammal, B. &amp; Hassan, S. (2010). Intra-species variations in yield and quality in Lathyrus species: 1. </w:t>
      </w:r>
      <w:proofErr w:type="spellStart"/>
      <w:r w:rsidRPr="00844067">
        <w:rPr>
          <w:rFonts w:ascii="Arial" w:hAnsi="Arial" w:cs="Arial"/>
          <w:sz w:val="20"/>
          <w:szCs w:val="20"/>
        </w:rPr>
        <w:t>Grasspea</w:t>
      </w:r>
      <w:proofErr w:type="spellEnd"/>
      <w:r w:rsidRPr="00844067">
        <w:rPr>
          <w:rFonts w:ascii="Arial" w:hAnsi="Arial" w:cs="Arial"/>
          <w:sz w:val="20"/>
          <w:szCs w:val="20"/>
        </w:rPr>
        <w:t xml:space="preserve"> (L. sativus L.). </w:t>
      </w:r>
      <w:r w:rsidRPr="00844067">
        <w:rPr>
          <w:rFonts w:ascii="Arial" w:hAnsi="Arial" w:cs="Arial"/>
          <w:i/>
          <w:iCs/>
          <w:sz w:val="20"/>
          <w:szCs w:val="20"/>
        </w:rPr>
        <w:t>Animal Feed science and technology</w:t>
      </w:r>
      <w:r w:rsidRPr="00844067">
        <w:rPr>
          <w:rFonts w:ascii="Arial" w:hAnsi="Arial" w:cs="Arial"/>
          <w:sz w:val="20"/>
          <w:szCs w:val="20"/>
        </w:rPr>
        <w:t>, 161:9-18</w:t>
      </w:r>
    </w:p>
    <w:p w14:paraId="5106B0D3" w14:textId="77777777" w:rsidR="00DC7795" w:rsidRPr="00844067" w:rsidRDefault="00DC7795" w:rsidP="00DC7795">
      <w:pPr>
        <w:spacing w:line="360" w:lineRule="auto"/>
        <w:jc w:val="both"/>
        <w:rPr>
          <w:rFonts w:ascii="Arial" w:hAnsi="Arial" w:cs="Arial"/>
          <w:sz w:val="20"/>
          <w:szCs w:val="20"/>
        </w:rPr>
      </w:pPr>
      <w:proofErr w:type="spellStart"/>
      <w:r w:rsidRPr="00844067">
        <w:rPr>
          <w:rFonts w:ascii="Arial" w:hAnsi="Arial" w:cs="Arial"/>
          <w:sz w:val="20"/>
          <w:szCs w:val="20"/>
        </w:rPr>
        <w:t>Longvah</w:t>
      </w:r>
      <w:proofErr w:type="spellEnd"/>
      <w:r w:rsidRPr="00844067">
        <w:rPr>
          <w:rFonts w:ascii="Arial" w:hAnsi="Arial" w:cs="Arial"/>
          <w:sz w:val="20"/>
          <w:szCs w:val="20"/>
        </w:rPr>
        <w:t xml:space="preserve">, T., Anantan, I., </w:t>
      </w:r>
      <w:proofErr w:type="spellStart"/>
      <w:r w:rsidRPr="00844067">
        <w:rPr>
          <w:rFonts w:ascii="Arial" w:hAnsi="Arial" w:cs="Arial"/>
          <w:sz w:val="20"/>
          <w:szCs w:val="20"/>
        </w:rPr>
        <w:t>Bhaskarachary</w:t>
      </w:r>
      <w:proofErr w:type="spellEnd"/>
      <w:r w:rsidRPr="00844067">
        <w:rPr>
          <w:rFonts w:ascii="Arial" w:hAnsi="Arial" w:cs="Arial"/>
          <w:sz w:val="20"/>
          <w:szCs w:val="20"/>
        </w:rPr>
        <w:t xml:space="preserve">, K., Venkaiah, K. &amp; </w:t>
      </w:r>
      <w:proofErr w:type="spellStart"/>
      <w:r w:rsidRPr="00844067">
        <w:rPr>
          <w:rFonts w:ascii="Arial" w:hAnsi="Arial" w:cs="Arial"/>
          <w:sz w:val="20"/>
          <w:szCs w:val="20"/>
        </w:rPr>
        <w:t>Longvah</w:t>
      </w:r>
      <w:proofErr w:type="spellEnd"/>
      <w:r w:rsidRPr="00844067">
        <w:rPr>
          <w:rFonts w:ascii="Arial" w:hAnsi="Arial" w:cs="Arial"/>
          <w:sz w:val="20"/>
          <w:szCs w:val="20"/>
        </w:rPr>
        <w:t xml:space="preserve">, T. (2017). Indian Food Composition Tables. Hyderabad: National Institute of Nutrition, Indian Council of Medical Research, 2–58. </w:t>
      </w:r>
    </w:p>
    <w:p w14:paraId="08BA5FCE" w14:textId="77777777" w:rsidR="00DC7795" w:rsidRPr="00844067" w:rsidRDefault="00DC7795" w:rsidP="00DC7795">
      <w:pPr>
        <w:spacing w:line="360" w:lineRule="auto"/>
        <w:jc w:val="both"/>
        <w:rPr>
          <w:rFonts w:ascii="Arial" w:hAnsi="Arial" w:cs="Arial"/>
          <w:sz w:val="20"/>
          <w:szCs w:val="20"/>
          <w:lang w:eastAsia="en-IN"/>
        </w:rPr>
      </w:pPr>
      <w:r w:rsidRPr="00844067">
        <w:rPr>
          <w:rFonts w:ascii="Arial" w:hAnsi="Arial" w:cs="Arial"/>
          <w:sz w:val="20"/>
          <w:szCs w:val="20"/>
          <w:lang w:eastAsia="en-IN"/>
        </w:rPr>
        <w:t>Mahler-</w:t>
      </w:r>
      <w:proofErr w:type="spellStart"/>
      <w:r w:rsidRPr="00844067">
        <w:rPr>
          <w:rFonts w:ascii="Arial" w:hAnsi="Arial" w:cs="Arial"/>
          <w:sz w:val="20"/>
          <w:szCs w:val="20"/>
          <w:lang w:eastAsia="en-IN"/>
        </w:rPr>
        <w:t>slasky</w:t>
      </w:r>
      <w:proofErr w:type="spellEnd"/>
      <w:r w:rsidRPr="00844067">
        <w:rPr>
          <w:rFonts w:ascii="Arial" w:hAnsi="Arial" w:cs="Arial"/>
          <w:sz w:val="20"/>
          <w:szCs w:val="20"/>
          <w:lang w:eastAsia="en-IN"/>
        </w:rPr>
        <w:t xml:space="preserve">, Y., </w:t>
      </w:r>
      <w:hyperlink r:id="rId13" w:history="1">
        <w:r w:rsidRPr="00844067">
          <w:rPr>
            <w:rFonts w:ascii="Arial" w:hAnsi="Arial" w:cs="Arial"/>
            <w:sz w:val="20"/>
            <w:szCs w:val="20"/>
            <w:lang w:eastAsia="en-IN"/>
          </w:rPr>
          <w:t>Mordechai, E., Kislev</w:t>
        </w:r>
      </w:hyperlink>
      <w:r w:rsidRPr="00844067">
        <w:rPr>
          <w:rFonts w:ascii="Arial" w:hAnsi="Arial" w:cs="Arial"/>
          <w:sz w:val="20"/>
          <w:szCs w:val="20"/>
          <w:lang w:eastAsia="en-IN"/>
        </w:rPr>
        <w:t xml:space="preserve">. (2010) Lathyrus consumption in Late Bronze and Iron Age sites in Israel: an Aegean affinity. </w:t>
      </w:r>
      <w:r w:rsidRPr="00844067">
        <w:rPr>
          <w:rFonts w:ascii="Arial" w:hAnsi="Arial" w:cs="Arial"/>
          <w:i/>
          <w:iCs/>
          <w:sz w:val="20"/>
          <w:szCs w:val="20"/>
          <w:lang w:eastAsia="en-IN"/>
        </w:rPr>
        <w:t>Journal of Archaeological Science</w:t>
      </w:r>
      <w:r w:rsidRPr="00844067">
        <w:rPr>
          <w:rFonts w:ascii="Arial" w:hAnsi="Arial" w:cs="Arial"/>
          <w:sz w:val="20"/>
          <w:szCs w:val="20"/>
          <w:lang w:eastAsia="en-IN"/>
        </w:rPr>
        <w:t>, 37(10), 2477-2485</w:t>
      </w:r>
    </w:p>
    <w:p w14:paraId="70FA0A72" w14:textId="0EDBCC7B"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Mehta, T., Hsu, A. F. &amp; Haskell, B. E. (1972</w:t>
      </w:r>
      <w:r w:rsidR="009D0A25" w:rsidRPr="00844067">
        <w:rPr>
          <w:rFonts w:ascii="Arial" w:hAnsi="Arial" w:cs="Arial"/>
          <w:sz w:val="20"/>
          <w:szCs w:val="20"/>
        </w:rPr>
        <w:t>). Septicity</w:t>
      </w:r>
      <w:r w:rsidRPr="00844067">
        <w:rPr>
          <w:rFonts w:ascii="Arial" w:hAnsi="Arial" w:cs="Arial"/>
          <w:sz w:val="20"/>
          <w:szCs w:val="20"/>
        </w:rPr>
        <w:t xml:space="preserve"> of the neurotoxin from Lathyrus sativus as an amino acid antagonist. </w:t>
      </w:r>
      <w:r w:rsidRPr="00844067">
        <w:rPr>
          <w:rFonts w:ascii="Arial" w:hAnsi="Arial" w:cs="Arial"/>
          <w:i/>
          <w:iCs/>
          <w:sz w:val="20"/>
          <w:szCs w:val="20"/>
        </w:rPr>
        <w:t>Biochemistry</w:t>
      </w:r>
      <w:r w:rsidRPr="00844067">
        <w:rPr>
          <w:rFonts w:ascii="Arial" w:hAnsi="Arial" w:cs="Arial"/>
          <w:sz w:val="20"/>
          <w:szCs w:val="20"/>
        </w:rPr>
        <w:t>, 11, 4053-4063.</w:t>
      </w:r>
    </w:p>
    <w:p w14:paraId="436FA27D" w14:textId="4D798E21" w:rsidR="00DC7795" w:rsidRPr="00844067" w:rsidRDefault="00DC7795" w:rsidP="00DC7795">
      <w:pPr>
        <w:spacing w:line="360" w:lineRule="auto"/>
        <w:jc w:val="both"/>
        <w:rPr>
          <w:rFonts w:ascii="Arial" w:hAnsi="Arial" w:cs="Arial"/>
          <w:sz w:val="20"/>
          <w:szCs w:val="20"/>
        </w:rPr>
      </w:pPr>
      <w:proofErr w:type="spellStart"/>
      <w:r w:rsidRPr="00844067">
        <w:rPr>
          <w:rFonts w:ascii="Arial" w:hAnsi="Arial" w:cs="Arial"/>
          <w:sz w:val="20"/>
          <w:szCs w:val="20"/>
        </w:rPr>
        <w:lastRenderedPageBreak/>
        <w:t>Padmajaprasad</w:t>
      </w:r>
      <w:proofErr w:type="spellEnd"/>
      <w:r w:rsidRPr="00844067">
        <w:rPr>
          <w:rFonts w:ascii="Arial" w:hAnsi="Arial" w:cs="Arial"/>
          <w:sz w:val="20"/>
          <w:szCs w:val="20"/>
        </w:rPr>
        <w:t>, V., Kaladhar, M.&amp; Bhat, R. V. (1997).</w:t>
      </w:r>
      <w:r w:rsidR="009D0A25">
        <w:rPr>
          <w:rFonts w:ascii="Arial" w:hAnsi="Arial" w:cs="Arial"/>
          <w:sz w:val="20"/>
          <w:szCs w:val="20"/>
        </w:rPr>
        <w:t xml:space="preserve"> </w:t>
      </w:r>
      <w:r w:rsidRPr="00844067">
        <w:rPr>
          <w:rFonts w:ascii="Arial" w:hAnsi="Arial" w:cs="Arial"/>
          <w:sz w:val="20"/>
          <w:szCs w:val="20"/>
        </w:rPr>
        <w:t>Thermal isomerisation of b-N-oxalyl-L-</w:t>
      </w:r>
      <w:proofErr w:type="spellStart"/>
      <w:proofErr w:type="gramStart"/>
      <w:r w:rsidRPr="00844067">
        <w:rPr>
          <w:rFonts w:ascii="Arial" w:hAnsi="Arial" w:cs="Arial"/>
          <w:sz w:val="20"/>
          <w:szCs w:val="20"/>
        </w:rPr>
        <w:t>a,b</w:t>
      </w:r>
      <w:proofErr w:type="spellEnd"/>
      <w:proofErr w:type="gramEnd"/>
      <w:r w:rsidRPr="00844067">
        <w:rPr>
          <w:rFonts w:ascii="Arial" w:hAnsi="Arial" w:cs="Arial"/>
          <w:sz w:val="20"/>
          <w:szCs w:val="20"/>
        </w:rPr>
        <w:t>-</w:t>
      </w:r>
      <w:proofErr w:type="spellStart"/>
      <w:r w:rsidRPr="00844067">
        <w:rPr>
          <w:rFonts w:ascii="Arial" w:hAnsi="Arial" w:cs="Arial"/>
          <w:sz w:val="20"/>
          <w:szCs w:val="20"/>
        </w:rPr>
        <w:t>diaminopropionic</w:t>
      </w:r>
      <w:proofErr w:type="spellEnd"/>
      <w:r w:rsidRPr="00844067">
        <w:rPr>
          <w:rFonts w:ascii="Arial" w:hAnsi="Arial" w:cs="Arial"/>
          <w:sz w:val="20"/>
          <w:szCs w:val="20"/>
        </w:rPr>
        <w:t xml:space="preserve"> acid, the neurotoxin in Lathyrus sativus, during cooking. </w:t>
      </w:r>
      <w:r w:rsidRPr="00844067">
        <w:rPr>
          <w:rFonts w:ascii="Arial" w:hAnsi="Arial" w:cs="Arial"/>
          <w:i/>
          <w:iCs/>
          <w:sz w:val="20"/>
          <w:szCs w:val="20"/>
        </w:rPr>
        <w:t>Food Chemistry</w:t>
      </w:r>
      <w:r w:rsidRPr="00844067">
        <w:rPr>
          <w:rFonts w:ascii="Arial" w:hAnsi="Arial" w:cs="Arial"/>
          <w:sz w:val="20"/>
          <w:szCs w:val="20"/>
        </w:rPr>
        <w:t>, 59:77-80.</w:t>
      </w:r>
    </w:p>
    <w:p w14:paraId="2CB95E9E"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Padmanaban, G. (1980</w:t>
      </w:r>
      <w:proofErr w:type="gramStart"/>
      <w:r w:rsidRPr="00844067">
        <w:rPr>
          <w:rFonts w:ascii="Arial" w:hAnsi="Arial" w:cs="Arial"/>
          <w:sz w:val="20"/>
          <w:szCs w:val="20"/>
        </w:rPr>
        <w:t>).Lathyrogens</w:t>
      </w:r>
      <w:proofErr w:type="gramEnd"/>
      <w:r w:rsidRPr="00844067">
        <w:rPr>
          <w:rFonts w:ascii="Arial" w:hAnsi="Arial" w:cs="Arial"/>
          <w:sz w:val="20"/>
          <w:szCs w:val="20"/>
        </w:rPr>
        <w:t>. In: Liener, I.E. (Ed.), Toxic Constituents of Plant Foodstuffs, 2nd Edition. Academic Press, New York, 239±263</w:t>
      </w:r>
    </w:p>
    <w:p w14:paraId="5E6F98A1"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Piergiovanni, A., Francesco, L.&amp; Massimo, Z. (2011). Environmental effects on yield, composition and technological seed traits of some Italian ecotypes of </w:t>
      </w:r>
      <w:proofErr w:type="spellStart"/>
      <w:r w:rsidRPr="00844067">
        <w:rPr>
          <w:rFonts w:ascii="Arial" w:hAnsi="Arial" w:cs="Arial"/>
          <w:sz w:val="20"/>
          <w:szCs w:val="20"/>
        </w:rPr>
        <w:t>grasspea</w:t>
      </w:r>
      <w:proofErr w:type="spellEnd"/>
      <w:r w:rsidRPr="00844067">
        <w:rPr>
          <w:rFonts w:ascii="Arial" w:hAnsi="Arial" w:cs="Arial"/>
          <w:sz w:val="20"/>
          <w:szCs w:val="20"/>
        </w:rPr>
        <w:t xml:space="preserv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Journal of the Science of Food and Agriculture, 91,122-129.</w:t>
      </w:r>
    </w:p>
    <w:p w14:paraId="7A3F5265" w14:textId="77777777" w:rsidR="00DC7795" w:rsidRPr="00844067" w:rsidRDefault="00DC7795" w:rsidP="00DC7795">
      <w:pPr>
        <w:spacing w:line="360" w:lineRule="auto"/>
        <w:jc w:val="both"/>
        <w:rPr>
          <w:rFonts w:ascii="Arial" w:hAnsi="Arial" w:cs="Arial"/>
          <w:sz w:val="20"/>
          <w:szCs w:val="20"/>
        </w:rPr>
      </w:pPr>
      <w:proofErr w:type="spellStart"/>
      <w:r w:rsidRPr="00844067">
        <w:rPr>
          <w:rFonts w:ascii="Arial" w:hAnsi="Arial" w:cs="Arial"/>
          <w:sz w:val="20"/>
          <w:szCs w:val="20"/>
        </w:rPr>
        <w:t>Ranabahu</w:t>
      </w:r>
      <w:proofErr w:type="spellEnd"/>
      <w:r w:rsidRPr="00844067">
        <w:rPr>
          <w:rFonts w:ascii="Arial" w:hAnsi="Arial" w:cs="Arial"/>
          <w:sz w:val="20"/>
          <w:szCs w:val="20"/>
        </w:rPr>
        <w:t xml:space="preserve">, P.&amp; Harborne, J. F. (1993). The flavonoids of the genus Lathyrus and a comparison of flavonoid patters within the tribe </w:t>
      </w:r>
      <w:proofErr w:type="spellStart"/>
      <w:r w:rsidRPr="00844067">
        <w:rPr>
          <w:rFonts w:ascii="Arial" w:hAnsi="Arial" w:cs="Arial"/>
          <w:sz w:val="20"/>
          <w:szCs w:val="20"/>
        </w:rPr>
        <w:t>Vicieae</w:t>
      </w:r>
      <w:proofErr w:type="spellEnd"/>
      <w:r w:rsidRPr="00844067">
        <w:rPr>
          <w:rFonts w:ascii="Arial" w:hAnsi="Arial" w:cs="Arial"/>
          <w:sz w:val="20"/>
          <w:szCs w:val="20"/>
        </w:rPr>
        <w:t xml:space="preserve">. </w:t>
      </w:r>
      <w:r w:rsidRPr="00844067">
        <w:rPr>
          <w:rFonts w:ascii="Arial" w:hAnsi="Arial" w:cs="Arial"/>
          <w:i/>
          <w:iCs/>
          <w:sz w:val="20"/>
          <w:szCs w:val="20"/>
        </w:rPr>
        <w:t>Biochemical Systematics and Ecology</w:t>
      </w:r>
      <w:r w:rsidRPr="00844067">
        <w:rPr>
          <w:rFonts w:ascii="Arial" w:hAnsi="Arial" w:cs="Arial"/>
          <w:sz w:val="20"/>
          <w:szCs w:val="20"/>
        </w:rPr>
        <w:t xml:space="preserve">, 21: 715-722. </w:t>
      </w:r>
    </w:p>
    <w:p w14:paraId="6A48DAD5" w14:textId="21404C19"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Rizvi, A. H, Sarker, A. &amp; Dogra, A. (2016). Enhancing grass</w:t>
      </w:r>
      <w:r w:rsidR="009D0A25">
        <w:rPr>
          <w:rFonts w:ascii="Arial" w:hAnsi="Arial" w:cs="Arial"/>
          <w:sz w:val="20"/>
          <w:szCs w:val="20"/>
        </w:rPr>
        <w:t xml:space="preserve"> </w:t>
      </w:r>
      <w:r w:rsidRPr="00844067">
        <w:rPr>
          <w:rFonts w:ascii="Arial" w:hAnsi="Arial" w:cs="Arial"/>
          <w:sz w:val="20"/>
          <w:szCs w:val="20"/>
        </w:rPr>
        <w:t xml:space="preserve">pea (Lathyrus sativus L.) production in problematic soils of South Asia for nutritional security. </w:t>
      </w:r>
      <w:r w:rsidRPr="00844067">
        <w:rPr>
          <w:rFonts w:ascii="Arial" w:hAnsi="Arial" w:cs="Arial"/>
          <w:i/>
          <w:iCs/>
          <w:sz w:val="20"/>
          <w:szCs w:val="20"/>
        </w:rPr>
        <w:t>Indian Journal of Genetics and Plant Breeding</w:t>
      </w:r>
      <w:r w:rsidRPr="00844067">
        <w:rPr>
          <w:rFonts w:ascii="Arial" w:hAnsi="Arial" w:cs="Arial"/>
          <w:sz w:val="20"/>
          <w:szCs w:val="20"/>
        </w:rPr>
        <w:t>, 76(04),583-592. doi.org/10.5958/0975-6906.2016.00074.2</w:t>
      </w:r>
    </w:p>
    <w:p w14:paraId="08001E2F"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Roy, D. N. (1981). Toxic amino acids and proteins from Lathyrus plants and other leguminous species: a literature review. </w:t>
      </w:r>
      <w:r w:rsidRPr="00844067">
        <w:rPr>
          <w:rFonts w:ascii="Arial" w:hAnsi="Arial" w:cs="Arial"/>
          <w:i/>
          <w:iCs/>
          <w:sz w:val="20"/>
          <w:szCs w:val="20"/>
        </w:rPr>
        <w:t>Nutrition Abstracts and Reviews, Series A</w:t>
      </w:r>
      <w:r w:rsidRPr="00844067">
        <w:rPr>
          <w:rFonts w:ascii="Arial" w:hAnsi="Arial" w:cs="Arial"/>
          <w:sz w:val="20"/>
          <w:szCs w:val="20"/>
        </w:rPr>
        <w:t>, 51, 691-707</w:t>
      </w:r>
    </w:p>
    <w:p w14:paraId="0792ADC5"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Shahidi, F., Chavan, U. D., </w:t>
      </w:r>
      <w:proofErr w:type="spellStart"/>
      <w:r w:rsidRPr="00844067">
        <w:rPr>
          <w:rFonts w:ascii="Arial" w:hAnsi="Arial" w:cs="Arial"/>
          <w:sz w:val="20"/>
          <w:szCs w:val="20"/>
        </w:rPr>
        <w:t>Naczk</w:t>
      </w:r>
      <w:proofErr w:type="spellEnd"/>
      <w:r w:rsidRPr="00844067">
        <w:rPr>
          <w:rFonts w:ascii="Arial" w:hAnsi="Arial" w:cs="Arial"/>
          <w:sz w:val="20"/>
          <w:szCs w:val="20"/>
        </w:rPr>
        <w:t xml:space="preserve">, M. &amp; </w:t>
      </w:r>
      <w:proofErr w:type="spellStart"/>
      <w:r w:rsidRPr="00844067">
        <w:rPr>
          <w:rFonts w:ascii="Arial" w:hAnsi="Arial" w:cs="Arial"/>
          <w:sz w:val="20"/>
          <w:szCs w:val="20"/>
        </w:rPr>
        <w:t>Amarowicz</w:t>
      </w:r>
      <w:proofErr w:type="spellEnd"/>
      <w:r w:rsidRPr="00844067">
        <w:rPr>
          <w:rFonts w:ascii="Arial" w:hAnsi="Arial" w:cs="Arial"/>
          <w:sz w:val="20"/>
          <w:szCs w:val="20"/>
        </w:rPr>
        <w:t xml:space="preserve">, R. (2001). Nutrient distribution and phenolic antioxidants in air–classified fractions of beach pea (Lathyrus maritimus L.). </w:t>
      </w:r>
      <w:r w:rsidRPr="00844067">
        <w:rPr>
          <w:rFonts w:ascii="Arial" w:hAnsi="Arial" w:cs="Arial"/>
          <w:i/>
          <w:iCs/>
          <w:sz w:val="20"/>
          <w:szCs w:val="20"/>
        </w:rPr>
        <w:t>Journal of Agricultural and Food Chemistry</w:t>
      </w:r>
      <w:r w:rsidRPr="00844067">
        <w:rPr>
          <w:rFonts w:ascii="Arial" w:hAnsi="Arial" w:cs="Arial"/>
          <w:sz w:val="20"/>
          <w:szCs w:val="20"/>
        </w:rPr>
        <w:t>, 49, 926–933.</w:t>
      </w:r>
    </w:p>
    <w:p w14:paraId="212116FD"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color w:val="222222"/>
          <w:sz w:val="20"/>
          <w:szCs w:val="20"/>
          <w:shd w:val="clear" w:color="auto" w:fill="FFFFFF"/>
        </w:rPr>
        <w:t>Sharma, M., Sahu, K., Singh, S.P. &amp; Jain, B. (2018).  Wound healing activity of curcumin conjugated to hyaluronic acid: In vitro and in vivo evaluation. </w:t>
      </w:r>
      <w:r w:rsidRPr="00844067">
        <w:rPr>
          <w:rFonts w:ascii="Arial" w:hAnsi="Arial" w:cs="Arial"/>
          <w:i/>
          <w:iCs/>
          <w:sz w:val="20"/>
          <w:szCs w:val="20"/>
        </w:rPr>
        <w:t>Artificial Cells, Nanomedicine, and Biotechnology,</w:t>
      </w:r>
      <w:r w:rsidRPr="00844067">
        <w:rPr>
          <w:rStyle w:val="html-italic"/>
          <w:rFonts w:ascii="Arial" w:hAnsi="Arial" w:cs="Arial"/>
          <w:i/>
          <w:iCs/>
          <w:color w:val="222222"/>
          <w:sz w:val="20"/>
          <w:szCs w:val="20"/>
          <w:shd w:val="clear" w:color="auto" w:fill="FFFFFF"/>
        </w:rPr>
        <w:t xml:space="preserve"> 46</w:t>
      </w:r>
      <w:r w:rsidRPr="00844067">
        <w:rPr>
          <w:rFonts w:ascii="Arial" w:hAnsi="Arial" w:cs="Arial"/>
          <w:color w:val="222222"/>
          <w:sz w:val="20"/>
          <w:szCs w:val="20"/>
          <w:shd w:val="clear" w:color="auto" w:fill="FFFFFF"/>
        </w:rPr>
        <w:t>, 1009–1017.</w:t>
      </w:r>
    </w:p>
    <w:p w14:paraId="0D7BB923"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Siddique, K. H. M., Loss, S. P., Herwig, S. P. &amp; Wilson, J. M. (1996). Growth, yield and neurotoxin (ODAP) concentration of three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w:t>
      </w:r>
      <w:proofErr w:type="spellStart"/>
      <w:r w:rsidRPr="00844067">
        <w:rPr>
          <w:rFonts w:ascii="Arial" w:hAnsi="Arial" w:cs="Arial"/>
          <w:sz w:val="20"/>
          <w:szCs w:val="20"/>
        </w:rPr>
        <w:t>spp</w:t>
      </w:r>
      <w:proofErr w:type="spellEnd"/>
      <w:r w:rsidRPr="00844067">
        <w:rPr>
          <w:rFonts w:ascii="Arial" w:hAnsi="Arial" w:cs="Arial"/>
          <w:sz w:val="20"/>
          <w:szCs w:val="20"/>
        </w:rPr>
        <w:t xml:space="preserve"> in Mediterranean-type environments of Western Australia. </w:t>
      </w:r>
      <w:r w:rsidRPr="00844067">
        <w:rPr>
          <w:rFonts w:ascii="Arial" w:hAnsi="Arial" w:cs="Arial"/>
          <w:i/>
          <w:iCs/>
          <w:sz w:val="20"/>
          <w:szCs w:val="20"/>
        </w:rPr>
        <w:t>Australian Journal of Experimental Agriculture</w:t>
      </w:r>
      <w:r w:rsidRPr="00844067">
        <w:rPr>
          <w:rFonts w:ascii="Arial" w:hAnsi="Arial" w:cs="Arial"/>
          <w:sz w:val="20"/>
          <w:szCs w:val="20"/>
        </w:rPr>
        <w:t>, 36, 209-218.</w:t>
      </w:r>
    </w:p>
    <w:p w14:paraId="5E7A234B"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Smartt, J., Kaul, A., Araya, W. A., Rahman, M. M. &amp; Kearney, J. (1994). </w:t>
      </w:r>
      <w:proofErr w:type="spellStart"/>
      <w:r w:rsidRPr="00844067">
        <w:rPr>
          <w:rFonts w:ascii="Arial" w:hAnsi="Arial" w:cs="Arial"/>
          <w:sz w:val="20"/>
          <w:szCs w:val="20"/>
        </w:rPr>
        <w:t>Grasspea</w:t>
      </w:r>
      <w:proofErr w:type="spellEnd"/>
      <w:r w:rsidRPr="00844067">
        <w:rPr>
          <w:rFonts w:ascii="Arial" w:hAnsi="Arial" w:cs="Arial"/>
          <w:sz w:val="20"/>
          <w:szCs w:val="20"/>
        </w:rPr>
        <w:t xml:space="preserve">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L.) as a potentially safe food legume crop. 144-155. In: F.J. Muehlbauer and W.J. Kaiser (eds.), Expanding the Production and Use of Cool Season Food Legumes. Kluwer Academic Publishers. Dordrecht, Netherlands</w:t>
      </w:r>
    </w:p>
    <w:p w14:paraId="0EA8DB33" w14:textId="77777777" w:rsidR="00DC7795" w:rsidRPr="00844067" w:rsidRDefault="00DC7795" w:rsidP="00DC7795">
      <w:pPr>
        <w:spacing w:after="0" w:line="360" w:lineRule="auto"/>
        <w:jc w:val="both"/>
        <w:rPr>
          <w:rFonts w:ascii="Arial" w:hAnsi="Arial" w:cs="Arial"/>
          <w:bCs/>
          <w:sz w:val="20"/>
          <w:szCs w:val="20"/>
          <w:lang w:eastAsia="en-IN"/>
        </w:rPr>
      </w:pPr>
      <w:proofErr w:type="spellStart"/>
      <w:r w:rsidRPr="00844067">
        <w:rPr>
          <w:rFonts w:ascii="Arial" w:hAnsi="Arial" w:cs="Arial"/>
          <w:bCs/>
          <w:sz w:val="20"/>
          <w:szCs w:val="20"/>
        </w:rPr>
        <w:t>Solovieva</w:t>
      </w:r>
      <w:proofErr w:type="spellEnd"/>
      <w:r w:rsidRPr="00844067">
        <w:rPr>
          <w:rFonts w:ascii="Arial" w:hAnsi="Arial" w:cs="Arial"/>
          <w:bCs/>
          <w:sz w:val="20"/>
          <w:szCs w:val="20"/>
        </w:rPr>
        <w:t xml:space="preserve">, I., </w:t>
      </w:r>
      <w:proofErr w:type="spellStart"/>
      <w:r w:rsidRPr="00844067">
        <w:rPr>
          <w:rFonts w:ascii="Arial" w:hAnsi="Arial" w:cs="Arial"/>
          <w:bCs/>
          <w:sz w:val="20"/>
          <w:szCs w:val="20"/>
        </w:rPr>
        <w:t>Miteva-Bölter</w:t>
      </w:r>
      <w:proofErr w:type="spellEnd"/>
      <w:r w:rsidRPr="00844067">
        <w:rPr>
          <w:rFonts w:ascii="Arial" w:hAnsi="Arial" w:cs="Arial"/>
          <w:bCs/>
          <w:sz w:val="20"/>
          <w:szCs w:val="20"/>
        </w:rPr>
        <w:t xml:space="preserve">, P., Marija Knez, M., </w:t>
      </w:r>
      <w:proofErr w:type="spellStart"/>
      <w:r w:rsidRPr="00844067">
        <w:rPr>
          <w:rFonts w:ascii="Arial" w:hAnsi="Arial" w:cs="Arial"/>
          <w:bCs/>
          <w:sz w:val="20"/>
          <w:szCs w:val="20"/>
        </w:rPr>
        <w:t>Bessai</w:t>
      </w:r>
      <w:proofErr w:type="spellEnd"/>
      <w:r w:rsidRPr="00844067">
        <w:rPr>
          <w:rFonts w:ascii="Arial" w:hAnsi="Arial" w:cs="Arial"/>
          <w:bCs/>
          <w:sz w:val="20"/>
          <w:szCs w:val="20"/>
        </w:rPr>
        <w:t xml:space="preserve">, A. K., </w:t>
      </w:r>
      <w:proofErr w:type="spellStart"/>
      <w:r w:rsidRPr="00844067">
        <w:rPr>
          <w:rFonts w:ascii="Arial" w:hAnsi="Arial" w:cs="Arial"/>
          <w:bCs/>
          <w:sz w:val="20"/>
          <w:szCs w:val="20"/>
        </w:rPr>
        <w:t>Barilli</w:t>
      </w:r>
      <w:proofErr w:type="spellEnd"/>
      <w:r w:rsidRPr="00844067">
        <w:rPr>
          <w:rFonts w:ascii="Arial" w:hAnsi="Arial" w:cs="Arial"/>
          <w:bCs/>
          <w:sz w:val="20"/>
          <w:szCs w:val="20"/>
        </w:rPr>
        <w:t>, E.,</w:t>
      </w:r>
      <w:r w:rsidRPr="00844067">
        <w:rPr>
          <w:rFonts w:ascii="Arial" w:eastAsia="Times New Roman" w:hAnsi="Arial" w:cs="Arial"/>
          <w:bCs/>
          <w:sz w:val="20"/>
          <w:szCs w:val="20"/>
          <w:lang w:eastAsia="en-IN"/>
        </w:rPr>
        <w:t xml:space="preserve"> </w:t>
      </w:r>
      <w:proofErr w:type="spellStart"/>
      <w:proofErr w:type="gramStart"/>
      <w:r w:rsidRPr="00844067">
        <w:rPr>
          <w:rFonts w:ascii="Arial" w:eastAsia="Times New Roman" w:hAnsi="Arial" w:cs="Arial"/>
          <w:bCs/>
          <w:sz w:val="20"/>
          <w:szCs w:val="20"/>
          <w:lang w:eastAsia="en-IN"/>
        </w:rPr>
        <w:t>Kasperczyk</w:t>
      </w:r>
      <w:proofErr w:type="spellEnd"/>
      <w:r w:rsidRPr="00844067">
        <w:rPr>
          <w:rFonts w:ascii="Arial" w:eastAsia="Times New Roman" w:hAnsi="Arial" w:cs="Arial"/>
          <w:bCs/>
          <w:sz w:val="20"/>
          <w:szCs w:val="20"/>
          <w:lang w:eastAsia="en-IN"/>
        </w:rPr>
        <w:t>,  N.</w:t>
      </w:r>
      <w:proofErr w:type="gramEnd"/>
      <w:r w:rsidRPr="00844067">
        <w:rPr>
          <w:rFonts w:ascii="Arial" w:eastAsia="Times New Roman" w:hAnsi="Arial" w:cs="Arial"/>
          <w:bCs/>
          <w:sz w:val="20"/>
          <w:szCs w:val="20"/>
          <w:lang w:eastAsia="en-IN"/>
        </w:rPr>
        <w:t xml:space="preserve">,  Ranic, M., </w:t>
      </w:r>
      <w:proofErr w:type="spellStart"/>
      <w:r w:rsidRPr="00844067">
        <w:rPr>
          <w:rFonts w:ascii="Arial" w:eastAsia="Times New Roman" w:hAnsi="Arial" w:cs="Arial"/>
          <w:bCs/>
          <w:sz w:val="20"/>
          <w:szCs w:val="20"/>
          <w:lang w:eastAsia="en-IN"/>
        </w:rPr>
        <w:t>Gurinovic</w:t>
      </w:r>
      <w:proofErr w:type="spellEnd"/>
      <w:r w:rsidRPr="00844067">
        <w:rPr>
          <w:rFonts w:ascii="Arial" w:eastAsia="Times New Roman" w:hAnsi="Arial" w:cs="Arial"/>
          <w:bCs/>
          <w:sz w:val="20"/>
          <w:szCs w:val="20"/>
          <w:lang w:eastAsia="en-IN"/>
        </w:rPr>
        <w:t xml:space="preserve">, M., Casado, P. J. L. Morales, N. A., Sanchez, M.,  </w:t>
      </w:r>
      <w:proofErr w:type="spellStart"/>
      <w:r w:rsidRPr="00844067">
        <w:rPr>
          <w:rFonts w:ascii="Arial" w:eastAsia="Times New Roman" w:hAnsi="Arial" w:cs="Arial"/>
          <w:bCs/>
          <w:sz w:val="20"/>
          <w:szCs w:val="20"/>
          <w:lang w:eastAsia="en-IN"/>
        </w:rPr>
        <w:t>Tisseyre</w:t>
      </w:r>
      <w:proofErr w:type="spellEnd"/>
      <w:r w:rsidRPr="00844067">
        <w:rPr>
          <w:rFonts w:ascii="Arial" w:eastAsia="Times New Roman" w:hAnsi="Arial" w:cs="Arial"/>
          <w:bCs/>
          <w:sz w:val="20"/>
          <w:szCs w:val="20"/>
          <w:lang w:eastAsia="en-IN"/>
        </w:rPr>
        <w:t xml:space="preserve">, C.,  Schaer, B. and </w:t>
      </w:r>
      <w:proofErr w:type="spellStart"/>
      <w:r w:rsidRPr="00844067">
        <w:rPr>
          <w:rFonts w:ascii="Arial" w:eastAsia="Times New Roman" w:hAnsi="Arial" w:cs="Arial"/>
          <w:bCs/>
          <w:sz w:val="20"/>
          <w:szCs w:val="20"/>
          <w:lang w:eastAsia="en-IN"/>
        </w:rPr>
        <w:t>Xoplaki</w:t>
      </w:r>
      <w:proofErr w:type="spellEnd"/>
      <w:r w:rsidRPr="00844067">
        <w:rPr>
          <w:rFonts w:ascii="Arial" w:eastAsia="Times New Roman" w:hAnsi="Arial" w:cs="Arial"/>
          <w:bCs/>
          <w:sz w:val="20"/>
          <w:szCs w:val="20"/>
          <w:lang w:eastAsia="en-IN"/>
        </w:rPr>
        <w:t xml:space="preserve">, E. (2025). </w:t>
      </w:r>
      <w:r w:rsidRPr="00844067">
        <w:rPr>
          <w:rFonts w:ascii="Arial" w:eastAsia="Times New Roman" w:hAnsi="Arial" w:cs="Arial"/>
          <w:bCs/>
          <w:kern w:val="36"/>
          <w:sz w:val="20"/>
          <w:szCs w:val="20"/>
          <w:lang w:eastAsia="en-IN"/>
        </w:rPr>
        <w:t>Exploring the Potential and Challenges of </w:t>
      </w:r>
      <w:r w:rsidRPr="00844067">
        <w:rPr>
          <w:rFonts w:ascii="Arial" w:eastAsia="Times New Roman" w:hAnsi="Arial" w:cs="Arial"/>
          <w:bCs/>
          <w:i/>
          <w:iCs/>
          <w:kern w:val="36"/>
          <w:sz w:val="20"/>
          <w:szCs w:val="20"/>
          <w:lang w:eastAsia="en-IN"/>
        </w:rPr>
        <w:t>Lathyrus sativus</w:t>
      </w:r>
      <w:r w:rsidRPr="00844067">
        <w:rPr>
          <w:rFonts w:ascii="Arial" w:eastAsia="Times New Roman" w:hAnsi="Arial" w:cs="Arial"/>
          <w:bCs/>
          <w:kern w:val="36"/>
          <w:sz w:val="20"/>
          <w:szCs w:val="20"/>
          <w:lang w:eastAsia="en-IN"/>
        </w:rPr>
        <w:t> (Grass Pea) in European Agri-Food Value Chains: A Cross-Country Analysis</w:t>
      </w:r>
      <w:r w:rsidRPr="00844067">
        <w:rPr>
          <w:rFonts w:ascii="Arial" w:eastAsia="Times New Roman" w:hAnsi="Arial" w:cs="Arial"/>
          <w:bCs/>
          <w:sz w:val="20"/>
          <w:szCs w:val="20"/>
          <w:lang w:eastAsia="en-IN"/>
        </w:rPr>
        <w:t xml:space="preserve">. </w:t>
      </w:r>
      <w:r w:rsidRPr="00844067">
        <w:rPr>
          <w:rFonts w:ascii="Arial" w:hAnsi="Arial" w:cs="Arial"/>
          <w:bCs/>
          <w:i/>
          <w:iCs/>
          <w:sz w:val="20"/>
          <w:szCs w:val="20"/>
          <w:shd w:val="clear" w:color="auto" w:fill="FFFFFF"/>
        </w:rPr>
        <w:t> </w:t>
      </w:r>
      <w:hyperlink r:id="rId14" w:history="1">
        <w:r w:rsidRPr="00844067">
          <w:rPr>
            <w:rStyle w:val="Hyperlink"/>
            <w:rFonts w:ascii="Arial" w:hAnsi="Arial" w:cs="Arial"/>
            <w:bCs/>
            <w:i/>
            <w:iCs/>
            <w:color w:val="auto"/>
            <w:sz w:val="20"/>
            <w:szCs w:val="20"/>
            <w:u w:val="none"/>
          </w:rPr>
          <w:t>Sustainability</w:t>
        </w:r>
      </w:hyperlink>
      <w:r w:rsidRPr="00844067">
        <w:rPr>
          <w:rFonts w:ascii="Arial" w:hAnsi="Arial" w:cs="Arial"/>
          <w:bCs/>
          <w:sz w:val="20"/>
          <w:szCs w:val="20"/>
        </w:rPr>
        <w:t>, 17 (8),</w:t>
      </w:r>
      <w:r w:rsidRPr="00844067">
        <w:rPr>
          <w:rFonts w:ascii="Arial" w:hAnsi="Arial" w:cs="Arial"/>
          <w:bCs/>
          <w:sz w:val="20"/>
          <w:szCs w:val="20"/>
          <w:shd w:val="clear" w:color="auto" w:fill="FFFFFF"/>
        </w:rPr>
        <w:t> </w:t>
      </w:r>
      <w:r w:rsidRPr="00844067">
        <w:rPr>
          <w:rFonts w:ascii="Arial" w:hAnsi="Arial" w:cs="Arial"/>
          <w:bCs/>
          <w:sz w:val="20"/>
          <w:szCs w:val="20"/>
          <w:lang w:eastAsia="en-IN"/>
        </w:rPr>
        <w:t>3283</w:t>
      </w:r>
      <w:hyperlink r:id="rId15" w:history="1">
        <w:r w:rsidRPr="00844067">
          <w:rPr>
            <w:rStyle w:val="Hyperlink"/>
            <w:rFonts w:ascii="Arial" w:hAnsi="Arial" w:cs="Arial"/>
            <w:bCs/>
            <w:color w:val="auto"/>
            <w:sz w:val="20"/>
            <w:szCs w:val="20"/>
            <w:u w:val="none"/>
          </w:rPr>
          <w:t>10.3390/su17083283</w:t>
        </w:r>
      </w:hyperlink>
      <w:r w:rsidRPr="00844067">
        <w:rPr>
          <w:rFonts w:ascii="Arial" w:hAnsi="Arial" w:cs="Arial"/>
          <w:bCs/>
          <w:sz w:val="20"/>
          <w:szCs w:val="20"/>
        </w:rPr>
        <w:t> </w:t>
      </w:r>
    </w:p>
    <w:p w14:paraId="7EEDFD07"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Spencer, P. S. &amp; Schaumburg, H. H. (1983). Lathyrism: a neurotoxic disease. </w:t>
      </w:r>
      <w:r w:rsidRPr="00844067">
        <w:rPr>
          <w:rFonts w:ascii="Arial" w:hAnsi="Arial" w:cs="Arial"/>
          <w:i/>
          <w:iCs/>
          <w:sz w:val="20"/>
          <w:szCs w:val="20"/>
        </w:rPr>
        <w:t>Neurobehavioral Toxicology and Teratology</w:t>
      </w:r>
      <w:r w:rsidRPr="00844067">
        <w:rPr>
          <w:rFonts w:ascii="Arial" w:hAnsi="Arial" w:cs="Arial"/>
          <w:sz w:val="20"/>
          <w:szCs w:val="20"/>
        </w:rPr>
        <w:t xml:space="preserve">, 5, 625– 629. </w:t>
      </w:r>
    </w:p>
    <w:p w14:paraId="0B10FD04"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lastRenderedPageBreak/>
        <w:t xml:space="preserve">Srivastava, S. &amp; Khokhar, S. (1996) Effects of processing on the reduction of β-ODAP (β-N-oxalyl-L-2,3 </w:t>
      </w:r>
      <w:proofErr w:type="spellStart"/>
      <w:r w:rsidRPr="00844067">
        <w:rPr>
          <w:rFonts w:ascii="Arial" w:hAnsi="Arial" w:cs="Arial"/>
          <w:sz w:val="20"/>
          <w:szCs w:val="20"/>
        </w:rPr>
        <w:t>diaminopropionic</w:t>
      </w:r>
      <w:proofErr w:type="spellEnd"/>
      <w:r w:rsidRPr="00844067">
        <w:rPr>
          <w:rFonts w:ascii="Arial" w:hAnsi="Arial" w:cs="Arial"/>
          <w:sz w:val="20"/>
          <w:szCs w:val="20"/>
        </w:rPr>
        <w:t xml:space="preserve"> acid) and antinutrients of </w:t>
      </w:r>
      <w:proofErr w:type="spellStart"/>
      <w:r w:rsidRPr="00844067">
        <w:rPr>
          <w:rFonts w:ascii="Arial" w:hAnsi="Arial" w:cs="Arial"/>
          <w:sz w:val="20"/>
          <w:szCs w:val="20"/>
        </w:rPr>
        <w:t>khesari</w:t>
      </w:r>
      <w:proofErr w:type="spellEnd"/>
      <w:r w:rsidRPr="00844067">
        <w:rPr>
          <w:rFonts w:ascii="Arial" w:hAnsi="Arial" w:cs="Arial"/>
          <w:sz w:val="20"/>
          <w:szCs w:val="20"/>
        </w:rPr>
        <w:t xml:space="preserve"> dhal, </w:t>
      </w:r>
      <w:proofErr w:type="spellStart"/>
      <w:r w:rsidRPr="00844067">
        <w:rPr>
          <w:rFonts w:ascii="Arial" w:hAnsi="Arial" w:cs="Arial"/>
          <w:sz w:val="20"/>
          <w:szCs w:val="20"/>
        </w:rPr>
        <w:t>Lathyrus</w:t>
      </w:r>
      <w:proofErr w:type="spellEnd"/>
      <w:r w:rsidRPr="00844067">
        <w:rPr>
          <w:rFonts w:ascii="Arial" w:hAnsi="Arial" w:cs="Arial"/>
          <w:sz w:val="20"/>
          <w:szCs w:val="20"/>
        </w:rPr>
        <w:t xml:space="preserve"> sativus. </w:t>
      </w:r>
      <w:r w:rsidRPr="00844067">
        <w:rPr>
          <w:rFonts w:ascii="Arial" w:hAnsi="Arial" w:cs="Arial"/>
          <w:i/>
          <w:iCs/>
          <w:sz w:val="20"/>
          <w:szCs w:val="20"/>
        </w:rPr>
        <w:t>Journal of the Science of Food and Agriculture</w:t>
      </w:r>
      <w:r w:rsidRPr="00844067">
        <w:rPr>
          <w:rFonts w:ascii="Arial" w:hAnsi="Arial" w:cs="Arial"/>
          <w:sz w:val="20"/>
          <w:szCs w:val="20"/>
        </w:rPr>
        <w:t>, 71, 50- 58</w:t>
      </w:r>
    </w:p>
    <w:p w14:paraId="25C74584" w14:textId="3AB42483"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 Tamburino, R., Guida, V., Pacifico, S., Rocco, M., Zarelli, A. &amp; Parente A. (2012).</w:t>
      </w:r>
      <w:r w:rsidR="009D0A25">
        <w:rPr>
          <w:rFonts w:ascii="Arial" w:hAnsi="Arial" w:cs="Arial"/>
          <w:sz w:val="20"/>
          <w:szCs w:val="20"/>
        </w:rPr>
        <w:t xml:space="preserve"> </w:t>
      </w:r>
      <w:r w:rsidRPr="00844067">
        <w:rPr>
          <w:rFonts w:ascii="Arial" w:hAnsi="Arial" w:cs="Arial"/>
          <w:sz w:val="20"/>
          <w:szCs w:val="20"/>
        </w:rPr>
        <w:t xml:space="preserve">Nutritional values and radical scavenging capacities of grass pea (’Lathyrus sativus’ L.) seeds in Valle Agricola district, Italy. </w:t>
      </w:r>
      <w:r w:rsidRPr="00844067">
        <w:rPr>
          <w:rFonts w:ascii="Arial" w:hAnsi="Arial" w:cs="Arial"/>
          <w:i/>
          <w:iCs/>
          <w:sz w:val="20"/>
          <w:szCs w:val="20"/>
        </w:rPr>
        <w:t>Australian Journal of Crop Science</w:t>
      </w:r>
      <w:r w:rsidRPr="00844067">
        <w:rPr>
          <w:rFonts w:ascii="Arial" w:hAnsi="Arial" w:cs="Arial"/>
          <w:sz w:val="20"/>
          <w:szCs w:val="20"/>
        </w:rPr>
        <w:t>, 6:149– 56.</w:t>
      </w:r>
    </w:p>
    <w:p w14:paraId="68C2A23B"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 Urga, K., </w:t>
      </w:r>
      <w:proofErr w:type="spellStart"/>
      <w:r w:rsidRPr="00844067">
        <w:rPr>
          <w:rFonts w:ascii="Arial" w:hAnsi="Arial" w:cs="Arial"/>
          <w:sz w:val="20"/>
          <w:szCs w:val="20"/>
        </w:rPr>
        <w:t>Fufa</w:t>
      </w:r>
      <w:proofErr w:type="spellEnd"/>
      <w:r w:rsidRPr="00844067">
        <w:rPr>
          <w:rFonts w:ascii="Arial" w:hAnsi="Arial" w:cs="Arial"/>
          <w:sz w:val="20"/>
          <w:szCs w:val="20"/>
        </w:rPr>
        <w:t xml:space="preserve">, H., </w:t>
      </w:r>
      <w:proofErr w:type="spellStart"/>
      <w:r w:rsidRPr="00844067">
        <w:rPr>
          <w:rFonts w:ascii="Arial" w:hAnsi="Arial" w:cs="Arial"/>
          <w:sz w:val="20"/>
          <w:szCs w:val="20"/>
        </w:rPr>
        <w:t>Biratu</w:t>
      </w:r>
      <w:proofErr w:type="spellEnd"/>
      <w:r w:rsidRPr="00844067">
        <w:rPr>
          <w:rFonts w:ascii="Arial" w:hAnsi="Arial" w:cs="Arial"/>
          <w:sz w:val="20"/>
          <w:szCs w:val="20"/>
        </w:rPr>
        <w:t xml:space="preserve">, E. &amp; Husain, A. (2005). Evaluation of Lathyrus sativus cultivated in Ethiopia for proximate composition, minerals, β-ODAP and anti-nutritional components. </w:t>
      </w:r>
      <w:r w:rsidRPr="00844067">
        <w:rPr>
          <w:rFonts w:ascii="Arial" w:hAnsi="Arial" w:cs="Arial"/>
          <w:i/>
          <w:iCs/>
          <w:sz w:val="20"/>
          <w:szCs w:val="20"/>
        </w:rPr>
        <w:t>The African Journal of Food, Agriculture, Nutrition and Development</w:t>
      </w:r>
      <w:r w:rsidRPr="00844067">
        <w:rPr>
          <w:rFonts w:ascii="Arial" w:hAnsi="Arial" w:cs="Arial"/>
          <w:sz w:val="20"/>
          <w:szCs w:val="20"/>
        </w:rPr>
        <w:t xml:space="preserve">, 5,1–15. </w:t>
      </w:r>
      <w:proofErr w:type="spellStart"/>
      <w:r w:rsidRPr="00844067">
        <w:rPr>
          <w:rFonts w:ascii="Arial" w:hAnsi="Arial" w:cs="Arial"/>
          <w:sz w:val="20"/>
          <w:szCs w:val="20"/>
        </w:rPr>
        <w:t>doi</w:t>
      </w:r>
      <w:proofErr w:type="spellEnd"/>
      <w:r w:rsidRPr="00844067">
        <w:rPr>
          <w:rFonts w:ascii="Arial" w:hAnsi="Arial" w:cs="Arial"/>
          <w:sz w:val="20"/>
          <w:szCs w:val="20"/>
        </w:rPr>
        <w:t>: 10.18697/ajfand.8.1030</w:t>
      </w:r>
    </w:p>
    <w:p w14:paraId="0DD6A401" w14:textId="77777777" w:rsidR="00DC7795" w:rsidRPr="00844067" w:rsidRDefault="00DC7795" w:rsidP="00DC7795">
      <w:pPr>
        <w:spacing w:line="360" w:lineRule="auto"/>
        <w:jc w:val="both"/>
        <w:rPr>
          <w:rFonts w:ascii="Arial" w:hAnsi="Arial" w:cs="Arial"/>
          <w:sz w:val="20"/>
          <w:szCs w:val="20"/>
        </w:rPr>
      </w:pPr>
      <w:proofErr w:type="spellStart"/>
      <w:r w:rsidRPr="00844067">
        <w:rPr>
          <w:rFonts w:ascii="Arial" w:hAnsi="Arial" w:cs="Arial"/>
          <w:sz w:val="20"/>
          <w:szCs w:val="20"/>
        </w:rPr>
        <w:t>Vahdani</w:t>
      </w:r>
      <w:proofErr w:type="spellEnd"/>
      <w:r w:rsidRPr="00844067">
        <w:rPr>
          <w:rFonts w:ascii="Arial" w:hAnsi="Arial" w:cs="Arial"/>
          <w:sz w:val="20"/>
          <w:szCs w:val="20"/>
        </w:rPr>
        <w:t xml:space="preserve">, N., </w:t>
      </w:r>
      <w:proofErr w:type="spellStart"/>
      <w:r w:rsidRPr="00844067">
        <w:rPr>
          <w:rFonts w:ascii="Arial" w:hAnsi="Arial" w:cs="Arial"/>
          <w:sz w:val="20"/>
          <w:szCs w:val="20"/>
        </w:rPr>
        <w:t>Moravej</w:t>
      </w:r>
      <w:proofErr w:type="spellEnd"/>
      <w:r w:rsidRPr="00844067">
        <w:rPr>
          <w:rFonts w:ascii="Arial" w:hAnsi="Arial" w:cs="Arial"/>
          <w:sz w:val="20"/>
          <w:szCs w:val="20"/>
        </w:rPr>
        <w:t xml:space="preserve">, H., </w:t>
      </w:r>
      <w:proofErr w:type="spellStart"/>
      <w:r w:rsidRPr="00844067">
        <w:rPr>
          <w:rFonts w:ascii="Arial" w:hAnsi="Arial" w:cs="Arial"/>
          <w:sz w:val="20"/>
          <w:szCs w:val="20"/>
        </w:rPr>
        <w:t>Rezayazdi</w:t>
      </w:r>
      <w:proofErr w:type="spellEnd"/>
      <w:r w:rsidRPr="00844067">
        <w:rPr>
          <w:rFonts w:ascii="Arial" w:hAnsi="Arial" w:cs="Arial"/>
          <w:sz w:val="20"/>
          <w:szCs w:val="20"/>
        </w:rPr>
        <w:t xml:space="preserve">, K. &amp; </w:t>
      </w:r>
      <w:proofErr w:type="spellStart"/>
      <w:r w:rsidRPr="00844067">
        <w:rPr>
          <w:rFonts w:ascii="Arial" w:hAnsi="Arial" w:cs="Arial"/>
          <w:sz w:val="20"/>
          <w:szCs w:val="20"/>
        </w:rPr>
        <w:t>Dehghan-Banadaki</w:t>
      </w:r>
      <w:proofErr w:type="spellEnd"/>
      <w:r w:rsidRPr="00844067">
        <w:rPr>
          <w:rFonts w:ascii="Arial" w:hAnsi="Arial" w:cs="Arial"/>
          <w:sz w:val="20"/>
          <w:szCs w:val="20"/>
        </w:rPr>
        <w:t xml:space="preserve">, M. (2014). Evaluation of Nutritive Value of Grass Pea Hay in Sheep Nutrition and Its Palatability as Compared with Alfalfa. </w:t>
      </w:r>
      <w:r w:rsidRPr="00844067">
        <w:rPr>
          <w:rFonts w:ascii="Arial" w:hAnsi="Arial" w:cs="Arial"/>
          <w:i/>
          <w:iCs/>
          <w:sz w:val="20"/>
          <w:szCs w:val="20"/>
        </w:rPr>
        <w:t>Journal of Agricultural Science &amp; Technology</w:t>
      </w:r>
      <w:r w:rsidRPr="00844067">
        <w:rPr>
          <w:rFonts w:ascii="Arial" w:hAnsi="Arial" w:cs="Arial"/>
          <w:sz w:val="20"/>
          <w:szCs w:val="20"/>
        </w:rPr>
        <w:t>, 16(3)</w:t>
      </w:r>
    </w:p>
    <w:p w14:paraId="7E5E636C" w14:textId="77777777" w:rsidR="00DC7795" w:rsidRPr="00844067" w:rsidRDefault="00DC7795" w:rsidP="00DC7795">
      <w:pPr>
        <w:spacing w:line="360" w:lineRule="auto"/>
        <w:jc w:val="both"/>
        <w:rPr>
          <w:rFonts w:ascii="Arial" w:hAnsi="Arial" w:cs="Arial"/>
          <w:sz w:val="20"/>
          <w:szCs w:val="20"/>
        </w:rPr>
      </w:pPr>
      <w:r w:rsidRPr="00844067">
        <w:rPr>
          <w:rFonts w:ascii="Arial" w:hAnsi="Arial" w:cs="Arial"/>
          <w:sz w:val="20"/>
          <w:szCs w:val="20"/>
        </w:rPr>
        <w:t xml:space="preserve">Vaz Patto, M. C., Skiba, B., Pang, E. C. K., </w:t>
      </w:r>
      <w:proofErr w:type="spellStart"/>
      <w:r w:rsidRPr="00844067">
        <w:rPr>
          <w:rFonts w:ascii="Arial" w:hAnsi="Arial" w:cs="Arial"/>
          <w:sz w:val="20"/>
          <w:szCs w:val="20"/>
        </w:rPr>
        <w:t>Ochatt</w:t>
      </w:r>
      <w:proofErr w:type="spellEnd"/>
      <w:r w:rsidRPr="00844067">
        <w:rPr>
          <w:rFonts w:ascii="Arial" w:hAnsi="Arial" w:cs="Arial"/>
          <w:sz w:val="20"/>
          <w:szCs w:val="20"/>
        </w:rPr>
        <w:t xml:space="preserve">, S. J., </w:t>
      </w:r>
      <w:proofErr w:type="spellStart"/>
      <w:r w:rsidRPr="00844067">
        <w:rPr>
          <w:rFonts w:ascii="Arial" w:hAnsi="Arial" w:cs="Arial"/>
          <w:sz w:val="20"/>
          <w:szCs w:val="20"/>
        </w:rPr>
        <w:t>Lambein</w:t>
      </w:r>
      <w:proofErr w:type="spellEnd"/>
      <w:r w:rsidRPr="00844067">
        <w:rPr>
          <w:rFonts w:ascii="Arial" w:hAnsi="Arial" w:cs="Arial"/>
          <w:sz w:val="20"/>
          <w:szCs w:val="20"/>
        </w:rPr>
        <w:t xml:space="preserve">, F. &amp; Rubiales, D. (2006). Lathyrus improvement for resistance against biotic and abiotic stresses: From classical breeding to marker assisted selection. </w:t>
      </w:r>
      <w:proofErr w:type="spellStart"/>
      <w:r w:rsidRPr="00844067">
        <w:rPr>
          <w:rFonts w:ascii="Arial" w:hAnsi="Arial" w:cs="Arial"/>
          <w:i/>
          <w:iCs/>
          <w:sz w:val="20"/>
          <w:szCs w:val="20"/>
        </w:rPr>
        <w:t>Euphytica</w:t>
      </w:r>
      <w:proofErr w:type="spellEnd"/>
      <w:r w:rsidRPr="00844067">
        <w:rPr>
          <w:rFonts w:ascii="Arial" w:hAnsi="Arial" w:cs="Arial"/>
          <w:sz w:val="20"/>
          <w:szCs w:val="20"/>
        </w:rPr>
        <w:t>, 147, 133-147</w:t>
      </w:r>
    </w:p>
    <w:p w14:paraId="67B82B7C" w14:textId="77777777" w:rsidR="00DC7795" w:rsidRPr="00844067" w:rsidRDefault="00DC7795">
      <w:pPr>
        <w:spacing w:line="360" w:lineRule="auto"/>
        <w:jc w:val="both"/>
        <w:rPr>
          <w:rStyle w:val="css-15iwe0d"/>
          <w:rFonts w:ascii="Arial" w:hAnsi="Arial" w:cs="Arial"/>
          <w:sz w:val="20"/>
          <w:szCs w:val="20"/>
        </w:rPr>
      </w:pPr>
    </w:p>
    <w:p w14:paraId="452E5C7B" w14:textId="77777777" w:rsidR="00FA31B8" w:rsidRPr="00844067" w:rsidRDefault="00FA31B8">
      <w:pPr>
        <w:spacing w:line="360" w:lineRule="auto"/>
        <w:jc w:val="both"/>
        <w:rPr>
          <w:rStyle w:val="css-15iwe0d"/>
          <w:rFonts w:ascii="Arial" w:hAnsi="Arial" w:cs="Arial"/>
          <w:sz w:val="20"/>
          <w:szCs w:val="20"/>
        </w:rPr>
      </w:pPr>
    </w:p>
    <w:p w14:paraId="495DCBE7" w14:textId="4FF0190F" w:rsidR="00FA31B8" w:rsidRPr="00844067" w:rsidRDefault="00FA31B8">
      <w:pPr>
        <w:spacing w:line="360" w:lineRule="auto"/>
        <w:jc w:val="both"/>
        <w:rPr>
          <w:rStyle w:val="css-15iwe0d"/>
          <w:rFonts w:ascii="Arial" w:hAnsi="Arial" w:cs="Arial"/>
          <w:sz w:val="20"/>
          <w:szCs w:val="20"/>
        </w:rPr>
      </w:pPr>
    </w:p>
    <w:sectPr w:rsidR="00FA31B8" w:rsidRPr="0084406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82AED" w14:textId="77777777" w:rsidR="004F3709" w:rsidRDefault="004F3709">
      <w:pPr>
        <w:spacing w:line="240" w:lineRule="auto"/>
      </w:pPr>
      <w:r>
        <w:separator/>
      </w:r>
    </w:p>
  </w:endnote>
  <w:endnote w:type="continuationSeparator" w:id="0">
    <w:p w14:paraId="202B4FCC" w14:textId="77777777" w:rsidR="004F3709" w:rsidRDefault="004F37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765F" w14:textId="77777777" w:rsidR="00DF2C04" w:rsidRDefault="00DF2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9831" w14:textId="77777777" w:rsidR="00DF2C04" w:rsidRDefault="00DF2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0818A" w14:textId="77777777" w:rsidR="00DF2C04" w:rsidRDefault="00DF2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6FAF8" w14:textId="77777777" w:rsidR="004F3709" w:rsidRDefault="004F3709">
      <w:pPr>
        <w:spacing w:after="0"/>
      </w:pPr>
      <w:r>
        <w:separator/>
      </w:r>
    </w:p>
  </w:footnote>
  <w:footnote w:type="continuationSeparator" w:id="0">
    <w:p w14:paraId="72AB4F05" w14:textId="77777777" w:rsidR="004F3709" w:rsidRDefault="004F37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0AA5A" w14:textId="4A874BD1" w:rsidR="00DF2C04" w:rsidRDefault="00DF2C04">
    <w:pPr>
      <w:pStyle w:val="Header"/>
    </w:pPr>
    <w:r>
      <w:rPr>
        <w:noProof/>
      </w:rPr>
      <w:pict w14:anchorId="3375D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8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57F6" w14:textId="21ABB0D8" w:rsidR="00DF2C04" w:rsidRDefault="00DF2C04">
    <w:pPr>
      <w:pStyle w:val="Header"/>
    </w:pPr>
    <w:r>
      <w:rPr>
        <w:noProof/>
      </w:rPr>
      <w:pict w14:anchorId="01512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8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A383C" w14:textId="16AD0304" w:rsidR="00DF2C04" w:rsidRDefault="00DF2C04">
    <w:pPr>
      <w:pStyle w:val="Header"/>
    </w:pPr>
    <w:r>
      <w:rPr>
        <w:noProof/>
      </w:rPr>
      <w:pict w14:anchorId="69C07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968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842"/>
    <w:rsid w:val="00013918"/>
    <w:rsid w:val="00037BD3"/>
    <w:rsid w:val="00044E68"/>
    <w:rsid w:val="000538E2"/>
    <w:rsid w:val="00071E0E"/>
    <w:rsid w:val="000855A0"/>
    <w:rsid w:val="000A606E"/>
    <w:rsid w:val="000B567A"/>
    <w:rsid w:val="000E1B78"/>
    <w:rsid w:val="001157AC"/>
    <w:rsid w:val="001334FB"/>
    <w:rsid w:val="0014507D"/>
    <w:rsid w:val="0017042D"/>
    <w:rsid w:val="001945F3"/>
    <w:rsid w:val="001A48B0"/>
    <w:rsid w:val="001B4464"/>
    <w:rsid w:val="002001C5"/>
    <w:rsid w:val="0020609B"/>
    <w:rsid w:val="0021260B"/>
    <w:rsid w:val="002139D9"/>
    <w:rsid w:val="00237424"/>
    <w:rsid w:val="0024179B"/>
    <w:rsid w:val="00244B8D"/>
    <w:rsid w:val="0029188A"/>
    <w:rsid w:val="002970D0"/>
    <w:rsid w:val="002A3E12"/>
    <w:rsid w:val="002A4EB7"/>
    <w:rsid w:val="002B53E9"/>
    <w:rsid w:val="002D1222"/>
    <w:rsid w:val="002E1836"/>
    <w:rsid w:val="002E20D5"/>
    <w:rsid w:val="002F5FBA"/>
    <w:rsid w:val="00330550"/>
    <w:rsid w:val="003370B1"/>
    <w:rsid w:val="003800C4"/>
    <w:rsid w:val="0039477C"/>
    <w:rsid w:val="003A2278"/>
    <w:rsid w:val="003B5DF2"/>
    <w:rsid w:val="003E1B0B"/>
    <w:rsid w:val="003E637D"/>
    <w:rsid w:val="004023C6"/>
    <w:rsid w:val="0042359D"/>
    <w:rsid w:val="00441A08"/>
    <w:rsid w:val="00443751"/>
    <w:rsid w:val="00453816"/>
    <w:rsid w:val="0046678B"/>
    <w:rsid w:val="00482534"/>
    <w:rsid w:val="004864DB"/>
    <w:rsid w:val="004B0880"/>
    <w:rsid w:val="004F3709"/>
    <w:rsid w:val="004F7907"/>
    <w:rsid w:val="005055E1"/>
    <w:rsid w:val="00546E75"/>
    <w:rsid w:val="00551099"/>
    <w:rsid w:val="00567724"/>
    <w:rsid w:val="005A0D4B"/>
    <w:rsid w:val="005D02E5"/>
    <w:rsid w:val="005E4042"/>
    <w:rsid w:val="005F110A"/>
    <w:rsid w:val="005F61F6"/>
    <w:rsid w:val="00614F96"/>
    <w:rsid w:val="00630ADA"/>
    <w:rsid w:val="006B14E6"/>
    <w:rsid w:val="00744B7E"/>
    <w:rsid w:val="00767752"/>
    <w:rsid w:val="007A3536"/>
    <w:rsid w:val="007F62F5"/>
    <w:rsid w:val="00802EE6"/>
    <w:rsid w:val="00817244"/>
    <w:rsid w:val="008220D5"/>
    <w:rsid w:val="008278FE"/>
    <w:rsid w:val="0083104F"/>
    <w:rsid w:val="0083181C"/>
    <w:rsid w:val="00833C43"/>
    <w:rsid w:val="00837B11"/>
    <w:rsid w:val="00844067"/>
    <w:rsid w:val="00860A2A"/>
    <w:rsid w:val="00871BCD"/>
    <w:rsid w:val="008873BA"/>
    <w:rsid w:val="008E7D21"/>
    <w:rsid w:val="00904F7D"/>
    <w:rsid w:val="00950DCE"/>
    <w:rsid w:val="00962AC4"/>
    <w:rsid w:val="00965FA0"/>
    <w:rsid w:val="00973538"/>
    <w:rsid w:val="009B3532"/>
    <w:rsid w:val="009D0A25"/>
    <w:rsid w:val="00A10562"/>
    <w:rsid w:val="00A36B39"/>
    <w:rsid w:val="00A517A7"/>
    <w:rsid w:val="00A521FF"/>
    <w:rsid w:val="00A54842"/>
    <w:rsid w:val="00A5758C"/>
    <w:rsid w:val="00A73B4A"/>
    <w:rsid w:val="00A8472F"/>
    <w:rsid w:val="00AA6312"/>
    <w:rsid w:val="00AB65F0"/>
    <w:rsid w:val="00B02326"/>
    <w:rsid w:val="00B171DF"/>
    <w:rsid w:val="00B54DD6"/>
    <w:rsid w:val="00B552F4"/>
    <w:rsid w:val="00B62402"/>
    <w:rsid w:val="00B7327A"/>
    <w:rsid w:val="00BB653C"/>
    <w:rsid w:val="00C667E9"/>
    <w:rsid w:val="00C75103"/>
    <w:rsid w:val="00D27806"/>
    <w:rsid w:val="00D37144"/>
    <w:rsid w:val="00D406F7"/>
    <w:rsid w:val="00D445B6"/>
    <w:rsid w:val="00DA7A5D"/>
    <w:rsid w:val="00DC7795"/>
    <w:rsid w:val="00DF2C04"/>
    <w:rsid w:val="00E4533C"/>
    <w:rsid w:val="00E52804"/>
    <w:rsid w:val="00EA02C5"/>
    <w:rsid w:val="00EA296A"/>
    <w:rsid w:val="00ED0F94"/>
    <w:rsid w:val="00EF432B"/>
    <w:rsid w:val="00EF5A73"/>
    <w:rsid w:val="00F553D7"/>
    <w:rsid w:val="00F65F80"/>
    <w:rsid w:val="00FA31B8"/>
    <w:rsid w:val="00FB2C95"/>
    <w:rsid w:val="0A2B54F0"/>
    <w:rsid w:val="18340FE6"/>
    <w:rsid w:val="196A0963"/>
    <w:rsid w:val="1A7A53B5"/>
    <w:rsid w:val="21BD2CBD"/>
    <w:rsid w:val="370E6DC1"/>
    <w:rsid w:val="3A1D02E4"/>
    <w:rsid w:val="56B869F2"/>
    <w:rsid w:val="679D7E3F"/>
    <w:rsid w:val="75AC017D"/>
    <w:rsid w:val="7F4B683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4338E7"/>
  <w15:docId w15:val="{9CF251D4-3D3F-4266-B809-B7CA7379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lang w:eastAsia="en-IN"/>
    </w:rPr>
  </w:style>
  <w:style w:type="paragraph" w:customStyle="1" w:styleId="mb0">
    <w:name w:val="mb0"/>
    <w:basedOn w:val="Normal"/>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ss-x5hiaf">
    <w:name w:val="css-x5hiaf"/>
    <w:basedOn w:val="DefaultParagraphFont"/>
    <w:qFormat/>
  </w:style>
  <w:style w:type="character" w:customStyle="1" w:styleId="css-15iwe0d">
    <w:name w:val="css-15iwe0d"/>
    <w:basedOn w:val="DefaultParagraphFont"/>
    <w:qFormat/>
  </w:style>
  <w:style w:type="character" w:customStyle="1" w:styleId="css-2yp7ui">
    <w:name w:val="css-2yp7ui"/>
    <w:basedOn w:val="DefaultParagraphFont"/>
    <w:qFormat/>
  </w:style>
  <w:style w:type="character" w:customStyle="1" w:styleId="css-0">
    <w:name w:val="css-0"/>
    <w:basedOn w:val="DefaultParagraphFont"/>
    <w:qFormat/>
  </w:style>
  <w:style w:type="character" w:customStyle="1" w:styleId="css-rh820s">
    <w:name w:val="css-rh820s"/>
    <w:basedOn w:val="DefaultParagraphFont"/>
    <w:qFormat/>
  </w:style>
  <w:style w:type="character" w:customStyle="1" w:styleId="css-1eh0vfs">
    <w:name w:val="css-1eh0vfs"/>
    <w:basedOn w:val="DefaultParagraphFont"/>
    <w:qFormat/>
  </w:style>
  <w:style w:type="character" w:customStyle="1" w:styleId="jss4333">
    <w:name w:val="jss4333"/>
    <w:basedOn w:val="DefaultParagraphFont"/>
    <w:qFormat/>
  </w:style>
  <w:style w:type="character" w:customStyle="1" w:styleId="jss4533">
    <w:name w:val="jss4533"/>
    <w:basedOn w:val="DefaultParagraphFont"/>
    <w:qFormat/>
  </w:style>
  <w:style w:type="character" w:customStyle="1" w:styleId="jss5005">
    <w:name w:val="jss5005"/>
    <w:basedOn w:val="DefaultParagraphFont"/>
    <w:qFormat/>
  </w:style>
  <w:style w:type="character" w:customStyle="1" w:styleId="jss5886">
    <w:name w:val="jss5886"/>
    <w:basedOn w:val="DefaultParagraphFont"/>
    <w:qFormat/>
  </w:style>
  <w:style w:type="character" w:customStyle="1" w:styleId="jss6090">
    <w:name w:val="jss6090"/>
    <w:basedOn w:val="DefaultParagraphFont"/>
    <w:qFormat/>
  </w:style>
  <w:style w:type="character" w:customStyle="1" w:styleId="jss6263">
    <w:name w:val="jss6263"/>
    <w:basedOn w:val="DefaultParagraphFont"/>
    <w:qFormat/>
  </w:style>
  <w:style w:type="character" w:customStyle="1" w:styleId="jss6508">
    <w:name w:val="jss6508"/>
    <w:basedOn w:val="DefaultParagraphFont"/>
    <w:qFormat/>
  </w:style>
  <w:style w:type="character" w:customStyle="1" w:styleId="jss6939">
    <w:name w:val="jss6939"/>
    <w:basedOn w:val="DefaultParagraphFont"/>
    <w:qFormat/>
  </w:style>
  <w:style w:type="character" w:customStyle="1" w:styleId="jss7202">
    <w:name w:val="jss7202"/>
    <w:basedOn w:val="DefaultParagraphFont"/>
    <w:qFormat/>
  </w:style>
  <w:style w:type="character" w:customStyle="1" w:styleId="jss7439">
    <w:name w:val="jss7439"/>
    <w:basedOn w:val="DefaultParagraphFont"/>
    <w:qFormat/>
  </w:style>
  <w:style w:type="paragraph" w:styleId="ListParagraph">
    <w:name w:val="List Paragraph"/>
    <w:basedOn w:val="Normal"/>
    <w:uiPriority w:val="34"/>
    <w:qFormat/>
    <w:pPr>
      <w:spacing w:after="200" w:line="276" w:lineRule="auto"/>
      <w:ind w:left="720"/>
      <w:contextualSpacing/>
    </w:pPr>
    <w:rPr>
      <w:rFonts w:eastAsiaTheme="minorEastAsia"/>
      <w:lang w:eastAsia="en-IN"/>
    </w:rPr>
  </w:style>
  <w:style w:type="character" w:customStyle="1" w:styleId="css-guq32d">
    <w:name w:val="css-guq32d"/>
    <w:basedOn w:val="DefaultParagraphFont"/>
    <w:qFormat/>
  </w:style>
  <w:style w:type="character" w:customStyle="1" w:styleId="css-x8fsqd">
    <w:name w:val="css-x8fsqd"/>
    <w:basedOn w:val="DefaultParagraphFont"/>
    <w:qFormat/>
  </w:style>
  <w:style w:type="character" w:customStyle="1" w:styleId="html-italic">
    <w:name w:val="html-italic"/>
    <w:basedOn w:val="DefaultParagraphFont"/>
    <w:rsid w:val="00DC7795"/>
  </w:style>
  <w:style w:type="paragraph" w:styleId="NormalWeb">
    <w:name w:val="Normal (Web)"/>
    <w:basedOn w:val="Normal"/>
    <w:uiPriority w:val="99"/>
    <w:unhideWhenUsed/>
    <w:rsid w:val="00D406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406F7"/>
    <w:rPr>
      <w:b/>
      <w:bCs/>
    </w:rPr>
  </w:style>
  <w:style w:type="character" w:styleId="Emphasis">
    <w:name w:val="Emphasis"/>
    <w:basedOn w:val="DefaultParagraphFont"/>
    <w:uiPriority w:val="20"/>
    <w:qFormat/>
    <w:rsid w:val="00D406F7"/>
    <w:rPr>
      <w:i/>
      <w:iCs/>
    </w:rPr>
  </w:style>
  <w:style w:type="paragraph" w:styleId="Header">
    <w:name w:val="header"/>
    <w:basedOn w:val="Normal"/>
    <w:link w:val="HeaderChar"/>
    <w:uiPriority w:val="99"/>
    <w:unhideWhenUsed/>
    <w:rsid w:val="00DF2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C04"/>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F2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C0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3835">
      <w:bodyDiv w:val="1"/>
      <w:marLeft w:val="0"/>
      <w:marRight w:val="0"/>
      <w:marTop w:val="0"/>
      <w:marBottom w:val="0"/>
      <w:divBdr>
        <w:top w:val="none" w:sz="0" w:space="0" w:color="auto"/>
        <w:left w:val="none" w:sz="0" w:space="0" w:color="auto"/>
        <w:bottom w:val="none" w:sz="0" w:space="0" w:color="auto"/>
        <w:right w:val="none" w:sz="0" w:space="0" w:color="auto"/>
      </w:divBdr>
    </w:div>
    <w:div w:id="602342568">
      <w:bodyDiv w:val="1"/>
      <w:marLeft w:val="0"/>
      <w:marRight w:val="0"/>
      <w:marTop w:val="0"/>
      <w:marBottom w:val="0"/>
      <w:divBdr>
        <w:top w:val="none" w:sz="0" w:space="0" w:color="auto"/>
        <w:left w:val="none" w:sz="0" w:space="0" w:color="auto"/>
        <w:bottom w:val="none" w:sz="0" w:space="0" w:color="auto"/>
        <w:right w:val="none" w:sz="0" w:space="0" w:color="auto"/>
      </w:divBdr>
    </w:div>
    <w:div w:id="759713146">
      <w:bodyDiv w:val="1"/>
      <w:marLeft w:val="0"/>
      <w:marRight w:val="0"/>
      <w:marTop w:val="0"/>
      <w:marBottom w:val="0"/>
      <w:divBdr>
        <w:top w:val="none" w:sz="0" w:space="0" w:color="auto"/>
        <w:left w:val="none" w:sz="0" w:space="0" w:color="auto"/>
        <w:bottom w:val="none" w:sz="0" w:space="0" w:color="auto"/>
        <w:right w:val="none" w:sz="0" w:space="0" w:color="auto"/>
      </w:divBdr>
    </w:div>
    <w:div w:id="823550452">
      <w:bodyDiv w:val="1"/>
      <w:marLeft w:val="0"/>
      <w:marRight w:val="0"/>
      <w:marTop w:val="0"/>
      <w:marBottom w:val="0"/>
      <w:divBdr>
        <w:top w:val="none" w:sz="0" w:space="0" w:color="auto"/>
        <w:left w:val="none" w:sz="0" w:space="0" w:color="auto"/>
        <w:bottom w:val="none" w:sz="0" w:space="0" w:color="auto"/>
        <w:right w:val="none" w:sz="0" w:space="0" w:color="auto"/>
      </w:divBdr>
    </w:div>
    <w:div w:id="1017973300">
      <w:bodyDiv w:val="1"/>
      <w:marLeft w:val="0"/>
      <w:marRight w:val="0"/>
      <w:marTop w:val="0"/>
      <w:marBottom w:val="0"/>
      <w:divBdr>
        <w:top w:val="none" w:sz="0" w:space="0" w:color="auto"/>
        <w:left w:val="none" w:sz="0" w:space="0" w:color="auto"/>
        <w:bottom w:val="none" w:sz="0" w:space="0" w:color="auto"/>
        <w:right w:val="none" w:sz="0" w:space="0" w:color="auto"/>
      </w:divBdr>
    </w:div>
    <w:div w:id="1321616832">
      <w:bodyDiv w:val="1"/>
      <w:marLeft w:val="0"/>
      <w:marRight w:val="0"/>
      <w:marTop w:val="0"/>
      <w:marBottom w:val="0"/>
      <w:divBdr>
        <w:top w:val="none" w:sz="0" w:space="0" w:color="auto"/>
        <w:left w:val="none" w:sz="0" w:space="0" w:color="auto"/>
        <w:bottom w:val="none" w:sz="0" w:space="0" w:color="auto"/>
        <w:right w:val="none" w:sz="0" w:space="0" w:color="auto"/>
      </w:divBdr>
    </w:div>
    <w:div w:id="1884097217">
      <w:bodyDiv w:val="1"/>
      <w:marLeft w:val="0"/>
      <w:marRight w:val="0"/>
      <w:marTop w:val="0"/>
      <w:marBottom w:val="0"/>
      <w:divBdr>
        <w:top w:val="none" w:sz="0" w:space="0" w:color="auto"/>
        <w:left w:val="none" w:sz="0" w:space="0" w:color="auto"/>
        <w:bottom w:val="none" w:sz="0" w:space="0" w:color="auto"/>
        <w:right w:val="none" w:sz="0" w:space="0" w:color="auto"/>
      </w:divBdr>
    </w:div>
    <w:div w:id="1949971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searchgate.net/profile/Mordechai-Kislev?_tp=eyJjb250ZXh0Ijp7ImZpcnN0UGFnZSI6InB1YmxpY2F0aW9uRG93bmxvYWQiLCJwYWdlIjoicHVibGljYXRpb24ifX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002/jsfa.2740690113"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mdpi.com/2071-1050/17/8/3283" TargetMode="External"/><Relationship Id="rId23"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dpi.com/journal/sustainabilit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C7A44-C5E3-4B78-B220-F01F947E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4243</Words>
  <Characters>24189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KHANIN-P</dc:creator>
  <cp:lastModifiedBy>SDI 1180</cp:lastModifiedBy>
  <cp:revision>6</cp:revision>
  <dcterms:created xsi:type="dcterms:W3CDTF">2025-07-17T08:35:00Z</dcterms:created>
  <dcterms:modified xsi:type="dcterms:W3CDTF">2025-07-17T12:47:00Z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81A4246C5C9A4EC8A8F8D5F2F2A7AE90_12</vt:lpwstr>
  </property>
</Properties>
</file>