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F66D9" w14:textId="77777777" w:rsidR="00AA231E" w:rsidRDefault="00AA231E" w:rsidP="00441B6F">
      <w:pPr>
        <w:pStyle w:val="Author"/>
        <w:spacing w:line="240" w:lineRule="auto"/>
        <w:jc w:val="both"/>
        <w:rPr>
          <w:rFonts w:ascii="Arial" w:hAnsi="Arial" w:cs="Arial"/>
          <w:bCs/>
          <w:iCs/>
          <w:kern w:val="28"/>
          <w:sz w:val="36"/>
        </w:rPr>
      </w:pPr>
      <w:r w:rsidRPr="00AA231E">
        <w:rPr>
          <w:rFonts w:ascii="Arial" w:hAnsi="Arial" w:cs="Arial"/>
          <w:bCs/>
          <w:iCs/>
          <w:kern w:val="28"/>
          <w:sz w:val="36"/>
        </w:rPr>
        <w:t>Original Research Article</w:t>
      </w:r>
    </w:p>
    <w:p w14:paraId="186C0E6A" w14:textId="77777777" w:rsidR="00AA231E" w:rsidRDefault="00AA231E" w:rsidP="00441B6F">
      <w:pPr>
        <w:pStyle w:val="Author"/>
        <w:spacing w:line="240" w:lineRule="auto"/>
        <w:jc w:val="both"/>
        <w:rPr>
          <w:rFonts w:ascii="Arial" w:hAnsi="Arial" w:cs="Arial"/>
          <w:bCs/>
          <w:iCs/>
          <w:kern w:val="28"/>
          <w:sz w:val="36"/>
        </w:rPr>
      </w:pPr>
    </w:p>
    <w:p w14:paraId="45483983" w14:textId="4FC374FE" w:rsidR="00A258C3" w:rsidRDefault="001A0594" w:rsidP="00441B6F">
      <w:pPr>
        <w:pStyle w:val="Author"/>
        <w:spacing w:line="240" w:lineRule="auto"/>
        <w:jc w:val="both"/>
        <w:rPr>
          <w:rFonts w:ascii="Arial" w:hAnsi="Arial" w:cs="Arial"/>
          <w:bCs/>
          <w:iCs/>
          <w:kern w:val="28"/>
          <w:sz w:val="36"/>
        </w:rPr>
      </w:pPr>
      <w:r w:rsidRPr="001A0594">
        <w:rPr>
          <w:rFonts w:ascii="Arial" w:hAnsi="Arial" w:cs="Arial"/>
          <w:bCs/>
          <w:iCs/>
          <w:kern w:val="28"/>
          <w:sz w:val="36"/>
        </w:rPr>
        <w:t>Bangladesh and Trade Agreements: Assessing the Benefits through the Gravity Model</w:t>
      </w:r>
    </w:p>
    <w:p w14:paraId="7B99DDAE" w14:textId="77777777" w:rsidR="00346601" w:rsidRPr="00790ADA" w:rsidRDefault="00346601" w:rsidP="00441B6F">
      <w:pPr>
        <w:pStyle w:val="Author"/>
        <w:spacing w:line="240" w:lineRule="auto"/>
        <w:jc w:val="both"/>
        <w:rPr>
          <w:rFonts w:ascii="Arial" w:hAnsi="Arial" w:cs="Arial"/>
          <w:sz w:val="36"/>
        </w:rPr>
      </w:pPr>
    </w:p>
    <w:p w14:paraId="0BD7B817" w14:textId="37C40613" w:rsidR="00790ADA" w:rsidRDefault="00790ADA" w:rsidP="00AA3AEF">
      <w:pPr>
        <w:pStyle w:val="Affiliation"/>
        <w:spacing w:after="0" w:line="240" w:lineRule="auto"/>
        <w:rPr>
          <w:rFonts w:ascii="Arial" w:hAnsi="Arial" w:cs="Arial"/>
        </w:rPr>
      </w:pPr>
    </w:p>
    <w:p w14:paraId="5AEC1FAE" w14:textId="77777777" w:rsidR="002506F7" w:rsidRDefault="002506F7" w:rsidP="00AA3AEF">
      <w:pPr>
        <w:pStyle w:val="Affiliation"/>
        <w:spacing w:after="0" w:line="240" w:lineRule="auto"/>
        <w:rPr>
          <w:rFonts w:ascii="Arial" w:hAnsi="Arial" w:cs="Arial"/>
        </w:rPr>
      </w:pPr>
    </w:p>
    <w:p w14:paraId="6DBE12CF" w14:textId="77777777" w:rsidR="002C57D2" w:rsidRPr="00FB3A86" w:rsidRDefault="002C57D2" w:rsidP="00441B6F">
      <w:pPr>
        <w:pStyle w:val="Affiliation"/>
        <w:spacing w:after="0" w:line="240" w:lineRule="auto"/>
        <w:jc w:val="both"/>
        <w:rPr>
          <w:rFonts w:ascii="Arial" w:hAnsi="Arial" w:cs="Arial"/>
        </w:rPr>
      </w:pPr>
    </w:p>
    <w:p w14:paraId="2FE481D7" w14:textId="0F9B408D" w:rsidR="00B01FCD" w:rsidRPr="00FB3A86" w:rsidRDefault="00B156F5" w:rsidP="00441B6F">
      <w:pPr>
        <w:pStyle w:val="Copyright"/>
        <w:spacing w:after="0" w:line="240" w:lineRule="auto"/>
        <w:jc w:val="both"/>
        <w:rPr>
          <w:rFonts w:ascii="Arial" w:hAnsi="Arial" w:cs="Arial"/>
        </w:rPr>
        <w:sectPr w:rsidR="00B01FCD" w:rsidRPr="00FB3A86" w:rsidSect="002506F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D8AC023" wp14:editId="4D389AE6">
                <wp:extent cx="5303520" cy="635"/>
                <wp:effectExtent l="15240" t="17145" r="15240" b="1143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49CD87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6C55EBA5" w14:textId="624290B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73E1147" w14:textId="77777777" w:rsidR="00790ADA" w:rsidRPr="00AA3AEF" w:rsidRDefault="00790ADA" w:rsidP="00AA3AEF">
      <w:pPr>
        <w:pStyle w:val="AbstHead"/>
        <w:spacing w:after="0"/>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AA3AEF" w14:paraId="362D4A1D" w14:textId="77777777" w:rsidTr="00893420">
        <w:trPr>
          <w:trHeight w:val="4652"/>
        </w:trPr>
        <w:tc>
          <w:tcPr>
            <w:tcW w:w="9576" w:type="dxa"/>
            <w:shd w:val="clear" w:color="auto" w:fill="F2F2F2"/>
          </w:tcPr>
          <w:p w14:paraId="564F2AE4" w14:textId="10E1FCAF" w:rsidR="00505F06" w:rsidRPr="00AA3AEF" w:rsidRDefault="00893420" w:rsidP="009A68F4">
            <w:pPr>
              <w:pStyle w:val="Body"/>
              <w:spacing w:after="0"/>
              <w:jc w:val="left"/>
              <w:rPr>
                <w:rFonts w:ascii="Arial" w:eastAsia="Calibri" w:hAnsi="Arial" w:cs="Arial"/>
                <w:sz w:val="22"/>
                <w:szCs w:val="22"/>
              </w:rPr>
            </w:pPr>
            <w:r w:rsidRPr="00AA3AEF">
              <w:rPr>
                <w:rFonts w:ascii="Arial" w:eastAsia="Calibri" w:hAnsi="Arial" w:cs="Arial"/>
                <w:sz w:val="22"/>
                <w:szCs w:val="22"/>
              </w:rPr>
              <w:t>This article evaluates the effects of agreements like BIMSTEC, SAFTA, APTA, EU PTA, OIC, and D-8 PTA on the export performance and economic growth of Bangladesh.  It also examines 24 years of bilateral trade</w:t>
            </w:r>
            <w:r w:rsidR="00131627">
              <w:rPr>
                <w:rFonts w:ascii="Arial" w:eastAsia="Calibri" w:hAnsi="Arial" w:cs="Arial"/>
                <w:sz w:val="22"/>
                <w:szCs w:val="22"/>
              </w:rPr>
              <w:t xml:space="preserve"> relations</w:t>
            </w:r>
            <w:r w:rsidRPr="00AA3AEF">
              <w:rPr>
                <w:rFonts w:ascii="Arial" w:eastAsia="Calibri" w:hAnsi="Arial" w:cs="Arial"/>
                <w:sz w:val="22"/>
                <w:szCs w:val="22"/>
              </w:rPr>
              <w:t xml:space="preserve"> between Bangladesh and its 52 key trading partners, ranging from 2000 to 2024, evaluating the effects of trade agreements on economic growth.  Here, authors put together an extensive panel dataset comprising 3,568 observations to capture the multilateral resistance factors by considering two-way trade flows among all countries involved in the cited trade agreements. Authors also use the Poisson Pseudo-Maximum Likelihood (PPML) fixed effects estimator method recommended by Silva and Tenreyro (2006), as it is considered the optimal approach for gravity-based analyses. Our findings reveal mixed outcomes concerning the alignment of Bangladesh`s trade patterns with the predictions made by the gravity model. The regression analysis, using the PPML fixed effects estimator, shows that the GDP of the importing country positively influences exports but trade agreement impact on Bangladesh`s GDP is comparatively less significant. The research also finds a positive relationship between distance and exports, emphasizing the role of preferential trade policies and existing networks. Although sharing a common language and being geographically close demonstrates mixed outcomes, trade agreements markedly enhance exports, especially with island nations like Australia, Sri Lanka, China, Hong Kong, Japan etc.  The study highlights the significance of trade agreements in improving market access and offers strategic policy recommendations as Bangladesh prepares for its LDC graduation.</w:t>
            </w:r>
          </w:p>
        </w:tc>
      </w:tr>
    </w:tbl>
    <w:p w14:paraId="028119D9" w14:textId="77777777" w:rsidR="00636EB2" w:rsidRDefault="00636EB2" w:rsidP="00441B6F">
      <w:pPr>
        <w:pStyle w:val="Body"/>
        <w:spacing w:after="0"/>
        <w:rPr>
          <w:rFonts w:ascii="Arial" w:hAnsi="Arial" w:cs="Arial"/>
          <w:i/>
        </w:rPr>
      </w:pPr>
    </w:p>
    <w:p w14:paraId="2DC94F1C" w14:textId="71474BB8" w:rsidR="00A24E7E" w:rsidRDefault="00A24E7E" w:rsidP="00441B6F">
      <w:pPr>
        <w:pStyle w:val="Body"/>
        <w:spacing w:after="0"/>
        <w:rPr>
          <w:rFonts w:ascii="Arial" w:hAnsi="Arial" w:cs="Arial"/>
          <w:i/>
        </w:rPr>
      </w:pPr>
      <w:r>
        <w:rPr>
          <w:rFonts w:ascii="Arial" w:hAnsi="Arial" w:cs="Arial"/>
          <w:i/>
        </w:rPr>
        <w:t xml:space="preserve">Keywords: </w:t>
      </w:r>
      <w:r w:rsidR="00A86931" w:rsidRPr="00A86931">
        <w:rPr>
          <w:rFonts w:ascii="Arial" w:hAnsi="Arial" w:cs="Arial"/>
          <w:i/>
        </w:rPr>
        <w:t>Trade Agreements, Gravity model, GDP, Economic Growth, Panel data, PPML</w:t>
      </w:r>
      <w:r w:rsidR="00F82234">
        <w:rPr>
          <w:rFonts w:ascii="Arial" w:hAnsi="Arial" w:cs="Arial"/>
          <w:i/>
        </w:rPr>
        <w:t>,</w:t>
      </w:r>
      <w:r w:rsidR="001F77F0" w:rsidRPr="001F77F0">
        <w:t xml:space="preserve"> </w:t>
      </w:r>
      <w:r w:rsidR="001F77F0" w:rsidRPr="001F77F0">
        <w:rPr>
          <w:rFonts w:ascii="Arial" w:hAnsi="Arial" w:cs="Arial"/>
          <w:i/>
        </w:rPr>
        <w:t>Econometric Model</w:t>
      </w:r>
      <w:r w:rsidR="001F77F0">
        <w:rPr>
          <w:rFonts w:ascii="Arial" w:hAnsi="Arial" w:cs="Arial"/>
          <w:i/>
        </w:rPr>
        <w:t xml:space="preserve">, </w:t>
      </w:r>
      <w:r w:rsidR="001F77F0" w:rsidRPr="001F77F0">
        <w:rPr>
          <w:rFonts w:ascii="Arial" w:hAnsi="Arial" w:cs="Arial"/>
          <w:i/>
        </w:rPr>
        <w:t>OLS</w:t>
      </w:r>
      <w:r w:rsidR="001F77F0">
        <w:rPr>
          <w:rFonts w:ascii="Arial" w:hAnsi="Arial" w:cs="Arial"/>
          <w:i/>
        </w:rPr>
        <w:t xml:space="preserve">. </w:t>
      </w:r>
    </w:p>
    <w:p w14:paraId="3C7178D7" w14:textId="77777777" w:rsidR="00505F06" w:rsidRPr="00A24E7E" w:rsidRDefault="00505F06" w:rsidP="00441B6F">
      <w:pPr>
        <w:pStyle w:val="Body"/>
        <w:spacing w:after="0"/>
        <w:rPr>
          <w:rFonts w:ascii="Arial" w:hAnsi="Arial" w:cs="Arial"/>
          <w:i/>
        </w:rPr>
      </w:pPr>
    </w:p>
    <w:p w14:paraId="6D91BCE9" w14:textId="2415DFD1"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4DF634D" w14:textId="14AFBC1F" w:rsidR="00975C35" w:rsidRPr="00975C35" w:rsidRDefault="00975C35" w:rsidP="00131627">
      <w:pPr>
        <w:pStyle w:val="Body"/>
        <w:spacing w:after="0"/>
        <w:rPr>
          <w:rFonts w:ascii="Arial" w:hAnsi="Arial" w:cs="Arial"/>
        </w:rPr>
      </w:pPr>
      <w:r w:rsidRPr="00975C35">
        <w:rPr>
          <w:rFonts w:ascii="Arial" w:hAnsi="Arial" w:cs="Arial"/>
        </w:rPr>
        <w:t xml:space="preserve">As a participant in several trade agreements, including BIMSTEC FTA, SAFTA, APTA, EU PTA (General), OIC, D8, SAPTA, and SAFTA, Bangladesh has received preferential access to international markets. The research examines how trade agreements with economic blocks and bilateral trade partners can influence trade flows in Bangladesh. It shed lights on the global rise in regionalism, reflecting the incremental number of trade agreements and ongoing debate on whether these agreements enhance or hinder the economic welfare of a country. </w:t>
      </w:r>
      <w:r w:rsidR="00131627" w:rsidRPr="00975C35">
        <w:rPr>
          <w:rFonts w:ascii="Arial" w:hAnsi="Arial" w:cs="Arial"/>
        </w:rPr>
        <w:t>The objective of the study is to evaluate the effectiveness of current trade agreements on Bangladesh`s exports, assess the role of trade agreements in trade, and highlight the potential advantages of free trade agreements, whether it is FTA, PTA or RTA</w:t>
      </w:r>
      <w:r w:rsidR="00131627">
        <w:rPr>
          <w:rFonts w:ascii="Arial" w:hAnsi="Arial" w:cs="Arial"/>
        </w:rPr>
        <w:t xml:space="preserve"> facilitation export promotion</w:t>
      </w:r>
      <w:r w:rsidR="00131627" w:rsidRPr="00975C35">
        <w:rPr>
          <w:rFonts w:ascii="Arial" w:hAnsi="Arial" w:cs="Arial"/>
        </w:rPr>
        <w:t>. The structure of this study includes an overview of the trade agreements of Bangladesh, a literature review on gravity models, model specifications and results, and findings and conclusions.</w:t>
      </w:r>
      <w:r w:rsidR="00131627">
        <w:rPr>
          <w:rFonts w:ascii="Arial" w:hAnsi="Arial" w:cs="Arial"/>
        </w:rPr>
        <w:t xml:space="preserve"> </w:t>
      </w:r>
      <w:r w:rsidRPr="00975C35">
        <w:rPr>
          <w:rFonts w:ascii="Arial" w:hAnsi="Arial" w:cs="Arial"/>
        </w:rPr>
        <w:t xml:space="preserve">In most cases, trade agreements among developed nations have shown benefits like enhanced market access and reduced trade barriers but overall impact on trade growth remains limited for Developing Countries (Ullah and Inaba, 2011). The research also explored the need for additional analysis to determine whether these agreements support or obstruct deeper economic integration. </w:t>
      </w:r>
      <w:r w:rsidR="00131627">
        <w:rPr>
          <w:rFonts w:ascii="Arial" w:hAnsi="Arial" w:cs="Arial"/>
        </w:rPr>
        <w:t>As</w:t>
      </w:r>
      <w:r w:rsidRPr="00975C35">
        <w:rPr>
          <w:rFonts w:ascii="Arial" w:hAnsi="Arial" w:cs="Arial"/>
        </w:rPr>
        <w:t xml:space="preserve"> Bangladesh`s export activities heavily </w:t>
      </w:r>
      <w:r w:rsidRPr="00975C35">
        <w:rPr>
          <w:rFonts w:ascii="Arial" w:hAnsi="Arial" w:cs="Arial"/>
        </w:rPr>
        <w:lastRenderedPageBreak/>
        <w:t>concentrated in a few developed markets, it is imperative to understand how these agreements affect trade (Baier and Bergstrand,2007).</w:t>
      </w:r>
      <w:r w:rsidR="00131627">
        <w:rPr>
          <w:rFonts w:ascii="Arial" w:hAnsi="Arial" w:cs="Arial"/>
        </w:rPr>
        <w:t xml:space="preserve"> </w:t>
      </w:r>
      <w:r w:rsidRPr="00975C35">
        <w:rPr>
          <w:rFonts w:ascii="Arial" w:hAnsi="Arial" w:cs="Arial"/>
        </w:rPr>
        <w:t>Contrary to the conventional gravity model assumption that geographical proximity leads to higher trade volumes, Bangladesh`s main export destinations are often distant economies, primarily in Europe. On the other hand, its main sources of imports are predominantly Asian countries, except the United States. This unique trade pattern, which contradicts the traditional model, presents an interesting opportunity to explore alternative factors influencing trade patterns beyond transportation costs.</w:t>
      </w:r>
      <w:r w:rsidR="00131627">
        <w:rPr>
          <w:rFonts w:ascii="Arial" w:hAnsi="Arial" w:cs="Arial"/>
        </w:rPr>
        <w:t xml:space="preserve"> </w:t>
      </w:r>
      <w:r w:rsidRPr="00975C35">
        <w:rPr>
          <w:rFonts w:ascii="Arial" w:hAnsi="Arial" w:cs="Arial"/>
        </w:rPr>
        <w:t xml:space="preserve">A significant hurdle in previous gravity model analyses regarding Bangladesh is the occurrence of econometric challenges such as endogeneity, multilateral resistance, and instances of zero trade flows (Anderson &amp; Van Wincoop, 2003). Although some studies, like those by Rahman and Dutta (2012), </w:t>
      </w:r>
      <w:r w:rsidR="00131627">
        <w:rPr>
          <w:rFonts w:ascii="Arial" w:hAnsi="Arial" w:cs="Arial"/>
        </w:rPr>
        <w:t>explored</w:t>
      </w:r>
      <w:r w:rsidRPr="00975C35">
        <w:rPr>
          <w:rFonts w:ascii="Arial" w:hAnsi="Arial" w:cs="Arial"/>
        </w:rPr>
        <w:t xml:space="preserve"> country-specific and time-fixed effects, they did not adequately tackle issues of heteroskedasticity or zero trade flows. </w:t>
      </w:r>
      <w:r w:rsidR="00131627">
        <w:rPr>
          <w:rFonts w:ascii="Arial" w:hAnsi="Arial" w:cs="Arial"/>
        </w:rPr>
        <w:t>The study also finds that l</w:t>
      </w:r>
      <w:r w:rsidRPr="00975C35">
        <w:rPr>
          <w:rFonts w:ascii="Arial" w:hAnsi="Arial" w:cs="Arial"/>
        </w:rPr>
        <w:t>og-linearized OLS estimation frequently yields skewed outcomes because of omitted zero trade instances and altered variances (Silva &amp; Tenreyro, 2006). This study addresses these challenges by utilizing the Poisson pseudo-maximum-likelihood (PPML) estimator (Silva &amp; Tenreyro, 2011), which ensures reliable and consistent assessments of Bangladesh`s trade transactions. The empirical framework incorporates country-pair and time-fixed effects to account for multilateral resistance elements (Anderson &amp; Van Wincoop, 2003; Westerlund &amp; Wilhelmsson, 2011). By employing a sophisticated estimation method within the gravity model, this research adds fresh perspectives on Bangladesh`s trade dynamics, assisting policymakers in tackling trade discrepancies and promoting export diversification.</w:t>
      </w:r>
    </w:p>
    <w:p w14:paraId="4673448A" w14:textId="5F4DE009" w:rsidR="00EF5153" w:rsidRDefault="00EF5153" w:rsidP="00975C35">
      <w:pPr>
        <w:pStyle w:val="Body"/>
        <w:spacing w:after="0"/>
        <w:rPr>
          <w:rFonts w:ascii="Arial" w:hAnsi="Arial" w:cs="Arial"/>
        </w:rPr>
      </w:pPr>
    </w:p>
    <w:p w14:paraId="499895F5" w14:textId="4846CE80" w:rsidR="00646D43" w:rsidRPr="00751B3D" w:rsidRDefault="00646D43" w:rsidP="00975C35">
      <w:pPr>
        <w:pStyle w:val="Body"/>
        <w:spacing w:after="0"/>
        <w:rPr>
          <w:rFonts w:ascii="Arial" w:hAnsi="Arial" w:cs="Arial"/>
          <w:b/>
          <w:sz w:val="22"/>
        </w:rPr>
      </w:pPr>
      <w:r w:rsidRPr="00751B3D">
        <w:rPr>
          <w:rFonts w:ascii="Arial" w:hAnsi="Arial" w:cs="Arial"/>
          <w:b/>
          <w:sz w:val="22"/>
        </w:rPr>
        <w:t xml:space="preserve">1.1 </w:t>
      </w:r>
      <w:r w:rsidR="0095679F" w:rsidRPr="00751B3D">
        <w:rPr>
          <w:rFonts w:ascii="Arial" w:hAnsi="Arial" w:cs="Arial"/>
          <w:b/>
          <w:sz w:val="22"/>
        </w:rPr>
        <w:t>Overview of Trade Agreements of Bangladesh</w:t>
      </w:r>
    </w:p>
    <w:p w14:paraId="604FD3DD" w14:textId="6F859084" w:rsidR="00AB71E0" w:rsidRPr="00AB71E0" w:rsidRDefault="00AB71E0" w:rsidP="00BA6835">
      <w:pPr>
        <w:pStyle w:val="Body"/>
        <w:spacing w:after="0"/>
        <w:rPr>
          <w:rFonts w:ascii="Arial" w:hAnsi="Arial" w:cs="Arial"/>
        </w:rPr>
      </w:pPr>
      <w:r w:rsidRPr="00AB71E0">
        <w:rPr>
          <w:rFonts w:ascii="Arial" w:hAnsi="Arial" w:cs="Arial"/>
        </w:rPr>
        <w:t xml:space="preserve">Bangladesh has actively participated in a number of regional trade agreements to </w:t>
      </w:r>
      <w:r w:rsidR="00131627">
        <w:rPr>
          <w:rFonts w:ascii="Arial" w:hAnsi="Arial" w:cs="Arial"/>
        </w:rPr>
        <w:t>expand its</w:t>
      </w:r>
      <w:r w:rsidRPr="00AB71E0">
        <w:rPr>
          <w:rFonts w:ascii="Arial" w:hAnsi="Arial" w:cs="Arial"/>
        </w:rPr>
        <w:t xml:space="preserve"> </w:t>
      </w:r>
      <w:r w:rsidR="00131627">
        <w:rPr>
          <w:rFonts w:ascii="Arial" w:hAnsi="Arial" w:cs="Arial"/>
        </w:rPr>
        <w:t xml:space="preserve">export </w:t>
      </w:r>
      <w:r w:rsidRPr="00AB71E0">
        <w:rPr>
          <w:rFonts w:ascii="Arial" w:hAnsi="Arial" w:cs="Arial"/>
        </w:rPr>
        <w:t xml:space="preserve">potential and economic integration.  In the mid-1980s, the seven nations of South Asia founded the </w:t>
      </w:r>
      <w:bookmarkStart w:id="0" w:name="_Hlk200568128"/>
      <w:r w:rsidRPr="00AB71E0">
        <w:rPr>
          <w:rFonts w:ascii="Arial" w:hAnsi="Arial" w:cs="Arial"/>
        </w:rPr>
        <w:t xml:space="preserve">South Asian Association for Regional Cooperation (SAARC) </w:t>
      </w:r>
      <w:bookmarkEnd w:id="0"/>
      <w:r w:rsidRPr="00AB71E0">
        <w:rPr>
          <w:rFonts w:ascii="Arial" w:hAnsi="Arial" w:cs="Arial"/>
        </w:rPr>
        <w:t xml:space="preserve">to encourage collaboration within the region. Initially, SAARC aimed to promote regional peace rather than to facilitate commerce. To boost trade and regional ties, the member states ratified the </w:t>
      </w:r>
      <w:bookmarkStart w:id="1" w:name="_Hlk200568150"/>
      <w:r w:rsidRPr="00AB71E0">
        <w:rPr>
          <w:rFonts w:ascii="Arial" w:hAnsi="Arial" w:cs="Arial"/>
        </w:rPr>
        <w:t>South Asian Preferential Trading Arrangement (SAPTA)</w:t>
      </w:r>
      <w:bookmarkEnd w:id="1"/>
      <w:r w:rsidRPr="00AB71E0">
        <w:rPr>
          <w:rFonts w:ascii="Arial" w:hAnsi="Arial" w:cs="Arial"/>
        </w:rPr>
        <w:t xml:space="preserve"> in 1993, which came into effect on December 7, 1995. Nevertheless, SAPTA did not result in notable enhancements in tariff benefits and sector inclusion. In 2004, SAPTA transitioned into the </w:t>
      </w:r>
      <w:bookmarkStart w:id="2" w:name="_Hlk200568171"/>
      <w:r w:rsidRPr="00AB71E0">
        <w:rPr>
          <w:rFonts w:ascii="Arial" w:hAnsi="Arial" w:cs="Arial"/>
        </w:rPr>
        <w:t>South Asian Free Trade Area (SAFTA)</w:t>
      </w:r>
      <w:bookmarkEnd w:id="2"/>
      <w:r w:rsidRPr="00AB71E0">
        <w:rPr>
          <w:rFonts w:ascii="Arial" w:hAnsi="Arial" w:cs="Arial"/>
        </w:rPr>
        <w:t>, a broader free trade arrangement. The reduction of tariffs under SAFTA began on January 1, 2006, with Pakistan, India, and Sri Lanka— the non-least developed country (LDC) members—expected to lower tariffs on non-sensitive list items by 0-5% by the end of 2008. LDCs were provided with a target date of 2015 for making similar</w:t>
      </w:r>
      <w:r w:rsidR="00BA6835">
        <w:rPr>
          <w:rFonts w:ascii="Arial" w:hAnsi="Arial" w:cs="Arial"/>
        </w:rPr>
        <w:t xml:space="preserve"> tariff</w:t>
      </w:r>
      <w:r w:rsidRPr="00AB71E0">
        <w:rPr>
          <w:rFonts w:ascii="Arial" w:hAnsi="Arial" w:cs="Arial"/>
        </w:rPr>
        <w:t xml:space="preserve"> reductions. The 'sensitive list' approach of the agreement, which includes items that are not subject to tariff reductions, continues to be quite restrictive and significantly impacts the trade dynamics (Regional Trade Agreements for Web, Ministry of Commerce, 2025).</w:t>
      </w:r>
    </w:p>
    <w:p w14:paraId="717FBD18" w14:textId="77777777" w:rsidR="00AB71E0" w:rsidRPr="00AB71E0" w:rsidRDefault="00AB71E0" w:rsidP="00AB71E0">
      <w:pPr>
        <w:spacing w:line="276" w:lineRule="auto"/>
        <w:ind w:right="-784"/>
        <w:jc w:val="both"/>
        <w:rPr>
          <w:rFonts w:ascii="Arial" w:hAnsi="Arial" w:cs="Arial"/>
        </w:rPr>
      </w:pPr>
    </w:p>
    <w:p w14:paraId="4C862C91" w14:textId="3124B3CE" w:rsidR="00AB71E0" w:rsidRPr="00AB71E0" w:rsidRDefault="00BA6835" w:rsidP="00BA6835">
      <w:pPr>
        <w:pStyle w:val="Body"/>
        <w:spacing w:after="0"/>
        <w:rPr>
          <w:rFonts w:ascii="Arial" w:hAnsi="Arial" w:cs="Arial"/>
        </w:rPr>
      </w:pPr>
      <w:r>
        <w:rPr>
          <w:rFonts w:ascii="Arial" w:hAnsi="Arial" w:cs="Arial"/>
        </w:rPr>
        <w:t>Bangladesh</w:t>
      </w:r>
      <w:r w:rsidR="00AB71E0" w:rsidRPr="00AB71E0">
        <w:rPr>
          <w:rFonts w:ascii="Arial" w:hAnsi="Arial" w:cs="Arial"/>
        </w:rPr>
        <w:t xml:space="preserve"> became a member of the Asia Pacific Trade Agreement (APTA) in 1975, which offers tariff concessions among its member countries, including China and South Korea. The APTA, initially referred to as the Bangkok Agreement (BA), stands as Asia's oldest preferential trading arrangement, linking East, Southeast, and South Asia. Established in 1976 under the auspices of the </w:t>
      </w:r>
      <w:bookmarkStart w:id="3" w:name="_Hlk200568227"/>
      <w:r w:rsidR="00AB71E0" w:rsidRPr="00AB71E0">
        <w:rPr>
          <w:rFonts w:ascii="Arial" w:hAnsi="Arial" w:cs="Arial"/>
        </w:rPr>
        <w:t>United Nations Economic and Social Commission for Asia and the Pacific (UNESCAP)</w:t>
      </w:r>
      <w:bookmarkEnd w:id="3"/>
      <w:r w:rsidR="00AB71E0" w:rsidRPr="00AB71E0">
        <w:rPr>
          <w:rFonts w:ascii="Arial" w:hAnsi="Arial" w:cs="Arial"/>
        </w:rPr>
        <w:t>, APTA seeks to boost intra-regional trade through concession agreements. Through three negotiation rounds, significant advancements have been made, with Bangladesh securing special tariff concessions for 587 products in the third round, in contrast to only 3 and 63 products in earlier rounds. Since 2006, China and South Korea have provided 100% tariff concessions on selected products from Bangladesh, underscoring the growing openness of the agreement. In 2009, APTA member countries endorsed a Framework Agreement on the Promotion, Protection, and Liberalization of Investment, intended to facilitate investment flows among participating nations and beyond (Haque, 2022; Ullah and Inaba, 2011).</w:t>
      </w:r>
    </w:p>
    <w:p w14:paraId="5268916A" w14:textId="77777777" w:rsidR="00AB71E0" w:rsidRPr="00AB71E0" w:rsidRDefault="00AB71E0" w:rsidP="00AB71E0">
      <w:pPr>
        <w:spacing w:line="276" w:lineRule="auto"/>
        <w:ind w:right="-784"/>
        <w:jc w:val="both"/>
        <w:rPr>
          <w:rFonts w:ascii="Arial" w:hAnsi="Arial" w:cs="Arial"/>
        </w:rPr>
      </w:pPr>
    </w:p>
    <w:p w14:paraId="177EF09D" w14:textId="77777777" w:rsidR="00AB71E0" w:rsidRPr="00AB71E0" w:rsidRDefault="00AB71E0" w:rsidP="00C470F1">
      <w:pPr>
        <w:pStyle w:val="Body"/>
        <w:spacing w:after="0"/>
        <w:rPr>
          <w:rFonts w:ascii="Arial" w:hAnsi="Arial" w:cs="Arial"/>
        </w:rPr>
      </w:pPr>
      <w:r w:rsidRPr="00AB71E0">
        <w:rPr>
          <w:rFonts w:ascii="Arial" w:hAnsi="Arial" w:cs="Arial"/>
        </w:rPr>
        <w:t xml:space="preserve">In addition to its commitments in South Asia, Bangladesh is engaged in trade efforts such as the Trade Preferential System Among the OIC Members (TPS-OIC), which it signed in 1990, along with the Preferential Trade Agreement among D-8 Countries, established in 2001, both of which enhance economic collaboration and market access. Furthermore, partnerships with international organizations like the </w:t>
      </w:r>
      <w:bookmarkStart w:id="4" w:name="_Hlk200568339"/>
      <w:r w:rsidRPr="00AB71E0">
        <w:rPr>
          <w:rFonts w:ascii="Arial" w:hAnsi="Arial" w:cs="Arial"/>
        </w:rPr>
        <w:t xml:space="preserve">United Nations Conference on Trade and Development (UNCTAD) </w:t>
      </w:r>
      <w:bookmarkEnd w:id="4"/>
      <w:r w:rsidRPr="00AB71E0">
        <w:rPr>
          <w:rFonts w:ascii="Arial" w:hAnsi="Arial" w:cs="Arial"/>
        </w:rPr>
        <w:t>and the European Commission (EC) assist in building Bangladesh`s trade capacity and diversifying its markets. Collectively, these agreements enhance Bangladesh`s export competitiveness and economic development by broadening trade opportunities and ensuring advantageous market access. The D8, a cooperative initiative among Muslim developing nations, was founded in 1997 to enhance collaboration in trade, industry, agriculture, energy, health, and various other sectors. This global effort aims to elevate the economic status of developing countries and create fresh trading opportunities. During its 7th summit in 2010, D8 participants decided to transform the organization into a preferential trade agreement by 2011 (Ullah and Inaba, 2011).</w:t>
      </w:r>
    </w:p>
    <w:p w14:paraId="7BE17EE3" w14:textId="77777777" w:rsidR="00AB71E0" w:rsidRPr="00AB71E0" w:rsidRDefault="00AB71E0" w:rsidP="00AB71E0">
      <w:pPr>
        <w:ind w:right="-784"/>
        <w:jc w:val="both"/>
        <w:rPr>
          <w:rFonts w:ascii="Arial" w:hAnsi="Arial" w:cs="Arial"/>
        </w:rPr>
      </w:pPr>
    </w:p>
    <w:p w14:paraId="14CDD217" w14:textId="77777777" w:rsidR="00AB71E0" w:rsidRPr="006C644D" w:rsidRDefault="00AB71E0" w:rsidP="006C644D">
      <w:pPr>
        <w:ind w:right="-784"/>
        <w:rPr>
          <w:rFonts w:ascii="Arial" w:hAnsi="Arial" w:cs="Arial"/>
        </w:rPr>
      </w:pPr>
      <w:r w:rsidRPr="006C644D">
        <w:rPr>
          <w:rFonts w:ascii="Arial" w:hAnsi="Arial" w:cs="Arial"/>
        </w:rPr>
        <w:t>Table 1. A summary of the trade agreements Bangladesh has participated in includes various regional and bilateral agreements</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1"/>
        <w:gridCol w:w="1330"/>
        <w:gridCol w:w="982"/>
        <w:gridCol w:w="847"/>
        <w:gridCol w:w="2067"/>
        <w:gridCol w:w="661"/>
        <w:gridCol w:w="550"/>
        <w:gridCol w:w="994"/>
      </w:tblGrid>
      <w:tr w:rsidR="00AB71E0" w:rsidRPr="0099791C" w14:paraId="3ACF849D" w14:textId="77777777" w:rsidTr="00AA3AEF">
        <w:trPr>
          <w:trHeight w:val="274"/>
          <w:tblHeader/>
          <w:jc w:val="center"/>
        </w:trPr>
        <w:tc>
          <w:tcPr>
            <w:tcW w:w="1630" w:type="dxa"/>
            <w:shd w:val="clear" w:color="auto" w:fill="356854"/>
            <w:tcMar>
              <w:top w:w="30" w:type="dxa"/>
              <w:left w:w="120" w:type="dxa"/>
              <w:bottom w:w="30" w:type="dxa"/>
              <w:right w:w="120" w:type="dxa"/>
            </w:tcMar>
            <w:vAlign w:val="center"/>
            <w:hideMark/>
          </w:tcPr>
          <w:p w14:paraId="37016724" w14:textId="77777777" w:rsidR="00AB71E0" w:rsidRPr="0099791C" w:rsidRDefault="00AB71E0" w:rsidP="00AA3AEF">
            <w:pPr>
              <w:rPr>
                <w:rFonts w:ascii="Arial" w:hAnsi="Arial" w:cs="Arial"/>
                <w:color w:val="FFFFFF"/>
              </w:rPr>
            </w:pPr>
            <w:r w:rsidRPr="0099791C">
              <w:rPr>
                <w:rFonts w:ascii="Arial" w:hAnsi="Arial" w:cs="Arial"/>
                <w:color w:val="FFFFFF"/>
              </w:rPr>
              <w:t>Member Countries</w:t>
            </w:r>
          </w:p>
        </w:tc>
        <w:tc>
          <w:tcPr>
            <w:tcW w:w="1330" w:type="dxa"/>
            <w:shd w:val="clear" w:color="auto" w:fill="356854"/>
            <w:tcMar>
              <w:top w:w="30" w:type="dxa"/>
              <w:left w:w="120" w:type="dxa"/>
              <w:bottom w:w="30" w:type="dxa"/>
              <w:right w:w="120" w:type="dxa"/>
            </w:tcMar>
            <w:vAlign w:val="center"/>
            <w:hideMark/>
          </w:tcPr>
          <w:p w14:paraId="4BDE9F0D" w14:textId="77777777" w:rsidR="00AB71E0" w:rsidRPr="0099791C" w:rsidRDefault="00AB71E0" w:rsidP="00AA3AEF">
            <w:pPr>
              <w:rPr>
                <w:rFonts w:ascii="Arial" w:hAnsi="Arial" w:cs="Arial"/>
                <w:color w:val="FFFFFF"/>
              </w:rPr>
            </w:pPr>
            <w:r w:rsidRPr="0099791C">
              <w:rPr>
                <w:rFonts w:ascii="Arial" w:hAnsi="Arial" w:cs="Arial"/>
                <w:color w:val="FFFFFF"/>
              </w:rPr>
              <w:t>BIMSTEC FTA</w:t>
            </w:r>
          </w:p>
        </w:tc>
        <w:tc>
          <w:tcPr>
            <w:tcW w:w="0" w:type="auto"/>
            <w:shd w:val="clear" w:color="auto" w:fill="356854"/>
            <w:tcMar>
              <w:top w:w="30" w:type="dxa"/>
              <w:left w:w="120" w:type="dxa"/>
              <w:bottom w:w="30" w:type="dxa"/>
              <w:right w:w="120" w:type="dxa"/>
            </w:tcMar>
            <w:vAlign w:val="center"/>
            <w:hideMark/>
          </w:tcPr>
          <w:p w14:paraId="3688A0CC" w14:textId="77777777" w:rsidR="00AB71E0" w:rsidRPr="0099791C" w:rsidRDefault="00AB71E0" w:rsidP="00AA3AEF">
            <w:pPr>
              <w:rPr>
                <w:rFonts w:ascii="Arial" w:hAnsi="Arial" w:cs="Arial"/>
                <w:color w:val="FFFFFF"/>
              </w:rPr>
            </w:pPr>
            <w:r w:rsidRPr="0099791C">
              <w:rPr>
                <w:rFonts w:ascii="Arial" w:hAnsi="Arial" w:cs="Arial"/>
                <w:color w:val="FFFFFF"/>
              </w:rPr>
              <w:t>SAFTA</w:t>
            </w:r>
          </w:p>
        </w:tc>
        <w:tc>
          <w:tcPr>
            <w:tcW w:w="0" w:type="auto"/>
            <w:shd w:val="clear" w:color="auto" w:fill="356854"/>
            <w:tcMar>
              <w:top w:w="30" w:type="dxa"/>
              <w:left w:w="120" w:type="dxa"/>
              <w:bottom w:w="30" w:type="dxa"/>
              <w:right w:w="120" w:type="dxa"/>
            </w:tcMar>
            <w:vAlign w:val="center"/>
            <w:hideMark/>
          </w:tcPr>
          <w:p w14:paraId="328D7B3E" w14:textId="77777777" w:rsidR="00AB71E0" w:rsidRPr="0099791C" w:rsidRDefault="00AB71E0" w:rsidP="00AA3AEF">
            <w:pPr>
              <w:rPr>
                <w:rFonts w:ascii="Arial" w:hAnsi="Arial" w:cs="Arial"/>
                <w:color w:val="FFFFFF"/>
              </w:rPr>
            </w:pPr>
            <w:r w:rsidRPr="0099791C">
              <w:rPr>
                <w:rFonts w:ascii="Arial" w:hAnsi="Arial" w:cs="Arial"/>
                <w:color w:val="FFFFFF"/>
              </w:rPr>
              <w:t>APTA</w:t>
            </w:r>
          </w:p>
        </w:tc>
        <w:tc>
          <w:tcPr>
            <w:tcW w:w="0" w:type="auto"/>
            <w:shd w:val="clear" w:color="auto" w:fill="356854"/>
            <w:tcMar>
              <w:top w:w="30" w:type="dxa"/>
              <w:left w:w="120" w:type="dxa"/>
              <w:bottom w:w="30" w:type="dxa"/>
              <w:right w:w="120" w:type="dxa"/>
            </w:tcMar>
            <w:vAlign w:val="center"/>
            <w:hideMark/>
          </w:tcPr>
          <w:p w14:paraId="78BDB7C9" w14:textId="77777777" w:rsidR="00AB71E0" w:rsidRPr="0099791C" w:rsidRDefault="00AB71E0" w:rsidP="00AA3AEF">
            <w:pPr>
              <w:rPr>
                <w:rFonts w:ascii="Arial" w:hAnsi="Arial" w:cs="Arial"/>
                <w:color w:val="FFFFFF"/>
              </w:rPr>
            </w:pPr>
            <w:r w:rsidRPr="0099791C">
              <w:rPr>
                <w:rFonts w:ascii="Arial" w:hAnsi="Arial" w:cs="Arial"/>
                <w:color w:val="FFFFFF"/>
              </w:rPr>
              <w:t>EU PTA (General)</w:t>
            </w:r>
          </w:p>
        </w:tc>
        <w:tc>
          <w:tcPr>
            <w:tcW w:w="0" w:type="auto"/>
            <w:shd w:val="clear" w:color="auto" w:fill="356854"/>
            <w:tcMar>
              <w:top w:w="30" w:type="dxa"/>
              <w:left w:w="120" w:type="dxa"/>
              <w:bottom w:w="30" w:type="dxa"/>
              <w:right w:w="120" w:type="dxa"/>
            </w:tcMar>
            <w:vAlign w:val="center"/>
            <w:hideMark/>
          </w:tcPr>
          <w:p w14:paraId="2140980D" w14:textId="77777777" w:rsidR="00AB71E0" w:rsidRPr="0099791C" w:rsidRDefault="00AB71E0" w:rsidP="00AA3AEF">
            <w:pPr>
              <w:rPr>
                <w:rFonts w:ascii="Arial" w:hAnsi="Arial" w:cs="Arial"/>
                <w:color w:val="FFFFFF"/>
              </w:rPr>
            </w:pPr>
            <w:r w:rsidRPr="0099791C">
              <w:rPr>
                <w:rFonts w:ascii="Arial" w:hAnsi="Arial" w:cs="Arial"/>
                <w:color w:val="FFFFFF"/>
              </w:rPr>
              <w:t>OIC</w:t>
            </w:r>
          </w:p>
        </w:tc>
        <w:tc>
          <w:tcPr>
            <w:tcW w:w="0" w:type="auto"/>
            <w:shd w:val="clear" w:color="auto" w:fill="356854"/>
            <w:tcMar>
              <w:top w:w="30" w:type="dxa"/>
              <w:left w:w="120" w:type="dxa"/>
              <w:bottom w:w="30" w:type="dxa"/>
              <w:right w:w="120" w:type="dxa"/>
            </w:tcMar>
            <w:vAlign w:val="center"/>
            <w:hideMark/>
          </w:tcPr>
          <w:p w14:paraId="4615F247" w14:textId="77777777" w:rsidR="00AB71E0" w:rsidRPr="0099791C" w:rsidRDefault="00AB71E0" w:rsidP="00AA3AEF">
            <w:pPr>
              <w:rPr>
                <w:rFonts w:ascii="Arial" w:hAnsi="Arial" w:cs="Arial"/>
                <w:color w:val="FFFFFF"/>
              </w:rPr>
            </w:pPr>
            <w:r w:rsidRPr="0099791C">
              <w:rPr>
                <w:rFonts w:ascii="Arial" w:hAnsi="Arial" w:cs="Arial"/>
                <w:color w:val="FFFFFF"/>
              </w:rPr>
              <w:t>D8</w:t>
            </w:r>
          </w:p>
        </w:tc>
        <w:tc>
          <w:tcPr>
            <w:tcW w:w="0" w:type="auto"/>
            <w:shd w:val="clear" w:color="auto" w:fill="356854"/>
            <w:tcMar>
              <w:top w:w="30" w:type="dxa"/>
              <w:left w:w="120" w:type="dxa"/>
              <w:bottom w:w="30" w:type="dxa"/>
              <w:right w:w="120" w:type="dxa"/>
            </w:tcMar>
            <w:vAlign w:val="center"/>
            <w:hideMark/>
          </w:tcPr>
          <w:p w14:paraId="52FC798A" w14:textId="77777777" w:rsidR="00AB71E0" w:rsidRPr="0099791C" w:rsidRDefault="00AB71E0" w:rsidP="00AA3AEF">
            <w:pPr>
              <w:rPr>
                <w:rFonts w:ascii="Arial" w:hAnsi="Arial" w:cs="Arial"/>
                <w:color w:val="FFFFFF"/>
              </w:rPr>
            </w:pPr>
            <w:r w:rsidRPr="0099791C">
              <w:rPr>
                <w:rFonts w:ascii="Arial" w:hAnsi="Arial" w:cs="Arial"/>
                <w:color w:val="FFFFFF"/>
              </w:rPr>
              <w:t>SAPTA</w:t>
            </w:r>
          </w:p>
        </w:tc>
      </w:tr>
      <w:tr w:rsidR="00AB71E0" w:rsidRPr="0099791C" w14:paraId="6BA8AAD3"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461F60F0" w14:textId="77777777" w:rsidR="00AB71E0" w:rsidRPr="0099791C" w:rsidRDefault="00AB71E0" w:rsidP="00AA3AEF">
            <w:pPr>
              <w:rPr>
                <w:rFonts w:ascii="Arial" w:hAnsi="Arial" w:cs="Arial"/>
                <w:color w:val="434343"/>
              </w:rPr>
            </w:pPr>
            <w:r w:rsidRPr="0099791C">
              <w:rPr>
                <w:rFonts w:ascii="Arial" w:hAnsi="Arial" w:cs="Arial"/>
                <w:color w:val="434343"/>
              </w:rPr>
              <w:t>Afghanistan</w:t>
            </w:r>
          </w:p>
        </w:tc>
        <w:tc>
          <w:tcPr>
            <w:tcW w:w="1330" w:type="dxa"/>
            <w:shd w:val="clear" w:color="auto" w:fill="FFFFFF"/>
            <w:tcMar>
              <w:top w:w="30" w:type="dxa"/>
              <w:left w:w="120" w:type="dxa"/>
              <w:bottom w:w="30" w:type="dxa"/>
              <w:right w:w="120" w:type="dxa"/>
            </w:tcMar>
            <w:vAlign w:val="center"/>
            <w:hideMark/>
          </w:tcPr>
          <w:p w14:paraId="3CD6B23A"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13802926"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36B7549F"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32362BFB"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3421C51"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7A452AFC"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4A8F0466"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r>
      <w:tr w:rsidR="00AB71E0" w:rsidRPr="0099791C" w14:paraId="50CDF6C3" w14:textId="77777777" w:rsidTr="00AA3AEF">
        <w:trPr>
          <w:trHeight w:val="274"/>
          <w:jc w:val="center"/>
        </w:trPr>
        <w:tc>
          <w:tcPr>
            <w:tcW w:w="1630" w:type="dxa"/>
            <w:shd w:val="clear" w:color="auto" w:fill="F6F8F9"/>
            <w:tcMar>
              <w:top w:w="30" w:type="dxa"/>
              <w:left w:w="120" w:type="dxa"/>
              <w:bottom w:w="30" w:type="dxa"/>
              <w:right w:w="120" w:type="dxa"/>
            </w:tcMar>
            <w:vAlign w:val="center"/>
            <w:hideMark/>
          </w:tcPr>
          <w:p w14:paraId="40AE3E76" w14:textId="77777777" w:rsidR="00AB71E0" w:rsidRPr="0099791C" w:rsidRDefault="00AB71E0" w:rsidP="00AA3AEF">
            <w:pPr>
              <w:rPr>
                <w:rFonts w:ascii="Arial" w:hAnsi="Arial" w:cs="Arial"/>
                <w:color w:val="434343"/>
              </w:rPr>
            </w:pPr>
            <w:r w:rsidRPr="0099791C">
              <w:rPr>
                <w:rFonts w:ascii="Arial" w:hAnsi="Arial" w:cs="Arial"/>
                <w:color w:val="434343"/>
              </w:rPr>
              <w:t>Bangladesh</w:t>
            </w:r>
          </w:p>
        </w:tc>
        <w:tc>
          <w:tcPr>
            <w:tcW w:w="1330" w:type="dxa"/>
            <w:shd w:val="clear" w:color="auto" w:fill="F6F8F9"/>
            <w:tcMar>
              <w:top w:w="30" w:type="dxa"/>
              <w:left w:w="120" w:type="dxa"/>
              <w:bottom w:w="30" w:type="dxa"/>
              <w:right w:w="120" w:type="dxa"/>
            </w:tcMar>
            <w:vAlign w:val="center"/>
            <w:hideMark/>
          </w:tcPr>
          <w:p w14:paraId="779F1E97"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2E656C03"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03ED6AF6"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462D17DD"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4AF9517A"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59B78724"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70C85767"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r>
      <w:tr w:rsidR="00AB71E0" w:rsidRPr="0099791C" w14:paraId="5E500DEC"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088089DC" w14:textId="77777777" w:rsidR="00AB71E0" w:rsidRPr="0099791C" w:rsidRDefault="00AB71E0" w:rsidP="00AA3AEF">
            <w:pPr>
              <w:rPr>
                <w:rFonts w:ascii="Arial" w:hAnsi="Arial" w:cs="Arial"/>
                <w:color w:val="434343"/>
              </w:rPr>
            </w:pPr>
            <w:r w:rsidRPr="0099791C">
              <w:rPr>
                <w:rFonts w:ascii="Arial" w:hAnsi="Arial" w:cs="Arial"/>
                <w:color w:val="434343"/>
              </w:rPr>
              <w:lastRenderedPageBreak/>
              <w:t>Bhutan</w:t>
            </w:r>
          </w:p>
        </w:tc>
        <w:tc>
          <w:tcPr>
            <w:tcW w:w="1330" w:type="dxa"/>
            <w:shd w:val="clear" w:color="auto" w:fill="FFFFFF"/>
            <w:tcMar>
              <w:top w:w="30" w:type="dxa"/>
              <w:left w:w="120" w:type="dxa"/>
              <w:bottom w:w="30" w:type="dxa"/>
              <w:right w:w="120" w:type="dxa"/>
            </w:tcMar>
            <w:vAlign w:val="center"/>
            <w:hideMark/>
          </w:tcPr>
          <w:p w14:paraId="4635696E"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0A1A76C2"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344AA321"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2E60FABD"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597FDEA7"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198D9D23"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8D213D7"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r>
      <w:tr w:rsidR="00AB71E0" w:rsidRPr="0099791C" w14:paraId="2F68EF6A" w14:textId="77777777" w:rsidTr="00AA3AEF">
        <w:trPr>
          <w:trHeight w:val="274"/>
          <w:jc w:val="center"/>
        </w:trPr>
        <w:tc>
          <w:tcPr>
            <w:tcW w:w="1630" w:type="dxa"/>
            <w:shd w:val="clear" w:color="auto" w:fill="F6F8F9"/>
            <w:tcMar>
              <w:top w:w="30" w:type="dxa"/>
              <w:left w:w="120" w:type="dxa"/>
              <w:bottom w:w="30" w:type="dxa"/>
              <w:right w:w="120" w:type="dxa"/>
            </w:tcMar>
            <w:vAlign w:val="center"/>
            <w:hideMark/>
          </w:tcPr>
          <w:p w14:paraId="40330960" w14:textId="77777777" w:rsidR="00AB71E0" w:rsidRPr="0099791C" w:rsidRDefault="00AB71E0" w:rsidP="00AA3AEF">
            <w:pPr>
              <w:rPr>
                <w:rFonts w:ascii="Arial" w:hAnsi="Arial" w:cs="Arial"/>
                <w:color w:val="434343"/>
              </w:rPr>
            </w:pPr>
            <w:r w:rsidRPr="0099791C">
              <w:rPr>
                <w:rFonts w:ascii="Arial" w:hAnsi="Arial" w:cs="Arial"/>
                <w:color w:val="434343"/>
              </w:rPr>
              <w:t>China</w:t>
            </w:r>
          </w:p>
        </w:tc>
        <w:tc>
          <w:tcPr>
            <w:tcW w:w="1330" w:type="dxa"/>
            <w:shd w:val="clear" w:color="auto" w:fill="F6F8F9"/>
            <w:tcMar>
              <w:top w:w="30" w:type="dxa"/>
              <w:left w:w="120" w:type="dxa"/>
              <w:bottom w:w="30" w:type="dxa"/>
              <w:right w:w="120" w:type="dxa"/>
            </w:tcMar>
            <w:vAlign w:val="center"/>
            <w:hideMark/>
          </w:tcPr>
          <w:p w14:paraId="00FB7E46"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4B27E11A"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53F37996"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3E8C5E50"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2A0AEF57"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008CB301"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30BBCB09" w14:textId="77777777" w:rsidR="00AB71E0" w:rsidRPr="0099791C" w:rsidRDefault="00AB71E0" w:rsidP="00AA3AEF">
            <w:pPr>
              <w:rPr>
                <w:rFonts w:ascii="Arial" w:hAnsi="Arial" w:cs="Arial"/>
              </w:rPr>
            </w:pPr>
          </w:p>
        </w:tc>
      </w:tr>
      <w:tr w:rsidR="00AB71E0" w:rsidRPr="0099791C" w14:paraId="2C5FA389"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67B57E00" w14:textId="77777777" w:rsidR="00AB71E0" w:rsidRPr="0099791C" w:rsidRDefault="00AB71E0" w:rsidP="00AA3AEF">
            <w:pPr>
              <w:rPr>
                <w:rFonts w:ascii="Arial" w:hAnsi="Arial" w:cs="Arial"/>
                <w:color w:val="434343"/>
              </w:rPr>
            </w:pPr>
            <w:r w:rsidRPr="0099791C">
              <w:rPr>
                <w:rFonts w:ascii="Arial" w:hAnsi="Arial" w:cs="Arial"/>
                <w:color w:val="434343"/>
              </w:rPr>
              <w:t>Egypt</w:t>
            </w:r>
          </w:p>
        </w:tc>
        <w:tc>
          <w:tcPr>
            <w:tcW w:w="1330" w:type="dxa"/>
            <w:shd w:val="clear" w:color="auto" w:fill="FFFFFF"/>
            <w:tcMar>
              <w:top w:w="30" w:type="dxa"/>
              <w:left w:w="120" w:type="dxa"/>
              <w:bottom w:w="30" w:type="dxa"/>
              <w:right w:w="120" w:type="dxa"/>
            </w:tcMar>
            <w:vAlign w:val="center"/>
            <w:hideMark/>
          </w:tcPr>
          <w:p w14:paraId="38AFA8F2"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45F10D1A"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4B907955"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08B9863"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661ADAA"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6C4FFFDD"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5417B3F5" w14:textId="77777777" w:rsidR="00AB71E0" w:rsidRPr="0099791C" w:rsidRDefault="00AB71E0" w:rsidP="00AA3AEF">
            <w:pPr>
              <w:rPr>
                <w:rFonts w:ascii="Arial" w:hAnsi="Arial" w:cs="Arial"/>
                <w:color w:val="434343"/>
              </w:rPr>
            </w:pPr>
          </w:p>
        </w:tc>
      </w:tr>
      <w:tr w:rsidR="00AB71E0" w:rsidRPr="0099791C" w14:paraId="20BC9FA5" w14:textId="77777777" w:rsidTr="00AA3AEF">
        <w:trPr>
          <w:trHeight w:val="274"/>
          <w:jc w:val="center"/>
        </w:trPr>
        <w:tc>
          <w:tcPr>
            <w:tcW w:w="1630" w:type="dxa"/>
            <w:shd w:val="clear" w:color="auto" w:fill="F6F8F9"/>
            <w:tcMar>
              <w:top w:w="30" w:type="dxa"/>
              <w:left w:w="120" w:type="dxa"/>
              <w:bottom w:w="30" w:type="dxa"/>
              <w:right w:w="120" w:type="dxa"/>
            </w:tcMar>
            <w:vAlign w:val="center"/>
            <w:hideMark/>
          </w:tcPr>
          <w:p w14:paraId="6C1176F7" w14:textId="77777777" w:rsidR="00AB71E0" w:rsidRPr="0099791C" w:rsidRDefault="00AB71E0" w:rsidP="00AA3AEF">
            <w:pPr>
              <w:rPr>
                <w:rFonts w:ascii="Arial" w:hAnsi="Arial" w:cs="Arial"/>
                <w:color w:val="434343"/>
              </w:rPr>
            </w:pPr>
            <w:r w:rsidRPr="0099791C">
              <w:rPr>
                <w:rFonts w:ascii="Arial" w:hAnsi="Arial" w:cs="Arial"/>
                <w:color w:val="434343"/>
              </w:rPr>
              <w:t>India</w:t>
            </w:r>
          </w:p>
        </w:tc>
        <w:tc>
          <w:tcPr>
            <w:tcW w:w="1330" w:type="dxa"/>
            <w:shd w:val="clear" w:color="auto" w:fill="F6F8F9"/>
            <w:tcMar>
              <w:top w:w="30" w:type="dxa"/>
              <w:left w:w="120" w:type="dxa"/>
              <w:bottom w:w="30" w:type="dxa"/>
              <w:right w:w="120" w:type="dxa"/>
            </w:tcMar>
            <w:vAlign w:val="center"/>
            <w:hideMark/>
          </w:tcPr>
          <w:p w14:paraId="750DC468"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2C34D287"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017D4B8E"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3EC83724"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21F82E88"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491DDD2A"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19BA7238"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r>
      <w:tr w:rsidR="00AB71E0" w:rsidRPr="0099791C" w14:paraId="05910DBD"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7F45337C" w14:textId="77777777" w:rsidR="00AB71E0" w:rsidRPr="0099791C" w:rsidRDefault="00AB71E0" w:rsidP="00AA3AEF">
            <w:pPr>
              <w:rPr>
                <w:rFonts w:ascii="Arial" w:hAnsi="Arial" w:cs="Arial"/>
                <w:color w:val="434343"/>
              </w:rPr>
            </w:pPr>
            <w:r w:rsidRPr="0099791C">
              <w:rPr>
                <w:rFonts w:ascii="Arial" w:hAnsi="Arial" w:cs="Arial"/>
                <w:color w:val="434343"/>
              </w:rPr>
              <w:t>Indonesia</w:t>
            </w:r>
          </w:p>
        </w:tc>
        <w:tc>
          <w:tcPr>
            <w:tcW w:w="1330" w:type="dxa"/>
            <w:shd w:val="clear" w:color="auto" w:fill="FFFFFF"/>
            <w:tcMar>
              <w:top w:w="30" w:type="dxa"/>
              <w:left w:w="120" w:type="dxa"/>
              <w:bottom w:w="30" w:type="dxa"/>
              <w:right w:w="120" w:type="dxa"/>
            </w:tcMar>
            <w:vAlign w:val="center"/>
            <w:hideMark/>
          </w:tcPr>
          <w:p w14:paraId="1CD5253E"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3802857A"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53C77DE0"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2734CB13"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2F5F636E"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79765065"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4AF71FF0" w14:textId="77777777" w:rsidR="00AB71E0" w:rsidRPr="0099791C" w:rsidRDefault="00AB71E0" w:rsidP="00AA3AEF">
            <w:pPr>
              <w:rPr>
                <w:rFonts w:ascii="Arial" w:hAnsi="Arial" w:cs="Arial"/>
                <w:color w:val="434343"/>
              </w:rPr>
            </w:pPr>
          </w:p>
        </w:tc>
      </w:tr>
      <w:tr w:rsidR="00AB71E0" w:rsidRPr="0099791C" w14:paraId="36472C29" w14:textId="77777777" w:rsidTr="00AA3AEF">
        <w:trPr>
          <w:trHeight w:val="274"/>
          <w:jc w:val="center"/>
        </w:trPr>
        <w:tc>
          <w:tcPr>
            <w:tcW w:w="1630" w:type="dxa"/>
            <w:shd w:val="clear" w:color="auto" w:fill="F6F8F9"/>
            <w:tcMar>
              <w:top w:w="30" w:type="dxa"/>
              <w:left w:w="120" w:type="dxa"/>
              <w:bottom w:w="30" w:type="dxa"/>
              <w:right w:w="120" w:type="dxa"/>
            </w:tcMar>
            <w:vAlign w:val="center"/>
            <w:hideMark/>
          </w:tcPr>
          <w:p w14:paraId="28C8AD14" w14:textId="77777777" w:rsidR="00AB71E0" w:rsidRPr="0099791C" w:rsidRDefault="00AB71E0" w:rsidP="00AA3AEF">
            <w:pPr>
              <w:rPr>
                <w:rFonts w:ascii="Arial" w:hAnsi="Arial" w:cs="Arial"/>
                <w:color w:val="434343"/>
              </w:rPr>
            </w:pPr>
            <w:r w:rsidRPr="0099791C">
              <w:rPr>
                <w:rFonts w:ascii="Arial" w:hAnsi="Arial" w:cs="Arial"/>
                <w:color w:val="434343"/>
              </w:rPr>
              <w:t>Iran</w:t>
            </w:r>
          </w:p>
        </w:tc>
        <w:tc>
          <w:tcPr>
            <w:tcW w:w="1330" w:type="dxa"/>
            <w:shd w:val="clear" w:color="auto" w:fill="F6F8F9"/>
            <w:tcMar>
              <w:top w:w="30" w:type="dxa"/>
              <w:left w:w="120" w:type="dxa"/>
              <w:bottom w:w="30" w:type="dxa"/>
              <w:right w:w="120" w:type="dxa"/>
            </w:tcMar>
            <w:vAlign w:val="center"/>
            <w:hideMark/>
          </w:tcPr>
          <w:p w14:paraId="35A4B28E"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0A62C6B5"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0A6DCE6C"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3194AF58"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30179FF5"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15603D71"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2821DDD0" w14:textId="77777777" w:rsidR="00AB71E0" w:rsidRPr="0099791C" w:rsidRDefault="00AB71E0" w:rsidP="00AA3AEF">
            <w:pPr>
              <w:rPr>
                <w:rFonts w:ascii="Arial" w:hAnsi="Arial" w:cs="Arial"/>
                <w:color w:val="434343"/>
              </w:rPr>
            </w:pPr>
          </w:p>
        </w:tc>
      </w:tr>
      <w:tr w:rsidR="00AB71E0" w:rsidRPr="0099791C" w14:paraId="20160FEA"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6375F231" w14:textId="77777777" w:rsidR="00AB71E0" w:rsidRPr="0099791C" w:rsidRDefault="00AB71E0" w:rsidP="00AA3AEF">
            <w:pPr>
              <w:rPr>
                <w:rFonts w:ascii="Arial" w:hAnsi="Arial" w:cs="Arial"/>
                <w:color w:val="434343"/>
              </w:rPr>
            </w:pPr>
            <w:r w:rsidRPr="0099791C">
              <w:rPr>
                <w:rFonts w:ascii="Arial" w:hAnsi="Arial" w:cs="Arial"/>
                <w:color w:val="434343"/>
              </w:rPr>
              <w:t>Lao People's Democratic Rep.</w:t>
            </w:r>
          </w:p>
        </w:tc>
        <w:tc>
          <w:tcPr>
            <w:tcW w:w="1330" w:type="dxa"/>
            <w:shd w:val="clear" w:color="auto" w:fill="FFFFFF"/>
            <w:tcMar>
              <w:top w:w="30" w:type="dxa"/>
              <w:left w:w="120" w:type="dxa"/>
              <w:bottom w:w="30" w:type="dxa"/>
              <w:right w:w="120" w:type="dxa"/>
            </w:tcMar>
            <w:vAlign w:val="center"/>
            <w:hideMark/>
          </w:tcPr>
          <w:p w14:paraId="3ED91EB6"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2A7C0EF3"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4564A27"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2D67BE1E"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7FF559CA"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28292DF"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6492B7C" w14:textId="77777777" w:rsidR="00AB71E0" w:rsidRPr="0099791C" w:rsidRDefault="00AB71E0" w:rsidP="00AA3AEF">
            <w:pPr>
              <w:rPr>
                <w:rFonts w:ascii="Arial" w:hAnsi="Arial" w:cs="Arial"/>
              </w:rPr>
            </w:pPr>
          </w:p>
        </w:tc>
      </w:tr>
      <w:tr w:rsidR="00AB71E0" w:rsidRPr="0099791C" w14:paraId="6CFF732C" w14:textId="77777777" w:rsidTr="00AA3AEF">
        <w:trPr>
          <w:trHeight w:val="274"/>
          <w:jc w:val="center"/>
        </w:trPr>
        <w:tc>
          <w:tcPr>
            <w:tcW w:w="1630" w:type="dxa"/>
            <w:shd w:val="clear" w:color="auto" w:fill="F6F8F9"/>
            <w:tcMar>
              <w:top w:w="30" w:type="dxa"/>
              <w:left w:w="120" w:type="dxa"/>
              <w:bottom w:w="30" w:type="dxa"/>
              <w:right w:w="120" w:type="dxa"/>
            </w:tcMar>
            <w:vAlign w:val="center"/>
            <w:hideMark/>
          </w:tcPr>
          <w:p w14:paraId="096D42A7" w14:textId="77777777" w:rsidR="00AB71E0" w:rsidRPr="0099791C" w:rsidRDefault="00AB71E0" w:rsidP="00AA3AEF">
            <w:pPr>
              <w:rPr>
                <w:rFonts w:ascii="Arial" w:hAnsi="Arial" w:cs="Arial"/>
                <w:color w:val="434343"/>
              </w:rPr>
            </w:pPr>
            <w:r w:rsidRPr="0099791C">
              <w:rPr>
                <w:rFonts w:ascii="Arial" w:hAnsi="Arial" w:cs="Arial"/>
                <w:color w:val="434343"/>
              </w:rPr>
              <w:t>Malaysia</w:t>
            </w:r>
          </w:p>
        </w:tc>
        <w:tc>
          <w:tcPr>
            <w:tcW w:w="1330" w:type="dxa"/>
            <w:shd w:val="clear" w:color="auto" w:fill="F6F8F9"/>
            <w:tcMar>
              <w:top w:w="30" w:type="dxa"/>
              <w:left w:w="120" w:type="dxa"/>
              <w:bottom w:w="30" w:type="dxa"/>
              <w:right w:w="120" w:type="dxa"/>
            </w:tcMar>
            <w:vAlign w:val="center"/>
            <w:hideMark/>
          </w:tcPr>
          <w:p w14:paraId="3FA2AE73"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5F0B4AF1"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4F46DF3C"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6CEED8E9"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220453DD"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1B120A72"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1E2783FE" w14:textId="77777777" w:rsidR="00AB71E0" w:rsidRPr="0099791C" w:rsidRDefault="00AB71E0" w:rsidP="00AA3AEF">
            <w:pPr>
              <w:rPr>
                <w:rFonts w:ascii="Arial" w:hAnsi="Arial" w:cs="Arial"/>
                <w:color w:val="434343"/>
              </w:rPr>
            </w:pPr>
          </w:p>
        </w:tc>
      </w:tr>
      <w:tr w:rsidR="00AB71E0" w:rsidRPr="0099791C" w14:paraId="182E451B"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1EF25F44" w14:textId="77777777" w:rsidR="00AB71E0" w:rsidRPr="0099791C" w:rsidRDefault="00AB71E0" w:rsidP="00AA3AEF">
            <w:pPr>
              <w:rPr>
                <w:rFonts w:ascii="Arial" w:hAnsi="Arial" w:cs="Arial"/>
                <w:color w:val="434343"/>
              </w:rPr>
            </w:pPr>
            <w:r w:rsidRPr="0099791C">
              <w:rPr>
                <w:rFonts w:ascii="Arial" w:hAnsi="Arial" w:cs="Arial"/>
                <w:color w:val="434343"/>
              </w:rPr>
              <w:t>Maldives</w:t>
            </w:r>
          </w:p>
        </w:tc>
        <w:tc>
          <w:tcPr>
            <w:tcW w:w="1330" w:type="dxa"/>
            <w:shd w:val="clear" w:color="auto" w:fill="FFFFFF"/>
            <w:tcMar>
              <w:top w:w="30" w:type="dxa"/>
              <w:left w:w="120" w:type="dxa"/>
              <w:bottom w:w="30" w:type="dxa"/>
              <w:right w:w="120" w:type="dxa"/>
            </w:tcMar>
            <w:vAlign w:val="center"/>
            <w:hideMark/>
          </w:tcPr>
          <w:p w14:paraId="533D65FB"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757E2373"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0322E7BF"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6D212C54"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2CAE7739"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3C20950F"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490321A3"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r>
      <w:tr w:rsidR="00AB71E0" w:rsidRPr="0099791C" w14:paraId="6E837835" w14:textId="77777777" w:rsidTr="00AA3AEF">
        <w:trPr>
          <w:trHeight w:val="274"/>
          <w:jc w:val="center"/>
        </w:trPr>
        <w:tc>
          <w:tcPr>
            <w:tcW w:w="1630" w:type="dxa"/>
            <w:shd w:val="clear" w:color="auto" w:fill="F6F8F9"/>
            <w:tcMar>
              <w:top w:w="30" w:type="dxa"/>
              <w:left w:w="120" w:type="dxa"/>
              <w:bottom w:w="30" w:type="dxa"/>
              <w:right w:w="120" w:type="dxa"/>
            </w:tcMar>
            <w:vAlign w:val="center"/>
            <w:hideMark/>
          </w:tcPr>
          <w:p w14:paraId="421DDCF3" w14:textId="77777777" w:rsidR="00AB71E0" w:rsidRPr="0099791C" w:rsidRDefault="00AB71E0" w:rsidP="00AA3AEF">
            <w:pPr>
              <w:rPr>
                <w:rFonts w:ascii="Arial" w:hAnsi="Arial" w:cs="Arial"/>
                <w:color w:val="434343"/>
              </w:rPr>
            </w:pPr>
            <w:r w:rsidRPr="0099791C">
              <w:rPr>
                <w:rFonts w:ascii="Arial" w:hAnsi="Arial" w:cs="Arial"/>
                <w:color w:val="434343"/>
              </w:rPr>
              <w:t>Myanmar</w:t>
            </w:r>
          </w:p>
        </w:tc>
        <w:tc>
          <w:tcPr>
            <w:tcW w:w="1330" w:type="dxa"/>
            <w:shd w:val="clear" w:color="auto" w:fill="F6F8F9"/>
            <w:tcMar>
              <w:top w:w="30" w:type="dxa"/>
              <w:left w:w="120" w:type="dxa"/>
              <w:bottom w:w="30" w:type="dxa"/>
              <w:right w:w="120" w:type="dxa"/>
            </w:tcMar>
            <w:vAlign w:val="center"/>
            <w:hideMark/>
          </w:tcPr>
          <w:p w14:paraId="0EB21C57"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61F5E2B6"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3107474B"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7F46E6A7"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5E0B8FC6"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7C97898D"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5C84D245" w14:textId="77777777" w:rsidR="00AB71E0" w:rsidRPr="0099791C" w:rsidRDefault="00AB71E0" w:rsidP="00AA3AEF">
            <w:pPr>
              <w:rPr>
                <w:rFonts w:ascii="Arial" w:hAnsi="Arial" w:cs="Arial"/>
              </w:rPr>
            </w:pPr>
          </w:p>
        </w:tc>
      </w:tr>
      <w:tr w:rsidR="00AB71E0" w:rsidRPr="0099791C" w14:paraId="651A880E"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44A76C9C" w14:textId="77777777" w:rsidR="00AB71E0" w:rsidRPr="0099791C" w:rsidRDefault="00AB71E0" w:rsidP="00AA3AEF">
            <w:pPr>
              <w:rPr>
                <w:rFonts w:ascii="Arial" w:hAnsi="Arial" w:cs="Arial"/>
                <w:color w:val="434343"/>
              </w:rPr>
            </w:pPr>
            <w:r w:rsidRPr="0099791C">
              <w:rPr>
                <w:rFonts w:ascii="Arial" w:hAnsi="Arial" w:cs="Arial"/>
                <w:color w:val="434343"/>
              </w:rPr>
              <w:t>Nepal</w:t>
            </w:r>
          </w:p>
        </w:tc>
        <w:tc>
          <w:tcPr>
            <w:tcW w:w="1330" w:type="dxa"/>
            <w:shd w:val="clear" w:color="auto" w:fill="FFFFFF"/>
            <w:tcMar>
              <w:top w:w="30" w:type="dxa"/>
              <w:left w:w="120" w:type="dxa"/>
              <w:bottom w:w="30" w:type="dxa"/>
              <w:right w:w="120" w:type="dxa"/>
            </w:tcMar>
            <w:vAlign w:val="center"/>
            <w:hideMark/>
          </w:tcPr>
          <w:p w14:paraId="65FE711D"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6D465A92"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3F0D889A"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053E55A3"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436811F3"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0A8578EA"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3D7C501F"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r>
      <w:tr w:rsidR="00AB71E0" w:rsidRPr="0099791C" w14:paraId="69FC4F7F" w14:textId="77777777" w:rsidTr="00AA3AEF">
        <w:trPr>
          <w:trHeight w:val="274"/>
          <w:jc w:val="center"/>
        </w:trPr>
        <w:tc>
          <w:tcPr>
            <w:tcW w:w="1630" w:type="dxa"/>
            <w:shd w:val="clear" w:color="auto" w:fill="F6F8F9"/>
            <w:tcMar>
              <w:top w:w="30" w:type="dxa"/>
              <w:left w:w="120" w:type="dxa"/>
              <w:bottom w:w="30" w:type="dxa"/>
              <w:right w:w="120" w:type="dxa"/>
            </w:tcMar>
            <w:vAlign w:val="center"/>
            <w:hideMark/>
          </w:tcPr>
          <w:p w14:paraId="45E27646" w14:textId="77777777" w:rsidR="00AB71E0" w:rsidRPr="0099791C" w:rsidRDefault="00AB71E0" w:rsidP="00AA3AEF">
            <w:pPr>
              <w:rPr>
                <w:rFonts w:ascii="Arial" w:hAnsi="Arial" w:cs="Arial"/>
                <w:color w:val="434343"/>
              </w:rPr>
            </w:pPr>
            <w:r w:rsidRPr="0099791C">
              <w:rPr>
                <w:rFonts w:ascii="Arial" w:hAnsi="Arial" w:cs="Arial"/>
                <w:color w:val="434343"/>
              </w:rPr>
              <w:t>Nigeria</w:t>
            </w:r>
          </w:p>
        </w:tc>
        <w:tc>
          <w:tcPr>
            <w:tcW w:w="1330" w:type="dxa"/>
            <w:shd w:val="clear" w:color="auto" w:fill="F6F8F9"/>
            <w:tcMar>
              <w:top w:w="30" w:type="dxa"/>
              <w:left w:w="120" w:type="dxa"/>
              <w:bottom w:w="30" w:type="dxa"/>
              <w:right w:w="120" w:type="dxa"/>
            </w:tcMar>
            <w:vAlign w:val="center"/>
            <w:hideMark/>
          </w:tcPr>
          <w:p w14:paraId="1BE03891"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03E6E40D"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4BC7843D"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4028F6DF"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7E939343"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7E8571C3"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606A52EE" w14:textId="77777777" w:rsidR="00AB71E0" w:rsidRPr="0099791C" w:rsidRDefault="00AB71E0" w:rsidP="00AA3AEF">
            <w:pPr>
              <w:rPr>
                <w:rFonts w:ascii="Arial" w:hAnsi="Arial" w:cs="Arial"/>
                <w:color w:val="434343"/>
              </w:rPr>
            </w:pPr>
          </w:p>
        </w:tc>
      </w:tr>
      <w:tr w:rsidR="00AB71E0" w:rsidRPr="0099791C" w14:paraId="369A0FE2"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0F82AF94" w14:textId="77777777" w:rsidR="00AB71E0" w:rsidRPr="0099791C" w:rsidRDefault="00AB71E0" w:rsidP="00AA3AEF">
            <w:pPr>
              <w:rPr>
                <w:rFonts w:ascii="Arial" w:hAnsi="Arial" w:cs="Arial"/>
                <w:color w:val="434343"/>
              </w:rPr>
            </w:pPr>
            <w:r w:rsidRPr="0099791C">
              <w:rPr>
                <w:rFonts w:ascii="Arial" w:hAnsi="Arial" w:cs="Arial"/>
                <w:color w:val="434343"/>
              </w:rPr>
              <w:t>Pakistan</w:t>
            </w:r>
          </w:p>
        </w:tc>
        <w:tc>
          <w:tcPr>
            <w:tcW w:w="1330" w:type="dxa"/>
            <w:shd w:val="clear" w:color="auto" w:fill="FFFFFF"/>
            <w:tcMar>
              <w:top w:w="30" w:type="dxa"/>
              <w:left w:w="120" w:type="dxa"/>
              <w:bottom w:w="30" w:type="dxa"/>
              <w:right w:w="120" w:type="dxa"/>
            </w:tcMar>
            <w:vAlign w:val="center"/>
            <w:hideMark/>
          </w:tcPr>
          <w:p w14:paraId="23967E95"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5F82EE59"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3CFEAC77"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112B2CCC"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4062403D"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14472B7F"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095C579E"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r>
      <w:tr w:rsidR="00AB71E0" w:rsidRPr="0099791C" w14:paraId="4905E443" w14:textId="77777777" w:rsidTr="00AA3AEF">
        <w:trPr>
          <w:trHeight w:val="274"/>
          <w:jc w:val="center"/>
        </w:trPr>
        <w:tc>
          <w:tcPr>
            <w:tcW w:w="1630" w:type="dxa"/>
            <w:shd w:val="clear" w:color="auto" w:fill="F6F8F9"/>
            <w:tcMar>
              <w:top w:w="30" w:type="dxa"/>
              <w:left w:w="120" w:type="dxa"/>
              <w:bottom w:w="30" w:type="dxa"/>
              <w:right w:w="120" w:type="dxa"/>
            </w:tcMar>
            <w:vAlign w:val="center"/>
            <w:hideMark/>
          </w:tcPr>
          <w:p w14:paraId="4F600F84" w14:textId="77777777" w:rsidR="00AB71E0" w:rsidRPr="0099791C" w:rsidRDefault="00AB71E0" w:rsidP="00AA3AEF">
            <w:pPr>
              <w:rPr>
                <w:rFonts w:ascii="Arial" w:hAnsi="Arial" w:cs="Arial"/>
                <w:color w:val="434343"/>
              </w:rPr>
            </w:pPr>
            <w:r w:rsidRPr="0099791C">
              <w:rPr>
                <w:rFonts w:ascii="Arial" w:hAnsi="Arial" w:cs="Arial"/>
                <w:color w:val="434343"/>
              </w:rPr>
              <w:t>Sri Lanka</w:t>
            </w:r>
          </w:p>
        </w:tc>
        <w:tc>
          <w:tcPr>
            <w:tcW w:w="1330" w:type="dxa"/>
            <w:shd w:val="clear" w:color="auto" w:fill="F6F8F9"/>
            <w:tcMar>
              <w:top w:w="30" w:type="dxa"/>
              <w:left w:w="120" w:type="dxa"/>
              <w:bottom w:w="30" w:type="dxa"/>
              <w:right w:w="120" w:type="dxa"/>
            </w:tcMar>
            <w:vAlign w:val="center"/>
            <w:hideMark/>
          </w:tcPr>
          <w:p w14:paraId="3340208F"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3E2DCD1D"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7E22B017"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13CA6B67"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57870A6F"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72A8311E"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39714236"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r>
      <w:tr w:rsidR="00AB71E0" w:rsidRPr="0099791C" w14:paraId="7CCC5397"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0212C598" w14:textId="77777777" w:rsidR="00AB71E0" w:rsidRPr="0099791C" w:rsidRDefault="00AB71E0" w:rsidP="00AA3AEF">
            <w:pPr>
              <w:rPr>
                <w:rFonts w:ascii="Arial" w:hAnsi="Arial" w:cs="Arial"/>
                <w:color w:val="434343"/>
              </w:rPr>
            </w:pPr>
            <w:r w:rsidRPr="0099791C">
              <w:rPr>
                <w:rFonts w:ascii="Arial" w:hAnsi="Arial" w:cs="Arial"/>
                <w:color w:val="434343"/>
              </w:rPr>
              <w:t>Republic of Korea</w:t>
            </w:r>
          </w:p>
        </w:tc>
        <w:tc>
          <w:tcPr>
            <w:tcW w:w="1330" w:type="dxa"/>
            <w:shd w:val="clear" w:color="auto" w:fill="FFFFFF"/>
            <w:tcMar>
              <w:top w:w="30" w:type="dxa"/>
              <w:left w:w="120" w:type="dxa"/>
              <w:bottom w:w="30" w:type="dxa"/>
              <w:right w:w="120" w:type="dxa"/>
            </w:tcMar>
            <w:vAlign w:val="center"/>
            <w:hideMark/>
          </w:tcPr>
          <w:p w14:paraId="2533173C"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340F296C"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44B4EFCC"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6C603D99"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43280447"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138EEA2"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3027AAB3" w14:textId="77777777" w:rsidR="00AB71E0" w:rsidRPr="0099791C" w:rsidRDefault="00AB71E0" w:rsidP="00AA3AEF">
            <w:pPr>
              <w:rPr>
                <w:rFonts w:ascii="Arial" w:hAnsi="Arial" w:cs="Arial"/>
              </w:rPr>
            </w:pPr>
          </w:p>
        </w:tc>
      </w:tr>
      <w:tr w:rsidR="00AB71E0" w:rsidRPr="0099791C" w14:paraId="64492A27" w14:textId="77777777" w:rsidTr="00AA3AEF">
        <w:trPr>
          <w:trHeight w:val="274"/>
          <w:jc w:val="center"/>
        </w:trPr>
        <w:tc>
          <w:tcPr>
            <w:tcW w:w="1630" w:type="dxa"/>
            <w:shd w:val="clear" w:color="auto" w:fill="F6F8F9"/>
            <w:tcMar>
              <w:top w:w="30" w:type="dxa"/>
              <w:left w:w="120" w:type="dxa"/>
              <w:bottom w:w="30" w:type="dxa"/>
              <w:right w:w="120" w:type="dxa"/>
            </w:tcMar>
            <w:vAlign w:val="center"/>
            <w:hideMark/>
          </w:tcPr>
          <w:p w14:paraId="45AFBB65" w14:textId="77777777" w:rsidR="00AB71E0" w:rsidRPr="0099791C" w:rsidRDefault="00AB71E0" w:rsidP="00AA3AEF">
            <w:pPr>
              <w:rPr>
                <w:rFonts w:ascii="Arial" w:hAnsi="Arial" w:cs="Arial"/>
                <w:color w:val="434343"/>
              </w:rPr>
            </w:pPr>
            <w:r w:rsidRPr="0099791C">
              <w:rPr>
                <w:rFonts w:ascii="Arial" w:hAnsi="Arial" w:cs="Arial"/>
                <w:color w:val="434343"/>
              </w:rPr>
              <w:t>Thailand</w:t>
            </w:r>
          </w:p>
        </w:tc>
        <w:tc>
          <w:tcPr>
            <w:tcW w:w="1330" w:type="dxa"/>
            <w:shd w:val="clear" w:color="auto" w:fill="F6F8F9"/>
            <w:tcMar>
              <w:top w:w="30" w:type="dxa"/>
              <w:left w:w="120" w:type="dxa"/>
              <w:bottom w:w="30" w:type="dxa"/>
              <w:right w:w="120" w:type="dxa"/>
            </w:tcMar>
            <w:vAlign w:val="center"/>
            <w:hideMark/>
          </w:tcPr>
          <w:p w14:paraId="01B4EF22"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15468BE0"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4E70BD69"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561F35FE"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06672ABE"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3EDF69DB"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1BECBE31" w14:textId="77777777" w:rsidR="00AB71E0" w:rsidRPr="0099791C" w:rsidRDefault="00AB71E0" w:rsidP="00AA3AEF">
            <w:pPr>
              <w:rPr>
                <w:rFonts w:ascii="Arial" w:hAnsi="Arial" w:cs="Arial"/>
              </w:rPr>
            </w:pPr>
          </w:p>
        </w:tc>
      </w:tr>
      <w:tr w:rsidR="00AB71E0" w:rsidRPr="0099791C" w14:paraId="1200D197"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65E2F787" w14:textId="77777777" w:rsidR="00AB71E0" w:rsidRPr="0099791C" w:rsidRDefault="00AB71E0" w:rsidP="00AA3AEF">
            <w:pPr>
              <w:rPr>
                <w:rFonts w:ascii="Arial" w:hAnsi="Arial" w:cs="Arial"/>
                <w:color w:val="434343"/>
              </w:rPr>
            </w:pPr>
            <w:r w:rsidRPr="0099791C">
              <w:rPr>
                <w:rFonts w:ascii="Arial" w:hAnsi="Arial" w:cs="Arial"/>
                <w:color w:val="434343"/>
              </w:rPr>
              <w:t>Turkey</w:t>
            </w:r>
          </w:p>
        </w:tc>
        <w:tc>
          <w:tcPr>
            <w:tcW w:w="1330" w:type="dxa"/>
            <w:shd w:val="clear" w:color="auto" w:fill="FFFFFF"/>
            <w:tcMar>
              <w:top w:w="30" w:type="dxa"/>
              <w:left w:w="120" w:type="dxa"/>
              <w:bottom w:w="30" w:type="dxa"/>
              <w:right w:w="120" w:type="dxa"/>
            </w:tcMar>
            <w:vAlign w:val="center"/>
            <w:hideMark/>
          </w:tcPr>
          <w:p w14:paraId="4F3EDC52"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39970D4E"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2E6492B"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791DCAD"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1CB9B9D"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7B1D8370"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364862BE" w14:textId="77777777" w:rsidR="00AB71E0" w:rsidRPr="0099791C" w:rsidRDefault="00AB71E0" w:rsidP="00AA3AEF">
            <w:pPr>
              <w:rPr>
                <w:rFonts w:ascii="Arial" w:hAnsi="Arial" w:cs="Arial"/>
                <w:color w:val="434343"/>
              </w:rPr>
            </w:pPr>
          </w:p>
        </w:tc>
      </w:tr>
      <w:tr w:rsidR="00AB71E0" w:rsidRPr="0099791C" w14:paraId="10ED778A" w14:textId="77777777" w:rsidTr="00AA3AEF">
        <w:trPr>
          <w:trHeight w:val="274"/>
          <w:jc w:val="center"/>
        </w:trPr>
        <w:tc>
          <w:tcPr>
            <w:tcW w:w="1630" w:type="dxa"/>
            <w:shd w:val="clear" w:color="auto" w:fill="F6F8F9"/>
            <w:tcMar>
              <w:top w:w="30" w:type="dxa"/>
              <w:left w:w="120" w:type="dxa"/>
              <w:bottom w:w="30" w:type="dxa"/>
              <w:right w:w="120" w:type="dxa"/>
            </w:tcMar>
            <w:vAlign w:val="center"/>
            <w:hideMark/>
          </w:tcPr>
          <w:p w14:paraId="44755B08" w14:textId="77777777" w:rsidR="00AB71E0" w:rsidRPr="0099791C" w:rsidRDefault="00AB71E0" w:rsidP="00AA3AEF">
            <w:pPr>
              <w:rPr>
                <w:rFonts w:ascii="Arial" w:hAnsi="Arial" w:cs="Arial"/>
                <w:color w:val="434343"/>
              </w:rPr>
            </w:pPr>
            <w:r w:rsidRPr="0099791C">
              <w:rPr>
                <w:rFonts w:ascii="Arial" w:hAnsi="Arial" w:cs="Arial"/>
                <w:color w:val="434343"/>
              </w:rPr>
              <w:t>Albania</w:t>
            </w:r>
          </w:p>
        </w:tc>
        <w:tc>
          <w:tcPr>
            <w:tcW w:w="1330" w:type="dxa"/>
            <w:shd w:val="clear" w:color="auto" w:fill="F6F8F9"/>
            <w:tcMar>
              <w:top w:w="30" w:type="dxa"/>
              <w:left w:w="120" w:type="dxa"/>
              <w:bottom w:w="30" w:type="dxa"/>
              <w:right w:w="120" w:type="dxa"/>
            </w:tcMar>
            <w:vAlign w:val="center"/>
            <w:hideMark/>
          </w:tcPr>
          <w:p w14:paraId="65321F31"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4EE37A1C"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07D05FD0"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5FF867A8"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57AD819B"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3651EE87"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00387502" w14:textId="77777777" w:rsidR="00AB71E0" w:rsidRPr="0099791C" w:rsidRDefault="00AB71E0" w:rsidP="00AA3AEF">
            <w:pPr>
              <w:rPr>
                <w:rFonts w:ascii="Arial" w:hAnsi="Arial" w:cs="Arial"/>
              </w:rPr>
            </w:pPr>
          </w:p>
        </w:tc>
      </w:tr>
      <w:tr w:rsidR="00AB71E0" w:rsidRPr="0099791C" w14:paraId="641D6C86"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010FAA40" w14:textId="77777777" w:rsidR="00AB71E0" w:rsidRPr="0099791C" w:rsidRDefault="00AB71E0" w:rsidP="00AA3AEF">
            <w:pPr>
              <w:rPr>
                <w:rFonts w:ascii="Arial" w:hAnsi="Arial" w:cs="Arial"/>
                <w:color w:val="434343"/>
              </w:rPr>
            </w:pPr>
            <w:r w:rsidRPr="0099791C">
              <w:rPr>
                <w:rFonts w:ascii="Arial" w:hAnsi="Arial" w:cs="Arial"/>
                <w:color w:val="434343"/>
              </w:rPr>
              <w:t>Algeria</w:t>
            </w:r>
          </w:p>
        </w:tc>
        <w:tc>
          <w:tcPr>
            <w:tcW w:w="1330" w:type="dxa"/>
            <w:shd w:val="clear" w:color="auto" w:fill="FFFFFF"/>
            <w:tcMar>
              <w:top w:w="30" w:type="dxa"/>
              <w:left w:w="120" w:type="dxa"/>
              <w:bottom w:w="30" w:type="dxa"/>
              <w:right w:w="120" w:type="dxa"/>
            </w:tcMar>
            <w:vAlign w:val="center"/>
            <w:hideMark/>
          </w:tcPr>
          <w:p w14:paraId="5103152C"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7E5026A9"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3E80B91"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5810A259"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11312706"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25B2B9DE"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54914553" w14:textId="77777777" w:rsidR="00AB71E0" w:rsidRPr="0099791C" w:rsidRDefault="00AB71E0" w:rsidP="00AA3AEF">
            <w:pPr>
              <w:rPr>
                <w:rFonts w:ascii="Arial" w:hAnsi="Arial" w:cs="Arial"/>
              </w:rPr>
            </w:pPr>
          </w:p>
        </w:tc>
      </w:tr>
      <w:tr w:rsidR="00AB71E0" w:rsidRPr="0099791C" w14:paraId="7AD339AF" w14:textId="77777777" w:rsidTr="00AA3AEF">
        <w:trPr>
          <w:trHeight w:val="274"/>
          <w:jc w:val="center"/>
        </w:trPr>
        <w:tc>
          <w:tcPr>
            <w:tcW w:w="1630" w:type="dxa"/>
            <w:shd w:val="clear" w:color="auto" w:fill="F6F8F9"/>
            <w:tcMar>
              <w:top w:w="30" w:type="dxa"/>
              <w:left w:w="120" w:type="dxa"/>
              <w:bottom w:w="30" w:type="dxa"/>
              <w:right w:w="120" w:type="dxa"/>
            </w:tcMar>
            <w:vAlign w:val="center"/>
            <w:hideMark/>
          </w:tcPr>
          <w:p w14:paraId="57D935AF" w14:textId="77777777" w:rsidR="00AB71E0" w:rsidRPr="0099791C" w:rsidRDefault="00AB71E0" w:rsidP="00AA3AEF">
            <w:pPr>
              <w:rPr>
                <w:rFonts w:ascii="Arial" w:hAnsi="Arial" w:cs="Arial"/>
                <w:color w:val="434343"/>
              </w:rPr>
            </w:pPr>
            <w:r w:rsidRPr="0099791C">
              <w:rPr>
                <w:rFonts w:ascii="Arial" w:hAnsi="Arial" w:cs="Arial"/>
                <w:color w:val="434343"/>
              </w:rPr>
              <w:t>Azerbaijan</w:t>
            </w:r>
          </w:p>
        </w:tc>
        <w:tc>
          <w:tcPr>
            <w:tcW w:w="1330" w:type="dxa"/>
            <w:shd w:val="clear" w:color="auto" w:fill="F6F8F9"/>
            <w:tcMar>
              <w:top w:w="30" w:type="dxa"/>
              <w:left w:w="120" w:type="dxa"/>
              <w:bottom w:w="30" w:type="dxa"/>
              <w:right w:w="120" w:type="dxa"/>
            </w:tcMar>
            <w:vAlign w:val="center"/>
            <w:hideMark/>
          </w:tcPr>
          <w:p w14:paraId="42ED4EB8"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24F1C203"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69ACA668"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1F78E243"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7B8CEF31"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68C1163F"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527F5B02" w14:textId="77777777" w:rsidR="00AB71E0" w:rsidRPr="0099791C" w:rsidRDefault="00AB71E0" w:rsidP="00AA3AEF">
            <w:pPr>
              <w:rPr>
                <w:rFonts w:ascii="Arial" w:hAnsi="Arial" w:cs="Arial"/>
                <w:color w:val="434343"/>
              </w:rPr>
            </w:pPr>
          </w:p>
        </w:tc>
      </w:tr>
      <w:tr w:rsidR="00AB71E0" w:rsidRPr="0099791C" w14:paraId="3F979970"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1458E63D" w14:textId="77777777" w:rsidR="00AB71E0" w:rsidRPr="0099791C" w:rsidRDefault="00AB71E0" w:rsidP="00AA3AEF">
            <w:pPr>
              <w:rPr>
                <w:rFonts w:ascii="Arial" w:hAnsi="Arial" w:cs="Arial"/>
                <w:color w:val="434343"/>
              </w:rPr>
            </w:pPr>
            <w:r w:rsidRPr="0099791C">
              <w:rPr>
                <w:rFonts w:ascii="Arial" w:hAnsi="Arial" w:cs="Arial"/>
                <w:color w:val="434343"/>
              </w:rPr>
              <w:t>Bahrain</w:t>
            </w:r>
          </w:p>
        </w:tc>
        <w:tc>
          <w:tcPr>
            <w:tcW w:w="1330" w:type="dxa"/>
            <w:shd w:val="clear" w:color="auto" w:fill="FFFFFF"/>
            <w:tcMar>
              <w:top w:w="30" w:type="dxa"/>
              <w:left w:w="120" w:type="dxa"/>
              <w:bottom w:w="30" w:type="dxa"/>
              <w:right w:w="120" w:type="dxa"/>
            </w:tcMar>
            <w:vAlign w:val="center"/>
            <w:hideMark/>
          </w:tcPr>
          <w:p w14:paraId="318568C9"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6611AA74"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4EC51043"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90DB84C"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1E643346"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050FBB0E"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4787CB85" w14:textId="77777777" w:rsidR="00AB71E0" w:rsidRPr="0099791C" w:rsidRDefault="00AB71E0" w:rsidP="00AA3AEF">
            <w:pPr>
              <w:rPr>
                <w:rFonts w:ascii="Arial" w:hAnsi="Arial" w:cs="Arial"/>
              </w:rPr>
            </w:pPr>
          </w:p>
        </w:tc>
      </w:tr>
      <w:tr w:rsidR="00AB71E0" w:rsidRPr="0099791C" w14:paraId="7591F734" w14:textId="77777777" w:rsidTr="00AA3AEF">
        <w:trPr>
          <w:trHeight w:val="274"/>
          <w:jc w:val="center"/>
        </w:trPr>
        <w:tc>
          <w:tcPr>
            <w:tcW w:w="1630" w:type="dxa"/>
            <w:shd w:val="clear" w:color="auto" w:fill="F6F8F9"/>
            <w:tcMar>
              <w:top w:w="30" w:type="dxa"/>
              <w:left w:w="120" w:type="dxa"/>
              <w:bottom w:w="30" w:type="dxa"/>
              <w:right w:w="120" w:type="dxa"/>
            </w:tcMar>
            <w:vAlign w:val="center"/>
            <w:hideMark/>
          </w:tcPr>
          <w:p w14:paraId="35E63BA6" w14:textId="77777777" w:rsidR="00AB71E0" w:rsidRPr="0099791C" w:rsidRDefault="00AB71E0" w:rsidP="00AA3AEF">
            <w:pPr>
              <w:rPr>
                <w:rFonts w:ascii="Arial" w:hAnsi="Arial" w:cs="Arial"/>
                <w:color w:val="434343"/>
              </w:rPr>
            </w:pPr>
            <w:r w:rsidRPr="0099791C">
              <w:rPr>
                <w:rFonts w:ascii="Arial" w:hAnsi="Arial" w:cs="Arial"/>
                <w:color w:val="434343"/>
              </w:rPr>
              <w:t>Benin</w:t>
            </w:r>
          </w:p>
        </w:tc>
        <w:tc>
          <w:tcPr>
            <w:tcW w:w="1330" w:type="dxa"/>
            <w:shd w:val="clear" w:color="auto" w:fill="F6F8F9"/>
            <w:tcMar>
              <w:top w:w="30" w:type="dxa"/>
              <w:left w:w="120" w:type="dxa"/>
              <w:bottom w:w="30" w:type="dxa"/>
              <w:right w:w="120" w:type="dxa"/>
            </w:tcMar>
            <w:vAlign w:val="center"/>
            <w:hideMark/>
          </w:tcPr>
          <w:p w14:paraId="5C8B209A"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606E90DB"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0CB80464"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0A8D3A36"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66FEE0D6"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5B046CEC"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53D38B40" w14:textId="77777777" w:rsidR="00AB71E0" w:rsidRPr="0099791C" w:rsidRDefault="00AB71E0" w:rsidP="00AA3AEF">
            <w:pPr>
              <w:rPr>
                <w:rFonts w:ascii="Arial" w:hAnsi="Arial" w:cs="Arial"/>
              </w:rPr>
            </w:pPr>
          </w:p>
        </w:tc>
      </w:tr>
      <w:tr w:rsidR="00AB71E0" w:rsidRPr="0099791C" w14:paraId="562CE1F7"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7BC587BD" w14:textId="77777777" w:rsidR="00AB71E0" w:rsidRPr="0099791C" w:rsidRDefault="00AB71E0" w:rsidP="00AA3AEF">
            <w:pPr>
              <w:rPr>
                <w:rFonts w:ascii="Arial" w:hAnsi="Arial" w:cs="Arial"/>
                <w:color w:val="434343"/>
              </w:rPr>
            </w:pPr>
            <w:r w:rsidRPr="0099791C">
              <w:rPr>
                <w:rFonts w:ascii="Arial" w:hAnsi="Arial" w:cs="Arial"/>
                <w:color w:val="434343"/>
              </w:rPr>
              <w:t>Brunei</w:t>
            </w:r>
          </w:p>
        </w:tc>
        <w:tc>
          <w:tcPr>
            <w:tcW w:w="1330" w:type="dxa"/>
            <w:shd w:val="clear" w:color="auto" w:fill="FFFFFF"/>
            <w:tcMar>
              <w:top w:w="30" w:type="dxa"/>
              <w:left w:w="120" w:type="dxa"/>
              <w:bottom w:w="30" w:type="dxa"/>
              <w:right w:w="120" w:type="dxa"/>
            </w:tcMar>
            <w:vAlign w:val="center"/>
            <w:hideMark/>
          </w:tcPr>
          <w:p w14:paraId="63F5559E"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55E28742"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E6BC84A"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37EFAC81"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0B9A0D1"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6C5B1E22"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7E9FDEA2" w14:textId="77777777" w:rsidR="00AB71E0" w:rsidRPr="0099791C" w:rsidRDefault="00AB71E0" w:rsidP="00AA3AEF">
            <w:pPr>
              <w:rPr>
                <w:rFonts w:ascii="Arial" w:hAnsi="Arial" w:cs="Arial"/>
              </w:rPr>
            </w:pPr>
          </w:p>
        </w:tc>
      </w:tr>
      <w:tr w:rsidR="00AB71E0" w:rsidRPr="0099791C" w14:paraId="40BFE7BB" w14:textId="77777777" w:rsidTr="00AA3AEF">
        <w:trPr>
          <w:trHeight w:val="274"/>
          <w:jc w:val="center"/>
        </w:trPr>
        <w:tc>
          <w:tcPr>
            <w:tcW w:w="1630" w:type="dxa"/>
            <w:shd w:val="clear" w:color="auto" w:fill="F6F8F9"/>
            <w:tcMar>
              <w:top w:w="30" w:type="dxa"/>
              <w:left w:w="120" w:type="dxa"/>
              <w:bottom w:w="30" w:type="dxa"/>
              <w:right w:w="120" w:type="dxa"/>
            </w:tcMar>
            <w:vAlign w:val="center"/>
            <w:hideMark/>
          </w:tcPr>
          <w:p w14:paraId="12E596FA" w14:textId="77777777" w:rsidR="00AB71E0" w:rsidRPr="0099791C" w:rsidRDefault="00AB71E0" w:rsidP="00AA3AEF">
            <w:pPr>
              <w:rPr>
                <w:rFonts w:ascii="Arial" w:hAnsi="Arial" w:cs="Arial"/>
                <w:color w:val="434343"/>
              </w:rPr>
            </w:pPr>
            <w:r w:rsidRPr="0099791C">
              <w:rPr>
                <w:rFonts w:ascii="Arial" w:hAnsi="Arial" w:cs="Arial"/>
                <w:color w:val="434343"/>
              </w:rPr>
              <w:t>Burkina Faso</w:t>
            </w:r>
          </w:p>
        </w:tc>
        <w:tc>
          <w:tcPr>
            <w:tcW w:w="1330" w:type="dxa"/>
            <w:shd w:val="clear" w:color="auto" w:fill="F6F8F9"/>
            <w:tcMar>
              <w:top w:w="30" w:type="dxa"/>
              <w:left w:w="120" w:type="dxa"/>
              <w:bottom w:w="30" w:type="dxa"/>
              <w:right w:w="120" w:type="dxa"/>
            </w:tcMar>
            <w:vAlign w:val="center"/>
            <w:hideMark/>
          </w:tcPr>
          <w:p w14:paraId="0CDDAAEC"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2EF2D8C2"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357246B8"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7C0FDC2E"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077EBAAA"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23CBB93E"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598E3CD0" w14:textId="77777777" w:rsidR="00AB71E0" w:rsidRPr="0099791C" w:rsidRDefault="00AB71E0" w:rsidP="00AA3AEF">
            <w:pPr>
              <w:rPr>
                <w:rFonts w:ascii="Arial" w:hAnsi="Arial" w:cs="Arial"/>
              </w:rPr>
            </w:pPr>
          </w:p>
        </w:tc>
      </w:tr>
      <w:tr w:rsidR="00AB71E0" w:rsidRPr="0099791C" w14:paraId="57EF0B7A"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1D29C78E" w14:textId="77777777" w:rsidR="00AB71E0" w:rsidRPr="0099791C" w:rsidRDefault="00AB71E0" w:rsidP="00AA3AEF">
            <w:pPr>
              <w:rPr>
                <w:rFonts w:ascii="Arial" w:hAnsi="Arial" w:cs="Arial"/>
                <w:color w:val="434343"/>
              </w:rPr>
            </w:pPr>
            <w:r w:rsidRPr="0099791C">
              <w:rPr>
                <w:rFonts w:ascii="Arial" w:hAnsi="Arial" w:cs="Arial"/>
                <w:color w:val="434343"/>
              </w:rPr>
              <w:t>Cameroon</w:t>
            </w:r>
          </w:p>
        </w:tc>
        <w:tc>
          <w:tcPr>
            <w:tcW w:w="1330" w:type="dxa"/>
            <w:shd w:val="clear" w:color="auto" w:fill="FFFFFF"/>
            <w:tcMar>
              <w:top w:w="30" w:type="dxa"/>
              <w:left w:w="120" w:type="dxa"/>
              <w:bottom w:w="30" w:type="dxa"/>
              <w:right w:w="120" w:type="dxa"/>
            </w:tcMar>
            <w:vAlign w:val="center"/>
            <w:hideMark/>
          </w:tcPr>
          <w:p w14:paraId="66D94529"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383F2709"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9C968BF"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EC4577A"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D5CD954"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6E0A6F03"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2151BDE7" w14:textId="77777777" w:rsidR="00AB71E0" w:rsidRPr="0099791C" w:rsidRDefault="00AB71E0" w:rsidP="00AA3AEF">
            <w:pPr>
              <w:rPr>
                <w:rFonts w:ascii="Arial" w:hAnsi="Arial" w:cs="Arial"/>
              </w:rPr>
            </w:pPr>
          </w:p>
        </w:tc>
      </w:tr>
      <w:tr w:rsidR="00AB71E0" w:rsidRPr="0099791C" w14:paraId="03EC4CCC" w14:textId="77777777" w:rsidTr="00AA3AEF">
        <w:trPr>
          <w:trHeight w:val="274"/>
          <w:jc w:val="center"/>
        </w:trPr>
        <w:tc>
          <w:tcPr>
            <w:tcW w:w="1630" w:type="dxa"/>
            <w:shd w:val="clear" w:color="auto" w:fill="F6F8F9"/>
            <w:tcMar>
              <w:top w:w="30" w:type="dxa"/>
              <w:left w:w="120" w:type="dxa"/>
              <w:bottom w:w="30" w:type="dxa"/>
              <w:right w:w="120" w:type="dxa"/>
            </w:tcMar>
            <w:vAlign w:val="center"/>
            <w:hideMark/>
          </w:tcPr>
          <w:p w14:paraId="089828E1" w14:textId="77777777" w:rsidR="00AB71E0" w:rsidRPr="0099791C" w:rsidRDefault="00AB71E0" w:rsidP="00AA3AEF">
            <w:pPr>
              <w:rPr>
                <w:rFonts w:ascii="Arial" w:hAnsi="Arial" w:cs="Arial"/>
                <w:color w:val="434343"/>
              </w:rPr>
            </w:pPr>
            <w:r w:rsidRPr="0099791C">
              <w:rPr>
                <w:rFonts w:ascii="Arial" w:hAnsi="Arial" w:cs="Arial"/>
                <w:color w:val="434343"/>
              </w:rPr>
              <w:t>Chad</w:t>
            </w:r>
          </w:p>
        </w:tc>
        <w:tc>
          <w:tcPr>
            <w:tcW w:w="1330" w:type="dxa"/>
            <w:shd w:val="clear" w:color="auto" w:fill="F6F8F9"/>
            <w:tcMar>
              <w:top w:w="30" w:type="dxa"/>
              <w:left w:w="120" w:type="dxa"/>
              <w:bottom w:w="30" w:type="dxa"/>
              <w:right w:w="120" w:type="dxa"/>
            </w:tcMar>
            <w:vAlign w:val="center"/>
            <w:hideMark/>
          </w:tcPr>
          <w:p w14:paraId="5065063F"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4EAD75CE"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6F8D2E49"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1635872E"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1E8FAF7A"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094BA4E7"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3601F3A2" w14:textId="77777777" w:rsidR="00AB71E0" w:rsidRPr="0099791C" w:rsidRDefault="00AB71E0" w:rsidP="00AA3AEF">
            <w:pPr>
              <w:rPr>
                <w:rFonts w:ascii="Arial" w:hAnsi="Arial" w:cs="Arial"/>
              </w:rPr>
            </w:pPr>
          </w:p>
        </w:tc>
      </w:tr>
      <w:tr w:rsidR="00AB71E0" w:rsidRPr="0099791C" w14:paraId="2BCD0315"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1B4AD167" w14:textId="77777777" w:rsidR="00AB71E0" w:rsidRPr="0099791C" w:rsidRDefault="00AB71E0" w:rsidP="00AA3AEF">
            <w:pPr>
              <w:rPr>
                <w:rFonts w:ascii="Arial" w:hAnsi="Arial" w:cs="Arial"/>
                <w:color w:val="434343"/>
              </w:rPr>
            </w:pPr>
            <w:r w:rsidRPr="0099791C">
              <w:rPr>
                <w:rFonts w:ascii="Arial" w:hAnsi="Arial" w:cs="Arial"/>
                <w:color w:val="434343"/>
              </w:rPr>
              <w:t>Comoros</w:t>
            </w:r>
          </w:p>
        </w:tc>
        <w:tc>
          <w:tcPr>
            <w:tcW w:w="1330" w:type="dxa"/>
            <w:shd w:val="clear" w:color="auto" w:fill="FFFFFF"/>
            <w:tcMar>
              <w:top w:w="30" w:type="dxa"/>
              <w:left w:w="120" w:type="dxa"/>
              <w:bottom w:w="30" w:type="dxa"/>
              <w:right w:w="120" w:type="dxa"/>
            </w:tcMar>
            <w:vAlign w:val="center"/>
            <w:hideMark/>
          </w:tcPr>
          <w:p w14:paraId="2050251A"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3DAC1144"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D1F27BC"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F441C74"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3048114"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0ED8CEAF"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2E7DD123" w14:textId="77777777" w:rsidR="00AB71E0" w:rsidRPr="0099791C" w:rsidRDefault="00AB71E0" w:rsidP="00AA3AEF">
            <w:pPr>
              <w:rPr>
                <w:rFonts w:ascii="Arial" w:hAnsi="Arial" w:cs="Arial"/>
              </w:rPr>
            </w:pPr>
          </w:p>
        </w:tc>
      </w:tr>
      <w:tr w:rsidR="00AB71E0" w:rsidRPr="0099791C" w14:paraId="32CAFF53" w14:textId="77777777" w:rsidTr="00AA3AEF">
        <w:trPr>
          <w:trHeight w:val="274"/>
          <w:jc w:val="center"/>
        </w:trPr>
        <w:tc>
          <w:tcPr>
            <w:tcW w:w="1630" w:type="dxa"/>
            <w:shd w:val="clear" w:color="auto" w:fill="F6F8F9"/>
            <w:tcMar>
              <w:top w:w="30" w:type="dxa"/>
              <w:left w:w="120" w:type="dxa"/>
              <w:bottom w:w="30" w:type="dxa"/>
              <w:right w:w="120" w:type="dxa"/>
            </w:tcMar>
            <w:vAlign w:val="center"/>
            <w:hideMark/>
          </w:tcPr>
          <w:p w14:paraId="72FC0E86" w14:textId="77777777" w:rsidR="00AB71E0" w:rsidRPr="0099791C" w:rsidRDefault="00AB71E0" w:rsidP="00AA3AEF">
            <w:pPr>
              <w:rPr>
                <w:rFonts w:ascii="Arial" w:hAnsi="Arial" w:cs="Arial"/>
                <w:color w:val="434343"/>
              </w:rPr>
            </w:pPr>
            <w:r w:rsidRPr="0099791C">
              <w:rPr>
                <w:rFonts w:ascii="Arial" w:hAnsi="Arial" w:cs="Arial"/>
                <w:color w:val="434343"/>
              </w:rPr>
              <w:t>Djibouti</w:t>
            </w:r>
          </w:p>
        </w:tc>
        <w:tc>
          <w:tcPr>
            <w:tcW w:w="1330" w:type="dxa"/>
            <w:shd w:val="clear" w:color="auto" w:fill="F6F8F9"/>
            <w:tcMar>
              <w:top w:w="30" w:type="dxa"/>
              <w:left w:w="120" w:type="dxa"/>
              <w:bottom w:w="30" w:type="dxa"/>
              <w:right w:w="120" w:type="dxa"/>
            </w:tcMar>
            <w:vAlign w:val="center"/>
            <w:hideMark/>
          </w:tcPr>
          <w:p w14:paraId="4AC618F9"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2CB8F0AF"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4DF63673"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7993C18D"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34752E04"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0E732998"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730F7366" w14:textId="77777777" w:rsidR="00AB71E0" w:rsidRPr="0099791C" w:rsidRDefault="00AB71E0" w:rsidP="00AA3AEF">
            <w:pPr>
              <w:rPr>
                <w:rFonts w:ascii="Arial" w:hAnsi="Arial" w:cs="Arial"/>
              </w:rPr>
            </w:pPr>
          </w:p>
        </w:tc>
      </w:tr>
      <w:tr w:rsidR="00AB71E0" w:rsidRPr="0099791C" w14:paraId="7D6359EC"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30B1E2F4" w14:textId="77777777" w:rsidR="00AB71E0" w:rsidRPr="0099791C" w:rsidRDefault="00AB71E0" w:rsidP="00AA3AEF">
            <w:pPr>
              <w:rPr>
                <w:rFonts w:ascii="Arial" w:hAnsi="Arial" w:cs="Arial"/>
                <w:color w:val="434343"/>
              </w:rPr>
            </w:pPr>
            <w:r w:rsidRPr="0099791C">
              <w:rPr>
                <w:rFonts w:ascii="Arial" w:hAnsi="Arial" w:cs="Arial"/>
                <w:color w:val="434343"/>
              </w:rPr>
              <w:t>Gabon</w:t>
            </w:r>
          </w:p>
        </w:tc>
        <w:tc>
          <w:tcPr>
            <w:tcW w:w="1330" w:type="dxa"/>
            <w:shd w:val="clear" w:color="auto" w:fill="FFFFFF"/>
            <w:tcMar>
              <w:top w:w="30" w:type="dxa"/>
              <w:left w:w="120" w:type="dxa"/>
              <w:bottom w:w="30" w:type="dxa"/>
              <w:right w:w="120" w:type="dxa"/>
            </w:tcMar>
            <w:vAlign w:val="center"/>
            <w:hideMark/>
          </w:tcPr>
          <w:p w14:paraId="335C6F47"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7C25B8F4"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4E355164"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E8040C4"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49419E6E"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7567CC48"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2A14DCB2" w14:textId="77777777" w:rsidR="00AB71E0" w:rsidRPr="0099791C" w:rsidRDefault="00AB71E0" w:rsidP="00AA3AEF">
            <w:pPr>
              <w:rPr>
                <w:rFonts w:ascii="Arial" w:hAnsi="Arial" w:cs="Arial"/>
              </w:rPr>
            </w:pPr>
          </w:p>
        </w:tc>
      </w:tr>
      <w:tr w:rsidR="00AB71E0" w:rsidRPr="0099791C" w14:paraId="1D763394" w14:textId="77777777" w:rsidTr="00AA3AEF">
        <w:trPr>
          <w:trHeight w:val="274"/>
          <w:jc w:val="center"/>
        </w:trPr>
        <w:tc>
          <w:tcPr>
            <w:tcW w:w="1630" w:type="dxa"/>
            <w:shd w:val="clear" w:color="auto" w:fill="F6F8F9"/>
            <w:tcMar>
              <w:top w:w="30" w:type="dxa"/>
              <w:left w:w="120" w:type="dxa"/>
              <w:bottom w:w="30" w:type="dxa"/>
              <w:right w:w="120" w:type="dxa"/>
            </w:tcMar>
            <w:vAlign w:val="center"/>
            <w:hideMark/>
          </w:tcPr>
          <w:p w14:paraId="677DBAF4" w14:textId="77777777" w:rsidR="00AB71E0" w:rsidRPr="0099791C" w:rsidRDefault="00AB71E0" w:rsidP="00AA3AEF">
            <w:pPr>
              <w:rPr>
                <w:rFonts w:ascii="Arial" w:hAnsi="Arial" w:cs="Arial"/>
                <w:color w:val="434343"/>
              </w:rPr>
            </w:pPr>
            <w:r w:rsidRPr="0099791C">
              <w:rPr>
                <w:rFonts w:ascii="Arial" w:hAnsi="Arial" w:cs="Arial"/>
                <w:color w:val="434343"/>
              </w:rPr>
              <w:t>Gambia</w:t>
            </w:r>
          </w:p>
        </w:tc>
        <w:tc>
          <w:tcPr>
            <w:tcW w:w="1330" w:type="dxa"/>
            <w:shd w:val="clear" w:color="auto" w:fill="F6F8F9"/>
            <w:tcMar>
              <w:top w:w="30" w:type="dxa"/>
              <w:left w:w="120" w:type="dxa"/>
              <w:bottom w:w="30" w:type="dxa"/>
              <w:right w:w="120" w:type="dxa"/>
            </w:tcMar>
            <w:vAlign w:val="center"/>
            <w:hideMark/>
          </w:tcPr>
          <w:p w14:paraId="5D7A052B"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2D253D5B"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08AF93C5"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52C49986"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5B4282EB"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21A55806"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5F2EB22C" w14:textId="77777777" w:rsidR="00AB71E0" w:rsidRPr="0099791C" w:rsidRDefault="00AB71E0" w:rsidP="00AA3AEF">
            <w:pPr>
              <w:rPr>
                <w:rFonts w:ascii="Arial" w:hAnsi="Arial" w:cs="Arial"/>
              </w:rPr>
            </w:pPr>
          </w:p>
        </w:tc>
      </w:tr>
      <w:tr w:rsidR="00AB71E0" w:rsidRPr="0099791C" w14:paraId="273E81B2"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5AA57654" w14:textId="77777777" w:rsidR="00AB71E0" w:rsidRPr="0099791C" w:rsidRDefault="00AB71E0" w:rsidP="00AA3AEF">
            <w:pPr>
              <w:rPr>
                <w:rFonts w:ascii="Arial" w:hAnsi="Arial" w:cs="Arial"/>
                <w:color w:val="434343"/>
              </w:rPr>
            </w:pPr>
            <w:r w:rsidRPr="0099791C">
              <w:rPr>
                <w:rFonts w:ascii="Arial" w:hAnsi="Arial" w:cs="Arial"/>
                <w:color w:val="434343"/>
              </w:rPr>
              <w:t>Guinea</w:t>
            </w:r>
          </w:p>
        </w:tc>
        <w:tc>
          <w:tcPr>
            <w:tcW w:w="1330" w:type="dxa"/>
            <w:shd w:val="clear" w:color="auto" w:fill="FFFFFF"/>
            <w:tcMar>
              <w:top w:w="30" w:type="dxa"/>
              <w:left w:w="120" w:type="dxa"/>
              <w:bottom w:w="30" w:type="dxa"/>
              <w:right w:w="120" w:type="dxa"/>
            </w:tcMar>
            <w:vAlign w:val="center"/>
            <w:hideMark/>
          </w:tcPr>
          <w:p w14:paraId="18B94BE2"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17A0EF00"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13FD9AEF"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32D84B1"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44820D1"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5E1FB357"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012FF108" w14:textId="77777777" w:rsidR="00AB71E0" w:rsidRPr="0099791C" w:rsidRDefault="00AB71E0" w:rsidP="00AA3AEF">
            <w:pPr>
              <w:rPr>
                <w:rFonts w:ascii="Arial" w:hAnsi="Arial" w:cs="Arial"/>
              </w:rPr>
            </w:pPr>
          </w:p>
        </w:tc>
      </w:tr>
      <w:tr w:rsidR="00AB71E0" w:rsidRPr="0099791C" w14:paraId="3FB89A07" w14:textId="77777777" w:rsidTr="00AA3AEF">
        <w:trPr>
          <w:trHeight w:val="274"/>
          <w:jc w:val="center"/>
        </w:trPr>
        <w:tc>
          <w:tcPr>
            <w:tcW w:w="1630" w:type="dxa"/>
            <w:shd w:val="clear" w:color="auto" w:fill="F6F8F9"/>
            <w:tcMar>
              <w:top w:w="30" w:type="dxa"/>
              <w:left w:w="120" w:type="dxa"/>
              <w:bottom w:w="30" w:type="dxa"/>
              <w:right w:w="120" w:type="dxa"/>
            </w:tcMar>
            <w:vAlign w:val="center"/>
            <w:hideMark/>
          </w:tcPr>
          <w:p w14:paraId="24024F93" w14:textId="77777777" w:rsidR="00AB71E0" w:rsidRPr="0099791C" w:rsidRDefault="00AB71E0" w:rsidP="00AA3AEF">
            <w:pPr>
              <w:rPr>
                <w:rFonts w:ascii="Arial" w:hAnsi="Arial" w:cs="Arial"/>
                <w:color w:val="434343"/>
              </w:rPr>
            </w:pPr>
            <w:r w:rsidRPr="0099791C">
              <w:rPr>
                <w:rFonts w:ascii="Arial" w:hAnsi="Arial" w:cs="Arial"/>
                <w:color w:val="434343"/>
              </w:rPr>
              <w:t>Guinea-Bissau</w:t>
            </w:r>
          </w:p>
        </w:tc>
        <w:tc>
          <w:tcPr>
            <w:tcW w:w="1330" w:type="dxa"/>
            <w:shd w:val="clear" w:color="auto" w:fill="F6F8F9"/>
            <w:tcMar>
              <w:top w:w="30" w:type="dxa"/>
              <w:left w:w="120" w:type="dxa"/>
              <w:bottom w:w="30" w:type="dxa"/>
              <w:right w:w="120" w:type="dxa"/>
            </w:tcMar>
            <w:vAlign w:val="center"/>
            <w:hideMark/>
          </w:tcPr>
          <w:p w14:paraId="07B38B71"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0DF91F65"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29361D67"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1C12C0FD"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16826D76"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24AE04E6"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42FEB027" w14:textId="77777777" w:rsidR="00AB71E0" w:rsidRPr="0099791C" w:rsidRDefault="00AB71E0" w:rsidP="00AA3AEF">
            <w:pPr>
              <w:rPr>
                <w:rFonts w:ascii="Arial" w:hAnsi="Arial" w:cs="Arial"/>
              </w:rPr>
            </w:pPr>
          </w:p>
        </w:tc>
      </w:tr>
      <w:tr w:rsidR="00AB71E0" w:rsidRPr="0099791C" w14:paraId="2490EBD0"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27F9D636" w14:textId="77777777" w:rsidR="00AB71E0" w:rsidRPr="0099791C" w:rsidRDefault="00AB71E0" w:rsidP="00AA3AEF">
            <w:pPr>
              <w:rPr>
                <w:rFonts w:ascii="Arial" w:hAnsi="Arial" w:cs="Arial"/>
                <w:color w:val="434343"/>
              </w:rPr>
            </w:pPr>
            <w:r w:rsidRPr="0099791C">
              <w:rPr>
                <w:rFonts w:ascii="Arial" w:hAnsi="Arial" w:cs="Arial"/>
                <w:color w:val="434343"/>
              </w:rPr>
              <w:t>Guyana</w:t>
            </w:r>
          </w:p>
        </w:tc>
        <w:tc>
          <w:tcPr>
            <w:tcW w:w="1330" w:type="dxa"/>
            <w:shd w:val="clear" w:color="auto" w:fill="FFFFFF"/>
            <w:tcMar>
              <w:top w:w="30" w:type="dxa"/>
              <w:left w:w="120" w:type="dxa"/>
              <w:bottom w:w="30" w:type="dxa"/>
              <w:right w:w="120" w:type="dxa"/>
            </w:tcMar>
            <w:vAlign w:val="center"/>
            <w:hideMark/>
          </w:tcPr>
          <w:p w14:paraId="369B9D06"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0AE3CCFE"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03BEFA2"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664FF00"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1B97AB72"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2499056A"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1D71748C" w14:textId="77777777" w:rsidR="00AB71E0" w:rsidRPr="0099791C" w:rsidRDefault="00AB71E0" w:rsidP="00AA3AEF">
            <w:pPr>
              <w:rPr>
                <w:rFonts w:ascii="Arial" w:hAnsi="Arial" w:cs="Arial"/>
              </w:rPr>
            </w:pPr>
          </w:p>
        </w:tc>
      </w:tr>
      <w:tr w:rsidR="00AB71E0" w:rsidRPr="0099791C" w14:paraId="1C7681AE" w14:textId="77777777" w:rsidTr="00AA3AEF">
        <w:trPr>
          <w:trHeight w:val="274"/>
          <w:jc w:val="center"/>
        </w:trPr>
        <w:tc>
          <w:tcPr>
            <w:tcW w:w="1630" w:type="dxa"/>
            <w:shd w:val="clear" w:color="auto" w:fill="F6F8F9"/>
            <w:tcMar>
              <w:top w:w="30" w:type="dxa"/>
              <w:left w:w="120" w:type="dxa"/>
              <w:bottom w:w="30" w:type="dxa"/>
              <w:right w:w="120" w:type="dxa"/>
            </w:tcMar>
            <w:vAlign w:val="center"/>
            <w:hideMark/>
          </w:tcPr>
          <w:p w14:paraId="66B352F1" w14:textId="77777777" w:rsidR="00AB71E0" w:rsidRPr="0099791C" w:rsidRDefault="00AB71E0" w:rsidP="00AA3AEF">
            <w:pPr>
              <w:rPr>
                <w:rFonts w:ascii="Arial" w:hAnsi="Arial" w:cs="Arial"/>
                <w:color w:val="434343"/>
              </w:rPr>
            </w:pPr>
            <w:r w:rsidRPr="0099791C">
              <w:rPr>
                <w:rFonts w:ascii="Arial" w:hAnsi="Arial" w:cs="Arial"/>
                <w:color w:val="434343"/>
              </w:rPr>
              <w:t>Iraq</w:t>
            </w:r>
          </w:p>
        </w:tc>
        <w:tc>
          <w:tcPr>
            <w:tcW w:w="1330" w:type="dxa"/>
            <w:shd w:val="clear" w:color="auto" w:fill="F6F8F9"/>
            <w:tcMar>
              <w:top w:w="30" w:type="dxa"/>
              <w:left w:w="120" w:type="dxa"/>
              <w:bottom w:w="30" w:type="dxa"/>
              <w:right w:w="120" w:type="dxa"/>
            </w:tcMar>
            <w:vAlign w:val="center"/>
            <w:hideMark/>
          </w:tcPr>
          <w:p w14:paraId="0881D33A"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77910C38"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128EAA5F"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062AB2E4"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2F1D8708"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1AD20C35"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072B1FFB" w14:textId="77777777" w:rsidR="00AB71E0" w:rsidRPr="0099791C" w:rsidRDefault="00AB71E0" w:rsidP="00AA3AEF">
            <w:pPr>
              <w:rPr>
                <w:rFonts w:ascii="Arial" w:hAnsi="Arial" w:cs="Arial"/>
              </w:rPr>
            </w:pPr>
          </w:p>
        </w:tc>
      </w:tr>
      <w:tr w:rsidR="00AB71E0" w:rsidRPr="0099791C" w14:paraId="1C3CB481"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0959AB1C" w14:textId="77777777" w:rsidR="00AB71E0" w:rsidRPr="0099791C" w:rsidRDefault="00AB71E0" w:rsidP="00AA3AEF">
            <w:pPr>
              <w:rPr>
                <w:rFonts w:ascii="Arial" w:hAnsi="Arial" w:cs="Arial"/>
                <w:color w:val="434343"/>
              </w:rPr>
            </w:pPr>
            <w:r w:rsidRPr="0099791C">
              <w:rPr>
                <w:rFonts w:ascii="Arial" w:hAnsi="Arial" w:cs="Arial"/>
                <w:color w:val="434343"/>
              </w:rPr>
              <w:t>Ivory Coast</w:t>
            </w:r>
          </w:p>
        </w:tc>
        <w:tc>
          <w:tcPr>
            <w:tcW w:w="1330" w:type="dxa"/>
            <w:shd w:val="clear" w:color="auto" w:fill="FFFFFF"/>
            <w:tcMar>
              <w:top w:w="30" w:type="dxa"/>
              <w:left w:w="120" w:type="dxa"/>
              <w:bottom w:w="30" w:type="dxa"/>
              <w:right w:w="120" w:type="dxa"/>
            </w:tcMar>
            <w:vAlign w:val="center"/>
            <w:hideMark/>
          </w:tcPr>
          <w:p w14:paraId="5005FBCE"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1099F53D"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D61F21C"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31920AEB"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4AB99ED4"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4E0F1377"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336A9E03" w14:textId="77777777" w:rsidR="00AB71E0" w:rsidRPr="0099791C" w:rsidRDefault="00AB71E0" w:rsidP="00AA3AEF">
            <w:pPr>
              <w:rPr>
                <w:rFonts w:ascii="Arial" w:hAnsi="Arial" w:cs="Arial"/>
              </w:rPr>
            </w:pPr>
          </w:p>
        </w:tc>
      </w:tr>
      <w:tr w:rsidR="00AB71E0" w:rsidRPr="0099791C" w14:paraId="46A30F27" w14:textId="77777777" w:rsidTr="00AA3AEF">
        <w:trPr>
          <w:trHeight w:val="274"/>
          <w:jc w:val="center"/>
        </w:trPr>
        <w:tc>
          <w:tcPr>
            <w:tcW w:w="1630" w:type="dxa"/>
            <w:shd w:val="clear" w:color="auto" w:fill="F6F8F9"/>
            <w:tcMar>
              <w:top w:w="30" w:type="dxa"/>
              <w:left w:w="120" w:type="dxa"/>
              <w:bottom w:w="30" w:type="dxa"/>
              <w:right w:w="120" w:type="dxa"/>
            </w:tcMar>
            <w:vAlign w:val="center"/>
            <w:hideMark/>
          </w:tcPr>
          <w:p w14:paraId="5FE5836A" w14:textId="77777777" w:rsidR="00AB71E0" w:rsidRPr="0099791C" w:rsidRDefault="00AB71E0" w:rsidP="00AA3AEF">
            <w:pPr>
              <w:rPr>
                <w:rFonts w:ascii="Arial" w:hAnsi="Arial" w:cs="Arial"/>
                <w:color w:val="434343"/>
              </w:rPr>
            </w:pPr>
            <w:r w:rsidRPr="0099791C">
              <w:rPr>
                <w:rFonts w:ascii="Arial" w:hAnsi="Arial" w:cs="Arial"/>
                <w:color w:val="434343"/>
              </w:rPr>
              <w:t>Jordan</w:t>
            </w:r>
          </w:p>
        </w:tc>
        <w:tc>
          <w:tcPr>
            <w:tcW w:w="1330" w:type="dxa"/>
            <w:shd w:val="clear" w:color="auto" w:fill="F6F8F9"/>
            <w:tcMar>
              <w:top w:w="30" w:type="dxa"/>
              <w:left w:w="120" w:type="dxa"/>
              <w:bottom w:w="30" w:type="dxa"/>
              <w:right w:w="120" w:type="dxa"/>
            </w:tcMar>
            <w:vAlign w:val="center"/>
            <w:hideMark/>
          </w:tcPr>
          <w:p w14:paraId="02EF6F73"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36933E82"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49D1CFC1"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111BF762"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78EE1D06"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61DC78BF"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6211241B" w14:textId="77777777" w:rsidR="00AB71E0" w:rsidRPr="0099791C" w:rsidRDefault="00AB71E0" w:rsidP="00AA3AEF">
            <w:pPr>
              <w:rPr>
                <w:rFonts w:ascii="Arial" w:hAnsi="Arial" w:cs="Arial"/>
              </w:rPr>
            </w:pPr>
          </w:p>
        </w:tc>
      </w:tr>
      <w:tr w:rsidR="00AB71E0" w:rsidRPr="0099791C" w14:paraId="0FFBE71F"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788921DB" w14:textId="77777777" w:rsidR="00AB71E0" w:rsidRPr="0099791C" w:rsidRDefault="00AB71E0" w:rsidP="00AA3AEF">
            <w:pPr>
              <w:rPr>
                <w:rFonts w:ascii="Arial" w:hAnsi="Arial" w:cs="Arial"/>
                <w:color w:val="434343"/>
              </w:rPr>
            </w:pPr>
            <w:r w:rsidRPr="0099791C">
              <w:rPr>
                <w:rFonts w:ascii="Arial" w:hAnsi="Arial" w:cs="Arial"/>
                <w:color w:val="434343"/>
              </w:rPr>
              <w:t>Kazakhstan</w:t>
            </w:r>
          </w:p>
        </w:tc>
        <w:tc>
          <w:tcPr>
            <w:tcW w:w="1330" w:type="dxa"/>
            <w:shd w:val="clear" w:color="auto" w:fill="FFFFFF"/>
            <w:tcMar>
              <w:top w:w="30" w:type="dxa"/>
              <w:left w:w="120" w:type="dxa"/>
              <w:bottom w:w="30" w:type="dxa"/>
              <w:right w:w="120" w:type="dxa"/>
            </w:tcMar>
            <w:vAlign w:val="center"/>
            <w:hideMark/>
          </w:tcPr>
          <w:p w14:paraId="3FE4D4D5"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48C5B609"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3E55C1F"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10BFDD5"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415B5C8"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7FEBBEF3"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120975E1" w14:textId="77777777" w:rsidR="00AB71E0" w:rsidRPr="0099791C" w:rsidRDefault="00AB71E0" w:rsidP="00AA3AEF">
            <w:pPr>
              <w:rPr>
                <w:rFonts w:ascii="Arial" w:hAnsi="Arial" w:cs="Arial"/>
              </w:rPr>
            </w:pPr>
          </w:p>
        </w:tc>
      </w:tr>
      <w:tr w:rsidR="00AB71E0" w:rsidRPr="0099791C" w14:paraId="06E26D19" w14:textId="77777777" w:rsidTr="00AA3AEF">
        <w:trPr>
          <w:trHeight w:val="274"/>
          <w:jc w:val="center"/>
        </w:trPr>
        <w:tc>
          <w:tcPr>
            <w:tcW w:w="1630" w:type="dxa"/>
            <w:shd w:val="clear" w:color="auto" w:fill="F6F8F9"/>
            <w:tcMar>
              <w:top w:w="30" w:type="dxa"/>
              <w:left w:w="120" w:type="dxa"/>
              <w:bottom w:w="30" w:type="dxa"/>
              <w:right w:w="120" w:type="dxa"/>
            </w:tcMar>
            <w:vAlign w:val="center"/>
            <w:hideMark/>
          </w:tcPr>
          <w:p w14:paraId="4DDE5472" w14:textId="77777777" w:rsidR="00AB71E0" w:rsidRPr="0099791C" w:rsidRDefault="00AB71E0" w:rsidP="00AA3AEF">
            <w:pPr>
              <w:rPr>
                <w:rFonts w:ascii="Arial" w:hAnsi="Arial" w:cs="Arial"/>
                <w:color w:val="434343"/>
              </w:rPr>
            </w:pPr>
            <w:r w:rsidRPr="0099791C">
              <w:rPr>
                <w:rFonts w:ascii="Arial" w:hAnsi="Arial" w:cs="Arial"/>
                <w:color w:val="434343"/>
              </w:rPr>
              <w:lastRenderedPageBreak/>
              <w:t>Kuwait</w:t>
            </w:r>
          </w:p>
        </w:tc>
        <w:tc>
          <w:tcPr>
            <w:tcW w:w="1330" w:type="dxa"/>
            <w:shd w:val="clear" w:color="auto" w:fill="F6F8F9"/>
            <w:tcMar>
              <w:top w:w="30" w:type="dxa"/>
              <w:left w:w="120" w:type="dxa"/>
              <w:bottom w:w="30" w:type="dxa"/>
              <w:right w:w="120" w:type="dxa"/>
            </w:tcMar>
            <w:vAlign w:val="center"/>
            <w:hideMark/>
          </w:tcPr>
          <w:p w14:paraId="655A7E7E"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5BB382E3"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10B11383"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74464248"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4669BF1D"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61D59838"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5A3D90A2" w14:textId="77777777" w:rsidR="00AB71E0" w:rsidRPr="0099791C" w:rsidRDefault="00AB71E0" w:rsidP="00AA3AEF">
            <w:pPr>
              <w:rPr>
                <w:rFonts w:ascii="Arial" w:hAnsi="Arial" w:cs="Arial"/>
              </w:rPr>
            </w:pPr>
          </w:p>
        </w:tc>
      </w:tr>
      <w:tr w:rsidR="00AB71E0" w:rsidRPr="0099791C" w14:paraId="6CEAC76E"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37800E2E" w14:textId="77777777" w:rsidR="00AB71E0" w:rsidRPr="0099791C" w:rsidRDefault="00AB71E0" w:rsidP="00AA3AEF">
            <w:pPr>
              <w:rPr>
                <w:rFonts w:ascii="Arial" w:hAnsi="Arial" w:cs="Arial"/>
                <w:color w:val="434343"/>
              </w:rPr>
            </w:pPr>
            <w:r w:rsidRPr="0099791C">
              <w:rPr>
                <w:rFonts w:ascii="Arial" w:hAnsi="Arial" w:cs="Arial"/>
                <w:color w:val="434343"/>
              </w:rPr>
              <w:t>Kyrgyzstan</w:t>
            </w:r>
          </w:p>
        </w:tc>
        <w:tc>
          <w:tcPr>
            <w:tcW w:w="1330" w:type="dxa"/>
            <w:shd w:val="clear" w:color="auto" w:fill="FFFFFF"/>
            <w:tcMar>
              <w:top w:w="30" w:type="dxa"/>
              <w:left w:w="120" w:type="dxa"/>
              <w:bottom w:w="30" w:type="dxa"/>
              <w:right w:w="120" w:type="dxa"/>
            </w:tcMar>
            <w:vAlign w:val="center"/>
            <w:hideMark/>
          </w:tcPr>
          <w:p w14:paraId="46ACDA18"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7037AD52"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2301247E"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DE1B96E"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5793B1FD"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582008A8"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5FF8F563" w14:textId="77777777" w:rsidR="00AB71E0" w:rsidRPr="0099791C" w:rsidRDefault="00AB71E0" w:rsidP="00AA3AEF">
            <w:pPr>
              <w:rPr>
                <w:rFonts w:ascii="Arial" w:hAnsi="Arial" w:cs="Arial"/>
              </w:rPr>
            </w:pPr>
          </w:p>
        </w:tc>
      </w:tr>
      <w:tr w:rsidR="00AB71E0" w:rsidRPr="0099791C" w14:paraId="029C9ABB" w14:textId="77777777" w:rsidTr="00AA3AEF">
        <w:trPr>
          <w:trHeight w:val="274"/>
          <w:jc w:val="center"/>
        </w:trPr>
        <w:tc>
          <w:tcPr>
            <w:tcW w:w="1630" w:type="dxa"/>
            <w:shd w:val="clear" w:color="auto" w:fill="F6F8F9"/>
            <w:tcMar>
              <w:top w:w="30" w:type="dxa"/>
              <w:left w:w="120" w:type="dxa"/>
              <w:bottom w:w="30" w:type="dxa"/>
              <w:right w:w="120" w:type="dxa"/>
            </w:tcMar>
            <w:vAlign w:val="center"/>
            <w:hideMark/>
          </w:tcPr>
          <w:p w14:paraId="05F1B975" w14:textId="77777777" w:rsidR="00AB71E0" w:rsidRPr="0099791C" w:rsidRDefault="00AB71E0" w:rsidP="00AA3AEF">
            <w:pPr>
              <w:rPr>
                <w:rFonts w:ascii="Arial" w:hAnsi="Arial" w:cs="Arial"/>
                <w:color w:val="434343"/>
              </w:rPr>
            </w:pPr>
            <w:r w:rsidRPr="0099791C">
              <w:rPr>
                <w:rFonts w:ascii="Arial" w:hAnsi="Arial" w:cs="Arial"/>
                <w:color w:val="434343"/>
              </w:rPr>
              <w:t>Lebanon</w:t>
            </w:r>
          </w:p>
        </w:tc>
        <w:tc>
          <w:tcPr>
            <w:tcW w:w="1330" w:type="dxa"/>
            <w:shd w:val="clear" w:color="auto" w:fill="F6F8F9"/>
            <w:tcMar>
              <w:top w:w="30" w:type="dxa"/>
              <w:left w:w="120" w:type="dxa"/>
              <w:bottom w:w="30" w:type="dxa"/>
              <w:right w:w="120" w:type="dxa"/>
            </w:tcMar>
            <w:vAlign w:val="center"/>
            <w:hideMark/>
          </w:tcPr>
          <w:p w14:paraId="25645F99"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16B43CDD"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1B8F9A51"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6F1FD975"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33E65B03"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273E3F29"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1A09BCCC" w14:textId="77777777" w:rsidR="00AB71E0" w:rsidRPr="0099791C" w:rsidRDefault="00AB71E0" w:rsidP="00AA3AEF">
            <w:pPr>
              <w:rPr>
                <w:rFonts w:ascii="Arial" w:hAnsi="Arial" w:cs="Arial"/>
              </w:rPr>
            </w:pPr>
          </w:p>
        </w:tc>
      </w:tr>
      <w:tr w:rsidR="00AB71E0" w:rsidRPr="0099791C" w14:paraId="76E2AC9C"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4CE8A963" w14:textId="77777777" w:rsidR="00AB71E0" w:rsidRPr="0099791C" w:rsidRDefault="00AB71E0" w:rsidP="00AA3AEF">
            <w:pPr>
              <w:rPr>
                <w:rFonts w:ascii="Arial" w:hAnsi="Arial" w:cs="Arial"/>
                <w:color w:val="434343"/>
              </w:rPr>
            </w:pPr>
            <w:r w:rsidRPr="0099791C">
              <w:rPr>
                <w:rFonts w:ascii="Arial" w:hAnsi="Arial" w:cs="Arial"/>
                <w:color w:val="434343"/>
              </w:rPr>
              <w:t>Libya</w:t>
            </w:r>
          </w:p>
        </w:tc>
        <w:tc>
          <w:tcPr>
            <w:tcW w:w="1330" w:type="dxa"/>
            <w:shd w:val="clear" w:color="auto" w:fill="FFFFFF"/>
            <w:tcMar>
              <w:top w:w="30" w:type="dxa"/>
              <w:left w:w="120" w:type="dxa"/>
              <w:bottom w:w="30" w:type="dxa"/>
              <w:right w:w="120" w:type="dxa"/>
            </w:tcMar>
            <w:vAlign w:val="center"/>
            <w:hideMark/>
          </w:tcPr>
          <w:p w14:paraId="14B71050"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4DF99345"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A939F78"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C59C3E5"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ABCE10F"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6B12F77B"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51AD0D43" w14:textId="77777777" w:rsidR="00AB71E0" w:rsidRPr="0099791C" w:rsidRDefault="00AB71E0" w:rsidP="00AA3AEF">
            <w:pPr>
              <w:rPr>
                <w:rFonts w:ascii="Arial" w:hAnsi="Arial" w:cs="Arial"/>
              </w:rPr>
            </w:pPr>
          </w:p>
        </w:tc>
      </w:tr>
      <w:tr w:rsidR="00AB71E0" w:rsidRPr="0099791C" w14:paraId="7F85AE5F" w14:textId="77777777" w:rsidTr="00AA3AEF">
        <w:trPr>
          <w:trHeight w:val="274"/>
          <w:jc w:val="center"/>
        </w:trPr>
        <w:tc>
          <w:tcPr>
            <w:tcW w:w="1630" w:type="dxa"/>
            <w:shd w:val="clear" w:color="auto" w:fill="F6F8F9"/>
            <w:tcMar>
              <w:top w:w="30" w:type="dxa"/>
              <w:left w:w="120" w:type="dxa"/>
              <w:bottom w:w="30" w:type="dxa"/>
              <w:right w:w="120" w:type="dxa"/>
            </w:tcMar>
            <w:vAlign w:val="center"/>
            <w:hideMark/>
          </w:tcPr>
          <w:p w14:paraId="7104E4BD" w14:textId="77777777" w:rsidR="00AB71E0" w:rsidRPr="0099791C" w:rsidRDefault="00AB71E0" w:rsidP="00AA3AEF">
            <w:pPr>
              <w:rPr>
                <w:rFonts w:ascii="Arial" w:hAnsi="Arial" w:cs="Arial"/>
                <w:color w:val="434343"/>
              </w:rPr>
            </w:pPr>
            <w:r w:rsidRPr="0099791C">
              <w:rPr>
                <w:rFonts w:ascii="Arial" w:hAnsi="Arial" w:cs="Arial"/>
                <w:color w:val="434343"/>
              </w:rPr>
              <w:t>Mali</w:t>
            </w:r>
          </w:p>
        </w:tc>
        <w:tc>
          <w:tcPr>
            <w:tcW w:w="1330" w:type="dxa"/>
            <w:shd w:val="clear" w:color="auto" w:fill="F6F8F9"/>
            <w:tcMar>
              <w:top w:w="30" w:type="dxa"/>
              <w:left w:w="120" w:type="dxa"/>
              <w:bottom w:w="30" w:type="dxa"/>
              <w:right w:w="120" w:type="dxa"/>
            </w:tcMar>
            <w:vAlign w:val="center"/>
            <w:hideMark/>
          </w:tcPr>
          <w:p w14:paraId="63C82177"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0FB8C759"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3EC45123"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0C698136"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468EB1C2"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6B4641B5"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01539B9E" w14:textId="77777777" w:rsidR="00AB71E0" w:rsidRPr="0099791C" w:rsidRDefault="00AB71E0" w:rsidP="00AA3AEF">
            <w:pPr>
              <w:rPr>
                <w:rFonts w:ascii="Arial" w:hAnsi="Arial" w:cs="Arial"/>
              </w:rPr>
            </w:pPr>
          </w:p>
        </w:tc>
      </w:tr>
      <w:tr w:rsidR="00AB71E0" w:rsidRPr="0099791C" w14:paraId="0A57F905"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467F78A2" w14:textId="77777777" w:rsidR="00AB71E0" w:rsidRPr="0099791C" w:rsidRDefault="00AB71E0" w:rsidP="00AA3AEF">
            <w:pPr>
              <w:rPr>
                <w:rFonts w:ascii="Arial" w:hAnsi="Arial" w:cs="Arial"/>
                <w:color w:val="434343"/>
              </w:rPr>
            </w:pPr>
            <w:r w:rsidRPr="0099791C">
              <w:rPr>
                <w:rFonts w:ascii="Arial" w:hAnsi="Arial" w:cs="Arial"/>
                <w:color w:val="434343"/>
              </w:rPr>
              <w:t>Mauritania</w:t>
            </w:r>
          </w:p>
        </w:tc>
        <w:tc>
          <w:tcPr>
            <w:tcW w:w="1330" w:type="dxa"/>
            <w:shd w:val="clear" w:color="auto" w:fill="FFFFFF"/>
            <w:tcMar>
              <w:top w:w="30" w:type="dxa"/>
              <w:left w:w="120" w:type="dxa"/>
              <w:bottom w:w="30" w:type="dxa"/>
              <w:right w:w="120" w:type="dxa"/>
            </w:tcMar>
            <w:vAlign w:val="center"/>
            <w:hideMark/>
          </w:tcPr>
          <w:p w14:paraId="2343C97A"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7A951300"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4406E45B"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57734C8D"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D4CA0B9"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7FBEE1CC"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58E95468" w14:textId="77777777" w:rsidR="00AB71E0" w:rsidRPr="0099791C" w:rsidRDefault="00AB71E0" w:rsidP="00AA3AEF">
            <w:pPr>
              <w:rPr>
                <w:rFonts w:ascii="Arial" w:hAnsi="Arial" w:cs="Arial"/>
              </w:rPr>
            </w:pPr>
          </w:p>
        </w:tc>
      </w:tr>
      <w:tr w:rsidR="00AB71E0" w:rsidRPr="0099791C" w14:paraId="1DFE43E7" w14:textId="77777777" w:rsidTr="00AA3AEF">
        <w:trPr>
          <w:trHeight w:val="274"/>
          <w:jc w:val="center"/>
        </w:trPr>
        <w:tc>
          <w:tcPr>
            <w:tcW w:w="1630" w:type="dxa"/>
            <w:shd w:val="clear" w:color="auto" w:fill="F6F8F9"/>
            <w:tcMar>
              <w:top w:w="30" w:type="dxa"/>
              <w:left w:w="120" w:type="dxa"/>
              <w:bottom w:w="30" w:type="dxa"/>
              <w:right w:w="120" w:type="dxa"/>
            </w:tcMar>
            <w:vAlign w:val="center"/>
            <w:hideMark/>
          </w:tcPr>
          <w:p w14:paraId="6BF8E31F" w14:textId="77777777" w:rsidR="00AB71E0" w:rsidRPr="0099791C" w:rsidRDefault="00AB71E0" w:rsidP="00AA3AEF">
            <w:pPr>
              <w:rPr>
                <w:rFonts w:ascii="Arial" w:hAnsi="Arial" w:cs="Arial"/>
                <w:color w:val="434343"/>
              </w:rPr>
            </w:pPr>
            <w:r w:rsidRPr="0099791C">
              <w:rPr>
                <w:rFonts w:ascii="Arial" w:hAnsi="Arial" w:cs="Arial"/>
                <w:color w:val="434343"/>
              </w:rPr>
              <w:t>Morocco</w:t>
            </w:r>
          </w:p>
        </w:tc>
        <w:tc>
          <w:tcPr>
            <w:tcW w:w="1330" w:type="dxa"/>
            <w:shd w:val="clear" w:color="auto" w:fill="F6F8F9"/>
            <w:tcMar>
              <w:top w:w="30" w:type="dxa"/>
              <w:left w:w="120" w:type="dxa"/>
              <w:bottom w:w="30" w:type="dxa"/>
              <w:right w:w="120" w:type="dxa"/>
            </w:tcMar>
            <w:vAlign w:val="center"/>
            <w:hideMark/>
          </w:tcPr>
          <w:p w14:paraId="462DFFD7"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6DBCC461"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7DC69EF1"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47CC7E5C"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0B185E2D"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40E19427"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28FD71AA" w14:textId="77777777" w:rsidR="00AB71E0" w:rsidRPr="0099791C" w:rsidRDefault="00AB71E0" w:rsidP="00AA3AEF">
            <w:pPr>
              <w:rPr>
                <w:rFonts w:ascii="Arial" w:hAnsi="Arial" w:cs="Arial"/>
              </w:rPr>
            </w:pPr>
          </w:p>
        </w:tc>
      </w:tr>
      <w:tr w:rsidR="00AB71E0" w:rsidRPr="0099791C" w14:paraId="55AE9B8D"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3E7FB0C9" w14:textId="77777777" w:rsidR="00AB71E0" w:rsidRPr="0099791C" w:rsidRDefault="00AB71E0" w:rsidP="00AA3AEF">
            <w:pPr>
              <w:rPr>
                <w:rFonts w:ascii="Arial" w:hAnsi="Arial" w:cs="Arial"/>
                <w:color w:val="434343"/>
              </w:rPr>
            </w:pPr>
            <w:r w:rsidRPr="0099791C">
              <w:rPr>
                <w:rFonts w:ascii="Arial" w:hAnsi="Arial" w:cs="Arial"/>
                <w:color w:val="434343"/>
              </w:rPr>
              <w:t>Mozambique</w:t>
            </w:r>
          </w:p>
        </w:tc>
        <w:tc>
          <w:tcPr>
            <w:tcW w:w="1330" w:type="dxa"/>
            <w:shd w:val="clear" w:color="auto" w:fill="FFFFFF"/>
            <w:tcMar>
              <w:top w:w="30" w:type="dxa"/>
              <w:left w:w="120" w:type="dxa"/>
              <w:bottom w:w="30" w:type="dxa"/>
              <w:right w:w="120" w:type="dxa"/>
            </w:tcMar>
            <w:vAlign w:val="center"/>
            <w:hideMark/>
          </w:tcPr>
          <w:p w14:paraId="43ADEDE1"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028BA8EF"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42DC8448"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20CBA57D"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3F986309"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541C13B4"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542CCC83" w14:textId="77777777" w:rsidR="00AB71E0" w:rsidRPr="0099791C" w:rsidRDefault="00AB71E0" w:rsidP="00AA3AEF">
            <w:pPr>
              <w:rPr>
                <w:rFonts w:ascii="Arial" w:hAnsi="Arial" w:cs="Arial"/>
              </w:rPr>
            </w:pPr>
          </w:p>
        </w:tc>
      </w:tr>
      <w:tr w:rsidR="00AB71E0" w:rsidRPr="0099791C" w14:paraId="74BA8388" w14:textId="77777777" w:rsidTr="00AA3AEF">
        <w:trPr>
          <w:trHeight w:val="274"/>
          <w:jc w:val="center"/>
        </w:trPr>
        <w:tc>
          <w:tcPr>
            <w:tcW w:w="1630" w:type="dxa"/>
            <w:shd w:val="clear" w:color="auto" w:fill="F6F8F9"/>
            <w:tcMar>
              <w:top w:w="30" w:type="dxa"/>
              <w:left w:w="120" w:type="dxa"/>
              <w:bottom w:w="30" w:type="dxa"/>
              <w:right w:w="120" w:type="dxa"/>
            </w:tcMar>
            <w:vAlign w:val="center"/>
            <w:hideMark/>
          </w:tcPr>
          <w:p w14:paraId="26924186" w14:textId="77777777" w:rsidR="00AB71E0" w:rsidRPr="0099791C" w:rsidRDefault="00AB71E0" w:rsidP="00AA3AEF">
            <w:pPr>
              <w:rPr>
                <w:rFonts w:ascii="Arial" w:hAnsi="Arial" w:cs="Arial"/>
                <w:color w:val="434343"/>
              </w:rPr>
            </w:pPr>
            <w:r w:rsidRPr="0099791C">
              <w:rPr>
                <w:rFonts w:ascii="Arial" w:hAnsi="Arial" w:cs="Arial"/>
                <w:color w:val="434343"/>
              </w:rPr>
              <w:t>Niger</w:t>
            </w:r>
          </w:p>
        </w:tc>
        <w:tc>
          <w:tcPr>
            <w:tcW w:w="1330" w:type="dxa"/>
            <w:shd w:val="clear" w:color="auto" w:fill="F6F8F9"/>
            <w:tcMar>
              <w:top w:w="30" w:type="dxa"/>
              <w:left w:w="120" w:type="dxa"/>
              <w:bottom w:w="30" w:type="dxa"/>
              <w:right w:w="120" w:type="dxa"/>
            </w:tcMar>
            <w:vAlign w:val="center"/>
            <w:hideMark/>
          </w:tcPr>
          <w:p w14:paraId="53E8683A"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15F35BE7"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341976CC"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4FEF4DB2"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2A847A7C"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375BB233"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53D02F7C" w14:textId="77777777" w:rsidR="00AB71E0" w:rsidRPr="0099791C" w:rsidRDefault="00AB71E0" w:rsidP="00AA3AEF">
            <w:pPr>
              <w:rPr>
                <w:rFonts w:ascii="Arial" w:hAnsi="Arial" w:cs="Arial"/>
              </w:rPr>
            </w:pPr>
          </w:p>
        </w:tc>
      </w:tr>
      <w:tr w:rsidR="00AB71E0" w:rsidRPr="0099791C" w14:paraId="209E00F0"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3254F04B" w14:textId="77777777" w:rsidR="00AB71E0" w:rsidRPr="0099791C" w:rsidRDefault="00AB71E0" w:rsidP="00AA3AEF">
            <w:pPr>
              <w:rPr>
                <w:rFonts w:ascii="Arial" w:hAnsi="Arial" w:cs="Arial"/>
                <w:color w:val="434343"/>
              </w:rPr>
            </w:pPr>
            <w:r w:rsidRPr="0099791C">
              <w:rPr>
                <w:rFonts w:ascii="Arial" w:hAnsi="Arial" w:cs="Arial"/>
                <w:color w:val="434343"/>
              </w:rPr>
              <w:t>Oman</w:t>
            </w:r>
          </w:p>
        </w:tc>
        <w:tc>
          <w:tcPr>
            <w:tcW w:w="1330" w:type="dxa"/>
            <w:shd w:val="clear" w:color="auto" w:fill="FFFFFF"/>
            <w:tcMar>
              <w:top w:w="30" w:type="dxa"/>
              <w:left w:w="120" w:type="dxa"/>
              <w:bottom w:w="30" w:type="dxa"/>
              <w:right w:w="120" w:type="dxa"/>
            </w:tcMar>
            <w:vAlign w:val="center"/>
            <w:hideMark/>
          </w:tcPr>
          <w:p w14:paraId="7F9338B2"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4DF3017E"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E8D3049"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98267D8"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AD67EBE"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41C91E7B"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5BA33E68" w14:textId="77777777" w:rsidR="00AB71E0" w:rsidRPr="0099791C" w:rsidRDefault="00AB71E0" w:rsidP="00AA3AEF">
            <w:pPr>
              <w:rPr>
                <w:rFonts w:ascii="Arial" w:hAnsi="Arial" w:cs="Arial"/>
              </w:rPr>
            </w:pPr>
          </w:p>
        </w:tc>
      </w:tr>
      <w:tr w:rsidR="00AB71E0" w:rsidRPr="0099791C" w14:paraId="00368A03" w14:textId="77777777" w:rsidTr="00AA3AEF">
        <w:trPr>
          <w:trHeight w:val="274"/>
          <w:jc w:val="center"/>
        </w:trPr>
        <w:tc>
          <w:tcPr>
            <w:tcW w:w="1630" w:type="dxa"/>
            <w:shd w:val="clear" w:color="auto" w:fill="F6F8F9"/>
            <w:tcMar>
              <w:top w:w="30" w:type="dxa"/>
              <w:left w:w="120" w:type="dxa"/>
              <w:bottom w:w="30" w:type="dxa"/>
              <w:right w:w="120" w:type="dxa"/>
            </w:tcMar>
            <w:vAlign w:val="center"/>
            <w:hideMark/>
          </w:tcPr>
          <w:p w14:paraId="6896B2E7" w14:textId="77777777" w:rsidR="00AB71E0" w:rsidRPr="0099791C" w:rsidRDefault="00AB71E0" w:rsidP="00AA3AEF">
            <w:pPr>
              <w:rPr>
                <w:rFonts w:ascii="Arial" w:hAnsi="Arial" w:cs="Arial"/>
                <w:color w:val="434343"/>
              </w:rPr>
            </w:pPr>
            <w:r w:rsidRPr="0099791C">
              <w:rPr>
                <w:rFonts w:ascii="Arial" w:hAnsi="Arial" w:cs="Arial"/>
                <w:color w:val="434343"/>
              </w:rPr>
              <w:t>Palestine</w:t>
            </w:r>
          </w:p>
        </w:tc>
        <w:tc>
          <w:tcPr>
            <w:tcW w:w="1330" w:type="dxa"/>
            <w:shd w:val="clear" w:color="auto" w:fill="F6F8F9"/>
            <w:tcMar>
              <w:top w:w="30" w:type="dxa"/>
              <w:left w:w="120" w:type="dxa"/>
              <w:bottom w:w="30" w:type="dxa"/>
              <w:right w:w="120" w:type="dxa"/>
            </w:tcMar>
            <w:vAlign w:val="center"/>
            <w:hideMark/>
          </w:tcPr>
          <w:p w14:paraId="785A3F33"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39378E53"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235BD74D"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155F73F3"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09EFF5FD"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55BCB40A"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4353C843" w14:textId="77777777" w:rsidR="00AB71E0" w:rsidRPr="0099791C" w:rsidRDefault="00AB71E0" w:rsidP="00AA3AEF">
            <w:pPr>
              <w:rPr>
                <w:rFonts w:ascii="Arial" w:hAnsi="Arial" w:cs="Arial"/>
              </w:rPr>
            </w:pPr>
          </w:p>
        </w:tc>
      </w:tr>
      <w:tr w:rsidR="00AB71E0" w:rsidRPr="0099791C" w14:paraId="556C5B35"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47593622" w14:textId="77777777" w:rsidR="00AB71E0" w:rsidRPr="0099791C" w:rsidRDefault="00AB71E0" w:rsidP="00AA3AEF">
            <w:pPr>
              <w:rPr>
                <w:rFonts w:ascii="Arial" w:hAnsi="Arial" w:cs="Arial"/>
                <w:color w:val="434343"/>
              </w:rPr>
            </w:pPr>
            <w:r w:rsidRPr="0099791C">
              <w:rPr>
                <w:rFonts w:ascii="Arial" w:hAnsi="Arial" w:cs="Arial"/>
                <w:color w:val="434343"/>
              </w:rPr>
              <w:t>Qatar</w:t>
            </w:r>
          </w:p>
        </w:tc>
        <w:tc>
          <w:tcPr>
            <w:tcW w:w="1330" w:type="dxa"/>
            <w:shd w:val="clear" w:color="auto" w:fill="FFFFFF"/>
            <w:tcMar>
              <w:top w:w="30" w:type="dxa"/>
              <w:left w:w="120" w:type="dxa"/>
              <w:bottom w:w="30" w:type="dxa"/>
              <w:right w:w="120" w:type="dxa"/>
            </w:tcMar>
            <w:vAlign w:val="center"/>
            <w:hideMark/>
          </w:tcPr>
          <w:p w14:paraId="447E942A"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4706E101"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DF2C3B8"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154B5A50"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6D47B45"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2089AF21"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5D104D25" w14:textId="77777777" w:rsidR="00AB71E0" w:rsidRPr="0099791C" w:rsidRDefault="00AB71E0" w:rsidP="00AA3AEF">
            <w:pPr>
              <w:rPr>
                <w:rFonts w:ascii="Arial" w:hAnsi="Arial" w:cs="Arial"/>
              </w:rPr>
            </w:pPr>
          </w:p>
        </w:tc>
      </w:tr>
      <w:tr w:rsidR="00AB71E0" w:rsidRPr="0099791C" w14:paraId="114DA153" w14:textId="77777777" w:rsidTr="00AA3AEF">
        <w:trPr>
          <w:trHeight w:val="274"/>
          <w:jc w:val="center"/>
        </w:trPr>
        <w:tc>
          <w:tcPr>
            <w:tcW w:w="1630" w:type="dxa"/>
            <w:shd w:val="clear" w:color="auto" w:fill="F6F8F9"/>
            <w:tcMar>
              <w:top w:w="30" w:type="dxa"/>
              <w:left w:w="120" w:type="dxa"/>
              <w:bottom w:w="30" w:type="dxa"/>
              <w:right w:w="120" w:type="dxa"/>
            </w:tcMar>
            <w:vAlign w:val="center"/>
            <w:hideMark/>
          </w:tcPr>
          <w:p w14:paraId="38F3E722" w14:textId="77777777" w:rsidR="00AB71E0" w:rsidRPr="0099791C" w:rsidRDefault="00AB71E0" w:rsidP="00AA3AEF">
            <w:pPr>
              <w:rPr>
                <w:rFonts w:ascii="Arial" w:hAnsi="Arial" w:cs="Arial"/>
                <w:color w:val="434343"/>
              </w:rPr>
            </w:pPr>
            <w:r w:rsidRPr="0099791C">
              <w:rPr>
                <w:rFonts w:ascii="Arial" w:hAnsi="Arial" w:cs="Arial"/>
                <w:color w:val="434343"/>
              </w:rPr>
              <w:t>Saudi Arabia</w:t>
            </w:r>
          </w:p>
        </w:tc>
        <w:tc>
          <w:tcPr>
            <w:tcW w:w="1330" w:type="dxa"/>
            <w:shd w:val="clear" w:color="auto" w:fill="F6F8F9"/>
            <w:tcMar>
              <w:top w:w="30" w:type="dxa"/>
              <w:left w:w="120" w:type="dxa"/>
              <w:bottom w:w="30" w:type="dxa"/>
              <w:right w:w="120" w:type="dxa"/>
            </w:tcMar>
            <w:vAlign w:val="center"/>
            <w:hideMark/>
          </w:tcPr>
          <w:p w14:paraId="7FF6C5E2"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39127AB2"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14F9C16E"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4C7E465E"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235E60D6"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76B5BFAA"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3586D95D" w14:textId="77777777" w:rsidR="00AB71E0" w:rsidRPr="0099791C" w:rsidRDefault="00AB71E0" w:rsidP="00AA3AEF">
            <w:pPr>
              <w:rPr>
                <w:rFonts w:ascii="Arial" w:hAnsi="Arial" w:cs="Arial"/>
              </w:rPr>
            </w:pPr>
          </w:p>
        </w:tc>
      </w:tr>
      <w:tr w:rsidR="00AB71E0" w:rsidRPr="0099791C" w14:paraId="2E6F0237"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6A32AD24" w14:textId="77777777" w:rsidR="00AB71E0" w:rsidRPr="0099791C" w:rsidRDefault="00AB71E0" w:rsidP="00AA3AEF">
            <w:pPr>
              <w:rPr>
                <w:rFonts w:ascii="Arial" w:hAnsi="Arial" w:cs="Arial"/>
                <w:color w:val="434343"/>
              </w:rPr>
            </w:pPr>
            <w:r w:rsidRPr="0099791C">
              <w:rPr>
                <w:rFonts w:ascii="Arial" w:hAnsi="Arial" w:cs="Arial"/>
                <w:color w:val="434343"/>
              </w:rPr>
              <w:t>Senegal</w:t>
            </w:r>
          </w:p>
        </w:tc>
        <w:tc>
          <w:tcPr>
            <w:tcW w:w="1330" w:type="dxa"/>
            <w:shd w:val="clear" w:color="auto" w:fill="FFFFFF"/>
            <w:tcMar>
              <w:top w:w="30" w:type="dxa"/>
              <w:left w:w="120" w:type="dxa"/>
              <w:bottom w:w="30" w:type="dxa"/>
              <w:right w:w="120" w:type="dxa"/>
            </w:tcMar>
            <w:vAlign w:val="center"/>
            <w:hideMark/>
          </w:tcPr>
          <w:p w14:paraId="35291C90"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05399C07"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E23789C"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1D6B7C4"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25548B6F"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3775E1C4"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4062EEC6" w14:textId="77777777" w:rsidR="00AB71E0" w:rsidRPr="0099791C" w:rsidRDefault="00AB71E0" w:rsidP="00AA3AEF">
            <w:pPr>
              <w:rPr>
                <w:rFonts w:ascii="Arial" w:hAnsi="Arial" w:cs="Arial"/>
              </w:rPr>
            </w:pPr>
          </w:p>
        </w:tc>
      </w:tr>
      <w:tr w:rsidR="00AB71E0" w:rsidRPr="0099791C" w14:paraId="1154EFD1" w14:textId="77777777" w:rsidTr="00AA3AEF">
        <w:trPr>
          <w:trHeight w:val="274"/>
          <w:jc w:val="center"/>
        </w:trPr>
        <w:tc>
          <w:tcPr>
            <w:tcW w:w="1630" w:type="dxa"/>
            <w:shd w:val="clear" w:color="auto" w:fill="F6F8F9"/>
            <w:tcMar>
              <w:top w:w="30" w:type="dxa"/>
              <w:left w:w="120" w:type="dxa"/>
              <w:bottom w:w="30" w:type="dxa"/>
              <w:right w:w="120" w:type="dxa"/>
            </w:tcMar>
            <w:vAlign w:val="center"/>
            <w:hideMark/>
          </w:tcPr>
          <w:p w14:paraId="73B4BB1D" w14:textId="77777777" w:rsidR="00AB71E0" w:rsidRPr="0099791C" w:rsidRDefault="00AB71E0" w:rsidP="00AA3AEF">
            <w:pPr>
              <w:rPr>
                <w:rFonts w:ascii="Arial" w:hAnsi="Arial" w:cs="Arial"/>
                <w:color w:val="434343"/>
              </w:rPr>
            </w:pPr>
            <w:r w:rsidRPr="0099791C">
              <w:rPr>
                <w:rFonts w:ascii="Arial" w:hAnsi="Arial" w:cs="Arial"/>
                <w:color w:val="434343"/>
              </w:rPr>
              <w:t>Sierra Leone</w:t>
            </w:r>
          </w:p>
        </w:tc>
        <w:tc>
          <w:tcPr>
            <w:tcW w:w="1330" w:type="dxa"/>
            <w:shd w:val="clear" w:color="auto" w:fill="F6F8F9"/>
            <w:tcMar>
              <w:top w:w="30" w:type="dxa"/>
              <w:left w:w="120" w:type="dxa"/>
              <w:bottom w:w="30" w:type="dxa"/>
              <w:right w:w="120" w:type="dxa"/>
            </w:tcMar>
            <w:vAlign w:val="center"/>
            <w:hideMark/>
          </w:tcPr>
          <w:p w14:paraId="777B3E25"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4E0BFFF6"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3D675736"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40897A19"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751DF5DC"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196DDE87"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26FEA036" w14:textId="77777777" w:rsidR="00AB71E0" w:rsidRPr="0099791C" w:rsidRDefault="00AB71E0" w:rsidP="00AA3AEF">
            <w:pPr>
              <w:rPr>
                <w:rFonts w:ascii="Arial" w:hAnsi="Arial" w:cs="Arial"/>
              </w:rPr>
            </w:pPr>
          </w:p>
        </w:tc>
      </w:tr>
      <w:tr w:rsidR="00AB71E0" w:rsidRPr="0099791C" w14:paraId="68335783"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0280E13F" w14:textId="77777777" w:rsidR="00AB71E0" w:rsidRPr="0099791C" w:rsidRDefault="00AB71E0" w:rsidP="00AA3AEF">
            <w:pPr>
              <w:rPr>
                <w:rFonts w:ascii="Arial" w:hAnsi="Arial" w:cs="Arial"/>
                <w:color w:val="434343"/>
              </w:rPr>
            </w:pPr>
            <w:r w:rsidRPr="0099791C">
              <w:rPr>
                <w:rFonts w:ascii="Arial" w:hAnsi="Arial" w:cs="Arial"/>
                <w:color w:val="434343"/>
              </w:rPr>
              <w:t>Somalia</w:t>
            </w:r>
          </w:p>
        </w:tc>
        <w:tc>
          <w:tcPr>
            <w:tcW w:w="1330" w:type="dxa"/>
            <w:shd w:val="clear" w:color="auto" w:fill="FFFFFF"/>
            <w:tcMar>
              <w:top w:w="30" w:type="dxa"/>
              <w:left w:w="120" w:type="dxa"/>
              <w:bottom w:w="30" w:type="dxa"/>
              <w:right w:w="120" w:type="dxa"/>
            </w:tcMar>
            <w:vAlign w:val="center"/>
            <w:hideMark/>
          </w:tcPr>
          <w:p w14:paraId="254DE9D5"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39104FD9"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41D3FC8B"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C8C299F"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2825C3C1"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4BD39ADB"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0FE891F0" w14:textId="77777777" w:rsidR="00AB71E0" w:rsidRPr="0099791C" w:rsidRDefault="00AB71E0" w:rsidP="00AA3AEF">
            <w:pPr>
              <w:rPr>
                <w:rFonts w:ascii="Arial" w:hAnsi="Arial" w:cs="Arial"/>
              </w:rPr>
            </w:pPr>
          </w:p>
        </w:tc>
      </w:tr>
      <w:tr w:rsidR="00AB71E0" w:rsidRPr="0099791C" w14:paraId="321FFF8C" w14:textId="77777777" w:rsidTr="00AA3AEF">
        <w:trPr>
          <w:trHeight w:val="274"/>
          <w:jc w:val="center"/>
        </w:trPr>
        <w:tc>
          <w:tcPr>
            <w:tcW w:w="1630" w:type="dxa"/>
            <w:shd w:val="clear" w:color="auto" w:fill="F6F8F9"/>
            <w:tcMar>
              <w:top w:w="30" w:type="dxa"/>
              <w:left w:w="120" w:type="dxa"/>
              <w:bottom w:w="30" w:type="dxa"/>
              <w:right w:w="120" w:type="dxa"/>
            </w:tcMar>
            <w:vAlign w:val="center"/>
            <w:hideMark/>
          </w:tcPr>
          <w:p w14:paraId="14B126B1" w14:textId="77777777" w:rsidR="00AB71E0" w:rsidRPr="0099791C" w:rsidRDefault="00AB71E0" w:rsidP="00AA3AEF">
            <w:pPr>
              <w:rPr>
                <w:rFonts w:ascii="Arial" w:hAnsi="Arial" w:cs="Arial"/>
                <w:color w:val="434343"/>
              </w:rPr>
            </w:pPr>
            <w:r w:rsidRPr="0099791C">
              <w:rPr>
                <w:rFonts w:ascii="Arial" w:hAnsi="Arial" w:cs="Arial"/>
                <w:color w:val="434343"/>
              </w:rPr>
              <w:t>Sudan</w:t>
            </w:r>
          </w:p>
        </w:tc>
        <w:tc>
          <w:tcPr>
            <w:tcW w:w="1330" w:type="dxa"/>
            <w:shd w:val="clear" w:color="auto" w:fill="F6F8F9"/>
            <w:tcMar>
              <w:top w:w="30" w:type="dxa"/>
              <w:left w:w="120" w:type="dxa"/>
              <w:bottom w:w="30" w:type="dxa"/>
              <w:right w:w="120" w:type="dxa"/>
            </w:tcMar>
            <w:vAlign w:val="center"/>
            <w:hideMark/>
          </w:tcPr>
          <w:p w14:paraId="6B260F91"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2E302184"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078297E7"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380A2F51"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79C60B51"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3DAD1AE9"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34EE397B" w14:textId="77777777" w:rsidR="00AB71E0" w:rsidRPr="0099791C" w:rsidRDefault="00AB71E0" w:rsidP="00AA3AEF">
            <w:pPr>
              <w:rPr>
                <w:rFonts w:ascii="Arial" w:hAnsi="Arial" w:cs="Arial"/>
              </w:rPr>
            </w:pPr>
          </w:p>
        </w:tc>
      </w:tr>
      <w:tr w:rsidR="00AB71E0" w:rsidRPr="0099791C" w14:paraId="4DB54017"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109B6BDD" w14:textId="77777777" w:rsidR="00AB71E0" w:rsidRPr="0099791C" w:rsidRDefault="00AB71E0" w:rsidP="00AA3AEF">
            <w:pPr>
              <w:rPr>
                <w:rFonts w:ascii="Arial" w:hAnsi="Arial" w:cs="Arial"/>
                <w:color w:val="434343"/>
              </w:rPr>
            </w:pPr>
            <w:r w:rsidRPr="0099791C">
              <w:rPr>
                <w:rFonts w:ascii="Arial" w:hAnsi="Arial" w:cs="Arial"/>
                <w:color w:val="434343"/>
              </w:rPr>
              <w:t>Suriname</w:t>
            </w:r>
          </w:p>
        </w:tc>
        <w:tc>
          <w:tcPr>
            <w:tcW w:w="1330" w:type="dxa"/>
            <w:shd w:val="clear" w:color="auto" w:fill="FFFFFF"/>
            <w:tcMar>
              <w:top w:w="30" w:type="dxa"/>
              <w:left w:w="120" w:type="dxa"/>
              <w:bottom w:w="30" w:type="dxa"/>
              <w:right w:w="120" w:type="dxa"/>
            </w:tcMar>
            <w:vAlign w:val="center"/>
            <w:hideMark/>
          </w:tcPr>
          <w:p w14:paraId="3585B422"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655C54B1"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2229EA10"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3D052089"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8BDEE81"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79739052"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6174823D" w14:textId="77777777" w:rsidR="00AB71E0" w:rsidRPr="0099791C" w:rsidRDefault="00AB71E0" w:rsidP="00AA3AEF">
            <w:pPr>
              <w:rPr>
                <w:rFonts w:ascii="Arial" w:hAnsi="Arial" w:cs="Arial"/>
              </w:rPr>
            </w:pPr>
          </w:p>
        </w:tc>
      </w:tr>
      <w:tr w:rsidR="00AB71E0" w:rsidRPr="0099791C" w14:paraId="24C29B2C" w14:textId="77777777" w:rsidTr="00AA3AEF">
        <w:trPr>
          <w:trHeight w:val="274"/>
          <w:jc w:val="center"/>
        </w:trPr>
        <w:tc>
          <w:tcPr>
            <w:tcW w:w="1630" w:type="dxa"/>
            <w:shd w:val="clear" w:color="auto" w:fill="F6F8F9"/>
            <w:tcMar>
              <w:top w:w="30" w:type="dxa"/>
              <w:left w:w="120" w:type="dxa"/>
              <w:bottom w:w="30" w:type="dxa"/>
              <w:right w:w="120" w:type="dxa"/>
            </w:tcMar>
            <w:vAlign w:val="center"/>
            <w:hideMark/>
          </w:tcPr>
          <w:p w14:paraId="3D689BB5" w14:textId="77777777" w:rsidR="00AB71E0" w:rsidRPr="0099791C" w:rsidRDefault="00AB71E0" w:rsidP="00AA3AEF">
            <w:pPr>
              <w:rPr>
                <w:rFonts w:ascii="Arial" w:hAnsi="Arial" w:cs="Arial"/>
                <w:color w:val="434343"/>
              </w:rPr>
            </w:pPr>
            <w:r w:rsidRPr="0099791C">
              <w:rPr>
                <w:rFonts w:ascii="Arial" w:hAnsi="Arial" w:cs="Arial"/>
                <w:color w:val="434343"/>
              </w:rPr>
              <w:t>Tajikistan</w:t>
            </w:r>
          </w:p>
        </w:tc>
        <w:tc>
          <w:tcPr>
            <w:tcW w:w="1330" w:type="dxa"/>
            <w:shd w:val="clear" w:color="auto" w:fill="F6F8F9"/>
            <w:tcMar>
              <w:top w:w="30" w:type="dxa"/>
              <w:left w:w="120" w:type="dxa"/>
              <w:bottom w:w="30" w:type="dxa"/>
              <w:right w:w="120" w:type="dxa"/>
            </w:tcMar>
            <w:vAlign w:val="center"/>
            <w:hideMark/>
          </w:tcPr>
          <w:p w14:paraId="712A3110"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7AA9297F"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46A9E28D"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7E6506F9"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04C970CD"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3EF92324"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76C5FE88" w14:textId="77777777" w:rsidR="00AB71E0" w:rsidRPr="0099791C" w:rsidRDefault="00AB71E0" w:rsidP="00AA3AEF">
            <w:pPr>
              <w:rPr>
                <w:rFonts w:ascii="Arial" w:hAnsi="Arial" w:cs="Arial"/>
              </w:rPr>
            </w:pPr>
          </w:p>
        </w:tc>
      </w:tr>
      <w:tr w:rsidR="00AB71E0" w:rsidRPr="0099791C" w14:paraId="29DAA194"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58C7B2E3" w14:textId="77777777" w:rsidR="00AB71E0" w:rsidRPr="0099791C" w:rsidRDefault="00AB71E0" w:rsidP="00AA3AEF">
            <w:pPr>
              <w:rPr>
                <w:rFonts w:ascii="Arial" w:hAnsi="Arial" w:cs="Arial"/>
                <w:color w:val="434343"/>
              </w:rPr>
            </w:pPr>
            <w:r w:rsidRPr="0099791C">
              <w:rPr>
                <w:rFonts w:ascii="Arial" w:hAnsi="Arial" w:cs="Arial"/>
                <w:color w:val="434343"/>
              </w:rPr>
              <w:t>Togo</w:t>
            </w:r>
          </w:p>
        </w:tc>
        <w:tc>
          <w:tcPr>
            <w:tcW w:w="1330" w:type="dxa"/>
            <w:shd w:val="clear" w:color="auto" w:fill="FFFFFF"/>
            <w:tcMar>
              <w:top w:w="30" w:type="dxa"/>
              <w:left w:w="120" w:type="dxa"/>
              <w:bottom w:w="30" w:type="dxa"/>
              <w:right w:w="120" w:type="dxa"/>
            </w:tcMar>
            <w:vAlign w:val="center"/>
            <w:hideMark/>
          </w:tcPr>
          <w:p w14:paraId="00268862"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614AC9E0"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D2F9203"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50133B6"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4A29B6EA"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3D5B1B21"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6B2C9EF2" w14:textId="77777777" w:rsidR="00AB71E0" w:rsidRPr="0099791C" w:rsidRDefault="00AB71E0" w:rsidP="00AA3AEF">
            <w:pPr>
              <w:rPr>
                <w:rFonts w:ascii="Arial" w:hAnsi="Arial" w:cs="Arial"/>
              </w:rPr>
            </w:pPr>
          </w:p>
        </w:tc>
      </w:tr>
      <w:tr w:rsidR="00AB71E0" w:rsidRPr="0099791C" w14:paraId="2A775D21" w14:textId="77777777" w:rsidTr="00AA3AEF">
        <w:trPr>
          <w:trHeight w:val="274"/>
          <w:jc w:val="center"/>
        </w:trPr>
        <w:tc>
          <w:tcPr>
            <w:tcW w:w="1630" w:type="dxa"/>
            <w:shd w:val="clear" w:color="auto" w:fill="F6F8F9"/>
            <w:tcMar>
              <w:top w:w="30" w:type="dxa"/>
              <w:left w:w="120" w:type="dxa"/>
              <w:bottom w:w="30" w:type="dxa"/>
              <w:right w:w="120" w:type="dxa"/>
            </w:tcMar>
            <w:vAlign w:val="center"/>
            <w:hideMark/>
          </w:tcPr>
          <w:p w14:paraId="43756163" w14:textId="77777777" w:rsidR="00AB71E0" w:rsidRPr="0099791C" w:rsidRDefault="00AB71E0" w:rsidP="00AA3AEF">
            <w:pPr>
              <w:rPr>
                <w:rFonts w:ascii="Arial" w:hAnsi="Arial" w:cs="Arial"/>
                <w:color w:val="434343"/>
              </w:rPr>
            </w:pPr>
            <w:r w:rsidRPr="0099791C">
              <w:rPr>
                <w:rFonts w:ascii="Arial" w:hAnsi="Arial" w:cs="Arial"/>
                <w:color w:val="434343"/>
              </w:rPr>
              <w:t>Tunisia</w:t>
            </w:r>
          </w:p>
        </w:tc>
        <w:tc>
          <w:tcPr>
            <w:tcW w:w="1330" w:type="dxa"/>
            <w:shd w:val="clear" w:color="auto" w:fill="F6F8F9"/>
            <w:tcMar>
              <w:top w:w="30" w:type="dxa"/>
              <w:left w:w="120" w:type="dxa"/>
              <w:bottom w:w="30" w:type="dxa"/>
              <w:right w:w="120" w:type="dxa"/>
            </w:tcMar>
            <w:vAlign w:val="center"/>
            <w:hideMark/>
          </w:tcPr>
          <w:p w14:paraId="0925FCC4"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115EB0F7"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78B7AB53"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393486D0"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2F24B68D"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2E7C02A9"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667ED327" w14:textId="77777777" w:rsidR="00AB71E0" w:rsidRPr="0099791C" w:rsidRDefault="00AB71E0" w:rsidP="00AA3AEF">
            <w:pPr>
              <w:rPr>
                <w:rFonts w:ascii="Arial" w:hAnsi="Arial" w:cs="Arial"/>
              </w:rPr>
            </w:pPr>
          </w:p>
        </w:tc>
      </w:tr>
      <w:tr w:rsidR="00AB71E0" w:rsidRPr="0099791C" w14:paraId="4A732BB5"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403C8C49" w14:textId="77777777" w:rsidR="00AB71E0" w:rsidRPr="0099791C" w:rsidRDefault="00AB71E0" w:rsidP="00AA3AEF">
            <w:pPr>
              <w:rPr>
                <w:rFonts w:ascii="Arial" w:hAnsi="Arial" w:cs="Arial"/>
                <w:color w:val="434343"/>
              </w:rPr>
            </w:pPr>
            <w:r w:rsidRPr="0099791C">
              <w:rPr>
                <w:rFonts w:ascii="Arial" w:hAnsi="Arial" w:cs="Arial"/>
                <w:color w:val="434343"/>
              </w:rPr>
              <w:t>Turkmenistan</w:t>
            </w:r>
          </w:p>
        </w:tc>
        <w:tc>
          <w:tcPr>
            <w:tcW w:w="1330" w:type="dxa"/>
            <w:shd w:val="clear" w:color="auto" w:fill="FFFFFF"/>
            <w:tcMar>
              <w:top w:w="30" w:type="dxa"/>
              <w:left w:w="120" w:type="dxa"/>
              <w:bottom w:w="30" w:type="dxa"/>
              <w:right w:w="120" w:type="dxa"/>
            </w:tcMar>
            <w:vAlign w:val="center"/>
            <w:hideMark/>
          </w:tcPr>
          <w:p w14:paraId="6DDEA96E"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1216C3CB"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0E620CB4"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28E1394"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F920BD3"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20DC8F8C"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487BA4EE" w14:textId="77777777" w:rsidR="00AB71E0" w:rsidRPr="0099791C" w:rsidRDefault="00AB71E0" w:rsidP="00AA3AEF">
            <w:pPr>
              <w:rPr>
                <w:rFonts w:ascii="Arial" w:hAnsi="Arial" w:cs="Arial"/>
              </w:rPr>
            </w:pPr>
          </w:p>
        </w:tc>
      </w:tr>
      <w:tr w:rsidR="00AB71E0" w:rsidRPr="0099791C" w14:paraId="58940C4F" w14:textId="77777777" w:rsidTr="00AA3AEF">
        <w:trPr>
          <w:trHeight w:val="274"/>
          <w:jc w:val="center"/>
        </w:trPr>
        <w:tc>
          <w:tcPr>
            <w:tcW w:w="1630" w:type="dxa"/>
            <w:shd w:val="clear" w:color="auto" w:fill="F6F8F9"/>
            <w:tcMar>
              <w:top w:w="30" w:type="dxa"/>
              <w:left w:w="120" w:type="dxa"/>
              <w:bottom w:w="30" w:type="dxa"/>
              <w:right w:w="120" w:type="dxa"/>
            </w:tcMar>
            <w:vAlign w:val="center"/>
            <w:hideMark/>
          </w:tcPr>
          <w:p w14:paraId="3F609226" w14:textId="77777777" w:rsidR="00AB71E0" w:rsidRPr="0099791C" w:rsidRDefault="00AB71E0" w:rsidP="00AA3AEF">
            <w:pPr>
              <w:rPr>
                <w:rFonts w:ascii="Arial" w:hAnsi="Arial" w:cs="Arial"/>
                <w:color w:val="434343"/>
              </w:rPr>
            </w:pPr>
            <w:r w:rsidRPr="0099791C">
              <w:rPr>
                <w:rFonts w:ascii="Arial" w:hAnsi="Arial" w:cs="Arial"/>
                <w:color w:val="434343"/>
              </w:rPr>
              <w:t>Uganda</w:t>
            </w:r>
          </w:p>
        </w:tc>
        <w:tc>
          <w:tcPr>
            <w:tcW w:w="1330" w:type="dxa"/>
            <w:shd w:val="clear" w:color="auto" w:fill="F6F8F9"/>
            <w:tcMar>
              <w:top w:w="30" w:type="dxa"/>
              <w:left w:w="120" w:type="dxa"/>
              <w:bottom w:w="30" w:type="dxa"/>
              <w:right w:w="120" w:type="dxa"/>
            </w:tcMar>
            <w:vAlign w:val="center"/>
            <w:hideMark/>
          </w:tcPr>
          <w:p w14:paraId="76D39C02"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2F15019F"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53EC0534"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209090EE"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6514C9A9"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69893202"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4F5059DB" w14:textId="77777777" w:rsidR="00AB71E0" w:rsidRPr="0099791C" w:rsidRDefault="00AB71E0" w:rsidP="00AA3AEF">
            <w:pPr>
              <w:rPr>
                <w:rFonts w:ascii="Arial" w:hAnsi="Arial" w:cs="Arial"/>
              </w:rPr>
            </w:pPr>
          </w:p>
        </w:tc>
      </w:tr>
      <w:tr w:rsidR="00AB71E0" w:rsidRPr="0099791C" w14:paraId="6A09B932"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42A9262A" w14:textId="77777777" w:rsidR="00AB71E0" w:rsidRPr="0099791C" w:rsidRDefault="00AB71E0" w:rsidP="00AA3AEF">
            <w:pPr>
              <w:rPr>
                <w:rFonts w:ascii="Arial" w:hAnsi="Arial" w:cs="Arial"/>
                <w:color w:val="434343"/>
              </w:rPr>
            </w:pPr>
            <w:r w:rsidRPr="0099791C">
              <w:rPr>
                <w:rFonts w:ascii="Arial" w:hAnsi="Arial" w:cs="Arial"/>
                <w:color w:val="434343"/>
              </w:rPr>
              <w:t>United Arab Emirates</w:t>
            </w:r>
          </w:p>
        </w:tc>
        <w:tc>
          <w:tcPr>
            <w:tcW w:w="1330" w:type="dxa"/>
            <w:shd w:val="clear" w:color="auto" w:fill="FFFFFF"/>
            <w:tcMar>
              <w:top w:w="30" w:type="dxa"/>
              <w:left w:w="120" w:type="dxa"/>
              <w:bottom w:w="30" w:type="dxa"/>
              <w:right w:w="120" w:type="dxa"/>
            </w:tcMar>
            <w:vAlign w:val="center"/>
            <w:hideMark/>
          </w:tcPr>
          <w:p w14:paraId="6E29EF93"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59D8BDD5"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AF76FB7"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3185A96E"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FC1B4CE"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7542267D"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05CB79BB" w14:textId="77777777" w:rsidR="00AB71E0" w:rsidRPr="0099791C" w:rsidRDefault="00AB71E0" w:rsidP="00AA3AEF">
            <w:pPr>
              <w:rPr>
                <w:rFonts w:ascii="Arial" w:hAnsi="Arial" w:cs="Arial"/>
              </w:rPr>
            </w:pPr>
          </w:p>
        </w:tc>
      </w:tr>
      <w:tr w:rsidR="00AB71E0" w:rsidRPr="0099791C" w14:paraId="668DDF4E" w14:textId="77777777" w:rsidTr="00AA3AEF">
        <w:trPr>
          <w:trHeight w:val="274"/>
          <w:jc w:val="center"/>
        </w:trPr>
        <w:tc>
          <w:tcPr>
            <w:tcW w:w="1630" w:type="dxa"/>
            <w:shd w:val="clear" w:color="auto" w:fill="F6F8F9"/>
            <w:tcMar>
              <w:top w:w="30" w:type="dxa"/>
              <w:left w:w="120" w:type="dxa"/>
              <w:bottom w:w="30" w:type="dxa"/>
              <w:right w:w="120" w:type="dxa"/>
            </w:tcMar>
            <w:vAlign w:val="center"/>
            <w:hideMark/>
          </w:tcPr>
          <w:p w14:paraId="1212B132" w14:textId="77777777" w:rsidR="00AB71E0" w:rsidRPr="0099791C" w:rsidRDefault="00AB71E0" w:rsidP="00AA3AEF">
            <w:pPr>
              <w:rPr>
                <w:rFonts w:ascii="Arial" w:hAnsi="Arial" w:cs="Arial"/>
                <w:color w:val="434343"/>
              </w:rPr>
            </w:pPr>
            <w:r w:rsidRPr="0099791C">
              <w:rPr>
                <w:rFonts w:ascii="Arial" w:hAnsi="Arial" w:cs="Arial"/>
                <w:color w:val="434343"/>
              </w:rPr>
              <w:t>Uzbekistan</w:t>
            </w:r>
          </w:p>
        </w:tc>
        <w:tc>
          <w:tcPr>
            <w:tcW w:w="1330" w:type="dxa"/>
            <w:shd w:val="clear" w:color="auto" w:fill="F6F8F9"/>
            <w:tcMar>
              <w:top w:w="30" w:type="dxa"/>
              <w:left w:w="120" w:type="dxa"/>
              <w:bottom w:w="30" w:type="dxa"/>
              <w:right w:w="120" w:type="dxa"/>
            </w:tcMar>
            <w:vAlign w:val="center"/>
            <w:hideMark/>
          </w:tcPr>
          <w:p w14:paraId="72249291"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0017C8DA"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2B81168F"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124B2ABE"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68B38460"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49EA5069"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3D1B9773" w14:textId="77777777" w:rsidR="00AB71E0" w:rsidRPr="0099791C" w:rsidRDefault="00AB71E0" w:rsidP="00AA3AEF">
            <w:pPr>
              <w:rPr>
                <w:rFonts w:ascii="Arial" w:hAnsi="Arial" w:cs="Arial"/>
              </w:rPr>
            </w:pPr>
          </w:p>
        </w:tc>
      </w:tr>
      <w:tr w:rsidR="00AB71E0" w:rsidRPr="0099791C" w14:paraId="2BAA4F0E"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6BBCACF1" w14:textId="77777777" w:rsidR="00AB71E0" w:rsidRPr="0099791C" w:rsidRDefault="00AB71E0" w:rsidP="00AA3AEF">
            <w:pPr>
              <w:rPr>
                <w:rFonts w:ascii="Arial" w:hAnsi="Arial" w:cs="Arial"/>
                <w:color w:val="434343"/>
              </w:rPr>
            </w:pPr>
            <w:r w:rsidRPr="0099791C">
              <w:rPr>
                <w:rFonts w:ascii="Arial" w:hAnsi="Arial" w:cs="Arial"/>
                <w:color w:val="434343"/>
              </w:rPr>
              <w:t>Yemen</w:t>
            </w:r>
          </w:p>
        </w:tc>
        <w:tc>
          <w:tcPr>
            <w:tcW w:w="1330" w:type="dxa"/>
            <w:shd w:val="clear" w:color="auto" w:fill="FFFFFF"/>
            <w:tcMar>
              <w:top w:w="30" w:type="dxa"/>
              <w:left w:w="120" w:type="dxa"/>
              <w:bottom w:w="30" w:type="dxa"/>
              <w:right w:w="120" w:type="dxa"/>
            </w:tcMar>
            <w:vAlign w:val="center"/>
            <w:hideMark/>
          </w:tcPr>
          <w:p w14:paraId="40439230"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7B4BFFFE"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2DA8BB32"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3D2233D2"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42AE424"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5C7F25A6"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14D432B7" w14:textId="77777777" w:rsidR="00AB71E0" w:rsidRPr="0099791C" w:rsidRDefault="00AB71E0" w:rsidP="00AA3AEF">
            <w:pPr>
              <w:rPr>
                <w:rFonts w:ascii="Arial" w:hAnsi="Arial" w:cs="Arial"/>
              </w:rPr>
            </w:pPr>
          </w:p>
        </w:tc>
      </w:tr>
      <w:tr w:rsidR="00AB71E0" w:rsidRPr="0099791C" w14:paraId="54D739A2" w14:textId="77777777" w:rsidTr="00AA3AEF">
        <w:trPr>
          <w:trHeight w:val="274"/>
          <w:jc w:val="center"/>
        </w:trPr>
        <w:tc>
          <w:tcPr>
            <w:tcW w:w="1630" w:type="dxa"/>
            <w:shd w:val="clear" w:color="auto" w:fill="F6F8F9"/>
            <w:tcMar>
              <w:top w:w="30" w:type="dxa"/>
              <w:left w:w="120" w:type="dxa"/>
              <w:bottom w:w="30" w:type="dxa"/>
              <w:right w:w="120" w:type="dxa"/>
            </w:tcMar>
            <w:vAlign w:val="center"/>
            <w:hideMark/>
          </w:tcPr>
          <w:p w14:paraId="3FA784E2" w14:textId="77777777" w:rsidR="00AB71E0" w:rsidRPr="0099791C" w:rsidRDefault="00AB71E0" w:rsidP="00AA3AEF">
            <w:pPr>
              <w:rPr>
                <w:rFonts w:ascii="Arial" w:hAnsi="Arial" w:cs="Arial"/>
                <w:color w:val="434343"/>
              </w:rPr>
            </w:pPr>
            <w:r w:rsidRPr="0099791C">
              <w:rPr>
                <w:rFonts w:ascii="Arial" w:hAnsi="Arial" w:cs="Arial"/>
                <w:color w:val="434343"/>
              </w:rPr>
              <w:t>Albania</w:t>
            </w:r>
          </w:p>
        </w:tc>
        <w:tc>
          <w:tcPr>
            <w:tcW w:w="1330" w:type="dxa"/>
            <w:shd w:val="clear" w:color="auto" w:fill="F6F8F9"/>
            <w:tcMar>
              <w:top w:w="30" w:type="dxa"/>
              <w:left w:w="120" w:type="dxa"/>
              <w:bottom w:w="30" w:type="dxa"/>
              <w:right w:w="120" w:type="dxa"/>
            </w:tcMar>
            <w:vAlign w:val="center"/>
            <w:hideMark/>
          </w:tcPr>
          <w:p w14:paraId="18A19FCE"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0B7C632D"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3DF577CF"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0D021E76" w14:textId="77777777" w:rsidR="00AB71E0" w:rsidRPr="0099791C" w:rsidRDefault="00AB71E0" w:rsidP="00AA3AEF">
            <w:pPr>
              <w:rPr>
                <w:rFonts w:ascii="Arial" w:hAnsi="Arial" w:cs="Arial"/>
              </w:rPr>
            </w:pPr>
          </w:p>
        </w:tc>
        <w:tc>
          <w:tcPr>
            <w:tcW w:w="0" w:type="auto"/>
            <w:shd w:val="clear" w:color="auto" w:fill="F6F8F9"/>
            <w:tcMar>
              <w:top w:w="30" w:type="dxa"/>
              <w:left w:w="120" w:type="dxa"/>
              <w:bottom w:w="30" w:type="dxa"/>
              <w:right w:w="120" w:type="dxa"/>
            </w:tcMar>
            <w:vAlign w:val="center"/>
            <w:hideMark/>
          </w:tcPr>
          <w:p w14:paraId="25575BAD"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6F8F9"/>
            <w:tcMar>
              <w:top w:w="30" w:type="dxa"/>
              <w:left w:w="120" w:type="dxa"/>
              <w:bottom w:w="30" w:type="dxa"/>
              <w:right w:w="120" w:type="dxa"/>
            </w:tcMar>
            <w:vAlign w:val="center"/>
            <w:hideMark/>
          </w:tcPr>
          <w:p w14:paraId="2364C847" w14:textId="77777777" w:rsidR="00AB71E0" w:rsidRPr="0099791C" w:rsidRDefault="00AB71E0" w:rsidP="00AA3AEF">
            <w:pPr>
              <w:rPr>
                <w:rFonts w:ascii="Arial" w:hAnsi="Arial" w:cs="Arial"/>
                <w:color w:val="434343"/>
              </w:rPr>
            </w:pPr>
          </w:p>
        </w:tc>
        <w:tc>
          <w:tcPr>
            <w:tcW w:w="0" w:type="auto"/>
            <w:shd w:val="clear" w:color="auto" w:fill="F6F8F9"/>
            <w:tcMar>
              <w:top w:w="30" w:type="dxa"/>
              <w:left w:w="120" w:type="dxa"/>
              <w:bottom w:w="30" w:type="dxa"/>
              <w:right w:w="120" w:type="dxa"/>
            </w:tcMar>
            <w:vAlign w:val="center"/>
            <w:hideMark/>
          </w:tcPr>
          <w:p w14:paraId="6C6409C2" w14:textId="77777777" w:rsidR="00AB71E0" w:rsidRPr="0099791C" w:rsidRDefault="00AB71E0" w:rsidP="00AA3AEF">
            <w:pPr>
              <w:rPr>
                <w:rFonts w:ascii="Arial" w:hAnsi="Arial" w:cs="Arial"/>
              </w:rPr>
            </w:pPr>
          </w:p>
        </w:tc>
      </w:tr>
      <w:tr w:rsidR="00AB71E0" w:rsidRPr="0099791C" w14:paraId="22E4A5C4" w14:textId="77777777" w:rsidTr="00AA3AEF">
        <w:trPr>
          <w:trHeight w:val="274"/>
          <w:jc w:val="center"/>
        </w:trPr>
        <w:tc>
          <w:tcPr>
            <w:tcW w:w="1630" w:type="dxa"/>
            <w:shd w:val="clear" w:color="auto" w:fill="FFFFFF"/>
            <w:tcMar>
              <w:top w:w="30" w:type="dxa"/>
              <w:left w:w="120" w:type="dxa"/>
              <w:bottom w:w="30" w:type="dxa"/>
              <w:right w:w="120" w:type="dxa"/>
            </w:tcMar>
            <w:vAlign w:val="center"/>
            <w:hideMark/>
          </w:tcPr>
          <w:p w14:paraId="5FCAD3E4" w14:textId="77777777" w:rsidR="00AB71E0" w:rsidRPr="0099791C" w:rsidRDefault="00AB71E0" w:rsidP="00AA3AEF">
            <w:pPr>
              <w:rPr>
                <w:rFonts w:ascii="Arial" w:hAnsi="Arial" w:cs="Arial"/>
                <w:color w:val="434343"/>
              </w:rPr>
            </w:pPr>
            <w:r w:rsidRPr="0099791C">
              <w:rPr>
                <w:rFonts w:ascii="Arial" w:hAnsi="Arial" w:cs="Arial"/>
                <w:color w:val="434343"/>
              </w:rPr>
              <w:t>Azerbaijan</w:t>
            </w:r>
          </w:p>
        </w:tc>
        <w:tc>
          <w:tcPr>
            <w:tcW w:w="1330" w:type="dxa"/>
            <w:shd w:val="clear" w:color="auto" w:fill="FFFFFF"/>
            <w:tcMar>
              <w:top w:w="30" w:type="dxa"/>
              <w:left w:w="120" w:type="dxa"/>
              <w:bottom w:w="30" w:type="dxa"/>
              <w:right w:w="120" w:type="dxa"/>
            </w:tcMar>
            <w:vAlign w:val="center"/>
            <w:hideMark/>
          </w:tcPr>
          <w:p w14:paraId="032FBC15" w14:textId="77777777" w:rsidR="00AB71E0" w:rsidRPr="0099791C" w:rsidRDefault="00AB71E0" w:rsidP="00AA3AEF">
            <w:pPr>
              <w:rPr>
                <w:rFonts w:ascii="Arial" w:hAnsi="Arial" w:cs="Arial"/>
                <w:color w:val="434343"/>
              </w:rPr>
            </w:pPr>
          </w:p>
        </w:tc>
        <w:tc>
          <w:tcPr>
            <w:tcW w:w="0" w:type="auto"/>
            <w:shd w:val="clear" w:color="auto" w:fill="FFFFFF"/>
            <w:tcMar>
              <w:top w:w="30" w:type="dxa"/>
              <w:left w:w="120" w:type="dxa"/>
              <w:bottom w:w="30" w:type="dxa"/>
              <w:right w:w="120" w:type="dxa"/>
            </w:tcMar>
            <w:vAlign w:val="center"/>
            <w:hideMark/>
          </w:tcPr>
          <w:p w14:paraId="594F1478"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49D12B31"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7872E158" w14:textId="77777777" w:rsidR="00AB71E0" w:rsidRPr="0099791C" w:rsidRDefault="00AB71E0" w:rsidP="00AA3AEF">
            <w:pPr>
              <w:rPr>
                <w:rFonts w:ascii="Arial" w:hAnsi="Arial" w:cs="Arial"/>
              </w:rPr>
            </w:pPr>
          </w:p>
        </w:tc>
        <w:tc>
          <w:tcPr>
            <w:tcW w:w="0" w:type="auto"/>
            <w:shd w:val="clear" w:color="auto" w:fill="FFFFFF"/>
            <w:tcMar>
              <w:top w:w="30" w:type="dxa"/>
              <w:left w:w="120" w:type="dxa"/>
              <w:bottom w:w="30" w:type="dxa"/>
              <w:right w:w="120" w:type="dxa"/>
            </w:tcMar>
            <w:vAlign w:val="center"/>
            <w:hideMark/>
          </w:tcPr>
          <w:p w14:paraId="6A3BF868"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19B5AF56" w14:textId="77777777" w:rsidR="00AB71E0" w:rsidRPr="0099791C" w:rsidRDefault="00AB71E0" w:rsidP="00AA3AEF">
            <w:pPr>
              <w:rPr>
                <w:rFonts w:ascii="Arial" w:hAnsi="Arial" w:cs="Arial"/>
                <w:color w:val="434343"/>
              </w:rPr>
            </w:pPr>
            <w:r w:rsidRPr="0099791C">
              <w:rPr>
                <w:rFonts w:ascii="Segoe UI Symbol" w:hAnsi="Segoe UI Symbol" w:cs="Segoe UI Symbol"/>
                <w:color w:val="434343"/>
              </w:rPr>
              <w:t>✓</w:t>
            </w:r>
          </w:p>
        </w:tc>
        <w:tc>
          <w:tcPr>
            <w:tcW w:w="0" w:type="auto"/>
            <w:shd w:val="clear" w:color="auto" w:fill="FFFFFF"/>
            <w:tcMar>
              <w:top w:w="30" w:type="dxa"/>
              <w:left w:w="120" w:type="dxa"/>
              <w:bottom w:w="30" w:type="dxa"/>
              <w:right w:w="120" w:type="dxa"/>
            </w:tcMar>
            <w:vAlign w:val="center"/>
            <w:hideMark/>
          </w:tcPr>
          <w:p w14:paraId="6A142BE3" w14:textId="77777777" w:rsidR="00AB71E0" w:rsidRPr="0099791C" w:rsidRDefault="00AB71E0" w:rsidP="00AA3AEF">
            <w:pPr>
              <w:rPr>
                <w:rFonts w:ascii="Arial" w:hAnsi="Arial" w:cs="Arial"/>
                <w:color w:val="434343"/>
              </w:rPr>
            </w:pPr>
          </w:p>
        </w:tc>
      </w:tr>
    </w:tbl>
    <w:p w14:paraId="38B8252C" w14:textId="77777777" w:rsidR="00AB71E0" w:rsidRPr="004D29A5" w:rsidRDefault="00AB71E0" w:rsidP="008D7C4C">
      <w:pPr>
        <w:spacing w:line="276" w:lineRule="auto"/>
        <w:ind w:right="-784"/>
        <w:rPr>
          <w:rFonts w:ascii="Arial" w:hAnsi="Arial" w:cs="Arial"/>
          <w:b/>
          <w:bCs/>
        </w:rPr>
      </w:pPr>
      <w:r w:rsidRPr="004D29A5">
        <w:rPr>
          <w:rFonts w:ascii="Arial" w:hAnsi="Arial" w:cs="Arial"/>
          <w:b/>
          <w:bCs/>
        </w:rPr>
        <w:t xml:space="preserve">Source: </w:t>
      </w:r>
      <w:r w:rsidRPr="004D29A5">
        <w:rPr>
          <w:rFonts w:ascii="Arial" w:hAnsi="Arial" w:cs="Arial"/>
          <w:bCs/>
        </w:rPr>
        <w:t>BIMSTEC, FTA, SAFTA, APTA, EU PTA (General), OIC, D8, SAPTA etc. websites</w:t>
      </w:r>
    </w:p>
    <w:p w14:paraId="5F6CD07A" w14:textId="77777777" w:rsidR="00A97751" w:rsidRPr="000B156F" w:rsidRDefault="00A97751" w:rsidP="00975C35">
      <w:pPr>
        <w:pStyle w:val="Body"/>
        <w:spacing w:after="0"/>
        <w:rPr>
          <w:rFonts w:ascii="Arial" w:hAnsi="Arial" w:cs="Arial"/>
          <w:bCs/>
          <w:caps/>
          <w:sz w:val="22"/>
        </w:rPr>
      </w:pPr>
    </w:p>
    <w:p w14:paraId="7236BCD6" w14:textId="33C073D9" w:rsidR="00646D43" w:rsidRPr="00097814" w:rsidRDefault="00670AD8" w:rsidP="00097814">
      <w:pPr>
        <w:pStyle w:val="Body"/>
        <w:spacing w:after="0"/>
        <w:rPr>
          <w:rFonts w:ascii="Arial" w:hAnsi="Arial" w:cs="Arial"/>
          <w:b/>
          <w:caps/>
          <w:sz w:val="22"/>
        </w:rPr>
      </w:pPr>
      <w:r w:rsidRPr="00097814">
        <w:rPr>
          <w:rFonts w:ascii="Arial" w:hAnsi="Arial" w:cs="Arial"/>
          <w:b/>
          <w:sz w:val="22"/>
        </w:rPr>
        <w:t xml:space="preserve">1.2 Literature </w:t>
      </w:r>
      <w:r w:rsidR="0098199C">
        <w:rPr>
          <w:rFonts w:ascii="Arial" w:hAnsi="Arial" w:cs="Arial"/>
          <w:b/>
          <w:sz w:val="22"/>
        </w:rPr>
        <w:t>r</w:t>
      </w:r>
      <w:r w:rsidRPr="00097814">
        <w:rPr>
          <w:rFonts w:ascii="Arial" w:hAnsi="Arial" w:cs="Arial"/>
          <w:b/>
          <w:sz w:val="22"/>
        </w:rPr>
        <w:t>eview</w:t>
      </w:r>
    </w:p>
    <w:p w14:paraId="40D73738" w14:textId="77777777" w:rsidR="004623BD" w:rsidRPr="004623BD" w:rsidRDefault="004623BD" w:rsidP="00C470F1">
      <w:pPr>
        <w:pStyle w:val="Body"/>
        <w:spacing w:after="0"/>
        <w:rPr>
          <w:rFonts w:ascii="Arial" w:hAnsi="Arial" w:cs="Arial"/>
        </w:rPr>
      </w:pPr>
      <w:r w:rsidRPr="004623BD">
        <w:rPr>
          <w:rFonts w:ascii="Arial" w:hAnsi="Arial" w:cs="Arial"/>
        </w:rPr>
        <w:t xml:space="preserve">Numerous empirical studies have demonstrated that international groups of developed nations contribute positively to welfare. Baldwin (1997) observed that most research on agreements between European and North American nations indicated beneficial impacts on the living standards of the involved countries. Baier and Bergstrand (2007) discovered that bilateral trade between two </w:t>
      </w:r>
      <w:bookmarkStart w:id="5" w:name="_Hlk200568384"/>
      <w:r w:rsidRPr="004623BD">
        <w:rPr>
          <w:rFonts w:ascii="Arial" w:hAnsi="Arial" w:cs="Arial"/>
        </w:rPr>
        <w:t xml:space="preserve">Free Trade Agreement (FTA) </w:t>
      </w:r>
      <w:bookmarkEnd w:id="5"/>
      <w:r w:rsidRPr="004623BD">
        <w:rPr>
          <w:rFonts w:ascii="Arial" w:hAnsi="Arial" w:cs="Arial"/>
        </w:rPr>
        <w:t xml:space="preserve">signed members increases twofold after a decade. Kandogan (2008) examined the trade impacts of regional blocs and found that economic cooperation and preferential trade agreements enhance trade among partner countries. However, there is a lack of pragmatic research regarding the trade effects of international blocs involving developing nations and least developed countries (LDCs), especially about the </w:t>
      </w:r>
      <w:bookmarkStart w:id="6" w:name="_Hlk200568406"/>
      <w:r w:rsidRPr="004623BD">
        <w:rPr>
          <w:rFonts w:ascii="Arial" w:hAnsi="Arial" w:cs="Arial"/>
        </w:rPr>
        <w:t xml:space="preserve">regional trade agreements (RTAs) </w:t>
      </w:r>
      <w:bookmarkEnd w:id="6"/>
      <w:r w:rsidRPr="004623BD">
        <w:rPr>
          <w:rFonts w:ascii="Arial" w:hAnsi="Arial" w:cs="Arial"/>
        </w:rPr>
        <w:t xml:space="preserve">in South and Southeast Asia. </w:t>
      </w:r>
    </w:p>
    <w:p w14:paraId="5D055377" w14:textId="77777777" w:rsidR="00F6469E" w:rsidRDefault="00F6469E" w:rsidP="004623BD">
      <w:pPr>
        <w:pStyle w:val="Body"/>
        <w:rPr>
          <w:rFonts w:ascii="Arial" w:hAnsi="Arial" w:cs="Arial"/>
        </w:rPr>
      </w:pPr>
    </w:p>
    <w:p w14:paraId="78866361" w14:textId="3372FA9E" w:rsidR="004623BD" w:rsidRPr="004623BD" w:rsidRDefault="004623BD" w:rsidP="004623BD">
      <w:pPr>
        <w:pStyle w:val="Body"/>
        <w:rPr>
          <w:rFonts w:ascii="Arial" w:hAnsi="Arial" w:cs="Arial"/>
        </w:rPr>
      </w:pPr>
      <w:r w:rsidRPr="004623BD">
        <w:rPr>
          <w:rFonts w:ascii="Arial" w:hAnsi="Arial" w:cs="Arial"/>
        </w:rPr>
        <w:t xml:space="preserve">Since its independence in 1971, Bangladesh has experienced significant trade liberalization, transitioning from a protectionist approach to a more open economic stance (Ahmed, 2000). The annual GDP growth rate has risen from 5.3% </w:t>
      </w:r>
      <w:r w:rsidRPr="004623BD">
        <w:rPr>
          <w:rFonts w:ascii="Arial" w:hAnsi="Arial" w:cs="Arial"/>
        </w:rPr>
        <w:lastRenderedPageBreak/>
        <w:t xml:space="preserve">in 2000 to 5.8% in 2023 (World Bank, 2023), with exports </w:t>
      </w:r>
      <w:r w:rsidRPr="00814404">
        <w:rPr>
          <w:rFonts w:ascii="Arial" w:hAnsi="Arial" w:cs="Arial"/>
        </w:rPr>
        <w:t>shifting from agricultural products to labor-intensive manufacturing products, especially in the ready-made garments (RMG) sector, which now represents over 8</w:t>
      </w:r>
      <w:r w:rsidR="009F4C77" w:rsidRPr="00814404">
        <w:rPr>
          <w:rFonts w:ascii="Arial" w:hAnsi="Arial" w:cs="Arial"/>
        </w:rPr>
        <w:t>4</w:t>
      </w:r>
      <w:r w:rsidRPr="00814404">
        <w:rPr>
          <w:rFonts w:ascii="Arial" w:hAnsi="Arial" w:cs="Arial"/>
        </w:rPr>
        <w:t>% of total export revenue (</w:t>
      </w:r>
      <w:r w:rsidR="009F4C77" w:rsidRPr="00814404">
        <w:rPr>
          <w:rFonts w:ascii="Arial" w:hAnsi="Arial" w:cs="Arial"/>
        </w:rPr>
        <w:t>EPB, 2023-2024</w:t>
      </w:r>
      <w:r w:rsidRPr="00814404">
        <w:rPr>
          <w:rFonts w:ascii="Arial" w:hAnsi="Arial" w:cs="Arial"/>
        </w:rPr>
        <w:t xml:space="preserve">). While trade has played a role in generating employment, reducing poverty, and empowering women </w:t>
      </w:r>
      <w:r w:rsidRPr="004623BD">
        <w:rPr>
          <w:rFonts w:ascii="Arial" w:hAnsi="Arial" w:cs="Arial"/>
        </w:rPr>
        <w:t>(Barua &amp; Ansary, 2017), Bangladesh still grapples with a considerable trade deficit due to its heavy dependence on imports.</w:t>
      </w:r>
    </w:p>
    <w:p w14:paraId="3C0D0F0B" w14:textId="77777777" w:rsidR="004623BD" w:rsidRPr="004623BD" w:rsidRDefault="004623BD" w:rsidP="004623BD">
      <w:pPr>
        <w:pStyle w:val="Body"/>
        <w:rPr>
          <w:rFonts w:ascii="Arial" w:hAnsi="Arial" w:cs="Arial"/>
        </w:rPr>
      </w:pPr>
      <w:r w:rsidRPr="004623BD">
        <w:rPr>
          <w:rFonts w:ascii="Arial" w:hAnsi="Arial" w:cs="Arial"/>
        </w:rPr>
        <w:t xml:space="preserve">The effect of free trade agreements (FTAs) can be investigated by examining whether both countries will be better or worse off after removing all trade barriers and implementing a free trade system than they would be without the free trade system. Previous empirical studies have typically looked at the relationship between a country's growth and its level of openness with trade agreements. In addition to the lack of research on how free trade agreements affect the growth performance of two nations, empirical studies have not yet come to a consensus on how free trade or openness affects the economic growth of a single nation (Hur &amp; Park, 2012). </w:t>
      </w:r>
    </w:p>
    <w:p w14:paraId="4875F070" w14:textId="09C2CBCE" w:rsidR="004623BD" w:rsidRPr="004623BD" w:rsidRDefault="004623BD" w:rsidP="004623BD">
      <w:pPr>
        <w:pStyle w:val="Body"/>
        <w:rPr>
          <w:rFonts w:ascii="Arial" w:hAnsi="Arial" w:cs="Arial"/>
        </w:rPr>
      </w:pPr>
      <w:r w:rsidRPr="004623BD">
        <w:rPr>
          <w:rFonts w:ascii="Arial" w:hAnsi="Arial" w:cs="Arial"/>
        </w:rPr>
        <w:t xml:space="preserve">In the form of Customs Unions and Free Trade Areas, Regional Trade Agreements (RTAs) have also gained popularity. Global commerce has grown significantly in global production as a result of trade liberalization with trade agreements. At an average compound annual growth rate of little more than 7%, global commerce has increased 16 times while global production or GDP has increased fivefold due to trade agreements. In several nations, particularly in South-East Asia, export growth has surpassed 10% annually. Countries with more open trade policies have had the strongest GDP growth, and exports have tended to expand the fastest in these nations. It is assumed that the FTA, PTA and </w:t>
      </w:r>
      <w:r w:rsidR="009F4C77">
        <w:rPr>
          <w:rFonts w:ascii="Arial" w:hAnsi="Arial" w:cs="Arial"/>
        </w:rPr>
        <w:t>RTA</w:t>
      </w:r>
      <w:r w:rsidRPr="004623BD">
        <w:rPr>
          <w:rFonts w:ascii="Arial" w:hAnsi="Arial" w:cs="Arial"/>
        </w:rPr>
        <w:t xml:space="preserve"> made more open trade policies (Thirlwall, 2000). The majority of research on North American and European accords revealed improvements in living conditions in the participating nations. After ten years, bilateral commerce between two FTA members doubles, according to research by Baier and Bergstrand (2007). According to Kandogan's (2008) research on the impact of regional blocs on commerce, preferential trade agreements and agreements for economic cooperation both promote trade between partners (Ullah &amp; Inaba,2011). Early in the 1990s, there was a significant surge in the number of free trade agreements, both bilateral and organizational. By boosting trade volume, the free trade agreement will boost the economy. However, non-member nations will suffer as a result of this accord. Regional trade agreements will help non-WTO nations flourish, but they won't have much of an impact on WTO nations. </w:t>
      </w:r>
    </w:p>
    <w:p w14:paraId="30898374" w14:textId="756B777F" w:rsidR="00C470F1" w:rsidRPr="00C470F1" w:rsidRDefault="00C470F1" w:rsidP="00C470F1">
      <w:pPr>
        <w:pStyle w:val="Body"/>
        <w:spacing w:after="0"/>
        <w:rPr>
          <w:rFonts w:ascii="Arial" w:hAnsi="Arial" w:cs="Arial"/>
          <w:b/>
        </w:rPr>
      </w:pPr>
      <w:r w:rsidRPr="00C470F1">
        <w:rPr>
          <w:rFonts w:ascii="Arial" w:hAnsi="Arial" w:cs="Arial"/>
          <w:b/>
        </w:rPr>
        <w:t xml:space="preserve">1.2.1 The gravity model </w:t>
      </w:r>
      <w:r>
        <w:rPr>
          <w:rFonts w:ascii="Arial" w:hAnsi="Arial" w:cs="Arial"/>
          <w:b/>
        </w:rPr>
        <w:t>and</w:t>
      </w:r>
      <w:r w:rsidRPr="00C470F1">
        <w:rPr>
          <w:rFonts w:ascii="Arial" w:hAnsi="Arial" w:cs="Arial"/>
          <w:b/>
        </w:rPr>
        <w:t xml:space="preserve"> international trade</w:t>
      </w:r>
    </w:p>
    <w:p w14:paraId="6016A998" w14:textId="776F076F" w:rsidR="004623BD" w:rsidRPr="004623BD" w:rsidRDefault="004623BD" w:rsidP="004623BD">
      <w:pPr>
        <w:pStyle w:val="Body"/>
        <w:rPr>
          <w:rFonts w:ascii="Arial" w:hAnsi="Arial" w:cs="Arial"/>
        </w:rPr>
      </w:pPr>
      <w:r w:rsidRPr="004623BD">
        <w:rPr>
          <w:rFonts w:ascii="Arial" w:hAnsi="Arial" w:cs="Arial"/>
        </w:rPr>
        <w:t xml:space="preserve">The gravity model of international trade, initially introduced by Tinbergen in 1962, is not just a theoretical concept. It characterizes bilateral trade flows as a logarithmic-linear relationship influenced by the countries' incomes and the distance between them, offering a practical and applicable approach to understanding and predicting trade behaviours. This model demonstrates that trade is positively influenced by income levels and negatively affected by distance. </w:t>
      </w:r>
      <w:r w:rsidR="00C470F1" w:rsidRPr="004623BD">
        <w:rPr>
          <w:rFonts w:ascii="Arial" w:hAnsi="Arial" w:cs="Arial"/>
        </w:rPr>
        <w:t>This model was revolutionary in that it included trade costs, such as distance, which are significant hindrances in global trade (Bergstrand &amp; Egger, 2010). This idea attracted the attention of trade economists, prompting further investigation.</w:t>
      </w:r>
      <w:r w:rsidR="00C470F1">
        <w:rPr>
          <w:rFonts w:ascii="Arial" w:hAnsi="Arial" w:cs="Arial"/>
        </w:rPr>
        <w:t xml:space="preserve"> </w:t>
      </w:r>
      <w:r w:rsidRPr="004623BD">
        <w:rPr>
          <w:rFonts w:ascii="Arial" w:hAnsi="Arial" w:cs="Arial"/>
        </w:rPr>
        <w:t>Over the years, this framework has been extensively used in empirical studies of global trade and regional trade agreements (RTAs), providing significant insights into the complexities of international commerce. The gravity model has been frequently used by researchers to study international commerce and related issues including cu</w:t>
      </w:r>
      <w:r w:rsidR="00C470F1">
        <w:rPr>
          <w:rFonts w:ascii="Arial" w:hAnsi="Arial" w:cs="Arial"/>
        </w:rPr>
        <w:t>stoms</w:t>
      </w:r>
      <w:r w:rsidRPr="004623BD">
        <w:rPr>
          <w:rFonts w:ascii="Arial" w:hAnsi="Arial" w:cs="Arial"/>
        </w:rPr>
        <w:t xml:space="preserve"> unions, </w:t>
      </w:r>
      <w:r w:rsidR="00C470F1">
        <w:rPr>
          <w:rFonts w:ascii="Arial" w:hAnsi="Arial" w:cs="Arial"/>
        </w:rPr>
        <w:t>E</w:t>
      </w:r>
      <w:r w:rsidRPr="004623BD">
        <w:rPr>
          <w:rFonts w:ascii="Arial" w:hAnsi="Arial" w:cs="Arial"/>
        </w:rPr>
        <w:t xml:space="preserve">conomic </w:t>
      </w:r>
      <w:r w:rsidR="00C470F1">
        <w:rPr>
          <w:rFonts w:ascii="Arial" w:hAnsi="Arial" w:cs="Arial"/>
        </w:rPr>
        <w:t>I</w:t>
      </w:r>
      <w:r w:rsidRPr="004623BD">
        <w:rPr>
          <w:rFonts w:ascii="Arial" w:hAnsi="Arial" w:cs="Arial"/>
        </w:rPr>
        <w:t xml:space="preserve">ntegration </w:t>
      </w:r>
      <w:r w:rsidR="00C470F1">
        <w:rPr>
          <w:rFonts w:ascii="Arial" w:hAnsi="Arial" w:cs="Arial"/>
        </w:rPr>
        <w:t>A</w:t>
      </w:r>
      <w:r w:rsidRPr="004623BD">
        <w:rPr>
          <w:rFonts w:ascii="Arial" w:hAnsi="Arial" w:cs="Arial"/>
        </w:rPr>
        <w:t xml:space="preserve">greements (EIA), and immigrant ties that may affect multilateral trade (Joki &amp; Haque, 2022). In addition to Tinbergen's foundational work, scholars like Anderson (1979), Bergstrand (1985, 1989, 1990), Helpman (1987), Deardorff (1998), Evenett and Keller (2002), and Feenstra et al. (2001) have significantly enriched the theoretical underpinnings of the model.  The evolution of the gravity model has been a collective effort, with contributions from scholars across various fields shaping its development. Helpman (1987) argued that the model's empirical success underscored the relevance of the imperfect competition paradigm, while Deardorff (1998) demonstrated its compatibility with well-established theories such as Ricardian and Heckscher-Ohlin. Helpman and Krugman (1985) alongside Feenstra et al. (2001) showed how both classical and modern trade theories, which include product differentiation and comparative advantage, can substantiate the gravity model. </w:t>
      </w:r>
    </w:p>
    <w:p w14:paraId="085312A3" w14:textId="77777777" w:rsidR="004623BD" w:rsidRPr="004623BD" w:rsidRDefault="004623BD" w:rsidP="004623BD">
      <w:pPr>
        <w:pStyle w:val="Body"/>
        <w:rPr>
          <w:rFonts w:ascii="Arial" w:hAnsi="Arial" w:cs="Arial"/>
        </w:rPr>
      </w:pPr>
      <w:r w:rsidRPr="004623BD">
        <w:rPr>
          <w:rFonts w:ascii="Arial" w:hAnsi="Arial" w:cs="Arial"/>
        </w:rPr>
        <w:t>Feenstra et al. (2001) explored the gravity model further by categorizing exports into differentiated, homogeneous, and intermediate goods. Their research revealed that differentiated products correspond to the monopolistic competition framework, while homogeneous commodities fit the reciprocal dumping theory, which posits that nations might resort to dumping (selling products at prices lower than in their domestic markets) as a response to the trade policies of other countries.</w:t>
      </w:r>
    </w:p>
    <w:p w14:paraId="461AD7A5" w14:textId="77777777" w:rsidR="004623BD" w:rsidRPr="004623BD" w:rsidRDefault="004623BD" w:rsidP="004623BD">
      <w:pPr>
        <w:pStyle w:val="Body"/>
        <w:rPr>
          <w:rFonts w:ascii="Arial" w:hAnsi="Arial" w:cs="Arial"/>
        </w:rPr>
      </w:pPr>
      <w:r w:rsidRPr="004623BD">
        <w:rPr>
          <w:rFonts w:ascii="Arial" w:hAnsi="Arial" w:cs="Arial"/>
        </w:rPr>
        <w:t>The gravity model remains an active and dynamic research field, with a wealth of empirical studies examining its diverse applications. These investigations have utilized the gravity model to evaluate the effects of RTAs, including factors like trade creation and diversion. Numerous studies have focused on the regional integration of developed and industrialized nations, such as those conducted by Baldwin (1993, 1994), Oguledo and MacPhee (1994), and Bayoumi and Eichengreen (1995), who analyzed RTAs such as the EC, EU, NAFTA, and EFTA. Additional researchers, including Wang and Winters (1991), Hamilton and Winters (1992), and Baier and Bergstrand (2007), have leveraged the model to study RTAs in both developed and emerging markets. This ongoing research underscores the dynamism and continuous evolution of the gravity model.</w:t>
      </w:r>
    </w:p>
    <w:p w14:paraId="2BF8AB2F" w14:textId="77777777" w:rsidR="004623BD" w:rsidRPr="004623BD" w:rsidRDefault="004623BD" w:rsidP="004623BD">
      <w:pPr>
        <w:pStyle w:val="Body"/>
        <w:rPr>
          <w:rFonts w:ascii="Arial" w:hAnsi="Arial" w:cs="Arial"/>
        </w:rPr>
      </w:pPr>
      <w:r w:rsidRPr="004623BD">
        <w:rPr>
          <w:rFonts w:ascii="Arial" w:hAnsi="Arial" w:cs="Arial"/>
        </w:rPr>
        <w:lastRenderedPageBreak/>
        <w:t>Linnemann (1966) broadened the gravity model by adding more explanatory variables and establishing a theoretical framework rooted in the Walrasian equilibrium system. Leamer and Stern (1970) modified the gravity equation by applying a probability model for transactions, claiming that bilateral trade is unpredictable without considering transportation costs. At first, the gravity model faced doubt, regarded more as a physical analogy than a solid economic theory (Head &amp; Mayer, 2014). During that period, the Ricardian and Heckscher-Ohlin (H-O) models dominated trade theories by explaining trade through comparative advantage and differences in production factors. Nevertheless, these models could not fully elucidate the gravity equation, leaving it on the periphery of trade economics until Trefler (1995) successfully rationalized its existence (Head &amp; Mayer, 2014).</w:t>
      </w:r>
    </w:p>
    <w:p w14:paraId="171AF58B" w14:textId="64FE46CF" w:rsidR="004623BD" w:rsidRPr="004623BD" w:rsidRDefault="004623BD" w:rsidP="004623BD">
      <w:pPr>
        <w:pStyle w:val="Body"/>
        <w:rPr>
          <w:rFonts w:ascii="Arial" w:hAnsi="Arial" w:cs="Arial"/>
        </w:rPr>
      </w:pPr>
      <w:r w:rsidRPr="004623BD">
        <w:rPr>
          <w:rFonts w:ascii="Arial" w:hAnsi="Arial" w:cs="Arial"/>
        </w:rPr>
        <w:t xml:space="preserve">Later researchers created various theoretical frameworks to clarify the gravity model. Anderson (1979) was the first to relate the model to product differentiation, distinguishing goods by their country of origin and demonstrating that larger economies tend to trade more. His research laid the theoretical groundwork for the gravity equation. However, Anderson's model had constraints, such as presuming uniform pricing and identical preferences across nations. Bergstrand (1985, 1989, 1990) built on Anderson's findings, integrating price indices and monopolistic competition, and discovered that imported goods often serve as closer substitutes for one another than domestic products. </w:t>
      </w:r>
    </w:p>
    <w:p w14:paraId="6F39FDFB" w14:textId="1296900F" w:rsidR="00646D43" w:rsidRDefault="004623BD" w:rsidP="004623BD">
      <w:pPr>
        <w:pStyle w:val="Body"/>
        <w:spacing w:after="0"/>
        <w:rPr>
          <w:rFonts w:ascii="Arial" w:hAnsi="Arial" w:cs="Arial"/>
        </w:rPr>
      </w:pPr>
      <w:r w:rsidRPr="004623BD">
        <w:rPr>
          <w:rFonts w:ascii="Arial" w:hAnsi="Arial" w:cs="Arial"/>
        </w:rPr>
        <w:t xml:space="preserve">Deardorff (1998) further polished the gravity equation, demonstrating that the model remains valid even under arbitrary preferences, although specific trade flows may differ. McCallum (1995) introduced the "remoteness index" to represent multilateral prices, which aided in clarifying the "border puzzle." This represented a pivotal moment in gravity research, as scholars began to recognize trade barriers beyond mere distance, including elements like home bias and unaccounted trade (Trefler, 1995). Leamer and Levinsohn (1995) acknowledged the significance of distance and solidified the credibility of the gravity equation. </w:t>
      </w:r>
    </w:p>
    <w:p w14:paraId="6CE87522" w14:textId="77777777" w:rsidR="004623BD" w:rsidRPr="00FB3A86" w:rsidRDefault="004623BD" w:rsidP="004623BD">
      <w:pPr>
        <w:pStyle w:val="Body"/>
        <w:spacing w:after="0"/>
        <w:rPr>
          <w:rFonts w:ascii="Arial" w:hAnsi="Arial" w:cs="Arial"/>
        </w:rPr>
      </w:pPr>
    </w:p>
    <w:p w14:paraId="4CDC4ECB" w14:textId="69FEBB2F" w:rsidR="00790ADA" w:rsidRPr="00FB3A86" w:rsidRDefault="00902823" w:rsidP="00441B6F">
      <w:pPr>
        <w:pStyle w:val="AbstHead"/>
        <w:spacing w:after="0"/>
        <w:jc w:val="both"/>
        <w:rPr>
          <w:rFonts w:ascii="Arial" w:hAnsi="Arial" w:cs="Arial"/>
        </w:rPr>
      </w:pPr>
      <w:r>
        <w:rPr>
          <w:rFonts w:ascii="Arial" w:hAnsi="Arial" w:cs="Arial"/>
        </w:rPr>
        <w:t>2</w:t>
      </w:r>
      <w:r w:rsidR="00BA2B80" w:rsidRPr="00BA2B80">
        <w:t xml:space="preserve"> </w:t>
      </w:r>
      <w:r w:rsidR="00BA2B80" w:rsidRPr="00BA2B80">
        <w:rPr>
          <w:rFonts w:ascii="Arial" w:hAnsi="Arial" w:cs="Arial"/>
        </w:rPr>
        <w:t>Methodology, Econometric Model and Data</w:t>
      </w:r>
    </w:p>
    <w:p w14:paraId="647B6D42" w14:textId="01B6966B" w:rsidR="00220804" w:rsidRDefault="00220804" w:rsidP="00441B6F">
      <w:pPr>
        <w:pStyle w:val="Body"/>
        <w:spacing w:after="0"/>
        <w:rPr>
          <w:rFonts w:ascii="Arial" w:hAnsi="Arial" w:cs="Arial"/>
        </w:rPr>
      </w:pPr>
    </w:p>
    <w:p w14:paraId="54B53EB1" w14:textId="566D72C6" w:rsidR="00215AC1" w:rsidRPr="00D367BB" w:rsidRDefault="00215AC1" w:rsidP="009C4834">
      <w:pPr>
        <w:pStyle w:val="Body"/>
        <w:spacing w:after="0"/>
        <w:ind w:right="18"/>
        <w:rPr>
          <w:rFonts w:ascii="Arial" w:hAnsi="Arial" w:cs="Arial"/>
          <w:b/>
          <w:caps/>
          <w:sz w:val="22"/>
        </w:rPr>
      </w:pPr>
      <w:r w:rsidRPr="00D367BB">
        <w:rPr>
          <w:rFonts w:ascii="Arial" w:hAnsi="Arial" w:cs="Arial"/>
          <w:b/>
          <w:caps/>
          <w:sz w:val="22"/>
        </w:rPr>
        <w:t xml:space="preserve">2.1 </w:t>
      </w:r>
      <w:r w:rsidR="000B2CEC">
        <w:rPr>
          <w:rFonts w:ascii="Arial" w:hAnsi="Arial" w:cs="Arial"/>
          <w:b/>
          <w:sz w:val="22"/>
        </w:rPr>
        <w:t>E</w:t>
      </w:r>
      <w:r w:rsidR="00DD6C3F" w:rsidRPr="00662F1F">
        <w:rPr>
          <w:rFonts w:ascii="Arial" w:hAnsi="Arial" w:cs="Arial"/>
          <w:b/>
          <w:sz w:val="22"/>
        </w:rPr>
        <w:t>conometric model</w:t>
      </w:r>
    </w:p>
    <w:p w14:paraId="2D77C228" w14:textId="15A56ABD" w:rsidR="001423E9" w:rsidRPr="009C4834" w:rsidRDefault="001423E9" w:rsidP="009C4834">
      <w:pPr>
        <w:spacing w:line="276" w:lineRule="auto"/>
        <w:ind w:right="18"/>
        <w:jc w:val="both"/>
        <w:rPr>
          <w:rFonts w:ascii="Arial" w:hAnsi="Arial" w:cs="Arial"/>
        </w:rPr>
      </w:pPr>
      <w:r w:rsidRPr="009C4834">
        <w:rPr>
          <w:rFonts w:ascii="Arial" w:hAnsi="Arial" w:cs="Arial"/>
        </w:rPr>
        <w:t>The Newtonian laws of motion, fundamental to classical physics, have been adapted into a trade theory by economists (Newton, 1687). The equation is presented as follows:</w:t>
      </w:r>
    </w:p>
    <w:p w14:paraId="666045EE" w14:textId="77777777" w:rsidR="001423E9" w:rsidRPr="009C4834" w:rsidRDefault="001423E9" w:rsidP="009C4834">
      <w:pPr>
        <w:spacing w:line="276" w:lineRule="auto"/>
        <w:ind w:right="18"/>
        <w:jc w:val="both"/>
        <w:rPr>
          <w:rFonts w:ascii="Arial" w:hAnsi="Arial" w:cs="Arial"/>
        </w:rPr>
      </w:pPr>
      <m:oMath>
        <m:r>
          <w:rPr>
            <w:rFonts w:ascii="Cambria Math" w:hAnsi="Cambria Math" w:cs="Arial"/>
          </w:rPr>
          <m:t>F=G</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num>
          <m:den>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den>
        </m:f>
      </m:oMath>
      <w:r w:rsidRPr="009C4834">
        <w:rPr>
          <w:rFonts w:ascii="Arial" w:eastAsiaTheme="minorEastAsia" w:hAnsi="Arial" w:cs="Arial"/>
        </w:rPr>
        <w:t xml:space="preserve">                     (1)</w:t>
      </w:r>
    </w:p>
    <w:p w14:paraId="1667ADA8" w14:textId="77777777" w:rsidR="001423E9" w:rsidRPr="009C4834" w:rsidRDefault="001423E9" w:rsidP="009C4834">
      <w:pPr>
        <w:spacing w:line="276" w:lineRule="auto"/>
        <w:ind w:right="18"/>
        <w:jc w:val="both"/>
        <w:rPr>
          <w:rFonts w:ascii="Arial" w:hAnsi="Arial" w:cs="Arial"/>
        </w:rPr>
      </w:pPr>
      <w:r w:rsidRPr="009C4834">
        <w:rPr>
          <w:rFonts w:ascii="Arial" w:hAnsi="Arial" w:cs="Arial"/>
        </w:rPr>
        <w:t xml:space="preserve">In this equation, F represents the gravitational force acting between two objects, G denotes the gravitational constant, m1 and m2 indicate the masses of the first and second objects, respectively, and r signifies the separation distance between the two objects. Economists have substituted F with the trade flow between pairs of countries, m1 and m2 with the GDP of the domestic country and the GDP of the foreign countries, respectively, and r with the geographical distance separating those two countries. In his book, Linnemann (1966) applied the gravity equation within a comprehensive economic context, where he referenced the gravity model of trade as: </w:t>
      </w:r>
    </w:p>
    <w:p w14:paraId="227DB29E" w14:textId="77777777" w:rsidR="001423E9" w:rsidRPr="009C4834" w:rsidRDefault="00000000" w:rsidP="009C4834">
      <w:pPr>
        <w:spacing w:line="276" w:lineRule="auto"/>
        <w:ind w:right="18"/>
        <w:jc w:val="both"/>
        <w:rPr>
          <w:rFonts w:ascii="Arial" w:hAnsi="Arial" w:cs="Arial"/>
        </w:rPr>
      </w:pPr>
      <m:oMath>
        <m:sSub>
          <m:sSubPr>
            <m:ctrlPr>
              <w:rPr>
                <w:rFonts w:ascii="Cambria Math" w:eastAsiaTheme="minorEastAsia" w:hAnsi="Cambria Math" w:cs="Arial"/>
                <w:i/>
              </w:rPr>
            </m:ctrlPr>
          </m:sSubPr>
          <m:e>
            <m:r>
              <w:rPr>
                <w:rFonts w:ascii="Cambria Math" w:eastAsiaTheme="minorEastAsia" w:hAnsi="Cambria Math" w:cs="Arial"/>
              </w:rPr>
              <m:t>Trade</m:t>
            </m:r>
          </m:e>
          <m:sub>
            <m:r>
              <w:rPr>
                <w:rFonts w:ascii="Cambria Math" w:eastAsiaTheme="minorEastAsia" w:hAnsi="Cambria Math" w:cs="Arial"/>
              </w:rPr>
              <m:t>ij</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GDP</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GDP</m:t>
                </m:r>
              </m:e>
              <m:sub>
                <m:r>
                  <w:rPr>
                    <w:rFonts w:ascii="Cambria Math" w:hAnsi="Cambria Math" w:cs="Arial"/>
                  </w:rPr>
                  <m:t>j</m:t>
                </m:r>
              </m:sub>
            </m:sSub>
          </m:num>
          <m:den>
            <m:sSub>
              <m:sSubPr>
                <m:ctrlPr>
                  <w:rPr>
                    <w:rFonts w:ascii="Cambria Math" w:hAnsi="Cambria Math" w:cs="Arial"/>
                    <w:i/>
                  </w:rPr>
                </m:ctrlPr>
              </m:sSubPr>
              <m:e>
                <m:r>
                  <w:rPr>
                    <w:rFonts w:ascii="Cambria Math" w:hAnsi="Cambria Math" w:cs="Arial"/>
                  </w:rPr>
                  <m:t>Distance</m:t>
                </m:r>
              </m:e>
              <m:sub>
                <m:r>
                  <w:rPr>
                    <w:rFonts w:ascii="Cambria Math" w:hAnsi="Cambria Math" w:cs="Arial"/>
                  </w:rPr>
                  <m:t>ij</m:t>
                </m:r>
              </m:sub>
            </m:sSub>
          </m:den>
        </m:f>
      </m:oMath>
      <w:r w:rsidR="001423E9" w:rsidRPr="009C4834">
        <w:rPr>
          <w:rFonts w:ascii="Arial" w:eastAsiaTheme="minorEastAsia" w:hAnsi="Arial" w:cs="Arial"/>
        </w:rPr>
        <w:t xml:space="preserve">               (2)</w:t>
      </w:r>
    </w:p>
    <w:p w14:paraId="4B3A0DCC" w14:textId="77777777" w:rsidR="001423E9" w:rsidRPr="009C4834" w:rsidRDefault="001423E9" w:rsidP="009C4834">
      <w:pPr>
        <w:spacing w:line="276" w:lineRule="auto"/>
        <w:ind w:right="18"/>
        <w:jc w:val="both"/>
        <w:rPr>
          <w:rFonts w:ascii="Arial" w:hAnsi="Arial" w:cs="Arial"/>
        </w:rPr>
      </w:pPr>
    </w:p>
    <w:p w14:paraId="0D302002" w14:textId="77777777" w:rsidR="001423E9" w:rsidRPr="009C4834" w:rsidRDefault="001423E9" w:rsidP="009C4834">
      <w:pPr>
        <w:spacing w:line="276" w:lineRule="auto"/>
        <w:ind w:right="18"/>
        <w:jc w:val="both"/>
        <w:rPr>
          <w:rFonts w:ascii="Arial" w:hAnsi="Arial" w:cs="Arial"/>
        </w:rPr>
      </w:pPr>
      <w:r w:rsidRPr="009C4834">
        <w:rPr>
          <w:rFonts w:ascii="Arial" w:hAnsi="Arial" w:cs="Arial"/>
        </w:rPr>
        <w:t>Applying the logarithmic transformation to equation (2), it is transformed into:</w:t>
      </w:r>
    </w:p>
    <w:p w14:paraId="0A48987D" w14:textId="77777777" w:rsidR="001423E9" w:rsidRPr="009C4834" w:rsidRDefault="001423E9" w:rsidP="009C4834">
      <w:pPr>
        <w:spacing w:line="276" w:lineRule="auto"/>
        <w:ind w:right="18"/>
        <w:jc w:val="both"/>
        <w:rPr>
          <w:rFonts w:ascii="Arial" w:hAnsi="Arial" w:cs="Arial"/>
        </w:rPr>
      </w:pPr>
      <m:oMathPara>
        <m:oMath>
          <m:r>
            <w:rPr>
              <w:rFonts w:ascii="Cambria Math" w:hAnsi="Cambria Math" w:cs="Arial"/>
            </w:rPr>
            <m:t>ln</m:t>
          </m:r>
          <m:sSub>
            <m:sSubPr>
              <m:ctrlPr>
                <w:rPr>
                  <w:rFonts w:ascii="Cambria Math" w:hAnsi="Cambria Math" w:cs="Arial"/>
                  <w:i/>
                </w:rPr>
              </m:ctrlPr>
            </m:sSubPr>
            <m:e>
              <m:r>
                <w:rPr>
                  <w:rFonts w:ascii="Cambria Math" w:hAnsi="Cambria Math" w:cs="Arial"/>
                </w:rPr>
                <m:t>Trade</m:t>
              </m:r>
            </m:e>
            <m:sub>
              <m:r>
                <w:rPr>
                  <w:rFonts w:ascii="Cambria Math" w:hAnsi="Cambria Math" w:cs="Arial"/>
                </w:rPr>
                <m:t>ij</m:t>
              </m:r>
            </m:sub>
          </m:sSub>
          <m:r>
            <w:rPr>
              <w:rFonts w:ascii="Cambria Math" w:hAnsi="Cambria Math" w:cs="Arial"/>
            </w:rPr>
            <m:t>=ln</m:t>
          </m:r>
          <m:sSub>
            <m:sSubPr>
              <m:ctrlPr>
                <w:rPr>
                  <w:rFonts w:ascii="Cambria Math" w:hAnsi="Cambria Math" w:cs="Arial"/>
                  <w:i/>
                </w:rPr>
              </m:ctrlPr>
            </m:sSubPr>
            <m:e>
              <m:r>
                <w:rPr>
                  <w:rFonts w:ascii="Cambria Math" w:hAnsi="Cambria Math" w:cs="Arial"/>
                </w:rPr>
                <m:t>GDP</m:t>
              </m:r>
            </m:e>
            <m:sub>
              <m:r>
                <w:rPr>
                  <w:rFonts w:ascii="Cambria Math" w:hAnsi="Cambria Math" w:cs="Arial"/>
                </w:rPr>
                <m:t>i</m:t>
              </m:r>
            </m:sub>
          </m:sSub>
          <m:r>
            <w:rPr>
              <w:rFonts w:ascii="Cambria Math" w:hAnsi="Cambria Math" w:cs="Arial"/>
            </w:rPr>
            <m:t>+ln</m:t>
          </m:r>
          <m:sSub>
            <m:sSubPr>
              <m:ctrlPr>
                <w:rPr>
                  <w:rFonts w:ascii="Cambria Math" w:hAnsi="Cambria Math" w:cs="Arial"/>
                  <w:i/>
                </w:rPr>
              </m:ctrlPr>
            </m:sSubPr>
            <m:e>
              <m:r>
                <w:rPr>
                  <w:rFonts w:ascii="Cambria Math" w:hAnsi="Cambria Math" w:cs="Arial"/>
                </w:rPr>
                <m:t>GDP</m:t>
              </m:r>
            </m:e>
            <m:sub>
              <m:r>
                <w:rPr>
                  <w:rFonts w:ascii="Cambria Math" w:hAnsi="Cambria Math" w:cs="Arial"/>
                </w:rPr>
                <m:t>j</m:t>
              </m:r>
            </m:sub>
          </m:sSub>
          <m:r>
            <w:rPr>
              <w:rFonts w:ascii="Cambria Math" w:hAnsi="Cambria Math" w:cs="Arial"/>
            </w:rPr>
            <m:t>-ln</m:t>
          </m:r>
          <m:sSub>
            <m:sSubPr>
              <m:ctrlPr>
                <w:rPr>
                  <w:rFonts w:ascii="Cambria Math" w:hAnsi="Cambria Math" w:cs="Arial"/>
                  <w:i/>
                </w:rPr>
              </m:ctrlPr>
            </m:sSubPr>
            <m:e>
              <m:r>
                <w:rPr>
                  <w:rFonts w:ascii="Cambria Math" w:hAnsi="Cambria Math" w:cs="Arial"/>
                </w:rPr>
                <m:t>Distance</m:t>
              </m:r>
            </m:e>
            <m:sub>
              <m:r>
                <w:rPr>
                  <w:rFonts w:ascii="Cambria Math" w:hAnsi="Cambria Math" w:cs="Arial"/>
                </w:rPr>
                <m:t>ij</m:t>
              </m:r>
            </m:sub>
          </m:sSub>
          <m:r>
            <w:rPr>
              <w:rFonts w:ascii="Cambria Math" w:hAnsi="Cambria Math" w:cs="Arial"/>
            </w:rPr>
            <m:t xml:space="preserve">            (3)</m:t>
          </m:r>
        </m:oMath>
      </m:oMathPara>
    </w:p>
    <w:p w14:paraId="1E0EA9E3" w14:textId="77777777" w:rsidR="001423E9" w:rsidRPr="009C4834" w:rsidRDefault="001423E9" w:rsidP="009C4834">
      <w:pPr>
        <w:spacing w:line="276" w:lineRule="auto"/>
        <w:ind w:right="18"/>
        <w:jc w:val="both"/>
        <w:rPr>
          <w:rFonts w:ascii="Arial" w:hAnsi="Arial" w:cs="Arial"/>
        </w:rPr>
      </w:pPr>
      <w:r w:rsidRPr="009C4834">
        <w:rPr>
          <w:rFonts w:ascii="Arial" w:hAnsi="Arial" w:cs="Arial"/>
        </w:rPr>
        <w:t xml:space="preserve">In this case, there is a positive correlation between the trade and Gross Domestic Product (GDP) of both nations. However, a negative correlation is noted between distance and trade. This study uses the conventional gravity trade model to analyze trade flows between Bangladesh and its trading partners. To address the estimation biases resulting from the lack of multilateral trade resistance terms, we incorporate various dummy variables, drawing on the reasoning presented by Feenstra (2016). This model was also used by Baier and Bergstrand (2007). The trade flow within the gravity model, incorporating its own lag effects for one period along with population influences, can be expressed as follows: </w:t>
      </w:r>
    </w:p>
    <w:p w14:paraId="33981EF7" w14:textId="77777777" w:rsidR="001423E9" w:rsidRPr="009C4834" w:rsidRDefault="00000000" w:rsidP="009C4834">
      <w:pPr>
        <w:spacing w:line="276" w:lineRule="auto"/>
        <w:ind w:right="18"/>
        <w:jc w:val="both"/>
        <w:rPr>
          <w:rFonts w:ascii="Arial" w:hAnsi="Arial" w:cs="Arial"/>
        </w:rPr>
      </w:pPr>
      <m:oMathPara>
        <m:oMath>
          <m:sSub>
            <m:sSubPr>
              <m:ctrlPr>
                <w:rPr>
                  <w:rFonts w:ascii="Cambria Math" w:hAnsi="Cambria Math" w:cs="Arial"/>
                  <w:i/>
                </w:rPr>
              </m:ctrlPr>
            </m:sSubPr>
            <m:e>
              <m:r>
                <w:rPr>
                  <w:rFonts w:ascii="Cambria Math" w:hAnsi="Cambria Math" w:cs="Arial"/>
                </w:rPr>
                <m:t>exportBD</m:t>
              </m:r>
            </m:e>
            <m:sub>
              <m:r>
                <w:rPr>
                  <w:rFonts w:ascii="Cambria Math" w:hAnsi="Cambria Math" w:cs="Arial"/>
                </w:rPr>
                <m:t>ij</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m:rPr>
                      <m:sty m:val="p"/>
                    </m:rPr>
                    <w:rPr>
                      <w:rFonts w:ascii="Cambria Math" w:hAnsi="Cambria Math" w:cs="Arial"/>
                    </w:rPr>
                    <m:t>gdp_o</m:t>
                  </m:r>
                </m:e>
                <m:sub>
                  <m:r>
                    <w:rPr>
                      <w:rFonts w:ascii="Cambria Math" w:hAnsi="Cambria Math" w:cs="Arial"/>
                    </w:rPr>
                    <m:t>BDi</m:t>
                  </m:r>
                </m:sub>
              </m:sSub>
              <m:sSub>
                <m:sSubPr>
                  <m:ctrlPr>
                    <w:rPr>
                      <w:rFonts w:ascii="Cambria Math" w:hAnsi="Cambria Math" w:cs="Arial"/>
                      <w:i/>
                    </w:rPr>
                  </m:ctrlPr>
                </m:sSubPr>
                <m:e>
                  <m:r>
                    <w:rPr>
                      <w:rFonts w:ascii="Cambria Math" w:hAnsi="Cambria Math" w:cs="Arial"/>
                    </w:rPr>
                    <m:t>gdp</m:t>
                  </m:r>
                </m:e>
                <m:sub>
                  <m:r>
                    <w:rPr>
                      <w:rFonts w:ascii="Cambria Math" w:hAnsi="Cambria Math" w:cs="Arial"/>
                    </w:rPr>
                    <m:t>j</m:t>
                  </m:r>
                </m:sub>
              </m:sSub>
              <m:sSub>
                <m:sSubPr>
                  <m:ctrlPr>
                    <w:rPr>
                      <w:rFonts w:ascii="Cambria Math" w:hAnsi="Cambria Math" w:cs="Arial"/>
                      <w:i/>
                    </w:rPr>
                  </m:ctrlPr>
                </m:sSubPr>
                <m:e>
                  <m:r>
                    <m:rPr>
                      <m:sty m:val="p"/>
                    </m:rPr>
                    <w:rPr>
                      <w:rFonts w:ascii="Cambria Math" w:hAnsi="Cambria Math" w:cs="Arial"/>
                    </w:rPr>
                    <m:t>pop_oBD</m:t>
                  </m:r>
                </m:e>
                <m:sub>
                  <m:r>
                    <w:rPr>
                      <w:rFonts w:ascii="Cambria Math" w:hAnsi="Cambria Math" w:cs="Arial"/>
                    </w:rPr>
                    <m:t>i</m:t>
                  </m:r>
                </m:sub>
              </m:sSub>
              <m:sSub>
                <m:sSubPr>
                  <m:ctrlPr>
                    <w:rPr>
                      <w:rFonts w:ascii="Cambria Math" w:hAnsi="Cambria Math" w:cs="Arial"/>
                      <w:i/>
                    </w:rPr>
                  </m:ctrlPr>
                </m:sSubPr>
                <m:e>
                  <m:r>
                    <m:rPr>
                      <m:sty m:val="p"/>
                    </m:rPr>
                    <w:rPr>
                      <w:rFonts w:ascii="Cambria Math" w:hAnsi="Cambria Math" w:cs="Arial"/>
                    </w:rPr>
                    <m:t>pop o</m:t>
                  </m:r>
                </m:e>
                <m:sub>
                  <m:r>
                    <w:rPr>
                      <w:rFonts w:ascii="Cambria Math" w:hAnsi="Cambria Math" w:cs="Arial"/>
                    </w:rPr>
                    <m:t>j</m:t>
                  </m:r>
                </m:sub>
              </m:sSub>
            </m:num>
            <m:den>
              <m:sSub>
                <m:sSubPr>
                  <m:ctrlPr>
                    <w:rPr>
                      <w:rFonts w:ascii="Cambria Math" w:hAnsi="Cambria Math" w:cs="Arial"/>
                      <w:i/>
                    </w:rPr>
                  </m:ctrlPr>
                </m:sSubPr>
                <m:e>
                  <m:r>
                    <w:rPr>
                      <w:rFonts w:ascii="Cambria Math" w:hAnsi="Cambria Math" w:cs="Arial"/>
                    </w:rPr>
                    <m:t>dist</m:t>
                  </m:r>
                </m:e>
                <m:sub>
                  <m:r>
                    <w:rPr>
                      <w:rFonts w:ascii="Cambria Math" w:hAnsi="Cambria Math" w:cs="Arial"/>
                    </w:rPr>
                    <m:t>BDij</m:t>
                  </m:r>
                </m:sub>
              </m:sSub>
            </m:den>
          </m:f>
          <m:r>
            <w:rPr>
              <w:rFonts w:ascii="Cambria Math" w:hAnsi="Cambria Math" w:cs="Arial"/>
            </w:rPr>
            <m:t xml:space="preserve">              (4)</m:t>
          </m:r>
        </m:oMath>
      </m:oMathPara>
    </w:p>
    <w:p w14:paraId="6DE8B7BA" w14:textId="77777777" w:rsidR="001423E9" w:rsidRPr="009C4834" w:rsidRDefault="001423E9" w:rsidP="009C4834">
      <w:pPr>
        <w:spacing w:line="276" w:lineRule="auto"/>
        <w:ind w:right="18"/>
        <w:jc w:val="both"/>
        <w:rPr>
          <w:rFonts w:ascii="Arial" w:eastAsiaTheme="minorEastAsia" w:hAnsi="Arial" w:cs="Arial"/>
        </w:rPr>
      </w:pPr>
      <w:r w:rsidRPr="009C4834">
        <w:rPr>
          <w:rFonts w:ascii="Arial" w:hAnsi="Arial" w:cs="Arial"/>
        </w:rPr>
        <w:t xml:space="preserve">Here, </w:t>
      </w:r>
      <m:oMath>
        <m:sSub>
          <m:sSubPr>
            <m:ctrlPr>
              <w:rPr>
                <w:rFonts w:ascii="Cambria Math" w:hAnsi="Cambria Math" w:cs="Arial"/>
                <w:i/>
              </w:rPr>
            </m:ctrlPr>
          </m:sSubPr>
          <m:e>
            <m:sSub>
              <m:sSubPr>
                <m:ctrlPr>
                  <w:rPr>
                    <w:rFonts w:ascii="Cambria Math" w:hAnsi="Cambria Math" w:cs="Arial"/>
                  </w:rPr>
                </m:ctrlPr>
              </m:sSubPr>
              <m:e>
                <m:r>
                  <m:rPr>
                    <m:sty m:val="p"/>
                  </m:rPr>
                  <w:rPr>
                    <w:rFonts w:ascii="Cambria Math" w:hAnsi="Cambria Math" w:cs="Arial"/>
                  </w:rPr>
                  <m:t>gdp</m:t>
                </m:r>
              </m:e>
              <m:sub>
                <m:r>
                  <m:rPr>
                    <m:sty m:val="p"/>
                  </m:rPr>
                  <w:rPr>
                    <w:rFonts w:ascii="Cambria Math" w:hAnsi="Cambria Math" w:cs="Arial"/>
                  </w:rPr>
                  <m:t>o</m:t>
                </m:r>
              </m:sub>
            </m:sSub>
          </m:e>
          <m:sub>
            <m:r>
              <w:rPr>
                <w:rFonts w:ascii="Cambria Math" w:hAnsi="Cambria Math" w:cs="Arial"/>
              </w:rPr>
              <m:t>BDi</m:t>
            </m:r>
          </m:sub>
        </m:sSub>
        <m:r>
          <w:rPr>
            <w:rFonts w:ascii="Cambria Math" w:hAnsi="Cambria Math" w:cs="Arial"/>
          </w:rPr>
          <m:t>=GDP of origin country in this case it is Bangaldesh</m:t>
        </m:r>
      </m:oMath>
    </w:p>
    <w:p w14:paraId="13DD5E26" w14:textId="77777777" w:rsidR="001423E9" w:rsidRPr="009C4834" w:rsidRDefault="00000000" w:rsidP="009C4834">
      <w:pPr>
        <w:spacing w:line="276" w:lineRule="auto"/>
        <w:ind w:right="18"/>
        <w:jc w:val="both"/>
        <w:rPr>
          <w:rFonts w:ascii="Arial" w:eastAsiaTheme="minorEastAsia" w:hAnsi="Arial" w:cs="Arial"/>
        </w:rPr>
      </w:pPr>
      <m:oMathPara>
        <m:oMathParaPr>
          <m:jc m:val="left"/>
        </m:oMathParaPr>
        <m:oMath>
          <m:sSub>
            <m:sSubPr>
              <m:ctrlPr>
                <w:rPr>
                  <w:rFonts w:ascii="Cambria Math" w:hAnsi="Cambria Math" w:cs="Arial"/>
                  <w:i/>
                </w:rPr>
              </m:ctrlPr>
            </m:sSubPr>
            <m:e>
              <m:r>
                <w:rPr>
                  <w:rFonts w:ascii="Cambria Math" w:hAnsi="Cambria Math" w:cs="Arial"/>
                </w:rPr>
                <m:t>gdp</m:t>
              </m:r>
            </m:e>
            <m:sub>
              <m:r>
                <w:rPr>
                  <w:rFonts w:ascii="Cambria Math" w:hAnsi="Cambria Math" w:cs="Arial"/>
                </w:rPr>
                <m:t>j</m:t>
              </m:r>
            </m:sub>
          </m:sSub>
          <m:r>
            <w:rPr>
              <w:rFonts w:ascii="Cambria Math" w:hAnsi="Cambria Math" w:cs="Arial"/>
            </w:rPr>
            <m:t>=GDP of export destination country</m:t>
          </m:r>
        </m:oMath>
      </m:oMathPara>
    </w:p>
    <w:p w14:paraId="2E7189C9" w14:textId="77777777" w:rsidR="001423E9" w:rsidRPr="009C4834" w:rsidRDefault="00000000" w:rsidP="009C4834">
      <w:pPr>
        <w:spacing w:line="276" w:lineRule="auto"/>
        <w:ind w:right="18"/>
        <w:jc w:val="both"/>
        <w:rPr>
          <w:rFonts w:ascii="Arial" w:eastAsiaTheme="minorEastAsia" w:hAnsi="Arial" w:cs="Arial"/>
        </w:rPr>
      </w:pPr>
      <m:oMathPara>
        <m:oMathParaPr>
          <m:jc m:val="left"/>
        </m:oMathParaPr>
        <m:oMath>
          <m:sSub>
            <m:sSubPr>
              <m:ctrlPr>
                <w:rPr>
                  <w:rFonts w:ascii="Cambria Math" w:hAnsi="Cambria Math" w:cs="Arial"/>
                  <w:i/>
                </w:rPr>
              </m:ctrlPr>
            </m:sSubPr>
            <m:e>
              <m:r>
                <m:rPr>
                  <m:sty m:val="p"/>
                </m:rPr>
                <w:rPr>
                  <w:rFonts w:ascii="Cambria Math" w:hAnsi="Cambria Math" w:cs="Arial"/>
                </w:rPr>
                <m:t>pop_oBD</m:t>
              </m:r>
            </m:e>
            <m:sub>
              <m:r>
                <w:rPr>
                  <w:rFonts w:ascii="Cambria Math" w:hAnsi="Cambria Math" w:cs="Arial"/>
                </w:rPr>
                <m:t>i</m:t>
              </m:r>
            </m:sub>
          </m:sSub>
          <m:r>
            <w:rPr>
              <w:rFonts w:ascii="Cambria Math" w:hAnsi="Cambria Math" w:cs="Arial"/>
            </w:rPr>
            <m:t>=Population oforigin country in this case it is Bangladesh</m:t>
          </m:r>
        </m:oMath>
      </m:oMathPara>
    </w:p>
    <w:p w14:paraId="54BF9D6A" w14:textId="77777777" w:rsidR="001423E9" w:rsidRPr="009C4834" w:rsidRDefault="00000000" w:rsidP="009C4834">
      <w:pPr>
        <w:spacing w:line="276" w:lineRule="auto"/>
        <w:ind w:right="18"/>
        <w:jc w:val="both"/>
        <w:rPr>
          <w:rFonts w:ascii="Arial" w:eastAsiaTheme="minorEastAsia" w:hAnsi="Arial" w:cs="Arial"/>
        </w:rPr>
      </w:pPr>
      <m:oMathPara>
        <m:oMathParaPr>
          <m:jc m:val="left"/>
        </m:oMathParaPr>
        <m:oMath>
          <m:sSub>
            <m:sSubPr>
              <m:ctrlPr>
                <w:rPr>
                  <w:rFonts w:ascii="Cambria Math" w:hAnsi="Cambria Math" w:cs="Arial"/>
                  <w:i/>
                </w:rPr>
              </m:ctrlPr>
            </m:sSubPr>
            <m:e>
              <m:r>
                <m:rPr>
                  <m:sty m:val="p"/>
                </m:rPr>
                <w:rPr>
                  <w:rFonts w:ascii="Cambria Math" w:hAnsi="Cambria Math" w:cs="Arial"/>
                </w:rPr>
                <m:t>pop o</m:t>
              </m:r>
            </m:e>
            <m:sub>
              <m:r>
                <w:rPr>
                  <w:rFonts w:ascii="Cambria Math" w:hAnsi="Cambria Math" w:cs="Arial"/>
                </w:rPr>
                <m:t>j</m:t>
              </m:r>
            </m:sub>
          </m:sSub>
          <m:r>
            <w:rPr>
              <w:rFonts w:ascii="Cambria Math" w:hAnsi="Cambria Math" w:cs="Arial"/>
            </w:rPr>
            <m:t>= Population of export destination country</m:t>
          </m:r>
        </m:oMath>
      </m:oMathPara>
    </w:p>
    <w:p w14:paraId="5606CA97" w14:textId="77777777" w:rsidR="001423E9" w:rsidRPr="009C4834" w:rsidRDefault="00000000" w:rsidP="009C4834">
      <w:pPr>
        <w:spacing w:line="276" w:lineRule="auto"/>
        <w:ind w:right="18"/>
        <w:jc w:val="both"/>
        <w:rPr>
          <w:rFonts w:ascii="Arial" w:eastAsiaTheme="minorEastAsia" w:hAnsi="Arial" w:cs="Arial"/>
        </w:rPr>
      </w:pPr>
      <m:oMathPara>
        <m:oMathParaPr>
          <m:jc m:val="left"/>
        </m:oMathParaPr>
        <m:oMath>
          <m:sSub>
            <m:sSubPr>
              <m:ctrlPr>
                <w:rPr>
                  <w:rFonts w:ascii="Cambria Math" w:hAnsi="Cambria Math" w:cs="Arial"/>
                  <w:i/>
                </w:rPr>
              </m:ctrlPr>
            </m:sSubPr>
            <m:e>
              <m:r>
                <w:rPr>
                  <w:rFonts w:ascii="Cambria Math" w:hAnsi="Cambria Math" w:cs="Arial"/>
                </w:rPr>
                <m:t>dist</m:t>
              </m:r>
            </m:e>
            <m:sub>
              <m:r>
                <w:rPr>
                  <w:rFonts w:ascii="Cambria Math" w:hAnsi="Cambria Math" w:cs="Arial"/>
                </w:rPr>
                <m:t>BDij</m:t>
              </m:r>
            </m:sub>
          </m:sSub>
          <m:r>
            <w:rPr>
              <w:rFonts w:ascii="Cambria Math" w:hAnsi="Cambria Math" w:cs="Arial"/>
            </w:rPr>
            <m:t xml:space="preserve">=Distence between Bangaldesh and export destination country </m:t>
          </m:r>
        </m:oMath>
      </m:oMathPara>
    </w:p>
    <w:p w14:paraId="5D96EFF3" w14:textId="77777777" w:rsidR="001423E9" w:rsidRPr="009C4834" w:rsidRDefault="001423E9" w:rsidP="009C4834">
      <w:pPr>
        <w:spacing w:line="276" w:lineRule="auto"/>
        <w:ind w:right="18"/>
        <w:jc w:val="both"/>
        <w:rPr>
          <w:rFonts w:ascii="Arial" w:hAnsi="Arial" w:cs="Arial"/>
        </w:rPr>
      </w:pPr>
      <w:r w:rsidRPr="009C4834">
        <w:rPr>
          <w:rFonts w:ascii="Arial" w:hAnsi="Arial" w:cs="Arial"/>
        </w:rPr>
        <w:t>If we apply the natural log of the variables, then the trade flow appears as:</w:t>
      </w:r>
    </w:p>
    <w:p w14:paraId="0280291A" w14:textId="77777777" w:rsidR="001423E9" w:rsidRPr="009C4834" w:rsidRDefault="001423E9" w:rsidP="009C4834">
      <w:pPr>
        <w:spacing w:line="276" w:lineRule="auto"/>
        <w:ind w:right="18"/>
        <w:jc w:val="both"/>
        <w:rPr>
          <w:rFonts w:ascii="Arial" w:hAnsi="Arial" w:cs="Arial"/>
        </w:rPr>
      </w:pPr>
      <m:oMathPara>
        <m:oMath>
          <m:r>
            <w:rPr>
              <w:rFonts w:ascii="Cambria Math" w:hAnsi="Cambria Math" w:cs="Arial"/>
            </w:rPr>
            <w:lastRenderedPageBreak/>
            <m:t>ln</m:t>
          </m:r>
          <m:sSub>
            <m:sSubPr>
              <m:ctrlPr>
                <w:rPr>
                  <w:rFonts w:ascii="Cambria Math" w:hAnsi="Cambria Math" w:cs="Arial"/>
                  <w:i/>
                </w:rPr>
              </m:ctrlPr>
            </m:sSubPr>
            <m:e>
              <m:r>
                <w:rPr>
                  <w:rFonts w:ascii="Cambria Math" w:hAnsi="Cambria Math" w:cs="Arial"/>
                </w:rPr>
                <m:t xml:space="preserve"> export</m:t>
              </m:r>
            </m:e>
            <m:sub>
              <m:r>
                <w:rPr>
                  <w:rFonts w:ascii="Cambria Math" w:hAnsi="Cambria Math" w:cs="Arial"/>
                </w:rPr>
                <m:t>BDij</m:t>
              </m:r>
            </m:sub>
          </m:sSub>
          <m:r>
            <w:rPr>
              <w:rFonts w:ascii="Cambria Math" w:hAnsi="Cambria Math" w:cs="Arial"/>
            </w:rPr>
            <m:t>=</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1</m:t>
              </m:r>
            </m:sub>
          </m:sSub>
          <m:r>
            <w:rPr>
              <w:rFonts w:ascii="Cambria Math" w:hAnsi="Cambria Math" w:cs="Arial"/>
            </w:rPr>
            <m:t>ln</m:t>
          </m:r>
          <m:sSub>
            <m:sSubPr>
              <m:ctrlPr>
                <w:rPr>
                  <w:rFonts w:ascii="Cambria Math" w:hAnsi="Cambria Math" w:cs="Arial"/>
                  <w:i/>
                </w:rPr>
              </m:ctrlPr>
            </m:sSubPr>
            <m:e>
              <m:r>
                <m:rPr>
                  <m:sty m:val="p"/>
                </m:rPr>
                <w:rPr>
                  <w:rFonts w:ascii="Cambria Math" w:hAnsi="Cambria Math" w:cs="Arial"/>
                </w:rPr>
                <m:t>gdp_o</m:t>
              </m:r>
            </m:e>
            <m:sub>
              <m:r>
                <w:rPr>
                  <w:rFonts w:ascii="Cambria Math" w:hAnsi="Cambria Math" w:cs="Arial"/>
                </w:rPr>
                <m:t>BDi</m:t>
              </m:r>
            </m:sub>
          </m:sSub>
          <m:r>
            <w:rPr>
              <w:rFonts w:ascii="Cambria Math" w:hAnsi="Cambria Math" w:cs="Arial"/>
            </w:rPr>
            <m:t>+</m:t>
          </m:r>
          <m:sSub>
            <m:sSubPr>
              <m:ctrlPr>
                <w:rPr>
                  <w:rFonts w:ascii="Cambria Math" w:hAnsi="Cambria Math" w:cs="Arial"/>
                  <w:i/>
                </w:rPr>
              </m:ctrlPr>
            </m:sSubPr>
            <m:e>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2</m:t>
                  </m:r>
                </m:sub>
              </m:sSub>
              <m:r>
                <m:rPr>
                  <m:sty m:val="p"/>
                </m:rPr>
                <w:rPr>
                  <w:rFonts w:ascii="Cambria Math" w:hAnsi="Cambria Math" w:cs="Arial"/>
                </w:rPr>
                <m:t>gdp_d</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3</m:t>
                  </m:r>
                </m:sub>
              </m:sSub>
              <m:r>
                <m:rPr>
                  <m:sty m:val="p"/>
                </m:rPr>
                <w:rPr>
                  <w:rFonts w:ascii="Cambria Math" w:hAnsi="Cambria Math" w:cs="Arial"/>
                </w:rPr>
                <m:t>lnpop o</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4</m:t>
                  </m:r>
                </m:sub>
              </m:sSub>
              <m:r>
                <m:rPr>
                  <m:sty m:val="p"/>
                </m:rPr>
                <w:rPr>
                  <w:rFonts w:ascii="Cambria Math" w:hAnsi="Cambria Math" w:cs="Arial"/>
                </w:rPr>
                <m:t>lnpop_d</m:t>
              </m:r>
            </m:e>
            <m:sub>
              <m:r>
                <w:rPr>
                  <w:rFonts w:ascii="Cambria Math" w:hAnsi="Cambria Math" w:cs="Arial"/>
                </w:rPr>
                <m:t>j</m:t>
              </m:r>
            </m:sub>
          </m:sSub>
          <m:r>
            <w:rPr>
              <w:rFonts w:ascii="Cambria Math" w:hAnsi="Cambria Math" w:cs="Arial"/>
            </w:rPr>
            <m:t>-</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5</m:t>
              </m:r>
            </m:sub>
          </m:sSub>
          <m:r>
            <w:rPr>
              <w:rFonts w:ascii="Cambria Math" w:hAnsi="Cambria Math" w:cs="Arial"/>
            </w:rPr>
            <m:t>ln</m:t>
          </m:r>
          <m:sSub>
            <m:sSubPr>
              <m:ctrlPr>
                <w:rPr>
                  <w:rFonts w:ascii="Cambria Math" w:hAnsi="Cambria Math" w:cs="Arial"/>
                  <w:i/>
                </w:rPr>
              </m:ctrlPr>
            </m:sSubPr>
            <m:e>
              <m:r>
                <w:rPr>
                  <w:rFonts w:ascii="Cambria Math" w:hAnsi="Cambria Math" w:cs="Arial"/>
                </w:rPr>
                <m:t>dist</m:t>
              </m:r>
            </m:e>
            <m:sub>
              <m:r>
                <w:rPr>
                  <w:rFonts w:ascii="Cambria Math" w:hAnsi="Cambria Math" w:cs="Arial"/>
                </w:rPr>
                <m:t>BDij</m:t>
              </m:r>
            </m:sub>
          </m:sSub>
          <m:r>
            <w:rPr>
              <w:rFonts w:ascii="Cambria Math" w:hAnsi="Cambria Math" w:cs="Arial"/>
            </w:rPr>
            <m:t xml:space="preserve">                                                                                         (5)</m:t>
          </m:r>
        </m:oMath>
      </m:oMathPara>
    </w:p>
    <w:p w14:paraId="09B58C89" w14:textId="77777777" w:rsidR="001423E9" w:rsidRPr="009C4834" w:rsidRDefault="001423E9" w:rsidP="009C4834">
      <w:pPr>
        <w:spacing w:line="276" w:lineRule="auto"/>
        <w:ind w:right="18"/>
        <w:jc w:val="both"/>
        <w:rPr>
          <w:rFonts w:ascii="Arial" w:hAnsi="Arial" w:cs="Arial"/>
        </w:rPr>
      </w:pPr>
      <w:r w:rsidRPr="009C4834">
        <w:rPr>
          <w:rFonts w:ascii="Arial" w:hAnsi="Arial" w:cs="Arial"/>
        </w:rPr>
        <w:t>Now if we take this form econometric form the model as follows:</w:t>
      </w:r>
    </w:p>
    <w:p w14:paraId="14DD1F31" w14:textId="77777777" w:rsidR="001423E9" w:rsidRPr="009C4834" w:rsidRDefault="001423E9" w:rsidP="009C4834">
      <w:pPr>
        <w:spacing w:line="276" w:lineRule="auto"/>
        <w:ind w:right="18"/>
        <w:jc w:val="both"/>
        <w:rPr>
          <w:rFonts w:ascii="Arial" w:hAnsi="Arial" w:cs="Arial"/>
        </w:rPr>
      </w:pPr>
      <m:oMathPara>
        <m:oMath>
          <m:r>
            <w:rPr>
              <w:rFonts w:ascii="Cambria Math" w:hAnsi="Cambria Math" w:cs="Arial"/>
            </w:rPr>
            <m:t>ln</m:t>
          </m:r>
          <m:sSub>
            <m:sSubPr>
              <m:ctrlPr>
                <w:rPr>
                  <w:rFonts w:ascii="Cambria Math" w:hAnsi="Cambria Math" w:cs="Arial"/>
                  <w:i/>
                </w:rPr>
              </m:ctrlPr>
            </m:sSubPr>
            <m:e>
              <m:r>
                <w:rPr>
                  <w:rFonts w:ascii="Cambria Math" w:hAnsi="Cambria Math" w:cs="Arial"/>
                </w:rPr>
                <m:t xml:space="preserve"> export</m:t>
              </m:r>
            </m:e>
            <m:sub>
              <m:r>
                <w:rPr>
                  <w:rFonts w:ascii="Cambria Math" w:hAnsi="Cambria Math" w:cs="Arial"/>
                </w:rPr>
                <m:t>BDij</m:t>
              </m:r>
            </m:sub>
          </m:sSub>
          <m:r>
            <w:rPr>
              <w:rFonts w:ascii="Cambria Math" w:hAnsi="Cambria Math" w:cs="Arial"/>
            </w:rPr>
            <m:t>=</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1</m:t>
              </m:r>
            </m:sub>
          </m:sSub>
          <m:r>
            <w:rPr>
              <w:rFonts w:ascii="Cambria Math" w:hAnsi="Cambria Math" w:cs="Arial"/>
            </w:rPr>
            <m:t>ln</m:t>
          </m:r>
          <m:sSub>
            <m:sSubPr>
              <m:ctrlPr>
                <w:rPr>
                  <w:rFonts w:ascii="Cambria Math" w:hAnsi="Cambria Math" w:cs="Arial"/>
                  <w:i/>
                </w:rPr>
              </m:ctrlPr>
            </m:sSubPr>
            <m:e>
              <m:r>
                <m:rPr>
                  <m:sty m:val="p"/>
                </m:rPr>
                <w:rPr>
                  <w:rFonts w:ascii="Cambria Math" w:hAnsi="Cambria Math" w:cs="Arial"/>
                </w:rPr>
                <m:t>gdp_o</m:t>
              </m:r>
            </m:e>
            <m:sub>
              <m:r>
                <w:rPr>
                  <w:rFonts w:ascii="Cambria Math" w:hAnsi="Cambria Math" w:cs="Arial"/>
                </w:rPr>
                <m:t>BDi</m:t>
              </m:r>
            </m:sub>
          </m:sSub>
          <m:r>
            <w:rPr>
              <w:rFonts w:ascii="Cambria Math" w:hAnsi="Cambria Math" w:cs="Arial"/>
            </w:rPr>
            <m:t>+</m:t>
          </m:r>
          <m:sSub>
            <m:sSubPr>
              <m:ctrlPr>
                <w:rPr>
                  <w:rFonts w:ascii="Cambria Math" w:hAnsi="Cambria Math" w:cs="Arial"/>
                  <w:i/>
                </w:rPr>
              </m:ctrlPr>
            </m:sSubPr>
            <m:e>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2</m:t>
                  </m:r>
                </m:sub>
              </m:sSub>
              <m:r>
                <m:rPr>
                  <m:sty m:val="p"/>
                </m:rPr>
                <w:rPr>
                  <w:rFonts w:ascii="Cambria Math" w:hAnsi="Cambria Math" w:cs="Arial"/>
                </w:rPr>
                <m:t>gdp_d</m:t>
              </m:r>
            </m:e>
            <m:sub>
              <m:r>
                <w:rPr>
                  <w:rFonts w:ascii="Cambria Math" w:hAnsi="Cambria Math" w:cs="Arial"/>
                </w:rPr>
                <m:t>j</m:t>
              </m:r>
            </m:sub>
          </m:sSub>
          <m:r>
            <w:rPr>
              <w:rFonts w:ascii="Cambria Math" w:hAnsi="Cambria Math" w:cs="Arial"/>
            </w:rPr>
            <m:t>+</m:t>
          </m:r>
          <m:sSub>
            <m:sSubPr>
              <m:ctrlPr>
                <w:rPr>
                  <w:rFonts w:ascii="Cambria Math" w:hAnsi="Cambria Math" w:cs="Arial"/>
                  <w:i/>
                </w:rPr>
              </m:ctrlPr>
            </m:sSubPr>
            <m:e>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3</m:t>
                  </m:r>
                </m:sub>
              </m:sSub>
              <m:r>
                <m:rPr>
                  <m:sty m:val="p"/>
                </m:rPr>
                <w:rPr>
                  <w:rFonts w:ascii="Cambria Math" w:hAnsi="Cambria Math" w:cs="Arial"/>
                </w:rPr>
                <m:t>lnpop o</m:t>
              </m:r>
            </m:e>
            <m:sub>
              <m:r>
                <w:rPr>
                  <w:rFonts w:ascii="Cambria Math" w:hAnsi="Cambria Math" w:cs="Arial"/>
                </w:rPr>
                <m:t>BDi</m:t>
              </m:r>
            </m:sub>
          </m:sSub>
          <m:r>
            <w:rPr>
              <w:rFonts w:ascii="Cambria Math" w:hAnsi="Cambria Math" w:cs="Arial"/>
            </w:rPr>
            <m:t>+</m:t>
          </m:r>
          <m:sSub>
            <m:sSubPr>
              <m:ctrlPr>
                <w:rPr>
                  <w:rFonts w:ascii="Cambria Math" w:hAnsi="Cambria Math" w:cs="Arial"/>
                  <w:i/>
                </w:rPr>
              </m:ctrlPr>
            </m:sSubPr>
            <m:e>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4</m:t>
                  </m:r>
                </m:sub>
              </m:sSub>
              <m:r>
                <m:rPr>
                  <m:sty m:val="p"/>
                </m:rPr>
                <w:rPr>
                  <w:rFonts w:ascii="Cambria Math" w:hAnsi="Cambria Math" w:cs="Arial"/>
                </w:rPr>
                <m:t>lnpop_d</m:t>
              </m:r>
            </m:e>
            <m:sub>
              <m:r>
                <w:rPr>
                  <w:rFonts w:ascii="Cambria Math" w:hAnsi="Cambria Math" w:cs="Arial"/>
                </w:rPr>
                <m:t>j</m:t>
              </m:r>
            </m:sub>
          </m:sSub>
          <m:r>
            <w:rPr>
              <w:rFonts w:ascii="Cambria Math" w:hAnsi="Cambria Math" w:cs="Arial"/>
            </w:rPr>
            <m:t>-</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6</m:t>
              </m:r>
            </m:sub>
          </m:sSub>
          <m:r>
            <w:rPr>
              <w:rFonts w:ascii="Cambria Math" w:hAnsi="Cambria Math" w:cs="Arial"/>
            </w:rPr>
            <m:t>ln</m:t>
          </m:r>
          <m:sSub>
            <m:sSubPr>
              <m:ctrlPr>
                <w:rPr>
                  <w:rFonts w:ascii="Cambria Math" w:hAnsi="Cambria Math" w:cs="Arial"/>
                  <w:i/>
                </w:rPr>
              </m:ctrlPr>
            </m:sSubPr>
            <m:e>
              <m:r>
                <w:rPr>
                  <w:rFonts w:ascii="Cambria Math" w:hAnsi="Cambria Math" w:cs="Arial"/>
                </w:rPr>
                <m:t>dist</m:t>
              </m:r>
            </m:e>
            <m:sub>
              <m:r>
                <w:rPr>
                  <w:rFonts w:ascii="Cambria Math" w:hAnsi="Cambria Math" w:cs="Arial"/>
                </w:rPr>
                <m:t>BDij</m:t>
              </m:r>
            </m:sub>
          </m:sSub>
          <m:r>
            <w:rPr>
              <w:rFonts w:ascii="Cambria Math" w:hAnsi="Cambria Math" w:cs="Arial"/>
            </w:rPr>
            <m:t>+</m:t>
          </m:r>
          <m:sSub>
            <m:sSubPr>
              <m:ctrlPr>
                <w:rPr>
                  <w:rFonts w:ascii="Cambria Math" w:eastAsiaTheme="minorEastAsia" w:hAnsi="Cambria Math" w:cs="Arial"/>
                  <w:i/>
                </w:rPr>
              </m:ctrlPr>
            </m:sSubPr>
            <m:e>
              <m:r>
                <w:rPr>
                  <w:rFonts w:ascii="Cambria Math" w:eastAsiaTheme="minorEastAsia" w:hAnsi="Cambria Math" w:cs="Arial"/>
                </w:rPr>
                <m:t>ε</m:t>
              </m:r>
            </m:e>
            <m:sub>
              <m:r>
                <w:rPr>
                  <w:rFonts w:ascii="Cambria Math" w:eastAsiaTheme="minorEastAsia" w:hAnsi="Cambria Math" w:cs="Arial"/>
                </w:rPr>
                <m:t>BDij</m:t>
              </m:r>
            </m:sub>
          </m:sSub>
          <m:r>
            <w:rPr>
              <w:rFonts w:ascii="Cambria Math" w:hAnsi="Cambria Math" w:cs="Arial"/>
            </w:rPr>
            <m:t xml:space="preserve">                                                                                     (6)   </m:t>
          </m:r>
        </m:oMath>
      </m:oMathPara>
    </w:p>
    <w:p w14:paraId="020266D9" w14:textId="77777777" w:rsidR="001423E9" w:rsidRPr="009C4834" w:rsidRDefault="001423E9" w:rsidP="009C4834">
      <w:pPr>
        <w:spacing w:line="276" w:lineRule="auto"/>
        <w:ind w:right="18"/>
        <w:jc w:val="both"/>
        <w:rPr>
          <w:rFonts w:ascii="Arial" w:hAnsi="Arial" w:cs="Arial"/>
          <w:b/>
          <w:bCs/>
        </w:rPr>
      </w:pPr>
      <w:r w:rsidRPr="009C4834">
        <w:rPr>
          <w:rFonts w:ascii="Arial" w:hAnsi="Arial" w:cs="Arial"/>
        </w:rPr>
        <w:t xml:space="preserve">The empirical analysis uses an extended version of the model, represented by equation (7). This enhancement accounts for various influences such as trade and regional agreements, border effects, and the impacts of multilateral trade resistance. </w:t>
      </w:r>
    </w:p>
    <w:p w14:paraId="31304513" w14:textId="77777777" w:rsidR="001423E9" w:rsidRPr="009C4834" w:rsidRDefault="001423E9" w:rsidP="009C4834">
      <w:pPr>
        <w:spacing w:line="276" w:lineRule="auto"/>
        <w:ind w:right="18"/>
        <w:jc w:val="both"/>
        <w:rPr>
          <w:rFonts w:ascii="Arial" w:hAnsi="Arial" w:cs="Arial"/>
        </w:rPr>
      </w:pPr>
      <m:oMath>
        <m:r>
          <w:rPr>
            <w:rFonts w:ascii="Cambria Math" w:hAnsi="Cambria Math" w:cs="Arial"/>
          </w:rPr>
          <m:t>ln</m:t>
        </m:r>
        <m:sSub>
          <m:sSubPr>
            <m:ctrlPr>
              <w:rPr>
                <w:rFonts w:ascii="Cambria Math" w:hAnsi="Cambria Math" w:cs="Arial"/>
                <w:i/>
              </w:rPr>
            </m:ctrlPr>
          </m:sSubPr>
          <m:e>
            <m:r>
              <w:rPr>
                <w:rFonts w:ascii="Cambria Math" w:hAnsi="Cambria Math" w:cs="Arial"/>
              </w:rPr>
              <m:t xml:space="preserve"> export</m:t>
            </m:r>
          </m:e>
          <m:sub>
            <m:r>
              <w:rPr>
                <w:rFonts w:ascii="Cambria Math" w:hAnsi="Cambria Math" w:cs="Arial"/>
              </w:rPr>
              <m:t>BDij</m:t>
            </m:r>
          </m:sub>
        </m:sSub>
        <m:r>
          <w:rPr>
            <w:rFonts w:ascii="Cambria Math" w:hAnsi="Cambria Math" w:cs="Arial"/>
          </w:rPr>
          <m:t>=</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1</m:t>
            </m:r>
          </m:sub>
        </m:sSub>
        <m:r>
          <w:rPr>
            <w:rFonts w:ascii="Cambria Math" w:hAnsi="Cambria Math" w:cs="Arial"/>
          </w:rPr>
          <m:t>ln</m:t>
        </m:r>
        <m:sSub>
          <m:sSubPr>
            <m:ctrlPr>
              <w:rPr>
                <w:rFonts w:ascii="Cambria Math" w:hAnsi="Cambria Math" w:cs="Arial"/>
                <w:i/>
              </w:rPr>
            </m:ctrlPr>
          </m:sSubPr>
          <m:e>
            <m:r>
              <m:rPr>
                <m:sty m:val="p"/>
              </m:rPr>
              <w:rPr>
                <w:rFonts w:ascii="Cambria Math" w:hAnsi="Cambria Math" w:cs="Arial"/>
              </w:rPr>
              <m:t>gdp_o</m:t>
            </m:r>
          </m:e>
          <m:sub>
            <m:r>
              <w:rPr>
                <w:rFonts w:ascii="Cambria Math" w:hAnsi="Cambria Math" w:cs="Arial"/>
              </w:rPr>
              <m:t>BDi</m:t>
            </m:r>
          </m:sub>
        </m:sSub>
        <m:r>
          <w:rPr>
            <w:rFonts w:ascii="Cambria Math" w:hAnsi="Cambria Math" w:cs="Arial"/>
          </w:rPr>
          <m:t>+</m:t>
        </m:r>
        <m:sSub>
          <m:sSubPr>
            <m:ctrlPr>
              <w:rPr>
                <w:rFonts w:ascii="Cambria Math" w:hAnsi="Cambria Math" w:cs="Arial"/>
                <w:i/>
              </w:rPr>
            </m:ctrlPr>
          </m:sSubPr>
          <m:e>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2</m:t>
                </m:r>
              </m:sub>
            </m:sSub>
            <m:r>
              <m:rPr>
                <m:sty m:val="p"/>
              </m:rPr>
              <w:rPr>
                <w:rFonts w:ascii="Cambria Math" w:hAnsi="Cambria Math" w:cs="Arial"/>
              </w:rPr>
              <m:t>gdp_d</m:t>
            </m:r>
          </m:e>
          <m:sub>
            <m:r>
              <w:rPr>
                <w:rFonts w:ascii="Cambria Math" w:hAnsi="Cambria Math" w:cs="Arial"/>
              </w:rPr>
              <m:t>j</m:t>
            </m:r>
          </m:sub>
        </m:sSub>
        <m:r>
          <w:rPr>
            <w:rFonts w:ascii="Cambria Math" w:hAnsi="Cambria Math" w:cs="Arial"/>
          </w:rPr>
          <m:t>+</m:t>
        </m:r>
        <m:sSub>
          <m:sSubPr>
            <m:ctrlPr>
              <w:rPr>
                <w:rFonts w:ascii="Cambria Math" w:hAnsi="Cambria Math" w:cs="Arial"/>
                <w:i/>
              </w:rPr>
            </m:ctrlPr>
          </m:sSubPr>
          <m:e>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3</m:t>
                </m:r>
              </m:sub>
            </m:sSub>
            <m:r>
              <m:rPr>
                <m:sty m:val="p"/>
              </m:rPr>
              <w:rPr>
                <w:rFonts w:ascii="Cambria Math" w:hAnsi="Cambria Math" w:cs="Arial"/>
              </w:rPr>
              <m:t>lnpop o</m:t>
            </m:r>
          </m:e>
          <m:sub>
            <m:r>
              <w:rPr>
                <w:rFonts w:ascii="Cambria Math" w:hAnsi="Cambria Math" w:cs="Arial"/>
              </w:rPr>
              <m:t>BDi</m:t>
            </m:r>
          </m:sub>
        </m:sSub>
        <m:r>
          <w:rPr>
            <w:rFonts w:ascii="Cambria Math" w:hAnsi="Cambria Math" w:cs="Arial"/>
          </w:rPr>
          <m:t>+</m:t>
        </m:r>
        <m:sSub>
          <m:sSubPr>
            <m:ctrlPr>
              <w:rPr>
                <w:rFonts w:ascii="Cambria Math" w:hAnsi="Cambria Math" w:cs="Arial"/>
                <w:i/>
              </w:rPr>
            </m:ctrlPr>
          </m:sSubPr>
          <m:e>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4</m:t>
                </m:r>
              </m:sub>
            </m:sSub>
            <m:r>
              <m:rPr>
                <m:sty m:val="p"/>
              </m:rPr>
              <w:rPr>
                <w:rFonts w:ascii="Cambria Math" w:hAnsi="Cambria Math" w:cs="Arial"/>
              </w:rPr>
              <m:t>lnpop_d</m:t>
            </m:r>
          </m:e>
          <m:sub>
            <m:r>
              <w:rPr>
                <w:rFonts w:ascii="Cambria Math" w:hAnsi="Cambria Math" w:cs="Arial"/>
              </w:rPr>
              <m:t>j</m:t>
            </m:r>
          </m:sub>
        </m:sSub>
        <m:r>
          <w:rPr>
            <w:rFonts w:ascii="Cambria Math" w:hAnsi="Cambria Math" w:cs="Arial"/>
          </w:rPr>
          <m:t>+</m:t>
        </m:r>
        <m:sSub>
          <m:sSubPr>
            <m:ctrlPr>
              <w:rPr>
                <w:rFonts w:ascii="Cambria Math" w:eastAsiaTheme="minorEastAsia" w:hAnsi="Cambria Math" w:cs="Arial"/>
                <w:i/>
              </w:rPr>
            </m:ctrlPr>
          </m:sSubPr>
          <m:e>
            <m:r>
              <m:rPr>
                <m:sty m:val="p"/>
              </m:rPr>
              <w:rPr>
                <w:rFonts w:ascii="Cambria Math" w:hAnsi="Cambria Math" w:cs="Arial"/>
              </w:rPr>
              <m:t>common_language</m:t>
            </m:r>
          </m:e>
          <m:sub>
            <m:r>
              <w:rPr>
                <w:rFonts w:ascii="Cambria Math" w:eastAsiaTheme="minorEastAsia" w:hAnsi="Cambria Math" w:cs="Arial"/>
              </w:rPr>
              <m:t>BDij</m:t>
            </m:r>
          </m:sub>
        </m:sSub>
        <m:r>
          <w:rPr>
            <w:rFonts w:ascii="Cambria Math" w:hAnsi="Cambria Math" w:cs="Arial"/>
          </w:rPr>
          <m:t>+</m:t>
        </m:r>
        <m:sSub>
          <m:sSubPr>
            <m:ctrlPr>
              <w:rPr>
                <w:rFonts w:ascii="Cambria Math" w:hAnsi="Cambria Math" w:cs="Arial"/>
                <w:i/>
              </w:rPr>
            </m:ctrlPr>
          </m:sSubPr>
          <m:e>
            <m:r>
              <m:rPr>
                <m:sty m:val="p"/>
              </m:rPr>
              <w:rPr>
                <w:rFonts w:ascii="Cambria Math" w:hAnsi="Cambria Math" w:cs="Arial"/>
              </w:rPr>
              <m:t>landlocked_d</m:t>
            </m:r>
          </m:e>
          <m:sub>
            <m:r>
              <w:rPr>
                <w:rFonts w:ascii="Cambria Math" w:hAnsi="Cambria Math" w:cs="Arial"/>
              </w:rPr>
              <m:t>BDij</m:t>
            </m:r>
          </m:sub>
        </m:sSub>
        <m:sSub>
          <m:sSubPr>
            <m:ctrlPr>
              <w:rPr>
                <w:rFonts w:ascii="Cambria Math" w:eastAsiaTheme="minorEastAsia" w:hAnsi="Cambria Math" w:cs="Arial"/>
                <w:i/>
              </w:rPr>
            </m:ctrlPr>
          </m:sSubPr>
          <m:e>
            <m:r>
              <w:rPr>
                <w:rFonts w:ascii="Cambria Math" w:hAnsi="Cambria Math" w:cs="Arial"/>
              </w:rPr>
              <m:t>+</m:t>
            </m:r>
            <m:sSub>
              <m:sSubPr>
                <m:ctrlPr>
                  <w:rPr>
                    <w:rFonts w:ascii="Cambria Math" w:hAnsi="Cambria Math" w:cs="Arial"/>
                    <w:i/>
                  </w:rPr>
                </m:ctrlPr>
              </m:sSubPr>
              <m:e>
                <m:r>
                  <m:rPr>
                    <m:sty m:val="p"/>
                  </m:rPr>
                  <w:rPr>
                    <w:rFonts w:ascii="Cambria Math" w:hAnsi="Cambria Math" w:cs="Arial"/>
                  </w:rPr>
                  <m:t xml:space="preserve"> Island_d</m:t>
                </m:r>
              </m:e>
              <m:sub>
                <m:r>
                  <w:rPr>
                    <w:rFonts w:ascii="Cambria Math" w:hAnsi="Cambria Math" w:cs="Arial"/>
                  </w:rPr>
                  <m:t>BDij</m:t>
                </m:r>
              </m:sub>
            </m:sSub>
            <m:r>
              <w:rPr>
                <w:rFonts w:ascii="Cambria Math" w:hAnsi="Cambria Math" w:cs="Arial"/>
              </w:rPr>
              <m:t>+</m:t>
            </m:r>
            <m:sSub>
              <m:sSubPr>
                <m:ctrlPr>
                  <w:rPr>
                    <w:rFonts w:ascii="Cambria Math" w:hAnsi="Cambria Math" w:cs="Arial"/>
                    <w:i/>
                  </w:rPr>
                </m:ctrlPr>
              </m:sSubPr>
              <m:e>
                <m:r>
                  <m:rPr>
                    <m:sty m:val="p"/>
                  </m:rPr>
                  <w:rPr>
                    <w:rFonts w:ascii="Cambria Math" w:hAnsi="Cambria Math" w:cs="Arial"/>
                  </w:rPr>
                  <m:t xml:space="preserve"> contiguity</m:t>
                </m:r>
              </m:e>
              <m:sub>
                <m:r>
                  <w:rPr>
                    <w:rFonts w:ascii="Cambria Math" w:hAnsi="Cambria Math" w:cs="Arial"/>
                  </w:rPr>
                  <m:t>BDij</m:t>
                </m:r>
              </m:sub>
            </m:sSub>
            <m:r>
              <w:rPr>
                <w:rFonts w:ascii="Cambria Math" w:hAnsi="Cambria Math" w:cs="Arial"/>
              </w:rPr>
              <m:t>+</m:t>
            </m:r>
            <m:sSub>
              <m:sSubPr>
                <m:ctrlPr>
                  <w:rPr>
                    <w:rFonts w:ascii="Cambria Math" w:hAnsi="Cambria Math" w:cs="Arial"/>
                    <w:i/>
                  </w:rPr>
                </m:ctrlPr>
              </m:sSubPr>
              <m:e>
                <m:r>
                  <m:rPr>
                    <m:sty m:val="p"/>
                  </m:rPr>
                  <w:rPr>
                    <w:rFonts w:ascii="Cambria Math" w:hAnsi="Cambria Math" w:cs="Arial"/>
                  </w:rPr>
                  <m:t xml:space="preserve"> part_agreement</m:t>
                </m:r>
              </m:e>
              <m:sub>
                <m:r>
                  <w:rPr>
                    <w:rFonts w:ascii="Cambria Math" w:hAnsi="Cambria Math" w:cs="Arial"/>
                  </w:rPr>
                  <m:t>BDij</m:t>
                </m:r>
              </m:sub>
            </m:sSub>
            <m:r>
              <w:rPr>
                <w:rFonts w:ascii="Cambria Math" w:hAnsi="Cambria Math" w:cs="Arial"/>
              </w:rPr>
              <m:t>-</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6</m:t>
                </m:r>
              </m:sub>
            </m:sSub>
            <m:r>
              <w:rPr>
                <w:rFonts w:ascii="Cambria Math" w:hAnsi="Cambria Math" w:cs="Arial"/>
              </w:rPr>
              <m:t>ln</m:t>
            </m:r>
            <m:sSub>
              <m:sSubPr>
                <m:ctrlPr>
                  <w:rPr>
                    <w:rFonts w:ascii="Cambria Math" w:hAnsi="Cambria Math" w:cs="Arial"/>
                    <w:i/>
                  </w:rPr>
                </m:ctrlPr>
              </m:sSubPr>
              <m:e>
                <m:r>
                  <w:rPr>
                    <w:rFonts w:ascii="Cambria Math" w:hAnsi="Cambria Math" w:cs="Arial"/>
                  </w:rPr>
                  <m:t>dist</m:t>
                </m:r>
              </m:e>
              <m:sub>
                <m:r>
                  <w:rPr>
                    <w:rFonts w:ascii="Cambria Math" w:hAnsi="Cambria Math" w:cs="Arial"/>
                  </w:rPr>
                  <m:t>BDij</m:t>
                </m:r>
              </m:sub>
            </m:sSub>
            <m:r>
              <w:rPr>
                <w:rFonts w:ascii="Cambria Math" w:eastAsiaTheme="minorEastAsia" w:hAnsi="Cambria Math" w:cs="Arial"/>
              </w:rPr>
              <m:t>+ε</m:t>
            </m:r>
          </m:e>
          <m:sub>
            <m:r>
              <w:rPr>
                <w:rFonts w:ascii="Cambria Math" w:eastAsiaTheme="minorEastAsia" w:hAnsi="Cambria Math" w:cs="Arial"/>
              </w:rPr>
              <m:t>BDij</m:t>
            </m:r>
          </m:sub>
        </m:sSub>
        <m:r>
          <w:rPr>
            <w:rFonts w:ascii="Cambria Math" w:hAnsi="Cambria Math" w:cs="Arial"/>
          </w:rPr>
          <m:t xml:space="preserve">  </m:t>
        </m:r>
      </m:oMath>
      <w:r w:rsidRPr="009C4834">
        <w:rPr>
          <w:rFonts w:ascii="Arial" w:eastAsiaTheme="minorEastAsia" w:hAnsi="Arial" w:cs="Arial"/>
        </w:rPr>
        <w:t xml:space="preserve">                                                (7)</w:t>
      </w:r>
    </w:p>
    <w:p w14:paraId="35C1D82E" w14:textId="23D6A882" w:rsidR="00AA74E0" w:rsidRPr="009C4834" w:rsidRDefault="00AA74E0" w:rsidP="009C4834">
      <w:pPr>
        <w:pStyle w:val="Body"/>
        <w:spacing w:after="0"/>
        <w:ind w:right="18"/>
        <w:rPr>
          <w:rFonts w:ascii="Arial" w:hAnsi="Arial" w:cs="Arial"/>
        </w:rPr>
      </w:pPr>
    </w:p>
    <w:p w14:paraId="688F34AD" w14:textId="560E4054" w:rsidR="00790ADA" w:rsidRPr="009C4834" w:rsidRDefault="00950C41" w:rsidP="009C4834">
      <w:pPr>
        <w:pStyle w:val="Body"/>
        <w:spacing w:after="0"/>
        <w:ind w:right="18"/>
        <w:rPr>
          <w:rFonts w:ascii="Arial" w:hAnsi="Arial" w:cs="Arial"/>
          <w:b/>
          <w:bCs/>
        </w:rPr>
      </w:pPr>
      <w:r w:rsidRPr="009C4834">
        <w:rPr>
          <w:rFonts w:ascii="Arial" w:hAnsi="Arial" w:cs="Arial"/>
          <w:b/>
          <w:bCs/>
        </w:rPr>
        <w:t>2</w:t>
      </w:r>
      <w:r w:rsidR="00253A84" w:rsidRPr="009C4834">
        <w:rPr>
          <w:rFonts w:ascii="Arial" w:hAnsi="Arial" w:cs="Arial"/>
          <w:b/>
          <w:bCs/>
        </w:rPr>
        <w:t>.2 Methodology and Data</w:t>
      </w:r>
    </w:p>
    <w:p w14:paraId="1377F6BE" w14:textId="77777777" w:rsidR="009B06C2" w:rsidRPr="009C4834" w:rsidRDefault="009B06C2" w:rsidP="009C4834">
      <w:pPr>
        <w:spacing w:line="276" w:lineRule="auto"/>
        <w:ind w:right="18"/>
        <w:jc w:val="both"/>
        <w:rPr>
          <w:rFonts w:ascii="Arial" w:hAnsi="Arial" w:cs="Arial"/>
        </w:rPr>
      </w:pPr>
      <w:r w:rsidRPr="009C4834">
        <w:rPr>
          <w:rFonts w:ascii="Arial" w:hAnsi="Arial" w:cs="Arial"/>
        </w:rPr>
        <w:t xml:space="preserve">The data encompasses the top 52 trading partner nations of Bangladesh and a panel dataset spanning 24 years, from 2000 to 2024, to investigate the latest trade trends of Bangladesh. This study structured the dataset to ensure that the regression effectively reflects the country-specific fixed effects for trade. This meticulous approach is in accordance with the methodology outlined by Anderson and Van Wincoop (2003), ensuring the highest quality of research. The study uses 11 variables including dummy variables where export flow </w:t>
      </w:r>
      <m:oMath>
        <m:sSub>
          <m:sSubPr>
            <m:ctrlPr>
              <w:rPr>
                <w:rFonts w:ascii="Cambria Math" w:hAnsi="Cambria Math" w:cs="Arial"/>
              </w:rPr>
            </m:ctrlPr>
          </m:sSubPr>
          <m:e>
            <m:r>
              <m:rPr>
                <m:sty m:val="p"/>
              </m:rPr>
              <w:rPr>
                <w:rFonts w:ascii="Cambria Math" w:hAnsi="Cambria Math" w:cs="Arial"/>
              </w:rPr>
              <m:t xml:space="preserve"> </m:t>
            </m:r>
            <m:r>
              <w:rPr>
                <w:rFonts w:ascii="Cambria Math" w:hAnsi="Cambria Math" w:cs="Arial"/>
              </w:rPr>
              <m:t>export</m:t>
            </m:r>
          </m:e>
          <m:sub>
            <m:r>
              <w:rPr>
                <w:rFonts w:ascii="Cambria Math" w:hAnsi="Cambria Math" w:cs="Arial"/>
              </w:rPr>
              <m:t>BDij</m:t>
            </m:r>
          </m:sub>
        </m:sSub>
      </m:oMath>
      <w:r w:rsidRPr="009C4834">
        <w:rPr>
          <w:rFonts w:ascii="Arial" w:hAnsi="Arial" w:cs="Arial"/>
        </w:rPr>
        <w:t xml:space="preserve"> is the dependent variable and other independent variables associated with trade flow, we mainly focus on gravity model variables such as population, Gross Domestic Product (GDP), distance, landlock, island, common language, contiguity and border. The model also uses the dummy variable part_agreement to see the effect of the trade agreements as a whole for Bangladesh. The details descriptions of the variables are given in Table 2.  We have made use of the Direction of Trade Statistics (DOTS) database provided by the International Monetary Fund (IMF), as well as data from the World Bank’s World Development Indicators Database and the French research institution Centre d'Études Prospectives et d'Informations Internationales (CEPII). For ease of analysis, we have converted GDP figures into millions of USD.  Given the challenges associated with estimating gravity models, it is essential to consider the reciprocal nature of trade while factoring in country-pair fixed effects to prevent omitted variable bias (Anderson &amp; Van, 2003). To tackle this problem effectively, we created an extensive panel dataset, a crucial component of our study, featuring 3,568 observations of bilateral trade flows, focusing on Bangladesh and the rest of the world across 24 years.</w:t>
      </w:r>
    </w:p>
    <w:p w14:paraId="16DA877F" w14:textId="4665E6B5" w:rsidR="00253A84" w:rsidRPr="009C4834" w:rsidRDefault="00253A84" w:rsidP="009C4834">
      <w:pPr>
        <w:pStyle w:val="Body"/>
        <w:spacing w:after="0"/>
        <w:ind w:right="18"/>
        <w:rPr>
          <w:rFonts w:ascii="Arial" w:hAnsi="Arial" w:cs="Arial"/>
        </w:rPr>
      </w:pPr>
    </w:p>
    <w:p w14:paraId="78C78E69" w14:textId="77777777" w:rsidR="00253A84" w:rsidRPr="009C4834" w:rsidRDefault="00253A84" w:rsidP="009C4834">
      <w:pPr>
        <w:pStyle w:val="Body"/>
        <w:spacing w:after="0"/>
        <w:ind w:right="18"/>
        <w:rPr>
          <w:rFonts w:ascii="Arial" w:hAnsi="Arial" w:cs="Arial"/>
        </w:rPr>
      </w:pPr>
    </w:p>
    <w:p w14:paraId="58E4B420" w14:textId="77777777" w:rsidR="00902823" w:rsidRPr="009C4834" w:rsidRDefault="00000F8F" w:rsidP="009C4834">
      <w:pPr>
        <w:pStyle w:val="Head1"/>
        <w:spacing w:after="0"/>
        <w:ind w:right="18"/>
        <w:jc w:val="both"/>
        <w:rPr>
          <w:rFonts w:ascii="Arial" w:hAnsi="Arial" w:cs="Arial"/>
          <w:sz w:val="20"/>
        </w:rPr>
      </w:pPr>
      <w:r w:rsidRPr="009C4834">
        <w:rPr>
          <w:rFonts w:ascii="Arial" w:hAnsi="Arial" w:cs="Arial"/>
          <w:sz w:val="20"/>
        </w:rPr>
        <w:t>3</w:t>
      </w:r>
      <w:r w:rsidR="00902823" w:rsidRPr="009C4834">
        <w:rPr>
          <w:rFonts w:ascii="Arial" w:hAnsi="Arial" w:cs="Arial"/>
          <w:sz w:val="20"/>
        </w:rPr>
        <w:t xml:space="preserve">. </w:t>
      </w:r>
      <w:r w:rsidRPr="009C4834">
        <w:rPr>
          <w:rFonts w:ascii="Arial" w:hAnsi="Arial" w:cs="Arial"/>
          <w:sz w:val="20"/>
        </w:rPr>
        <w:t>results and discussion</w:t>
      </w:r>
    </w:p>
    <w:p w14:paraId="2D0B290F" w14:textId="18B7E569" w:rsidR="0042687C" w:rsidRPr="009C4834" w:rsidRDefault="0042687C" w:rsidP="009C4834">
      <w:pPr>
        <w:spacing w:line="276" w:lineRule="auto"/>
        <w:ind w:right="18"/>
        <w:jc w:val="both"/>
        <w:rPr>
          <w:rFonts w:ascii="Arial" w:hAnsi="Arial" w:cs="Arial"/>
        </w:rPr>
      </w:pPr>
      <w:r w:rsidRPr="009C4834">
        <w:rPr>
          <w:rFonts w:ascii="Arial" w:hAnsi="Arial" w:cs="Arial"/>
        </w:rPr>
        <w:t xml:space="preserve">Table 2 summarizes the main statistics related to the key variables involved in the analysis. The dependent variable, export volume, represents Bangladesh`s exports, which are measured in millions of USD. This data encompasses Bangladesh and its seven partner countries included in this study, while data for the remaining 128 countries is provided in an aggregated format. Consequently, the dataset consists of 3,568 observations. We arranged the panel data to represent each country as an origin and a partner to capture country-specific fixed effects effectively. We observed that the summaries of both origin and partner countries are quite alike. The average export volume is 199.72 million USD, accompanied by a considerable standard deviation of 756.99, indicating significant variation across different country pairs. The minimum value of zero indicates cases of no trade occurring, while the maximum export volume reaches as high as 11,834.78 million USD. </w:t>
      </w:r>
    </w:p>
    <w:p w14:paraId="61E89AB3" w14:textId="77777777" w:rsidR="00864961" w:rsidRPr="009C4834" w:rsidRDefault="00864961" w:rsidP="009C4834">
      <w:pPr>
        <w:spacing w:line="276" w:lineRule="auto"/>
        <w:ind w:right="18"/>
        <w:jc w:val="both"/>
        <w:rPr>
          <w:rFonts w:ascii="Arial" w:hAnsi="Arial" w:cs="Arial"/>
        </w:rPr>
      </w:pPr>
    </w:p>
    <w:p w14:paraId="38B9815B" w14:textId="546322FD" w:rsidR="00E9725A" w:rsidRPr="009C4834" w:rsidRDefault="00E9725A" w:rsidP="009C4834">
      <w:pPr>
        <w:ind w:right="18"/>
        <w:rPr>
          <w:rFonts w:ascii="Arial" w:hAnsi="Arial" w:cs="Arial"/>
        </w:rPr>
      </w:pPr>
      <w:r w:rsidRPr="009C4834">
        <w:rPr>
          <w:rFonts w:ascii="Arial" w:hAnsi="Arial" w:cs="Arial"/>
        </w:rPr>
        <w:t xml:space="preserve">Table 2. Summary statistics </w:t>
      </w:r>
      <w:r w:rsidR="007218A6" w:rsidRPr="009C4834">
        <w:rPr>
          <w:rFonts w:ascii="Arial" w:hAnsi="Arial" w:cs="Arial"/>
        </w:rPr>
        <w:t xml:space="preserve">of </w:t>
      </w:r>
      <w:r w:rsidR="006C1361" w:rsidRPr="009C4834">
        <w:rPr>
          <w:rFonts w:ascii="Arial" w:hAnsi="Arial" w:cs="Arial"/>
        </w:rPr>
        <w:t>p</w:t>
      </w:r>
      <w:r w:rsidR="007218A6" w:rsidRPr="009C4834">
        <w:rPr>
          <w:rFonts w:ascii="Arial" w:hAnsi="Arial" w:cs="Arial"/>
        </w:rPr>
        <w:t xml:space="preserve">anel </w:t>
      </w:r>
      <w:r w:rsidR="006C1361" w:rsidRPr="009C4834">
        <w:rPr>
          <w:rFonts w:ascii="Arial" w:hAnsi="Arial" w:cs="Arial"/>
        </w:rPr>
        <w:t>d</w:t>
      </w:r>
      <w:r w:rsidR="007218A6" w:rsidRPr="009C4834">
        <w:rPr>
          <w:rFonts w:ascii="Arial" w:hAnsi="Arial" w:cs="Arial"/>
        </w:rPr>
        <w:t xml:space="preserve">ata from </w:t>
      </w:r>
      <w:r w:rsidR="006C1361" w:rsidRPr="009C4834">
        <w:rPr>
          <w:rFonts w:ascii="Arial" w:hAnsi="Arial" w:cs="Arial"/>
        </w:rPr>
        <w:t>y</w:t>
      </w:r>
      <w:r w:rsidR="007218A6" w:rsidRPr="009C4834">
        <w:rPr>
          <w:rFonts w:ascii="Arial" w:hAnsi="Arial" w:cs="Arial"/>
        </w:rPr>
        <w:t xml:space="preserve">ear </w:t>
      </w:r>
      <w:r w:rsidRPr="009C4834">
        <w:rPr>
          <w:rFonts w:ascii="Arial" w:hAnsi="Arial" w:cs="Arial"/>
        </w:rPr>
        <w:t>2000</w:t>
      </w:r>
      <w:r w:rsidR="007218A6" w:rsidRPr="009C4834">
        <w:rPr>
          <w:rFonts w:ascii="Arial" w:hAnsi="Arial" w:cs="Arial"/>
        </w:rPr>
        <w:t xml:space="preserve"> to </w:t>
      </w:r>
      <w:r w:rsidRPr="009C4834">
        <w:rPr>
          <w:rFonts w:ascii="Arial" w:hAnsi="Arial" w:cs="Arial"/>
        </w:rPr>
        <w:t>2024</w:t>
      </w: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3265"/>
        <w:gridCol w:w="1180"/>
        <w:gridCol w:w="1323"/>
        <w:gridCol w:w="846"/>
        <w:gridCol w:w="1435"/>
      </w:tblGrid>
      <w:tr w:rsidR="003D26F3" w:rsidRPr="009C4834" w14:paraId="49FF674E" w14:textId="77777777" w:rsidTr="00AA3AEF">
        <w:trPr>
          <w:trHeight w:val="432"/>
          <w:tblHeader/>
        </w:trPr>
        <w:tc>
          <w:tcPr>
            <w:tcW w:w="1936" w:type="dxa"/>
            <w:tcBorders>
              <w:top w:val="single" w:sz="4" w:space="0" w:color="auto"/>
              <w:left w:val="single" w:sz="4" w:space="0" w:color="auto"/>
              <w:bottom w:val="single" w:sz="4" w:space="0" w:color="auto"/>
              <w:right w:val="single" w:sz="4" w:space="0" w:color="auto"/>
            </w:tcBorders>
          </w:tcPr>
          <w:p w14:paraId="7480FFED" w14:textId="77777777" w:rsidR="003D26F3" w:rsidRPr="009C4834" w:rsidRDefault="003D26F3" w:rsidP="009C4834">
            <w:pPr>
              <w:ind w:right="18"/>
              <w:rPr>
                <w:rFonts w:ascii="Arial" w:hAnsi="Arial" w:cs="Arial"/>
                <w:b/>
                <w:bCs/>
                <w:sz w:val="20"/>
                <w:szCs w:val="20"/>
              </w:rPr>
            </w:pPr>
            <w:bookmarkStart w:id="7" w:name="_Hlk194042768"/>
            <w:r w:rsidRPr="009C4834">
              <w:rPr>
                <w:rFonts w:ascii="Arial" w:hAnsi="Arial" w:cs="Arial"/>
                <w:b/>
                <w:bCs/>
                <w:sz w:val="20"/>
                <w:szCs w:val="20"/>
              </w:rPr>
              <w:t>Variable</w:t>
            </w:r>
          </w:p>
        </w:tc>
        <w:tc>
          <w:tcPr>
            <w:tcW w:w="3265" w:type="dxa"/>
            <w:tcBorders>
              <w:top w:val="single" w:sz="4" w:space="0" w:color="auto"/>
              <w:left w:val="single" w:sz="4" w:space="0" w:color="auto"/>
              <w:bottom w:val="single" w:sz="4" w:space="0" w:color="auto"/>
              <w:right w:val="single" w:sz="4" w:space="0" w:color="auto"/>
            </w:tcBorders>
          </w:tcPr>
          <w:p w14:paraId="13E70D74" w14:textId="77777777" w:rsidR="003D26F3" w:rsidRPr="009C4834" w:rsidRDefault="003D26F3" w:rsidP="009C4834">
            <w:pPr>
              <w:ind w:right="18"/>
              <w:rPr>
                <w:rFonts w:ascii="Arial" w:hAnsi="Arial" w:cs="Arial"/>
                <w:b/>
                <w:bCs/>
                <w:sz w:val="20"/>
                <w:szCs w:val="20"/>
              </w:rPr>
            </w:pPr>
            <w:r w:rsidRPr="009C4834">
              <w:rPr>
                <w:rFonts w:ascii="Arial" w:hAnsi="Arial" w:cs="Arial"/>
                <w:b/>
                <w:bCs/>
                <w:sz w:val="20"/>
                <w:szCs w:val="20"/>
              </w:rPr>
              <w:t>Variable Descriptions</w:t>
            </w:r>
          </w:p>
        </w:tc>
        <w:tc>
          <w:tcPr>
            <w:tcW w:w="1180" w:type="dxa"/>
            <w:tcBorders>
              <w:top w:val="single" w:sz="4" w:space="0" w:color="auto"/>
              <w:left w:val="single" w:sz="4" w:space="0" w:color="auto"/>
              <w:bottom w:val="single" w:sz="4" w:space="0" w:color="auto"/>
              <w:right w:val="single" w:sz="4" w:space="0" w:color="auto"/>
            </w:tcBorders>
            <w:vAlign w:val="center"/>
          </w:tcPr>
          <w:p w14:paraId="21FBD36A" w14:textId="77777777" w:rsidR="003D26F3" w:rsidRPr="009C4834" w:rsidRDefault="003D26F3" w:rsidP="009C4834">
            <w:pPr>
              <w:ind w:right="18"/>
              <w:rPr>
                <w:rFonts w:ascii="Arial" w:hAnsi="Arial" w:cs="Arial"/>
                <w:b/>
                <w:bCs/>
                <w:sz w:val="20"/>
                <w:szCs w:val="20"/>
              </w:rPr>
            </w:pPr>
            <w:r w:rsidRPr="009C4834">
              <w:rPr>
                <w:rFonts w:ascii="Arial" w:hAnsi="Arial" w:cs="Arial"/>
                <w:b/>
                <w:bCs/>
                <w:sz w:val="20"/>
                <w:szCs w:val="20"/>
              </w:rPr>
              <w:t xml:space="preserve">Mean </w:t>
            </w:r>
          </w:p>
        </w:tc>
        <w:tc>
          <w:tcPr>
            <w:tcW w:w="1323" w:type="dxa"/>
            <w:tcBorders>
              <w:top w:val="single" w:sz="4" w:space="0" w:color="auto"/>
              <w:left w:val="single" w:sz="4" w:space="0" w:color="auto"/>
              <w:bottom w:val="single" w:sz="4" w:space="0" w:color="auto"/>
              <w:right w:val="single" w:sz="4" w:space="0" w:color="auto"/>
            </w:tcBorders>
            <w:vAlign w:val="center"/>
          </w:tcPr>
          <w:p w14:paraId="54EA4CCB" w14:textId="77777777" w:rsidR="003D26F3" w:rsidRPr="009C4834" w:rsidRDefault="003D26F3" w:rsidP="009C4834">
            <w:pPr>
              <w:ind w:right="18"/>
              <w:rPr>
                <w:rFonts w:ascii="Arial" w:hAnsi="Arial" w:cs="Arial"/>
                <w:b/>
                <w:bCs/>
                <w:sz w:val="20"/>
                <w:szCs w:val="20"/>
              </w:rPr>
            </w:pPr>
            <w:r w:rsidRPr="009C4834">
              <w:rPr>
                <w:rFonts w:ascii="Arial" w:hAnsi="Arial" w:cs="Arial"/>
                <w:b/>
                <w:bCs/>
                <w:sz w:val="20"/>
                <w:szCs w:val="20"/>
              </w:rPr>
              <w:t xml:space="preserve">Standard Deviation </w:t>
            </w:r>
          </w:p>
        </w:tc>
        <w:tc>
          <w:tcPr>
            <w:tcW w:w="846" w:type="dxa"/>
            <w:tcBorders>
              <w:top w:val="single" w:sz="4" w:space="0" w:color="auto"/>
              <w:left w:val="single" w:sz="4" w:space="0" w:color="auto"/>
              <w:bottom w:val="single" w:sz="4" w:space="0" w:color="auto"/>
              <w:right w:val="single" w:sz="4" w:space="0" w:color="auto"/>
            </w:tcBorders>
            <w:vAlign w:val="center"/>
          </w:tcPr>
          <w:p w14:paraId="3B90E5EE" w14:textId="77777777" w:rsidR="003D26F3" w:rsidRPr="009C4834" w:rsidRDefault="003D26F3" w:rsidP="009C4834">
            <w:pPr>
              <w:ind w:right="18"/>
              <w:rPr>
                <w:rFonts w:ascii="Arial" w:hAnsi="Arial" w:cs="Arial"/>
                <w:b/>
                <w:bCs/>
                <w:sz w:val="20"/>
                <w:szCs w:val="20"/>
              </w:rPr>
            </w:pPr>
            <w:r w:rsidRPr="009C4834">
              <w:rPr>
                <w:rFonts w:ascii="Arial" w:hAnsi="Arial" w:cs="Arial"/>
                <w:b/>
                <w:bCs/>
                <w:sz w:val="20"/>
                <w:szCs w:val="20"/>
              </w:rPr>
              <w:t xml:space="preserve">Min. </w:t>
            </w:r>
          </w:p>
        </w:tc>
        <w:tc>
          <w:tcPr>
            <w:tcW w:w="1435" w:type="dxa"/>
            <w:tcBorders>
              <w:top w:val="single" w:sz="4" w:space="0" w:color="auto"/>
              <w:left w:val="single" w:sz="4" w:space="0" w:color="auto"/>
              <w:bottom w:val="single" w:sz="4" w:space="0" w:color="auto"/>
              <w:right w:val="single" w:sz="4" w:space="0" w:color="auto"/>
            </w:tcBorders>
            <w:vAlign w:val="center"/>
          </w:tcPr>
          <w:p w14:paraId="40D1C1AA" w14:textId="77777777" w:rsidR="003D26F3" w:rsidRPr="009C4834" w:rsidRDefault="003D26F3" w:rsidP="009C4834">
            <w:pPr>
              <w:ind w:right="18"/>
              <w:rPr>
                <w:rFonts w:ascii="Arial" w:hAnsi="Arial" w:cs="Arial"/>
                <w:b/>
                <w:bCs/>
                <w:sz w:val="20"/>
                <w:szCs w:val="20"/>
              </w:rPr>
            </w:pPr>
            <w:r w:rsidRPr="009C4834">
              <w:rPr>
                <w:rFonts w:ascii="Arial" w:hAnsi="Arial" w:cs="Arial"/>
                <w:b/>
                <w:bCs/>
                <w:sz w:val="20"/>
                <w:szCs w:val="20"/>
              </w:rPr>
              <w:t xml:space="preserve">Max. </w:t>
            </w:r>
          </w:p>
        </w:tc>
      </w:tr>
      <w:tr w:rsidR="003D26F3" w:rsidRPr="009C4834" w14:paraId="1A909F90" w14:textId="77777777" w:rsidTr="00AA3AEF">
        <w:trPr>
          <w:trHeight w:val="53"/>
        </w:trPr>
        <w:tc>
          <w:tcPr>
            <w:tcW w:w="9985" w:type="dxa"/>
            <w:gridSpan w:val="6"/>
            <w:tcBorders>
              <w:top w:val="single" w:sz="4" w:space="0" w:color="auto"/>
              <w:left w:val="single" w:sz="4" w:space="0" w:color="auto"/>
              <w:bottom w:val="single" w:sz="4" w:space="0" w:color="auto"/>
              <w:right w:val="single" w:sz="4" w:space="0" w:color="auto"/>
            </w:tcBorders>
          </w:tcPr>
          <w:p w14:paraId="662AFF4A" w14:textId="77777777" w:rsidR="003D26F3" w:rsidRPr="009C4834" w:rsidRDefault="003D26F3" w:rsidP="009C4834">
            <w:pPr>
              <w:ind w:right="18"/>
              <w:rPr>
                <w:rFonts w:ascii="Arial" w:hAnsi="Arial" w:cs="Arial"/>
                <w:b/>
                <w:bCs/>
                <w:sz w:val="20"/>
                <w:szCs w:val="20"/>
              </w:rPr>
            </w:pPr>
            <w:r w:rsidRPr="009C4834">
              <w:rPr>
                <w:rFonts w:ascii="Arial" w:hAnsi="Arial" w:cs="Arial"/>
                <w:b/>
                <w:bCs/>
                <w:sz w:val="20"/>
                <w:szCs w:val="20"/>
              </w:rPr>
              <w:t>Dependent Variable</w:t>
            </w:r>
          </w:p>
        </w:tc>
      </w:tr>
      <w:tr w:rsidR="003D26F3" w:rsidRPr="009C4834" w14:paraId="768F1C6E" w14:textId="77777777" w:rsidTr="00AA3AEF">
        <w:trPr>
          <w:trHeight w:val="107"/>
        </w:trPr>
        <w:tc>
          <w:tcPr>
            <w:tcW w:w="1936" w:type="dxa"/>
            <w:tcBorders>
              <w:top w:val="single" w:sz="4" w:space="0" w:color="auto"/>
              <w:left w:val="single" w:sz="4" w:space="0" w:color="auto"/>
              <w:bottom w:val="single" w:sz="4" w:space="0" w:color="auto"/>
              <w:right w:val="single" w:sz="4" w:space="0" w:color="auto"/>
            </w:tcBorders>
          </w:tcPr>
          <w:p w14:paraId="39461D72"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export</w:t>
            </w:r>
          </w:p>
        </w:tc>
        <w:tc>
          <w:tcPr>
            <w:tcW w:w="3265" w:type="dxa"/>
            <w:tcBorders>
              <w:top w:val="single" w:sz="4" w:space="0" w:color="auto"/>
              <w:left w:val="single" w:sz="4" w:space="0" w:color="auto"/>
              <w:bottom w:val="single" w:sz="4" w:space="0" w:color="auto"/>
              <w:right w:val="single" w:sz="4" w:space="0" w:color="auto"/>
            </w:tcBorders>
          </w:tcPr>
          <w:p w14:paraId="51E478DA"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Export volume (In Million USD) of Bangladesh</w:t>
            </w:r>
          </w:p>
        </w:tc>
        <w:tc>
          <w:tcPr>
            <w:tcW w:w="1180" w:type="dxa"/>
            <w:tcBorders>
              <w:top w:val="single" w:sz="4" w:space="0" w:color="auto"/>
              <w:left w:val="single" w:sz="4" w:space="0" w:color="auto"/>
              <w:bottom w:val="single" w:sz="4" w:space="0" w:color="auto"/>
              <w:right w:val="single" w:sz="4" w:space="0" w:color="auto"/>
            </w:tcBorders>
          </w:tcPr>
          <w:p w14:paraId="44FD2640"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199.72</w:t>
            </w:r>
          </w:p>
        </w:tc>
        <w:tc>
          <w:tcPr>
            <w:tcW w:w="1323" w:type="dxa"/>
            <w:tcBorders>
              <w:top w:val="single" w:sz="4" w:space="0" w:color="auto"/>
              <w:left w:val="single" w:sz="4" w:space="0" w:color="auto"/>
              <w:bottom w:val="single" w:sz="4" w:space="0" w:color="auto"/>
              <w:right w:val="single" w:sz="4" w:space="0" w:color="auto"/>
            </w:tcBorders>
          </w:tcPr>
          <w:p w14:paraId="3EB14409"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756.99</w:t>
            </w:r>
          </w:p>
        </w:tc>
        <w:tc>
          <w:tcPr>
            <w:tcW w:w="846" w:type="dxa"/>
            <w:tcBorders>
              <w:top w:val="single" w:sz="4" w:space="0" w:color="auto"/>
              <w:left w:val="single" w:sz="4" w:space="0" w:color="auto"/>
              <w:bottom w:val="single" w:sz="4" w:space="0" w:color="auto"/>
              <w:right w:val="single" w:sz="4" w:space="0" w:color="auto"/>
            </w:tcBorders>
          </w:tcPr>
          <w:p w14:paraId="318BDE7E"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0</w:t>
            </w:r>
          </w:p>
        </w:tc>
        <w:tc>
          <w:tcPr>
            <w:tcW w:w="1435" w:type="dxa"/>
            <w:tcBorders>
              <w:top w:val="single" w:sz="4" w:space="0" w:color="auto"/>
              <w:left w:val="single" w:sz="4" w:space="0" w:color="auto"/>
              <w:bottom w:val="single" w:sz="4" w:space="0" w:color="auto"/>
              <w:right w:val="single" w:sz="4" w:space="0" w:color="auto"/>
            </w:tcBorders>
          </w:tcPr>
          <w:p w14:paraId="5DE35DB7"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11834.78</w:t>
            </w:r>
          </w:p>
        </w:tc>
      </w:tr>
      <w:tr w:rsidR="003D26F3" w:rsidRPr="009C4834" w14:paraId="74C78132" w14:textId="77777777" w:rsidTr="00AA3AEF">
        <w:trPr>
          <w:trHeight w:val="107"/>
        </w:trPr>
        <w:tc>
          <w:tcPr>
            <w:tcW w:w="9985" w:type="dxa"/>
            <w:gridSpan w:val="6"/>
            <w:tcBorders>
              <w:top w:val="single" w:sz="4" w:space="0" w:color="auto"/>
              <w:left w:val="single" w:sz="4" w:space="0" w:color="auto"/>
              <w:bottom w:val="single" w:sz="4" w:space="0" w:color="auto"/>
              <w:right w:val="single" w:sz="4" w:space="0" w:color="auto"/>
            </w:tcBorders>
          </w:tcPr>
          <w:p w14:paraId="6B4297D4" w14:textId="77777777" w:rsidR="003D26F3" w:rsidRPr="009C4834" w:rsidRDefault="003D26F3" w:rsidP="009C4834">
            <w:pPr>
              <w:ind w:right="18"/>
              <w:rPr>
                <w:rFonts w:ascii="Arial" w:hAnsi="Arial" w:cs="Arial"/>
                <w:b/>
                <w:bCs/>
                <w:sz w:val="20"/>
                <w:szCs w:val="20"/>
              </w:rPr>
            </w:pPr>
            <w:r w:rsidRPr="009C4834">
              <w:rPr>
                <w:rFonts w:ascii="Arial" w:hAnsi="Arial" w:cs="Arial"/>
                <w:b/>
                <w:bCs/>
                <w:sz w:val="20"/>
                <w:szCs w:val="20"/>
              </w:rPr>
              <w:t>Independent Variables</w:t>
            </w:r>
          </w:p>
        </w:tc>
      </w:tr>
      <w:tr w:rsidR="003D26F3" w:rsidRPr="009C4834" w14:paraId="7CE2F6E4" w14:textId="77777777" w:rsidTr="00AA3AEF">
        <w:trPr>
          <w:trHeight w:val="219"/>
        </w:trPr>
        <w:tc>
          <w:tcPr>
            <w:tcW w:w="1936" w:type="dxa"/>
            <w:tcBorders>
              <w:top w:val="single" w:sz="4" w:space="0" w:color="auto"/>
              <w:left w:val="single" w:sz="4" w:space="0" w:color="auto"/>
              <w:bottom w:val="single" w:sz="4" w:space="0" w:color="auto"/>
              <w:right w:val="single" w:sz="4" w:space="0" w:color="auto"/>
            </w:tcBorders>
          </w:tcPr>
          <w:p w14:paraId="24B44BA2" w14:textId="77777777" w:rsidR="003D26F3" w:rsidRPr="009C4834" w:rsidRDefault="003D26F3" w:rsidP="009C4834">
            <w:pPr>
              <w:ind w:right="18"/>
              <w:rPr>
                <w:rFonts w:ascii="Arial" w:hAnsi="Arial" w:cs="Arial"/>
                <w:sz w:val="20"/>
                <w:szCs w:val="20"/>
              </w:rPr>
            </w:pPr>
            <w:r w:rsidRPr="009C4834">
              <w:rPr>
                <w:rFonts w:ascii="Arial" w:hAnsi="Arial" w:cs="Arial"/>
                <w:sz w:val="20"/>
                <w:szCs w:val="20"/>
              </w:rPr>
              <w:t>gdp_o</w:t>
            </w:r>
          </w:p>
        </w:tc>
        <w:tc>
          <w:tcPr>
            <w:tcW w:w="3265" w:type="dxa"/>
            <w:tcBorders>
              <w:top w:val="single" w:sz="4" w:space="0" w:color="auto"/>
              <w:left w:val="single" w:sz="4" w:space="0" w:color="auto"/>
              <w:bottom w:val="single" w:sz="4" w:space="0" w:color="auto"/>
              <w:right w:val="single" w:sz="4" w:space="0" w:color="auto"/>
            </w:tcBorders>
          </w:tcPr>
          <w:p w14:paraId="33C6520E" w14:textId="77777777" w:rsidR="003D26F3" w:rsidRPr="009C4834" w:rsidRDefault="003D26F3" w:rsidP="009C4834">
            <w:pPr>
              <w:ind w:right="18"/>
              <w:rPr>
                <w:rFonts w:ascii="Arial" w:hAnsi="Arial" w:cs="Arial"/>
                <w:sz w:val="20"/>
                <w:szCs w:val="20"/>
              </w:rPr>
            </w:pPr>
            <w:r w:rsidRPr="009C4834">
              <w:rPr>
                <w:rFonts w:ascii="Arial" w:hAnsi="Arial" w:cs="Arial"/>
                <w:sz w:val="20"/>
                <w:szCs w:val="20"/>
              </w:rPr>
              <w:t>GDP of origin country (In Million USD), or in this case, Bangladesh</w:t>
            </w:r>
          </w:p>
        </w:tc>
        <w:tc>
          <w:tcPr>
            <w:tcW w:w="1180" w:type="dxa"/>
            <w:tcBorders>
              <w:top w:val="single" w:sz="4" w:space="0" w:color="auto"/>
              <w:left w:val="single" w:sz="4" w:space="0" w:color="auto"/>
              <w:bottom w:val="single" w:sz="4" w:space="0" w:color="auto"/>
              <w:right w:val="single" w:sz="4" w:space="0" w:color="auto"/>
            </w:tcBorders>
          </w:tcPr>
          <w:p w14:paraId="5A46B282" w14:textId="77777777" w:rsidR="003D26F3" w:rsidRPr="009C4834" w:rsidRDefault="003D26F3" w:rsidP="009C4834">
            <w:pPr>
              <w:ind w:right="18"/>
              <w:rPr>
                <w:rFonts w:ascii="Arial" w:hAnsi="Arial" w:cs="Arial"/>
                <w:sz w:val="20"/>
                <w:szCs w:val="20"/>
              </w:rPr>
            </w:pPr>
            <w:r w:rsidRPr="009C4834">
              <w:rPr>
                <w:rFonts w:ascii="Arial" w:hAnsi="Arial" w:cs="Arial"/>
                <w:sz w:val="20"/>
                <w:szCs w:val="20"/>
              </w:rPr>
              <w:t>520723.50</w:t>
            </w:r>
          </w:p>
        </w:tc>
        <w:tc>
          <w:tcPr>
            <w:tcW w:w="1323" w:type="dxa"/>
            <w:tcBorders>
              <w:top w:val="single" w:sz="4" w:space="0" w:color="auto"/>
              <w:left w:val="single" w:sz="4" w:space="0" w:color="auto"/>
              <w:bottom w:val="single" w:sz="4" w:space="0" w:color="auto"/>
              <w:right w:val="single" w:sz="4" w:space="0" w:color="auto"/>
            </w:tcBorders>
          </w:tcPr>
          <w:p w14:paraId="653B13BE" w14:textId="77777777" w:rsidR="003D26F3" w:rsidRPr="009C4834" w:rsidRDefault="003D26F3" w:rsidP="009C4834">
            <w:pPr>
              <w:ind w:right="18"/>
              <w:rPr>
                <w:rFonts w:ascii="Arial" w:hAnsi="Arial" w:cs="Arial"/>
                <w:sz w:val="20"/>
                <w:szCs w:val="20"/>
              </w:rPr>
            </w:pPr>
            <w:r w:rsidRPr="009C4834">
              <w:rPr>
                <w:rFonts w:ascii="Arial" w:hAnsi="Arial" w:cs="Arial"/>
                <w:sz w:val="20"/>
                <w:szCs w:val="20"/>
              </w:rPr>
              <w:t>262233.39</w:t>
            </w:r>
          </w:p>
        </w:tc>
        <w:tc>
          <w:tcPr>
            <w:tcW w:w="846" w:type="dxa"/>
            <w:tcBorders>
              <w:top w:val="single" w:sz="4" w:space="0" w:color="auto"/>
              <w:left w:val="single" w:sz="4" w:space="0" w:color="auto"/>
              <w:bottom w:val="single" w:sz="4" w:space="0" w:color="auto"/>
              <w:right w:val="single" w:sz="4" w:space="0" w:color="auto"/>
            </w:tcBorders>
          </w:tcPr>
          <w:p w14:paraId="26715D28" w14:textId="77777777" w:rsidR="003D26F3" w:rsidRPr="009C4834" w:rsidRDefault="003D26F3" w:rsidP="009C4834">
            <w:pPr>
              <w:ind w:right="18"/>
              <w:rPr>
                <w:rFonts w:ascii="Arial" w:hAnsi="Arial" w:cs="Arial"/>
                <w:sz w:val="20"/>
                <w:szCs w:val="20"/>
              </w:rPr>
            </w:pPr>
            <w:r w:rsidRPr="009C4834">
              <w:rPr>
                <w:rFonts w:ascii="Arial" w:hAnsi="Arial" w:cs="Arial"/>
                <w:sz w:val="20"/>
                <w:szCs w:val="20"/>
              </w:rPr>
              <w:t>46.01</w:t>
            </w:r>
          </w:p>
        </w:tc>
        <w:tc>
          <w:tcPr>
            <w:tcW w:w="1435" w:type="dxa"/>
            <w:tcBorders>
              <w:top w:val="single" w:sz="4" w:space="0" w:color="auto"/>
              <w:left w:val="single" w:sz="4" w:space="0" w:color="auto"/>
              <w:bottom w:val="single" w:sz="4" w:space="0" w:color="auto"/>
              <w:right w:val="single" w:sz="4" w:space="0" w:color="auto"/>
            </w:tcBorders>
          </w:tcPr>
          <w:p w14:paraId="660F880B" w14:textId="77777777" w:rsidR="003D26F3" w:rsidRPr="009C4834" w:rsidRDefault="003D26F3" w:rsidP="009C4834">
            <w:pPr>
              <w:ind w:right="18"/>
              <w:rPr>
                <w:rFonts w:ascii="Arial" w:hAnsi="Arial" w:cs="Arial"/>
                <w:sz w:val="20"/>
                <w:szCs w:val="20"/>
              </w:rPr>
            </w:pPr>
            <w:r w:rsidRPr="009C4834">
              <w:rPr>
                <w:rFonts w:ascii="Arial" w:hAnsi="Arial" w:cs="Arial"/>
                <w:sz w:val="20"/>
                <w:szCs w:val="20"/>
              </w:rPr>
              <w:t>1001067.00</w:t>
            </w:r>
          </w:p>
        </w:tc>
      </w:tr>
      <w:tr w:rsidR="003D26F3" w:rsidRPr="009C4834" w14:paraId="06CD446A" w14:textId="77777777" w:rsidTr="00AA3AEF">
        <w:trPr>
          <w:trHeight w:val="212"/>
        </w:trPr>
        <w:tc>
          <w:tcPr>
            <w:tcW w:w="1936" w:type="dxa"/>
            <w:tcBorders>
              <w:top w:val="single" w:sz="4" w:space="0" w:color="auto"/>
              <w:left w:val="single" w:sz="4" w:space="0" w:color="auto"/>
              <w:bottom w:val="single" w:sz="4" w:space="0" w:color="auto"/>
              <w:right w:val="single" w:sz="4" w:space="0" w:color="auto"/>
            </w:tcBorders>
          </w:tcPr>
          <w:p w14:paraId="2A26946C"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gdp_d</w:t>
            </w:r>
          </w:p>
        </w:tc>
        <w:tc>
          <w:tcPr>
            <w:tcW w:w="3265" w:type="dxa"/>
            <w:tcBorders>
              <w:top w:val="single" w:sz="4" w:space="0" w:color="auto"/>
              <w:left w:val="single" w:sz="4" w:space="0" w:color="auto"/>
              <w:bottom w:val="single" w:sz="4" w:space="0" w:color="auto"/>
              <w:right w:val="single" w:sz="4" w:space="0" w:color="auto"/>
            </w:tcBorders>
          </w:tcPr>
          <w:p w14:paraId="2518B5FF"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GDP of partner countries (In Million USD)</w:t>
            </w:r>
          </w:p>
        </w:tc>
        <w:tc>
          <w:tcPr>
            <w:tcW w:w="1180" w:type="dxa"/>
            <w:tcBorders>
              <w:top w:val="single" w:sz="4" w:space="0" w:color="auto"/>
              <w:left w:val="single" w:sz="4" w:space="0" w:color="auto"/>
              <w:bottom w:val="single" w:sz="4" w:space="0" w:color="auto"/>
              <w:right w:val="single" w:sz="4" w:space="0" w:color="auto"/>
            </w:tcBorders>
          </w:tcPr>
          <w:p w14:paraId="400ACB68"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646341.10</w:t>
            </w:r>
          </w:p>
        </w:tc>
        <w:tc>
          <w:tcPr>
            <w:tcW w:w="1323" w:type="dxa"/>
            <w:tcBorders>
              <w:top w:val="single" w:sz="4" w:space="0" w:color="auto"/>
              <w:left w:val="single" w:sz="4" w:space="0" w:color="auto"/>
              <w:bottom w:val="single" w:sz="4" w:space="0" w:color="auto"/>
              <w:right w:val="single" w:sz="4" w:space="0" w:color="auto"/>
            </w:tcBorders>
          </w:tcPr>
          <w:p w14:paraId="792A3177"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2093300.80</w:t>
            </w:r>
          </w:p>
        </w:tc>
        <w:tc>
          <w:tcPr>
            <w:tcW w:w="846" w:type="dxa"/>
            <w:tcBorders>
              <w:top w:val="single" w:sz="4" w:space="0" w:color="auto"/>
              <w:left w:val="single" w:sz="4" w:space="0" w:color="auto"/>
              <w:bottom w:val="single" w:sz="4" w:space="0" w:color="auto"/>
              <w:right w:val="single" w:sz="4" w:space="0" w:color="auto"/>
            </w:tcBorders>
          </w:tcPr>
          <w:p w14:paraId="62B89684"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0</w:t>
            </w:r>
          </w:p>
        </w:tc>
        <w:tc>
          <w:tcPr>
            <w:tcW w:w="1435" w:type="dxa"/>
            <w:tcBorders>
              <w:top w:val="single" w:sz="4" w:space="0" w:color="auto"/>
              <w:left w:val="single" w:sz="4" w:space="0" w:color="auto"/>
              <w:bottom w:val="single" w:sz="4" w:space="0" w:color="auto"/>
              <w:right w:val="single" w:sz="4" w:space="0" w:color="auto"/>
            </w:tcBorders>
          </w:tcPr>
          <w:p w14:paraId="5E73428F"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27720700.00</w:t>
            </w:r>
          </w:p>
        </w:tc>
      </w:tr>
      <w:tr w:rsidR="003D26F3" w:rsidRPr="009C4834" w14:paraId="1EC56112" w14:textId="77777777" w:rsidTr="00AA3AEF">
        <w:trPr>
          <w:trHeight w:val="219"/>
        </w:trPr>
        <w:tc>
          <w:tcPr>
            <w:tcW w:w="1936" w:type="dxa"/>
            <w:tcBorders>
              <w:top w:val="single" w:sz="4" w:space="0" w:color="auto"/>
              <w:left w:val="single" w:sz="4" w:space="0" w:color="auto"/>
              <w:bottom w:val="single" w:sz="4" w:space="0" w:color="auto"/>
              <w:right w:val="single" w:sz="4" w:space="0" w:color="auto"/>
            </w:tcBorders>
          </w:tcPr>
          <w:p w14:paraId="0BC64F88"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 xml:space="preserve"> pop_o</w:t>
            </w:r>
          </w:p>
        </w:tc>
        <w:tc>
          <w:tcPr>
            <w:tcW w:w="3265" w:type="dxa"/>
            <w:tcBorders>
              <w:top w:val="single" w:sz="4" w:space="0" w:color="auto"/>
              <w:left w:val="single" w:sz="4" w:space="0" w:color="auto"/>
              <w:bottom w:val="single" w:sz="4" w:space="0" w:color="auto"/>
              <w:right w:val="single" w:sz="4" w:space="0" w:color="auto"/>
            </w:tcBorders>
          </w:tcPr>
          <w:p w14:paraId="51E5D0A6"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Population of origin country (In Million), or in this case, Bangladesh</w:t>
            </w:r>
          </w:p>
        </w:tc>
        <w:tc>
          <w:tcPr>
            <w:tcW w:w="1180" w:type="dxa"/>
            <w:tcBorders>
              <w:top w:val="single" w:sz="4" w:space="0" w:color="auto"/>
              <w:left w:val="single" w:sz="4" w:space="0" w:color="auto"/>
              <w:bottom w:val="single" w:sz="4" w:space="0" w:color="auto"/>
              <w:right w:val="single" w:sz="4" w:space="0" w:color="auto"/>
            </w:tcBorders>
          </w:tcPr>
          <w:p w14:paraId="78824BA4"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154.51</w:t>
            </w:r>
          </w:p>
        </w:tc>
        <w:tc>
          <w:tcPr>
            <w:tcW w:w="1323" w:type="dxa"/>
            <w:tcBorders>
              <w:top w:val="single" w:sz="4" w:space="0" w:color="auto"/>
              <w:left w:val="single" w:sz="4" w:space="0" w:color="auto"/>
              <w:bottom w:val="single" w:sz="4" w:space="0" w:color="auto"/>
              <w:right w:val="single" w:sz="4" w:space="0" w:color="auto"/>
            </w:tcBorders>
          </w:tcPr>
          <w:p w14:paraId="399CBC87"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11.59</w:t>
            </w:r>
          </w:p>
        </w:tc>
        <w:tc>
          <w:tcPr>
            <w:tcW w:w="846" w:type="dxa"/>
            <w:tcBorders>
              <w:top w:val="single" w:sz="4" w:space="0" w:color="auto"/>
              <w:left w:val="single" w:sz="4" w:space="0" w:color="auto"/>
              <w:bottom w:val="single" w:sz="4" w:space="0" w:color="auto"/>
              <w:right w:val="single" w:sz="4" w:space="0" w:color="auto"/>
            </w:tcBorders>
          </w:tcPr>
          <w:p w14:paraId="4CF95AE3"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131.58</w:t>
            </w:r>
          </w:p>
        </w:tc>
        <w:tc>
          <w:tcPr>
            <w:tcW w:w="1435" w:type="dxa"/>
            <w:tcBorders>
              <w:top w:val="single" w:sz="4" w:space="0" w:color="auto"/>
              <w:left w:val="single" w:sz="4" w:space="0" w:color="auto"/>
              <w:bottom w:val="single" w:sz="4" w:space="0" w:color="auto"/>
              <w:right w:val="single" w:sz="4" w:space="0" w:color="auto"/>
            </w:tcBorders>
          </w:tcPr>
          <w:p w14:paraId="15209A1F"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173.56</w:t>
            </w:r>
          </w:p>
        </w:tc>
      </w:tr>
      <w:tr w:rsidR="003D26F3" w:rsidRPr="009C4834" w14:paraId="4C878D66" w14:textId="77777777" w:rsidTr="00AA3AEF">
        <w:trPr>
          <w:trHeight w:val="212"/>
        </w:trPr>
        <w:tc>
          <w:tcPr>
            <w:tcW w:w="1936" w:type="dxa"/>
            <w:tcBorders>
              <w:top w:val="single" w:sz="4" w:space="0" w:color="auto"/>
              <w:left w:val="single" w:sz="4" w:space="0" w:color="auto"/>
              <w:bottom w:val="single" w:sz="4" w:space="0" w:color="auto"/>
              <w:right w:val="single" w:sz="4" w:space="0" w:color="auto"/>
            </w:tcBorders>
          </w:tcPr>
          <w:p w14:paraId="15299FCC"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lastRenderedPageBreak/>
              <w:t xml:space="preserve"> pop_d</w:t>
            </w:r>
          </w:p>
        </w:tc>
        <w:tc>
          <w:tcPr>
            <w:tcW w:w="3265" w:type="dxa"/>
            <w:tcBorders>
              <w:top w:val="single" w:sz="4" w:space="0" w:color="auto"/>
              <w:left w:val="single" w:sz="4" w:space="0" w:color="auto"/>
              <w:bottom w:val="single" w:sz="4" w:space="0" w:color="auto"/>
              <w:right w:val="single" w:sz="4" w:space="0" w:color="auto"/>
            </w:tcBorders>
          </w:tcPr>
          <w:p w14:paraId="78E407AF"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Population of partner countries (In Million)</w:t>
            </w:r>
          </w:p>
        </w:tc>
        <w:tc>
          <w:tcPr>
            <w:tcW w:w="1180" w:type="dxa"/>
            <w:tcBorders>
              <w:top w:val="single" w:sz="4" w:space="0" w:color="auto"/>
              <w:left w:val="single" w:sz="4" w:space="0" w:color="auto"/>
              <w:bottom w:val="single" w:sz="4" w:space="0" w:color="auto"/>
              <w:right w:val="single" w:sz="4" w:space="0" w:color="auto"/>
            </w:tcBorders>
          </w:tcPr>
          <w:p w14:paraId="5F07B5B7"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43.08</w:t>
            </w:r>
          </w:p>
        </w:tc>
        <w:tc>
          <w:tcPr>
            <w:tcW w:w="1323" w:type="dxa"/>
            <w:tcBorders>
              <w:top w:val="single" w:sz="4" w:space="0" w:color="auto"/>
              <w:left w:val="single" w:sz="4" w:space="0" w:color="auto"/>
              <w:bottom w:val="single" w:sz="4" w:space="0" w:color="auto"/>
              <w:right w:val="single" w:sz="4" w:space="0" w:color="auto"/>
            </w:tcBorders>
          </w:tcPr>
          <w:p w14:paraId="45D3121C"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152.87</w:t>
            </w:r>
          </w:p>
        </w:tc>
        <w:tc>
          <w:tcPr>
            <w:tcW w:w="846" w:type="dxa"/>
            <w:tcBorders>
              <w:top w:val="single" w:sz="4" w:space="0" w:color="auto"/>
              <w:left w:val="single" w:sz="4" w:space="0" w:color="auto"/>
              <w:bottom w:val="single" w:sz="4" w:space="0" w:color="auto"/>
              <w:right w:val="single" w:sz="4" w:space="0" w:color="auto"/>
            </w:tcBorders>
          </w:tcPr>
          <w:p w14:paraId="4D6A93D6"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.01</w:t>
            </w:r>
          </w:p>
        </w:tc>
        <w:tc>
          <w:tcPr>
            <w:tcW w:w="1435" w:type="dxa"/>
            <w:tcBorders>
              <w:top w:val="single" w:sz="4" w:space="0" w:color="auto"/>
              <w:left w:val="single" w:sz="4" w:space="0" w:color="auto"/>
              <w:bottom w:val="single" w:sz="4" w:space="0" w:color="auto"/>
              <w:right w:val="single" w:sz="4" w:space="0" w:color="auto"/>
            </w:tcBorders>
          </w:tcPr>
          <w:p w14:paraId="0CB66684"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1425.89</w:t>
            </w:r>
          </w:p>
        </w:tc>
      </w:tr>
      <w:tr w:rsidR="003D26F3" w:rsidRPr="009C4834" w14:paraId="08859D5D" w14:textId="77777777" w:rsidTr="00AA3AEF">
        <w:trPr>
          <w:trHeight w:val="212"/>
        </w:trPr>
        <w:tc>
          <w:tcPr>
            <w:tcW w:w="1936" w:type="dxa"/>
            <w:tcBorders>
              <w:top w:val="single" w:sz="4" w:space="0" w:color="auto"/>
              <w:left w:val="single" w:sz="4" w:space="0" w:color="auto"/>
              <w:bottom w:val="single" w:sz="4" w:space="0" w:color="auto"/>
              <w:right w:val="single" w:sz="4" w:space="0" w:color="auto"/>
            </w:tcBorders>
          </w:tcPr>
          <w:p w14:paraId="07486BC8"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 xml:space="preserve">dist </w:t>
            </w:r>
          </w:p>
        </w:tc>
        <w:tc>
          <w:tcPr>
            <w:tcW w:w="3265" w:type="dxa"/>
            <w:tcBorders>
              <w:top w:val="single" w:sz="4" w:space="0" w:color="auto"/>
              <w:left w:val="single" w:sz="4" w:space="0" w:color="auto"/>
              <w:bottom w:val="single" w:sz="4" w:space="0" w:color="auto"/>
              <w:right w:val="single" w:sz="4" w:space="0" w:color="auto"/>
            </w:tcBorders>
          </w:tcPr>
          <w:p w14:paraId="005B9673"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Distance between two counties</w:t>
            </w:r>
          </w:p>
        </w:tc>
        <w:tc>
          <w:tcPr>
            <w:tcW w:w="1180" w:type="dxa"/>
            <w:tcBorders>
              <w:top w:val="single" w:sz="4" w:space="0" w:color="auto"/>
              <w:left w:val="single" w:sz="4" w:space="0" w:color="auto"/>
              <w:bottom w:val="single" w:sz="4" w:space="0" w:color="auto"/>
              <w:right w:val="single" w:sz="4" w:space="0" w:color="auto"/>
            </w:tcBorders>
          </w:tcPr>
          <w:p w14:paraId="54A7757F"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8208.28</w:t>
            </w:r>
          </w:p>
        </w:tc>
        <w:tc>
          <w:tcPr>
            <w:tcW w:w="1323" w:type="dxa"/>
            <w:tcBorders>
              <w:top w:val="single" w:sz="4" w:space="0" w:color="auto"/>
              <w:left w:val="single" w:sz="4" w:space="0" w:color="auto"/>
              <w:bottom w:val="single" w:sz="4" w:space="0" w:color="auto"/>
              <w:right w:val="single" w:sz="4" w:space="0" w:color="auto"/>
            </w:tcBorders>
          </w:tcPr>
          <w:p w14:paraId="37535A10"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 xml:space="preserve">4314.59  </w:t>
            </w:r>
          </w:p>
        </w:tc>
        <w:tc>
          <w:tcPr>
            <w:tcW w:w="846" w:type="dxa"/>
            <w:tcBorders>
              <w:top w:val="single" w:sz="4" w:space="0" w:color="auto"/>
              <w:left w:val="single" w:sz="4" w:space="0" w:color="auto"/>
              <w:bottom w:val="single" w:sz="4" w:space="0" w:color="auto"/>
              <w:right w:val="single" w:sz="4" w:space="0" w:color="auto"/>
            </w:tcBorders>
          </w:tcPr>
          <w:p w14:paraId="13B2E045"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 xml:space="preserve">134.24  </w:t>
            </w:r>
          </w:p>
        </w:tc>
        <w:tc>
          <w:tcPr>
            <w:tcW w:w="1435" w:type="dxa"/>
            <w:tcBorders>
              <w:top w:val="single" w:sz="4" w:space="0" w:color="auto"/>
              <w:left w:val="single" w:sz="4" w:space="0" w:color="auto"/>
              <w:bottom w:val="single" w:sz="4" w:space="0" w:color="auto"/>
              <w:right w:val="single" w:sz="4" w:space="0" w:color="auto"/>
            </w:tcBorders>
          </w:tcPr>
          <w:p w14:paraId="50528358"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 xml:space="preserve">18047.04  </w:t>
            </w:r>
          </w:p>
        </w:tc>
      </w:tr>
      <w:tr w:rsidR="003D26F3" w:rsidRPr="009C4834" w14:paraId="63429B6E" w14:textId="77777777" w:rsidTr="00AA3AEF">
        <w:trPr>
          <w:trHeight w:val="212"/>
        </w:trPr>
        <w:tc>
          <w:tcPr>
            <w:tcW w:w="9985" w:type="dxa"/>
            <w:gridSpan w:val="6"/>
            <w:tcBorders>
              <w:top w:val="single" w:sz="4" w:space="0" w:color="auto"/>
              <w:left w:val="single" w:sz="4" w:space="0" w:color="auto"/>
              <w:bottom w:val="single" w:sz="4" w:space="0" w:color="auto"/>
              <w:right w:val="single" w:sz="4" w:space="0" w:color="auto"/>
            </w:tcBorders>
          </w:tcPr>
          <w:p w14:paraId="08F2BCD3" w14:textId="77777777" w:rsidR="003D26F3" w:rsidRPr="00AB639D" w:rsidRDefault="003D26F3" w:rsidP="009C4834">
            <w:pPr>
              <w:ind w:right="18"/>
              <w:rPr>
                <w:rFonts w:ascii="Arial" w:hAnsi="Arial" w:cs="Arial"/>
                <w:b/>
                <w:bCs/>
                <w:sz w:val="20"/>
                <w:szCs w:val="20"/>
              </w:rPr>
            </w:pPr>
            <w:r w:rsidRPr="00AB639D">
              <w:rPr>
                <w:rFonts w:ascii="Arial" w:hAnsi="Arial" w:cs="Arial"/>
                <w:b/>
                <w:bCs/>
                <w:sz w:val="20"/>
                <w:szCs w:val="20"/>
              </w:rPr>
              <w:t>Dummy Variables</w:t>
            </w:r>
          </w:p>
        </w:tc>
      </w:tr>
      <w:tr w:rsidR="003D26F3" w:rsidRPr="009C4834" w14:paraId="7851923C" w14:textId="77777777" w:rsidTr="00AA3AEF">
        <w:trPr>
          <w:trHeight w:val="439"/>
        </w:trPr>
        <w:tc>
          <w:tcPr>
            <w:tcW w:w="1936" w:type="dxa"/>
            <w:tcBorders>
              <w:top w:val="single" w:sz="4" w:space="0" w:color="auto"/>
              <w:left w:val="single" w:sz="4" w:space="0" w:color="auto"/>
              <w:bottom w:val="single" w:sz="4" w:space="0" w:color="auto"/>
              <w:right w:val="single" w:sz="4" w:space="0" w:color="auto"/>
            </w:tcBorders>
          </w:tcPr>
          <w:p w14:paraId="0D51AE52"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common_language</w:t>
            </w:r>
          </w:p>
        </w:tc>
        <w:tc>
          <w:tcPr>
            <w:tcW w:w="3265" w:type="dxa"/>
            <w:tcBorders>
              <w:top w:val="single" w:sz="4" w:space="0" w:color="auto"/>
              <w:left w:val="single" w:sz="4" w:space="0" w:color="auto"/>
              <w:bottom w:val="single" w:sz="4" w:space="0" w:color="auto"/>
              <w:right w:val="single" w:sz="4" w:space="0" w:color="auto"/>
            </w:tcBorders>
          </w:tcPr>
          <w:p w14:paraId="11992DB9"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A dummy variable that captures common language used between the two paired countries. If the residents of the country pair speak at least one</w:t>
            </w:r>
          </w:p>
          <w:p w14:paraId="3C7BD2F2"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common language, the dummy cell yields 1, otherwise, 0</w:t>
            </w:r>
          </w:p>
        </w:tc>
        <w:tc>
          <w:tcPr>
            <w:tcW w:w="1180" w:type="dxa"/>
            <w:tcBorders>
              <w:top w:val="single" w:sz="4" w:space="0" w:color="auto"/>
              <w:left w:val="single" w:sz="4" w:space="0" w:color="auto"/>
              <w:bottom w:val="single" w:sz="4" w:space="0" w:color="auto"/>
              <w:right w:val="single" w:sz="4" w:space="0" w:color="auto"/>
            </w:tcBorders>
          </w:tcPr>
          <w:p w14:paraId="7558655A"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.52</w:t>
            </w:r>
          </w:p>
        </w:tc>
        <w:tc>
          <w:tcPr>
            <w:tcW w:w="1323" w:type="dxa"/>
            <w:tcBorders>
              <w:top w:val="single" w:sz="4" w:space="0" w:color="auto"/>
              <w:left w:val="single" w:sz="4" w:space="0" w:color="auto"/>
              <w:bottom w:val="single" w:sz="4" w:space="0" w:color="auto"/>
              <w:right w:val="single" w:sz="4" w:space="0" w:color="auto"/>
            </w:tcBorders>
          </w:tcPr>
          <w:p w14:paraId="5B352CEC"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.50</w:t>
            </w:r>
          </w:p>
        </w:tc>
        <w:tc>
          <w:tcPr>
            <w:tcW w:w="846" w:type="dxa"/>
            <w:tcBorders>
              <w:top w:val="single" w:sz="4" w:space="0" w:color="auto"/>
              <w:left w:val="single" w:sz="4" w:space="0" w:color="auto"/>
              <w:bottom w:val="single" w:sz="4" w:space="0" w:color="auto"/>
              <w:right w:val="single" w:sz="4" w:space="0" w:color="auto"/>
            </w:tcBorders>
          </w:tcPr>
          <w:p w14:paraId="2209440F" w14:textId="77777777" w:rsidR="003D26F3" w:rsidRPr="00AB639D" w:rsidRDefault="003D26F3" w:rsidP="009C4834">
            <w:pPr>
              <w:ind w:right="18"/>
              <w:rPr>
                <w:rFonts w:ascii="Arial" w:hAnsi="Arial" w:cs="Arial"/>
                <w:sz w:val="20"/>
                <w:szCs w:val="20"/>
              </w:rPr>
            </w:pPr>
          </w:p>
        </w:tc>
        <w:tc>
          <w:tcPr>
            <w:tcW w:w="1435" w:type="dxa"/>
            <w:tcBorders>
              <w:top w:val="single" w:sz="4" w:space="0" w:color="auto"/>
              <w:left w:val="single" w:sz="4" w:space="0" w:color="auto"/>
              <w:bottom w:val="single" w:sz="4" w:space="0" w:color="auto"/>
              <w:right w:val="single" w:sz="4" w:space="0" w:color="auto"/>
            </w:tcBorders>
          </w:tcPr>
          <w:p w14:paraId="5884C39F" w14:textId="77777777" w:rsidR="003D26F3" w:rsidRPr="00AB639D" w:rsidRDefault="003D26F3" w:rsidP="009C4834">
            <w:pPr>
              <w:ind w:right="18"/>
              <w:rPr>
                <w:rFonts w:ascii="Arial" w:hAnsi="Arial" w:cs="Arial"/>
                <w:sz w:val="20"/>
                <w:szCs w:val="20"/>
              </w:rPr>
            </w:pPr>
          </w:p>
        </w:tc>
      </w:tr>
      <w:tr w:rsidR="003D26F3" w:rsidRPr="009C4834" w14:paraId="3B515B6A" w14:textId="77777777" w:rsidTr="00AA3AEF">
        <w:trPr>
          <w:trHeight w:val="432"/>
        </w:trPr>
        <w:tc>
          <w:tcPr>
            <w:tcW w:w="1936" w:type="dxa"/>
            <w:tcBorders>
              <w:top w:val="single" w:sz="4" w:space="0" w:color="auto"/>
              <w:left w:val="single" w:sz="4" w:space="0" w:color="auto"/>
              <w:bottom w:val="single" w:sz="4" w:space="0" w:color="auto"/>
              <w:right w:val="single" w:sz="4" w:space="0" w:color="auto"/>
            </w:tcBorders>
          </w:tcPr>
          <w:p w14:paraId="6C640214"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 xml:space="preserve"> landlocked_d</w:t>
            </w:r>
          </w:p>
        </w:tc>
        <w:tc>
          <w:tcPr>
            <w:tcW w:w="3265" w:type="dxa"/>
            <w:tcBorders>
              <w:top w:val="single" w:sz="4" w:space="0" w:color="auto"/>
              <w:left w:val="single" w:sz="4" w:space="0" w:color="auto"/>
              <w:bottom w:val="single" w:sz="4" w:space="0" w:color="auto"/>
              <w:right w:val="single" w:sz="4" w:space="0" w:color="auto"/>
            </w:tcBorders>
          </w:tcPr>
          <w:p w14:paraId="53B0A3E3"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land =1 if both countries are landlocked and zero otherwise</w:t>
            </w:r>
          </w:p>
        </w:tc>
        <w:tc>
          <w:tcPr>
            <w:tcW w:w="1180" w:type="dxa"/>
            <w:tcBorders>
              <w:top w:val="single" w:sz="4" w:space="0" w:color="auto"/>
              <w:left w:val="single" w:sz="4" w:space="0" w:color="auto"/>
              <w:bottom w:val="single" w:sz="4" w:space="0" w:color="auto"/>
              <w:right w:val="single" w:sz="4" w:space="0" w:color="auto"/>
            </w:tcBorders>
          </w:tcPr>
          <w:p w14:paraId="3A8C2796"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.19</w:t>
            </w:r>
          </w:p>
        </w:tc>
        <w:tc>
          <w:tcPr>
            <w:tcW w:w="1323" w:type="dxa"/>
            <w:tcBorders>
              <w:top w:val="single" w:sz="4" w:space="0" w:color="auto"/>
              <w:left w:val="single" w:sz="4" w:space="0" w:color="auto"/>
              <w:bottom w:val="single" w:sz="4" w:space="0" w:color="auto"/>
              <w:right w:val="single" w:sz="4" w:space="0" w:color="auto"/>
            </w:tcBorders>
          </w:tcPr>
          <w:p w14:paraId="2DD78374"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.39</w:t>
            </w:r>
          </w:p>
        </w:tc>
        <w:tc>
          <w:tcPr>
            <w:tcW w:w="846" w:type="dxa"/>
            <w:tcBorders>
              <w:top w:val="single" w:sz="4" w:space="0" w:color="auto"/>
              <w:left w:val="single" w:sz="4" w:space="0" w:color="auto"/>
              <w:bottom w:val="single" w:sz="4" w:space="0" w:color="auto"/>
              <w:right w:val="single" w:sz="4" w:space="0" w:color="auto"/>
            </w:tcBorders>
          </w:tcPr>
          <w:p w14:paraId="3FDACA70" w14:textId="77777777" w:rsidR="003D26F3" w:rsidRPr="009C4834" w:rsidRDefault="003D26F3" w:rsidP="009C4834">
            <w:pPr>
              <w:ind w:right="18"/>
              <w:rPr>
                <w:rFonts w:ascii="Arial" w:hAnsi="Arial" w:cs="Arial"/>
                <w:sz w:val="20"/>
                <w:szCs w:val="20"/>
              </w:rPr>
            </w:pPr>
          </w:p>
        </w:tc>
        <w:tc>
          <w:tcPr>
            <w:tcW w:w="1435" w:type="dxa"/>
            <w:tcBorders>
              <w:top w:val="single" w:sz="4" w:space="0" w:color="auto"/>
              <w:left w:val="single" w:sz="4" w:space="0" w:color="auto"/>
              <w:bottom w:val="single" w:sz="4" w:space="0" w:color="auto"/>
              <w:right w:val="single" w:sz="4" w:space="0" w:color="auto"/>
            </w:tcBorders>
          </w:tcPr>
          <w:p w14:paraId="47950799" w14:textId="77777777" w:rsidR="003D26F3" w:rsidRPr="009C4834" w:rsidRDefault="003D26F3" w:rsidP="009C4834">
            <w:pPr>
              <w:ind w:right="18"/>
              <w:rPr>
                <w:rFonts w:ascii="Arial" w:hAnsi="Arial" w:cs="Arial"/>
                <w:sz w:val="20"/>
                <w:szCs w:val="20"/>
              </w:rPr>
            </w:pPr>
          </w:p>
        </w:tc>
      </w:tr>
      <w:tr w:rsidR="003D26F3" w:rsidRPr="009C4834" w14:paraId="0164530B" w14:textId="77777777" w:rsidTr="00AA3AEF">
        <w:trPr>
          <w:trHeight w:val="212"/>
        </w:trPr>
        <w:tc>
          <w:tcPr>
            <w:tcW w:w="1936" w:type="dxa"/>
            <w:tcBorders>
              <w:top w:val="single" w:sz="4" w:space="0" w:color="auto"/>
              <w:left w:val="single" w:sz="4" w:space="0" w:color="auto"/>
              <w:bottom w:val="single" w:sz="4" w:space="0" w:color="auto"/>
              <w:right w:val="single" w:sz="4" w:space="0" w:color="auto"/>
            </w:tcBorders>
          </w:tcPr>
          <w:p w14:paraId="3B2CBB63"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 xml:space="preserve"> Island_d</w:t>
            </w:r>
          </w:p>
        </w:tc>
        <w:tc>
          <w:tcPr>
            <w:tcW w:w="3265" w:type="dxa"/>
            <w:tcBorders>
              <w:top w:val="single" w:sz="4" w:space="0" w:color="auto"/>
              <w:left w:val="single" w:sz="4" w:space="0" w:color="auto"/>
              <w:bottom w:val="single" w:sz="4" w:space="0" w:color="auto"/>
              <w:right w:val="single" w:sz="4" w:space="0" w:color="auto"/>
            </w:tcBorders>
          </w:tcPr>
          <w:p w14:paraId="3E1DA28D"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Island =1 if both countries are islands or zero otherwise</w:t>
            </w:r>
          </w:p>
        </w:tc>
        <w:tc>
          <w:tcPr>
            <w:tcW w:w="1180" w:type="dxa"/>
            <w:tcBorders>
              <w:top w:val="single" w:sz="4" w:space="0" w:color="auto"/>
              <w:left w:val="single" w:sz="4" w:space="0" w:color="auto"/>
              <w:bottom w:val="single" w:sz="4" w:space="0" w:color="auto"/>
              <w:right w:val="single" w:sz="4" w:space="0" w:color="auto"/>
            </w:tcBorders>
          </w:tcPr>
          <w:p w14:paraId="11F1D00B"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.18</w:t>
            </w:r>
          </w:p>
        </w:tc>
        <w:tc>
          <w:tcPr>
            <w:tcW w:w="1323" w:type="dxa"/>
            <w:tcBorders>
              <w:top w:val="single" w:sz="4" w:space="0" w:color="auto"/>
              <w:left w:val="single" w:sz="4" w:space="0" w:color="auto"/>
              <w:bottom w:val="single" w:sz="4" w:space="0" w:color="auto"/>
              <w:right w:val="single" w:sz="4" w:space="0" w:color="auto"/>
            </w:tcBorders>
          </w:tcPr>
          <w:p w14:paraId="04C70127" w14:textId="77777777" w:rsidR="003D26F3" w:rsidRPr="00CF310F" w:rsidRDefault="003D26F3" w:rsidP="009C4834">
            <w:pPr>
              <w:ind w:right="18"/>
              <w:rPr>
                <w:rFonts w:ascii="Arial" w:hAnsi="Arial" w:cs="Arial"/>
                <w:sz w:val="20"/>
                <w:szCs w:val="20"/>
              </w:rPr>
            </w:pPr>
            <w:r w:rsidRPr="00CF310F">
              <w:rPr>
                <w:rFonts w:ascii="Arial" w:hAnsi="Arial" w:cs="Arial"/>
                <w:sz w:val="20"/>
                <w:szCs w:val="20"/>
              </w:rPr>
              <w:t>.38</w:t>
            </w:r>
          </w:p>
        </w:tc>
        <w:tc>
          <w:tcPr>
            <w:tcW w:w="846" w:type="dxa"/>
            <w:tcBorders>
              <w:top w:val="single" w:sz="4" w:space="0" w:color="auto"/>
              <w:left w:val="single" w:sz="4" w:space="0" w:color="auto"/>
              <w:bottom w:val="single" w:sz="4" w:space="0" w:color="auto"/>
              <w:right w:val="single" w:sz="4" w:space="0" w:color="auto"/>
            </w:tcBorders>
          </w:tcPr>
          <w:p w14:paraId="6183EFC3" w14:textId="77777777" w:rsidR="003D26F3" w:rsidRPr="009C4834" w:rsidRDefault="003D26F3" w:rsidP="009C4834">
            <w:pPr>
              <w:ind w:right="18"/>
              <w:rPr>
                <w:rFonts w:ascii="Arial" w:hAnsi="Arial" w:cs="Arial"/>
                <w:sz w:val="20"/>
                <w:szCs w:val="20"/>
              </w:rPr>
            </w:pPr>
          </w:p>
        </w:tc>
        <w:tc>
          <w:tcPr>
            <w:tcW w:w="1435" w:type="dxa"/>
            <w:tcBorders>
              <w:top w:val="single" w:sz="4" w:space="0" w:color="auto"/>
              <w:left w:val="single" w:sz="4" w:space="0" w:color="auto"/>
              <w:bottom w:val="single" w:sz="4" w:space="0" w:color="auto"/>
              <w:right w:val="single" w:sz="4" w:space="0" w:color="auto"/>
            </w:tcBorders>
          </w:tcPr>
          <w:p w14:paraId="1D91E754" w14:textId="77777777" w:rsidR="003D26F3" w:rsidRPr="009C4834" w:rsidRDefault="003D26F3" w:rsidP="009C4834">
            <w:pPr>
              <w:ind w:right="18"/>
              <w:rPr>
                <w:rFonts w:ascii="Arial" w:hAnsi="Arial" w:cs="Arial"/>
                <w:sz w:val="20"/>
                <w:szCs w:val="20"/>
              </w:rPr>
            </w:pPr>
          </w:p>
        </w:tc>
      </w:tr>
      <w:tr w:rsidR="003D26F3" w:rsidRPr="009C4834" w14:paraId="6020F03E" w14:textId="77777777" w:rsidTr="00AA3AEF">
        <w:trPr>
          <w:trHeight w:val="219"/>
        </w:trPr>
        <w:tc>
          <w:tcPr>
            <w:tcW w:w="1936" w:type="dxa"/>
            <w:tcBorders>
              <w:top w:val="single" w:sz="4" w:space="0" w:color="auto"/>
              <w:left w:val="single" w:sz="4" w:space="0" w:color="auto"/>
              <w:bottom w:val="single" w:sz="4" w:space="0" w:color="auto"/>
              <w:right w:val="single" w:sz="4" w:space="0" w:color="auto"/>
            </w:tcBorders>
          </w:tcPr>
          <w:p w14:paraId="00D27217"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 xml:space="preserve"> contiguity</w:t>
            </w:r>
          </w:p>
        </w:tc>
        <w:tc>
          <w:tcPr>
            <w:tcW w:w="3265" w:type="dxa"/>
            <w:tcBorders>
              <w:top w:val="single" w:sz="4" w:space="0" w:color="auto"/>
              <w:left w:val="single" w:sz="4" w:space="0" w:color="auto"/>
              <w:bottom w:val="single" w:sz="4" w:space="0" w:color="auto"/>
              <w:right w:val="single" w:sz="4" w:space="0" w:color="auto"/>
            </w:tcBorders>
          </w:tcPr>
          <w:p w14:paraId="246F8C76"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If the country pair shares a common border, then it yields 1, otherwise 0</w:t>
            </w:r>
          </w:p>
        </w:tc>
        <w:tc>
          <w:tcPr>
            <w:tcW w:w="1180" w:type="dxa"/>
            <w:tcBorders>
              <w:top w:val="single" w:sz="4" w:space="0" w:color="auto"/>
              <w:left w:val="single" w:sz="4" w:space="0" w:color="auto"/>
              <w:bottom w:val="single" w:sz="4" w:space="0" w:color="auto"/>
              <w:right w:val="single" w:sz="4" w:space="0" w:color="auto"/>
            </w:tcBorders>
          </w:tcPr>
          <w:p w14:paraId="666C615E"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.01</w:t>
            </w:r>
          </w:p>
        </w:tc>
        <w:tc>
          <w:tcPr>
            <w:tcW w:w="1323" w:type="dxa"/>
            <w:tcBorders>
              <w:top w:val="single" w:sz="4" w:space="0" w:color="auto"/>
              <w:left w:val="single" w:sz="4" w:space="0" w:color="auto"/>
              <w:bottom w:val="single" w:sz="4" w:space="0" w:color="auto"/>
              <w:right w:val="single" w:sz="4" w:space="0" w:color="auto"/>
            </w:tcBorders>
          </w:tcPr>
          <w:p w14:paraId="66E0442D"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.10</w:t>
            </w:r>
          </w:p>
        </w:tc>
        <w:tc>
          <w:tcPr>
            <w:tcW w:w="846" w:type="dxa"/>
            <w:tcBorders>
              <w:top w:val="single" w:sz="4" w:space="0" w:color="auto"/>
              <w:left w:val="single" w:sz="4" w:space="0" w:color="auto"/>
              <w:bottom w:val="single" w:sz="4" w:space="0" w:color="auto"/>
              <w:right w:val="single" w:sz="4" w:space="0" w:color="auto"/>
            </w:tcBorders>
          </w:tcPr>
          <w:p w14:paraId="44A45F98" w14:textId="77777777" w:rsidR="003D26F3" w:rsidRPr="00AB639D" w:rsidRDefault="003D26F3" w:rsidP="009C4834">
            <w:pPr>
              <w:ind w:right="18"/>
              <w:rPr>
                <w:rFonts w:ascii="Arial" w:hAnsi="Arial" w:cs="Arial"/>
                <w:sz w:val="20"/>
                <w:szCs w:val="20"/>
              </w:rPr>
            </w:pPr>
          </w:p>
        </w:tc>
        <w:tc>
          <w:tcPr>
            <w:tcW w:w="1435" w:type="dxa"/>
            <w:tcBorders>
              <w:top w:val="single" w:sz="4" w:space="0" w:color="auto"/>
              <w:left w:val="single" w:sz="4" w:space="0" w:color="auto"/>
              <w:bottom w:val="single" w:sz="4" w:space="0" w:color="auto"/>
              <w:right w:val="single" w:sz="4" w:space="0" w:color="auto"/>
            </w:tcBorders>
          </w:tcPr>
          <w:p w14:paraId="70F41D9C" w14:textId="77777777" w:rsidR="003D26F3" w:rsidRPr="00AB639D" w:rsidRDefault="003D26F3" w:rsidP="009C4834">
            <w:pPr>
              <w:ind w:right="18"/>
              <w:rPr>
                <w:rFonts w:ascii="Arial" w:hAnsi="Arial" w:cs="Arial"/>
                <w:sz w:val="20"/>
                <w:szCs w:val="20"/>
              </w:rPr>
            </w:pPr>
          </w:p>
        </w:tc>
      </w:tr>
      <w:tr w:rsidR="003D26F3" w:rsidRPr="009C4834" w14:paraId="2103E73F" w14:textId="77777777" w:rsidTr="00AA3AEF">
        <w:trPr>
          <w:trHeight w:val="432"/>
        </w:trPr>
        <w:tc>
          <w:tcPr>
            <w:tcW w:w="1936" w:type="dxa"/>
            <w:tcBorders>
              <w:top w:val="single" w:sz="4" w:space="0" w:color="auto"/>
              <w:left w:val="single" w:sz="4" w:space="0" w:color="auto"/>
              <w:bottom w:val="single" w:sz="4" w:space="0" w:color="auto"/>
              <w:right w:val="single" w:sz="4" w:space="0" w:color="auto"/>
            </w:tcBorders>
          </w:tcPr>
          <w:p w14:paraId="6AAD5D0D"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 xml:space="preserve"> part_agreement</w:t>
            </w:r>
          </w:p>
        </w:tc>
        <w:tc>
          <w:tcPr>
            <w:tcW w:w="3265" w:type="dxa"/>
            <w:tcBorders>
              <w:top w:val="single" w:sz="4" w:space="0" w:color="auto"/>
              <w:left w:val="single" w:sz="4" w:space="0" w:color="auto"/>
              <w:bottom w:val="single" w:sz="4" w:space="0" w:color="auto"/>
              <w:right w:val="single" w:sz="4" w:space="0" w:color="auto"/>
            </w:tcBorders>
          </w:tcPr>
          <w:p w14:paraId="17D7B675"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 xml:space="preserve">A dummy variable that captures if Bangladesh part of any regional or PTA or other trade agreements, the dummy cell yields 1 if part of any trade agreements, otherwise, 0 </w:t>
            </w:r>
          </w:p>
        </w:tc>
        <w:tc>
          <w:tcPr>
            <w:tcW w:w="1180" w:type="dxa"/>
            <w:tcBorders>
              <w:top w:val="single" w:sz="4" w:space="0" w:color="auto"/>
              <w:left w:val="single" w:sz="4" w:space="0" w:color="auto"/>
              <w:bottom w:val="single" w:sz="4" w:space="0" w:color="auto"/>
              <w:right w:val="single" w:sz="4" w:space="0" w:color="auto"/>
            </w:tcBorders>
          </w:tcPr>
          <w:p w14:paraId="497F6E36"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.47</w:t>
            </w:r>
          </w:p>
        </w:tc>
        <w:tc>
          <w:tcPr>
            <w:tcW w:w="1323" w:type="dxa"/>
            <w:tcBorders>
              <w:top w:val="single" w:sz="4" w:space="0" w:color="auto"/>
              <w:left w:val="single" w:sz="4" w:space="0" w:color="auto"/>
              <w:bottom w:val="single" w:sz="4" w:space="0" w:color="auto"/>
              <w:right w:val="single" w:sz="4" w:space="0" w:color="auto"/>
            </w:tcBorders>
          </w:tcPr>
          <w:p w14:paraId="38B3E0F0" w14:textId="77777777" w:rsidR="003D26F3" w:rsidRPr="00AB639D" w:rsidRDefault="003D26F3" w:rsidP="009C4834">
            <w:pPr>
              <w:ind w:right="18"/>
              <w:rPr>
                <w:rFonts w:ascii="Arial" w:hAnsi="Arial" w:cs="Arial"/>
                <w:sz w:val="20"/>
                <w:szCs w:val="20"/>
              </w:rPr>
            </w:pPr>
            <w:r w:rsidRPr="00AB639D">
              <w:rPr>
                <w:rFonts w:ascii="Arial" w:hAnsi="Arial" w:cs="Arial"/>
                <w:sz w:val="20"/>
                <w:szCs w:val="20"/>
              </w:rPr>
              <w:t>.49</w:t>
            </w:r>
          </w:p>
        </w:tc>
        <w:tc>
          <w:tcPr>
            <w:tcW w:w="846" w:type="dxa"/>
            <w:tcBorders>
              <w:top w:val="single" w:sz="4" w:space="0" w:color="auto"/>
              <w:left w:val="single" w:sz="4" w:space="0" w:color="auto"/>
              <w:bottom w:val="single" w:sz="4" w:space="0" w:color="auto"/>
              <w:right w:val="single" w:sz="4" w:space="0" w:color="auto"/>
            </w:tcBorders>
          </w:tcPr>
          <w:p w14:paraId="67C9306D" w14:textId="77777777" w:rsidR="003D26F3" w:rsidRPr="00AB639D" w:rsidRDefault="003D26F3" w:rsidP="009C4834">
            <w:pPr>
              <w:ind w:right="18"/>
              <w:rPr>
                <w:rFonts w:ascii="Arial" w:hAnsi="Arial" w:cs="Arial"/>
                <w:sz w:val="20"/>
                <w:szCs w:val="20"/>
              </w:rPr>
            </w:pPr>
          </w:p>
        </w:tc>
        <w:tc>
          <w:tcPr>
            <w:tcW w:w="1435" w:type="dxa"/>
            <w:tcBorders>
              <w:top w:val="single" w:sz="4" w:space="0" w:color="auto"/>
              <w:left w:val="single" w:sz="4" w:space="0" w:color="auto"/>
              <w:bottom w:val="single" w:sz="4" w:space="0" w:color="auto"/>
              <w:right w:val="single" w:sz="4" w:space="0" w:color="auto"/>
            </w:tcBorders>
          </w:tcPr>
          <w:p w14:paraId="2C53AC40" w14:textId="77777777" w:rsidR="003D26F3" w:rsidRPr="00AB639D" w:rsidRDefault="003D26F3" w:rsidP="009C4834">
            <w:pPr>
              <w:ind w:right="18"/>
              <w:rPr>
                <w:rFonts w:ascii="Arial" w:hAnsi="Arial" w:cs="Arial"/>
                <w:sz w:val="20"/>
                <w:szCs w:val="20"/>
              </w:rPr>
            </w:pPr>
          </w:p>
        </w:tc>
      </w:tr>
      <w:tr w:rsidR="003D26F3" w:rsidRPr="009C4834" w14:paraId="092F653D" w14:textId="77777777" w:rsidTr="00AA3AEF">
        <w:trPr>
          <w:trHeight w:val="432"/>
        </w:trPr>
        <w:tc>
          <w:tcPr>
            <w:tcW w:w="1936" w:type="dxa"/>
            <w:tcBorders>
              <w:top w:val="single" w:sz="4" w:space="0" w:color="auto"/>
              <w:left w:val="single" w:sz="4" w:space="0" w:color="auto"/>
              <w:bottom w:val="single" w:sz="4" w:space="0" w:color="auto"/>
              <w:right w:val="single" w:sz="4" w:space="0" w:color="auto"/>
            </w:tcBorders>
          </w:tcPr>
          <w:p w14:paraId="2DCB271E" w14:textId="77777777" w:rsidR="003D26F3" w:rsidRPr="009C4834" w:rsidRDefault="003D26F3" w:rsidP="009C4834">
            <w:pPr>
              <w:ind w:right="18"/>
              <w:rPr>
                <w:rFonts w:ascii="Arial" w:hAnsi="Arial" w:cs="Arial"/>
                <w:b/>
                <w:bCs/>
                <w:sz w:val="20"/>
                <w:szCs w:val="20"/>
              </w:rPr>
            </w:pPr>
            <w:r w:rsidRPr="009C4834">
              <w:rPr>
                <w:rFonts w:ascii="Arial" w:hAnsi="Arial" w:cs="Arial"/>
                <w:b/>
                <w:bCs/>
                <w:sz w:val="20"/>
                <w:szCs w:val="20"/>
              </w:rPr>
              <w:t>No. Observations</w:t>
            </w:r>
          </w:p>
        </w:tc>
        <w:tc>
          <w:tcPr>
            <w:tcW w:w="8049" w:type="dxa"/>
            <w:gridSpan w:val="5"/>
            <w:tcBorders>
              <w:top w:val="single" w:sz="4" w:space="0" w:color="auto"/>
              <w:left w:val="single" w:sz="4" w:space="0" w:color="auto"/>
              <w:bottom w:val="single" w:sz="4" w:space="0" w:color="auto"/>
              <w:right w:val="single" w:sz="4" w:space="0" w:color="auto"/>
            </w:tcBorders>
          </w:tcPr>
          <w:p w14:paraId="65A86B75" w14:textId="77777777" w:rsidR="003D26F3" w:rsidRPr="009C4834" w:rsidRDefault="003D26F3" w:rsidP="009C4834">
            <w:pPr>
              <w:ind w:right="18"/>
              <w:rPr>
                <w:rFonts w:ascii="Arial" w:hAnsi="Arial" w:cs="Arial"/>
                <w:b/>
                <w:bCs/>
                <w:sz w:val="20"/>
                <w:szCs w:val="20"/>
              </w:rPr>
            </w:pPr>
            <w:r w:rsidRPr="009C4834">
              <w:rPr>
                <w:rFonts w:ascii="Arial" w:hAnsi="Arial" w:cs="Arial"/>
                <w:b/>
                <w:bCs/>
                <w:sz w:val="20"/>
                <w:szCs w:val="20"/>
              </w:rPr>
              <w:t>3,568</w:t>
            </w:r>
          </w:p>
        </w:tc>
      </w:tr>
    </w:tbl>
    <w:bookmarkEnd w:id="7"/>
    <w:p w14:paraId="7A4B80B1" w14:textId="77777777" w:rsidR="003D26F3" w:rsidRPr="009C4834" w:rsidRDefault="003D26F3" w:rsidP="009C4834">
      <w:pPr>
        <w:ind w:right="18"/>
        <w:rPr>
          <w:rFonts w:ascii="Arial" w:hAnsi="Arial" w:cs="Arial"/>
          <w:b/>
          <w:bCs/>
          <w:i/>
          <w:iCs/>
        </w:rPr>
      </w:pPr>
      <w:r w:rsidRPr="009C4834">
        <w:rPr>
          <w:rFonts w:ascii="Arial" w:hAnsi="Arial" w:cs="Arial"/>
          <w:b/>
          <w:bCs/>
          <w:i/>
          <w:iCs/>
        </w:rPr>
        <w:t xml:space="preserve">Note(s): d=destination country, o= origin country. </w:t>
      </w:r>
    </w:p>
    <w:p w14:paraId="3D94F498" w14:textId="77777777" w:rsidR="003D26F3" w:rsidRPr="009C4834" w:rsidRDefault="003D26F3" w:rsidP="009C4834">
      <w:pPr>
        <w:ind w:right="18"/>
        <w:rPr>
          <w:rFonts w:ascii="Arial" w:hAnsi="Arial" w:cs="Arial"/>
          <w:b/>
          <w:bCs/>
          <w:i/>
          <w:iCs/>
        </w:rPr>
      </w:pPr>
      <w:r w:rsidRPr="009C4834">
        <w:rPr>
          <w:rFonts w:ascii="Arial" w:hAnsi="Arial" w:cs="Arial"/>
          <w:b/>
          <w:bCs/>
          <w:i/>
          <w:iCs/>
        </w:rPr>
        <w:t>Source: Authors Own calculation</w:t>
      </w:r>
    </w:p>
    <w:p w14:paraId="16785372" w14:textId="77777777" w:rsidR="003D26F3" w:rsidRPr="009C4834" w:rsidRDefault="003D26F3" w:rsidP="003D26F3">
      <w:pPr>
        <w:rPr>
          <w:rFonts w:ascii="Arial" w:hAnsi="Arial" w:cs="Arial"/>
          <w:b/>
          <w:bCs/>
          <w:i/>
          <w:iCs/>
        </w:rPr>
      </w:pPr>
    </w:p>
    <w:p w14:paraId="6AB9809F" w14:textId="77777777" w:rsidR="00DB5988" w:rsidRPr="009C4834" w:rsidRDefault="00DB5988" w:rsidP="009C4834">
      <w:pPr>
        <w:spacing w:line="276" w:lineRule="auto"/>
        <w:ind w:right="18"/>
        <w:jc w:val="both"/>
        <w:rPr>
          <w:rStyle w:val="fontstyle01"/>
          <w:rFonts w:ascii="Arial" w:hAnsi="Arial" w:cs="Arial"/>
        </w:rPr>
      </w:pPr>
      <w:r w:rsidRPr="009C4834">
        <w:rPr>
          <w:rFonts w:ascii="Arial" w:hAnsi="Arial" w:cs="Arial"/>
        </w:rPr>
        <w:t xml:space="preserve">Table 3 displays the outcomes of the gravity model estimation based on Equation 1. In addition to the PPML fixed-effects estimator, the study utilizes OLS and OLS fixed-effects methodologies. This comparative framework evaluates how the estimated coefficients impact multilateral resistance terms and data heteroskedasticity. Although both fixed-effects estimators in OLS and PPML are anticipated to produce consistent results, some inconsistencies might emerge due to heteroskedasticity. Recognizing that establishing direct causal links for an individual country poses challenges within a cross-country regression context is crucial. Instead, the estimated coefficients signify generalized effects relevant across all countries considered in the analysis. </w:t>
      </w:r>
    </w:p>
    <w:p w14:paraId="5B6EBC6E" w14:textId="4619CF59" w:rsidR="00500E18" w:rsidRPr="009C4834" w:rsidRDefault="00500E18" w:rsidP="009C4834">
      <w:pPr>
        <w:pStyle w:val="Body"/>
        <w:spacing w:after="0"/>
        <w:ind w:right="18"/>
        <w:rPr>
          <w:rFonts w:ascii="Arial" w:hAnsi="Arial" w:cs="Arial"/>
        </w:rPr>
      </w:pPr>
    </w:p>
    <w:p w14:paraId="4D55AC2B" w14:textId="77777777" w:rsidR="003C5530" w:rsidRPr="009C4834" w:rsidRDefault="003C5530" w:rsidP="009C4834">
      <w:pPr>
        <w:ind w:right="18"/>
        <w:rPr>
          <w:rFonts w:ascii="Arial" w:hAnsi="Arial" w:cs="Arial"/>
        </w:rPr>
      </w:pPr>
      <w:r w:rsidRPr="009C4834">
        <w:rPr>
          <w:rFonts w:ascii="Arial" w:hAnsi="Arial" w:cs="Arial"/>
        </w:rPr>
        <w:t>Table 3. Gravity model estimation of exports of Bangladesh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2"/>
        <w:gridCol w:w="1052"/>
        <w:gridCol w:w="848"/>
        <w:gridCol w:w="848"/>
        <w:gridCol w:w="956"/>
        <w:gridCol w:w="1301"/>
        <w:gridCol w:w="1301"/>
        <w:gridCol w:w="1301"/>
        <w:gridCol w:w="1301"/>
      </w:tblGrid>
      <w:tr w:rsidR="006458D4" w:rsidRPr="009C4834" w14:paraId="5DD2EF75" w14:textId="77777777" w:rsidTr="001D67EA">
        <w:trPr>
          <w:trHeight w:val="20"/>
          <w:tblHeader/>
        </w:trPr>
        <w:tc>
          <w:tcPr>
            <w:tcW w:w="673" w:type="pct"/>
          </w:tcPr>
          <w:p w14:paraId="36AC7147" w14:textId="77777777" w:rsidR="006458D4" w:rsidRPr="009C4834" w:rsidRDefault="006458D4" w:rsidP="009C4834">
            <w:pPr>
              <w:autoSpaceDE w:val="0"/>
              <w:autoSpaceDN w:val="0"/>
              <w:adjustRightInd w:val="0"/>
              <w:ind w:right="18"/>
              <w:rPr>
                <w:rFonts w:ascii="Arial" w:hAnsi="Arial" w:cs="Arial"/>
                <w:b/>
                <w:color w:val="000000"/>
                <w:lang w:bidi="bn-IN"/>
              </w:rPr>
            </w:pPr>
            <w:r w:rsidRPr="009C4834">
              <w:rPr>
                <w:rFonts w:ascii="Arial" w:hAnsi="Arial" w:cs="Arial"/>
                <w:b/>
                <w:color w:val="000000"/>
                <w:lang w:bidi="bn-IN"/>
              </w:rPr>
              <w:t>Model</w:t>
            </w:r>
          </w:p>
        </w:tc>
        <w:tc>
          <w:tcPr>
            <w:tcW w:w="548" w:type="pct"/>
          </w:tcPr>
          <w:p w14:paraId="1082708F" w14:textId="77777777" w:rsidR="006458D4" w:rsidRPr="009C4834" w:rsidRDefault="006458D4" w:rsidP="009C4834">
            <w:pPr>
              <w:autoSpaceDE w:val="0"/>
              <w:autoSpaceDN w:val="0"/>
              <w:adjustRightInd w:val="0"/>
              <w:ind w:right="18"/>
              <w:jc w:val="center"/>
              <w:rPr>
                <w:rFonts w:ascii="Arial" w:hAnsi="Arial" w:cs="Arial"/>
                <w:b/>
                <w:color w:val="000000"/>
                <w:lang w:bidi="bn-IN"/>
              </w:rPr>
            </w:pPr>
            <w:r w:rsidRPr="009C4834">
              <w:rPr>
                <w:rFonts w:ascii="Arial" w:hAnsi="Arial" w:cs="Arial"/>
                <w:b/>
                <w:color w:val="000000"/>
                <w:lang w:bidi="bn-IN"/>
              </w:rPr>
              <w:t>1</w:t>
            </w:r>
          </w:p>
        </w:tc>
        <w:tc>
          <w:tcPr>
            <w:tcW w:w="440" w:type="pct"/>
          </w:tcPr>
          <w:p w14:paraId="7724E787" w14:textId="77777777" w:rsidR="006458D4" w:rsidRPr="009C4834" w:rsidRDefault="006458D4" w:rsidP="009C4834">
            <w:pPr>
              <w:autoSpaceDE w:val="0"/>
              <w:autoSpaceDN w:val="0"/>
              <w:adjustRightInd w:val="0"/>
              <w:ind w:right="18"/>
              <w:jc w:val="center"/>
              <w:rPr>
                <w:rFonts w:ascii="Arial" w:hAnsi="Arial" w:cs="Arial"/>
                <w:b/>
                <w:color w:val="000000"/>
                <w:lang w:bidi="bn-IN"/>
              </w:rPr>
            </w:pPr>
            <w:r w:rsidRPr="009C4834">
              <w:rPr>
                <w:rFonts w:ascii="Arial" w:hAnsi="Arial" w:cs="Arial"/>
                <w:b/>
                <w:color w:val="000000"/>
                <w:lang w:bidi="bn-IN"/>
              </w:rPr>
              <w:t>2</w:t>
            </w:r>
          </w:p>
        </w:tc>
        <w:tc>
          <w:tcPr>
            <w:tcW w:w="519" w:type="pct"/>
          </w:tcPr>
          <w:p w14:paraId="5DD30E1E" w14:textId="77777777" w:rsidR="006458D4" w:rsidRPr="009C4834" w:rsidRDefault="006458D4" w:rsidP="009C4834">
            <w:pPr>
              <w:autoSpaceDE w:val="0"/>
              <w:autoSpaceDN w:val="0"/>
              <w:adjustRightInd w:val="0"/>
              <w:ind w:right="18"/>
              <w:jc w:val="center"/>
              <w:rPr>
                <w:rFonts w:ascii="Arial" w:hAnsi="Arial" w:cs="Arial"/>
                <w:b/>
                <w:color w:val="000000"/>
                <w:lang w:bidi="bn-IN"/>
              </w:rPr>
            </w:pPr>
            <w:r w:rsidRPr="009C4834">
              <w:rPr>
                <w:rFonts w:ascii="Arial" w:hAnsi="Arial" w:cs="Arial"/>
                <w:b/>
                <w:color w:val="000000"/>
                <w:lang w:bidi="bn-IN"/>
              </w:rPr>
              <w:t>3</w:t>
            </w:r>
          </w:p>
        </w:tc>
        <w:tc>
          <w:tcPr>
            <w:tcW w:w="452" w:type="pct"/>
          </w:tcPr>
          <w:p w14:paraId="04D17A48" w14:textId="77777777" w:rsidR="006458D4" w:rsidRPr="009C4834" w:rsidRDefault="006458D4" w:rsidP="009C4834">
            <w:pPr>
              <w:autoSpaceDE w:val="0"/>
              <w:autoSpaceDN w:val="0"/>
              <w:adjustRightInd w:val="0"/>
              <w:ind w:right="18"/>
              <w:jc w:val="center"/>
              <w:rPr>
                <w:rFonts w:ascii="Arial" w:hAnsi="Arial" w:cs="Arial"/>
                <w:b/>
                <w:color w:val="000000"/>
                <w:lang w:bidi="bn-IN"/>
              </w:rPr>
            </w:pPr>
            <w:r w:rsidRPr="009C4834">
              <w:rPr>
                <w:rFonts w:ascii="Arial" w:hAnsi="Arial" w:cs="Arial"/>
                <w:b/>
                <w:color w:val="000000"/>
                <w:lang w:bidi="bn-IN"/>
              </w:rPr>
              <w:t>4</w:t>
            </w:r>
          </w:p>
        </w:tc>
        <w:tc>
          <w:tcPr>
            <w:tcW w:w="621" w:type="pct"/>
          </w:tcPr>
          <w:p w14:paraId="734CC66A" w14:textId="77777777" w:rsidR="006458D4" w:rsidRPr="009C4834" w:rsidRDefault="006458D4" w:rsidP="009C4834">
            <w:pPr>
              <w:autoSpaceDE w:val="0"/>
              <w:autoSpaceDN w:val="0"/>
              <w:adjustRightInd w:val="0"/>
              <w:ind w:right="18"/>
              <w:jc w:val="center"/>
              <w:rPr>
                <w:rFonts w:ascii="Arial" w:hAnsi="Arial" w:cs="Arial"/>
                <w:b/>
                <w:color w:val="000000"/>
                <w:lang w:bidi="bn-IN"/>
              </w:rPr>
            </w:pPr>
            <w:r w:rsidRPr="009C4834">
              <w:rPr>
                <w:rFonts w:ascii="Arial" w:hAnsi="Arial" w:cs="Arial"/>
                <w:b/>
                <w:color w:val="000000"/>
                <w:lang w:bidi="bn-IN"/>
              </w:rPr>
              <w:t>5</w:t>
            </w:r>
          </w:p>
        </w:tc>
        <w:tc>
          <w:tcPr>
            <w:tcW w:w="615" w:type="pct"/>
          </w:tcPr>
          <w:p w14:paraId="6364BB6E" w14:textId="77777777" w:rsidR="006458D4" w:rsidRPr="009C4834" w:rsidRDefault="006458D4" w:rsidP="009C4834">
            <w:pPr>
              <w:autoSpaceDE w:val="0"/>
              <w:autoSpaceDN w:val="0"/>
              <w:adjustRightInd w:val="0"/>
              <w:ind w:right="18"/>
              <w:jc w:val="center"/>
              <w:rPr>
                <w:rFonts w:ascii="Arial" w:hAnsi="Arial" w:cs="Arial"/>
                <w:b/>
                <w:color w:val="000000"/>
                <w:lang w:bidi="bn-IN"/>
              </w:rPr>
            </w:pPr>
            <w:r w:rsidRPr="009C4834">
              <w:rPr>
                <w:rFonts w:ascii="Arial" w:hAnsi="Arial" w:cs="Arial"/>
                <w:b/>
                <w:color w:val="000000"/>
                <w:lang w:bidi="bn-IN"/>
              </w:rPr>
              <w:t>7</w:t>
            </w:r>
          </w:p>
        </w:tc>
        <w:tc>
          <w:tcPr>
            <w:tcW w:w="620" w:type="pct"/>
          </w:tcPr>
          <w:p w14:paraId="2A774C98" w14:textId="77777777" w:rsidR="006458D4" w:rsidRPr="009C4834" w:rsidRDefault="006458D4" w:rsidP="009C4834">
            <w:pPr>
              <w:autoSpaceDE w:val="0"/>
              <w:autoSpaceDN w:val="0"/>
              <w:adjustRightInd w:val="0"/>
              <w:ind w:right="18"/>
              <w:jc w:val="center"/>
              <w:rPr>
                <w:rFonts w:ascii="Arial" w:hAnsi="Arial" w:cs="Arial"/>
                <w:b/>
                <w:color w:val="000000"/>
                <w:lang w:bidi="bn-IN"/>
              </w:rPr>
            </w:pPr>
            <w:r w:rsidRPr="009C4834">
              <w:rPr>
                <w:rFonts w:ascii="Arial" w:hAnsi="Arial" w:cs="Arial"/>
                <w:b/>
                <w:color w:val="000000"/>
                <w:lang w:bidi="bn-IN"/>
              </w:rPr>
              <w:t>6</w:t>
            </w:r>
          </w:p>
        </w:tc>
        <w:tc>
          <w:tcPr>
            <w:tcW w:w="512" w:type="pct"/>
          </w:tcPr>
          <w:p w14:paraId="3DC230B2" w14:textId="77777777" w:rsidR="006458D4" w:rsidRPr="009C4834" w:rsidRDefault="006458D4" w:rsidP="009C4834">
            <w:pPr>
              <w:autoSpaceDE w:val="0"/>
              <w:autoSpaceDN w:val="0"/>
              <w:adjustRightInd w:val="0"/>
              <w:ind w:right="18"/>
              <w:jc w:val="center"/>
              <w:rPr>
                <w:rFonts w:ascii="Arial" w:hAnsi="Arial" w:cs="Arial"/>
                <w:b/>
                <w:color w:val="000000"/>
                <w:lang w:bidi="bn-IN"/>
              </w:rPr>
            </w:pPr>
            <w:r w:rsidRPr="009C4834">
              <w:rPr>
                <w:rFonts w:ascii="Arial" w:hAnsi="Arial" w:cs="Arial"/>
                <w:b/>
                <w:color w:val="000000"/>
                <w:lang w:bidi="bn-IN"/>
              </w:rPr>
              <w:t>8</w:t>
            </w:r>
          </w:p>
        </w:tc>
      </w:tr>
      <w:tr w:rsidR="006458D4" w:rsidRPr="009C4834" w14:paraId="5EDA8ABB" w14:textId="77777777" w:rsidTr="001D67EA">
        <w:trPr>
          <w:trHeight w:val="20"/>
          <w:tblHeader/>
        </w:trPr>
        <w:tc>
          <w:tcPr>
            <w:tcW w:w="673" w:type="pct"/>
          </w:tcPr>
          <w:p w14:paraId="003950B2" w14:textId="77777777" w:rsidR="006458D4" w:rsidRPr="009C4834" w:rsidRDefault="006458D4" w:rsidP="009C4834">
            <w:pPr>
              <w:autoSpaceDE w:val="0"/>
              <w:autoSpaceDN w:val="0"/>
              <w:adjustRightInd w:val="0"/>
              <w:ind w:right="18"/>
              <w:rPr>
                <w:rFonts w:ascii="Arial" w:hAnsi="Arial" w:cs="Arial"/>
                <w:b/>
                <w:color w:val="000000"/>
                <w:lang w:bidi="bn-IN"/>
              </w:rPr>
            </w:pPr>
            <w:r w:rsidRPr="009C4834">
              <w:rPr>
                <w:rFonts w:ascii="Arial" w:hAnsi="Arial" w:cs="Arial"/>
                <w:b/>
                <w:color w:val="000000"/>
                <w:lang w:bidi="bn-IN"/>
              </w:rPr>
              <w:t>Estimator</w:t>
            </w:r>
          </w:p>
        </w:tc>
        <w:tc>
          <w:tcPr>
            <w:tcW w:w="548" w:type="pct"/>
          </w:tcPr>
          <w:p w14:paraId="31D97370" w14:textId="77777777" w:rsidR="006458D4" w:rsidRPr="009C4834" w:rsidRDefault="006458D4" w:rsidP="009C4834">
            <w:pPr>
              <w:autoSpaceDE w:val="0"/>
              <w:autoSpaceDN w:val="0"/>
              <w:adjustRightInd w:val="0"/>
              <w:ind w:right="18"/>
              <w:jc w:val="center"/>
              <w:rPr>
                <w:rFonts w:ascii="Arial" w:hAnsi="Arial" w:cs="Arial"/>
                <w:b/>
                <w:color w:val="000000"/>
                <w:lang w:bidi="bn-IN"/>
              </w:rPr>
            </w:pPr>
            <w:r w:rsidRPr="009C4834">
              <w:rPr>
                <w:rFonts w:ascii="Arial" w:hAnsi="Arial" w:cs="Arial"/>
                <w:b/>
                <w:color w:val="000000"/>
                <w:lang w:bidi="bn-IN"/>
              </w:rPr>
              <w:t>OLS</w:t>
            </w:r>
          </w:p>
        </w:tc>
        <w:tc>
          <w:tcPr>
            <w:tcW w:w="440" w:type="pct"/>
          </w:tcPr>
          <w:p w14:paraId="7E2E610F" w14:textId="77777777" w:rsidR="006458D4" w:rsidRPr="009C4834" w:rsidRDefault="006458D4" w:rsidP="009C4834">
            <w:pPr>
              <w:autoSpaceDE w:val="0"/>
              <w:autoSpaceDN w:val="0"/>
              <w:adjustRightInd w:val="0"/>
              <w:ind w:right="18"/>
              <w:jc w:val="center"/>
              <w:rPr>
                <w:rFonts w:ascii="Arial" w:hAnsi="Arial" w:cs="Arial"/>
                <w:b/>
                <w:color w:val="000000"/>
                <w:lang w:bidi="bn-IN"/>
              </w:rPr>
            </w:pPr>
            <w:r w:rsidRPr="009C4834">
              <w:rPr>
                <w:rFonts w:ascii="Arial" w:hAnsi="Arial" w:cs="Arial"/>
                <w:b/>
                <w:color w:val="000000"/>
                <w:lang w:bidi="bn-IN"/>
              </w:rPr>
              <w:t>OLS</w:t>
            </w:r>
          </w:p>
        </w:tc>
        <w:tc>
          <w:tcPr>
            <w:tcW w:w="519" w:type="pct"/>
          </w:tcPr>
          <w:p w14:paraId="544E6EB7" w14:textId="77777777" w:rsidR="006458D4" w:rsidRPr="009C4834" w:rsidRDefault="006458D4" w:rsidP="009C4834">
            <w:pPr>
              <w:autoSpaceDE w:val="0"/>
              <w:autoSpaceDN w:val="0"/>
              <w:adjustRightInd w:val="0"/>
              <w:ind w:right="18"/>
              <w:jc w:val="center"/>
              <w:rPr>
                <w:rFonts w:ascii="Arial" w:hAnsi="Arial" w:cs="Arial"/>
                <w:b/>
                <w:color w:val="000000"/>
                <w:lang w:bidi="bn-IN"/>
              </w:rPr>
            </w:pPr>
            <w:r w:rsidRPr="009C4834">
              <w:rPr>
                <w:rFonts w:ascii="Arial" w:hAnsi="Arial" w:cs="Arial"/>
                <w:b/>
                <w:color w:val="000000"/>
                <w:lang w:bidi="bn-IN"/>
              </w:rPr>
              <w:t>OLS</w:t>
            </w:r>
          </w:p>
        </w:tc>
        <w:tc>
          <w:tcPr>
            <w:tcW w:w="452" w:type="pct"/>
          </w:tcPr>
          <w:p w14:paraId="5FFA3C78" w14:textId="77777777" w:rsidR="006458D4" w:rsidRPr="009C4834" w:rsidRDefault="006458D4" w:rsidP="009C4834">
            <w:pPr>
              <w:autoSpaceDE w:val="0"/>
              <w:autoSpaceDN w:val="0"/>
              <w:adjustRightInd w:val="0"/>
              <w:ind w:right="18"/>
              <w:jc w:val="center"/>
              <w:rPr>
                <w:rFonts w:ascii="Arial" w:hAnsi="Arial" w:cs="Arial"/>
                <w:b/>
                <w:color w:val="000000"/>
                <w:lang w:bidi="bn-IN"/>
              </w:rPr>
            </w:pPr>
            <w:r w:rsidRPr="009C4834">
              <w:rPr>
                <w:rFonts w:ascii="Arial" w:hAnsi="Arial" w:cs="Arial"/>
                <w:b/>
                <w:color w:val="000000"/>
                <w:lang w:bidi="bn-IN"/>
              </w:rPr>
              <w:t>OLS</w:t>
            </w:r>
          </w:p>
        </w:tc>
        <w:tc>
          <w:tcPr>
            <w:tcW w:w="621" w:type="pct"/>
          </w:tcPr>
          <w:p w14:paraId="1DEEA734" w14:textId="77777777" w:rsidR="006458D4" w:rsidRPr="009C4834" w:rsidRDefault="006458D4" w:rsidP="009C4834">
            <w:pPr>
              <w:autoSpaceDE w:val="0"/>
              <w:autoSpaceDN w:val="0"/>
              <w:adjustRightInd w:val="0"/>
              <w:ind w:right="18"/>
              <w:rPr>
                <w:rFonts w:ascii="Arial" w:hAnsi="Arial" w:cs="Arial"/>
                <w:b/>
                <w:color w:val="000000"/>
                <w:lang w:bidi="bn-IN"/>
              </w:rPr>
            </w:pPr>
            <w:r w:rsidRPr="009C4834">
              <w:rPr>
                <w:rFonts w:ascii="Arial" w:hAnsi="Arial" w:cs="Arial"/>
                <w:b/>
                <w:color w:val="000000"/>
                <w:lang w:bidi="bn-IN"/>
              </w:rPr>
              <w:t>PPML</w:t>
            </w:r>
          </w:p>
        </w:tc>
        <w:tc>
          <w:tcPr>
            <w:tcW w:w="615" w:type="pct"/>
          </w:tcPr>
          <w:p w14:paraId="67914709" w14:textId="77777777" w:rsidR="006458D4" w:rsidRPr="009C4834" w:rsidRDefault="006458D4" w:rsidP="009C4834">
            <w:pPr>
              <w:autoSpaceDE w:val="0"/>
              <w:autoSpaceDN w:val="0"/>
              <w:adjustRightInd w:val="0"/>
              <w:ind w:right="18"/>
              <w:rPr>
                <w:rFonts w:ascii="Arial" w:hAnsi="Arial" w:cs="Arial"/>
                <w:b/>
                <w:color w:val="000000"/>
                <w:lang w:bidi="bn-IN"/>
              </w:rPr>
            </w:pPr>
            <w:r w:rsidRPr="009C4834">
              <w:rPr>
                <w:rFonts w:ascii="Arial" w:hAnsi="Arial" w:cs="Arial"/>
                <w:b/>
                <w:color w:val="000000"/>
                <w:lang w:bidi="bn-IN"/>
              </w:rPr>
              <w:t>PPML</w:t>
            </w:r>
          </w:p>
        </w:tc>
        <w:tc>
          <w:tcPr>
            <w:tcW w:w="620" w:type="pct"/>
          </w:tcPr>
          <w:p w14:paraId="4B5F199B" w14:textId="77777777" w:rsidR="006458D4" w:rsidRPr="009C4834" w:rsidRDefault="006458D4" w:rsidP="009C4834">
            <w:pPr>
              <w:autoSpaceDE w:val="0"/>
              <w:autoSpaceDN w:val="0"/>
              <w:adjustRightInd w:val="0"/>
              <w:ind w:right="18"/>
              <w:rPr>
                <w:rFonts w:ascii="Arial" w:hAnsi="Arial" w:cs="Arial"/>
                <w:b/>
                <w:color w:val="000000"/>
                <w:lang w:bidi="bn-IN"/>
              </w:rPr>
            </w:pPr>
            <w:r w:rsidRPr="009C4834">
              <w:rPr>
                <w:rFonts w:ascii="Arial" w:hAnsi="Arial" w:cs="Arial"/>
                <w:b/>
                <w:color w:val="000000"/>
                <w:lang w:bidi="bn-IN"/>
              </w:rPr>
              <w:t>PPML</w:t>
            </w:r>
          </w:p>
        </w:tc>
        <w:tc>
          <w:tcPr>
            <w:tcW w:w="512" w:type="pct"/>
          </w:tcPr>
          <w:p w14:paraId="1A663A62" w14:textId="77777777" w:rsidR="006458D4" w:rsidRPr="009C4834" w:rsidRDefault="006458D4" w:rsidP="009C4834">
            <w:pPr>
              <w:autoSpaceDE w:val="0"/>
              <w:autoSpaceDN w:val="0"/>
              <w:adjustRightInd w:val="0"/>
              <w:ind w:right="18"/>
              <w:rPr>
                <w:rFonts w:ascii="Arial" w:hAnsi="Arial" w:cs="Arial"/>
                <w:b/>
                <w:color w:val="000000"/>
                <w:lang w:bidi="bn-IN"/>
              </w:rPr>
            </w:pPr>
            <w:r w:rsidRPr="009C4834">
              <w:rPr>
                <w:rFonts w:ascii="Arial" w:hAnsi="Arial" w:cs="Arial"/>
                <w:b/>
                <w:color w:val="000000"/>
                <w:lang w:bidi="bn-IN"/>
              </w:rPr>
              <w:t>PPML</w:t>
            </w:r>
          </w:p>
        </w:tc>
      </w:tr>
      <w:tr w:rsidR="006458D4" w:rsidRPr="009C4834" w14:paraId="68A60836" w14:textId="77777777" w:rsidTr="001D67EA">
        <w:trPr>
          <w:trHeight w:val="20"/>
          <w:tblHeader/>
        </w:trPr>
        <w:tc>
          <w:tcPr>
            <w:tcW w:w="673" w:type="pct"/>
          </w:tcPr>
          <w:p w14:paraId="01090C91" w14:textId="77777777" w:rsidR="006458D4" w:rsidRPr="009C483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Dependent Variable</w:t>
            </w:r>
          </w:p>
        </w:tc>
        <w:tc>
          <w:tcPr>
            <w:tcW w:w="548" w:type="pct"/>
          </w:tcPr>
          <w:p w14:paraId="5333C7FA" w14:textId="05B34482"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lnexp</w:t>
            </w:r>
            <w:r w:rsidR="005E7231">
              <w:rPr>
                <w:rFonts w:ascii="Arial" w:hAnsi="Arial" w:cs="Arial"/>
                <w:color w:val="000000"/>
                <w:lang w:bidi="bn-IN"/>
              </w:rPr>
              <w:t xml:space="preserve"> = Co-effi (Sd err)</w:t>
            </w:r>
          </w:p>
        </w:tc>
        <w:tc>
          <w:tcPr>
            <w:tcW w:w="440" w:type="pct"/>
          </w:tcPr>
          <w:p w14:paraId="677FEB75" w14:textId="77777777" w:rsidR="006458D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lnexp</w:t>
            </w:r>
          </w:p>
          <w:p w14:paraId="048BAF98" w14:textId="14BDAF0A" w:rsidR="005E7231" w:rsidRPr="009C4834" w:rsidRDefault="005E7231" w:rsidP="005E7231">
            <w:pPr>
              <w:autoSpaceDE w:val="0"/>
              <w:autoSpaceDN w:val="0"/>
              <w:adjustRightInd w:val="0"/>
              <w:ind w:left="-47" w:right="-62"/>
              <w:jc w:val="center"/>
              <w:rPr>
                <w:rFonts w:ascii="Arial" w:hAnsi="Arial" w:cs="Arial"/>
                <w:color w:val="000000"/>
                <w:lang w:bidi="bn-IN"/>
              </w:rPr>
            </w:pPr>
            <w:r>
              <w:rPr>
                <w:rFonts w:ascii="Arial" w:hAnsi="Arial" w:cs="Arial"/>
                <w:color w:val="000000"/>
                <w:lang w:bidi="bn-IN"/>
              </w:rPr>
              <w:t>Co-effi (Sd err)</w:t>
            </w:r>
          </w:p>
        </w:tc>
        <w:tc>
          <w:tcPr>
            <w:tcW w:w="519" w:type="pct"/>
          </w:tcPr>
          <w:p w14:paraId="658399A5" w14:textId="77777777" w:rsidR="006458D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lnexp</w:t>
            </w:r>
          </w:p>
          <w:p w14:paraId="7DDC1D20" w14:textId="71E993D6" w:rsidR="005E7231" w:rsidRPr="009C4834" w:rsidRDefault="005E7231" w:rsidP="009C4834">
            <w:pPr>
              <w:autoSpaceDE w:val="0"/>
              <w:autoSpaceDN w:val="0"/>
              <w:adjustRightInd w:val="0"/>
              <w:ind w:right="18"/>
              <w:jc w:val="center"/>
              <w:rPr>
                <w:rFonts w:ascii="Arial" w:hAnsi="Arial" w:cs="Arial"/>
                <w:color w:val="000000"/>
                <w:lang w:bidi="bn-IN"/>
              </w:rPr>
            </w:pPr>
            <w:r>
              <w:rPr>
                <w:rFonts w:ascii="Arial" w:hAnsi="Arial" w:cs="Arial"/>
                <w:color w:val="000000"/>
                <w:lang w:bidi="bn-IN"/>
              </w:rPr>
              <w:t>Co-effi (Sd err)</w:t>
            </w:r>
          </w:p>
        </w:tc>
        <w:tc>
          <w:tcPr>
            <w:tcW w:w="452" w:type="pct"/>
          </w:tcPr>
          <w:p w14:paraId="5D8A8E3E" w14:textId="77777777" w:rsidR="006458D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lnexp</w:t>
            </w:r>
          </w:p>
          <w:p w14:paraId="00565CB3" w14:textId="41BD0324" w:rsidR="005E7231" w:rsidRPr="009C4834" w:rsidRDefault="005E7231" w:rsidP="005E7231">
            <w:pPr>
              <w:autoSpaceDE w:val="0"/>
              <w:autoSpaceDN w:val="0"/>
              <w:adjustRightInd w:val="0"/>
              <w:ind w:right="-53"/>
              <w:jc w:val="center"/>
              <w:rPr>
                <w:rFonts w:ascii="Arial" w:hAnsi="Arial" w:cs="Arial"/>
                <w:color w:val="000000"/>
                <w:lang w:bidi="bn-IN"/>
              </w:rPr>
            </w:pPr>
            <w:r>
              <w:rPr>
                <w:rFonts w:ascii="Arial" w:hAnsi="Arial" w:cs="Arial"/>
                <w:color w:val="000000"/>
                <w:lang w:bidi="bn-IN"/>
              </w:rPr>
              <w:t>Co-effi (Sd err)</w:t>
            </w:r>
          </w:p>
        </w:tc>
        <w:tc>
          <w:tcPr>
            <w:tcW w:w="621" w:type="pct"/>
          </w:tcPr>
          <w:p w14:paraId="0978859A" w14:textId="77777777" w:rsidR="006458D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x_value_mill</w:t>
            </w:r>
          </w:p>
          <w:p w14:paraId="0C2EED1D" w14:textId="0EE105E6" w:rsidR="005E7231" w:rsidRPr="009C4834" w:rsidRDefault="005E7231" w:rsidP="009C4834">
            <w:pPr>
              <w:autoSpaceDE w:val="0"/>
              <w:autoSpaceDN w:val="0"/>
              <w:adjustRightInd w:val="0"/>
              <w:ind w:right="18"/>
              <w:rPr>
                <w:rFonts w:ascii="Arial" w:hAnsi="Arial" w:cs="Arial"/>
                <w:color w:val="000000"/>
                <w:lang w:bidi="bn-IN"/>
              </w:rPr>
            </w:pPr>
            <w:r>
              <w:rPr>
                <w:rFonts w:ascii="Arial" w:hAnsi="Arial" w:cs="Arial"/>
                <w:color w:val="000000"/>
                <w:lang w:bidi="bn-IN"/>
              </w:rPr>
              <w:t>Co-effi (Sd err)</w:t>
            </w:r>
          </w:p>
        </w:tc>
        <w:tc>
          <w:tcPr>
            <w:tcW w:w="615" w:type="pct"/>
          </w:tcPr>
          <w:p w14:paraId="1114513F" w14:textId="77777777" w:rsidR="006458D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x_value_mill</w:t>
            </w:r>
          </w:p>
          <w:p w14:paraId="7F4B19D8" w14:textId="69B47694" w:rsidR="005E7231" w:rsidRPr="009C4834" w:rsidRDefault="005E7231" w:rsidP="009C4834">
            <w:pPr>
              <w:autoSpaceDE w:val="0"/>
              <w:autoSpaceDN w:val="0"/>
              <w:adjustRightInd w:val="0"/>
              <w:ind w:right="18"/>
              <w:rPr>
                <w:rFonts w:ascii="Arial" w:hAnsi="Arial" w:cs="Arial"/>
                <w:color w:val="000000"/>
                <w:lang w:bidi="bn-IN"/>
              </w:rPr>
            </w:pPr>
            <w:r>
              <w:rPr>
                <w:rFonts w:ascii="Arial" w:hAnsi="Arial" w:cs="Arial"/>
                <w:color w:val="000000"/>
                <w:lang w:bidi="bn-IN"/>
              </w:rPr>
              <w:t>Co-effi (Sd err)</w:t>
            </w:r>
          </w:p>
        </w:tc>
        <w:tc>
          <w:tcPr>
            <w:tcW w:w="620" w:type="pct"/>
          </w:tcPr>
          <w:p w14:paraId="0BA768FC" w14:textId="77777777" w:rsidR="006458D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x_value_mill</w:t>
            </w:r>
          </w:p>
          <w:p w14:paraId="7F2B7768" w14:textId="412F5DB3" w:rsidR="005E7231" w:rsidRPr="009C4834" w:rsidRDefault="005E7231" w:rsidP="009C4834">
            <w:pPr>
              <w:autoSpaceDE w:val="0"/>
              <w:autoSpaceDN w:val="0"/>
              <w:adjustRightInd w:val="0"/>
              <w:ind w:right="18"/>
              <w:rPr>
                <w:rFonts w:ascii="Arial" w:hAnsi="Arial" w:cs="Arial"/>
                <w:color w:val="000000"/>
                <w:lang w:bidi="bn-IN"/>
              </w:rPr>
            </w:pPr>
            <w:r>
              <w:rPr>
                <w:rFonts w:ascii="Arial" w:hAnsi="Arial" w:cs="Arial"/>
                <w:color w:val="000000"/>
                <w:lang w:bidi="bn-IN"/>
              </w:rPr>
              <w:t>Co-effi (Sd err)</w:t>
            </w:r>
          </w:p>
        </w:tc>
        <w:tc>
          <w:tcPr>
            <w:tcW w:w="512" w:type="pct"/>
          </w:tcPr>
          <w:p w14:paraId="4190BCC1" w14:textId="77777777" w:rsidR="006458D4" w:rsidRPr="009C483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x_value_mill</w:t>
            </w:r>
          </w:p>
        </w:tc>
      </w:tr>
      <w:tr w:rsidR="006458D4" w:rsidRPr="009C4834" w14:paraId="66C6E5AC" w14:textId="77777777" w:rsidTr="001D67EA">
        <w:trPr>
          <w:trHeight w:val="20"/>
        </w:trPr>
        <w:tc>
          <w:tcPr>
            <w:tcW w:w="673" w:type="pct"/>
          </w:tcPr>
          <w:p w14:paraId="4495E020"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lngdp_o</w:t>
            </w:r>
          </w:p>
        </w:tc>
        <w:tc>
          <w:tcPr>
            <w:tcW w:w="548" w:type="pct"/>
          </w:tcPr>
          <w:p w14:paraId="44C403AA"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-0.015 </w:t>
            </w:r>
          </w:p>
          <w:p w14:paraId="2ECD7B02"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(0.024)</w:t>
            </w:r>
          </w:p>
        </w:tc>
        <w:tc>
          <w:tcPr>
            <w:tcW w:w="440" w:type="pct"/>
          </w:tcPr>
          <w:p w14:paraId="1BF4C4EF" w14:textId="77777777" w:rsidR="006458D4" w:rsidRPr="00AB639D" w:rsidRDefault="006458D4" w:rsidP="005E7231">
            <w:pPr>
              <w:autoSpaceDE w:val="0"/>
              <w:autoSpaceDN w:val="0"/>
              <w:adjustRightInd w:val="0"/>
              <w:ind w:right="-53"/>
              <w:jc w:val="center"/>
              <w:rPr>
                <w:rFonts w:ascii="Arial" w:hAnsi="Arial" w:cs="Arial"/>
                <w:color w:val="000000"/>
                <w:lang w:bidi="bn-IN"/>
              </w:rPr>
            </w:pPr>
            <w:r w:rsidRPr="00AB639D">
              <w:rPr>
                <w:rFonts w:ascii="Arial" w:hAnsi="Arial" w:cs="Arial"/>
                <w:color w:val="000000"/>
                <w:lang w:bidi="bn-IN"/>
              </w:rPr>
              <w:t>-0.0273</w:t>
            </w:r>
          </w:p>
          <w:p w14:paraId="1833CA10" w14:textId="77777777" w:rsidR="006458D4" w:rsidRPr="00AB639D" w:rsidRDefault="006458D4" w:rsidP="005E7231">
            <w:pPr>
              <w:autoSpaceDE w:val="0"/>
              <w:autoSpaceDN w:val="0"/>
              <w:adjustRightInd w:val="0"/>
              <w:ind w:right="-62"/>
              <w:jc w:val="center"/>
              <w:rPr>
                <w:rFonts w:ascii="Arial" w:hAnsi="Arial" w:cs="Arial"/>
                <w:color w:val="000000"/>
                <w:lang w:bidi="bn-IN"/>
              </w:rPr>
            </w:pPr>
            <w:r w:rsidRPr="00AB639D">
              <w:rPr>
                <w:rFonts w:ascii="Arial" w:hAnsi="Arial" w:cs="Arial"/>
                <w:color w:val="000000"/>
                <w:lang w:bidi="bn-IN"/>
              </w:rPr>
              <w:t>(0.017)</w:t>
            </w:r>
          </w:p>
        </w:tc>
        <w:tc>
          <w:tcPr>
            <w:tcW w:w="519" w:type="pct"/>
          </w:tcPr>
          <w:p w14:paraId="15DB74FF"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-0.015</w:t>
            </w:r>
          </w:p>
          <w:p w14:paraId="1F24226C"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(0.024)</w:t>
            </w:r>
          </w:p>
        </w:tc>
        <w:tc>
          <w:tcPr>
            <w:tcW w:w="452" w:type="pct"/>
          </w:tcPr>
          <w:p w14:paraId="48493D29" w14:textId="77777777" w:rsidR="006458D4" w:rsidRPr="00AB639D" w:rsidRDefault="006458D4" w:rsidP="005E7231">
            <w:pPr>
              <w:autoSpaceDE w:val="0"/>
              <w:autoSpaceDN w:val="0"/>
              <w:adjustRightInd w:val="0"/>
              <w:ind w:right="-53"/>
              <w:jc w:val="center"/>
              <w:rPr>
                <w:rFonts w:ascii="Arial" w:hAnsi="Arial" w:cs="Arial"/>
                <w:color w:val="000000"/>
                <w:lang w:bidi="bn-IN"/>
              </w:rPr>
            </w:pPr>
            <w:r w:rsidRPr="00AB639D">
              <w:rPr>
                <w:rFonts w:ascii="Arial" w:hAnsi="Arial" w:cs="Arial"/>
                <w:color w:val="000000"/>
                <w:lang w:bidi="bn-IN"/>
              </w:rPr>
              <w:t xml:space="preserve">-0.0274 </w:t>
            </w:r>
          </w:p>
          <w:p w14:paraId="3CBC2303" w14:textId="77777777" w:rsidR="006458D4" w:rsidRPr="00AB639D" w:rsidRDefault="006458D4" w:rsidP="005E7231">
            <w:pPr>
              <w:autoSpaceDE w:val="0"/>
              <w:autoSpaceDN w:val="0"/>
              <w:adjustRightInd w:val="0"/>
              <w:ind w:right="-53"/>
              <w:jc w:val="center"/>
              <w:rPr>
                <w:rFonts w:ascii="Arial" w:hAnsi="Arial" w:cs="Arial"/>
                <w:color w:val="000000"/>
                <w:lang w:bidi="bn-IN"/>
              </w:rPr>
            </w:pPr>
            <w:r w:rsidRPr="00AB639D">
              <w:rPr>
                <w:rFonts w:ascii="Arial" w:hAnsi="Arial" w:cs="Arial"/>
                <w:color w:val="000000"/>
                <w:lang w:bidi="bn-IN"/>
              </w:rPr>
              <w:t>(0.017)</w:t>
            </w:r>
          </w:p>
        </w:tc>
        <w:tc>
          <w:tcPr>
            <w:tcW w:w="621" w:type="pct"/>
          </w:tcPr>
          <w:p w14:paraId="1898111E"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0.006</w:t>
            </w:r>
          </w:p>
          <w:p w14:paraId="1CD57C60"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(0.055)</w:t>
            </w:r>
          </w:p>
        </w:tc>
        <w:tc>
          <w:tcPr>
            <w:tcW w:w="615" w:type="pct"/>
          </w:tcPr>
          <w:p w14:paraId="4511257F"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w:t>
            </w:r>
          </w:p>
        </w:tc>
        <w:tc>
          <w:tcPr>
            <w:tcW w:w="620" w:type="pct"/>
          </w:tcPr>
          <w:p w14:paraId="3DD862F0"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0.001</w:t>
            </w:r>
          </w:p>
          <w:p w14:paraId="315856F2"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(0.057)</w:t>
            </w:r>
          </w:p>
        </w:tc>
        <w:tc>
          <w:tcPr>
            <w:tcW w:w="512" w:type="pct"/>
          </w:tcPr>
          <w:p w14:paraId="250C5FE0"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w:t>
            </w:r>
          </w:p>
        </w:tc>
      </w:tr>
      <w:tr w:rsidR="006458D4" w:rsidRPr="009C4834" w14:paraId="1319DF90" w14:textId="77777777" w:rsidTr="001D67EA">
        <w:trPr>
          <w:trHeight w:val="20"/>
        </w:trPr>
        <w:tc>
          <w:tcPr>
            <w:tcW w:w="673" w:type="pct"/>
          </w:tcPr>
          <w:p w14:paraId="7765D464"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lngdp_d</w:t>
            </w:r>
          </w:p>
        </w:tc>
        <w:tc>
          <w:tcPr>
            <w:tcW w:w="548" w:type="pct"/>
          </w:tcPr>
          <w:p w14:paraId="18920986"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1.3758 ***</w:t>
            </w:r>
          </w:p>
          <w:p w14:paraId="358423A3"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(0.024)</w:t>
            </w:r>
          </w:p>
        </w:tc>
        <w:tc>
          <w:tcPr>
            <w:tcW w:w="440" w:type="pct"/>
          </w:tcPr>
          <w:p w14:paraId="2957E268" w14:textId="77777777" w:rsidR="006458D4" w:rsidRPr="00AB639D" w:rsidRDefault="006458D4" w:rsidP="005E7231">
            <w:pPr>
              <w:autoSpaceDE w:val="0"/>
              <w:autoSpaceDN w:val="0"/>
              <w:adjustRightInd w:val="0"/>
              <w:ind w:left="-47" w:right="-62"/>
              <w:jc w:val="center"/>
              <w:rPr>
                <w:rFonts w:ascii="Arial" w:hAnsi="Arial" w:cs="Arial"/>
                <w:color w:val="000000"/>
                <w:lang w:bidi="bn-IN"/>
              </w:rPr>
            </w:pPr>
            <w:r w:rsidRPr="00AB639D">
              <w:rPr>
                <w:rFonts w:ascii="Arial" w:hAnsi="Arial" w:cs="Arial"/>
                <w:color w:val="000000"/>
                <w:lang w:bidi="bn-IN"/>
              </w:rPr>
              <w:t>0.476 ***</w:t>
            </w:r>
          </w:p>
          <w:p w14:paraId="2B95807B"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(0.039)</w:t>
            </w:r>
          </w:p>
        </w:tc>
        <w:tc>
          <w:tcPr>
            <w:tcW w:w="519" w:type="pct"/>
          </w:tcPr>
          <w:p w14:paraId="216EBA37"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1.361 ***</w:t>
            </w:r>
          </w:p>
          <w:p w14:paraId="2FEA870E"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(0.024)</w:t>
            </w:r>
          </w:p>
        </w:tc>
        <w:tc>
          <w:tcPr>
            <w:tcW w:w="452" w:type="pct"/>
          </w:tcPr>
          <w:p w14:paraId="534BEAF8"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0.476 ***</w:t>
            </w:r>
          </w:p>
          <w:p w14:paraId="2281FF7E"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(0.0392)</w:t>
            </w:r>
          </w:p>
        </w:tc>
        <w:tc>
          <w:tcPr>
            <w:tcW w:w="621" w:type="pct"/>
          </w:tcPr>
          <w:p w14:paraId="70333E9E"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0.879 ***</w:t>
            </w:r>
          </w:p>
          <w:p w14:paraId="78F615ED"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(0.074)</w:t>
            </w:r>
          </w:p>
        </w:tc>
        <w:tc>
          <w:tcPr>
            <w:tcW w:w="615" w:type="pct"/>
          </w:tcPr>
          <w:p w14:paraId="13B41FE8"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0.996 ***</w:t>
            </w:r>
          </w:p>
          <w:p w14:paraId="0038D609"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(0.044)</w:t>
            </w:r>
          </w:p>
        </w:tc>
        <w:tc>
          <w:tcPr>
            <w:tcW w:w="620" w:type="pct"/>
          </w:tcPr>
          <w:p w14:paraId="1F77C713"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 xml:space="preserve">0.872*** </w:t>
            </w:r>
          </w:p>
          <w:p w14:paraId="511CF965"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(0.075)</w:t>
            </w:r>
          </w:p>
        </w:tc>
        <w:tc>
          <w:tcPr>
            <w:tcW w:w="512" w:type="pct"/>
          </w:tcPr>
          <w:p w14:paraId="5F988995"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0.999 *</w:t>
            </w:r>
            <w:r w:rsidRPr="00AB639D">
              <w:rPr>
                <w:rFonts w:ascii="Arial" w:hAnsi="Arial" w:cs="Arial"/>
                <w:lang w:bidi="bn-IN"/>
              </w:rPr>
              <w:t>**</w:t>
            </w:r>
            <w:r w:rsidRPr="00AB639D">
              <w:rPr>
                <w:rFonts w:ascii="Arial" w:hAnsi="Arial" w:cs="Arial"/>
                <w:color w:val="000000"/>
                <w:lang w:bidi="bn-IN"/>
              </w:rPr>
              <w:t xml:space="preserve"> </w:t>
            </w:r>
          </w:p>
          <w:p w14:paraId="79E2F690"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(0.042)</w:t>
            </w:r>
          </w:p>
        </w:tc>
      </w:tr>
      <w:tr w:rsidR="006458D4" w:rsidRPr="009C4834" w14:paraId="34A31F52" w14:textId="77777777" w:rsidTr="001D67EA">
        <w:trPr>
          <w:trHeight w:val="20"/>
        </w:trPr>
        <w:tc>
          <w:tcPr>
            <w:tcW w:w="673" w:type="pct"/>
          </w:tcPr>
          <w:p w14:paraId="62A2447E"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lndist</w:t>
            </w:r>
          </w:p>
        </w:tc>
        <w:tc>
          <w:tcPr>
            <w:tcW w:w="548" w:type="pct"/>
          </w:tcPr>
          <w:p w14:paraId="062A83EC"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`-0.514*** </w:t>
            </w:r>
          </w:p>
          <w:p w14:paraId="2813A8A9"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(0.059)</w:t>
            </w:r>
          </w:p>
        </w:tc>
        <w:tc>
          <w:tcPr>
            <w:tcW w:w="440" w:type="pct"/>
          </w:tcPr>
          <w:p w14:paraId="153A3084"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0.033 </w:t>
            </w:r>
          </w:p>
          <w:p w14:paraId="7463F89D"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(0.112)</w:t>
            </w:r>
          </w:p>
        </w:tc>
        <w:tc>
          <w:tcPr>
            <w:tcW w:w="519" w:type="pct"/>
          </w:tcPr>
          <w:p w14:paraId="3A4595DF"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-0.432 ***</w:t>
            </w:r>
          </w:p>
          <w:p w14:paraId="1A936926"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(0.063)</w:t>
            </w:r>
          </w:p>
        </w:tc>
        <w:tc>
          <w:tcPr>
            <w:tcW w:w="452" w:type="pct"/>
          </w:tcPr>
          <w:p w14:paraId="2435A82E"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0.032 </w:t>
            </w:r>
          </w:p>
          <w:p w14:paraId="3981AA3A"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(0.111)</w:t>
            </w:r>
          </w:p>
        </w:tc>
        <w:tc>
          <w:tcPr>
            <w:tcW w:w="621" w:type="pct"/>
          </w:tcPr>
          <w:p w14:paraId="3E6C51C8"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0.447 ***</w:t>
            </w:r>
          </w:p>
          <w:p w14:paraId="5C8A2FE9"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(0.063)</w:t>
            </w:r>
          </w:p>
        </w:tc>
        <w:tc>
          <w:tcPr>
            <w:tcW w:w="615" w:type="pct"/>
          </w:tcPr>
          <w:p w14:paraId="3C5CD7B5"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0.515 ***</w:t>
            </w:r>
          </w:p>
          <w:p w14:paraId="50CC2154"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(0.075)</w:t>
            </w:r>
          </w:p>
        </w:tc>
        <w:tc>
          <w:tcPr>
            <w:tcW w:w="620" w:type="pct"/>
          </w:tcPr>
          <w:p w14:paraId="422786E8"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 xml:space="preserve">0.718*** </w:t>
            </w:r>
          </w:p>
          <w:p w14:paraId="016F41A2"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(0.104)</w:t>
            </w:r>
          </w:p>
        </w:tc>
        <w:tc>
          <w:tcPr>
            <w:tcW w:w="512" w:type="pct"/>
          </w:tcPr>
          <w:p w14:paraId="2435A50B"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0.849 *</w:t>
            </w:r>
            <w:r w:rsidRPr="00AB639D">
              <w:rPr>
                <w:rFonts w:ascii="Arial" w:hAnsi="Arial" w:cs="Arial"/>
                <w:lang w:bidi="bn-IN"/>
              </w:rPr>
              <w:t>**</w:t>
            </w:r>
            <w:r w:rsidRPr="00AB639D">
              <w:rPr>
                <w:rFonts w:ascii="Arial" w:hAnsi="Arial" w:cs="Arial"/>
                <w:color w:val="000000"/>
                <w:lang w:bidi="bn-IN"/>
              </w:rPr>
              <w:t xml:space="preserve"> </w:t>
            </w:r>
          </w:p>
          <w:p w14:paraId="39094B86"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(0.103)</w:t>
            </w:r>
          </w:p>
        </w:tc>
      </w:tr>
      <w:tr w:rsidR="006458D4" w:rsidRPr="009C4834" w14:paraId="2A6C74B1" w14:textId="77777777" w:rsidTr="001D67EA">
        <w:trPr>
          <w:trHeight w:val="20"/>
        </w:trPr>
        <w:tc>
          <w:tcPr>
            <w:tcW w:w="673" w:type="pct"/>
          </w:tcPr>
          <w:p w14:paraId="70F56175"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lastRenderedPageBreak/>
              <w:t>lnpop_o</w:t>
            </w:r>
          </w:p>
        </w:tc>
        <w:tc>
          <w:tcPr>
            <w:tcW w:w="548" w:type="pct"/>
          </w:tcPr>
          <w:p w14:paraId="10A8A916"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0.243*** </w:t>
            </w:r>
          </w:p>
          <w:p w14:paraId="316B73E8"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(0.018)</w:t>
            </w:r>
          </w:p>
        </w:tc>
        <w:tc>
          <w:tcPr>
            <w:tcW w:w="440" w:type="pct"/>
          </w:tcPr>
          <w:p w14:paraId="024A46A1"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0.149 ***</w:t>
            </w:r>
          </w:p>
          <w:p w14:paraId="76843C91"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(0.014)</w:t>
            </w:r>
          </w:p>
        </w:tc>
        <w:tc>
          <w:tcPr>
            <w:tcW w:w="519" w:type="pct"/>
          </w:tcPr>
          <w:p w14:paraId="4A147BB7"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0.242 ***</w:t>
            </w:r>
          </w:p>
          <w:p w14:paraId="0EDB01C3"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(0.018)</w:t>
            </w:r>
          </w:p>
        </w:tc>
        <w:tc>
          <w:tcPr>
            <w:tcW w:w="452" w:type="pct"/>
          </w:tcPr>
          <w:p w14:paraId="02DF46FF"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0.149 ***</w:t>
            </w:r>
          </w:p>
          <w:p w14:paraId="4AB35E1B"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(0.014)</w:t>
            </w:r>
          </w:p>
        </w:tc>
        <w:tc>
          <w:tcPr>
            <w:tcW w:w="621" w:type="pct"/>
          </w:tcPr>
          <w:p w14:paraId="5E2E17DD"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0.086 *</w:t>
            </w:r>
          </w:p>
          <w:p w14:paraId="295652E7"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(0.0389)</w:t>
            </w:r>
          </w:p>
        </w:tc>
        <w:tc>
          <w:tcPr>
            <w:tcW w:w="615" w:type="pct"/>
          </w:tcPr>
          <w:p w14:paraId="6FB724AF"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w:t>
            </w:r>
          </w:p>
        </w:tc>
        <w:tc>
          <w:tcPr>
            <w:tcW w:w="620" w:type="pct"/>
          </w:tcPr>
          <w:p w14:paraId="60073353"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 xml:space="preserve">0.084* </w:t>
            </w:r>
          </w:p>
          <w:p w14:paraId="0F48EAC5"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(0.040)</w:t>
            </w:r>
          </w:p>
        </w:tc>
        <w:tc>
          <w:tcPr>
            <w:tcW w:w="512" w:type="pct"/>
          </w:tcPr>
          <w:p w14:paraId="7B634574"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w:t>
            </w:r>
          </w:p>
        </w:tc>
      </w:tr>
      <w:tr w:rsidR="006458D4" w:rsidRPr="009C4834" w14:paraId="50D71236" w14:textId="77777777" w:rsidTr="001D67EA">
        <w:trPr>
          <w:trHeight w:val="20"/>
        </w:trPr>
        <w:tc>
          <w:tcPr>
            <w:tcW w:w="673" w:type="pct"/>
          </w:tcPr>
          <w:p w14:paraId="1DC58664"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lnpop_d</w:t>
            </w:r>
          </w:p>
        </w:tc>
        <w:tc>
          <w:tcPr>
            <w:tcW w:w="548" w:type="pct"/>
          </w:tcPr>
          <w:p w14:paraId="3DC166DF"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-0.225*** </w:t>
            </w:r>
          </w:p>
          <w:p w14:paraId="3F9449DC"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(0.027)</w:t>
            </w:r>
          </w:p>
        </w:tc>
        <w:tc>
          <w:tcPr>
            <w:tcW w:w="440" w:type="pct"/>
          </w:tcPr>
          <w:p w14:paraId="36E25663"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0.094 ***</w:t>
            </w:r>
          </w:p>
          <w:p w14:paraId="2418E929"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(0.033)</w:t>
            </w:r>
          </w:p>
        </w:tc>
        <w:tc>
          <w:tcPr>
            <w:tcW w:w="519" w:type="pct"/>
          </w:tcPr>
          <w:p w14:paraId="6AB59186"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-0.213 ***</w:t>
            </w:r>
          </w:p>
          <w:p w14:paraId="529CB465"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(0.028)</w:t>
            </w:r>
          </w:p>
        </w:tc>
        <w:tc>
          <w:tcPr>
            <w:tcW w:w="452" w:type="pct"/>
          </w:tcPr>
          <w:p w14:paraId="60C1640D"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0.094 **</w:t>
            </w:r>
          </w:p>
          <w:p w14:paraId="76282CFF"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(0.033)</w:t>
            </w:r>
          </w:p>
        </w:tc>
        <w:tc>
          <w:tcPr>
            <w:tcW w:w="621" w:type="pct"/>
          </w:tcPr>
          <w:p w14:paraId="7E533083"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 xml:space="preserve">-0.058 </w:t>
            </w:r>
          </w:p>
          <w:p w14:paraId="587917C9"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(0.060)</w:t>
            </w:r>
          </w:p>
        </w:tc>
        <w:tc>
          <w:tcPr>
            <w:tcW w:w="615" w:type="pct"/>
          </w:tcPr>
          <w:p w14:paraId="38926026"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-0.118 *</w:t>
            </w:r>
          </w:p>
          <w:p w14:paraId="627F5B62"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(0.050)</w:t>
            </w:r>
          </w:p>
        </w:tc>
        <w:tc>
          <w:tcPr>
            <w:tcW w:w="620" w:type="pct"/>
          </w:tcPr>
          <w:p w14:paraId="4AE1A6AD"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 xml:space="preserve">-0.001 </w:t>
            </w:r>
          </w:p>
          <w:p w14:paraId="4DC42026"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(0.055)</w:t>
            </w:r>
          </w:p>
        </w:tc>
        <w:tc>
          <w:tcPr>
            <w:tcW w:w="512" w:type="pct"/>
          </w:tcPr>
          <w:p w14:paraId="781241D2"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-0.042 </w:t>
            </w:r>
          </w:p>
          <w:p w14:paraId="6F740455"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(0.047)</w:t>
            </w:r>
          </w:p>
        </w:tc>
      </w:tr>
      <w:tr w:rsidR="006458D4" w:rsidRPr="009C4834" w14:paraId="0BA67FEC" w14:textId="77777777" w:rsidTr="001D67EA">
        <w:trPr>
          <w:trHeight w:val="20"/>
        </w:trPr>
        <w:tc>
          <w:tcPr>
            <w:tcW w:w="673" w:type="pct"/>
          </w:tcPr>
          <w:p w14:paraId="65E279A8"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common_language</w:t>
            </w:r>
          </w:p>
        </w:tc>
        <w:tc>
          <w:tcPr>
            <w:tcW w:w="548" w:type="pct"/>
          </w:tcPr>
          <w:p w14:paraId="3C620C48"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-0.298*** </w:t>
            </w:r>
          </w:p>
          <w:p w14:paraId="187DEF5D"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(0.076)</w:t>
            </w:r>
          </w:p>
        </w:tc>
        <w:tc>
          <w:tcPr>
            <w:tcW w:w="440" w:type="pct"/>
          </w:tcPr>
          <w:p w14:paraId="32548805"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0.289 *</w:t>
            </w:r>
          </w:p>
          <w:p w14:paraId="6FF2FB5C"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(0.136)</w:t>
            </w:r>
          </w:p>
        </w:tc>
        <w:tc>
          <w:tcPr>
            <w:tcW w:w="519" w:type="pct"/>
          </w:tcPr>
          <w:p w14:paraId="57A1E691"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-0.224 *</w:t>
            </w:r>
          </w:p>
          <w:p w14:paraId="7917231C"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(0.078)</w:t>
            </w:r>
          </w:p>
        </w:tc>
        <w:tc>
          <w:tcPr>
            <w:tcW w:w="452" w:type="pct"/>
          </w:tcPr>
          <w:p w14:paraId="07AAF298"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0.289 *</w:t>
            </w:r>
          </w:p>
          <w:p w14:paraId="442969CA"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(0.136)</w:t>
            </w:r>
          </w:p>
        </w:tc>
        <w:tc>
          <w:tcPr>
            <w:tcW w:w="621" w:type="pct"/>
          </w:tcPr>
          <w:p w14:paraId="03CC498C"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-0.263 *</w:t>
            </w:r>
          </w:p>
          <w:p w14:paraId="4F2E2732"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(0.112)</w:t>
            </w:r>
          </w:p>
        </w:tc>
        <w:tc>
          <w:tcPr>
            <w:tcW w:w="615" w:type="pct"/>
          </w:tcPr>
          <w:p w14:paraId="38A290DE"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-0.365 ***</w:t>
            </w:r>
          </w:p>
          <w:p w14:paraId="4F9C571C"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(0.098)</w:t>
            </w:r>
          </w:p>
        </w:tc>
        <w:tc>
          <w:tcPr>
            <w:tcW w:w="620" w:type="pct"/>
          </w:tcPr>
          <w:p w14:paraId="3BC6AB6F"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 xml:space="preserve">-0.134 </w:t>
            </w:r>
          </w:p>
          <w:p w14:paraId="4FAB8821"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(0.114)</w:t>
            </w:r>
          </w:p>
        </w:tc>
        <w:tc>
          <w:tcPr>
            <w:tcW w:w="512" w:type="pct"/>
          </w:tcPr>
          <w:p w14:paraId="02924CC8"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-0.219 *</w:t>
            </w:r>
          </w:p>
          <w:p w14:paraId="4198529F"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(0.092)</w:t>
            </w:r>
          </w:p>
        </w:tc>
      </w:tr>
      <w:tr w:rsidR="006458D4" w:rsidRPr="009C4834" w14:paraId="38BBC42E" w14:textId="77777777" w:rsidTr="001D67EA">
        <w:trPr>
          <w:trHeight w:val="20"/>
        </w:trPr>
        <w:tc>
          <w:tcPr>
            <w:tcW w:w="673" w:type="pct"/>
          </w:tcPr>
          <w:p w14:paraId="0D864945"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landlocked_d</w:t>
            </w:r>
          </w:p>
        </w:tc>
        <w:tc>
          <w:tcPr>
            <w:tcW w:w="548" w:type="pct"/>
          </w:tcPr>
          <w:p w14:paraId="73B588F2"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-0.228* </w:t>
            </w:r>
          </w:p>
          <w:p w14:paraId="1653A48D"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(0.092)</w:t>
            </w:r>
          </w:p>
        </w:tc>
        <w:tc>
          <w:tcPr>
            <w:tcW w:w="440" w:type="pct"/>
          </w:tcPr>
          <w:p w14:paraId="21DC79C9"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0.330 *</w:t>
            </w:r>
          </w:p>
          <w:p w14:paraId="2238CF37"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(0.155)</w:t>
            </w:r>
          </w:p>
        </w:tc>
        <w:tc>
          <w:tcPr>
            <w:tcW w:w="519" w:type="pct"/>
          </w:tcPr>
          <w:p w14:paraId="7872377C"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-0.194 **</w:t>
            </w:r>
          </w:p>
          <w:p w14:paraId="50C78D54"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(0.093)</w:t>
            </w:r>
          </w:p>
        </w:tc>
        <w:tc>
          <w:tcPr>
            <w:tcW w:w="452" w:type="pct"/>
          </w:tcPr>
          <w:p w14:paraId="12859DF8"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0.330 *</w:t>
            </w:r>
          </w:p>
          <w:p w14:paraId="2B09ED64"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(0.155)</w:t>
            </w:r>
          </w:p>
        </w:tc>
        <w:tc>
          <w:tcPr>
            <w:tcW w:w="621" w:type="pct"/>
          </w:tcPr>
          <w:p w14:paraId="36E4D4F1"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 xml:space="preserve">0.143 </w:t>
            </w:r>
          </w:p>
          <w:p w14:paraId="03CA0390"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(0.287)</w:t>
            </w:r>
          </w:p>
        </w:tc>
        <w:tc>
          <w:tcPr>
            <w:tcW w:w="615" w:type="pct"/>
          </w:tcPr>
          <w:p w14:paraId="77F74EE6"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-0.178 </w:t>
            </w:r>
          </w:p>
          <w:p w14:paraId="659AD878"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(0.241)</w:t>
            </w:r>
          </w:p>
        </w:tc>
        <w:tc>
          <w:tcPr>
            <w:tcW w:w="620" w:type="pct"/>
          </w:tcPr>
          <w:p w14:paraId="006F6ACF"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 xml:space="preserve">0.192 </w:t>
            </w:r>
          </w:p>
          <w:p w14:paraId="4D613A4D"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(0.318)</w:t>
            </w:r>
          </w:p>
        </w:tc>
        <w:tc>
          <w:tcPr>
            <w:tcW w:w="512" w:type="pct"/>
          </w:tcPr>
          <w:p w14:paraId="2606712B"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-0.106 </w:t>
            </w:r>
          </w:p>
          <w:p w14:paraId="603051B7"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(0.267)</w:t>
            </w:r>
          </w:p>
        </w:tc>
      </w:tr>
      <w:tr w:rsidR="006458D4" w:rsidRPr="009C4834" w14:paraId="33E912AF" w14:textId="77777777" w:rsidTr="001D67EA">
        <w:trPr>
          <w:trHeight w:val="20"/>
        </w:trPr>
        <w:tc>
          <w:tcPr>
            <w:tcW w:w="673" w:type="pct"/>
          </w:tcPr>
          <w:p w14:paraId="1661E55E"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island_d</w:t>
            </w:r>
          </w:p>
        </w:tc>
        <w:tc>
          <w:tcPr>
            <w:tcW w:w="548" w:type="pct"/>
          </w:tcPr>
          <w:p w14:paraId="44A8F3A8"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0.321** </w:t>
            </w:r>
          </w:p>
          <w:p w14:paraId="209849D4"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(0.111)</w:t>
            </w:r>
          </w:p>
        </w:tc>
        <w:tc>
          <w:tcPr>
            <w:tcW w:w="440" w:type="pct"/>
          </w:tcPr>
          <w:p w14:paraId="0D54FCAC"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0.258 </w:t>
            </w:r>
          </w:p>
          <w:p w14:paraId="106DFDDF"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(0.191)</w:t>
            </w:r>
          </w:p>
        </w:tc>
        <w:tc>
          <w:tcPr>
            <w:tcW w:w="519" w:type="pct"/>
          </w:tcPr>
          <w:p w14:paraId="66B10E01"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0.380 ***</w:t>
            </w:r>
          </w:p>
          <w:p w14:paraId="31732CD5"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(0.112)</w:t>
            </w:r>
          </w:p>
        </w:tc>
        <w:tc>
          <w:tcPr>
            <w:tcW w:w="452" w:type="pct"/>
          </w:tcPr>
          <w:p w14:paraId="2A8BB382"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0.258 </w:t>
            </w:r>
          </w:p>
          <w:p w14:paraId="4C724AAF"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(0.191)</w:t>
            </w:r>
          </w:p>
        </w:tc>
        <w:tc>
          <w:tcPr>
            <w:tcW w:w="621" w:type="pct"/>
          </w:tcPr>
          <w:p w14:paraId="57A7E7DA"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0.288 *</w:t>
            </w:r>
          </w:p>
          <w:p w14:paraId="5F766C96"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(0.129)</w:t>
            </w:r>
          </w:p>
        </w:tc>
        <w:tc>
          <w:tcPr>
            <w:tcW w:w="615" w:type="pct"/>
          </w:tcPr>
          <w:p w14:paraId="5D30A0E4"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0.197 </w:t>
            </w:r>
          </w:p>
          <w:p w14:paraId="2D9921F9"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(0.134)</w:t>
            </w:r>
          </w:p>
        </w:tc>
        <w:tc>
          <w:tcPr>
            <w:tcW w:w="620" w:type="pct"/>
          </w:tcPr>
          <w:p w14:paraId="66B90A72"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 xml:space="preserve">0.612*** </w:t>
            </w:r>
          </w:p>
          <w:p w14:paraId="63D2B212"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(0.146)</w:t>
            </w:r>
          </w:p>
        </w:tc>
        <w:tc>
          <w:tcPr>
            <w:tcW w:w="512" w:type="pct"/>
          </w:tcPr>
          <w:p w14:paraId="250643A4"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0.607 *</w:t>
            </w:r>
            <w:r w:rsidRPr="00AB639D">
              <w:rPr>
                <w:rFonts w:ascii="Arial" w:hAnsi="Arial" w:cs="Arial"/>
                <w:lang w:bidi="bn-IN"/>
              </w:rPr>
              <w:t>**</w:t>
            </w:r>
          </w:p>
          <w:p w14:paraId="7C5DC204"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(0.148)</w:t>
            </w:r>
          </w:p>
        </w:tc>
      </w:tr>
      <w:tr w:rsidR="006458D4" w:rsidRPr="009C4834" w14:paraId="7FAFF693" w14:textId="77777777" w:rsidTr="001D67EA">
        <w:trPr>
          <w:trHeight w:val="20"/>
        </w:trPr>
        <w:tc>
          <w:tcPr>
            <w:tcW w:w="673" w:type="pct"/>
          </w:tcPr>
          <w:p w14:paraId="0F7E878A"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contiguity</w:t>
            </w:r>
          </w:p>
        </w:tc>
        <w:tc>
          <w:tcPr>
            <w:tcW w:w="548" w:type="pct"/>
          </w:tcPr>
          <w:p w14:paraId="042262F2"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-0.633* </w:t>
            </w:r>
          </w:p>
          <w:p w14:paraId="363A9F07"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(0.356)</w:t>
            </w:r>
          </w:p>
        </w:tc>
        <w:tc>
          <w:tcPr>
            <w:tcW w:w="440" w:type="pct"/>
          </w:tcPr>
          <w:p w14:paraId="01F3A377"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-0.819 </w:t>
            </w:r>
          </w:p>
          <w:p w14:paraId="7AD2D07D"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(0.794)</w:t>
            </w:r>
          </w:p>
        </w:tc>
        <w:tc>
          <w:tcPr>
            <w:tcW w:w="519" w:type="pct"/>
          </w:tcPr>
          <w:p w14:paraId="04953777"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-0.636 *</w:t>
            </w:r>
          </w:p>
          <w:p w14:paraId="6B7D7192"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 (0.356)</w:t>
            </w:r>
          </w:p>
        </w:tc>
        <w:tc>
          <w:tcPr>
            <w:tcW w:w="452" w:type="pct"/>
          </w:tcPr>
          <w:p w14:paraId="467AE7B9"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-0.821 </w:t>
            </w:r>
          </w:p>
          <w:p w14:paraId="74187D72"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(0.794)</w:t>
            </w:r>
          </w:p>
        </w:tc>
        <w:tc>
          <w:tcPr>
            <w:tcW w:w="621" w:type="pct"/>
          </w:tcPr>
          <w:p w14:paraId="6A916510"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 xml:space="preserve">0.041 </w:t>
            </w:r>
          </w:p>
          <w:p w14:paraId="66DF1151"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(0.213)</w:t>
            </w:r>
          </w:p>
        </w:tc>
        <w:tc>
          <w:tcPr>
            <w:tcW w:w="615" w:type="pct"/>
          </w:tcPr>
          <w:p w14:paraId="16A84FF5"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0.216 </w:t>
            </w:r>
          </w:p>
          <w:p w14:paraId="52102353"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(0.226)</w:t>
            </w:r>
          </w:p>
        </w:tc>
        <w:tc>
          <w:tcPr>
            <w:tcW w:w="620" w:type="pct"/>
          </w:tcPr>
          <w:p w14:paraId="5027FF44"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 xml:space="preserve">0.038 </w:t>
            </w:r>
          </w:p>
          <w:p w14:paraId="2978C4EC" w14:textId="77777777" w:rsidR="006458D4" w:rsidRPr="00AB639D" w:rsidRDefault="006458D4" w:rsidP="009C4834">
            <w:pPr>
              <w:autoSpaceDE w:val="0"/>
              <w:autoSpaceDN w:val="0"/>
              <w:adjustRightInd w:val="0"/>
              <w:ind w:right="18"/>
              <w:rPr>
                <w:rFonts w:ascii="Arial" w:hAnsi="Arial" w:cs="Arial"/>
                <w:color w:val="000000"/>
                <w:lang w:bidi="bn-IN"/>
              </w:rPr>
            </w:pPr>
            <w:r w:rsidRPr="00AB639D">
              <w:rPr>
                <w:rFonts w:ascii="Arial" w:hAnsi="Arial" w:cs="Arial"/>
                <w:color w:val="000000"/>
                <w:lang w:bidi="bn-IN"/>
              </w:rPr>
              <w:t>(0.219)</w:t>
            </w:r>
          </w:p>
        </w:tc>
        <w:tc>
          <w:tcPr>
            <w:tcW w:w="512" w:type="pct"/>
          </w:tcPr>
          <w:p w14:paraId="192756D2"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 xml:space="preserve">0.196 </w:t>
            </w:r>
          </w:p>
          <w:p w14:paraId="153A7BE6" w14:textId="77777777" w:rsidR="006458D4" w:rsidRPr="00AB639D" w:rsidRDefault="006458D4" w:rsidP="009C4834">
            <w:pPr>
              <w:autoSpaceDE w:val="0"/>
              <w:autoSpaceDN w:val="0"/>
              <w:adjustRightInd w:val="0"/>
              <w:ind w:right="18"/>
              <w:jc w:val="center"/>
              <w:rPr>
                <w:rFonts w:ascii="Arial" w:hAnsi="Arial" w:cs="Arial"/>
                <w:color w:val="000000"/>
                <w:lang w:bidi="bn-IN"/>
              </w:rPr>
            </w:pPr>
            <w:r w:rsidRPr="00AB639D">
              <w:rPr>
                <w:rFonts w:ascii="Arial" w:hAnsi="Arial" w:cs="Arial"/>
                <w:color w:val="000000"/>
                <w:lang w:bidi="bn-IN"/>
              </w:rPr>
              <w:t>(0.244)</w:t>
            </w:r>
          </w:p>
        </w:tc>
      </w:tr>
      <w:tr w:rsidR="006458D4" w:rsidRPr="009C4834" w14:paraId="0AA70737" w14:textId="77777777" w:rsidTr="001D67EA">
        <w:trPr>
          <w:trHeight w:val="20"/>
        </w:trPr>
        <w:tc>
          <w:tcPr>
            <w:tcW w:w="673" w:type="pct"/>
          </w:tcPr>
          <w:p w14:paraId="1C93654F" w14:textId="77777777" w:rsidR="006458D4" w:rsidRPr="009C483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part_agreement</w:t>
            </w:r>
          </w:p>
        </w:tc>
        <w:tc>
          <w:tcPr>
            <w:tcW w:w="548" w:type="pct"/>
          </w:tcPr>
          <w:p w14:paraId="5DA23D92" w14:textId="77777777" w:rsidR="006458D4" w:rsidRPr="009C4834" w:rsidRDefault="006458D4" w:rsidP="009C4834">
            <w:pPr>
              <w:autoSpaceDE w:val="0"/>
              <w:autoSpaceDN w:val="0"/>
              <w:adjustRightInd w:val="0"/>
              <w:ind w:right="18"/>
              <w:jc w:val="center"/>
              <w:rPr>
                <w:rFonts w:ascii="Arial" w:hAnsi="Arial" w:cs="Arial"/>
                <w:color w:val="000000"/>
                <w:lang w:bidi="bn-IN"/>
              </w:rPr>
            </w:pPr>
          </w:p>
        </w:tc>
        <w:tc>
          <w:tcPr>
            <w:tcW w:w="440" w:type="pct"/>
          </w:tcPr>
          <w:p w14:paraId="3420FAE2" w14:textId="77777777" w:rsidR="006458D4" w:rsidRPr="009C4834" w:rsidRDefault="006458D4" w:rsidP="009C4834">
            <w:pPr>
              <w:autoSpaceDE w:val="0"/>
              <w:autoSpaceDN w:val="0"/>
              <w:adjustRightInd w:val="0"/>
              <w:ind w:right="18"/>
              <w:jc w:val="right"/>
              <w:rPr>
                <w:rFonts w:ascii="Arial" w:hAnsi="Arial" w:cs="Arial"/>
                <w:color w:val="000000"/>
                <w:lang w:bidi="bn-IN"/>
              </w:rPr>
            </w:pPr>
          </w:p>
        </w:tc>
        <w:tc>
          <w:tcPr>
            <w:tcW w:w="519" w:type="pct"/>
          </w:tcPr>
          <w:p w14:paraId="704578B4"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0.289 ***</w:t>
            </w:r>
          </w:p>
          <w:p w14:paraId="343491F8"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(0.079)</w:t>
            </w:r>
          </w:p>
        </w:tc>
        <w:tc>
          <w:tcPr>
            <w:tcW w:w="452" w:type="pct"/>
          </w:tcPr>
          <w:p w14:paraId="5FD0A53E"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 xml:space="preserve">0.152 </w:t>
            </w:r>
          </w:p>
          <w:p w14:paraId="626026AB" w14:textId="77777777" w:rsidR="006458D4" w:rsidRPr="009C4834" w:rsidRDefault="006458D4" w:rsidP="00D456D1">
            <w:pPr>
              <w:autoSpaceDE w:val="0"/>
              <w:autoSpaceDN w:val="0"/>
              <w:adjustRightInd w:val="0"/>
              <w:ind w:right="-60"/>
              <w:jc w:val="center"/>
              <w:rPr>
                <w:rFonts w:ascii="Arial" w:hAnsi="Arial" w:cs="Arial"/>
                <w:color w:val="000000"/>
                <w:lang w:bidi="bn-IN"/>
              </w:rPr>
            </w:pPr>
            <w:r w:rsidRPr="009C4834">
              <w:rPr>
                <w:rFonts w:ascii="Arial" w:hAnsi="Arial" w:cs="Arial"/>
                <w:color w:val="000000"/>
                <w:lang w:bidi="bn-IN"/>
              </w:rPr>
              <w:t>(0.790)</w:t>
            </w:r>
          </w:p>
        </w:tc>
        <w:tc>
          <w:tcPr>
            <w:tcW w:w="621" w:type="pct"/>
          </w:tcPr>
          <w:p w14:paraId="387E02C4" w14:textId="2DD465A3" w:rsidR="006458D4" w:rsidRPr="00D456D1" w:rsidRDefault="006458D4" w:rsidP="00D456D1">
            <w:pPr>
              <w:rPr>
                <w:rFonts w:ascii="Arial" w:hAnsi="Arial" w:cs="Arial"/>
                <w:lang w:bidi="bn-IN"/>
              </w:rPr>
            </w:pPr>
          </w:p>
        </w:tc>
        <w:tc>
          <w:tcPr>
            <w:tcW w:w="615" w:type="pct"/>
          </w:tcPr>
          <w:p w14:paraId="45F788A3"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 xml:space="preserve">-11.529 </w:t>
            </w:r>
          </w:p>
          <w:p w14:paraId="4441AD41"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(0.801)</w:t>
            </w:r>
          </w:p>
        </w:tc>
        <w:tc>
          <w:tcPr>
            <w:tcW w:w="620" w:type="pct"/>
          </w:tcPr>
          <w:p w14:paraId="26A080DD" w14:textId="77777777" w:rsidR="006458D4" w:rsidRPr="009C483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0.625***</w:t>
            </w:r>
          </w:p>
          <w:p w14:paraId="767C677D" w14:textId="77777777" w:rsidR="006458D4" w:rsidRPr="009C483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(0.157)</w:t>
            </w:r>
          </w:p>
        </w:tc>
        <w:tc>
          <w:tcPr>
            <w:tcW w:w="512" w:type="pct"/>
          </w:tcPr>
          <w:p w14:paraId="1D9B1202"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 xml:space="preserve">0.764 </w:t>
            </w:r>
            <w:r w:rsidRPr="009C4834">
              <w:rPr>
                <w:rFonts w:ascii="Arial" w:hAnsi="Arial" w:cs="Arial"/>
                <w:lang w:bidi="bn-IN"/>
              </w:rPr>
              <w:t>***</w:t>
            </w:r>
            <w:r w:rsidRPr="009C4834">
              <w:rPr>
                <w:rFonts w:ascii="Arial" w:hAnsi="Arial" w:cs="Arial"/>
                <w:color w:val="000000"/>
                <w:lang w:bidi="bn-IN"/>
              </w:rPr>
              <w:t xml:space="preserve"> </w:t>
            </w:r>
          </w:p>
          <w:p w14:paraId="610EAA45"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(0.122)</w:t>
            </w:r>
          </w:p>
        </w:tc>
      </w:tr>
      <w:tr w:rsidR="006458D4" w:rsidRPr="009C4834" w14:paraId="4F66C6C0" w14:textId="77777777" w:rsidTr="001D67EA">
        <w:trPr>
          <w:trHeight w:val="20"/>
        </w:trPr>
        <w:tc>
          <w:tcPr>
            <w:tcW w:w="673" w:type="pct"/>
          </w:tcPr>
          <w:p w14:paraId="44CC7CE8" w14:textId="77777777" w:rsidR="006458D4" w:rsidRPr="009C483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Constant</w:t>
            </w:r>
          </w:p>
        </w:tc>
        <w:tc>
          <w:tcPr>
            <w:tcW w:w="548" w:type="pct"/>
          </w:tcPr>
          <w:p w14:paraId="73E0A566"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 xml:space="preserve">-10.240*** </w:t>
            </w:r>
          </w:p>
          <w:p w14:paraId="0C362116"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(0.733)</w:t>
            </w:r>
          </w:p>
        </w:tc>
        <w:tc>
          <w:tcPr>
            <w:tcW w:w="440" w:type="pct"/>
          </w:tcPr>
          <w:p w14:paraId="139FF32E"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-5.128 ***</w:t>
            </w:r>
          </w:p>
          <w:p w14:paraId="7A40E94C"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(1.135)</w:t>
            </w:r>
          </w:p>
        </w:tc>
        <w:tc>
          <w:tcPr>
            <w:tcW w:w="519" w:type="pct"/>
          </w:tcPr>
          <w:p w14:paraId="274314A7"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-11.034 ***</w:t>
            </w:r>
          </w:p>
          <w:p w14:paraId="537C10E0"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(0.763)</w:t>
            </w:r>
          </w:p>
        </w:tc>
        <w:tc>
          <w:tcPr>
            <w:tcW w:w="452" w:type="pct"/>
          </w:tcPr>
          <w:p w14:paraId="59A042C8"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 xml:space="preserve">-5.192 </w:t>
            </w:r>
            <w:r w:rsidRPr="009C4834">
              <w:rPr>
                <w:rFonts w:ascii="Arial" w:hAnsi="Arial" w:cs="Arial"/>
                <w:lang w:bidi="bn-IN"/>
              </w:rPr>
              <w:t>***</w:t>
            </w:r>
          </w:p>
          <w:p w14:paraId="742ED196"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(1.183)</w:t>
            </w:r>
          </w:p>
        </w:tc>
        <w:tc>
          <w:tcPr>
            <w:tcW w:w="621" w:type="pct"/>
          </w:tcPr>
          <w:p w14:paraId="432B6D04" w14:textId="77777777" w:rsidR="006458D4" w:rsidRPr="009C483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-10.521 ***</w:t>
            </w:r>
          </w:p>
          <w:p w14:paraId="7402004D" w14:textId="77777777" w:rsidR="006458D4" w:rsidRPr="009C483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(1.414)</w:t>
            </w:r>
          </w:p>
        </w:tc>
        <w:tc>
          <w:tcPr>
            <w:tcW w:w="615" w:type="pct"/>
          </w:tcPr>
          <w:p w14:paraId="0BD27F9D"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-13.419 ***</w:t>
            </w:r>
          </w:p>
          <w:p w14:paraId="25766468"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(1.917)</w:t>
            </w:r>
          </w:p>
        </w:tc>
        <w:tc>
          <w:tcPr>
            <w:tcW w:w="620" w:type="pct"/>
          </w:tcPr>
          <w:p w14:paraId="49F6B05D" w14:textId="77777777" w:rsidR="006458D4" w:rsidRPr="009C483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 xml:space="preserve">-13.419 *** </w:t>
            </w:r>
          </w:p>
          <w:p w14:paraId="17D8BDAC" w14:textId="77777777" w:rsidR="006458D4" w:rsidRPr="009C483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(1.917)</w:t>
            </w:r>
          </w:p>
        </w:tc>
        <w:tc>
          <w:tcPr>
            <w:tcW w:w="512" w:type="pct"/>
          </w:tcPr>
          <w:p w14:paraId="70F139D0"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-15.378 *</w:t>
            </w:r>
            <w:r w:rsidRPr="009C4834">
              <w:rPr>
                <w:rFonts w:ascii="Arial" w:hAnsi="Arial" w:cs="Arial"/>
                <w:lang w:bidi="bn-IN"/>
              </w:rPr>
              <w:t>**</w:t>
            </w:r>
          </w:p>
          <w:p w14:paraId="7143C198"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(1.183)</w:t>
            </w:r>
          </w:p>
        </w:tc>
      </w:tr>
      <w:tr w:rsidR="006458D4" w:rsidRPr="009C4834" w14:paraId="73DB546A" w14:textId="77777777" w:rsidTr="001D67EA">
        <w:trPr>
          <w:trHeight w:val="20"/>
        </w:trPr>
        <w:tc>
          <w:tcPr>
            <w:tcW w:w="673" w:type="pct"/>
          </w:tcPr>
          <w:p w14:paraId="34E38832" w14:textId="77777777" w:rsidR="006458D4" w:rsidRPr="009C483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R-squared</w:t>
            </w:r>
          </w:p>
        </w:tc>
        <w:tc>
          <w:tcPr>
            <w:tcW w:w="548" w:type="pct"/>
          </w:tcPr>
          <w:p w14:paraId="17ECB4D7"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0.637</w:t>
            </w:r>
          </w:p>
        </w:tc>
        <w:tc>
          <w:tcPr>
            <w:tcW w:w="440" w:type="pct"/>
          </w:tcPr>
          <w:p w14:paraId="6EE26B4D"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0.559</w:t>
            </w:r>
          </w:p>
        </w:tc>
        <w:tc>
          <w:tcPr>
            <w:tcW w:w="519" w:type="pct"/>
          </w:tcPr>
          <w:p w14:paraId="7F3B68F2"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0.640</w:t>
            </w:r>
          </w:p>
        </w:tc>
        <w:tc>
          <w:tcPr>
            <w:tcW w:w="452" w:type="pct"/>
          </w:tcPr>
          <w:p w14:paraId="25361569"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0.569</w:t>
            </w:r>
          </w:p>
        </w:tc>
        <w:tc>
          <w:tcPr>
            <w:tcW w:w="621" w:type="pct"/>
          </w:tcPr>
          <w:p w14:paraId="26E01C9C"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0.405</w:t>
            </w:r>
          </w:p>
        </w:tc>
        <w:tc>
          <w:tcPr>
            <w:tcW w:w="615" w:type="pct"/>
          </w:tcPr>
          <w:p w14:paraId="7EB660BD" w14:textId="77777777" w:rsidR="006458D4" w:rsidRPr="009C4834" w:rsidRDefault="006458D4" w:rsidP="009C4834">
            <w:pPr>
              <w:autoSpaceDE w:val="0"/>
              <w:autoSpaceDN w:val="0"/>
              <w:adjustRightInd w:val="0"/>
              <w:ind w:right="18"/>
              <w:jc w:val="center"/>
              <w:rPr>
                <w:rFonts w:ascii="Arial" w:hAnsi="Arial" w:cs="Arial"/>
                <w:color w:val="000000"/>
                <w:lang w:bidi="bn-IN"/>
              </w:rPr>
            </w:pPr>
          </w:p>
        </w:tc>
        <w:tc>
          <w:tcPr>
            <w:tcW w:w="620" w:type="pct"/>
          </w:tcPr>
          <w:p w14:paraId="35AA2B39"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0.371</w:t>
            </w:r>
          </w:p>
        </w:tc>
        <w:tc>
          <w:tcPr>
            <w:tcW w:w="512" w:type="pct"/>
          </w:tcPr>
          <w:p w14:paraId="5C48E739" w14:textId="77777777" w:rsidR="006458D4" w:rsidRPr="009C4834" w:rsidRDefault="006458D4" w:rsidP="009C4834">
            <w:pPr>
              <w:autoSpaceDE w:val="0"/>
              <w:autoSpaceDN w:val="0"/>
              <w:adjustRightInd w:val="0"/>
              <w:ind w:right="18"/>
              <w:jc w:val="center"/>
              <w:rPr>
                <w:rFonts w:ascii="Arial" w:hAnsi="Arial" w:cs="Arial"/>
                <w:color w:val="000000"/>
                <w:lang w:bidi="bn-IN"/>
              </w:rPr>
            </w:pPr>
          </w:p>
        </w:tc>
      </w:tr>
      <w:tr w:rsidR="006458D4" w:rsidRPr="009C4834" w14:paraId="699F4E74" w14:textId="77777777" w:rsidTr="001D67EA">
        <w:trPr>
          <w:trHeight w:val="20"/>
        </w:trPr>
        <w:tc>
          <w:tcPr>
            <w:tcW w:w="673" w:type="pct"/>
          </w:tcPr>
          <w:p w14:paraId="40425720" w14:textId="77777777" w:rsidR="006458D4" w:rsidRPr="009C483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Pseudo-R-squared</w:t>
            </w:r>
          </w:p>
        </w:tc>
        <w:tc>
          <w:tcPr>
            <w:tcW w:w="548" w:type="pct"/>
          </w:tcPr>
          <w:p w14:paraId="4C1540C3"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w:t>
            </w:r>
          </w:p>
        </w:tc>
        <w:tc>
          <w:tcPr>
            <w:tcW w:w="440" w:type="pct"/>
          </w:tcPr>
          <w:p w14:paraId="66626662"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w:t>
            </w:r>
          </w:p>
        </w:tc>
        <w:tc>
          <w:tcPr>
            <w:tcW w:w="519" w:type="pct"/>
          </w:tcPr>
          <w:p w14:paraId="67FEACDE"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w:t>
            </w:r>
          </w:p>
        </w:tc>
        <w:tc>
          <w:tcPr>
            <w:tcW w:w="452" w:type="pct"/>
          </w:tcPr>
          <w:p w14:paraId="303AB6BD"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w:t>
            </w:r>
          </w:p>
        </w:tc>
        <w:tc>
          <w:tcPr>
            <w:tcW w:w="621" w:type="pct"/>
          </w:tcPr>
          <w:p w14:paraId="57812E53"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w:t>
            </w:r>
          </w:p>
        </w:tc>
        <w:tc>
          <w:tcPr>
            <w:tcW w:w="615" w:type="pct"/>
          </w:tcPr>
          <w:p w14:paraId="11DB12CD"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0.771</w:t>
            </w:r>
          </w:p>
        </w:tc>
        <w:tc>
          <w:tcPr>
            <w:tcW w:w="620" w:type="pct"/>
          </w:tcPr>
          <w:p w14:paraId="1C6D047D"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w:t>
            </w:r>
          </w:p>
        </w:tc>
        <w:tc>
          <w:tcPr>
            <w:tcW w:w="512" w:type="pct"/>
          </w:tcPr>
          <w:p w14:paraId="1D51E3DD"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0.789</w:t>
            </w:r>
          </w:p>
        </w:tc>
      </w:tr>
      <w:tr w:rsidR="006458D4" w:rsidRPr="009C4834" w14:paraId="6575EB30" w14:textId="77777777" w:rsidTr="001D67EA">
        <w:trPr>
          <w:trHeight w:val="20"/>
        </w:trPr>
        <w:tc>
          <w:tcPr>
            <w:tcW w:w="673" w:type="pct"/>
          </w:tcPr>
          <w:p w14:paraId="1F91A8AF" w14:textId="77777777" w:rsidR="006458D4" w:rsidRPr="009C483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Fixed Effect</w:t>
            </w:r>
          </w:p>
        </w:tc>
        <w:tc>
          <w:tcPr>
            <w:tcW w:w="548" w:type="pct"/>
          </w:tcPr>
          <w:p w14:paraId="320114AC"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No</w:t>
            </w:r>
          </w:p>
        </w:tc>
        <w:tc>
          <w:tcPr>
            <w:tcW w:w="440" w:type="pct"/>
          </w:tcPr>
          <w:p w14:paraId="6E82CED1"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Yes</w:t>
            </w:r>
          </w:p>
        </w:tc>
        <w:tc>
          <w:tcPr>
            <w:tcW w:w="519" w:type="pct"/>
          </w:tcPr>
          <w:p w14:paraId="2B451AF1"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No</w:t>
            </w:r>
          </w:p>
        </w:tc>
        <w:tc>
          <w:tcPr>
            <w:tcW w:w="452" w:type="pct"/>
          </w:tcPr>
          <w:p w14:paraId="15276280" w14:textId="77777777" w:rsidR="006458D4" w:rsidRPr="009C483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Yes</w:t>
            </w:r>
          </w:p>
        </w:tc>
        <w:tc>
          <w:tcPr>
            <w:tcW w:w="621" w:type="pct"/>
          </w:tcPr>
          <w:p w14:paraId="22FA7EE6"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No</w:t>
            </w:r>
          </w:p>
        </w:tc>
        <w:tc>
          <w:tcPr>
            <w:tcW w:w="615" w:type="pct"/>
          </w:tcPr>
          <w:p w14:paraId="7EE31272"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Yes</w:t>
            </w:r>
          </w:p>
        </w:tc>
        <w:tc>
          <w:tcPr>
            <w:tcW w:w="620" w:type="pct"/>
          </w:tcPr>
          <w:p w14:paraId="684797E6"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No</w:t>
            </w:r>
          </w:p>
        </w:tc>
        <w:tc>
          <w:tcPr>
            <w:tcW w:w="512" w:type="pct"/>
          </w:tcPr>
          <w:p w14:paraId="1D9B2F65"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Yes</w:t>
            </w:r>
          </w:p>
        </w:tc>
      </w:tr>
      <w:tr w:rsidR="006458D4" w:rsidRPr="009C4834" w14:paraId="0159C51C" w14:textId="77777777" w:rsidTr="001D67EA">
        <w:trPr>
          <w:trHeight w:val="20"/>
        </w:trPr>
        <w:tc>
          <w:tcPr>
            <w:tcW w:w="673" w:type="pct"/>
          </w:tcPr>
          <w:p w14:paraId="77CC84CC" w14:textId="77777777" w:rsidR="006458D4" w:rsidRPr="009C4834" w:rsidRDefault="006458D4" w:rsidP="009C4834">
            <w:pPr>
              <w:autoSpaceDE w:val="0"/>
              <w:autoSpaceDN w:val="0"/>
              <w:adjustRightInd w:val="0"/>
              <w:ind w:right="18"/>
              <w:rPr>
                <w:rFonts w:ascii="Arial" w:hAnsi="Arial" w:cs="Arial"/>
                <w:color w:val="000000"/>
                <w:lang w:bidi="bn-IN"/>
              </w:rPr>
            </w:pPr>
            <w:r w:rsidRPr="009C4834">
              <w:rPr>
                <w:rFonts w:ascii="Arial" w:hAnsi="Arial" w:cs="Arial"/>
                <w:color w:val="000000"/>
                <w:lang w:bidi="bn-IN"/>
              </w:rPr>
              <w:t>Observations</w:t>
            </w:r>
          </w:p>
        </w:tc>
        <w:tc>
          <w:tcPr>
            <w:tcW w:w="548" w:type="pct"/>
          </w:tcPr>
          <w:p w14:paraId="7C0F89AE"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3476</w:t>
            </w:r>
          </w:p>
        </w:tc>
        <w:tc>
          <w:tcPr>
            <w:tcW w:w="440" w:type="pct"/>
          </w:tcPr>
          <w:p w14:paraId="7B21D6E9"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3476</w:t>
            </w:r>
          </w:p>
        </w:tc>
        <w:tc>
          <w:tcPr>
            <w:tcW w:w="519" w:type="pct"/>
          </w:tcPr>
          <w:p w14:paraId="5C3EAED7"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3476</w:t>
            </w:r>
          </w:p>
        </w:tc>
        <w:tc>
          <w:tcPr>
            <w:tcW w:w="452" w:type="pct"/>
          </w:tcPr>
          <w:p w14:paraId="6BC6543B"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3476</w:t>
            </w:r>
          </w:p>
        </w:tc>
        <w:tc>
          <w:tcPr>
            <w:tcW w:w="621" w:type="pct"/>
          </w:tcPr>
          <w:p w14:paraId="329A4B61"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3476</w:t>
            </w:r>
          </w:p>
        </w:tc>
        <w:tc>
          <w:tcPr>
            <w:tcW w:w="615" w:type="pct"/>
          </w:tcPr>
          <w:p w14:paraId="644A8A19"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3476</w:t>
            </w:r>
          </w:p>
        </w:tc>
        <w:tc>
          <w:tcPr>
            <w:tcW w:w="620" w:type="pct"/>
          </w:tcPr>
          <w:p w14:paraId="1AA0D453"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3476</w:t>
            </w:r>
          </w:p>
        </w:tc>
        <w:tc>
          <w:tcPr>
            <w:tcW w:w="512" w:type="pct"/>
          </w:tcPr>
          <w:p w14:paraId="26FE3591" w14:textId="77777777" w:rsidR="006458D4" w:rsidRPr="009C4834" w:rsidRDefault="006458D4" w:rsidP="009C4834">
            <w:pPr>
              <w:autoSpaceDE w:val="0"/>
              <w:autoSpaceDN w:val="0"/>
              <w:adjustRightInd w:val="0"/>
              <w:ind w:right="18"/>
              <w:jc w:val="center"/>
              <w:rPr>
                <w:rFonts w:ascii="Arial" w:hAnsi="Arial" w:cs="Arial"/>
                <w:color w:val="000000"/>
                <w:lang w:bidi="bn-IN"/>
              </w:rPr>
            </w:pPr>
            <w:r w:rsidRPr="009C4834">
              <w:rPr>
                <w:rFonts w:ascii="Arial" w:hAnsi="Arial" w:cs="Arial"/>
                <w:color w:val="000000"/>
                <w:lang w:bidi="bn-IN"/>
              </w:rPr>
              <w:t>3476</w:t>
            </w:r>
          </w:p>
        </w:tc>
      </w:tr>
    </w:tbl>
    <w:p w14:paraId="45C0EEB1" w14:textId="77777777" w:rsidR="00955C9D" w:rsidRPr="009C4834" w:rsidRDefault="00955C9D" w:rsidP="009C4834">
      <w:pPr>
        <w:ind w:right="18"/>
        <w:rPr>
          <w:rFonts w:ascii="Arial" w:hAnsi="Arial" w:cs="Arial"/>
        </w:rPr>
      </w:pPr>
      <w:r w:rsidRPr="009C4834">
        <w:rPr>
          <w:rFonts w:ascii="Arial" w:hAnsi="Arial" w:cs="Arial"/>
        </w:rPr>
        <w:t xml:space="preserve">Note(s): d=destination country, o= origin country. </w:t>
      </w:r>
    </w:p>
    <w:p w14:paraId="1591D924" w14:textId="77777777" w:rsidR="00955C9D" w:rsidRPr="009C4834" w:rsidRDefault="00955C9D" w:rsidP="009C4834">
      <w:pPr>
        <w:ind w:right="18"/>
        <w:rPr>
          <w:rFonts w:ascii="Arial" w:hAnsi="Arial" w:cs="Arial"/>
        </w:rPr>
      </w:pPr>
      <w:r w:rsidRPr="009C4834">
        <w:rPr>
          <w:rFonts w:ascii="Arial" w:hAnsi="Arial" w:cs="Arial"/>
        </w:rPr>
        <w:t>Standard Errors in parentheses</w:t>
      </w:r>
    </w:p>
    <w:p w14:paraId="1743EF94" w14:textId="77777777" w:rsidR="00955C9D" w:rsidRPr="009C4834" w:rsidRDefault="00955C9D" w:rsidP="009C4834">
      <w:pPr>
        <w:ind w:right="18"/>
        <w:rPr>
          <w:rFonts w:ascii="Arial" w:hAnsi="Arial" w:cs="Arial"/>
        </w:rPr>
      </w:pPr>
      <w:r w:rsidRPr="009C4834">
        <w:rPr>
          <w:rFonts w:ascii="Arial" w:hAnsi="Arial" w:cs="Arial"/>
        </w:rPr>
        <w:t>***p &lt; 0.01, **p &lt; 0.05, *p &lt; 0.1</w:t>
      </w:r>
    </w:p>
    <w:p w14:paraId="244ACEC5" w14:textId="77777777" w:rsidR="00955C9D" w:rsidRPr="009C4834" w:rsidRDefault="00955C9D" w:rsidP="009C4834">
      <w:pPr>
        <w:ind w:right="18"/>
        <w:rPr>
          <w:rFonts w:ascii="Arial" w:hAnsi="Arial" w:cs="Arial"/>
        </w:rPr>
      </w:pPr>
      <w:r w:rsidRPr="009C4834">
        <w:rPr>
          <w:rFonts w:ascii="Arial" w:hAnsi="Arial" w:cs="Arial"/>
          <w:b/>
          <w:bCs/>
          <w:i/>
          <w:iCs/>
        </w:rPr>
        <w:t>Source:</w:t>
      </w:r>
      <w:r w:rsidRPr="009C4834">
        <w:rPr>
          <w:rFonts w:ascii="Arial" w:hAnsi="Arial" w:cs="Arial"/>
        </w:rPr>
        <w:t xml:space="preserve"> </w:t>
      </w:r>
      <w:r w:rsidRPr="009C4834">
        <w:rPr>
          <w:rFonts w:ascii="Arial" w:hAnsi="Arial" w:cs="Arial"/>
          <w:b/>
          <w:bCs/>
          <w:i/>
          <w:iCs/>
        </w:rPr>
        <w:t>Authors Own calculation</w:t>
      </w:r>
    </w:p>
    <w:p w14:paraId="1BE09636" w14:textId="0C75C68B" w:rsidR="00F44987" w:rsidRPr="009C4834" w:rsidRDefault="00F44987" w:rsidP="009C4834">
      <w:pPr>
        <w:pStyle w:val="Body"/>
        <w:spacing w:after="0"/>
        <w:ind w:right="18"/>
        <w:rPr>
          <w:rFonts w:ascii="Arial" w:hAnsi="Arial" w:cs="Arial"/>
        </w:rPr>
      </w:pPr>
    </w:p>
    <w:p w14:paraId="145229AB" w14:textId="77777777" w:rsidR="00AB639D" w:rsidRPr="006D7601" w:rsidRDefault="00AB639D" w:rsidP="00AB639D">
      <w:pPr>
        <w:jc w:val="both"/>
        <w:rPr>
          <w:rFonts w:ascii="Arial" w:hAnsi="Arial" w:cs="Arial"/>
        </w:rPr>
      </w:pPr>
      <w:r w:rsidRPr="006D7601">
        <w:rPr>
          <w:rFonts w:ascii="Arial" w:hAnsi="Arial" w:cs="Arial"/>
        </w:rPr>
        <w:t xml:space="preserve">The destination country GDP (lngdp_d) is very significant in all the models, which establish a positive significant relationship between Bangladesh exports and the size of the economy of its trading partners. The coefficients vary between 0.476 (OLS FE) and 0.999 (PPML FE), indicating that an improvement in GDP of a partner by 1 percentage point can result in the increase in exports by 47.6 per cent to 99.9 per cent. And this is also consistent with the Gravity Model of Trade which says that bigger economies require more imports. This finding is supported by the previous research (e.g., Anamul Haque, Rahman, Mnasri and Nechi). The responsiveness of PPML results is high, although the lower OLS coefficients indicate that unobserved effects are explained by fixed effects. On the whole, the destination countries that are richer import more Bangladeshi goods particularly in large industries such as RMG and textiles. </w:t>
      </w:r>
    </w:p>
    <w:p w14:paraId="2F1550E0" w14:textId="5FA6BA28" w:rsidR="00AB639D" w:rsidRDefault="00AB639D" w:rsidP="00AB639D">
      <w:pPr>
        <w:spacing w:line="276" w:lineRule="auto"/>
        <w:ind w:right="18"/>
        <w:jc w:val="both"/>
        <w:rPr>
          <w:rFonts w:ascii="Arial" w:hAnsi="Arial" w:cs="Arial"/>
        </w:rPr>
      </w:pPr>
      <w:r w:rsidRPr="006D7601">
        <w:rPr>
          <w:rFonts w:ascii="Arial" w:hAnsi="Arial" w:cs="Arial"/>
        </w:rPr>
        <w:lastRenderedPageBreak/>
        <w:t xml:space="preserve">The coefficients of lndist (log of distance) are not consistent among models, with the estimated coefficient taking opposite directions. The estimation of OLS shows that the relation is negative (-0.514 to -0.432), thus, indicating that the export of Bangladesh decreases with distance, as expected based on the Gravity Model (longer distance implies the increase in trade costs). Conversely, PPML models reveal positive coefficients (0.447 to 0.849), which implies more exports to remote markets, which is surprising. This could be an indication of the high dependence of Bangladesh on high-income distant markets such as USA and EU where preferential trade agreements and well-organized buyer networks subsidize the distance costs. In the meantime, OLS findings highlight the significance of the distance factor, as such countries as India and ASEAN partners enjoy reduced transport cost and trade facilitation (Anamul Haque, 2022; Rahman, 2010; Mnasri and Nechi, 2021; Frede and Yetkiner, 2017; Bhattacharya &amp; Das, 2014). </w:t>
      </w:r>
    </w:p>
    <w:p w14:paraId="1A408652" w14:textId="77777777" w:rsidR="00AB639D" w:rsidRPr="006D7601" w:rsidRDefault="00AB639D" w:rsidP="00AB639D">
      <w:pPr>
        <w:spacing w:line="276" w:lineRule="auto"/>
        <w:ind w:right="18"/>
        <w:jc w:val="both"/>
        <w:rPr>
          <w:rFonts w:ascii="Arial" w:hAnsi="Arial" w:cs="Arial"/>
        </w:rPr>
      </w:pPr>
    </w:p>
    <w:p w14:paraId="5FCC6D5A" w14:textId="5E168451" w:rsidR="00AB639D" w:rsidRDefault="00AB639D" w:rsidP="00AB639D">
      <w:pPr>
        <w:spacing w:line="276" w:lineRule="auto"/>
        <w:ind w:right="18"/>
        <w:jc w:val="both"/>
        <w:rPr>
          <w:rFonts w:ascii="Arial" w:hAnsi="Arial" w:cs="Arial"/>
        </w:rPr>
      </w:pPr>
      <w:r w:rsidRPr="006D7601">
        <w:rPr>
          <w:rFonts w:ascii="Arial" w:hAnsi="Arial" w:cs="Arial"/>
        </w:rPr>
        <w:t>The findings indicate that lnpop_o (log of population of Bangladesh) positively and significantly impacts exports in all specifications, which brings up the fact that population growth promotes export growth. Whereas in OLS specifications, a one-percent rise in the population of Bangladesh leads to an approximately 24-percent rise in exports, in PPML specifications, the effect is not as large, yet positive (approximately 8.6 percent) (Anamul Haque, 2022). This probably captures the contribution of increasing labor force to enhancing the production capacity. Nevertheless, OLS fixed effects models reveal a positive and significant effect (approximately 9.4 per cent) on analysing the population of destination countries, indicating that exports grow with higher consumer bases abroad. Conversely, the estimates of PPML indicate that the effect is insignificant or slightly negative (-0.118 to -0.001) and in a nonlinear regime, the population of destination country might not be a strong factor in export growth.</w:t>
      </w:r>
    </w:p>
    <w:p w14:paraId="20DEF4A4" w14:textId="77777777" w:rsidR="00AB639D" w:rsidRPr="006D7601" w:rsidRDefault="00AB639D" w:rsidP="00AB639D">
      <w:pPr>
        <w:spacing w:line="276" w:lineRule="auto"/>
        <w:ind w:right="18"/>
        <w:jc w:val="both"/>
        <w:rPr>
          <w:rFonts w:ascii="Arial" w:hAnsi="Arial" w:cs="Arial"/>
        </w:rPr>
      </w:pPr>
    </w:p>
    <w:p w14:paraId="408BF694" w14:textId="0F51E40E" w:rsidR="00AB639D" w:rsidRDefault="00AB639D" w:rsidP="00AB639D">
      <w:pPr>
        <w:spacing w:line="276" w:lineRule="auto"/>
        <w:ind w:right="18"/>
        <w:jc w:val="both"/>
        <w:rPr>
          <w:rFonts w:ascii="Arial" w:hAnsi="Arial" w:cs="Arial"/>
        </w:rPr>
      </w:pPr>
      <w:r w:rsidRPr="006D7601">
        <w:rPr>
          <w:rFonts w:ascii="Arial" w:hAnsi="Arial" w:cs="Arial"/>
        </w:rPr>
        <w:t xml:space="preserve">The coefficient for common language is predominantly negative and significant, ranging from -0.298 to -0.365, in most models. This significant negativity underscores the substantial impact of common language on trade. In the OLS models, it consistently shows a negative value. In the PPML model settings, the coefficient often remains negative or insignificant; however, in Columns 6 and 8, the coefficients for common language are both negative and significant (-0.365 and -0.219 at the 1% and 5% levels respectively), indicating that trade would decrease by 36.5% and 21.9% when both countries share a common language which is opposite of the study done by Goswami et.al 2022 and Frede and Yetkiner, 2017. </w:t>
      </w:r>
    </w:p>
    <w:p w14:paraId="53A69ADE" w14:textId="77777777" w:rsidR="005E7231" w:rsidRPr="006D7601" w:rsidRDefault="005E7231" w:rsidP="00AB639D">
      <w:pPr>
        <w:spacing w:line="276" w:lineRule="auto"/>
        <w:ind w:right="18"/>
        <w:jc w:val="both"/>
        <w:rPr>
          <w:rFonts w:ascii="Arial" w:hAnsi="Arial" w:cs="Arial"/>
        </w:rPr>
      </w:pPr>
    </w:p>
    <w:p w14:paraId="547F6049" w14:textId="1EE4B2AD" w:rsidR="00AB639D" w:rsidRDefault="00AB639D" w:rsidP="00AB639D">
      <w:pPr>
        <w:spacing w:line="276" w:lineRule="auto"/>
        <w:ind w:right="18"/>
        <w:jc w:val="both"/>
        <w:rPr>
          <w:rFonts w:ascii="Arial" w:hAnsi="Arial" w:cs="Arial"/>
        </w:rPr>
      </w:pPr>
      <w:r w:rsidRPr="006D7601">
        <w:rPr>
          <w:rFonts w:ascii="Arial" w:hAnsi="Arial" w:cs="Arial"/>
        </w:rPr>
        <w:t>In the OLS models, the coefficient for landlocked countries is negative, varying between -0.228 and -0.194, which suggests that Bangladesh exports less to these nations. However, when looking at fixed-effects models, the coefficient becomes positive at 0.330, indicating that landlocked countries might still engage in considerable trade with Bangladesh. This positive coefficient underscores the importance of considering country-specific elements such as infrastructure quality, trade policies, and regional agreements in trade analysis. In the PPML models, the effect is either weak or insignificant, ranging from -0.178 to 0.192, which implies that the influence of being landlocked on trade is not consistently strong across various model specifications (Goswami et.al 2022).</w:t>
      </w:r>
    </w:p>
    <w:p w14:paraId="46A76C1E" w14:textId="7C45CEF0" w:rsidR="00AB639D" w:rsidRDefault="00AB639D" w:rsidP="00AB639D">
      <w:pPr>
        <w:spacing w:line="276" w:lineRule="auto"/>
        <w:ind w:right="18"/>
        <w:jc w:val="both"/>
        <w:rPr>
          <w:rFonts w:ascii="Arial" w:hAnsi="Arial" w:cs="Arial"/>
        </w:rPr>
      </w:pPr>
    </w:p>
    <w:p w14:paraId="359DA62A" w14:textId="2B4271C3" w:rsidR="00AB639D" w:rsidRDefault="00AB639D" w:rsidP="00AB639D">
      <w:pPr>
        <w:spacing w:line="276" w:lineRule="auto"/>
        <w:ind w:right="18"/>
        <w:jc w:val="both"/>
        <w:rPr>
          <w:rFonts w:ascii="Arial" w:hAnsi="Arial" w:cs="Arial"/>
        </w:rPr>
      </w:pPr>
      <w:r w:rsidRPr="006D7601">
        <w:rPr>
          <w:rFonts w:ascii="Arial" w:hAnsi="Arial" w:cs="Arial"/>
        </w:rPr>
        <w:t xml:space="preserve">The coefficient for island countries is both positive (0.321 to 0.612) and statistically significant, indicating that Bangladesh has higher export levels to island nations. </w:t>
      </w:r>
      <w:r w:rsidRPr="004F0ADE">
        <w:rPr>
          <w:rFonts w:ascii="Arial" w:hAnsi="Arial" w:cs="Arial"/>
        </w:rPr>
        <w:t xml:space="preserve">The effect is most pronounced in the PPML models (0.612, 0.607), suggesting that when zero trade flows and heteroskedasticity are considered, the beneficial impact of being an island nation on trade becomes more evident, which concludes that having FTA or PTA greatly impact the both island countries and Bangladesh this may be attributed to island nations relying heavily on imports for essential goods, leading to increased dependence on external trade partners like Bangladesh. </w:t>
      </w:r>
    </w:p>
    <w:p w14:paraId="2F131DBB" w14:textId="77777777" w:rsidR="00AB639D" w:rsidRPr="004F0ADE" w:rsidRDefault="00AB639D" w:rsidP="00AB639D">
      <w:pPr>
        <w:spacing w:line="276" w:lineRule="auto"/>
        <w:ind w:right="18"/>
        <w:jc w:val="both"/>
        <w:rPr>
          <w:rFonts w:ascii="Arial" w:hAnsi="Arial" w:cs="Arial"/>
          <w:color w:val="FF0000"/>
        </w:rPr>
      </w:pPr>
    </w:p>
    <w:p w14:paraId="7BFC6455" w14:textId="390E461A" w:rsidR="00AB639D" w:rsidRDefault="00AB639D" w:rsidP="00AB639D">
      <w:pPr>
        <w:spacing w:line="276" w:lineRule="auto"/>
        <w:ind w:right="18"/>
        <w:jc w:val="both"/>
        <w:rPr>
          <w:rFonts w:ascii="Arial" w:hAnsi="Arial" w:cs="Arial"/>
        </w:rPr>
      </w:pPr>
      <w:r w:rsidRPr="006D7601">
        <w:rPr>
          <w:rFonts w:ascii="Arial" w:hAnsi="Arial" w:cs="Arial"/>
        </w:rPr>
        <w:t>The contiguity (shared land borders) coefficient is negative and significant in OLS specifications (-0.633 to -0.821) implying that Bangladesh engages in less trade with its neighboring countries such as India and Myanmar. Such a counterintuitive finding could be related to political tensions,</w:t>
      </w:r>
      <w:r>
        <w:rPr>
          <w:rFonts w:ascii="Arial" w:hAnsi="Arial" w:cs="Arial"/>
        </w:rPr>
        <w:t xml:space="preserve"> </w:t>
      </w:r>
      <w:r w:rsidRPr="006D7601">
        <w:rPr>
          <w:rFonts w:ascii="Arial" w:hAnsi="Arial" w:cs="Arial"/>
        </w:rPr>
        <w:t>non-tariff barriers, complicated trade regulations, and high amount of informal trade that is not reflected in official data. Also, redundant production facilities can make trade less because of competition than complementarity. Conversely, the PPML models have positive, albeit, statistically insignificant coefficients (0.038 to 0.196) indicating that shared borders, in itself, do not appear to be important in promoting formal trade, after controlling zero-trade flows and structural differences. Then it means that the logistic and regulatory frictions can neutralize the geographic benefits of contiguity. Additionally, informal trading pathways, which play a significant role in South Asia, may not be adequately captured in the trade data utilized for estimation (Goswami et.al 2022).</w:t>
      </w:r>
      <w:r>
        <w:rPr>
          <w:rFonts w:ascii="Arial" w:hAnsi="Arial" w:cs="Arial"/>
        </w:rPr>
        <w:t xml:space="preserve"> </w:t>
      </w:r>
    </w:p>
    <w:p w14:paraId="73A432C0" w14:textId="77777777" w:rsidR="00AB639D" w:rsidRDefault="00AB639D" w:rsidP="00AB639D">
      <w:pPr>
        <w:spacing w:line="276" w:lineRule="auto"/>
        <w:ind w:right="18"/>
        <w:jc w:val="both"/>
        <w:rPr>
          <w:rFonts w:ascii="Arial" w:hAnsi="Arial" w:cs="Arial"/>
        </w:rPr>
      </w:pPr>
    </w:p>
    <w:p w14:paraId="1CA2113C" w14:textId="208B7DE9" w:rsidR="00AB639D" w:rsidRDefault="00AB639D" w:rsidP="00AB639D">
      <w:pPr>
        <w:spacing w:line="276" w:lineRule="auto"/>
        <w:ind w:right="18"/>
        <w:jc w:val="both"/>
        <w:rPr>
          <w:rFonts w:ascii="Arial" w:hAnsi="Arial" w:cs="Arial"/>
          <w:strike/>
        </w:rPr>
      </w:pPr>
      <w:r w:rsidRPr="004F0703">
        <w:rPr>
          <w:rFonts w:ascii="Arial" w:hAnsi="Arial" w:cs="Arial"/>
        </w:rPr>
        <w:lastRenderedPageBreak/>
        <w:t>The coefficient for part_agreement in OLS setting is 0.289, with a standard error of 0.079, signifying a positive and statistically significant effect (at the 1% level) on Bangladesh`s exports. This implies that possessing any trade agreements with economic partners boosts exports about 28.9%. In the PPML framework, Model 7 shows a coefficient of 0.625 (significant at the 1% level) along with a standard error of 0.157, while Model 8 indicates an even greater effect, exhibiting a coefficient of 0.764 and a standard error of 0.122 (also significant at 1%). This suggests that having part of any economic partnership is expected to increase trade by approximately 63% and 76%.</w:t>
      </w:r>
      <w:r w:rsidRPr="004F0703">
        <w:rPr>
          <w:rFonts w:ascii="Arial" w:hAnsi="Arial" w:cs="Arial"/>
          <w:strike/>
        </w:rPr>
        <w:t xml:space="preserve"> </w:t>
      </w:r>
    </w:p>
    <w:p w14:paraId="226A2279" w14:textId="77777777" w:rsidR="00AB639D" w:rsidRPr="004F0703" w:rsidRDefault="00AB639D" w:rsidP="00AB639D">
      <w:pPr>
        <w:spacing w:line="276" w:lineRule="auto"/>
        <w:ind w:right="18"/>
        <w:jc w:val="both"/>
        <w:rPr>
          <w:rFonts w:ascii="Arial" w:hAnsi="Arial" w:cs="Arial"/>
          <w:strike/>
        </w:rPr>
      </w:pPr>
    </w:p>
    <w:p w14:paraId="107BE41F" w14:textId="77777777" w:rsidR="00AB639D" w:rsidRPr="004F0703" w:rsidRDefault="00AB639D" w:rsidP="00AB639D">
      <w:pPr>
        <w:spacing w:line="276" w:lineRule="auto"/>
        <w:ind w:right="18"/>
        <w:jc w:val="both"/>
        <w:rPr>
          <w:rFonts w:ascii="Arial" w:hAnsi="Arial" w:cs="Arial"/>
          <w:sz w:val="18"/>
          <w:szCs w:val="18"/>
        </w:rPr>
      </w:pPr>
      <w:r w:rsidRPr="004F0703">
        <w:rPr>
          <w:rFonts w:ascii="Arial" w:hAnsi="Arial" w:cs="Arial"/>
        </w:rPr>
        <w:t>The empirical exercise based on the preferred estimator of PPML fixed effects as Silva and Tenreyro (2006) suggest illuminates the next practising determinants of export performance of Bangladesh, namely, destination country GDP, distance, population and trade agreements. The finding that Bangladesh sells more to the richer countries is consistent across both OLS and PPML models as the correlation between GDP and exports are significantly positive. The PPML model which is robust to heteroskedasticity as well as zero trade flows strengthens the position that growth in exports is demand dominated. Whereas in OLS specifications distance has a negative effect on exports (-43.2 to -51.4 percent), in the PPML estimates we surprisingly find a positive effect, which reflects that Bangladesh has to offer its goods to distant, high-income markets such as the USA and the EU, but trade preferences and well-established buyer networks make this possible. Surprisingly, a common language has a negative impact on trade perhaps due to the fact that the biggest export market of Bangladesh does not share language with it whereas linguistically similar countries have formal restrictions on trade (with Bangladesh). On the same note, contiguity displays major negative impact indicating that geographical closeness does not guarantee increased trade because of regional barriers and informal trading behaviours. Comprehensively, the results support the fact that FTAs, PTAs, or other agreements of kind have a considerable effect on improving trade, which is a crucial element of economic expansion.</w:t>
      </w:r>
    </w:p>
    <w:p w14:paraId="6665FBAF" w14:textId="77777777" w:rsidR="00AA72EA" w:rsidRPr="00B57DF4" w:rsidRDefault="00AA72EA" w:rsidP="00B57DF4">
      <w:pPr>
        <w:spacing w:line="276" w:lineRule="auto"/>
        <w:ind w:right="-694"/>
        <w:jc w:val="both"/>
        <w:rPr>
          <w:rFonts w:ascii="Arial" w:hAnsi="Arial" w:cs="Arial"/>
          <w:sz w:val="22"/>
          <w:szCs w:val="22"/>
        </w:rPr>
      </w:pPr>
    </w:p>
    <w:p w14:paraId="6C9AAF5B" w14:textId="368C0383" w:rsidR="005C6D39" w:rsidRPr="00962BC7" w:rsidRDefault="002D7E21" w:rsidP="00962BC7">
      <w:pPr>
        <w:pStyle w:val="ConcHead"/>
        <w:spacing w:after="0"/>
        <w:jc w:val="both"/>
        <w:rPr>
          <w:rFonts w:ascii="Arial" w:hAnsi="Arial" w:cs="Arial"/>
        </w:rPr>
      </w:pPr>
      <w:r>
        <w:rPr>
          <w:rFonts w:ascii="Arial" w:hAnsi="Arial" w:cs="Arial"/>
        </w:rPr>
        <w:t>3</w:t>
      </w:r>
      <w:r w:rsidR="005C6D39" w:rsidRPr="00962BC7">
        <w:rPr>
          <w:rFonts w:ascii="Arial" w:hAnsi="Arial" w:cs="Arial"/>
        </w:rPr>
        <w:t>.</w:t>
      </w:r>
      <w:r>
        <w:rPr>
          <w:rFonts w:ascii="Arial" w:hAnsi="Arial" w:cs="Arial"/>
        </w:rPr>
        <w:t>1</w:t>
      </w:r>
      <w:r w:rsidR="005C6D39" w:rsidRPr="00962BC7">
        <w:rPr>
          <w:rFonts w:ascii="Arial" w:hAnsi="Arial" w:cs="Arial"/>
        </w:rPr>
        <w:t xml:space="preserve"> </w:t>
      </w:r>
      <w:r w:rsidR="00655BFE">
        <w:rPr>
          <w:rFonts w:ascii="Arial" w:hAnsi="Arial" w:cs="Arial"/>
          <w:caps w:val="0"/>
        </w:rPr>
        <w:t>R</w:t>
      </w:r>
      <w:r w:rsidR="007A491F" w:rsidRPr="00962BC7">
        <w:rPr>
          <w:rFonts w:ascii="Arial" w:hAnsi="Arial" w:cs="Arial"/>
          <w:caps w:val="0"/>
        </w:rPr>
        <w:t xml:space="preserve">obustness of the model </w:t>
      </w:r>
    </w:p>
    <w:p w14:paraId="7C1E0CF5" w14:textId="77777777" w:rsidR="00EB07EE" w:rsidRPr="009C4834" w:rsidRDefault="00EB07EE" w:rsidP="009C4834">
      <w:pPr>
        <w:spacing w:line="276" w:lineRule="auto"/>
        <w:ind w:right="18"/>
        <w:jc w:val="both"/>
        <w:rPr>
          <w:rFonts w:ascii="Arial" w:hAnsi="Arial" w:cs="Arial"/>
        </w:rPr>
      </w:pPr>
      <w:r w:rsidRPr="009C4834">
        <w:rPr>
          <w:rFonts w:ascii="Arial" w:hAnsi="Arial" w:cs="Arial"/>
        </w:rPr>
        <w:t xml:space="preserve">In this section, we also examine the reliability of the results obtained. There are various methods to assess robustness in the empirical gravity framework. In this study, we use multilateral resistance terms, which refer to influencing trade relationships with other countries, and we use them to enhance the robustness of the gravity model. This approach is supported by many scholars, such as Anderson and Van Wincoop (2003), Baldwin and Taglioni (2006), Anderson and Yotov (2016), and Feenstra (2016), who use it profoundly in their studies. The comprehensive analysis in our study reflects the insights of these researchers. The study done by Anderson and Van (2003) shows that bilateral trade agreements, alongside conventional and country-specific trade variables, are very influential attributes for the accessibility of trading partners.  Failing to address such accessibility concerns results in biased outcomes, regardless of the analytical specification chosen. Various methods can control for multilateral trade resistance; however, we mainly utilize the approach employed by Dall'Erba et al. (2021), Ciuriak et al. (2020), and Feenstra (2016). The technique highlighted in these studies is referred to as the pairwise time-fixed effects (time-FE). </w:t>
      </w:r>
    </w:p>
    <w:p w14:paraId="27E40FD6" w14:textId="77777777" w:rsidR="00EB07EE" w:rsidRPr="009C4834" w:rsidRDefault="00EB07EE" w:rsidP="007C42C5">
      <w:pPr>
        <w:spacing w:line="276" w:lineRule="auto"/>
        <w:ind w:right="-694"/>
        <w:jc w:val="both"/>
        <w:rPr>
          <w:rFonts w:ascii="Arial" w:hAnsi="Arial" w:cs="Arial"/>
        </w:rPr>
      </w:pPr>
    </w:p>
    <w:p w14:paraId="73404FE4" w14:textId="77777777" w:rsidR="00EB07EE" w:rsidRPr="009C4834" w:rsidRDefault="00EB07EE" w:rsidP="00B508A3">
      <w:pPr>
        <w:spacing w:line="276" w:lineRule="auto"/>
        <w:ind w:right="18"/>
        <w:jc w:val="both"/>
        <w:rPr>
          <w:rFonts w:ascii="Arial" w:hAnsi="Arial" w:cs="Arial"/>
        </w:rPr>
      </w:pPr>
      <w:r w:rsidRPr="009C4834">
        <w:rPr>
          <w:rFonts w:ascii="Arial" w:hAnsi="Arial" w:cs="Arial"/>
        </w:rPr>
        <w:t>Feenstra (2016) contends that time-FE captures multilateral resistance and addresses the unobserved heterogeneous effects specific to countries due to diverse national policies, institutions, and cultural dynamics, which cannot be sufficiently identified by the remoteness index put forth by Anderson and Van (2003) and Goswami et al. (2022). The study finds that Bangladesh primarily exports with an intensive margin, but she lacks export diversifications. In general, distance is generally considered a hindrance to trade, though Bangladesh's exports are predominantly concentrated with major export destinations, i.e., the USA, Germany, the United Kingdom, Spain, France and Poland, as per the data. These findings align with a study done by Anamul Haque, 2022. Additionally, the findings exhibit that Bangladesh's exports show a positive relationship with trade agreements, as Bangladesh enjoys the Generalised Scheme of Preferences (GSP) with the EU and other associated agreements with other countries and economic blocks, i.e., BIMSTEC, SAFTA, APTA, EU PTA, OIC, and D-8.</w:t>
      </w:r>
    </w:p>
    <w:p w14:paraId="1D4E7D18" w14:textId="38C39B64" w:rsidR="00F233AD" w:rsidRDefault="00F233AD" w:rsidP="00441B6F">
      <w:pPr>
        <w:pStyle w:val="Body"/>
        <w:spacing w:after="0"/>
        <w:rPr>
          <w:rFonts w:ascii="Arial" w:hAnsi="Arial" w:cs="Arial"/>
        </w:rPr>
      </w:pPr>
    </w:p>
    <w:p w14:paraId="4997AB4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41E8B2B" w14:textId="5B7393DA" w:rsidR="00790ADA" w:rsidRDefault="00360A7B" w:rsidP="00441B6F">
      <w:pPr>
        <w:pStyle w:val="Body"/>
        <w:spacing w:after="0"/>
        <w:rPr>
          <w:rFonts w:ascii="Arial" w:hAnsi="Arial" w:cs="Arial"/>
        </w:rPr>
      </w:pPr>
      <w:r w:rsidRPr="00360A7B">
        <w:rPr>
          <w:rFonts w:ascii="Arial" w:hAnsi="Arial" w:cs="Arial"/>
        </w:rPr>
        <w:t>Bangladesh is projected to attain Developing Country status by 2026</w:t>
      </w:r>
      <w:r w:rsidR="00B3794D">
        <w:rPr>
          <w:rFonts w:ascii="Arial" w:hAnsi="Arial" w:cs="Arial"/>
        </w:rPr>
        <w:t xml:space="preserve"> and hence i</w:t>
      </w:r>
      <w:r w:rsidRPr="00360A7B">
        <w:rPr>
          <w:rFonts w:ascii="Arial" w:hAnsi="Arial" w:cs="Arial"/>
        </w:rPr>
        <w:t xml:space="preserve">t is crucial for policymakers to evaluate and engage in both bilateral and multilateral agreements, such as FTAs, PTAs, and RTAs, or to join an economic group to enhance sustainable export competitiveness. The findings of the study indicate that Bangladesh exerts a significant influence on island nations, ranging from a 32.1% to a 61.2% increase in exports, as they have greater import dependency, presenting significant export potentiality for Bangladesh. The study findings suggest that Bangladesh`s exports are influenced by the size of the economy, regional or international trade agreements, or the development of market connections </w:t>
      </w:r>
      <w:r w:rsidRPr="00360A7B">
        <w:rPr>
          <w:rFonts w:ascii="Arial" w:hAnsi="Arial" w:cs="Arial"/>
        </w:rPr>
        <w:lastRenderedPageBreak/>
        <w:t xml:space="preserve">rather than geographical proximity. These findings also highlight the importance of implementing strategic trade policies aimed at high-income markets, improving trade facilitation, and diversifying both export products and markets to ensure sustained long-term growth. Additionally, analysis at the sector level could abet policymakers in suggesting specific trade policies that promote sustainable economic growth while reducing distortions in the export and import markets. Grasping sector-specific trade potential would also be a great role for Bangladesh in preparing for LDC graduation and navigating new tariff structures and market access conditions for Bangladesh. This would help policymakers more rigorously evaluate how other countries engage in other trading associations or blocks, especially where trade blocks comprise developed and developing countries. By studying these different factors and how they work together, future research could better understand the lasting impact of Bangladesh’s participation in both bilateral and multilateral agreements and global value chains.   </w:t>
      </w:r>
    </w:p>
    <w:p w14:paraId="7BFC09ED" w14:textId="04281F32" w:rsidR="009A30C5" w:rsidRDefault="009A30C5" w:rsidP="00441B6F">
      <w:pPr>
        <w:pStyle w:val="Body"/>
        <w:spacing w:after="0"/>
        <w:rPr>
          <w:rFonts w:ascii="Arial" w:hAnsi="Arial" w:cs="Arial"/>
        </w:rPr>
      </w:pPr>
    </w:p>
    <w:p w14:paraId="51E2F964" w14:textId="77777777" w:rsidR="00371FB6" w:rsidRPr="00371FB6" w:rsidRDefault="00371FB6" w:rsidP="00441B6F">
      <w:pPr>
        <w:pStyle w:val="ReferHead"/>
        <w:spacing w:after="0"/>
        <w:jc w:val="both"/>
        <w:rPr>
          <w:rFonts w:ascii="Arial" w:hAnsi="Arial" w:cs="Arial"/>
          <w:bCs/>
        </w:rPr>
      </w:pPr>
    </w:p>
    <w:p w14:paraId="284DC1A8" w14:textId="11465B71" w:rsidR="005C784C" w:rsidRDefault="005C784C" w:rsidP="00441B6F">
      <w:pPr>
        <w:pStyle w:val="ReferHead"/>
        <w:spacing w:after="0"/>
        <w:jc w:val="both"/>
        <w:rPr>
          <w:rFonts w:ascii="Arial" w:hAnsi="Arial" w:cs="Arial"/>
          <w:bCs/>
        </w:rPr>
      </w:pPr>
    </w:p>
    <w:p w14:paraId="4A0B2512" w14:textId="77777777" w:rsidR="005C784C" w:rsidRPr="002B685A" w:rsidRDefault="005C784C" w:rsidP="00441B6F">
      <w:pPr>
        <w:pStyle w:val="ReferHead"/>
        <w:spacing w:after="0"/>
        <w:jc w:val="both"/>
        <w:rPr>
          <w:rFonts w:ascii="Arial" w:hAnsi="Arial" w:cs="Arial"/>
          <w:bCs/>
        </w:rPr>
      </w:pPr>
    </w:p>
    <w:p w14:paraId="6D69B4A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B447690" w14:textId="77777777" w:rsidR="00790ADA" w:rsidRPr="00FB3A86" w:rsidRDefault="00790ADA" w:rsidP="00441B6F">
      <w:pPr>
        <w:pStyle w:val="ReferHead"/>
        <w:spacing w:after="0"/>
        <w:jc w:val="both"/>
        <w:rPr>
          <w:rFonts w:ascii="Arial" w:hAnsi="Arial" w:cs="Arial"/>
        </w:rPr>
      </w:pPr>
    </w:p>
    <w:p w14:paraId="3F0F9160"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Ahmed, N. (2000). Export response to trade liberalization in Bangladesh: A cointegration analysis. </w:t>
      </w:r>
      <w:r w:rsidRPr="00C85C9C">
        <w:rPr>
          <w:rStyle w:val="Emphasis"/>
          <w:rFonts w:ascii="Arial" w:hAnsi="Arial" w:cs="Arial"/>
        </w:rPr>
        <w:t>Applied Economics, 32(8),</w:t>
      </w:r>
      <w:r w:rsidRPr="00C85C9C">
        <w:rPr>
          <w:rFonts w:ascii="Arial" w:hAnsi="Arial" w:cs="Arial"/>
        </w:rPr>
        <w:t xml:space="preserve"> 1077-1084. https://doi.org/10.1080/000368400322138</w:t>
      </w:r>
    </w:p>
    <w:p w14:paraId="5348D389"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Anderson, J. E. (1979). A theoretical foundation for the gravity equation. </w:t>
      </w:r>
      <w:r w:rsidRPr="00C85C9C">
        <w:rPr>
          <w:rStyle w:val="Emphasis"/>
          <w:rFonts w:ascii="Arial" w:hAnsi="Arial" w:cs="Arial"/>
        </w:rPr>
        <w:t>The American Economic Review, 69(1),</w:t>
      </w:r>
      <w:r w:rsidRPr="00C85C9C">
        <w:rPr>
          <w:rFonts w:ascii="Arial" w:hAnsi="Arial" w:cs="Arial"/>
        </w:rPr>
        <w:t xml:space="preserve"> 106-116.</w:t>
      </w:r>
    </w:p>
    <w:p w14:paraId="2BE8096F" w14:textId="77777777" w:rsidR="00C85C9C" w:rsidRPr="00C85C9C" w:rsidRDefault="00C85C9C" w:rsidP="00C85C9C">
      <w:pPr>
        <w:spacing w:after="120" w:line="276" w:lineRule="auto"/>
        <w:ind w:left="360"/>
        <w:rPr>
          <w:rStyle w:val="Hyperlink"/>
          <w:rFonts w:ascii="Arial" w:hAnsi="Arial" w:cs="Arial"/>
        </w:rPr>
      </w:pPr>
      <w:r w:rsidRPr="00C85C9C">
        <w:rPr>
          <w:rFonts w:ascii="Arial" w:hAnsi="Arial" w:cs="Arial"/>
        </w:rPr>
        <w:t xml:space="preserve">Anderson, J. E., &amp; Van Wincoop, E. (2003). Gravity with gravitas: A solution to the border puzzle. </w:t>
      </w:r>
      <w:r w:rsidRPr="00C85C9C">
        <w:rPr>
          <w:rStyle w:val="Emphasis"/>
          <w:rFonts w:ascii="Arial" w:hAnsi="Arial" w:cs="Arial"/>
        </w:rPr>
        <w:t>American Economic Review, 93(1),</w:t>
      </w:r>
      <w:r w:rsidRPr="00C85C9C">
        <w:rPr>
          <w:rFonts w:ascii="Arial" w:hAnsi="Arial" w:cs="Arial"/>
        </w:rPr>
        <w:t xml:space="preserve"> 170-192. https://doi.org/10.1257/000282803321455214</w:t>
      </w:r>
    </w:p>
    <w:p w14:paraId="7FBEB8EB" w14:textId="77777777" w:rsidR="00C85C9C" w:rsidRPr="00C85C9C" w:rsidRDefault="00C85C9C" w:rsidP="00C85C9C">
      <w:pPr>
        <w:spacing w:after="120" w:line="276" w:lineRule="auto"/>
        <w:ind w:left="360"/>
        <w:rPr>
          <w:rFonts w:ascii="Arial" w:hAnsi="Arial" w:cs="Arial"/>
        </w:rPr>
      </w:pPr>
      <w:r w:rsidRPr="00C85C9C">
        <w:rPr>
          <w:rFonts w:ascii="Arial" w:hAnsi="Arial" w:cs="Arial"/>
        </w:rPr>
        <w:t>Arisman., Al Arif, M. N. R., &amp; Harahap, D. (2021). Trade Agreement and Economic Growth: Evidence in D-8 Countries. Signifikan: Jurnal Ilmu Ekonomi, 10 (2), 311-324. https://doi.org/10.15408/sjie.v10i2.21457.</w:t>
      </w:r>
    </w:p>
    <w:p w14:paraId="52C90828"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Baier, S. L., &amp; Bergstrand, J. H. (2007). Do free trade agreements actually increase members’ international trade? </w:t>
      </w:r>
      <w:r w:rsidRPr="00C85C9C">
        <w:rPr>
          <w:rStyle w:val="Emphasis"/>
          <w:rFonts w:ascii="Arial" w:hAnsi="Arial" w:cs="Arial"/>
        </w:rPr>
        <w:t>Journal of International Economics, 71,</w:t>
      </w:r>
      <w:r w:rsidRPr="00C85C9C">
        <w:rPr>
          <w:rFonts w:ascii="Arial" w:hAnsi="Arial" w:cs="Arial"/>
        </w:rPr>
        <w:t xml:space="preserve"> 72–95.</w:t>
      </w:r>
    </w:p>
    <w:p w14:paraId="054AB8E2"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Baldwin, R. E. (1993). The potential for trade between the countries of EFTA and Central and Eastern Europe. </w:t>
      </w:r>
      <w:r w:rsidRPr="00C85C9C">
        <w:rPr>
          <w:rStyle w:val="Emphasis"/>
          <w:rFonts w:ascii="Arial" w:hAnsi="Arial" w:cs="Arial"/>
        </w:rPr>
        <w:t>CEPR Discussion Paper No. 853.</w:t>
      </w:r>
    </w:p>
    <w:p w14:paraId="1EA35B1E"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Baldwin, R. E. (1994). </w:t>
      </w:r>
      <w:r w:rsidRPr="00C85C9C">
        <w:rPr>
          <w:rStyle w:val="Emphasis"/>
          <w:rFonts w:ascii="Arial" w:hAnsi="Arial" w:cs="Arial"/>
        </w:rPr>
        <w:t>Towards an integrated Europe.</w:t>
      </w:r>
      <w:r w:rsidRPr="00C85C9C">
        <w:rPr>
          <w:rFonts w:ascii="Arial" w:hAnsi="Arial" w:cs="Arial"/>
        </w:rPr>
        <w:t xml:space="preserve"> CEPR, London.</w:t>
      </w:r>
    </w:p>
    <w:p w14:paraId="7BEB5D65"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Baldwin, R. E. (1997). The causes of regionalism. </w:t>
      </w:r>
      <w:r w:rsidRPr="00C85C9C">
        <w:rPr>
          <w:rStyle w:val="Emphasis"/>
          <w:rFonts w:ascii="Arial" w:hAnsi="Arial" w:cs="Arial"/>
        </w:rPr>
        <w:t>The World Economy, 20,</w:t>
      </w:r>
      <w:r w:rsidRPr="00C85C9C">
        <w:rPr>
          <w:rFonts w:ascii="Arial" w:hAnsi="Arial" w:cs="Arial"/>
        </w:rPr>
        <w:t xml:space="preserve"> 865–888.</w:t>
      </w:r>
    </w:p>
    <w:p w14:paraId="0F6AE12F"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Baldwin, R., &amp; Taglioni, D. (2006). Gravity for dummies and dummies for gravity equations. </w:t>
      </w:r>
      <w:r w:rsidRPr="00C85C9C">
        <w:rPr>
          <w:rStyle w:val="Emphasis"/>
          <w:rFonts w:ascii="Arial" w:hAnsi="Arial" w:cs="Arial"/>
        </w:rPr>
        <w:t>NBER Working Paper No. 12516.</w:t>
      </w:r>
      <w:r w:rsidRPr="00C85C9C">
        <w:rPr>
          <w:rFonts w:ascii="Arial" w:hAnsi="Arial" w:cs="Arial"/>
        </w:rPr>
        <w:t xml:space="preserve"> https://www.nber.org/papers/w12516</w:t>
      </w:r>
    </w:p>
    <w:p w14:paraId="124D745C"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Barua, U., &amp; Ansary, M. A. (2017). Workplace safety in Bangladesh ready-made garment sector: 3 years after the Rana Plaza collapse. </w:t>
      </w:r>
      <w:r w:rsidRPr="00C85C9C">
        <w:rPr>
          <w:rStyle w:val="Emphasis"/>
          <w:rFonts w:ascii="Arial" w:hAnsi="Arial" w:cs="Arial"/>
        </w:rPr>
        <w:t>International Journal of Occupational Safety and Ergonomics, 23(4),</w:t>
      </w:r>
      <w:r w:rsidRPr="00C85C9C">
        <w:rPr>
          <w:rFonts w:ascii="Arial" w:hAnsi="Arial" w:cs="Arial"/>
        </w:rPr>
        <w:t xml:space="preserve"> 578-583. https://doi.org/10.1080/10803548.2016.1251150</w:t>
      </w:r>
    </w:p>
    <w:p w14:paraId="4075AE4F"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Basu Das, S. (2015). The Regional Comprehensive Economic Partnership: New paradigm or old wine in a new bottle? </w:t>
      </w:r>
      <w:r w:rsidRPr="00C85C9C">
        <w:rPr>
          <w:rStyle w:val="Emphasis"/>
          <w:rFonts w:ascii="Arial" w:hAnsi="Arial" w:cs="Arial"/>
        </w:rPr>
        <w:t>Asian-Pacific Economic Literature, 29(2),</w:t>
      </w:r>
      <w:r w:rsidRPr="00C85C9C">
        <w:rPr>
          <w:rFonts w:ascii="Arial" w:hAnsi="Arial" w:cs="Arial"/>
        </w:rPr>
        <w:t xml:space="preserve"> 68-84.</w:t>
      </w:r>
    </w:p>
    <w:p w14:paraId="7DACF213"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Bergstrand, J. H. (1985). The gravity equation in international trade: Some microeconomic foundations and empirical evidence. </w:t>
      </w:r>
      <w:r w:rsidRPr="00C85C9C">
        <w:rPr>
          <w:rStyle w:val="Emphasis"/>
          <w:rFonts w:ascii="Arial" w:hAnsi="Arial" w:cs="Arial"/>
        </w:rPr>
        <w:t>The Review of Economics and Statistics, 67(3),</w:t>
      </w:r>
      <w:r w:rsidRPr="00C85C9C">
        <w:rPr>
          <w:rFonts w:ascii="Arial" w:hAnsi="Arial" w:cs="Arial"/>
        </w:rPr>
        <w:t xml:space="preserve"> 474-481. https://doi.org/10.2307/1925976</w:t>
      </w:r>
    </w:p>
    <w:p w14:paraId="6ECFB9E3"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Bergstrand, J. H. (1989). The generalized gravity equation, monopolistic competition, and the factor-proportions theory in international trade. </w:t>
      </w:r>
      <w:r w:rsidRPr="00C85C9C">
        <w:rPr>
          <w:rStyle w:val="Emphasis"/>
          <w:rFonts w:ascii="Arial" w:hAnsi="Arial" w:cs="Arial"/>
        </w:rPr>
        <w:t>The Review of Economics and Statistics, 71(1),</w:t>
      </w:r>
      <w:r w:rsidRPr="00C85C9C">
        <w:rPr>
          <w:rFonts w:ascii="Arial" w:hAnsi="Arial" w:cs="Arial"/>
        </w:rPr>
        <w:t xml:space="preserve"> 143-153. https://doi.org/10.2307/1928061</w:t>
      </w:r>
    </w:p>
    <w:p w14:paraId="321B2464"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Bergstrand, J. H. (1990). The Heckscher-Ohlin-Samuelson model, the Linder hypothesis, and the determinants of bilateral intra-industry trade. </w:t>
      </w:r>
      <w:r w:rsidRPr="00C85C9C">
        <w:rPr>
          <w:rStyle w:val="Emphasis"/>
          <w:rFonts w:ascii="Arial" w:hAnsi="Arial" w:cs="Arial"/>
        </w:rPr>
        <w:t>The Economic Journal, 100(403),</w:t>
      </w:r>
      <w:r w:rsidRPr="00C85C9C">
        <w:rPr>
          <w:rFonts w:ascii="Arial" w:hAnsi="Arial" w:cs="Arial"/>
        </w:rPr>
        <w:t xml:space="preserve"> 1216-1229. https://doi.org/10.2307/2233969</w:t>
      </w:r>
    </w:p>
    <w:p w14:paraId="564FCB98"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Bergstrand, J. H., &amp; Egger, P. (2010). A general equilibrium theory for estimating gravity equations of bilateral FDI, final goods trade, and intermediate trade flows. In P. A. G. van Bergeijk &amp; S. Brakman (Eds.), </w:t>
      </w:r>
      <w:r w:rsidRPr="00C85C9C">
        <w:rPr>
          <w:rStyle w:val="Emphasis"/>
          <w:rFonts w:ascii="Arial" w:hAnsi="Arial" w:cs="Arial"/>
        </w:rPr>
        <w:t>The Gravity Model in International Trade</w:t>
      </w:r>
      <w:r w:rsidRPr="00C85C9C">
        <w:rPr>
          <w:rFonts w:ascii="Arial" w:hAnsi="Arial" w:cs="Arial"/>
        </w:rPr>
        <w:t xml:space="preserve"> (pp. 29-70). Cambridge University Press.</w:t>
      </w:r>
    </w:p>
    <w:p w14:paraId="4E427A0F" w14:textId="77777777" w:rsidR="00C85C9C" w:rsidRPr="00C85C9C" w:rsidRDefault="00C85C9C" w:rsidP="00C85C9C">
      <w:pPr>
        <w:spacing w:after="120" w:line="276" w:lineRule="auto"/>
        <w:ind w:left="360"/>
        <w:rPr>
          <w:rFonts w:ascii="Arial" w:hAnsi="Arial" w:cs="Arial"/>
        </w:rPr>
      </w:pPr>
      <w:r w:rsidRPr="00C85C9C">
        <w:rPr>
          <w:rFonts w:ascii="Arial" w:hAnsi="Arial" w:cs="Arial"/>
        </w:rPr>
        <w:lastRenderedPageBreak/>
        <w:t xml:space="preserve">Deardorff, A. (1998). Determinants of bilateral trade: Does gravity work in a neoclassical world? In J. A. Frankel (Ed.), </w:t>
      </w:r>
      <w:r w:rsidRPr="00C85C9C">
        <w:rPr>
          <w:rStyle w:val="Emphasis"/>
          <w:rFonts w:ascii="Arial" w:hAnsi="Arial" w:cs="Arial"/>
        </w:rPr>
        <w:t>The Regionalization of the World Economy</w:t>
      </w:r>
      <w:r w:rsidRPr="00C85C9C">
        <w:rPr>
          <w:rFonts w:ascii="Arial" w:hAnsi="Arial" w:cs="Arial"/>
        </w:rPr>
        <w:t xml:space="preserve"> (pp. 7-32). University of Chicago Press.</w:t>
      </w:r>
    </w:p>
    <w:p w14:paraId="6751643E"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Feenstra, R. C. (2002). Border effects and the gravity equation: Consistent methods for estimation. </w:t>
      </w:r>
      <w:r w:rsidRPr="00C85C9C">
        <w:rPr>
          <w:rStyle w:val="Emphasis"/>
          <w:rFonts w:ascii="Arial" w:hAnsi="Arial" w:cs="Arial"/>
        </w:rPr>
        <w:t>Scottish Journal of Political Economy, 49,</w:t>
      </w:r>
      <w:r w:rsidRPr="00C85C9C">
        <w:rPr>
          <w:rFonts w:ascii="Arial" w:hAnsi="Arial" w:cs="Arial"/>
        </w:rPr>
        <w:t xml:space="preserve"> 491–506.</w:t>
      </w:r>
    </w:p>
    <w:p w14:paraId="387F93B6"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Feenstra, R. C. (2016). </w:t>
      </w:r>
      <w:r w:rsidRPr="00C85C9C">
        <w:rPr>
          <w:rStyle w:val="Emphasis"/>
          <w:rFonts w:ascii="Arial" w:hAnsi="Arial" w:cs="Arial"/>
        </w:rPr>
        <w:t>Advanced international trade: Theory and evidence.</w:t>
      </w:r>
      <w:r w:rsidRPr="00C85C9C">
        <w:rPr>
          <w:rFonts w:ascii="Arial" w:hAnsi="Arial" w:cs="Arial"/>
        </w:rPr>
        <w:t xml:space="preserve"> Princeton University Press.</w:t>
      </w:r>
    </w:p>
    <w:p w14:paraId="11528A42" w14:textId="77777777" w:rsidR="00C85C9C" w:rsidRPr="00C85C9C" w:rsidRDefault="00C85C9C" w:rsidP="00C85C9C">
      <w:pPr>
        <w:spacing w:after="120" w:line="276" w:lineRule="auto"/>
        <w:ind w:left="360"/>
        <w:rPr>
          <w:rStyle w:val="Hyperlink"/>
          <w:rFonts w:ascii="Arial" w:hAnsi="Arial" w:cs="Arial"/>
        </w:rPr>
      </w:pPr>
      <w:r w:rsidRPr="00C85C9C">
        <w:rPr>
          <w:rFonts w:ascii="Arial" w:hAnsi="Arial" w:cs="Arial"/>
        </w:rPr>
        <w:t xml:space="preserve">Goswami, G. G., Khan, F., Labiba, K., Achol, F., Saha, T. K., &amp; Zulfikar, A. (2024). Should Bangladesh join Regional Comprehensive Economic Partnership (RCEP)? The gravity explanation of Bangladesh dilemma. </w:t>
      </w:r>
      <w:r w:rsidRPr="00C85C9C">
        <w:rPr>
          <w:rStyle w:val="Emphasis"/>
          <w:rFonts w:ascii="Arial" w:hAnsi="Arial" w:cs="Arial"/>
        </w:rPr>
        <w:t>International Journal of Emerging Markets, 19(1),</w:t>
      </w:r>
      <w:r w:rsidRPr="00C85C9C">
        <w:rPr>
          <w:rFonts w:ascii="Arial" w:hAnsi="Arial" w:cs="Arial"/>
        </w:rPr>
        <w:t xml:space="preserve"> 286–306. https://doi.org/10.1108/ijoem-03-2022-0442</w:t>
      </w:r>
    </w:p>
    <w:p w14:paraId="268EB0FD" w14:textId="77777777" w:rsidR="00C85C9C" w:rsidRPr="00C85C9C" w:rsidRDefault="00C85C9C" w:rsidP="00C85C9C">
      <w:pPr>
        <w:spacing w:after="120" w:line="276" w:lineRule="auto"/>
        <w:ind w:left="360"/>
        <w:rPr>
          <w:rFonts w:ascii="Arial" w:hAnsi="Arial" w:cs="Arial"/>
        </w:rPr>
      </w:pPr>
      <w:r w:rsidRPr="00C85C9C">
        <w:rPr>
          <w:rFonts w:ascii="Arial" w:hAnsi="Arial" w:cs="Arial"/>
        </w:rPr>
        <w:t>Joki, Hossain &amp; Haque, Anamul. (2022). The International Trade of Bangladesh: An Empirical Analysis with Gravity Model. Asian Development Policy Review. 10. 47-64. 10.55493/5008.v10i1.4438.</w:t>
      </w:r>
    </w:p>
    <w:p w14:paraId="4B28976D" w14:textId="77777777" w:rsidR="00C85C9C" w:rsidRPr="00C85C9C" w:rsidRDefault="00C85C9C" w:rsidP="00C85C9C">
      <w:pPr>
        <w:spacing w:after="120" w:line="276" w:lineRule="auto"/>
        <w:ind w:left="360"/>
        <w:rPr>
          <w:rFonts w:ascii="Arial" w:hAnsi="Arial" w:cs="Arial"/>
        </w:rPr>
      </w:pPr>
      <w:r w:rsidRPr="00C85C9C">
        <w:rPr>
          <w:rFonts w:ascii="Arial" w:hAnsi="Arial" w:cs="Arial"/>
        </w:rPr>
        <w:t>Kandogan Y (2008) Consistent estimates of regional blocs’ trade effects. Review of International Economics 16:301–314.</w:t>
      </w:r>
    </w:p>
    <w:p w14:paraId="6F460F4E"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Head, K., &amp; Mayer, T. (2014). Gravity equations: Workhorse, toolkit, and cookbook. In G. Gopinath, E. Helpman, &amp; K. S. Rogoff (Eds.), </w:t>
      </w:r>
      <w:r w:rsidRPr="00C85C9C">
        <w:rPr>
          <w:rStyle w:val="Emphasis"/>
          <w:rFonts w:ascii="Arial" w:hAnsi="Arial" w:cs="Arial"/>
        </w:rPr>
        <w:t>Handbook of International Economics</w:t>
      </w:r>
      <w:r w:rsidRPr="00C85C9C">
        <w:rPr>
          <w:rFonts w:ascii="Arial" w:hAnsi="Arial" w:cs="Arial"/>
        </w:rPr>
        <w:t xml:space="preserve"> (Vol. 4, pp. 131-195). North Holland.</w:t>
      </w:r>
    </w:p>
    <w:p w14:paraId="6DC613F3"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Helpman, E. (1987). Imperfect competition and international trade: Evidence from fourteen industrial countries. </w:t>
      </w:r>
      <w:r w:rsidRPr="00C85C9C">
        <w:rPr>
          <w:rStyle w:val="Emphasis"/>
          <w:rFonts w:ascii="Arial" w:hAnsi="Arial" w:cs="Arial"/>
        </w:rPr>
        <w:t>Journal of Japanese and International Economies, 1,</w:t>
      </w:r>
      <w:r w:rsidRPr="00C85C9C">
        <w:rPr>
          <w:rFonts w:ascii="Arial" w:hAnsi="Arial" w:cs="Arial"/>
        </w:rPr>
        <w:t xml:space="preserve"> 62–81.</w:t>
      </w:r>
    </w:p>
    <w:p w14:paraId="62F851C7"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Helpman, E., &amp; Krugman, P. R. (1985). </w:t>
      </w:r>
      <w:r w:rsidRPr="00C85C9C">
        <w:rPr>
          <w:rStyle w:val="Emphasis"/>
          <w:rFonts w:ascii="Arial" w:hAnsi="Arial" w:cs="Arial"/>
        </w:rPr>
        <w:t>Market structure and foreign trade: Increasing return, imperfect competition, and international economy.</w:t>
      </w:r>
      <w:r w:rsidRPr="00C85C9C">
        <w:rPr>
          <w:rFonts w:ascii="Arial" w:hAnsi="Arial" w:cs="Arial"/>
        </w:rPr>
        <w:t xml:space="preserve"> MIT Press.</w:t>
      </w:r>
    </w:p>
    <w:p w14:paraId="6B662CE9" w14:textId="77777777" w:rsidR="00C85C9C" w:rsidRPr="00C85C9C" w:rsidRDefault="00C85C9C" w:rsidP="00C85C9C">
      <w:pPr>
        <w:spacing w:after="120" w:line="276" w:lineRule="auto"/>
        <w:ind w:left="360"/>
        <w:rPr>
          <w:rFonts w:ascii="Arial" w:hAnsi="Arial" w:cs="Arial"/>
        </w:rPr>
      </w:pPr>
      <w:bookmarkStart w:id="8" w:name="_Hlk194153436"/>
      <w:r w:rsidRPr="00C85C9C">
        <w:rPr>
          <w:rFonts w:ascii="Arial" w:hAnsi="Arial" w:cs="Arial"/>
        </w:rPr>
        <w:t>Hur, J., &amp; Park, C. (2012)</w:t>
      </w:r>
      <w:bookmarkEnd w:id="8"/>
      <w:r w:rsidRPr="00C85C9C">
        <w:rPr>
          <w:rFonts w:ascii="Arial" w:hAnsi="Arial" w:cs="Arial"/>
        </w:rPr>
        <w:t>. Do Free Trade Agreements Increase Economic Growth of the Member Countries? World Development, 40(7), 1283–1294. doi:10.1016/j.worlddev.2011.12.006</w:t>
      </w:r>
    </w:p>
    <w:p w14:paraId="49D5DCE2"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Hye Joki, H. M., &amp; Haque, A. (2022). The international trade of Bangladesh: An empirical analysis. </w:t>
      </w:r>
      <w:r w:rsidRPr="00C85C9C">
        <w:rPr>
          <w:rStyle w:val="Emphasis"/>
          <w:rFonts w:ascii="Arial" w:hAnsi="Arial" w:cs="Arial"/>
        </w:rPr>
        <w:t>Asian Development Policy Review, 10(1),</w:t>
      </w:r>
      <w:r w:rsidRPr="00C85C9C">
        <w:rPr>
          <w:rFonts w:ascii="Arial" w:hAnsi="Arial" w:cs="Arial"/>
        </w:rPr>
        <w:t xml:space="preserve"> 47–64. https://doi.org/10.55493/5008.v10i1.4438</w:t>
      </w:r>
    </w:p>
    <w:p w14:paraId="2C8795DB"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Islam, M. S., Rakib, M. A., &amp; Adnan, A. (2016). Ready-made garments sector of Bangladesh: Its contribution and challenges towards development. </w:t>
      </w:r>
      <w:r w:rsidRPr="00C85C9C">
        <w:rPr>
          <w:rStyle w:val="Emphasis"/>
          <w:rFonts w:ascii="Arial" w:hAnsi="Arial" w:cs="Arial"/>
        </w:rPr>
        <w:t>Journal of Asian Development Studies, 5(2),</w:t>
      </w:r>
      <w:r w:rsidRPr="00C85C9C">
        <w:rPr>
          <w:rFonts w:ascii="Arial" w:hAnsi="Arial" w:cs="Arial"/>
        </w:rPr>
        <w:t xml:space="preserve"> 50-61.</w:t>
      </w:r>
    </w:p>
    <w:p w14:paraId="688CBE89"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Linnemann, H. (1966). </w:t>
      </w:r>
      <w:r w:rsidRPr="00C85C9C">
        <w:rPr>
          <w:rStyle w:val="Emphasis"/>
          <w:rFonts w:ascii="Arial" w:hAnsi="Arial" w:cs="Arial"/>
        </w:rPr>
        <w:t>An econometric study of international trade flows.</w:t>
      </w:r>
      <w:r w:rsidRPr="00C85C9C">
        <w:rPr>
          <w:rFonts w:ascii="Arial" w:hAnsi="Arial" w:cs="Arial"/>
        </w:rPr>
        <w:t xml:space="preserve"> North Holland.</w:t>
      </w:r>
    </w:p>
    <w:p w14:paraId="7A766EA6"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Lawless, M. (2010). Deconstructing gravity: Trade costs and extensive and intensive margins. </w:t>
      </w:r>
      <w:r w:rsidRPr="00C85C9C">
        <w:rPr>
          <w:rStyle w:val="Emphasis"/>
          <w:rFonts w:ascii="Arial" w:hAnsi="Arial" w:cs="Arial"/>
        </w:rPr>
        <w:t>Canadian Journal of Economics, 43(4),</w:t>
      </w:r>
      <w:r w:rsidRPr="00C85C9C">
        <w:rPr>
          <w:rFonts w:ascii="Arial" w:hAnsi="Arial" w:cs="Arial"/>
        </w:rPr>
        <w:t xml:space="preserve"> 1149-1172. https://doi.org/10.1111/j.1540-5982.2010.01609.x</w:t>
      </w:r>
    </w:p>
    <w:p w14:paraId="2C7FD130" w14:textId="77777777" w:rsidR="00C85C9C" w:rsidRPr="00C85C9C" w:rsidRDefault="00C85C9C" w:rsidP="00C85C9C">
      <w:pPr>
        <w:spacing w:after="120" w:line="276" w:lineRule="auto"/>
        <w:ind w:left="360"/>
        <w:rPr>
          <w:rFonts w:ascii="Arial" w:hAnsi="Arial" w:cs="Arial"/>
        </w:rPr>
      </w:pPr>
      <w:r w:rsidRPr="00C85C9C">
        <w:rPr>
          <w:rFonts w:ascii="Arial" w:hAnsi="Arial" w:cs="Arial"/>
          <w:color w:val="000000"/>
        </w:rPr>
        <w:t>Newton, I. (1687), Philosophiae Naturalis Principia Mathematica, Stanford Encyclopedia of Philosophy,</w:t>
      </w:r>
      <w:r w:rsidRPr="00C85C9C">
        <w:rPr>
          <w:rFonts w:ascii="Arial" w:hAnsi="Arial" w:cs="Arial"/>
          <w:color w:val="000000"/>
        </w:rPr>
        <w:br/>
        <w:t xml:space="preserve">available at: </w:t>
      </w:r>
      <w:r w:rsidRPr="00C85C9C">
        <w:rPr>
          <w:rFonts w:ascii="Arial" w:hAnsi="Arial" w:cs="Arial"/>
        </w:rPr>
        <w:t>https://plato.stanford.edu/entries/newton-principia/.</w:t>
      </w:r>
    </w:p>
    <w:p w14:paraId="3E88F415"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Oguledo, V. I., &amp; MacPhee, C. R. (1994). Gravity models: A reformulation and an application to discriminatory trade arrangements. </w:t>
      </w:r>
      <w:r w:rsidRPr="00C85C9C">
        <w:rPr>
          <w:rStyle w:val="Emphasis"/>
          <w:rFonts w:ascii="Arial" w:hAnsi="Arial" w:cs="Arial"/>
        </w:rPr>
        <w:t>Applied Economics, 26,</w:t>
      </w:r>
      <w:r w:rsidRPr="00C85C9C">
        <w:rPr>
          <w:rFonts w:ascii="Arial" w:hAnsi="Arial" w:cs="Arial"/>
        </w:rPr>
        <w:t xml:space="preserve"> 107–120.</w:t>
      </w:r>
    </w:p>
    <w:p w14:paraId="270894B5"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Silva, J. S., &amp; Tenreyro, S. (2006). The log of gravity. </w:t>
      </w:r>
      <w:r w:rsidRPr="00C85C9C">
        <w:rPr>
          <w:rStyle w:val="Emphasis"/>
          <w:rFonts w:ascii="Arial" w:hAnsi="Arial" w:cs="Arial"/>
        </w:rPr>
        <w:t>The Review of Economics and Statistics, 88(4),</w:t>
      </w:r>
      <w:r w:rsidRPr="00C85C9C">
        <w:rPr>
          <w:rFonts w:ascii="Arial" w:hAnsi="Arial" w:cs="Arial"/>
        </w:rPr>
        <w:t xml:space="preserve"> 641-658.</w:t>
      </w:r>
    </w:p>
    <w:p w14:paraId="0F3DBDBF"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Silva, J. S., &amp; Tenreyro, S. (2011). Further simulation evidence on the performance of the Poisson pseudo-maximum likelihood estimator. </w:t>
      </w:r>
      <w:r w:rsidRPr="00C85C9C">
        <w:rPr>
          <w:rStyle w:val="Emphasis"/>
          <w:rFonts w:ascii="Arial" w:hAnsi="Arial" w:cs="Arial"/>
        </w:rPr>
        <w:t>Economics Letters, 112(2),</w:t>
      </w:r>
      <w:r w:rsidRPr="00C85C9C">
        <w:rPr>
          <w:rFonts w:ascii="Arial" w:hAnsi="Arial" w:cs="Arial"/>
        </w:rPr>
        <w:t xml:space="preserve"> 220-222. https://doi.org/10.1016/j.econlet.2011.05.008</w:t>
      </w:r>
    </w:p>
    <w:p w14:paraId="4EA501A2"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Trefler, D. (1995). The case of the missing trade and other mysteries. </w:t>
      </w:r>
      <w:r w:rsidRPr="00C85C9C">
        <w:rPr>
          <w:rStyle w:val="Emphasis"/>
          <w:rFonts w:ascii="Arial" w:hAnsi="Arial" w:cs="Arial"/>
        </w:rPr>
        <w:t>American Economic Review, 85(5),</w:t>
      </w:r>
      <w:r w:rsidRPr="00C85C9C">
        <w:rPr>
          <w:rFonts w:ascii="Arial" w:hAnsi="Arial" w:cs="Arial"/>
        </w:rPr>
        <w:t xml:space="preserve"> 1029-1046.</w:t>
      </w:r>
    </w:p>
    <w:p w14:paraId="2B3C7500"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Tumbarello, P. (2006). Are regional agreements in Asia stumbling or building blocks? Some implications for the Mekong countries. Paper presented in the seminar </w:t>
      </w:r>
      <w:r w:rsidRPr="00C85C9C">
        <w:rPr>
          <w:rStyle w:val="Emphasis"/>
          <w:rFonts w:ascii="Arial" w:hAnsi="Arial" w:cs="Arial"/>
        </w:rPr>
        <w:t>"Accelerating Development in the Mekong Region - The Role of Economic Integration."</w:t>
      </w:r>
      <w:r w:rsidRPr="00C85C9C">
        <w:rPr>
          <w:rFonts w:ascii="Arial" w:hAnsi="Arial" w:cs="Arial"/>
        </w:rPr>
        <w:t xml:space="preserve"> Cambodia.</w:t>
      </w:r>
    </w:p>
    <w:p w14:paraId="49614FF9" w14:textId="77777777" w:rsidR="00C85C9C" w:rsidRPr="00C85C9C" w:rsidRDefault="00C85C9C" w:rsidP="00C85C9C">
      <w:pPr>
        <w:spacing w:after="120" w:line="276" w:lineRule="auto"/>
        <w:ind w:left="360"/>
        <w:rPr>
          <w:rFonts w:ascii="Arial" w:hAnsi="Arial" w:cs="Arial"/>
        </w:rPr>
      </w:pPr>
      <w:r w:rsidRPr="00C85C9C">
        <w:rPr>
          <w:rFonts w:ascii="Arial" w:hAnsi="Arial" w:cs="Arial"/>
        </w:rPr>
        <w:t>Thirlwall, A. P. (2000). Trade Agreements, Trade Liberalization and Economic Growth: A Selective Survey. African Development Review, 12(2), 129–160. doi:10.1111/1467-8268.00020 </w:t>
      </w:r>
    </w:p>
    <w:p w14:paraId="3545EE88" w14:textId="77777777" w:rsidR="00C85C9C" w:rsidRPr="00C85C9C" w:rsidRDefault="00C85C9C" w:rsidP="00C85C9C">
      <w:pPr>
        <w:spacing w:after="120" w:line="276" w:lineRule="auto"/>
        <w:ind w:left="360"/>
        <w:rPr>
          <w:rStyle w:val="Hyperlink"/>
          <w:rFonts w:ascii="Arial" w:hAnsi="Arial" w:cs="Arial"/>
        </w:rPr>
      </w:pPr>
      <w:r w:rsidRPr="00C85C9C">
        <w:rPr>
          <w:rFonts w:ascii="Arial" w:hAnsi="Arial" w:cs="Arial"/>
        </w:rPr>
        <w:t xml:space="preserve">Ullah, M. S., &amp; Inaba, K. (2012). Impact of RTA and PTA on Bangladesh`s export: Application of a gravity model. </w:t>
      </w:r>
      <w:r w:rsidRPr="00C85C9C">
        <w:rPr>
          <w:rStyle w:val="Emphasis"/>
          <w:rFonts w:ascii="Arial" w:hAnsi="Arial" w:cs="Arial"/>
        </w:rPr>
        <w:t>Journal of International Competitiveness and Trade, 12,</w:t>
      </w:r>
      <w:r w:rsidRPr="00C85C9C">
        <w:rPr>
          <w:rFonts w:ascii="Arial" w:hAnsi="Arial" w:cs="Arial"/>
        </w:rPr>
        <w:t xml:space="preserve"> 445–460. https://doi.org/10.1007/s10842-011-0116-3</w:t>
      </w:r>
    </w:p>
    <w:p w14:paraId="56DCA089" w14:textId="77777777" w:rsidR="00C85C9C" w:rsidRPr="00C85C9C" w:rsidRDefault="00C85C9C" w:rsidP="00C85C9C">
      <w:pPr>
        <w:spacing w:after="120" w:line="276" w:lineRule="auto"/>
        <w:ind w:left="360"/>
        <w:rPr>
          <w:rFonts w:ascii="Arial" w:hAnsi="Arial" w:cs="Arial"/>
          <w:sz w:val="16"/>
          <w:szCs w:val="16"/>
        </w:rPr>
      </w:pPr>
      <w:r w:rsidRPr="00C85C9C">
        <w:rPr>
          <w:rFonts w:ascii="Arial" w:hAnsi="Arial" w:cs="Arial"/>
        </w:rPr>
        <w:lastRenderedPageBreak/>
        <w:t>Ullah, M. S., &amp; Inaba, K. (2011). Impact of RTA and PTA on Bangladesh`s Export: Application of a Gravity Model. Journal of Industry, Competition and Trade, 12(4), 445–460. doi:10.1007/s10842-011-0116-3 </w:t>
      </w:r>
    </w:p>
    <w:p w14:paraId="69078C65" w14:textId="77777777" w:rsidR="00C85C9C" w:rsidRPr="00C85C9C" w:rsidRDefault="00C85C9C" w:rsidP="00C85C9C">
      <w:pPr>
        <w:spacing w:after="120" w:line="276" w:lineRule="auto"/>
        <w:ind w:left="360"/>
        <w:rPr>
          <w:rFonts w:ascii="Arial" w:hAnsi="Arial" w:cs="Arial"/>
        </w:rPr>
      </w:pPr>
      <w:r w:rsidRPr="00C85C9C">
        <w:rPr>
          <w:rFonts w:ascii="Arial" w:hAnsi="Arial" w:cs="Arial"/>
        </w:rPr>
        <w:t xml:space="preserve">Westerlund, J., &amp; Wilhelmsson, F. (2011). Estimating the gravity model without gravity using panel data. </w:t>
      </w:r>
      <w:r w:rsidRPr="00C85C9C">
        <w:rPr>
          <w:rStyle w:val="Emphasis"/>
          <w:rFonts w:ascii="Arial" w:hAnsi="Arial" w:cs="Arial"/>
        </w:rPr>
        <w:t>Applied Economics, 43(6),</w:t>
      </w:r>
      <w:r w:rsidRPr="00C85C9C">
        <w:rPr>
          <w:rFonts w:ascii="Arial" w:hAnsi="Arial" w:cs="Arial"/>
        </w:rPr>
        <w:t xml:space="preserve"> 641-649. https://doi.org/10.1080/00036840802599784</w:t>
      </w:r>
    </w:p>
    <w:p w14:paraId="3A4845B4" w14:textId="77777777" w:rsidR="000D689F" w:rsidRDefault="000D689F" w:rsidP="00441B6F">
      <w:pPr>
        <w:pStyle w:val="Body"/>
        <w:spacing w:after="0"/>
      </w:pPr>
    </w:p>
    <w:p w14:paraId="2B8AB23D" w14:textId="77777777" w:rsidR="00441B6F" w:rsidRDefault="00441B6F" w:rsidP="00441B6F">
      <w:pPr>
        <w:pStyle w:val="Body"/>
        <w:spacing w:after="0"/>
        <w:jc w:val="left"/>
      </w:pPr>
    </w:p>
    <w:p w14:paraId="02E491F9" w14:textId="77777777" w:rsidR="00441B6F" w:rsidRDefault="00441B6F" w:rsidP="00441B6F">
      <w:pPr>
        <w:pStyle w:val="Body"/>
        <w:spacing w:after="0"/>
        <w:jc w:val="left"/>
        <w:rPr>
          <w:rFonts w:ascii="Arial" w:hAnsi="Arial" w:cs="Arial"/>
        </w:rPr>
      </w:pPr>
    </w:p>
    <w:p w14:paraId="15C0BFB2" w14:textId="77777777" w:rsidR="00B01FCD" w:rsidRPr="00FB3A86" w:rsidRDefault="00B01FCD" w:rsidP="00441B6F">
      <w:pPr>
        <w:pStyle w:val="Reference"/>
        <w:numPr>
          <w:ilvl w:val="0"/>
          <w:numId w:val="0"/>
        </w:numPr>
        <w:spacing w:line="240" w:lineRule="auto"/>
        <w:rPr>
          <w:rFonts w:ascii="Arial" w:hAnsi="Arial" w:cs="Arial"/>
        </w:rPr>
      </w:pPr>
    </w:p>
    <w:p w14:paraId="656BA44B" w14:textId="77777777" w:rsidR="00B01FCD" w:rsidRPr="00FB3A86" w:rsidRDefault="00B01FCD" w:rsidP="00441B6F">
      <w:pPr>
        <w:pStyle w:val="Appendix"/>
        <w:spacing w:after="0"/>
        <w:jc w:val="both"/>
        <w:rPr>
          <w:rFonts w:ascii="Arial" w:hAnsi="Arial" w:cs="Arial"/>
          <w:b w:val="0"/>
        </w:rPr>
      </w:pPr>
    </w:p>
    <w:sectPr w:rsidR="00B01FCD" w:rsidRPr="00FB3A86" w:rsidSect="002506F7">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80F53" w14:textId="77777777" w:rsidR="007D4075" w:rsidRDefault="007D4075" w:rsidP="00C37E61">
      <w:r>
        <w:separator/>
      </w:r>
    </w:p>
  </w:endnote>
  <w:endnote w:type="continuationSeparator" w:id="0">
    <w:p w14:paraId="46B83A55" w14:textId="77777777" w:rsidR="007D4075" w:rsidRDefault="007D407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vOT44ee9141.I">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28CA1" w14:textId="77777777" w:rsidR="002506F7" w:rsidRDefault="00250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07B75" w14:textId="77777777" w:rsidR="002506F7" w:rsidRDefault="002506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A207E" w14:textId="33961379" w:rsidR="005E7231" w:rsidRPr="002506F7" w:rsidRDefault="005E7231" w:rsidP="002506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E84D9" w14:textId="77777777" w:rsidR="005E7231" w:rsidRPr="00C37E61" w:rsidRDefault="005E723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C6BC8" w14:textId="77777777" w:rsidR="007D4075" w:rsidRDefault="007D4075" w:rsidP="00C37E61">
      <w:r>
        <w:separator/>
      </w:r>
    </w:p>
  </w:footnote>
  <w:footnote w:type="continuationSeparator" w:id="0">
    <w:p w14:paraId="0E1D90C6" w14:textId="77777777" w:rsidR="007D4075" w:rsidRDefault="007D407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52AC5" w14:textId="1DAC093F" w:rsidR="002506F7" w:rsidRDefault="002506F7">
    <w:pPr>
      <w:pStyle w:val="Header"/>
    </w:pPr>
    <w:r>
      <w:rPr>
        <w:noProof/>
      </w:rPr>
      <w:pict w14:anchorId="0D840B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522001"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D673B" w14:textId="672CA520" w:rsidR="002506F7" w:rsidRDefault="002506F7">
    <w:pPr>
      <w:pStyle w:val="Header"/>
    </w:pPr>
    <w:r>
      <w:rPr>
        <w:noProof/>
      </w:rPr>
      <w:pict w14:anchorId="179917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522002"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C9A11" w14:textId="14AA4F19" w:rsidR="005E7231" w:rsidRPr="00296529" w:rsidRDefault="002506F7" w:rsidP="00296529">
    <w:pPr>
      <w:ind w:left="2160"/>
      <w:jc w:val="center"/>
      <w:rPr>
        <w:rFonts w:ascii="Times New Roman" w:eastAsia="Calibri" w:hAnsi="Times New Roman"/>
        <w:i/>
        <w:sz w:val="18"/>
        <w:szCs w:val="22"/>
      </w:rPr>
    </w:pPr>
    <w:r>
      <w:rPr>
        <w:noProof/>
      </w:rPr>
      <w:pict w14:anchorId="10833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522000"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98F42BB" w14:textId="77777777" w:rsidR="005E7231" w:rsidRPr="00296529" w:rsidRDefault="005E723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80007DB" w14:textId="77777777" w:rsidR="005E7231" w:rsidRPr="00296529" w:rsidRDefault="005E723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43A2338" w14:textId="77777777" w:rsidR="005E7231" w:rsidRPr="00296529" w:rsidRDefault="005E723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565D9D5" w14:textId="77777777" w:rsidR="005E7231" w:rsidRDefault="005E723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F62ACF3" w14:textId="77777777" w:rsidR="005E7231" w:rsidRDefault="005E723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791C7AF" w14:textId="77777777" w:rsidR="005E7231" w:rsidRDefault="005E723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BC591" w14:textId="7FB30A17" w:rsidR="002506F7" w:rsidRDefault="002506F7">
    <w:pPr>
      <w:pStyle w:val="Header"/>
    </w:pPr>
    <w:r>
      <w:rPr>
        <w:noProof/>
      </w:rPr>
      <w:pict w14:anchorId="30531E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522004"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D168" w14:textId="7F1A6B5F" w:rsidR="002506F7" w:rsidRDefault="002506F7">
    <w:pPr>
      <w:pStyle w:val="Header"/>
    </w:pPr>
    <w:r>
      <w:rPr>
        <w:noProof/>
      </w:rPr>
      <w:pict w14:anchorId="28DE9C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522005"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D1563" w14:textId="5F13C9A8" w:rsidR="002506F7" w:rsidRDefault="002506F7">
    <w:pPr>
      <w:pStyle w:val="Header"/>
    </w:pPr>
    <w:r>
      <w:rPr>
        <w:noProof/>
      </w:rPr>
      <w:pict w14:anchorId="173B75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522003"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C791FF6"/>
    <w:multiLevelType w:val="hybridMultilevel"/>
    <w:tmpl w:val="C4822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9E1B90"/>
    <w:multiLevelType w:val="hybridMultilevel"/>
    <w:tmpl w:val="D3E8F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1202918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57024167">
    <w:abstractNumId w:val="16"/>
  </w:num>
  <w:num w:numId="3" w16cid:durableId="2034065579">
    <w:abstractNumId w:val="25"/>
  </w:num>
  <w:num w:numId="4" w16cid:durableId="149876500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4928636">
    <w:abstractNumId w:val="8"/>
  </w:num>
  <w:num w:numId="6" w16cid:durableId="542013919">
    <w:abstractNumId w:val="7"/>
  </w:num>
  <w:num w:numId="7" w16cid:durableId="694501112">
    <w:abstractNumId w:val="1"/>
  </w:num>
  <w:num w:numId="8" w16cid:durableId="2119446115">
    <w:abstractNumId w:val="13"/>
  </w:num>
  <w:num w:numId="9" w16cid:durableId="319577194">
    <w:abstractNumId w:val="27"/>
  </w:num>
  <w:num w:numId="10" w16cid:durableId="925069476">
    <w:abstractNumId w:val="2"/>
  </w:num>
  <w:num w:numId="11" w16cid:durableId="730806112">
    <w:abstractNumId w:val="20"/>
  </w:num>
  <w:num w:numId="12" w16cid:durableId="1959215352">
    <w:abstractNumId w:val="3"/>
  </w:num>
  <w:num w:numId="13" w16cid:durableId="1501768838">
    <w:abstractNumId w:val="19"/>
  </w:num>
  <w:num w:numId="14" w16cid:durableId="1660577898">
    <w:abstractNumId w:val="9"/>
  </w:num>
  <w:num w:numId="15" w16cid:durableId="1734347235">
    <w:abstractNumId w:val="23"/>
  </w:num>
  <w:num w:numId="16" w16cid:durableId="1304626206">
    <w:abstractNumId w:val="5"/>
  </w:num>
  <w:num w:numId="17" w16cid:durableId="2064714739">
    <w:abstractNumId w:val="24"/>
  </w:num>
  <w:num w:numId="18" w16cid:durableId="167449020">
    <w:abstractNumId w:val="15"/>
  </w:num>
  <w:num w:numId="19" w16cid:durableId="851382305">
    <w:abstractNumId w:val="30"/>
  </w:num>
  <w:num w:numId="20" w16cid:durableId="1086072381">
    <w:abstractNumId w:val="12"/>
  </w:num>
  <w:num w:numId="21" w16cid:durableId="2095197182">
    <w:abstractNumId w:val="10"/>
  </w:num>
  <w:num w:numId="22" w16cid:durableId="1790007397">
    <w:abstractNumId w:val="14"/>
  </w:num>
  <w:num w:numId="23" w16cid:durableId="485242156">
    <w:abstractNumId w:val="21"/>
  </w:num>
  <w:num w:numId="24" w16cid:durableId="1112021239">
    <w:abstractNumId w:val="28"/>
  </w:num>
  <w:num w:numId="25" w16cid:durableId="1995524444">
    <w:abstractNumId w:val="4"/>
  </w:num>
  <w:num w:numId="26" w16cid:durableId="1352074841">
    <w:abstractNumId w:val="17"/>
  </w:num>
  <w:num w:numId="27" w16cid:durableId="1217356817">
    <w:abstractNumId w:val="22"/>
  </w:num>
  <w:num w:numId="28" w16cid:durableId="1572814898">
    <w:abstractNumId w:val="29"/>
  </w:num>
  <w:num w:numId="29" w16cid:durableId="1038581306">
    <w:abstractNumId w:val="26"/>
  </w:num>
  <w:num w:numId="30" w16cid:durableId="736393459">
    <w:abstractNumId w:val="11"/>
  </w:num>
  <w:num w:numId="31" w16cid:durableId="881214580">
    <w:abstractNumId w:val="6"/>
  </w:num>
  <w:num w:numId="32" w16cid:durableId="14416792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1FBB"/>
    <w:rsid w:val="00014E07"/>
    <w:rsid w:val="00017E9E"/>
    <w:rsid w:val="000231B1"/>
    <w:rsid w:val="00030174"/>
    <w:rsid w:val="000436EF"/>
    <w:rsid w:val="0004579C"/>
    <w:rsid w:val="0005630F"/>
    <w:rsid w:val="0007010E"/>
    <w:rsid w:val="0008089D"/>
    <w:rsid w:val="00083083"/>
    <w:rsid w:val="00097814"/>
    <w:rsid w:val="000A2233"/>
    <w:rsid w:val="000A47FA"/>
    <w:rsid w:val="000A65D3"/>
    <w:rsid w:val="000B0C47"/>
    <w:rsid w:val="000B156F"/>
    <w:rsid w:val="000B1E33"/>
    <w:rsid w:val="000B2CEC"/>
    <w:rsid w:val="000D689F"/>
    <w:rsid w:val="000E073C"/>
    <w:rsid w:val="000E7B7B"/>
    <w:rsid w:val="000E7D62"/>
    <w:rsid w:val="000F05C8"/>
    <w:rsid w:val="000F1323"/>
    <w:rsid w:val="000F2054"/>
    <w:rsid w:val="00103146"/>
    <w:rsid w:val="00103357"/>
    <w:rsid w:val="0010780E"/>
    <w:rsid w:val="00117234"/>
    <w:rsid w:val="00121875"/>
    <w:rsid w:val="00123C9F"/>
    <w:rsid w:val="00126190"/>
    <w:rsid w:val="00130F17"/>
    <w:rsid w:val="00131627"/>
    <w:rsid w:val="001320BF"/>
    <w:rsid w:val="001423E9"/>
    <w:rsid w:val="00163BC4"/>
    <w:rsid w:val="001666CB"/>
    <w:rsid w:val="001736F6"/>
    <w:rsid w:val="00191062"/>
    <w:rsid w:val="00192B72"/>
    <w:rsid w:val="00196222"/>
    <w:rsid w:val="001A0594"/>
    <w:rsid w:val="001A29D8"/>
    <w:rsid w:val="001A5CAA"/>
    <w:rsid w:val="001B0427"/>
    <w:rsid w:val="001D39AB"/>
    <w:rsid w:val="001D3A51"/>
    <w:rsid w:val="001D55FB"/>
    <w:rsid w:val="001D67EA"/>
    <w:rsid w:val="001E10D2"/>
    <w:rsid w:val="001E25B4"/>
    <w:rsid w:val="001E44FE"/>
    <w:rsid w:val="001E5B94"/>
    <w:rsid w:val="001F77F0"/>
    <w:rsid w:val="00200595"/>
    <w:rsid w:val="00204835"/>
    <w:rsid w:val="002052E4"/>
    <w:rsid w:val="00211647"/>
    <w:rsid w:val="00212D74"/>
    <w:rsid w:val="00215AC1"/>
    <w:rsid w:val="00220804"/>
    <w:rsid w:val="00231920"/>
    <w:rsid w:val="0023195C"/>
    <w:rsid w:val="0024282C"/>
    <w:rsid w:val="002453F2"/>
    <w:rsid w:val="00245A49"/>
    <w:rsid w:val="002460DC"/>
    <w:rsid w:val="002506F7"/>
    <w:rsid w:val="00250985"/>
    <w:rsid w:val="00253A84"/>
    <w:rsid w:val="002556F6"/>
    <w:rsid w:val="00257278"/>
    <w:rsid w:val="00263780"/>
    <w:rsid w:val="00265D20"/>
    <w:rsid w:val="00283105"/>
    <w:rsid w:val="00284C4C"/>
    <w:rsid w:val="00287E68"/>
    <w:rsid w:val="00291311"/>
    <w:rsid w:val="00296529"/>
    <w:rsid w:val="002970C9"/>
    <w:rsid w:val="002A71F2"/>
    <w:rsid w:val="002B27FB"/>
    <w:rsid w:val="002B685A"/>
    <w:rsid w:val="002B6D4E"/>
    <w:rsid w:val="002C57D2"/>
    <w:rsid w:val="002D2F04"/>
    <w:rsid w:val="002D7E21"/>
    <w:rsid w:val="002E0D56"/>
    <w:rsid w:val="002F6CCA"/>
    <w:rsid w:val="003022D1"/>
    <w:rsid w:val="00315186"/>
    <w:rsid w:val="0032305F"/>
    <w:rsid w:val="00331E17"/>
    <w:rsid w:val="0033343E"/>
    <w:rsid w:val="00341098"/>
    <w:rsid w:val="00344754"/>
    <w:rsid w:val="00346601"/>
    <w:rsid w:val="00350B95"/>
    <w:rsid w:val="003512C2"/>
    <w:rsid w:val="00357E62"/>
    <w:rsid w:val="00360A7B"/>
    <w:rsid w:val="00366820"/>
    <w:rsid w:val="00371FB6"/>
    <w:rsid w:val="003763C1"/>
    <w:rsid w:val="00376BBE"/>
    <w:rsid w:val="00385749"/>
    <w:rsid w:val="003879FD"/>
    <w:rsid w:val="0039224F"/>
    <w:rsid w:val="003A43A4"/>
    <w:rsid w:val="003A7E18"/>
    <w:rsid w:val="003B6A4C"/>
    <w:rsid w:val="003B794C"/>
    <w:rsid w:val="003C4C86"/>
    <w:rsid w:val="003C525C"/>
    <w:rsid w:val="003C5530"/>
    <w:rsid w:val="003C6258"/>
    <w:rsid w:val="003D237E"/>
    <w:rsid w:val="003D26F3"/>
    <w:rsid w:val="003E0DAE"/>
    <w:rsid w:val="003E2904"/>
    <w:rsid w:val="003E38C0"/>
    <w:rsid w:val="003E6E15"/>
    <w:rsid w:val="00400F85"/>
    <w:rsid w:val="00401927"/>
    <w:rsid w:val="0041027F"/>
    <w:rsid w:val="00412475"/>
    <w:rsid w:val="00417A8E"/>
    <w:rsid w:val="00423789"/>
    <w:rsid w:val="0042687C"/>
    <w:rsid w:val="00432A8D"/>
    <w:rsid w:val="00440F43"/>
    <w:rsid w:val="00441B6F"/>
    <w:rsid w:val="00444608"/>
    <w:rsid w:val="004453B0"/>
    <w:rsid w:val="00446221"/>
    <w:rsid w:val="00450E62"/>
    <w:rsid w:val="004539DB"/>
    <w:rsid w:val="0045582F"/>
    <w:rsid w:val="00455DAA"/>
    <w:rsid w:val="004623BD"/>
    <w:rsid w:val="00464F0E"/>
    <w:rsid w:val="00471A80"/>
    <w:rsid w:val="004B67F8"/>
    <w:rsid w:val="004D16E5"/>
    <w:rsid w:val="004D1866"/>
    <w:rsid w:val="004D29A5"/>
    <w:rsid w:val="004D305E"/>
    <w:rsid w:val="004D4277"/>
    <w:rsid w:val="004E0DC6"/>
    <w:rsid w:val="004F6436"/>
    <w:rsid w:val="004F7AD9"/>
    <w:rsid w:val="00500E18"/>
    <w:rsid w:val="00502516"/>
    <w:rsid w:val="00505F06"/>
    <w:rsid w:val="00506828"/>
    <w:rsid w:val="00506B2E"/>
    <w:rsid w:val="00507083"/>
    <w:rsid w:val="00512757"/>
    <w:rsid w:val="0052667A"/>
    <w:rsid w:val="0053056E"/>
    <w:rsid w:val="00554FDA"/>
    <w:rsid w:val="00557DD1"/>
    <w:rsid w:val="00563B4A"/>
    <w:rsid w:val="00590248"/>
    <w:rsid w:val="005B2E4F"/>
    <w:rsid w:val="005B663C"/>
    <w:rsid w:val="005C6D39"/>
    <w:rsid w:val="005C784C"/>
    <w:rsid w:val="005D17F6"/>
    <w:rsid w:val="005E5539"/>
    <w:rsid w:val="005E7231"/>
    <w:rsid w:val="005F7057"/>
    <w:rsid w:val="00602BF5"/>
    <w:rsid w:val="00617FDD"/>
    <w:rsid w:val="00633614"/>
    <w:rsid w:val="00633F68"/>
    <w:rsid w:val="006365DB"/>
    <w:rsid w:val="00636EB2"/>
    <w:rsid w:val="006375B8"/>
    <w:rsid w:val="006456DE"/>
    <w:rsid w:val="006458D4"/>
    <w:rsid w:val="00646D43"/>
    <w:rsid w:val="00655BFE"/>
    <w:rsid w:val="00662F1F"/>
    <w:rsid w:val="006641E3"/>
    <w:rsid w:val="0066510A"/>
    <w:rsid w:val="0066797C"/>
    <w:rsid w:val="00670AD8"/>
    <w:rsid w:val="00673F9F"/>
    <w:rsid w:val="006868E4"/>
    <w:rsid w:val="00686953"/>
    <w:rsid w:val="00687674"/>
    <w:rsid w:val="00687DEA"/>
    <w:rsid w:val="00687E67"/>
    <w:rsid w:val="006967F7"/>
    <w:rsid w:val="006A250C"/>
    <w:rsid w:val="006B21D3"/>
    <w:rsid w:val="006B2992"/>
    <w:rsid w:val="006B4020"/>
    <w:rsid w:val="006B57D0"/>
    <w:rsid w:val="006C1361"/>
    <w:rsid w:val="006C644D"/>
    <w:rsid w:val="006D0719"/>
    <w:rsid w:val="006D2590"/>
    <w:rsid w:val="006D30FF"/>
    <w:rsid w:val="006D6940"/>
    <w:rsid w:val="006D7DFB"/>
    <w:rsid w:val="006F11EC"/>
    <w:rsid w:val="007006F8"/>
    <w:rsid w:val="0070082C"/>
    <w:rsid w:val="00712FCC"/>
    <w:rsid w:val="00716CC1"/>
    <w:rsid w:val="007218A6"/>
    <w:rsid w:val="00723683"/>
    <w:rsid w:val="007369E6"/>
    <w:rsid w:val="00746E59"/>
    <w:rsid w:val="00751B3D"/>
    <w:rsid w:val="00754C9A"/>
    <w:rsid w:val="0075599A"/>
    <w:rsid w:val="00761D52"/>
    <w:rsid w:val="007701D1"/>
    <w:rsid w:val="0077749E"/>
    <w:rsid w:val="00790ADA"/>
    <w:rsid w:val="0079239A"/>
    <w:rsid w:val="0079366E"/>
    <w:rsid w:val="007A491F"/>
    <w:rsid w:val="007B30D3"/>
    <w:rsid w:val="007B6A62"/>
    <w:rsid w:val="007C42C5"/>
    <w:rsid w:val="007D2288"/>
    <w:rsid w:val="007D4075"/>
    <w:rsid w:val="007D4317"/>
    <w:rsid w:val="007E088F"/>
    <w:rsid w:val="007F7B32"/>
    <w:rsid w:val="007F7F34"/>
    <w:rsid w:val="00804BC2"/>
    <w:rsid w:val="00804F31"/>
    <w:rsid w:val="0081431A"/>
    <w:rsid w:val="00814404"/>
    <w:rsid w:val="00827497"/>
    <w:rsid w:val="0083216F"/>
    <w:rsid w:val="00835F4E"/>
    <w:rsid w:val="0084763B"/>
    <w:rsid w:val="00847CB9"/>
    <w:rsid w:val="00860000"/>
    <w:rsid w:val="00863BD3"/>
    <w:rsid w:val="008641ED"/>
    <w:rsid w:val="00864961"/>
    <w:rsid w:val="00866D66"/>
    <w:rsid w:val="008671C6"/>
    <w:rsid w:val="00875803"/>
    <w:rsid w:val="00887649"/>
    <w:rsid w:val="00893420"/>
    <w:rsid w:val="008A5B75"/>
    <w:rsid w:val="008B459E"/>
    <w:rsid w:val="008C6947"/>
    <w:rsid w:val="008D5637"/>
    <w:rsid w:val="008D7C4C"/>
    <w:rsid w:val="008E13AE"/>
    <w:rsid w:val="008E14DD"/>
    <w:rsid w:val="008E1506"/>
    <w:rsid w:val="008E17CE"/>
    <w:rsid w:val="008E710C"/>
    <w:rsid w:val="008F2DC8"/>
    <w:rsid w:val="008F69D6"/>
    <w:rsid w:val="009011CF"/>
    <w:rsid w:val="00902823"/>
    <w:rsid w:val="00905863"/>
    <w:rsid w:val="00915CA6"/>
    <w:rsid w:val="0092413A"/>
    <w:rsid w:val="00924D6B"/>
    <w:rsid w:val="00927834"/>
    <w:rsid w:val="0094033C"/>
    <w:rsid w:val="009500A6"/>
    <w:rsid w:val="00950C41"/>
    <w:rsid w:val="0095420C"/>
    <w:rsid w:val="009559BF"/>
    <w:rsid w:val="00955C9D"/>
    <w:rsid w:val="0095679F"/>
    <w:rsid w:val="00956EF3"/>
    <w:rsid w:val="00957C18"/>
    <w:rsid w:val="00962BC7"/>
    <w:rsid w:val="009659BA"/>
    <w:rsid w:val="00975C35"/>
    <w:rsid w:val="00976358"/>
    <w:rsid w:val="00976CCB"/>
    <w:rsid w:val="0098199C"/>
    <w:rsid w:val="00983040"/>
    <w:rsid w:val="0099791C"/>
    <w:rsid w:val="009A30C5"/>
    <w:rsid w:val="009A68F4"/>
    <w:rsid w:val="009B06C2"/>
    <w:rsid w:val="009B3F12"/>
    <w:rsid w:val="009B3FB9"/>
    <w:rsid w:val="009B71C5"/>
    <w:rsid w:val="009C2465"/>
    <w:rsid w:val="009C4834"/>
    <w:rsid w:val="009D079E"/>
    <w:rsid w:val="009D35A0"/>
    <w:rsid w:val="009D7EB7"/>
    <w:rsid w:val="009E048A"/>
    <w:rsid w:val="009E08E9"/>
    <w:rsid w:val="009E3DB9"/>
    <w:rsid w:val="009E44D5"/>
    <w:rsid w:val="009E4E1F"/>
    <w:rsid w:val="009E6E35"/>
    <w:rsid w:val="009F0EDA"/>
    <w:rsid w:val="009F4C77"/>
    <w:rsid w:val="009F7381"/>
    <w:rsid w:val="00A03B96"/>
    <w:rsid w:val="00A05B19"/>
    <w:rsid w:val="00A1134E"/>
    <w:rsid w:val="00A17CEE"/>
    <w:rsid w:val="00A245FB"/>
    <w:rsid w:val="00A24E7E"/>
    <w:rsid w:val="00A258C3"/>
    <w:rsid w:val="00A30A10"/>
    <w:rsid w:val="00A347C0"/>
    <w:rsid w:val="00A37491"/>
    <w:rsid w:val="00A4123B"/>
    <w:rsid w:val="00A44398"/>
    <w:rsid w:val="00A51431"/>
    <w:rsid w:val="00A539AD"/>
    <w:rsid w:val="00A53B1B"/>
    <w:rsid w:val="00A85218"/>
    <w:rsid w:val="00A86871"/>
    <w:rsid w:val="00A86931"/>
    <w:rsid w:val="00A87938"/>
    <w:rsid w:val="00A92878"/>
    <w:rsid w:val="00A928CB"/>
    <w:rsid w:val="00A94063"/>
    <w:rsid w:val="00A97751"/>
    <w:rsid w:val="00AA231E"/>
    <w:rsid w:val="00AA3AEF"/>
    <w:rsid w:val="00AA6219"/>
    <w:rsid w:val="00AA72EA"/>
    <w:rsid w:val="00AA74E0"/>
    <w:rsid w:val="00AB639D"/>
    <w:rsid w:val="00AB703F"/>
    <w:rsid w:val="00AB71E0"/>
    <w:rsid w:val="00AB7BDC"/>
    <w:rsid w:val="00AC6BB8"/>
    <w:rsid w:val="00AE008F"/>
    <w:rsid w:val="00AE25D2"/>
    <w:rsid w:val="00B01FCD"/>
    <w:rsid w:val="00B11D19"/>
    <w:rsid w:val="00B156F5"/>
    <w:rsid w:val="00B158D5"/>
    <w:rsid w:val="00B1776C"/>
    <w:rsid w:val="00B2470D"/>
    <w:rsid w:val="00B27D45"/>
    <w:rsid w:val="00B3794D"/>
    <w:rsid w:val="00B508A3"/>
    <w:rsid w:val="00B52583"/>
    <w:rsid w:val="00B52896"/>
    <w:rsid w:val="00B57DF4"/>
    <w:rsid w:val="00B6086D"/>
    <w:rsid w:val="00B71E15"/>
    <w:rsid w:val="00B84946"/>
    <w:rsid w:val="00B95236"/>
    <w:rsid w:val="00B96BD9"/>
    <w:rsid w:val="00BA1B01"/>
    <w:rsid w:val="00BA2641"/>
    <w:rsid w:val="00BA2B80"/>
    <w:rsid w:val="00BA6835"/>
    <w:rsid w:val="00BB0399"/>
    <w:rsid w:val="00BB37AA"/>
    <w:rsid w:val="00BC53A0"/>
    <w:rsid w:val="00BC7F9B"/>
    <w:rsid w:val="00BD274A"/>
    <w:rsid w:val="00BE62AD"/>
    <w:rsid w:val="00BF0990"/>
    <w:rsid w:val="00BF121F"/>
    <w:rsid w:val="00BF1F80"/>
    <w:rsid w:val="00BF2BED"/>
    <w:rsid w:val="00C01231"/>
    <w:rsid w:val="00C14337"/>
    <w:rsid w:val="00C166EF"/>
    <w:rsid w:val="00C17EB0"/>
    <w:rsid w:val="00C26A56"/>
    <w:rsid w:val="00C27F5F"/>
    <w:rsid w:val="00C30A0F"/>
    <w:rsid w:val="00C37E61"/>
    <w:rsid w:val="00C42E39"/>
    <w:rsid w:val="00C470F1"/>
    <w:rsid w:val="00C4773A"/>
    <w:rsid w:val="00C52895"/>
    <w:rsid w:val="00C553C5"/>
    <w:rsid w:val="00C6338D"/>
    <w:rsid w:val="00C6694D"/>
    <w:rsid w:val="00C70F1B"/>
    <w:rsid w:val="00C71A47"/>
    <w:rsid w:val="00C7464C"/>
    <w:rsid w:val="00C85588"/>
    <w:rsid w:val="00C85C9C"/>
    <w:rsid w:val="00C95CE8"/>
    <w:rsid w:val="00CA2F9E"/>
    <w:rsid w:val="00CC6DEA"/>
    <w:rsid w:val="00CD2A27"/>
    <w:rsid w:val="00CD6755"/>
    <w:rsid w:val="00CD6856"/>
    <w:rsid w:val="00CE0089"/>
    <w:rsid w:val="00CE22EA"/>
    <w:rsid w:val="00CE793C"/>
    <w:rsid w:val="00CF193C"/>
    <w:rsid w:val="00CF310F"/>
    <w:rsid w:val="00CF3A6A"/>
    <w:rsid w:val="00D173F1"/>
    <w:rsid w:val="00D219A0"/>
    <w:rsid w:val="00D367BB"/>
    <w:rsid w:val="00D456D1"/>
    <w:rsid w:val="00D61040"/>
    <w:rsid w:val="00D647FA"/>
    <w:rsid w:val="00D66BF3"/>
    <w:rsid w:val="00D73C54"/>
    <w:rsid w:val="00D74CB0"/>
    <w:rsid w:val="00D77604"/>
    <w:rsid w:val="00D820ED"/>
    <w:rsid w:val="00D8295D"/>
    <w:rsid w:val="00DB5988"/>
    <w:rsid w:val="00DC2A65"/>
    <w:rsid w:val="00DD6C3F"/>
    <w:rsid w:val="00DE15F0"/>
    <w:rsid w:val="00DE5663"/>
    <w:rsid w:val="00DE78AA"/>
    <w:rsid w:val="00E053D0"/>
    <w:rsid w:val="00E15994"/>
    <w:rsid w:val="00E17C00"/>
    <w:rsid w:val="00E24A09"/>
    <w:rsid w:val="00E3114E"/>
    <w:rsid w:val="00E31A70"/>
    <w:rsid w:val="00E32BC5"/>
    <w:rsid w:val="00E35B02"/>
    <w:rsid w:val="00E51033"/>
    <w:rsid w:val="00E66496"/>
    <w:rsid w:val="00E66B35"/>
    <w:rsid w:val="00E66E10"/>
    <w:rsid w:val="00E769F6"/>
    <w:rsid w:val="00E8407C"/>
    <w:rsid w:val="00E84F3C"/>
    <w:rsid w:val="00E85297"/>
    <w:rsid w:val="00E9725A"/>
    <w:rsid w:val="00EA012C"/>
    <w:rsid w:val="00EA2B8B"/>
    <w:rsid w:val="00EB07EE"/>
    <w:rsid w:val="00EB1BFB"/>
    <w:rsid w:val="00EB5485"/>
    <w:rsid w:val="00EB6944"/>
    <w:rsid w:val="00EC1D41"/>
    <w:rsid w:val="00EC6A55"/>
    <w:rsid w:val="00ED0288"/>
    <w:rsid w:val="00EE52CB"/>
    <w:rsid w:val="00EE54C9"/>
    <w:rsid w:val="00EF48A6"/>
    <w:rsid w:val="00EF4D54"/>
    <w:rsid w:val="00EF5153"/>
    <w:rsid w:val="00EF581D"/>
    <w:rsid w:val="00EF7FD8"/>
    <w:rsid w:val="00F03C52"/>
    <w:rsid w:val="00F04D72"/>
    <w:rsid w:val="00F06F59"/>
    <w:rsid w:val="00F12138"/>
    <w:rsid w:val="00F17988"/>
    <w:rsid w:val="00F233AD"/>
    <w:rsid w:val="00F23F38"/>
    <w:rsid w:val="00F34C14"/>
    <w:rsid w:val="00F435F3"/>
    <w:rsid w:val="00F44987"/>
    <w:rsid w:val="00F469F0"/>
    <w:rsid w:val="00F53273"/>
    <w:rsid w:val="00F6469E"/>
    <w:rsid w:val="00F656E7"/>
    <w:rsid w:val="00F755E4"/>
    <w:rsid w:val="00F77D02"/>
    <w:rsid w:val="00F811E0"/>
    <w:rsid w:val="00F82234"/>
    <w:rsid w:val="00F83351"/>
    <w:rsid w:val="00FB3A86"/>
    <w:rsid w:val="00FC6893"/>
    <w:rsid w:val="00FC7AB6"/>
    <w:rsid w:val="00FD36C8"/>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F0FE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C6D3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fontstyle01">
    <w:name w:val="fontstyle01"/>
    <w:basedOn w:val="DefaultParagraphFont"/>
    <w:rsid w:val="00DB5988"/>
    <w:rPr>
      <w:rFonts w:ascii="AdvOT44ee9141.I" w:hAnsi="AdvOT44ee9141.I" w:hint="default"/>
      <w:b w:val="0"/>
      <w:bCs w:val="0"/>
      <w:i w:val="0"/>
      <w:iCs w:val="0"/>
      <w:color w:val="000000"/>
      <w:sz w:val="20"/>
      <w:szCs w:val="20"/>
    </w:rPr>
  </w:style>
  <w:style w:type="paragraph" w:styleId="ListParagraph">
    <w:name w:val="List Paragraph"/>
    <w:basedOn w:val="Normal"/>
    <w:uiPriority w:val="34"/>
    <w:qFormat/>
    <w:rsid w:val="00F233AD"/>
    <w:pPr>
      <w:spacing w:line="360" w:lineRule="auto"/>
      <w:ind w:left="720" w:hanging="360"/>
      <w:contextualSpacing/>
      <w:jc w:val="both"/>
    </w:pPr>
    <w:rPr>
      <w:rFonts w:asciiTheme="minorHAnsi" w:eastAsiaTheme="minorHAnsi" w:hAnsiTheme="minorHAnsi" w:cstheme="minorBidi"/>
      <w:kern w:val="2"/>
      <w:sz w:val="22"/>
      <w:szCs w:val="22"/>
      <w:lang w:val="en-SG"/>
    </w:rPr>
  </w:style>
  <w:style w:type="character" w:customStyle="1" w:styleId="Heading2Char">
    <w:name w:val="Heading 2 Char"/>
    <w:basedOn w:val="DefaultParagraphFont"/>
    <w:link w:val="Heading2"/>
    <w:semiHidden/>
    <w:rsid w:val="005C6D39"/>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semiHidden/>
    <w:unhideWhenUsed/>
    <w:rsid w:val="00103146"/>
    <w:rPr>
      <w:rFonts w:ascii="Helvetica" w:hAnsi="Helvetica"/>
      <w:b/>
      <w:bCs/>
      <w:lang w:val="en-US" w:eastAsia="en-US"/>
    </w:rPr>
  </w:style>
  <w:style w:type="character" w:customStyle="1" w:styleId="CommentSubjectChar">
    <w:name w:val="Comment Subject Char"/>
    <w:basedOn w:val="CommentTextChar"/>
    <w:link w:val="CommentSubject"/>
    <w:semiHidden/>
    <w:rsid w:val="00103146"/>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F0974-0131-4B4D-9A45-D8C081D8F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14</Pages>
  <Words>7576</Words>
  <Characters>43186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50661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11</cp:revision>
  <cp:lastPrinted>1999-07-06T11:00:00Z</cp:lastPrinted>
  <dcterms:created xsi:type="dcterms:W3CDTF">2025-06-24T05:36:00Z</dcterms:created>
  <dcterms:modified xsi:type="dcterms:W3CDTF">2025-06-24T11:26:00Z</dcterms:modified>
</cp:coreProperties>
</file>