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66D2B" w14:textId="0CAD8076" w:rsidR="00EA15FD" w:rsidRDefault="00D95DA7" w:rsidP="00911E24">
      <w:pPr>
        <w:pStyle w:val="Heading1"/>
        <w:adjustRightInd w:val="0"/>
        <w:spacing w:beforeLines="50" w:before="156" w:afterLines="50" w:after="156"/>
        <w:jc w:val="center"/>
        <w:rPr>
          <w:rFonts w:ascii="Times New Roman" w:eastAsia="Microsoft YaHei" w:hAnsi="SimHei" w:cs="SimHei"/>
          <w:sz w:val="24"/>
          <w:szCs w:val="32"/>
        </w:rPr>
      </w:pPr>
      <w:r w:rsidRPr="00911E24">
        <w:rPr>
          <w:rFonts w:ascii="Times New Roman" w:eastAsia="Microsoft YaHei" w:hAnsi="SimHei" w:cs="SimHei" w:hint="eastAsia"/>
          <w:sz w:val="24"/>
          <w:szCs w:val="32"/>
        </w:rPr>
        <w:t xml:space="preserve">Research on </w:t>
      </w:r>
      <w:r w:rsidR="00911E24" w:rsidRPr="00911E24">
        <w:rPr>
          <w:rFonts w:ascii="Times New Roman" w:eastAsia="Microsoft YaHei" w:hAnsi="SimHei" w:cs="SimHei"/>
          <w:sz w:val="24"/>
          <w:szCs w:val="32"/>
        </w:rPr>
        <w:t>M</w:t>
      </w:r>
      <w:r w:rsidRPr="00911E24">
        <w:rPr>
          <w:rFonts w:ascii="Times New Roman" w:eastAsia="Microsoft YaHei" w:hAnsi="SimHei" w:cs="SimHei" w:hint="eastAsia"/>
          <w:sz w:val="24"/>
          <w:szCs w:val="32"/>
        </w:rPr>
        <w:t>easurement and Transformation Path of Integrated Development of Enterprise Environmental Performance Driven by Green Tax Law</w:t>
      </w:r>
      <w:r w:rsidR="00911E24">
        <w:rPr>
          <w:rFonts w:ascii="Times New Roman" w:eastAsia="Microsoft YaHei" w:hAnsi="SimHei" w:cs="SimHei"/>
          <w:sz w:val="24"/>
          <w:szCs w:val="32"/>
        </w:rPr>
        <w:t>: E</w:t>
      </w:r>
      <w:r w:rsidR="00911E24">
        <w:rPr>
          <w:rFonts w:ascii="Times New Roman" w:eastAsia="Microsoft YaHei" w:hAnsi="SimHei" w:cs="SimHei" w:hint="eastAsia"/>
          <w:sz w:val="24"/>
          <w:szCs w:val="32"/>
        </w:rPr>
        <w:t>vidence</w:t>
      </w:r>
      <w:r w:rsidR="00911E24">
        <w:rPr>
          <w:rFonts w:ascii="Times New Roman" w:eastAsia="Microsoft YaHei" w:hAnsi="SimHei" w:cs="SimHei"/>
          <w:sz w:val="24"/>
          <w:szCs w:val="32"/>
        </w:rPr>
        <w:t xml:space="preserve"> </w:t>
      </w:r>
      <w:r w:rsidR="00911E24">
        <w:rPr>
          <w:rFonts w:ascii="Times New Roman" w:eastAsia="Microsoft YaHei" w:hAnsi="SimHei" w:cs="SimHei" w:hint="eastAsia"/>
          <w:sz w:val="24"/>
          <w:szCs w:val="32"/>
        </w:rPr>
        <w:t>from</w:t>
      </w:r>
      <w:r w:rsidR="00911E24">
        <w:rPr>
          <w:rFonts w:ascii="Times New Roman" w:eastAsia="Microsoft YaHei" w:hAnsi="SimHei" w:cs="SimHei"/>
          <w:sz w:val="24"/>
          <w:szCs w:val="32"/>
        </w:rPr>
        <w:t xml:space="preserve"> C</w:t>
      </w:r>
      <w:r w:rsidR="00911E24">
        <w:rPr>
          <w:rFonts w:ascii="Times New Roman" w:eastAsia="Microsoft YaHei" w:hAnsi="SimHei" w:cs="SimHei" w:hint="eastAsia"/>
          <w:sz w:val="24"/>
          <w:szCs w:val="32"/>
        </w:rPr>
        <w:t>hina</w:t>
      </w:r>
    </w:p>
    <w:p w14:paraId="030417F2" w14:textId="77777777" w:rsidR="001B13B8" w:rsidRDefault="001B13B8" w:rsidP="00EA15FD">
      <w:pPr>
        <w:widowControl/>
        <w:rPr>
          <w:rFonts w:ascii="Times New Roman" w:eastAsia="SimSun" w:hAnsi="Times New Roman" w:cs="Times New Roman"/>
          <w:sz w:val="28"/>
          <w:szCs w:val="36"/>
        </w:rPr>
      </w:pPr>
    </w:p>
    <w:p w14:paraId="3DD6DCAB" w14:textId="4F1DD615" w:rsidR="009C3784" w:rsidRDefault="00D95DA7" w:rsidP="002D77EC">
      <w:pPr>
        <w:widowControl/>
        <w:jc w:val="left"/>
        <w:rPr>
          <w:rFonts w:ascii="SimSun" w:eastAsia="SimSun" w:hAnsi="SimSun"/>
        </w:rPr>
      </w:pPr>
      <w:r w:rsidRPr="00E86B17">
        <w:rPr>
          <w:rFonts w:ascii="Times New Roman" w:eastAsia="Microsoft YaHei" w:hAnsi="SimSun" w:hint="eastAsia"/>
          <w:b/>
        </w:rPr>
        <w:t>Abstract</w:t>
      </w:r>
      <w:r>
        <w:rPr>
          <w:rFonts w:ascii="Times New Roman" w:eastAsia="Microsoft YaHei" w:hAnsi="SimSun" w:hint="eastAsia"/>
        </w:rPr>
        <w:t xml:space="preserve">: The implementation of the </w:t>
      </w:r>
      <w:r w:rsidR="00BD6C8D" w:rsidRPr="00BD6C8D">
        <w:rPr>
          <w:rFonts w:ascii="Times New Roman" w:eastAsia="Microsoft YaHei" w:hAnsi="SimSun"/>
        </w:rPr>
        <w:t>environmental protection tax law</w:t>
      </w:r>
      <w:r w:rsidR="00CE1A0D">
        <w:rPr>
          <w:rFonts w:ascii="Times New Roman" w:eastAsia="Microsoft YaHei" w:hAnsi="SimSun" w:hint="eastAsia"/>
        </w:rPr>
        <w:t xml:space="preserve"> </w:t>
      </w:r>
      <w:r>
        <w:rPr>
          <w:rFonts w:ascii="Times New Roman" w:eastAsia="Microsoft YaHei" w:hAnsi="SimSun" w:hint="eastAsia"/>
        </w:rPr>
        <w:t>(EPTL) is a comprehensive reflection of China's efforts to green its tax system. This r</w:t>
      </w:r>
      <w:r w:rsidR="00660CD5">
        <w:rPr>
          <w:rFonts w:ascii="Times New Roman" w:eastAsia="Microsoft YaHei" w:hAnsi="SimSun"/>
        </w:rPr>
        <w:t>esearch</w:t>
      </w:r>
      <w:r>
        <w:rPr>
          <w:rFonts w:ascii="Times New Roman" w:eastAsia="Microsoft YaHei" w:hAnsi="SimSun" w:hint="eastAsia"/>
        </w:rPr>
        <w:t xml:space="preserve"> systematically explores the impact and internal mechanisms of the green tax law reform on corporate environmental performance. The findings indicate that the EPTL significantly and robustly enhances corporate environmental performance, a conclusion that remains valid after a series of robustness tests. Heterogeneity analysis reveals that the EPTL promotes corporate environmental performance in companies with stronger financing constraints; the effec</w:t>
      </w:r>
      <w:bookmarkStart w:id="0" w:name="_GoBack"/>
      <w:bookmarkEnd w:id="0"/>
      <w:r>
        <w:rPr>
          <w:rFonts w:ascii="Times New Roman" w:eastAsia="Microsoft YaHei" w:hAnsi="SimSun" w:hint="eastAsia"/>
        </w:rPr>
        <w:t>t is more pronounced in companies with higher internal transparency; state-owned enterprises (SOEs) show a stronger improvement in environmental performance, indicating that SOEs can set an example; the background of senior executives is a significant factor influencing the improvement of environmental performance. Mechanism analysis shows that the EPTL primarily enhances corporate environmental performance by strengthening local government enforcement, increasing local government attention to environmental issues, promoting corporate green innovation, and resolving collusion between government and enterprises. Extended analysis indicates that the EPTL does not significantly trigger negative pollution transfer across regions but instead drives corporate green transformation. The research conclusions offer important insights for improving corporate green governance and promoting high-quality national economic development.</w:t>
      </w:r>
    </w:p>
    <w:p w14:paraId="76DC61FC" w14:textId="77777777" w:rsidR="009C3784" w:rsidRDefault="00D95DA7">
      <w:pPr>
        <w:rPr>
          <w:rFonts w:ascii="SimSun" w:eastAsia="SimSun" w:hAnsi="SimSun"/>
        </w:rPr>
      </w:pPr>
      <w:r w:rsidRPr="00E86B17">
        <w:rPr>
          <w:rFonts w:ascii="Times New Roman" w:eastAsia="Microsoft YaHei" w:hAnsi="SimSun" w:hint="eastAsia"/>
          <w:b/>
        </w:rPr>
        <w:t>Keywords</w:t>
      </w:r>
      <w:r>
        <w:rPr>
          <w:rFonts w:ascii="Times New Roman" w:eastAsia="Microsoft YaHei" w:hAnsi="SimSun" w:hint="eastAsia"/>
        </w:rPr>
        <w:t xml:space="preserve">: </w:t>
      </w:r>
      <w:r w:rsidR="00911E24">
        <w:rPr>
          <w:rFonts w:ascii="Times New Roman" w:eastAsia="Microsoft YaHei" w:hAnsi="SimSun"/>
        </w:rPr>
        <w:t>E</w:t>
      </w:r>
      <w:r>
        <w:rPr>
          <w:rFonts w:ascii="Times New Roman" w:eastAsia="Microsoft YaHei" w:hAnsi="SimSun" w:hint="eastAsia"/>
        </w:rPr>
        <w:t xml:space="preserve">nvironmental </w:t>
      </w:r>
      <w:r w:rsidR="00911E24">
        <w:rPr>
          <w:rFonts w:ascii="Times New Roman" w:eastAsia="Microsoft YaHei" w:hAnsi="SimSun"/>
        </w:rPr>
        <w:t>P</w:t>
      </w:r>
      <w:r>
        <w:rPr>
          <w:rFonts w:ascii="Times New Roman" w:eastAsia="Microsoft YaHei" w:hAnsi="SimSun" w:hint="eastAsia"/>
        </w:rPr>
        <w:t xml:space="preserve">rotection </w:t>
      </w:r>
      <w:r w:rsidR="00911E24">
        <w:rPr>
          <w:rFonts w:ascii="Times New Roman" w:eastAsia="Microsoft YaHei" w:hAnsi="SimSun"/>
        </w:rPr>
        <w:t>T</w:t>
      </w:r>
      <w:r>
        <w:rPr>
          <w:rFonts w:ascii="Times New Roman" w:eastAsia="Microsoft YaHei" w:hAnsi="SimSun" w:hint="eastAsia"/>
        </w:rPr>
        <w:t xml:space="preserve">ax </w:t>
      </w:r>
      <w:r w:rsidR="00911E24">
        <w:rPr>
          <w:rFonts w:ascii="Times New Roman" w:eastAsia="Microsoft YaHei" w:hAnsi="SimSun"/>
        </w:rPr>
        <w:t>L</w:t>
      </w:r>
      <w:r>
        <w:rPr>
          <w:rFonts w:ascii="Times New Roman" w:eastAsia="Microsoft YaHei" w:hAnsi="SimSun" w:hint="eastAsia"/>
        </w:rPr>
        <w:t xml:space="preserve">aw; </w:t>
      </w:r>
      <w:r w:rsidR="00911E24">
        <w:rPr>
          <w:rFonts w:ascii="Times New Roman" w:eastAsia="Microsoft YaHei" w:hAnsi="SimSun"/>
        </w:rPr>
        <w:t>E</w:t>
      </w:r>
      <w:r>
        <w:rPr>
          <w:rFonts w:ascii="Times New Roman" w:eastAsia="Microsoft YaHei" w:hAnsi="SimSun" w:hint="eastAsia"/>
        </w:rPr>
        <w:t xml:space="preserve">nvironmental </w:t>
      </w:r>
      <w:r w:rsidR="00911E24">
        <w:rPr>
          <w:rFonts w:ascii="Times New Roman" w:eastAsia="Microsoft YaHei" w:hAnsi="SimSun"/>
        </w:rPr>
        <w:t>P</w:t>
      </w:r>
      <w:r>
        <w:rPr>
          <w:rFonts w:ascii="Times New Roman" w:eastAsia="Microsoft YaHei" w:hAnsi="SimSun" w:hint="eastAsia"/>
        </w:rPr>
        <w:t xml:space="preserve">erformance; </w:t>
      </w:r>
      <w:r w:rsidR="00911E24">
        <w:rPr>
          <w:rFonts w:ascii="Times New Roman" w:eastAsia="Microsoft YaHei" w:hAnsi="SimSun"/>
        </w:rPr>
        <w:t>P</w:t>
      </w:r>
      <w:r>
        <w:rPr>
          <w:rFonts w:ascii="Times New Roman" w:eastAsia="Microsoft YaHei" w:hAnsi="SimSun" w:hint="eastAsia"/>
        </w:rPr>
        <w:t xml:space="preserve">ollution </w:t>
      </w:r>
      <w:r w:rsidR="00911E24">
        <w:rPr>
          <w:rFonts w:ascii="Times New Roman" w:eastAsia="Microsoft YaHei" w:hAnsi="SimSun"/>
        </w:rPr>
        <w:t>R</w:t>
      </w:r>
      <w:r>
        <w:rPr>
          <w:rFonts w:ascii="Times New Roman" w:eastAsia="Microsoft YaHei" w:hAnsi="SimSun" w:hint="eastAsia"/>
        </w:rPr>
        <w:t xml:space="preserve">efuge </w:t>
      </w:r>
      <w:r w:rsidR="00911E24">
        <w:rPr>
          <w:rFonts w:ascii="Times New Roman" w:eastAsia="Microsoft YaHei" w:hAnsi="SimSun"/>
        </w:rPr>
        <w:t>H</w:t>
      </w:r>
      <w:r>
        <w:rPr>
          <w:rFonts w:ascii="Times New Roman" w:eastAsia="Microsoft YaHei" w:hAnsi="SimSun" w:hint="eastAsia"/>
        </w:rPr>
        <w:t xml:space="preserve">ypothesis; Porter </w:t>
      </w:r>
      <w:r w:rsidR="00911E24">
        <w:rPr>
          <w:rFonts w:ascii="Times New Roman" w:eastAsia="Microsoft YaHei" w:hAnsi="SimSun"/>
        </w:rPr>
        <w:t>H</w:t>
      </w:r>
      <w:r>
        <w:rPr>
          <w:rFonts w:ascii="Times New Roman" w:eastAsia="Microsoft YaHei" w:hAnsi="SimSun" w:hint="eastAsia"/>
        </w:rPr>
        <w:t>ypothesis</w:t>
      </w:r>
    </w:p>
    <w:p w14:paraId="7FA806E4"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 xml:space="preserve">1. </w:t>
      </w:r>
      <w:r w:rsidR="00660CD5">
        <w:rPr>
          <w:rFonts w:ascii="Times New Roman" w:eastAsia="Microsoft YaHei" w:hAnsi="Times New Roman" w:cs="Times New Roman"/>
          <w:sz w:val="24"/>
          <w:szCs w:val="24"/>
        </w:rPr>
        <w:t>Introduction</w:t>
      </w:r>
    </w:p>
    <w:p w14:paraId="6C1D4CE4" w14:textId="0ADDBE2E"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extensive economic development model, characterized by high energy consumption and pollution, has driven China's rapid economic growth, creating a</w:t>
      </w:r>
      <w:r w:rsidR="00660CD5">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growth miracle for the Chinese economy. However, the fundamental pressure of ecological and environmental protection</w:t>
      </w:r>
      <w:bookmarkStart w:id="1" w:name="_Hlk117335347"/>
      <w:r>
        <w:rPr>
          <w:rFonts w:ascii="Times New Roman" w:eastAsia="Microsoft YaHei" w:hAnsi="Times New Roman" w:cs="Times New Roman" w:hint="eastAsia"/>
          <w:sz w:val="22"/>
          <w:szCs w:val="24"/>
        </w:rPr>
        <w:t xml:space="preserve"> has not</w:t>
      </w:r>
      <w:bookmarkEnd w:id="1"/>
      <w:r>
        <w:rPr>
          <w:rFonts w:ascii="Times New Roman" w:eastAsia="Microsoft YaHei" w:hAnsi="Times New Roman" w:cs="Times New Roman" w:hint="eastAsia"/>
          <w:sz w:val="22"/>
          <w:szCs w:val="24"/>
        </w:rPr>
        <w:t xml:space="preserve"> been fundamentally alleviated, and pollution emissions and ecological destruction have become major obstacles to building a beautiful China. Given the current state of pollution control, adopting efficient and appropriate environmental regulatory measures is now the top priority in the construction of ecological civilization. Although command-and-control policy-based regulatory measures have achieved significant results in environmental protection and pollution control, they face practical issues such as high enforcement costs and</w:t>
      </w:r>
      <w:r w:rsidR="00660CD5">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one-size-fits-all</w:t>
      </w:r>
      <w:r w:rsidR="00660CD5">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 xml:space="preserve">approaches; market-based environmental policies are urgently needed to play a profound role. Although China's market-based environmental regulatory policies started late, they are increasingly recognized by all sectors of society as a crucial force in pollution control. The </w:t>
      </w:r>
      <w:r w:rsidR="00595421" w:rsidRPr="00595421">
        <w:rPr>
          <w:rFonts w:ascii="Times New Roman" w:eastAsia="Microsoft YaHei" w:hAnsi="Times New Roman" w:cs="Times New Roman"/>
          <w:sz w:val="22"/>
          <w:szCs w:val="24"/>
        </w:rPr>
        <w:t>environmental protection tax law</w:t>
      </w:r>
      <w:r w:rsidR="00CE1A0D">
        <w:rPr>
          <w:rFonts w:ascii="Times New Roman" w:eastAsia="Microsoft YaHei" w:hAnsi="Times New Roman" w:cs="Times New Roman" w:hint="eastAsia"/>
          <w:sz w:val="22"/>
          <w:szCs w:val="24"/>
        </w:rPr>
        <w:t xml:space="preserve"> </w:t>
      </w:r>
      <w:r w:rsidR="00CF17D2">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 an important market mechanism-based environmental regulatory policy in China, requires further in-depth exploration of its environmental governance effects and mechanisms</w:t>
      </w:r>
      <w:r w:rsidR="00CF17D2">
        <w:rPr>
          <w:rFonts w:ascii="Times New Roman" w:eastAsia="Microsoft YaHei" w:hAnsi="Times New Roman" w:cs="Times New Roman"/>
          <w:sz w:val="22"/>
          <w:szCs w:val="24"/>
        </w:rPr>
        <w:t xml:space="preserve"> (Liu et al., 2022; </w:t>
      </w:r>
      <w:r w:rsidR="00CF17D2" w:rsidRPr="00CF17D2">
        <w:rPr>
          <w:rFonts w:ascii="Times New Roman" w:eastAsia="Microsoft YaHei" w:hAnsi="Times New Roman" w:cs="Times New Roman"/>
          <w:sz w:val="22"/>
          <w:szCs w:val="24"/>
        </w:rPr>
        <w:t>Li</w:t>
      </w:r>
      <w:r w:rsidR="00CF17D2">
        <w:rPr>
          <w:rFonts w:ascii="Times New Roman" w:eastAsia="Microsoft YaHei" w:hAnsi="Times New Roman" w:cs="Times New Roman"/>
          <w:sz w:val="22"/>
          <w:szCs w:val="24"/>
        </w:rPr>
        <w:t xml:space="preserve"> </w:t>
      </w:r>
      <w:r w:rsidR="00CF17D2" w:rsidRPr="00CF17D2">
        <w:rPr>
          <w:rFonts w:ascii="Times New Roman" w:eastAsia="Microsoft YaHei" w:hAnsi="Times New Roman" w:cs="Times New Roman"/>
          <w:sz w:val="22"/>
          <w:szCs w:val="24"/>
        </w:rPr>
        <w:t>and Hua,</w:t>
      </w:r>
      <w:r w:rsidR="00CF17D2">
        <w:rPr>
          <w:rFonts w:ascii="Times New Roman" w:eastAsia="Microsoft YaHei" w:hAnsi="Times New Roman" w:cs="Times New Roman"/>
          <w:sz w:val="22"/>
          <w:szCs w:val="24"/>
        </w:rPr>
        <w:t xml:space="preserve"> </w:t>
      </w:r>
      <w:r w:rsidR="00CF17D2" w:rsidRPr="00CF17D2">
        <w:rPr>
          <w:rFonts w:ascii="Times New Roman" w:eastAsia="Microsoft YaHei" w:hAnsi="Times New Roman" w:cs="Times New Roman"/>
          <w:sz w:val="22"/>
          <w:szCs w:val="24"/>
        </w:rPr>
        <w:t>2024</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w:t>
      </w:r>
    </w:p>
    <w:p w14:paraId="3B1BAE9B"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Tracing the implementation of the </w:t>
      </w:r>
      <w:r w:rsidR="00CF17D2" w:rsidRPr="00CF17D2">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 before its enforcement, the Chinese g</w:t>
      </w:r>
      <w:bookmarkStart w:id="2" w:name="_Hlk115030616"/>
      <w:r>
        <w:rPr>
          <w:rFonts w:ascii="Times New Roman" w:eastAsia="Microsoft YaHei" w:hAnsi="Times New Roman" w:cs="Times New Roman" w:hint="eastAsia"/>
          <w:sz w:val="22"/>
          <w:szCs w:val="24"/>
        </w:rPr>
        <w:t xml:space="preserve">overnment </w:t>
      </w:r>
      <w:bookmarkEnd w:id="2"/>
      <w:r>
        <w:rPr>
          <w:rFonts w:ascii="Times New Roman" w:eastAsia="Microsoft YaHei" w:hAnsi="Times New Roman" w:cs="Times New Roman" w:hint="eastAsia"/>
          <w:sz w:val="22"/>
          <w:szCs w:val="24"/>
        </w:rPr>
        <w:t xml:space="preserve">led and continuously evolved a system of pollution discharge fees. This </w:t>
      </w:r>
      <w:r w:rsidR="00911E24">
        <w:rPr>
          <w:rFonts w:ascii="Times New Roman" w:eastAsia="Microsoft YaHei" w:hAnsi="Times New Roman" w:cs="Times New Roman"/>
          <w:sz w:val="22"/>
          <w:szCs w:val="24"/>
        </w:rPr>
        <w:t>system-imposed</w:t>
      </w:r>
      <w:r>
        <w:rPr>
          <w:rFonts w:ascii="Times New Roman" w:eastAsia="Microsoft YaHei" w:hAnsi="Times New Roman" w:cs="Times New Roman" w:hint="eastAsia"/>
          <w:sz w:val="22"/>
          <w:szCs w:val="24"/>
        </w:rPr>
        <w:t xml:space="preserve"> charges on industrial enterprises for discharging wastewater, exhaust gas, and waste residue that exceeded environmental standards, which helped to slow down environmental degradation. However, two significant issues emerged as the pollution discharge fee system progressed</w:t>
      </w:r>
      <w:r w:rsidR="00CF17D2">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 xml:space="preserve">First, the low threshold for pollution discharge fees had a severe adverse effect on market participants, as companies lacked the incentive to convert pollution control costs into their production expenses. Despite the State Council and other ministries issuing a series of management regulations aimed at reversing the passive payment for pollution discharge phenomenon, empirical evidence has not effectively demonstrated the environmental governance outcomes (Chen et al., 2014). Second, the </w:t>
      </w:r>
      <w:r>
        <w:rPr>
          <w:rFonts w:ascii="Times New Roman" w:eastAsia="Microsoft YaHei" w:hAnsi="Times New Roman" w:cs="Times New Roman" w:hint="eastAsia"/>
          <w:sz w:val="22"/>
          <w:szCs w:val="24"/>
        </w:rPr>
        <w:lastRenderedPageBreak/>
        <w:t xml:space="preserve">scope of pollution discharge fee collection was relatively narrow, and the rigidity of local collection was generally insufficient, leading to the collection targets being concentrated in the production sector, mostly in large and medium-sized cities, while many small and medium-sized enterprises were scattered in a </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disorderly and polluting</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pattern. From the perspective of enterprises themselves, pollution control, being a non-economic project with obvious externalities, makes it difficult for companies to have the motivation to actively manage pollution. From the perspective of local alienation behavior, there is a deep contradiction between the rules of pollution discharge fee collection and rapid economic growth. Due to the contradictions between environmental law enforcement and local protectionism, the pollution discharge fee system primarily targets large enterprises, severely neglecting small and medium-sized enterprises, ultimately leading to a 'dilemma' between environmental pollution and the rapid development of enterprises.</w:t>
      </w:r>
    </w:p>
    <w:p w14:paraId="300639D1"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Whether the concept of green development can be effectively transformed into a driving force for environmental governance by entities primarily depends on whether these entities can internalize the costs of pollution control, shifting from passive to active governance. The EPTL, enacted in 2016 and officially implemented on January 1, 2018, as an extension of the pollution discharge fee system, marks the smooth transition from a fee to a tax. This law signifies the formal implementation of China's first standalone tax law centered on green taxation and represents a comprehensive reflection of the greening process of China's tax system. In this context, can the </w:t>
      </w:r>
      <w:r w:rsidR="00CF17D2" w:rsidRPr="00CF17D2">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 xml:space="preserve"> fundamentally address the challenges of environmental pollution control? Additionally, does it have a Porter's Law effect on enterprises, thereby effectively promoting improvements in their environmental performance? Addressing this question is crucial for resolving environmental issues arising during enterprise development and further advancing the comprehensive green transformation of economic and social development.</w:t>
      </w:r>
    </w:p>
    <w:p w14:paraId="79E4C1AB"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2. Literature review</w:t>
      </w:r>
    </w:p>
    <w:p w14:paraId="57E6A68B" w14:textId="1396922B"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concept of green taxation originates from Pigou's' Welfare Economics, 'which discusses the dual benefits of environmental and economic effects (Bovenberg et al., 1997). Foreign scholars generally agree that green taxation can achieve environmental benefits, but there is ongoing debate about whether it can also achieve economic benefits (Bonnet et al., 2018). The' Porter Hypothesis 'suggests that green taxation can drive corporate innovation, thereby achieving both environmental and economic benefits. However, some argue that if green innovation is beneficial to companies, why do they not act on their own initiative? Instead, innovation is often driven by external incentives and penalties. China has not had a genuine environmental tax for a long time, and domestic scholars have primarily focused on the pollution discharge fee system, which can be summarized in three aspects: first, the environmental impact of the pollution discharge fee system; second, the economic impact of the pollution discharge fee system; and third, the comprehensive impact of the pollution discharge fee system (</w:t>
      </w:r>
      <w:r w:rsidR="00BA2A58" w:rsidRPr="00BA2A58">
        <w:rPr>
          <w:rFonts w:ascii="Times New Roman" w:eastAsia="Microsoft YaHei" w:hAnsi="Times New Roman" w:cs="Times New Roman" w:hint="eastAsia"/>
          <w:sz w:val="22"/>
          <w:szCs w:val="24"/>
        </w:rPr>
        <w:t>Gunningham, 2009</w:t>
      </w:r>
      <w:r>
        <w:rPr>
          <w:rFonts w:ascii="Times New Roman" w:eastAsia="Microsoft YaHei" w:hAnsi="Times New Roman" w:cs="Times New Roman" w:hint="eastAsia"/>
          <w:sz w:val="22"/>
          <w:szCs w:val="24"/>
        </w:rPr>
        <w:t xml:space="preserve">). By 2018, China gradually transitioned from a fee-based system to a tax-based system, implementing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It is therefore essential to verify whether the dual benefits effect has been realized in China.</w:t>
      </w:r>
    </w:p>
    <w:p w14:paraId="46901237" w14:textId="47C0152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literature related to this study can be categorized into three main areas: First, it examines the microeconomic effects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from various perspectives; Second, it analyzes the primary mechanisms through which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influences corporate behavior, including the rectification actions and relocation behaviors of companies in response to environmental regulations; Third, it focuses on the economic incentives that drive companies to improve their environmental performance.</w:t>
      </w:r>
    </w:p>
    <w:p w14:paraId="20179B27" w14:textId="23A1C258"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microeconomic effects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Scholars have empirically found that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has positive economic outcomes for enterprises, including reducing emissions (</w:t>
      </w:r>
      <w:r w:rsidR="00BA2A58" w:rsidRPr="00BA2A58">
        <w:rPr>
          <w:rFonts w:ascii="Times New Roman" w:eastAsia="Microsoft YaHei" w:hAnsi="Times New Roman" w:cs="Times New Roman" w:hint="eastAsia"/>
          <w:sz w:val="22"/>
          <w:szCs w:val="24"/>
        </w:rPr>
        <w:t>Farooq et al., 2023</w:t>
      </w:r>
      <w:r>
        <w:rPr>
          <w:rFonts w:ascii="Times New Roman" w:eastAsia="Microsoft YaHei" w:hAnsi="Times New Roman" w:cs="Times New Roman" w:hint="eastAsia"/>
          <w:sz w:val="22"/>
          <w:szCs w:val="24"/>
        </w:rPr>
        <w:t>), green transformation (</w:t>
      </w:r>
      <w:r w:rsidR="00BA2A58" w:rsidRPr="00BA2A58">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innovation (</w:t>
      </w:r>
      <w:r w:rsidR="00BA2A58" w:rsidRPr="00BA2A58">
        <w:rPr>
          <w:rFonts w:ascii="Times New Roman" w:eastAsia="Microsoft YaHei" w:hAnsi="Times New Roman" w:cs="Times New Roman" w:hint="eastAsia"/>
          <w:sz w:val="22"/>
          <w:szCs w:val="24"/>
        </w:rPr>
        <w:t>Sahoo et al., 2023</w:t>
      </w:r>
      <w:r>
        <w:rPr>
          <w:rFonts w:ascii="Times New Roman" w:eastAsia="Microsoft YaHei" w:hAnsi="Times New Roman" w:cs="Times New Roman" w:hint="eastAsia"/>
          <w:sz w:val="22"/>
          <w:szCs w:val="24"/>
        </w:rPr>
        <w:t xml:space="preserve">; </w:t>
      </w:r>
      <w:r w:rsidR="00BA2A58" w:rsidRPr="00BA2A58">
        <w:rPr>
          <w:rFonts w:ascii="Times New Roman" w:eastAsia="Microsoft YaHei" w:hAnsi="Times New Roman" w:cs="Times New Roman" w:hint="eastAsia"/>
          <w:sz w:val="22"/>
          <w:szCs w:val="24"/>
        </w:rPr>
        <w:t xml:space="preserve">Ameer </w:t>
      </w:r>
      <w:r w:rsidR="00BA2A58">
        <w:rPr>
          <w:rFonts w:ascii="Times New Roman" w:eastAsia="Microsoft YaHei" w:hAnsi="Times New Roman" w:cs="Times New Roman" w:hint="eastAsia"/>
          <w:sz w:val="22"/>
          <w:szCs w:val="24"/>
        </w:rPr>
        <w:t>and</w:t>
      </w:r>
      <w:r w:rsidR="00BA2A58" w:rsidRPr="00BA2A58">
        <w:rPr>
          <w:rFonts w:ascii="Times New Roman" w:eastAsia="Microsoft YaHei" w:hAnsi="Times New Roman" w:cs="Times New Roman" w:hint="eastAsia"/>
          <w:sz w:val="22"/>
          <w:szCs w:val="24"/>
        </w:rPr>
        <w:t xml:space="preserve"> Khan, 2023</w:t>
      </w:r>
      <w:r>
        <w:rPr>
          <w:rFonts w:ascii="Times New Roman" w:eastAsia="Microsoft YaHei" w:hAnsi="Times New Roman" w:cs="Times New Roman" w:hint="eastAsia"/>
          <w:sz w:val="22"/>
          <w:szCs w:val="24"/>
        </w:rPr>
        <w:t>), total factor productivity (</w:t>
      </w:r>
      <w:r w:rsidR="00BA2A58" w:rsidRPr="00BA2A58">
        <w:rPr>
          <w:rFonts w:ascii="Times New Roman" w:eastAsia="Microsoft YaHei" w:hAnsi="Times New Roman" w:cs="Times New Roman" w:hint="eastAsia"/>
          <w:sz w:val="22"/>
          <w:szCs w:val="24"/>
        </w:rPr>
        <w:t>Hanif et al., 2023</w:t>
      </w:r>
      <w:r>
        <w:rPr>
          <w:rFonts w:ascii="Times New Roman" w:eastAsia="Microsoft YaHei" w:hAnsi="Times New Roman" w:cs="Times New Roman" w:hint="eastAsia"/>
          <w:sz w:val="22"/>
          <w:szCs w:val="24"/>
        </w:rPr>
        <w:t>), and environmental investment (</w:t>
      </w:r>
      <w:r w:rsidR="00BA2A58" w:rsidRPr="00BA2A58">
        <w:rPr>
          <w:rFonts w:ascii="Times New Roman" w:eastAsia="Microsoft YaHei" w:hAnsi="Times New Roman" w:cs="Times New Roman" w:hint="eastAsia"/>
          <w:sz w:val="22"/>
          <w:szCs w:val="24"/>
        </w:rPr>
        <w:t>Awawdeh et al., 2021</w:t>
      </w:r>
      <w:r>
        <w:rPr>
          <w:rFonts w:ascii="Times New Roman" w:eastAsia="Microsoft YaHei" w:hAnsi="Times New Roman" w:cs="Times New Roman" w:hint="eastAsia"/>
          <w:sz w:val="22"/>
          <w:szCs w:val="24"/>
        </w:rPr>
        <w:t xml:space="preserve">). </w:t>
      </w:r>
      <w:r w:rsidR="00BA2A58" w:rsidRPr="00BA2A58">
        <w:rPr>
          <w:rFonts w:ascii="Times New Roman" w:eastAsia="Microsoft YaHei" w:hAnsi="Times New Roman" w:cs="Times New Roman" w:hint="eastAsia"/>
          <w:sz w:val="22"/>
          <w:szCs w:val="24"/>
        </w:rPr>
        <w:t xml:space="preserve">Omran </w:t>
      </w:r>
      <w:r w:rsidR="00BA2A58">
        <w:rPr>
          <w:rFonts w:ascii="Times New Roman" w:eastAsia="Microsoft YaHei" w:hAnsi="Times New Roman" w:cs="Times New Roman" w:hint="eastAsia"/>
          <w:sz w:val="22"/>
          <w:szCs w:val="24"/>
        </w:rPr>
        <w:t>(</w:t>
      </w:r>
      <w:r w:rsidR="00BA2A58" w:rsidRPr="00BA2A58">
        <w:rPr>
          <w:rFonts w:ascii="Times New Roman" w:eastAsia="Microsoft YaHei" w:hAnsi="Times New Roman" w:cs="Times New Roman" w:hint="eastAsia"/>
          <w:sz w:val="22"/>
          <w:szCs w:val="24"/>
        </w:rPr>
        <w:t>2021</w:t>
      </w:r>
      <w:r w:rsidR="00BA2A58">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lastRenderedPageBreak/>
        <w:t xml:space="preserve">found that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helps improve the ESG performance of heavily polluting enterprises, thereby enhancing their sustainable development capabilities. The ESG indicators include environmental performance metrics, but the nine-level standard is too coarse to reveal significant differences in environmental performance among enterprises at the same level, making it difficult to provide direct evidence of improvements in environmental performance.</w:t>
      </w:r>
    </w:p>
    <w:p w14:paraId="44A7F279" w14:textId="732D0526"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influences the micro-level mechanisms of enterprises. Due to information asymmetry among enterprises, the primary mechanism by which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impacts enterprise behavior is through the transformation from passive to active governance. Specifically, the law exerts strong environmental legitimacy pressure, compelling enterprises to take proactive measures against pollution (</w:t>
      </w:r>
      <w:r w:rsidR="00BA2A58" w:rsidRPr="00BA2A58">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xml:space="preserve">). This pressure encourages enterprises to improve their product structures through technological innovation, making them </w:t>
      </w:r>
      <w:r>
        <w:rPr>
          <w:rFonts w:ascii="Times New Roman" w:eastAsia="Microsoft YaHei" w:hAnsi="Times New Roman" w:cs="Times New Roman"/>
          <w:sz w:val="22"/>
          <w:szCs w:val="24"/>
        </w:rPr>
        <w:t>‘cleaner’</w:t>
      </w:r>
      <w:r>
        <w:rPr>
          <w:rFonts w:ascii="Times New Roman" w:eastAsia="Microsoft YaHei" w:hAnsi="Times New Roman" w:cs="Times New Roman" w:hint="eastAsia"/>
          <w:sz w:val="22"/>
          <w:szCs w:val="24"/>
        </w:rPr>
        <w:t xml:space="preserve"> and reducing the proportion of polluting products, thus addressing pollution at its source. Under the exogenous impact of environmental regulations, enterprise behavior undergoes significant changes. According to the 'pollution haven' hypothesis, the high costs of environmental regulation force polluting enterprises to relocate (</w:t>
      </w:r>
      <w:r w:rsidR="00BA2A58" w:rsidRPr="00BA2A58">
        <w:rPr>
          <w:rFonts w:ascii="Times New Roman" w:eastAsia="Microsoft YaHei" w:hAnsi="Times New Roman" w:cs="Times New Roman" w:hint="eastAsia"/>
          <w:sz w:val="22"/>
          <w:szCs w:val="24"/>
        </w:rPr>
        <w:t>Hanif et al., 2023</w:t>
      </w:r>
      <w:r>
        <w:rPr>
          <w:rFonts w:ascii="Times New Roman" w:eastAsia="Microsoft YaHei" w:hAnsi="Times New Roman" w:cs="Times New Roman" w:hint="eastAsia"/>
          <w:sz w:val="22"/>
          <w:szCs w:val="24"/>
        </w:rPr>
        <w:t xml:space="preserve">). Faced with the pollution control pressure from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enterprises may choose to produce in regions with less stringent environmental regulations, thereby reallocating their operations spatially. However, few studies have provided empirical evidence based on the </w:t>
      </w:r>
      <w:r w:rsidR="00595421" w:rsidRPr="00595421">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w:t>
      </w:r>
    </w:p>
    <w:p w14:paraId="7A0DD47C" w14:textId="1A4C957F"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economic incentives for companies to enhance their environmental performance. The first type of incentive stems from the desire to reduce compliance costs and alleviate environmental cost pressures by improving environmental performance. As environmental regulations become increasingly stringent, companies that ignore pollution control will face severe penalties for environmental pollution, which contradicts their goal of maximizing profits. The second type of incentive comes from companies fulfilling their environmental social responsibilities, thereby building intangible assets and enhancing their reputation value. Specifically, this is achieved by enhancing environmental performance, establishing a responsible image, attracting more attention from investors in the capital market, easing financing constraints, and promoting corporate social value (</w:t>
      </w:r>
      <w:r w:rsidR="00BA2A58" w:rsidRPr="00BA2A58">
        <w:rPr>
          <w:rFonts w:ascii="Times New Roman" w:eastAsia="Microsoft YaHei" w:hAnsi="Times New Roman" w:cs="Times New Roman" w:hint="eastAsia"/>
          <w:sz w:val="22"/>
          <w:szCs w:val="24"/>
        </w:rPr>
        <w:t>Nyilasy et al., 2014</w:t>
      </w:r>
      <w:r>
        <w:rPr>
          <w:rFonts w:ascii="Times New Roman" w:eastAsia="Microsoft YaHei" w:hAnsi="Times New Roman" w:cs="Times New Roman" w:hint="eastAsia"/>
          <w:sz w:val="22"/>
          <w:szCs w:val="24"/>
        </w:rPr>
        <w:t xml:space="preserve">). More evidence supports the first type of incentive. </w:t>
      </w:r>
      <w:r w:rsidR="00BA2A58" w:rsidRPr="00BA2A58">
        <w:rPr>
          <w:rFonts w:ascii="Times New Roman" w:eastAsia="Microsoft YaHei" w:hAnsi="Times New Roman" w:cs="Times New Roman" w:hint="eastAsia"/>
          <w:sz w:val="22"/>
          <w:szCs w:val="24"/>
        </w:rPr>
        <w:t xml:space="preserve">Sahoo </w:t>
      </w:r>
      <w:r w:rsidR="00BA2A58">
        <w:rPr>
          <w:rFonts w:ascii="Times New Roman" w:eastAsia="Microsoft YaHei" w:hAnsi="Times New Roman" w:cs="Times New Roman" w:hint="eastAsia"/>
          <w:sz w:val="22"/>
          <w:szCs w:val="24"/>
        </w:rPr>
        <w:t>(</w:t>
      </w:r>
      <w:r w:rsidR="00BA2A58" w:rsidRPr="00BA2A58">
        <w:rPr>
          <w:rFonts w:ascii="Times New Roman" w:eastAsia="Microsoft YaHei" w:hAnsi="Times New Roman" w:cs="Times New Roman" w:hint="eastAsia"/>
          <w:sz w:val="22"/>
          <w:szCs w:val="24"/>
        </w:rPr>
        <w:t>2023</w:t>
      </w:r>
      <w:r w:rsidR="00BA2A58">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examined the micro effects of environmental law enforcement supervision from the perspective of corporate environmental performance, finding that environmental inspections significantly improved the environmental performance of enterprises in the inspected regions. </w:t>
      </w:r>
      <w:r w:rsidR="00BA2A58" w:rsidRPr="00BA2A58">
        <w:rPr>
          <w:rFonts w:ascii="Times New Roman" w:eastAsia="Microsoft YaHei" w:hAnsi="Times New Roman" w:cs="Times New Roman" w:hint="eastAsia"/>
          <w:sz w:val="22"/>
          <w:szCs w:val="24"/>
        </w:rPr>
        <w:t>Gunningham</w:t>
      </w:r>
      <w:r w:rsidR="00BA2A58">
        <w:rPr>
          <w:rFonts w:ascii="Times New Roman" w:eastAsia="Microsoft YaHei" w:hAnsi="Times New Roman" w:cs="Times New Roman" w:hint="eastAsia"/>
          <w:sz w:val="22"/>
          <w:szCs w:val="24"/>
        </w:rPr>
        <w:t xml:space="preserve"> (</w:t>
      </w:r>
      <w:r w:rsidR="00BA2A58" w:rsidRPr="00BA2A58">
        <w:rPr>
          <w:rFonts w:ascii="Times New Roman" w:eastAsia="Microsoft YaHei" w:hAnsi="Times New Roman" w:cs="Times New Roman" w:hint="eastAsia"/>
          <w:sz w:val="22"/>
          <w:szCs w:val="24"/>
        </w:rPr>
        <w:t>2009</w:t>
      </w:r>
      <w:r w:rsidR="00BA2A58">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used the establishment of the Environmental Protection Law as an event to verify that the law significantly improved corporate environmental performance through its legal mechanisms of punishment and incentives.</w:t>
      </w:r>
    </w:p>
    <w:p w14:paraId="7F9D92A7" w14:textId="196B223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summary, the specific environmental decisions made by microeconomic actors under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and the discussion on the motives for companies to improve their environmental performance within other economic effects are insightful. However, there are still potential areas for further exploration: </w:t>
      </w:r>
      <w:r w:rsidR="0042730B">
        <w:rPr>
          <w:rFonts w:ascii="Times New Roman" w:eastAsia="Microsoft YaHei" w:hAnsi="Times New Roman" w:cs="Times New Roman"/>
          <w:sz w:val="22"/>
          <w:szCs w:val="24"/>
        </w:rPr>
        <w:t>(1)</w:t>
      </w:r>
      <w:r>
        <w:rPr>
          <w:rFonts w:ascii="Times New Roman" w:eastAsia="Microsoft YaHei" w:hAnsi="Times New Roman" w:cs="Times New Roman" w:hint="eastAsia"/>
          <w:sz w:val="22"/>
          <w:szCs w:val="24"/>
        </w:rPr>
        <w:t xml:space="preserve"> In terms of research perspective, existing literature rarely integrates the significant event of China's tax reform,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with corporate environmental performance in a single research framework. Moreover, few studies have examined the migration behavior of enterprises caused by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based on the' pollution haven 'hypothesis; </w:t>
      </w:r>
      <w:r w:rsidR="0042730B" w:rsidRPr="0042730B">
        <w:rPr>
          <w:rFonts w:ascii="Times New Roman" w:eastAsia="Microsoft YaHei" w:hAnsi="Times New Roman" w:cs="Times New Roman"/>
          <w:sz w:val="22"/>
          <w:szCs w:val="24"/>
        </w:rPr>
        <w:t>(</w:t>
      </w:r>
      <w:r w:rsidR="0042730B">
        <w:rPr>
          <w:rFonts w:ascii="Times New Roman" w:eastAsia="Microsoft YaHei" w:hAnsi="Times New Roman" w:cs="Times New Roman"/>
          <w:sz w:val="22"/>
          <w:szCs w:val="24"/>
        </w:rPr>
        <w:t>2</w:t>
      </w:r>
      <w:r w:rsidR="0042730B" w:rsidRPr="0042730B">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In terms of research methods, existing literature often uses methods such as pollutant emission levels (</w:t>
      </w:r>
      <w:r w:rsidR="00BA2A58" w:rsidRPr="00BA2A58">
        <w:rPr>
          <w:rFonts w:ascii="Times New Roman" w:eastAsia="Microsoft YaHei" w:hAnsi="Times New Roman" w:cs="Times New Roman" w:hint="eastAsia"/>
          <w:sz w:val="22"/>
          <w:szCs w:val="24"/>
        </w:rPr>
        <w:t>Uddin et al., 2023</w:t>
      </w:r>
      <w:r>
        <w:rPr>
          <w:rFonts w:ascii="Times New Roman" w:eastAsia="Microsoft YaHei" w:hAnsi="Times New Roman" w:cs="Times New Roman" w:hint="eastAsia"/>
          <w:sz w:val="22"/>
          <w:szCs w:val="24"/>
        </w:rPr>
        <w:t>) and environmental indicator scores (Clarkson et al., 2008) to measure corporate environmental performance. These methods are subjective</w:t>
      </w:r>
      <w:r w:rsidR="0023638D">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and fail to fully capture the potential impact of corporate environmental decisions on their own operations; </w:t>
      </w:r>
      <w:r w:rsidR="0042730B">
        <w:rPr>
          <w:rFonts w:ascii="Times New Roman" w:eastAsia="Microsoft YaHei" w:hAnsi="Times New Roman" w:cs="Times New Roman"/>
          <w:sz w:val="22"/>
          <w:szCs w:val="24"/>
        </w:rPr>
        <w:t>(3)</w:t>
      </w:r>
      <w:r>
        <w:rPr>
          <w:rFonts w:ascii="Times New Roman" w:eastAsia="Microsoft YaHei" w:hAnsi="Times New Roman" w:cs="Times New Roman" w:hint="eastAsia"/>
          <w:sz w:val="22"/>
          <w:szCs w:val="24"/>
        </w:rPr>
        <w:t xml:space="preserve"> In terms of identification strategies, existing literature only roughly categorizes enterprises into polluting and non-polluting types, without considering the differences in law enforcement intensity across industries due to industry size or clustering, leading to biased regression results; </w:t>
      </w:r>
      <w:r w:rsidR="0042730B" w:rsidRPr="0042730B">
        <w:rPr>
          <w:rFonts w:ascii="Times New Roman" w:eastAsia="Microsoft YaHei" w:hAnsi="Times New Roman" w:cs="Times New Roman"/>
          <w:sz w:val="22"/>
          <w:szCs w:val="24"/>
        </w:rPr>
        <w:t>(</w:t>
      </w:r>
      <w:r w:rsidR="0042730B">
        <w:rPr>
          <w:rFonts w:ascii="Times New Roman" w:eastAsia="Microsoft YaHei" w:hAnsi="Times New Roman" w:cs="Times New Roman"/>
          <w:sz w:val="22"/>
          <w:szCs w:val="24"/>
        </w:rPr>
        <w:t>4</w:t>
      </w:r>
      <w:r w:rsidR="0042730B" w:rsidRPr="0042730B">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Few studies have attempted to analyze whether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can enhance local environmental awareness, reduce collusion between government and enterprises, increase </w:t>
      </w:r>
      <w:r>
        <w:rPr>
          <w:rFonts w:ascii="Times New Roman" w:eastAsia="Microsoft YaHei" w:hAnsi="Times New Roman" w:cs="Times New Roman" w:hint="eastAsia"/>
          <w:sz w:val="22"/>
          <w:szCs w:val="24"/>
        </w:rPr>
        <w:lastRenderedPageBreak/>
        <w:t>law enforcement rigidity, and thus eliminate the' hidden economy' to boost environmental performance.</w:t>
      </w:r>
    </w:p>
    <w:p w14:paraId="5B100960" w14:textId="5D703668"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Based on this, the article uses micro data from listed companies in the Shanghai and Shenzhen A-share markets, along with relevant data from the 'China Environmental Statistics Yearbook' and provincial statistical yearbooks over the years, to examine how the establishment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affects corporate environmental performance. It also analyzes whether companies will rectify their practices or engage in cross-regional production under such environmental regulations. The research theme enriches previous studies on environmental regulation and corporate environmental behavior, with potential marginal contributions in three main areas: First, it examines the specific impact of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on corporate environmental performance at the micro-level, further enriching research in this area. Building on existing studies, this exploration helps deepen our understanding of the current dynamic development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and enhances research on the interaction between enterprises and environmental policies. Second, using rich macro and micro data, the article explores two channels</w:t>
      </w:r>
      <w:r w:rsidR="0042730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corporate environmental pollution rectification and increased location selection</w:t>
      </w:r>
      <w:r w:rsidR="0042730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to reveal the possible behaviors of companies facing the green tax law and the internal logic behind their pursuit of optimal environmental protection decisions in response to environmental regulation. This study examines how companies can flexibly adapt to macro environmental regulation and adapt to new characteristics of changes in regulatory intensity from both theoretical and empirical perspectives. Third, the article expands the intrinsic driving factors of corporate environmental performance from the perspective of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The findings are significant for promoting corporate responsibility in environmental pollution control and building a modern society where humans and nature coexist harmoniously.</w:t>
      </w:r>
    </w:p>
    <w:p w14:paraId="114499B2"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3. Institutional background and research hypothesis</w:t>
      </w:r>
    </w:p>
    <w:p w14:paraId="0FC8F1C5"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3.1 Institutional background</w:t>
      </w:r>
    </w:p>
    <w:p w14:paraId="2AEFDD92" w14:textId="0FE7C2A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environmental protection tax system in China originated from the pollution discharge fee system, which began as a pilot program in 1979 and was officially implemented nationwide in 1982. The </w:t>
      </w:r>
      <w:r w:rsidR="00CE1A0D">
        <w:rPr>
          <w:rFonts w:ascii="Times New Roman" w:eastAsia="Microsoft YaHei" w:hAnsi="Times New Roman" w:cs="Times New Roman" w:hint="eastAsia"/>
          <w:sz w:val="22"/>
          <w:szCs w:val="24"/>
        </w:rPr>
        <w:t xml:space="preserve">ETPL </w:t>
      </w:r>
      <w:r>
        <w:rPr>
          <w:rFonts w:ascii="Times New Roman" w:eastAsia="Microsoft YaHei" w:hAnsi="Times New Roman" w:cs="Times New Roman" w:hint="eastAsia"/>
          <w:sz w:val="22"/>
          <w:szCs w:val="24"/>
        </w:rPr>
        <w:t>was approved on December 25,2016, and came into effect on January 1, 2018, marking the end of the more than 30-year-old pollution discharge fee system. The law primarily draws on the design of the pollution discharge fee system, ensuring a smooth transition from a fee-based to a tax-based system through institutional and tax burden transfers. It also promotes corporate compliance with environmental obligations through mandatory punitive and positive incentive mechanisms outlined in the tax law.</w:t>
      </w:r>
    </w:p>
    <w:p w14:paraId="4F13FD0F" w14:textId="2F6F15F5"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According to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the tax is levied on enterprises, institutions, and other producers and operators. The taxable pollutants include air pollutants, water pollutants, solid waste, and noise, as specified in the attached regulations of the law. Compared to the pollution discharge fee system,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strengthened both institutional and policy arrangements. The law taxes enterprises based on the type and degree of pollution of their emissions. For instance, if a taxpayer's emission concentration is 30% below the standard, the tax is reduced to 75%; if it is below 50%, the tax is reduced to 50%. The law also implements differentiated management based on the pollution level of the pollutants. Additionally, a dynamic tax rate adjustment mechanism is adopted, where the central government sets the minimum standard, and local governments can adjust it upward as needed.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specifies the upper and lower limits of the taxable amount, authorizes local governments to propose specific applicable tax rates based on local conditions, and reports these to the standing committee of the same-level people's congress for approval, to meet the environmental governance needs of different regions.</w:t>
      </w:r>
    </w:p>
    <w:p w14:paraId="4CE00C2E" w14:textId="058AF1F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terms of policy arrangements,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encourages enterprises to engage in clean production activities. Specifically, the law offers multiple tax reduction benefits for companies that implement clean production practices, thereby maximizing the positive incentives of tax incentives. Additionally, it supports enterprises in concentrating on pollutant treatment. The law stipulates that enterprises, institutions, and other producers and </w:t>
      </w:r>
      <w:r>
        <w:rPr>
          <w:rFonts w:ascii="Times New Roman" w:eastAsia="Microsoft YaHei" w:hAnsi="Times New Roman" w:cs="Times New Roman" w:hint="eastAsia"/>
          <w:sz w:val="22"/>
          <w:szCs w:val="24"/>
        </w:rPr>
        <w:lastRenderedPageBreak/>
        <w:t xml:space="preserve">operators that discharge taxable pollutants to legally established centralized sewage treatment facilities or centralized household waste treatment facilities are exempt from the environmental protection tax. It also encourages enterprises to recycle emissions; taxpayers who comprehensively utilize solid waste that meets national and local environmental protection standards are temporarily exempt from the environmental protection tax. As a significant practice in China's tax system reform, the </w:t>
      </w:r>
      <w:r w:rsidR="00CE1A0D">
        <w:rPr>
          <w:rFonts w:ascii="Times New Roman" w:eastAsia="Microsoft YaHei" w:hAnsi="Times New Roman" w:cs="Times New Roman" w:hint="eastAsia"/>
          <w:sz w:val="22"/>
          <w:szCs w:val="24"/>
        </w:rPr>
        <w:t xml:space="preserve">ETPL </w:t>
      </w:r>
      <w:r>
        <w:rPr>
          <w:rFonts w:ascii="Times New Roman" w:eastAsia="Microsoft YaHei" w:hAnsi="Times New Roman" w:cs="Times New Roman" w:hint="eastAsia"/>
          <w:sz w:val="22"/>
          <w:szCs w:val="24"/>
        </w:rPr>
        <w:t xml:space="preserve">marks the formal elevation of China's environmental protection system from an administrative level to a legal one. This article will examine whether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can effectively enhance corporate environmental performance, based on the official implementation of the law.</w:t>
      </w:r>
    </w:p>
    <w:p w14:paraId="4A40117C" w14:textId="77777777" w:rsidR="009C3784" w:rsidRPr="00595421" w:rsidRDefault="00D95DA7">
      <w:pPr>
        <w:rPr>
          <w:rFonts w:ascii="Times New Roman" w:eastAsia="SimSun" w:hAnsi="Times New Roman" w:cs="Times New Roman"/>
          <w:b/>
          <w:sz w:val="22"/>
          <w:szCs w:val="24"/>
        </w:rPr>
      </w:pPr>
      <w:r w:rsidRPr="00595421">
        <w:rPr>
          <w:rFonts w:ascii="Times New Roman" w:eastAsia="Microsoft YaHei" w:hAnsi="Times New Roman" w:cs="Times New Roman" w:hint="eastAsia"/>
          <w:b/>
          <w:sz w:val="22"/>
          <w:szCs w:val="24"/>
        </w:rPr>
        <w:t>3.2 Research hypothesis</w:t>
      </w:r>
    </w:p>
    <w:p w14:paraId="16EB948C" w14:textId="0A470694"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Unforeseen expenses lead to increased private costs for businesses, hindering their ability to expand production and contradicting the goal of maximizing profits. If companies allocate part of their funds to pollution control, it generates positive externalities that cannot be internalized, eroding their price advantage and placing them at a disadvantage in an imperfect competitive market. Therefore, when there are no external constraints, companies lack the incentive to actively manage pollution. What methods can address this issue? Pigou's' polluter pays principle' provides a theoretical solution. This principle involves imposing a Pigou tax on polluters based on the severity of their pollution, using the tax to bridge the gap between private and social costs. Environmental taxes, derived from the Pigou tax, increase the costs for firms that impose negative externalities through taxation, indirectly raising the cost of resource use and correcting intergenerational unfairness in resource allocation.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green credit policies, and emission trading policies are all market-based regulatory tools, but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have a more solid legal foundation, relying on the authority and enforceability of the law to regulate corporate pollution. From a punishment mechanism perspective, environmental protection taxes establish strict pollutant emission standards, clearly defining taxable items, units, and amounts, thereby increasing compliance costs to control corporate emissions of pollutants and greenhouse gases, forcing companies to reduce pollution and improve their environmental performance. From the perspective of the tax law's incentive mechanism,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adopts a positive emission reduction incentive system that levies taxes based on emissions: more emissions, more taxes; fewer emissions, fewer taxes; no emissions, no taxes. This system encourages companies to reduce energy consumption and emissions, guides them to accelerate the development of green industrial and supply chains, and expands the scale of green production. Additionally,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supports companies in making environmental decisions and implementing green governance by providing policy support and resource allocation to those that proactively manage pollution and fulfill their environmental social responsibilities, thereby enhancing their environmental performance.</w:t>
      </w:r>
    </w:p>
    <w:p w14:paraId="66AE71CF"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paper proposes the following </w:t>
      </w:r>
      <w:r w:rsidR="0042730B" w:rsidRPr="0042730B">
        <w:rPr>
          <w:rFonts w:ascii="Times New Roman" w:eastAsia="Microsoft YaHei" w:hAnsi="Times New Roman" w:cs="Times New Roman"/>
          <w:sz w:val="22"/>
          <w:szCs w:val="24"/>
        </w:rPr>
        <w:t>hypothesis</w:t>
      </w:r>
      <w:r>
        <w:rPr>
          <w:rFonts w:ascii="Times New Roman" w:eastAsia="Microsoft YaHei" w:hAnsi="Times New Roman" w:cs="Times New Roman" w:hint="eastAsia"/>
          <w:sz w:val="22"/>
          <w:szCs w:val="24"/>
        </w:rPr>
        <w:t>:</w:t>
      </w:r>
    </w:p>
    <w:p w14:paraId="4D50FFD2" w14:textId="40A01F99" w:rsidR="009C3784" w:rsidRDefault="00D95DA7" w:rsidP="0042730B">
      <w:pPr>
        <w:rPr>
          <w:rFonts w:ascii="Times New Roman" w:eastAsia="SimSun" w:hAnsi="Times New Roman" w:cs="Times New Roman"/>
          <w:sz w:val="22"/>
          <w:szCs w:val="24"/>
        </w:rPr>
      </w:pPr>
      <w:r>
        <w:rPr>
          <w:rFonts w:ascii="Times New Roman" w:eastAsia="Microsoft YaHei" w:hAnsi="Times New Roman" w:cs="Times New Roman" w:hint="eastAsia"/>
          <w:sz w:val="22"/>
          <w:szCs w:val="24"/>
        </w:rPr>
        <w:t>H1:</w:t>
      </w:r>
      <w:r w:rsidRPr="0042730B">
        <w:rPr>
          <w:rFonts w:ascii="Times New Roman" w:eastAsia="Microsoft YaHei" w:hAnsi="Times New Roman" w:cs="Times New Roman" w:hint="eastAsia"/>
          <w:b/>
          <w:i/>
          <w:sz w:val="22"/>
          <w:szCs w:val="24"/>
        </w:rPr>
        <w:t xml:space="preserve">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xml:space="preserve"> can improve the environmental performance of enterprises. Compared with other industries, the improvement effect of environmental performance of enterprises affected by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xml:space="preserve"> is more significant.</w:t>
      </w:r>
    </w:p>
    <w:p w14:paraId="3772EB2A" w14:textId="63D733E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China implements a regional responsibility system to oversee local environmental quality, making the specific actions of local governments crucial for regional environmental quality. This situation means that, compared to environmental governance, if local governments prioritize economic performance over environmental protection, they may struggle to achieve effective local environmental governance. Given China's long-term' extensive 'economic development, the local competition model weakens the effectiveness of administrative supervision, making it difficult for command-and-control environmental regulations to function effectively (</w:t>
      </w:r>
      <w:r w:rsidR="00CD5DE6" w:rsidRPr="00CD5DE6">
        <w:rPr>
          <w:rFonts w:ascii="Times New Roman" w:eastAsia="Microsoft YaHei" w:hAnsi="Times New Roman" w:cs="Times New Roman" w:hint="eastAsia"/>
          <w:sz w:val="22"/>
          <w:szCs w:val="24"/>
        </w:rPr>
        <w:t>Yan et al., 2021</w:t>
      </w:r>
      <w:r>
        <w:rPr>
          <w:rFonts w:ascii="Times New Roman" w:eastAsia="Microsoft YaHei" w:hAnsi="Times New Roman" w:cs="Times New Roman" w:hint="eastAsia"/>
          <w:sz w:val="22"/>
          <w:szCs w:val="24"/>
        </w:rPr>
        <w:t xml:space="preserve">; </w:t>
      </w:r>
      <w:r w:rsidR="00CD5DE6" w:rsidRPr="00CD5DE6">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Local governments frequently intervene in environmental law enforcement through administrative measures, and the collusion between government and enterprises is an urgent issue that needs addressing (</w:t>
      </w:r>
      <w:r w:rsidR="00CD5DE6" w:rsidRPr="00CD5DE6">
        <w:rPr>
          <w:rFonts w:ascii="Times New Roman" w:eastAsia="Microsoft YaHei" w:hAnsi="Times New Roman" w:cs="Times New Roman" w:hint="eastAsia"/>
          <w:sz w:val="22"/>
          <w:szCs w:val="24"/>
        </w:rPr>
        <w:t>Verbeke and Coeck, 1997</w:t>
      </w:r>
      <w:r>
        <w:rPr>
          <w:rFonts w:ascii="Times New Roman" w:eastAsia="Microsoft YaHei" w:hAnsi="Times New Roman" w:cs="Times New Roman" w:hint="eastAsia"/>
          <w:sz w:val="22"/>
          <w:szCs w:val="24"/>
        </w:rPr>
        <w:t xml:space="preserve">). Compared to traditional </w:t>
      </w:r>
      <w:r>
        <w:rPr>
          <w:rFonts w:ascii="Times New Roman" w:eastAsia="Microsoft YaHei" w:hAnsi="Times New Roman" w:cs="Times New Roman" w:hint="eastAsia"/>
          <w:sz w:val="22"/>
          <w:szCs w:val="24"/>
        </w:rPr>
        <w:lastRenderedPageBreak/>
        <w:t xml:space="preserve">administrative regulatory methods,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helps address the issue of collusion between government and enterprises and promotes improvements in corporate environmental performance. Specifically,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enhances the willingness of tax enforcement agencies to enforce laws, breaks down collusion between government and enterprises, and strengthens the environmental focus of local governments. This helps to eliminate the' invisible economy' and forces enterprises to comply with environmental regulations. Additionally, the tax law requires the competent authorities to regularly report environmental protection information to the tax authorities and uses legal measures to strictly punish non-reporting or false reporting of enterprise emissions, ensuring the enforcement efficiency of the tax law. Furthermore, the diversity of entities involved in tax supervision means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can better leverage the coordination and cooperation among various functional departments compared to other regulatory measures. This law has stronger enforcement rigidity, encourages local government departments to focus on environmental efficiency, and promotes the achievement of administrative goals (</w:t>
      </w:r>
      <w:r w:rsidR="00CD5DE6" w:rsidRPr="00CD5DE6">
        <w:rPr>
          <w:rFonts w:ascii="Times New Roman" w:eastAsia="Microsoft YaHei" w:hAnsi="Times New Roman" w:cs="Times New Roman" w:hint="eastAsia"/>
          <w:sz w:val="22"/>
          <w:szCs w:val="24"/>
        </w:rPr>
        <w:t>Gunningham, 2009</w:t>
      </w:r>
      <w:r>
        <w:rPr>
          <w:rFonts w:ascii="Times New Roman" w:eastAsia="Microsoft YaHei" w:hAnsi="Times New Roman" w:cs="Times New Roman" w:hint="eastAsia"/>
          <w:sz w:val="22"/>
          <w:szCs w:val="24"/>
        </w:rPr>
        <w:t xml:space="preserve">). From a policy design perspective,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as an extension of the pollution discharge fee system, is more deeply considered in response to China's current pollution control situation. In terms of policy implementation strategies, it complements and strengthens the pollution discharge fee system, making the increase in environmental taxes more direct and effective (</w:t>
      </w:r>
      <w:r w:rsidR="00CD5DE6" w:rsidRPr="00CD5DE6">
        <w:rPr>
          <w:rFonts w:ascii="Times New Roman" w:eastAsia="Microsoft YaHei" w:hAnsi="Times New Roman" w:cs="Times New Roman" w:hint="eastAsia"/>
          <w:sz w:val="22"/>
          <w:szCs w:val="24"/>
        </w:rPr>
        <w:t>Pham et al., 2024</w:t>
      </w:r>
      <w:r>
        <w:rPr>
          <w:rFonts w:ascii="Times New Roman" w:eastAsia="Microsoft YaHei" w:hAnsi="Times New Roman" w:cs="Times New Roman" w:hint="eastAsia"/>
          <w:sz w:val="22"/>
          <w:szCs w:val="24"/>
        </w:rPr>
        <w:t>). Regarding the types of products regulated entities produce, well-designed environmental policies generate an' innovation compensation' effect, encouraging companies to integrate emerging technologies into their production processes, leading to the reallocation of internal product resources and productivity improvements (</w:t>
      </w:r>
      <w:r w:rsidR="00CD5DE6" w:rsidRPr="00CD5DE6">
        <w:rPr>
          <w:rFonts w:ascii="Times New Roman" w:eastAsia="Microsoft YaHei" w:hAnsi="Times New Roman" w:cs="Times New Roman" w:hint="eastAsia"/>
          <w:sz w:val="22"/>
          <w:szCs w:val="24"/>
        </w:rPr>
        <w:t>Chelly et al., 2022</w:t>
      </w:r>
      <w:r>
        <w:rPr>
          <w:rFonts w:ascii="Times New Roman" w:eastAsia="Microsoft YaHei" w:hAnsi="Times New Roman" w:cs="Times New Roman" w:hint="eastAsia"/>
          <w:sz w:val="22"/>
          <w:szCs w:val="24"/>
        </w:rPr>
        <w:t>; Acemoglu et al., 2012). The increase in environmental taxes for non-green products by enterprises promotes greater investment in end-of-pipe treatment, driving companies to adjust their product structures through green innovation, resulting in a cleaner product structure.</w:t>
      </w:r>
    </w:p>
    <w:p w14:paraId="4EB475DC"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paper proposes the following </w:t>
      </w:r>
      <w:r w:rsidR="0042730B" w:rsidRPr="0042730B">
        <w:rPr>
          <w:rFonts w:ascii="Times New Roman" w:eastAsia="Microsoft YaHei" w:hAnsi="Times New Roman" w:cs="Times New Roman"/>
          <w:sz w:val="22"/>
          <w:szCs w:val="24"/>
        </w:rPr>
        <w:t>hypothesis</w:t>
      </w:r>
      <w:r>
        <w:rPr>
          <w:rFonts w:ascii="Times New Roman" w:eastAsia="Microsoft YaHei" w:hAnsi="Times New Roman" w:cs="Times New Roman" w:hint="eastAsia"/>
          <w:sz w:val="22"/>
          <w:szCs w:val="24"/>
        </w:rPr>
        <w:t>:</w:t>
      </w:r>
    </w:p>
    <w:p w14:paraId="7C1A5D53" w14:textId="0110C382" w:rsidR="009C3784" w:rsidRDefault="00D95DA7" w:rsidP="0042730B">
      <w:pPr>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H2: </w:t>
      </w:r>
      <w:r w:rsidRPr="0042730B">
        <w:rPr>
          <w:rFonts w:ascii="Times New Roman" w:eastAsia="Microsoft YaHei" w:hAnsi="Times New Roman" w:cs="Times New Roman" w:hint="eastAsia"/>
          <w:b/>
          <w:i/>
          <w:sz w:val="22"/>
          <w:szCs w:val="24"/>
        </w:rPr>
        <w:t xml:space="preserve">The implementation of the </w:t>
      </w:r>
      <w:r w:rsidR="00CE1A0D">
        <w:rPr>
          <w:rFonts w:ascii="Times New Roman" w:eastAsia="Microsoft YaHei" w:hAnsi="Times New Roman" w:cs="Times New Roman" w:hint="eastAsia"/>
          <w:b/>
          <w:i/>
          <w:sz w:val="22"/>
          <w:szCs w:val="24"/>
        </w:rPr>
        <w:t xml:space="preserve">EPTL </w:t>
      </w:r>
      <w:r w:rsidRPr="0042730B">
        <w:rPr>
          <w:rFonts w:ascii="Times New Roman" w:eastAsia="Microsoft YaHei" w:hAnsi="Times New Roman" w:cs="Times New Roman" w:hint="eastAsia"/>
          <w:b/>
          <w:i/>
          <w:sz w:val="22"/>
          <w:szCs w:val="24"/>
        </w:rPr>
        <w:t>will help improve the environmental awareness of local governments, strengthen the rigidity of law enforcement, break the collusion between government and enterprises, and encourage enterprises to make green innovation to promote the improvement of their environmental performance.</w:t>
      </w:r>
    </w:p>
    <w:p w14:paraId="1A7B2248" w14:textId="36932E2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From the classical </w:t>
      </w:r>
      <w:r w:rsidR="0042730B">
        <w:rPr>
          <w:rFonts w:ascii="Times New Roman" w:eastAsia="Microsoft YaHei" w:hAnsi="Times New Roman" w:cs="Times New Roman"/>
          <w:sz w:val="22"/>
          <w:szCs w:val="24"/>
        </w:rPr>
        <w:t>a</w:t>
      </w:r>
      <w:r>
        <w:rPr>
          <w:rFonts w:ascii="Times New Roman" w:eastAsia="Microsoft YaHei" w:hAnsi="Times New Roman" w:cs="Times New Roman" w:hint="eastAsia"/>
          <w:sz w:val="22"/>
          <w:szCs w:val="24"/>
        </w:rPr>
        <w:t>gricultural location theory to the Weber industrial location theory, and then to the neoclassical location theory, companies typically choose locations with the lowest production costs and the greatest cost savings. As environmental regulations become stricter, leading to higher production and compliance costs, regulated companies, unable to afford the rising operational costs, are less motivated to improve and instead opt to evade environmental enforcement, resulting in negative cross-regional relocation (</w:t>
      </w:r>
      <w:r w:rsidR="0094420B" w:rsidRPr="0094420B">
        <w:rPr>
          <w:rFonts w:ascii="Times New Roman" w:eastAsia="Microsoft YaHei" w:hAnsi="Times New Roman" w:cs="Times New Roman" w:hint="eastAsia"/>
          <w:sz w:val="22"/>
          <w:szCs w:val="24"/>
        </w:rPr>
        <w:t>Farooq et al., 2023</w:t>
      </w:r>
      <w:r>
        <w:rPr>
          <w:rFonts w:ascii="Times New Roman" w:eastAsia="Microsoft YaHei" w:hAnsi="Times New Roman" w:cs="Times New Roman" w:hint="eastAsia"/>
          <w:sz w:val="22"/>
          <w:szCs w:val="24"/>
        </w:rPr>
        <w:t>). The formal imple</w:t>
      </w:r>
      <w:bookmarkStart w:id="3" w:name="_Hlk118217651"/>
      <w:r>
        <w:rPr>
          <w:rFonts w:ascii="Times New Roman" w:eastAsia="Microsoft YaHei" w:hAnsi="Times New Roman" w:cs="Times New Roman" w:hint="eastAsia"/>
          <w:sz w:val="22"/>
          <w:szCs w:val="24"/>
        </w:rPr>
        <w:t>mentatio</w:t>
      </w:r>
      <w:bookmarkEnd w:id="3"/>
      <w:r>
        <w:rPr>
          <w:rFonts w:ascii="Times New Roman" w:eastAsia="Microsoft YaHei" w:hAnsi="Times New Roman" w:cs="Times New Roman" w:hint="eastAsia"/>
          <w:sz w:val="22"/>
          <w:szCs w:val="24"/>
        </w:rPr>
        <w:t xml:space="preserve">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means that heavily polluting enterprises must not only face local environmental policies such as environmental consultations and pilot projects (</w:t>
      </w:r>
      <w:r w:rsidR="0094420B" w:rsidRPr="0094420B">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xml:space="preserve">) but also the environmental legitimacy pressure imposed by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which increases their compliance costs. According to the 'Pollution Haven Hypothesis,' heavily polluting enterprises tend to choose regions with lower environmental thresholds for production (Tobey, 2001; Galeotti et al., 2020). Considering China's current development situation, the imbalance and inadequacy in development have led to continuous economic differentiation among regions, and the gradient differences in environmental standards and management strictness across regions make pollution transfer possible. Research by </w:t>
      </w:r>
      <w:r w:rsidR="00522014" w:rsidRPr="00522014">
        <w:rPr>
          <w:rFonts w:ascii="Times New Roman" w:eastAsia="Microsoft YaHei" w:hAnsi="Times New Roman" w:cs="Times New Roman" w:hint="eastAsia"/>
          <w:sz w:val="22"/>
          <w:szCs w:val="24"/>
        </w:rPr>
        <w:t>Gunningham</w:t>
      </w:r>
      <w:r w:rsidR="00522014">
        <w:rPr>
          <w:rFonts w:ascii="Times New Roman" w:eastAsia="Microsoft YaHei" w:hAnsi="Times New Roman" w:cs="Times New Roman" w:hint="eastAsia"/>
          <w:sz w:val="22"/>
          <w:szCs w:val="24"/>
        </w:rPr>
        <w:t xml:space="preserve"> (</w:t>
      </w:r>
      <w:r w:rsidR="00522014" w:rsidRPr="00522014">
        <w:rPr>
          <w:rFonts w:ascii="Times New Roman" w:eastAsia="Microsoft YaHei" w:hAnsi="Times New Roman" w:cs="Times New Roman" w:hint="eastAsia"/>
          <w:sz w:val="22"/>
          <w:szCs w:val="24"/>
        </w:rPr>
        <w:t>2009</w:t>
      </w:r>
      <w:r w:rsidR="00522014">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has found that regional disparities in environmental regulations can lead to the near-term transfer of pollution. </w:t>
      </w:r>
      <w:r w:rsidR="0094420B" w:rsidRPr="00162214">
        <w:rPr>
          <w:rFonts w:ascii="Times New Roman" w:eastAsia="Microsoft YaHei" w:hAnsi="Times New Roman" w:cs="Times New Roman"/>
          <w:sz w:val="22"/>
          <w:szCs w:val="24"/>
        </w:rPr>
        <w:t>Bădîrcea</w:t>
      </w:r>
      <w:r w:rsidR="0094420B" w:rsidRPr="0094420B">
        <w:rPr>
          <w:rFonts w:ascii="Times New Roman" w:eastAsia="Microsoft YaHei" w:hAnsi="Times New Roman" w:cs="Times New Roman" w:hint="eastAsia"/>
          <w:sz w:val="22"/>
          <w:szCs w:val="24"/>
        </w:rPr>
        <w:t xml:space="preserve"> et al. </w:t>
      </w:r>
      <w:r w:rsidR="0094420B">
        <w:rPr>
          <w:rFonts w:ascii="Times New Roman" w:eastAsia="Microsoft YaHei" w:hAnsi="Times New Roman" w:cs="Times New Roman" w:hint="eastAsia"/>
          <w:sz w:val="22"/>
          <w:szCs w:val="24"/>
        </w:rPr>
        <w:t>(</w:t>
      </w:r>
      <w:r w:rsidR="0094420B" w:rsidRPr="0094420B">
        <w:rPr>
          <w:rFonts w:ascii="Times New Roman" w:eastAsia="Microsoft YaHei" w:hAnsi="Times New Roman" w:cs="Times New Roman" w:hint="eastAsia"/>
          <w:sz w:val="22"/>
          <w:szCs w:val="24"/>
        </w:rPr>
        <w:t>2020</w:t>
      </w:r>
      <w:r w:rsidR="0094420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assessed the impact of environmental regulations on regional carbon emissions, highlighting that the varying intensity of these regulations across different regions in China leads to the transfer of carbon emissions within these regions. New economic geography, which examines spatial economic structures and changes, further emphasizes that market potential is a key factor influencing corporate location </w:t>
      </w:r>
      <w:r>
        <w:rPr>
          <w:rFonts w:ascii="Times New Roman" w:eastAsia="Microsoft YaHei" w:hAnsi="Times New Roman" w:cs="Times New Roman" w:hint="eastAsia"/>
          <w:sz w:val="22"/>
          <w:szCs w:val="24"/>
        </w:rPr>
        <w:lastRenderedPageBreak/>
        <w:t>decisions. The Environmental Protection Law grants local governments the authority to set tax rates (</w:t>
      </w:r>
      <w:r w:rsidR="0094420B" w:rsidRPr="0094420B">
        <w:rPr>
          <w:rFonts w:ascii="Times New Roman" w:eastAsia="Microsoft YaHei" w:hAnsi="Times New Roman" w:cs="Times New Roman" w:hint="cs"/>
          <w:sz w:val="22"/>
          <w:szCs w:val="24"/>
        </w:rPr>
        <w:t>İ</w:t>
      </w:r>
      <w:r w:rsidR="0094420B" w:rsidRPr="0094420B">
        <w:rPr>
          <w:rFonts w:ascii="Times New Roman" w:eastAsia="Microsoft YaHei" w:hAnsi="Times New Roman" w:cs="Times New Roman"/>
          <w:sz w:val="22"/>
          <w:szCs w:val="24"/>
        </w:rPr>
        <w:t xml:space="preserve">nceiplik </w:t>
      </w:r>
      <w:r w:rsidR="0094420B">
        <w:rPr>
          <w:rFonts w:ascii="Times New Roman" w:eastAsia="Microsoft YaHei" w:hAnsi="Times New Roman" w:cs="Times New Roman" w:hint="eastAsia"/>
          <w:sz w:val="22"/>
          <w:szCs w:val="24"/>
        </w:rPr>
        <w:t>and</w:t>
      </w:r>
      <w:r w:rsidR="0094420B" w:rsidRPr="0094420B">
        <w:rPr>
          <w:rFonts w:ascii="Times New Roman" w:eastAsia="Microsoft YaHei" w:hAnsi="Times New Roman" w:cs="Times New Roman"/>
          <w:sz w:val="22"/>
          <w:szCs w:val="24"/>
        </w:rPr>
        <w:t xml:space="preserve"> Şimşek, 2024</w:t>
      </w:r>
      <w:r>
        <w:rPr>
          <w:rFonts w:ascii="Times New Roman" w:eastAsia="Microsoft YaHei" w:hAnsi="Times New Roman" w:cs="Times New Roman" w:hint="eastAsia"/>
          <w:sz w:val="22"/>
          <w:szCs w:val="24"/>
        </w:rPr>
        <w:t xml:space="preserve">), allowing them to determine and adjust the tax rates for certain taxable pollutants, balancing environmental protection with economic and social development. This regulation means that polluting enterprises in developed areas may face stricter environmental regulations. For instance, in Xinjiang, the tax rates for air and water pollutants are 1.2 yuan and 1.4 yuan per pollution equivalent, respectively, whereas in Jiangsu, the tax rate for air pollutants is 4.8 yuan per pollution equivalent (8.4 yuan per pollution equivalent in Nanjing), and for water pollutants, it is 5.6 yuan per pollution equivalent (8.4 yuan per pollution equivalent in Nanjing). This indicates that there are significant differences in the local applicable tax rates under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and market potential varies significantly with the intensity of local regulations. Faced with varying environmental compliance pressures in different regions, if companies find it difficult to bear the costs of rectification, they may be motivated to engage in cross-regional production.</w:t>
      </w:r>
    </w:p>
    <w:p w14:paraId="00DED1A4"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paper proposes the following hypotheses:</w:t>
      </w:r>
    </w:p>
    <w:p w14:paraId="7F1D3DDE" w14:textId="1066A4EA" w:rsidR="009C3784" w:rsidRPr="0042730B" w:rsidRDefault="00D95DA7" w:rsidP="0042730B">
      <w:pPr>
        <w:rPr>
          <w:rFonts w:ascii="Times New Roman" w:eastAsia="SimSun" w:hAnsi="Times New Roman" w:cs="Times New Roman"/>
          <w:b/>
          <w:i/>
          <w:sz w:val="22"/>
          <w:szCs w:val="24"/>
        </w:rPr>
      </w:pPr>
      <w:r>
        <w:rPr>
          <w:rFonts w:ascii="Times New Roman" w:eastAsia="Microsoft YaHei" w:hAnsi="Times New Roman" w:cs="Times New Roman" w:hint="eastAsia"/>
          <w:sz w:val="22"/>
          <w:szCs w:val="24"/>
        </w:rPr>
        <w:t xml:space="preserve">H3a: </w:t>
      </w:r>
      <w:r w:rsidRPr="0042730B">
        <w:rPr>
          <w:rFonts w:ascii="Times New Roman" w:eastAsia="Microsoft YaHei" w:hAnsi="Times New Roman" w:cs="Times New Roman" w:hint="eastAsia"/>
          <w:b/>
          <w:i/>
          <w:sz w:val="22"/>
          <w:szCs w:val="24"/>
        </w:rPr>
        <w:t xml:space="preserve">Heavy polluting enterprises are faced with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and more choose to produce in areas with less environmental regulation.</w:t>
      </w:r>
    </w:p>
    <w:p w14:paraId="1FDB5DD2" w14:textId="19A63768" w:rsidR="009C3784" w:rsidRPr="0042730B" w:rsidRDefault="00D95DA7" w:rsidP="0042730B">
      <w:pPr>
        <w:rPr>
          <w:rFonts w:ascii="Times New Roman" w:eastAsia="SimSun" w:hAnsi="Times New Roman" w:cs="Times New Roman"/>
          <w:b/>
          <w:i/>
          <w:sz w:val="22"/>
          <w:szCs w:val="24"/>
        </w:rPr>
      </w:pPr>
      <w:r>
        <w:rPr>
          <w:rFonts w:ascii="Times New Roman" w:eastAsia="Microsoft YaHei" w:hAnsi="Times New Roman" w:cs="Times New Roman" w:hint="eastAsia"/>
          <w:sz w:val="22"/>
          <w:szCs w:val="24"/>
        </w:rPr>
        <w:t xml:space="preserve">H3b: </w:t>
      </w:r>
      <w:r w:rsidRPr="0042730B">
        <w:rPr>
          <w:rFonts w:ascii="Times New Roman" w:eastAsia="Microsoft YaHei" w:hAnsi="Times New Roman" w:cs="Times New Roman" w:hint="eastAsia"/>
          <w:b/>
          <w:i/>
          <w:sz w:val="22"/>
          <w:szCs w:val="24"/>
        </w:rPr>
        <w:t xml:space="preserve">Heavy polluting enterprises are faced with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Due to market potential, they will also choose to rectify in order to improve their environmental legitimacy.</w:t>
      </w:r>
    </w:p>
    <w:p w14:paraId="3DAAFD28"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4. Indicator construction, data source and identification strategy</w:t>
      </w:r>
    </w:p>
    <w:p w14:paraId="63BEC663" w14:textId="69207ED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summary,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influences corporate environmental performance both internally and externally. However, the analysis primarily focuses on theoretical and logical aspects. Therefore, this section and subsequent parts of the article use panel data from A-share listed companies in the Shanghai and Shenzhen stock markets from 2016 to 2019 to further identify the impact of the formal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on corporate environmental performance and to empirically validate the aforementioned theoretical mechanisms.</w:t>
      </w:r>
    </w:p>
    <w:p w14:paraId="28CDC285" w14:textId="36DD792D"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4.1</w:t>
      </w:r>
      <w:r w:rsidR="00595421">
        <w:rPr>
          <w:rFonts w:ascii="Times New Roman" w:eastAsia="Microsoft YaHei" w:hAnsi="Times New Roman" w:cs="Times New Roman"/>
          <w:b/>
          <w:bCs/>
          <w:szCs w:val="28"/>
        </w:rPr>
        <w:t xml:space="preserve"> </w:t>
      </w:r>
      <w:r>
        <w:rPr>
          <w:rFonts w:ascii="Times New Roman" w:eastAsia="Microsoft YaHei" w:hAnsi="Times New Roman" w:cs="Times New Roman" w:hint="eastAsia"/>
          <w:b/>
          <w:bCs/>
          <w:szCs w:val="28"/>
        </w:rPr>
        <w:t>Identification strategies</w:t>
      </w:r>
    </w:p>
    <w:p w14:paraId="78AC3A23" w14:textId="0C3813AB" w:rsidR="009C3784" w:rsidRDefault="0042730B">
      <w:pPr>
        <w:ind w:firstLine="440"/>
        <w:rPr>
          <w:rFonts w:ascii="Times New Roman" w:eastAsia="Microsoft YaHei" w:hAnsi="Times New Roman" w:cs="Times New Roman"/>
          <w:sz w:val="22"/>
          <w:szCs w:val="24"/>
        </w:rPr>
      </w:pPr>
      <w:r>
        <w:rPr>
          <w:rFonts w:ascii="Times New Roman" w:eastAsia="Microsoft YaHei" w:hAnsi="Times New Roman" w:cs="Times New Roman"/>
          <w:sz w:val="22"/>
          <w:szCs w:val="24"/>
        </w:rPr>
        <w:t>Our research</w:t>
      </w:r>
      <w:r w:rsidR="00D95DA7">
        <w:rPr>
          <w:rFonts w:ascii="Times New Roman" w:eastAsia="Microsoft YaHei" w:hAnsi="Times New Roman" w:cs="Times New Roman" w:hint="eastAsia"/>
          <w:sz w:val="22"/>
          <w:szCs w:val="24"/>
        </w:rPr>
        <w:t xml:space="preserve"> uses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whic</w:t>
      </w:r>
      <w:bookmarkStart w:id="4" w:name="_Hlk116555731"/>
      <w:r w:rsidR="00D95DA7">
        <w:rPr>
          <w:rFonts w:ascii="Times New Roman" w:eastAsia="Microsoft YaHei" w:hAnsi="Times New Roman" w:cs="Times New Roman" w:hint="eastAsia"/>
          <w:sz w:val="22"/>
          <w:szCs w:val="24"/>
        </w:rPr>
        <w:t>h ca</w:t>
      </w:r>
      <w:bookmarkEnd w:id="4"/>
      <w:r w:rsidR="00D95DA7">
        <w:rPr>
          <w:rFonts w:ascii="Times New Roman" w:eastAsia="Microsoft YaHei" w:hAnsi="Times New Roman" w:cs="Times New Roman" w:hint="eastAsia"/>
          <w:sz w:val="22"/>
          <w:szCs w:val="24"/>
        </w:rPr>
        <w:t>me into effect in 2018, as a quasi-natural experiment. It employs the difference-in-differences method to examine the impact of the environmental protection tax on corporate environmental performance. The difference-in-differences model, based on the period before and after the policy's implementation, effectively isolates the policy's effects, making it widely used by scholars for assessing policy impacts. Drawing on existing literature, this paper constructs a multi-dimensional fixed effects model, with the following form:</w:t>
      </w:r>
    </w:p>
    <w:p w14:paraId="4B4F208F" w14:textId="2818D889" w:rsidR="0042730B" w:rsidRPr="00505009" w:rsidRDefault="0042730B" w:rsidP="00505009">
      <w:pPr>
        <w:ind w:firstLine="440"/>
        <w:jc w:val="center"/>
        <w:rPr>
          <w:rFonts w:ascii="Times New Roman" w:eastAsia="SimSun" w:hAnsi="Times New Roman" w:cs="Times New Roman"/>
          <w:sz w:val="22"/>
          <w:szCs w:val="24"/>
        </w:rPr>
      </w:pPr>
      <m:oMath>
        <m:r>
          <w:rPr>
            <w:rFonts w:ascii="Cambria Math" w:eastAsia="SimSun" w:hAnsi="Cambria Math" w:cs="Times New Roman"/>
            <w:sz w:val="22"/>
            <w:szCs w:val="24"/>
          </w:rPr>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0</m:t>
            </m:r>
          </m:sub>
        </m:sSub>
        <m: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1</m:t>
                </m:r>
              </m:sub>
            </m:sSub>
            <m:r>
              <w:rPr>
                <w:rFonts w:ascii="Cambria Math" w:eastAsia="SimSun" w:hAnsi="Cambria Math" w:cs="Times New Roman"/>
                <w:sz w:val="22"/>
                <w:szCs w:val="24"/>
              </w:rPr>
              <m:t>ET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m:r>
                  <w:rPr>
                    <w:rFonts w:ascii="Cambria Math" w:eastAsia="SimSun" w:hAnsi="Cambria Math" w:cs="Times New Roman"/>
                    <w:sz w:val="22"/>
                    <w:szCs w:val="24"/>
                  </w:rPr>
                  <m:t>j</m:t>
                </m:r>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oMath>
      <w:r w:rsidRPr="0042730B">
        <w:rPr>
          <w:rFonts w:ascii="Times New Roman" w:eastAsia="SimSun" w:hAnsi="Times New Roman" w:cs="Times New Roman"/>
          <w:sz w:val="22"/>
          <w:szCs w:val="24"/>
        </w:rPr>
        <w:t>+</w:t>
      </w:r>
      <m:oMath>
        <m:sSub>
          <m:sSubPr>
            <m:ctrlPr>
              <w:rPr>
                <w:rFonts w:ascii="Cambria Math" w:eastAsia="SimSun" w:hAnsi="Cambria Math" w:cs="Times New Roman"/>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w:p>
    <w:p w14:paraId="3C9D8831" w14:textId="2D0CD7FB" w:rsidR="009C3784" w:rsidRPr="00505009" w:rsidRDefault="00162214" w:rsidP="00162214">
      <w:pPr>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w</w:t>
      </w:r>
      <w:r w:rsidR="005C542F" w:rsidRPr="005C542F">
        <w:rPr>
          <w:rFonts w:ascii="Times New Roman" w:eastAsia="Microsoft YaHei" w:hAnsi="Times New Roman" w:cs="Times New Roman" w:hint="eastAsia"/>
          <w:sz w:val="22"/>
          <w:szCs w:val="24"/>
        </w:rPr>
        <w:t xml:space="preserve">here </w:t>
      </w:r>
      <m:oMath>
        <m:r>
          <w:rPr>
            <w:rFonts w:ascii="Cambria Math" w:eastAsia="Microsoft YaHei" w:hAnsi="Cambria Math" w:cs="Times New Roman" w:hint="eastAsia"/>
            <w:sz w:val="22"/>
            <w:szCs w:val="24"/>
          </w:rPr>
          <m:t>i</m:t>
        </m:r>
      </m:oMath>
      <w:r w:rsidR="005C542F" w:rsidRPr="005C542F">
        <w:rPr>
          <w:rFonts w:ascii="Times New Roman" w:eastAsia="Microsoft YaHei" w:hAnsi="Times New Roman" w:cs="Times New Roman" w:hint="eastAsia"/>
          <w:sz w:val="22"/>
          <w:szCs w:val="24"/>
        </w:rPr>
        <w:t xml:space="preserve"> denotes firms, </w:t>
      </w:r>
      <m:oMath>
        <m:r>
          <w:rPr>
            <w:rFonts w:ascii="Cambria Math" w:eastAsia="Microsoft YaHei" w:hAnsi="Cambria Math" w:cs="Times New Roman" w:hint="eastAsia"/>
            <w:sz w:val="22"/>
            <w:szCs w:val="24"/>
          </w:rPr>
          <m:t>t</m:t>
        </m:r>
      </m:oMath>
      <w:r w:rsidR="005C542F" w:rsidRPr="005C542F">
        <w:rPr>
          <w:rFonts w:ascii="Times New Roman" w:eastAsia="Microsoft YaHei" w:hAnsi="Times New Roman" w:cs="Times New Roman" w:hint="eastAsia"/>
          <w:sz w:val="22"/>
          <w:szCs w:val="24"/>
        </w:rPr>
        <w:t xml:space="preserve"> denotes years, </w:t>
      </w:r>
      <m:oMath>
        <m:r>
          <w:rPr>
            <w:rFonts w:ascii="Cambria Math" w:eastAsia="Microsoft YaHei" w:hAnsi="Cambria Math" w:cs="Times New Roman" w:hint="eastAsia"/>
            <w:sz w:val="22"/>
            <w:szCs w:val="24"/>
          </w:rPr>
          <m:t>ind</m:t>
        </m:r>
      </m:oMath>
      <w:r w:rsidR="005C542F" w:rsidRPr="005C542F">
        <w:rPr>
          <w:rFonts w:ascii="Times New Roman" w:eastAsia="Microsoft YaHei" w:hAnsi="Times New Roman" w:cs="Times New Roman" w:hint="eastAsia"/>
          <w:sz w:val="22"/>
          <w:szCs w:val="24"/>
        </w:rPr>
        <w:t xml:space="preserve"> represents industries, and </w:t>
      </w:r>
      <m:oMath>
        <m:r>
          <w:rPr>
            <w:rFonts w:ascii="Cambria Math" w:eastAsia="Microsoft YaHei" w:hAnsi="Cambria Math" w:cs="Times New Roman" w:hint="eastAsia"/>
            <w:sz w:val="22"/>
            <w:szCs w:val="24"/>
          </w:rPr>
          <m:t>prov</m:t>
        </m:r>
      </m:oMath>
      <w:r w:rsidR="005C542F" w:rsidRPr="005C542F">
        <w:rPr>
          <w:rFonts w:ascii="Times New Roman" w:eastAsia="Microsoft YaHei" w:hAnsi="Times New Roman" w:cs="Times New Roman" w:hint="eastAsia"/>
          <w:sz w:val="22"/>
          <w:szCs w:val="24"/>
        </w:rPr>
        <w:t xml:space="preserve"> indicates provinces, the dependent variable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EP</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measures environmental performance of firm </w:t>
      </w:r>
      <m:oMath>
        <m:r>
          <w:rPr>
            <w:rFonts w:ascii="Cambria Math" w:eastAsia="Microsoft YaHei" w:hAnsi="Cambria Math" w:cs="Times New Roman" w:hint="eastAsia"/>
            <w:sz w:val="22"/>
            <w:szCs w:val="24"/>
          </w:rPr>
          <m:t>i</m:t>
        </m:r>
      </m:oMath>
      <w:r w:rsidR="005C542F" w:rsidRPr="005C542F">
        <w:rPr>
          <w:rFonts w:ascii="Times New Roman" w:eastAsia="Microsoft YaHei" w:hAnsi="Times New Roman" w:cs="Times New Roman" w:hint="eastAsia"/>
          <w:sz w:val="22"/>
          <w:szCs w:val="24"/>
        </w:rPr>
        <w:t xml:space="preserve"> in year </w:t>
      </w:r>
      <m:oMath>
        <m:r>
          <w:rPr>
            <w:rFonts w:ascii="Cambria Math" w:eastAsia="Microsoft YaHei" w:hAnsi="Cambria Math" w:cs="Times New Roman" w:hint="eastAsia"/>
            <w:sz w:val="22"/>
            <w:szCs w:val="24"/>
          </w:rPr>
          <m:t>t</m:t>
        </m:r>
      </m:oMath>
      <w:r w:rsidR="005C542F" w:rsidRPr="005C542F">
        <w:rPr>
          <w:rFonts w:ascii="Times New Roman" w:eastAsia="Microsoft YaHei" w:hAnsi="Times New Roman" w:cs="Times New Roman" w:hint="eastAsia"/>
          <w:sz w:val="22"/>
          <w:szCs w:val="24"/>
        </w:rPr>
        <w:t xml:space="preserve">. The policy-time interaction term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ET</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captures whether treated firms are affected by the</w:t>
      </w:r>
      <w:r w:rsidR="005C542F">
        <w:rPr>
          <w:rFonts w:ascii="Times New Roman" w:eastAsia="Microsoft YaHei" w:hAnsi="Times New Roman" w:cs="Times New Roman" w:hint="eastAsia"/>
          <w:sz w:val="22"/>
          <w:szCs w:val="24"/>
        </w:rPr>
        <w:t xml:space="preserve"> </w:t>
      </w:r>
      <w:r w:rsidR="005C542F" w:rsidRPr="005C542F">
        <w:rPr>
          <w:rFonts w:ascii="Times New Roman" w:eastAsia="Microsoft YaHei" w:hAnsi="Times New Roman" w:cs="Times New Roman" w:hint="eastAsia"/>
          <w:sz w:val="22"/>
          <w:szCs w:val="24"/>
        </w:rPr>
        <w:t xml:space="preserve">EPTL.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pul</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is a binary variable indicating heavily polluting firms, while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Controls</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denotes a vector of other control variables</w:t>
      </w:r>
      <w:r w:rsidR="005C542F">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All regression equations employ industry-clustered robust standard errors. We consistently include Firm fixed effects (</w:t>
      </w:r>
      <m:oMath>
        <m:sSub>
          <m:sSubPr>
            <m:ctrlPr>
              <w:rPr>
                <w:rFonts w:ascii="Cambria Math" w:eastAsia="Microsoft YaHei" w:hAnsi="Cambria Math" w:cs="Times New Roman"/>
                <w:sz w:val="22"/>
                <w:szCs w:val="24"/>
              </w:rPr>
            </m:ctrlPr>
          </m:sSubPr>
          <m:e>
            <m:r>
              <m:rPr>
                <m:sty m:val="p"/>
              </m:rPr>
              <w:rPr>
                <w:rFonts w:ascii="Cambria Math" w:eastAsia="Microsoft YaHei" w:hAnsi="Cambria Math" w:cs="Times New Roman"/>
                <w:sz w:val="22"/>
                <w:szCs w:val="24"/>
              </w:rPr>
              <m:t>λ</m:t>
            </m:r>
          </m:e>
          <m:sub>
            <m:r>
              <m:rPr>
                <m:sty m:val="p"/>
              </m:rPr>
              <w:rPr>
                <w:rFonts w:ascii="Cambria Math" w:eastAsia="Microsoft YaHei" w:hAnsi="Cambria Math" w:cs="Times New Roman"/>
                <w:sz w:val="22"/>
                <w:szCs w:val="24"/>
              </w:rPr>
              <m:t>i</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595421">
        <w:rPr>
          <w:rFonts w:ascii="Times New Roman" w:eastAsia="Microsoft YaHei" w:hAnsi="Times New Roman" w:cs="Times New Roman"/>
          <w:sz w:val="22"/>
          <w:szCs w:val="24"/>
        </w:rPr>
        <w:t xml:space="preserve"> </w:t>
      </w:r>
      <w:r w:rsidR="00595421">
        <w:rPr>
          <w:rFonts w:ascii="Times New Roman" w:eastAsia="Microsoft YaHei" w:hAnsi="Times New Roman" w:cs="Times New Roman" w:hint="eastAsia"/>
          <w:sz w:val="22"/>
          <w:szCs w:val="24"/>
        </w:rPr>
        <w:t>i</w:t>
      </w:r>
      <w:r w:rsidR="00505009" w:rsidRPr="00505009">
        <w:rPr>
          <w:rFonts w:ascii="Times New Roman" w:eastAsia="Microsoft YaHei" w:hAnsi="Times New Roman" w:cs="Times New Roman" w:hint="eastAsia"/>
          <w:sz w:val="22"/>
          <w:szCs w:val="24"/>
        </w:rPr>
        <w:t>ndustry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ind</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j</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E86B17">
        <w:rPr>
          <w:rFonts w:ascii="Times New Roman" w:eastAsia="Microsoft YaHei" w:hAnsi="Times New Roman" w:cs="Times New Roman"/>
          <w:sz w:val="22"/>
          <w:szCs w:val="24"/>
        </w:rPr>
        <w:t xml:space="preserve"> y</w:t>
      </w:r>
      <w:r w:rsidR="00505009" w:rsidRPr="00505009">
        <w:rPr>
          <w:rFonts w:ascii="Times New Roman" w:eastAsia="Microsoft YaHei" w:hAnsi="Times New Roman" w:cs="Times New Roman" w:hint="eastAsia"/>
          <w:sz w:val="22"/>
          <w:szCs w:val="24"/>
        </w:rPr>
        <w:t>ear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year</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t</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E86B17">
        <w:rPr>
          <w:rFonts w:ascii="Times New Roman" w:eastAsia="Microsoft YaHei" w:hAnsi="Times New Roman" w:cs="Times New Roman"/>
          <w:sz w:val="22"/>
          <w:szCs w:val="24"/>
        </w:rPr>
        <w:t xml:space="preserve"> p</w:t>
      </w:r>
      <w:r w:rsidR="00505009" w:rsidRPr="00505009">
        <w:rPr>
          <w:rFonts w:ascii="Times New Roman" w:eastAsia="Microsoft YaHei" w:hAnsi="Times New Roman" w:cs="Times New Roman" w:hint="eastAsia"/>
          <w:sz w:val="22"/>
          <w:szCs w:val="24"/>
        </w:rPr>
        <w:t>rovince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prov</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k</m:t>
            </m:r>
          </m:sub>
        </m:sSub>
      </m:oMath>
      <w:r w:rsidR="00505009" w:rsidRPr="00505009">
        <w:rPr>
          <w:rFonts w:ascii="Times New Roman" w:eastAsia="Microsoft YaHei" w:hAnsi="Times New Roman" w:cs="Times New Roman" w:hint="eastAsia"/>
          <w:sz w:val="22"/>
          <w:szCs w:val="24"/>
        </w:rPr>
        <w:t>) in all specifications</w:t>
      </w:r>
      <w:r w:rsidR="00505009">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 xml:space="preserve">to mitigate omitted variable bias, with </w:t>
      </w:r>
      <m:oMath>
        <m:sSub>
          <m:sSubPr>
            <m:ctrlPr>
              <w:rPr>
                <w:rFonts w:ascii="Cambria Math" w:eastAsia="Microsoft YaHei" w:hAnsi="Cambria Math" w:cs="Times New Roman"/>
                <w:i/>
                <w:sz w:val="22"/>
                <w:szCs w:val="24"/>
              </w:rPr>
            </m:ctrlPr>
          </m:sSubPr>
          <m:e>
            <m:r>
              <m:rPr>
                <m:sty m:val="p"/>
              </m:rPr>
              <w:rPr>
                <w:rFonts w:ascii="Cambria Math" w:eastAsia="Microsoft YaHei" w:hAnsi="Cambria Math" w:cs="Times New Roman"/>
                <w:sz w:val="22"/>
                <w:szCs w:val="24"/>
              </w:rPr>
              <m:t>ε</m:t>
            </m:r>
            <m:ctrlPr>
              <w:rPr>
                <w:rFonts w:ascii="Cambria Math" w:eastAsia="Microsoft YaHei" w:hAnsi="Cambria Math" w:cs="Times New Roman"/>
                <w:sz w:val="22"/>
                <w:szCs w:val="24"/>
              </w:rPr>
            </m:ctrlPr>
          </m:e>
          <m:sub>
            <m:r>
              <w:rPr>
                <w:rFonts w:ascii="Cambria Math" w:eastAsia="Microsoft YaHei" w:hAnsi="Cambria Math" w:cs="Times New Roman" w:hint="eastAsia"/>
                <w:sz w:val="22"/>
                <w:szCs w:val="24"/>
              </w:rPr>
              <m:t>it</m:t>
            </m:r>
          </m:sub>
        </m:sSub>
      </m:oMath>
      <w:r w:rsidR="00505009" w:rsidRPr="00505009">
        <w:rPr>
          <w:rFonts w:ascii="Times New Roman" w:eastAsia="Microsoft YaHei" w:hAnsi="Times New Roman" w:cs="Times New Roman" w:hint="eastAsia"/>
          <w:sz w:val="22"/>
          <w:szCs w:val="24"/>
        </w:rPr>
        <w:t xml:space="preserve"> denoting the error term.</w:t>
      </w:r>
      <w:r w:rsidR="00505009">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In robustness checks, we construct an industry pollution emission increment indicator to identify heterogeneous responses to the EPTL across industries, thereby further examining the tax law's effect on environmental performance enhancement.</w:t>
      </w:r>
    </w:p>
    <w:p w14:paraId="027E911A" w14:textId="77777777" w:rsidR="009C3784" w:rsidRDefault="00D95DA7">
      <w:pPr>
        <w:ind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results of the double difference model are valid under the assumption that the parallel trends between the treatment and control groups are established and the timing of the policy is certain. Therefore, in the empirical analysis, we adopt the event study method to test the differences between the treatment and control groups before the policy began, and to verify the uniqueness of the policy timing, confirming that there was no policy effect prior to 2018. The method for testing the parallel trend is as follows:</w:t>
      </w:r>
    </w:p>
    <w:p w14:paraId="4C9148FE" w14:textId="498E965D" w:rsidR="009C3784" w:rsidRDefault="00D95DA7">
      <w:pPr>
        <w:ind w:firstLine="440"/>
        <w:jc w:val="center"/>
        <w:rPr>
          <w:rFonts w:ascii="Times New Roman" w:eastAsia="SimSun" w:hAnsi="Times New Roman" w:cs="Times New Roman"/>
          <w:sz w:val="22"/>
          <w:szCs w:val="24"/>
        </w:rPr>
      </w:pPr>
      <m:oMathPara>
        <m:oMath>
          <m:r>
            <w:rPr>
              <w:rFonts w:ascii="Cambria Math" w:eastAsia="SimSun" w:hAnsi="Cambria Math" w:cs="Times New Roman"/>
              <w:sz w:val="22"/>
              <w:szCs w:val="24"/>
            </w:rPr>
            <w:lastRenderedPageBreak/>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0</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k</m:t>
              </m:r>
            </m:sub>
          </m:sSub>
          <m:r>
            <w:rPr>
              <w:rFonts w:ascii="Cambria Math" w:eastAsia="SimSun" w:hAnsi="Cambria Math" w:cs="Times New Roman"/>
              <w:sz w:val="22"/>
              <w:szCs w:val="24"/>
            </w:rPr>
            <m:t>E</m:t>
          </m:r>
          <m:sSubSup>
            <m:sSubSupPr>
              <m:ctrlPr>
                <w:rPr>
                  <w:rFonts w:ascii="Cambria Math" w:eastAsia="SimSun" w:hAnsi="Cambria Math" w:cs="Times New Roman"/>
                  <w:sz w:val="22"/>
                  <w:szCs w:val="24"/>
                </w:rPr>
              </m:ctrlPr>
            </m:sSubSupPr>
            <m:e>
              <m:r>
                <w:rPr>
                  <w:rFonts w:ascii="Cambria Math" w:eastAsia="SimSun" w:hAnsi="Cambria Math" w:cs="Times New Roman"/>
                  <w:sz w:val="22"/>
                  <w:szCs w:val="24"/>
                </w:rPr>
                <m:t>T</m:t>
              </m:r>
            </m:e>
            <m:sub>
              <m:r>
                <w:rPr>
                  <w:rFonts w:ascii="Cambria Math" w:eastAsia="SimSun" w:hAnsi="Cambria Math" w:cs="Times New Roman"/>
                  <w:sz w:val="22"/>
                  <w:szCs w:val="24"/>
                </w:rPr>
                <m:t>it</m:t>
              </m:r>
            </m:sub>
            <m:sup>
              <m:r>
                <w:rPr>
                  <w:rFonts w:ascii="Cambria Math" w:eastAsia="SimSun" w:hAnsi="Cambria Math" w:cs="Times New Roman"/>
                  <w:sz w:val="22"/>
                  <w:szCs w:val="24"/>
                </w:rPr>
                <m:t>k</m:t>
              </m:r>
            </m:sup>
          </m:sSubSup>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m:t>
              </m:r>
            </m:e>
            <m:sub>
              <m:r>
                <w:rPr>
                  <w:rFonts w:ascii="Cambria Math" w:eastAsia="SimSun" w:hAnsi="Cambria Math" w:cs="Times New Roman"/>
                  <w:sz w:val="22"/>
                  <w:szCs w:val="24"/>
                </w:rPr>
                <m:t>it</m:t>
              </m:r>
            </m:sub>
          </m:sSub>
          <m:sSub>
            <m:sSubPr>
              <m:ctrlPr>
                <w:rPr>
                  <w:rFonts w:ascii="Cambria Math" w:eastAsia="SimSun" w:hAnsi="Cambria Math" w:cs="Times New Roman"/>
                  <w:sz w:val="22"/>
                  <w:szCs w:val="24"/>
                </w:rPr>
              </m:ctrlPr>
            </m:sSubPr>
            <m:e>
              <m:r>
                <m:rPr>
                  <m:sty m:val="p"/>
                </m:rPr>
                <w:rPr>
                  <w:rFonts w:ascii="Cambria Math" w:eastAsia="SimSun" w:hAnsi="Cambria Math" w:cs="Times New Roman"/>
                  <w:sz w:val="22"/>
                  <w:szCs w:val="24"/>
                </w:rPr>
                <m:t>+</m:t>
              </m:r>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w:bookmarkStart w:id="5" w:name="_Hlk117589312"/>
                  <m:r>
                    <w:rPr>
                      <w:rFonts w:ascii="Cambria Math" w:eastAsia="SimSun" w:hAnsi="Cambria Math" w:cs="Times New Roman"/>
                      <w:sz w:val="22"/>
                      <w:szCs w:val="24"/>
                    </w:rPr>
                    <m:t>j</m:t>
                  </m:r>
                  <w:bookmarkEnd w:id="5"/>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r>
            <w:rPr>
              <w:rFonts w:ascii="Cambria Math" w:eastAsia="SimSun" w:hAnsi="Cambria Math" w:cs="Times New Roman" w:hint="eastAsia"/>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m:oMathPara>
    </w:p>
    <w:p w14:paraId="7CAA1B1A" w14:textId="6F0F7585" w:rsidR="009C3784" w:rsidRDefault="0042730B" w:rsidP="0042730B">
      <w:pPr>
        <w:rPr>
          <w:rFonts w:ascii="Times New Roman" w:eastAsia="SimSun" w:hAnsi="Times New Roman" w:cs="Times New Roman"/>
          <w:sz w:val="22"/>
          <w:szCs w:val="24"/>
        </w:rPr>
      </w:pPr>
      <w:r>
        <w:rPr>
          <w:rFonts w:ascii="Times New Roman" w:eastAsia="Microsoft YaHei" w:hAnsi="Times New Roman" w:cs="Times New Roman"/>
          <w:sz w:val="22"/>
          <w:szCs w:val="24"/>
        </w:rPr>
        <w:t xml:space="preserve">where </w:t>
      </w:r>
      <w:r w:rsidR="00595421" w:rsidRPr="00595421">
        <w:rPr>
          <w:rFonts w:ascii="Times New Roman" w:eastAsia="Microsoft YaHei" w:hAnsi="Times New Roman" w:cs="Times New Roman" w:hint="eastAsia"/>
          <w:i/>
          <w:sz w:val="22"/>
          <w:szCs w:val="24"/>
        </w:rPr>
        <w:t>k</w:t>
      </w:r>
      <w:r w:rsidR="00595421">
        <w:rPr>
          <w:rFonts w:ascii="Times New Roman" w:eastAsia="Microsoft YaHei" w:hAnsi="Times New Roman" w:cs="Times New Roman"/>
          <w:sz w:val="22"/>
          <w:szCs w:val="24"/>
        </w:rPr>
        <w:t xml:space="preserve"> </w:t>
      </w:r>
      <w:r w:rsidR="00595421">
        <w:rPr>
          <w:rFonts w:ascii="Times New Roman" w:eastAsia="Microsoft YaHei" w:hAnsi="Times New Roman" w:cs="Times New Roman" w:hint="eastAsia"/>
          <w:sz w:val="22"/>
          <w:szCs w:val="24"/>
        </w:rPr>
        <w:t>is</w:t>
      </w:r>
      <w:r w:rsidR="00595421">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the difference between each year and 2018</w:t>
      </w:r>
      <w:r w:rsidR="00595421">
        <w:rPr>
          <w:rFonts w:ascii="Times New Roman" w:eastAsia="Microsoft YaHei" w:hAnsi="Times New Roman" w:cs="Times New Roman" w:hint="eastAsia"/>
          <w:sz w:val="22"/>
          <w:szCs w:val="24"/>
        </w:rPr>
        <w:t>,</w:t>
      </w:r>
      <w:r w:rsidR="00D95DA7">
        <w:rPr>
          <w:rFonts w:ascii="Times New Roman" w:eastAsia="Microsoft YaHei" w:hAnsi="Times New Roman" w:cs="Times New Roman" w:hint="eastAsia"/>
          <w:sz w:val="22"/>
          <w:szCs w:val="24"/>
        </w:rPr>
        <w:t xml:space="preserve"> </w:t>
      </w:r>
      <m:oMath>
        <m:r>
          <w:rPr>
            <w:rFonts w:ascii="Cambria Math" w:eastAsia="SimSun" w:hAnsi="Cambria Math" w:cs="Times New Roman"/>
            <w:sz w:val="22"/>
            <w:szCs w:val="24"/>
          </w:rPr>
          <m:t>E</m:t>
        </m:r>
        <m:sSubSup>
          <m:sSubSupPr>
            <m:ctrlPr>
              <w:rPr>
                <w:rFonts w:ascii="Cambria Math" w:eastAsia="SimSun" w:hAnsi="Cambria Math" w:cs="Times New Roman"/>
                <w:sz w:val="22"/>
                <w:szCs w:val="24"/>
              </w:rPr>
            </m:ctrlPr>
          </m:sSubSupPr>
          <m:e>
            <m:r>
              <w:rPr>
                <w:rFonts w:ascii="Cambria Math" w:eastAsia="SimSun" w:hAnsi="Cambria Math" w:cs="Times New Roman"/>
                <w:sz w:val="22"/>
                <w:szCs w:val="24"/>
              </w:rPr>
              <m:t>T</m:t>
            </m:r>
          </m:e>
          <m:sub>
            <m:r>
              <w:rPr>
                <w:rFonts w:ascii="Cambria Math" w:eastAsia="SimSun" w:hAnsi="Cambria Math" w:cs="Times New Roman"/>
                <w:sz w:val="22"/>
                <w:szCs w:val="24"/>
              </w:rPr>
              <m:t>it</m:t>
            </m:r>
          </m:sub>
          <m:sup>
            <m:r>
              <w:rPr>
                <w:rFonts w:ascii="Cambria Math" w:eastAsia="SimSun" w:hAnsi="Cambria Math" w:cs="Times New Roman"/>
                <w:sz w:val="22"/>
                <w:szCs w:val="24"/>
              </w:rPr>
              <m:t>k</m:t>
            </m:r>
          </m:sup>
        </m:sSubSup>
      </m:oMath>
      <w:r w:rsidR="00D95DA7">
        <w:rPr>
          <w:rFonts w:ascii="Times New Roman" w:eastAsia="Microsoft YaHei" w:hAnsi="Times New Roman" w:cs="Times New Roman" w:hint="eastAsia"/>
          <w:sz w:val="22"/>
          <w:szCs w:val="24"/>
        </w:rPr>
        <w:t xml:space="preserve">indicates the implementation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in a specific year. The rest of the model is the same as the previous one. This paper takes the year when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was formally implemented in 2018 as the base period to examine the parallel trend and the dynamic time change of policy effects</w:t>
      </w:r>
    </w:p>
    <w:p w14:paraId="24DEBBB1"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4.2Index construction</w:t>
      </w:r>
    </w:p>
    <w:p w14:paraId="0FD349E6"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sz w:val="22"/>
          <w:szCs w:val="24"/>
        </w:rPr>
        <w:t>1. Core explained variables.</w:t>
      </w:r>
    </w:p>
    <w:p w14:paraId="37C6B2CE" w14:textId="546EB9DF"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This article primarily examines the impact of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on corporate environmental performance. Current methods for identifying environmental performance include: first, using the pollutant emission method, which primarily measures a company's pollution intensity. However, this method is subject to subjective selection of pollutants and challenges in data collection; second, using the environmental indicator evaluation method, which involves constructing an environmental performance index system to score and assess a company's environmental performance level. This method also suffers from subjectivity in index construction and weight measurement, making it difficult to accurately capture a company's true environmental performance.</w:t>
      </w:r>
    </w:p>
    <w:p w14:paraId="5CC64FCB" w14:textId="7C9AA443"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Given the numerous issues with the aforementioned methods, this paper adopts the ecological benefit method to measure corporate environmental performance. This method reflects a company's environmental performance by measuring the economic benefits of its environmental contributions, including the output of products or services. A higher value of this indicator indicates better environmental performance. In this paper, environmental protection expenditure is used as a proxy for a company's environmental contribution, with the measurement method following </w:t>
      </w:r>
      <w:r w:rsidR="00617508" w:rsidRPr="00617508">
        <w:rPr>
          <w:rFonts w:ascii="Times New Roman" w:eastAsia="Microsoft YaHei" w:hAnsi="Times New Roman" w:cs="Times New Roman" w:hint="eastAsia"/>
          <w:sz w:val="22"/>
          <w:szCs w:val="24"/>
        </w:rPr>
        <w:t>Hanif et al. (2023)</w:t>
      </w:r>
      <w:r>
        <w:rPr>
          <w:rFonts w:ascii="Times New Roman" w:eastAsia="Microsoft YaHei" w:hAnsi="Times New Roman" w:cs="Times New Roman" w:hint="eastAsia"/>
          <w:sz w:val="22"/>
          <w:szCs w:val="24"/>
        </w:rPr>
        <w:t>. For economic benefits, this paper draws on existing literature and uses the company's total operating revenue to reflect its business performance (</w:t>
      </w:r>
      <w:r w:rsidR="00617508" w:rsidRPr="00617508">
        <w:rPr>
          <w:rFonts w:ascii="Times New Roman" w:eastAsia="Microsoft YaHei" w:hAnsi="Times New Roman" w:cs="Times New Roman" w:hint="eastAsia"/>
          <w:sz w:val="22"/>
          <w:szCs w:val="24"/>
        </w:rPr>
        <w:t>Boubaker et al.</w:t>
      </w:r>
      <w:r w:rsidR="00617508">
        <w:rPr>
          <w:rFonts w:ascii="Times New Roman" w:eastAsia="Microsoft YaHei" w:hAnsi="Times New Roman" w:cs="Times New Roman" w:hint="eastAsia"/>
          <w:sz w:val="22"/>
          <w:szCs w:val="24"/>
        </w:rPr>
        <w:t>,</w:t>
      </w:r>
      <w:r w:rsidR="00595421">
        <w:rPr>
          <w:rFonts w:ascii="Times New Roman" w:eastAsia="Microsoft YaHei" w:hAnsi="Times New Roman" w:cs="Times New Roman"/>
          <w:sz w:val="22"/>
          <w:szCs w:val="24"/>
        </w:rPr>
        <w:t xml:space="preserve"> </w:t>
      </w:r>
      <w:r w:rsidR="00617508" w:rsidRPr="00617508">
        <w:rPr>
          <w:rFonts w:ascii="Times New Roman" w:eastAsia="Microsoft YaHei" w:hAnsi="Times New Roman" w:cs="Times New Roman" w:hint="eastAsia"/>
          <w:sz w:val="22"/>
          <w:szCs w:val="24"/>
        </w:rPr>
        <w:t>2024</w:t>
      </w:r>
      <w:r>
        <w:rPr>
          <w:rFonts w:ascii="Times New Roman" w:eastAsia="Microsoft YaHei" w:hAnsi="Times New Roman" w:cs="Times New Roman" w:hint="eastAsia"/>
          <w:sz w:val="22"/>
          <w:szCs w:val="24"/>
        </w:rPr>
        <w:t>). Environmental performance is measured by the ratio of the company's economic benefits to its environmental contributions. Both the economic benefits and environmental contributions are logarithmically transformed in this paper. In the robustness test, the company's total factor productivity is used as a proxy for business performance.</w:t>
      </w:r>
    </w:p>
    <w:p w14:paraId="3EEFF91C"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2. Core explanatory variables.</w:t>
      </w:r>
    </w:p>
    <w:p w14:paraId="17348343"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time point of environmental protection fee reform to tax is January 1, 2018. Based on the existing research, this paper takes 2018 as the starting period of the event, and takes heavy polluting enterprises as the experimental group and non-heavy polluting enterprises as the control group to evaluate the policy effect of the implementation of environmental protection tax.</w:t>
      </w:r>
    </w:p>
    <w:p w14:paraId="549C5DE2"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 Control variables</w:t>
      </w:r>
    </w:p>
    <w:p w14:paraId="0DCA77F4" w14:textId="77777777" w:rsidR="009C3784" w:rsidRDefault="00D95DA7">
      <w:pPr>
        <w:ind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Based on existing research, the control variables selected in this study include: company size (Size), measured by taking the natural logarithm of total assets used over the year. The Tobinq value (Tobinq) is calculated using the formula (circulating market value + non-circulating shares * net asset value per share + book value of liabilities) / total assets. The debt-to-asset ratio (Lev) is measured by dividing the total liabilities at the end of the year by the total assets at the end of the year. The revenue growth rate (Growth) is measured by dividing the increase in revenue by the total revenue of the previous year minus 1. The cash flow ratio (Cashflow) is measured by dividing the net cash flow from operating activities by total assets. The debt-to-asset ratio (Lev) is measured by dividing the total liabilities at the end of the year by the total assets at the end of the year. The return on total assets (Roa) is measured by dividing net profit by the average balance of total assets.</w:t>
      </w:r>
    </w:p>
    <w:p w14:paraId="2B687EBE"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4.3 Data sources and descriptive statistics</w:t>
      </w:r>
    </w:p>
    <w:p w14:paraId="62D31437" w14:textId="04EB8887" w:rsidR="009C3784" w:rsidRDefault="00D95DA7">
      <w:pPr>
        <w:ind w:firstLineChars="200" w:firstLine="440"/>
        <w:jc w:val="left"/>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To maintain the symmetry of the window period, this study uses A-share listed companies from 2016 to 2019 as the research sample. The sample is processed as follows: (1) financial and real estate samples with </w:t>
      </w:r>
      <w:r>
        <w:rPr>
          <w:rFonts w:ascii="Times New Roman" w:eastAsia="Microsoft YaHei" w:hAnsi="Times New Roman" w:cs="Times New Roman" w:hint="eastAsia"/>
          <w:sz w:val="22"/>
          <w:szCs w:val="24"/>
        </w:rPr>
        <w:lastRenderedPageBreak/>
        <w:t xml:space="preserve">financial attributes are excluded; (2) ST, PT, and delisted samples are excluded; (3) samples with cross-listing on both A-shares and H-shares are excluded; (4) samples with missing key variables are excluded; (5) environmental protection expenditures are categorized into asset expenditures and expense expenditures, where asset expenditures are derived from the detailed construction in progress section of the financial statements, and expense expenditures are derived from the detailed management expenses section. The basic characteristics and financial data of listed companies are sourced from the </w:t>
      </w:r>
      <w:r w:rsidR="00162214" w:rsidRPr="00162214">
        <w:rPr>
          <w:rFonts w:ascii="Times New Roman" w:eastAsia="Microsoft YaHei" w:hAnsi="Times New Roman" w:cs="Times New Roman" w:hint="eastAsia"/>
          <w:sz w:val="22"/>
          <w:szCs w:val="24"/>
        </w:rPr>
        <w:t>China Stock Market &amp; Accounting Research Database</w:t>
      </w:r>
      <w:r w:rsidR="00162214">
        <w:rPr>
          <w:rFonts w:ascii="Times New Roman" w:eastAsia="Microsoft YaHei" w:hAnsi="Times New Roman" w:cs="Times New Roman" w:hint="eastAsia"/>
          <w:sz w:val="22"/>
          <w:szCs w:val="24"/>
        </w:rPr>
        <w:t xml:space="preserve"> (</w:t>
      </w:r>
      <w:r w:rsidR="00D922FB" w:rsidRPr="00D922FB">
        <w:rPr>
          <w:rFonts w:ascii="Times New Roman" w:eastAsia="Microsoft YaHei" w:hAnsi="Times New Roman" w:cs="Times New Roman" w:hint="eastAsia"/>
          <w:sz w:val="22"/>
          <w:szCs w:val="24"/>
        </w:rPr>
        <w:t>CSMAR Database</w:t>
      </w:r>
      <w:r w:rsidR="00162214">
        <w:rPr>
          <w:rFonts w:ascii="Times New Roman" w:eastAsia="Microsoft YaHei" w:hAnsi="Times New Roman" w:cs="Times New Roman" w:hint="eastAsia"/>
          <w:sz w:val="22"/>
          <w:szCs w:val="24"/>
        </w:rPr>
        <w:t>)</w:t>
      </w:r>
      <w:r w:rsidR="00D922FB" w:rsidRPr="00D922FB">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and the Wind Database. Industry classification data is sourced from the </w:t>
      </w:r>
      <w:r w:rsidR="00D922FB">
        <w:rPr>
          <w:rFonts w:ascii="Times New Roman" w:eastAsia="Microsoft YaHei" w:hAnsi="Times New Roman" w:cs="Times New Roman" w:hint="eastAsia"/>
          <w:sz w:val="22"/>
          <w:szCs w:val="24"/>
        </w:rPr>
        <w:t>Shenwan Hongyuan Securities Co., Ltd.</w:t>
      </w:r>
      <w:r>
        <w:rPr>
          <w:rFonts w:ascii="Times New Roman" w:eastAsia="Microsoft YaHei" w:hAnsi="Times New Roman" w:cs="Times New Roman" w:hint="eastAsia"/>
          <w:sz w:val="22"/>
          <w:szCs w:val="24"/>
        </w:rPr>
        <w:t xml:space="preserve"> website, and regional data is sourced from the China Statistical Yearbook, China Urban Statistical Yearbook, and the </w:t>
      </w:r>
      <w:r w:rsidR="00595421" w:rsidRPr="00595421">
        <w:rPr>
          <w:rFonts w:ascii="Times New Roman" w:eastAsia="Microsoft YaHei" w:hAnsi="Times New Roman" w:cs="Times New Roman"/>
          <w:sz w:val="22"/>
          <w:szCs w:val="24"/>
        </w:rPr>
        <w:t>Chinese Research Data Services Platform</w:t>
      </w:r>
      <w:r w:rsidR="00595421" w:rsidRPr="00595421">
        <w:rPr>
          <w:rFonts w:ascii="Times New Roman" w:eastAsia="Microsoft YaHei" w:hAnsi="Times New Roman" w:cs="Times New Roman" w:hint="eastAsia"/>
          <w:sz w:val="22"/>
          <w:szCs w:val="24"/>
        </w:rPr>
        <w:t xml:space="preserve"> </w:t>
      </w:r>
      <w:r w:rsidR="003C297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CNRDS</w:t>
      </w:r>
      <w:r w:rsidR="003C297B">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database. To reduce the impact of outliers on the regression results, all continuous variables are truncated by 1% at both ends.</w:t>
      </w:r>
    </w:p>
    <w:p w14:paraId="56BB6FF9"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1 Descriptive statistics of main variables</w:t>
      </w:r>
    </w:p>
    <w:tbl>
      <w:tblPr>
        <w:tblW w:w="5000" w:type="pct"/>
        <w:jc w:val="center"/>
        <w:tblCellMar>
          <w:left w:w="75" w:type="dxa"/>
          <w:right w:w="75" w:type="dxa"/>
        </w:tblCellMar>
        <w:tblLook w:val="04A0" w:firstRow="1" w:lastRow="0" w:firstColumn="1" w:lastColumn="0" w:noHBand="0" w:noVBand="1"/>
      </w:tblPr>
      <w:tblGrid>
        <w:gridCol w:w="2632"/>
        <w:gridCol w:w="1592"/>
        <w:gridCol w:w="1114"/>
        <w:gridCol w:w="1114"/>
        <w:gridCol w:w="1114"/>
        <w:gridCol w:w="1114"/>
        <w:gridCol w:w="958"/>
      </w:tblGrid>
      <w:tr w:rsidR="009C3784" w:rsidRPr="003C297B" w14:paraId="13C4B0ED" w14:textId="77777777">
        <w:trPr>
          <w:jc w:val="center"/>
        </w:trPr>
        <w:tc>
          <w:tcPr>
            <w:tcW w:w="1365" w:type="pct"/>
            <w:tcBorders>
              <w:top w:val="single" w:sz="8" w:space="0" w:color="auto"/>
              <w:left w:val="nil"/>
              <w:bottom w:val="single" w:sz="8" w:space="0" w:color="auto"/>
              <w:right w:val="nil"/>
            </w:tcBorders>
          </w:tcPr>
          <w:p w14:paraId="6FC3962B" w14:textId="77777777" w:rsidR="009C3784" w:rsidRPr="003C297B" w:rsidRDefault="00D95DA7">
            <w:pPr>
              <w:autoSpaceDE w:val="0"/>
              <w:autoSpaceDN w:val="0"/>
              <w:adjustRightInd w:val="0"/>
              <w:jc w:val="center"/>
              <w:rPr>
                <w:rFonts w:ascii="Times New Roman" w:eastAsia="SimSun" w:hAnsi="Times New Roman" w:cs="Times New Roman"/>
                <w:kern w:val="0"/>
                <w:sz w:val="18"/>
                <w:szCs w:val="20"/>
              </w:rPr>
            </w:pPr>
            <w:bookmarkStart w:id="6" w:name="_Hlk117445323"/>
            <w:r w:rsidRPr="003C297B">
              <w:rPr>
                <w:rFonts w:ascii="Times New Roman" w:eastAsia="Microsoft YaHei" w:hAnsi="Times New Roman" w:cs="Times New Roman" w:hint="eastAsia"/>
                <w:kern w:val="0"/>
                <w:sz w:val="18"/>
                <w:szCs w:val="20"/>
              </w:rPr>
              <w:t>Variable name</w:t>
            </w:r>
            <w:bookmarkEnd w:id="6"/>
          </w:p>
        </w:tc>
        <w:tc>
          <w:tcPr>
            <w:tcW w:w="826" w:type="pct"/>
            <w:tcBorders>
              <w:top w:val="single" w:sz="8" w:space="0" w:color="auto"/>
              <w:left w:val="nil"/>
              <w:bottom w:val="single" w:sz="8" w:space="0" w:color="auto"/>
              <w:right w:val="nil"/>
            </w:tcBorders>
          </w:tcPr>
          <w:p w14:paraId="3D64F358" w14:textId="2CB9B210"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Simple size</w:t>
            </w:r>
            <w:r w:rsidRPr="003C297B">
              <w:rPr>
                <w:rFonts w:ascii="Times New Roman" w:eastAsia="Microsoft YaHei" w:hAnsi="Times New Roman" w:cs="Times New Roman" w:hint="eastAsia"/>
                <w:sz w:val="18"/>
                <w:szCs w:val="20"/>
              </w:rPr>
              <w:t xml:space="preserve"> </w:t>
            </w:r>
          </w:p>
        </w:tc>
        <w:tc>
          <w:tcPr>
            <w:tcW w:w="578" w:type="pct"/>
            <w:tcBorders>
              <w:top w:val="single" w:sz="8" w:space="0" w:color="auto"/>
              <w:left w:val="nil"/>
              <w:bottom w:val="single" w:sz="8" w:space="0" w:color="auto"/>
              <w:right w:val="nil"/>
            </w:tcBorders>
          </w:tcPr>
          <w:p w14:paraId="64D85D65" w14:textId="37601BEB"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M</w:t>
            </w:r>
            <w:r w:rsidRPr="003C297B">
              <w:rPr>
                <w:rFonts w:ascii="Times New Roman" w:eastAsia="Microsoft YaHei" w:hAnsi="Times New Roman" w:cs="Times New Roman" w:hint="eastAsia"/>
                <w:sz w:val="18"/>
                <w:szCs w:val="20"/>
              </w:rPr>
              <w:t xml:space="preserve">ean </w:t>
            </w:r>
          </w:p>
        </w:tc>
        <w:tc>
          <w:tcPr>
            <w:tcW w:w="578" w:type="pct"/>
            <w:tcBorders>
              <w:top w:val="single" w:sz="8" w:space="0" w:color="auto"/>
              <w:left w:val="nil"/>
              <w:bottom w:val="single" w:sz="8" w:space="0" w:color="auto"/>
              <w:right w:val="nil"/>
            </w:tcBorders>
          </w:tcPr>
          <w:p w14:paraId="5B83D125" w14:textId="305B95F7"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M</w:t>
            </w:r>
            <w:r w:rsidRPr="003C297B">
              <w:rPr>
                <w:rFonts w:ascii="Times New Roman" w:eastAsia="Microsoft YaHei" w:hAnsi="Times New Roman" w:cs="Times New Roman" w:hint="eastAsia"/>
                <w:sz w:val="18"/>
                <w:szCs w:val="20"/>
              </w:rPr>
              <w:t xml:space="preserve">edian </w:t>
            </w:r>
          </w:p>
        </w:tc>
        <w:tc>
          <w:tcPr>
            <w:tcW w:w="578" w:type="pct"/>
            <w:tcBorders>
              <w:top w:val="single" w:sz="8" w:space="0" w:color="auto"/>
              <w:left w:val="nil"/>
              <w:bottom w:val="single" w:sz="8" w:space="0" w:color="auto"/>
              <w:right w:val="nil"/>
            </w:tcBorders>
          </w:tcPr>
          <w:p w14:paraId="6AFB5008" w14:textId="0C60922B"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S</w:t>
            </w:r>
            <w:r w:rsidRPr="003C297B">
              <w:rPr>
                <w:rFonts w:ascii="Times New Roman" w:eastAsia="Microsoft YaHei" w:hAnsi="Times New Roman" w:cs="Times New Roman" w:hint="eastAsia"/>
                <w:sz w:val="18"/>
                <w:szCs w:val="20"/>
              </w:rPr>
              <w:t xml:space="preserve">tandard </w:t>
            </w:r>
            <w:r w:rsidR="003C297B">
              <w:rPr>
                <w:rFonts w:ascii="Times New Roman" w:eastAsia="Microsoft YaHei" w:hAnsi="Times New Roman" w:cs="Times New Roman"/>
                <w:sz w:val="18"/>
                <w:szCs w:val="20"/>
              </w:rPr>
              <w:t>D</w:t>
            </w:r>
            <w:r w:rsidRPr="003C297B">
              <w:rPr>
                <w:rFonts w:ascii="Times New Roman" w:eastAsia="Microsoft YaHei" w:hAnsi="Times New Roman" w:cs="Times New Roman" w:hint="eastAsia"/>
                <w:sz w:val="18"/>
                <w:szCs w:val="20"/>
              </w:rPr>
              <w:t xml:space="preserve">eviation </w:t>
            </w:r>
          </w:p>
        </w:tc>
        <w:tc>
          <w:tcPr>
            <w:tcW w:w="578" w:type="pct"/>
            <w:tcBorders>
              <w:top w:val="single" w:sz="8" w:space="0" w:color="auto"/>
              <w:left w:val="nil"/>
              <w:bottom w:val="single" w:sz="8" w:space="0" w:color="auto"/>
              <w:right w:val="nil"/>
            </w:tcBorders>
          </w:tcPr>
          <w:p w14:paraId="463A29B5" w14:textId="4B75DC78" w:rsidR="009C3784" w:rsidRPr="003C297B" w:rsidRDefault="003C297B">
            <w:pPr>
              <w:autoSpaceDE w:val="0"/>
              <w:autoSpaceDN w:val="0"/>
              <w:adjustRightInd w:val="0"/>
              <w:jc w:val="center"/>
              <w:rPr>
                <w:rFonts w:ascii="Times New Roman" w:eastAsia="SimSun" w:hAnsi="Times New Roman" w:cs="Times New Roman"/>
                <w:kern w:val="0"/>
                <w:sz w:val="18"/>
                <w:szCs w:val="20"/>
              </w:rPr>
            </w:pPr>
            <w:r>
              <w:rPr>
                <w:rFonts w:ascii="Times New Roman" w:eastAsia="Microsoft YaHei" w:hAnsi="Times New Roman" w:cs="Times New Roman"/>
                <w:kern w:val="0"/>
                <w:sz w:val="18"/>
                <w:szCs w:val="20"/>
              </w:rPr>
              <w:t>Min</w:t>
            </w:r>
            <w:r w:rsidR="00D95DA7" w:rsidRPr="003C297B">
              <w:rPr>
                <w:rFonts w:ascii="Times New Roman" w:eastAsia="Microsoft YaHei" w:hAnsi="Times New Roman" w:cs="Times New Roman" w:hint="eastAsia"/>
                <w:kern w:val="0"/>
                <w:sz w:val="18"/>
                <w:szCs w:val="20"/>
              </w:rPr>
              <w:t xml:space="preserve"> </w:t>
            </w:r>
          </w:p>
        </w:tc>
        <w:tc>
          <w:tcPr>
            <w:tcW w:w="497" w:type="pct"/>
            <w:tcBorders>
              <w:top w:val="single" w:sz="8" w:space="0" w:color="auto"/>
              <w:left w:val="nil"/>
              <w:bottom w:val="single" w:sz="8" w:space="0" w:color="auto"/>
              <w:right w:val="nil"/>
            </w:tcBorders>
          </w:tcPr>
          <w:p w14:paraId="405EE6AF" w14:textId="57C976C9" w:rsidR="009C3784" w:rsidRPr="003C297B" w:rsidRDefault="003C297B">
            <w:pPr>
              <w:autoSpaceDE w:val="0"/>
              <w:autoSpaceDN w:val="0"/>
              <w:adjustRightInd w:val="0"/>
              <w:jc w:val="center"/>
              <w:rPr>
                <w:rFonts w:ascii="Times New Roman" w:eastAsia="SimSun" w:hAnsi="Times New Roman" w:cs="Times New Roman"/>
                <w:kern w:val="0"/>
                <w:sz w:val="18"/>
                <w:szCs w:val="20"/>
              </w:rPr>
            </w:pPr>
            <w:r>
              <w:rPr>
                <w:rFonts w:ascii="Times New Roman" w:eastAsia="Microsoft YaHei" w:hAnsi="Times New Roman" w:cs="Times New Roman"/>
                <w:kern w:val="0"/>
                <w:sz w:val="18"/>
                <w:szCs w:val="20"/>
              </w:rPr>
              <w:t>Max</w:t>
            </w:r>
          </w:p>
        </w:tc>
      </w:tr>
      <w:tr w:rsidR="009C3784" w:rsidRPr="003C297B" w14:paraId="04320CA6" w14:textId="77777777">
        <w:trPr>
          <w:jc w:val="center"/>
        </w:trPr>
        <w:tc>
          <w:tcPr>
            <w:tcW w:w="1365" w:type="pct"/>
            <w:tcBorders>
              <w:top w:val="single" w:sz="8" w:space="0" w:color="auto"/>
              <w:left w:val="nil"/>
              <w:right w:val="nil"/>
            </w:tcBorders>
          </w:tcPr>
          <w:p w14:paraId="7BC43668" w14:textId="77777777"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Core explanatory variables</w:t>
            </w:r>
          </w:p>
        </w:tc>
        <w:tc>
          <w:tcPr>
            <w:tcW w:w="3635" w:type="pct"/>
            <w:gridSpan w:val="6"/>
            <w:tcBorders>
              <w:top w:val="single" w:sz="8" w:space="0" w:color="auto"/>
              <w:left w:val="nil"/>
              <w:right w:val="nil"/>
            </w:tcBorders>
          </w:tcPr>
          <w:p w14:paraId="31682A78" w14:textId="77777777" w:rsidR="009C3784" w:rsidRPr="003C297B" w:rsidRDefault="009C3784">
            <w:pPr>
              <w:autoSpaceDE w:val="0"/>
              <w:autoSpaceDN w:val="0"/>
              <w:adjustRightInd w:val="0"/>
              <w:jc w:val="center"/>
              <w:rPr>
                <w:rFonts w:ascii="Times New Roman" w:eastAsia="SimSun" w:hAnsi="Times New Roman" w:cs="Times New Roman"/>
                <w:kern w:val="0"/>
                <w:sz w:val="18"/>
                <w:szCs w:val="20"/>
              </w:rPr>
            </w:pPr>
          </w:p>
        </w:tc>
      </w:tr>
      <w:tr w:rsidR="009C3784" w:rsidRPr="003C297B" w14:paraId="37A9C638" w14:textId="77777777">
        <w:trPr>
          <w:jc w:val="center"/>
        </w:trPr>
        <w:tc>
          <w:tcPr>
            <w:tcW w:w="1365" w:type="pct"/>
            <w:tcBorders>
              <w:left w:val="nil"/>
              <w:bottom w:val="single" w:sz="8" w:space="0" w:color="auto"/>
              <w:right w:val="nil"/>
            </w:tcBorders>
          </w:tcPr>
          <w:p w14:paraId="0F1BE19F"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Environmental performance (EP)</w:t>
            </w:r>
          </w:p>
        </w:tc>
        <w:tc>
          <w:tcPr>
            <w:tcW w:w="826" w:type="pct"/>
            <w:tcBorders>
              <w:left w:val="nil"/>
              <w:bottom w:val="single" w:sz="8" w:space="0" w:color="auto"/>
              <w:right w:val="nil"/>
            </w:tcBorders>
          </w:tcPr>
          <w:p w14:paraId="3BAB55C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left w:val="nil"/>
              <w:bottom w:val="single" w:sz="8" w:space="0" w:color="auto"/>
              <w:right w:val="nil"/>
            </w:tcBorders>
          </w:tcPr>
          <w:p w14:paraId="37064B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1.366</w:t>
            </w:r>
          </w:p>
        </w:tc>
        <w:tc>
          <w:tcPr>
            <w:tcW w:w="578" w:type="pct"/>
            <w:tcBorders>
              <w:left w:val="nil"/>
              <w:bottom w:val="single" w:sz="8" w:space="0" w:color="auto"/>
              <w:right w:val="nil"/>
            </w:tcBorders>
          </w:tcPr>
          <w:p w14:paraId="078DF43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1.358</w:t>
            </w:r>
          </w:p>
        </w:tc>
        <w:tc>
          <w:tcPr>
            <w:tcW w:w="578" w:type="pct"/>
            <w:tcBorders>
              <w:left w:val="nil"/>
              <w:bottom w:val="single" w:sz="8" w:space="0" w:color="auto"/>
              <w:right w:val="nil"/>
            </w:tcBorders>
          </w:tcPr>
          <w:p w14:paraId="6BDD883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0.175</w:t>
            </w:r>
          </w:p>
        </w:tc>
        <w:tc>
          <w:tcPr>
            <w:tcW w:w="578" w:type="pct"/>
            <w:tcBorders>
              <w:left w:val="nil"/>
              <w:bottom w:val="single" w:sz="8" w:space="0" w:color="auto"/>
              <w:right w:val="nil"/>
            </w:tcBorders>
          </w:tcPr>
          <w:p w14:paraId="2CC06BD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0.947</w:t>
            </w:r>
          </w:p>
        </w:tc>
        <w:tc>
          <w:tcPr>
            <w:tcW w:w="497" w:type="pct"/>
            <w:tcBorders>
              <w:left w:val="nil"/>
              <w:bottom w:val="single" w:sz="8" w:space="0" w:color="auto"/>
              <w:right w:val="nil"/>
            </w:tcBorders>
          </w:tcPr>
          <w:p w14:paraId="6CF615A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2.285</w:t>
            </w:r>
          </w:p>
        </w:tc>
      </w:tr>
      <w:tr w:rsidR="009C3784" w:rsidRPr="003C297B" w14:paraId="002B9D15" w14:textId="77777777">
        <w:trPr>
          <w:trHeight w:val="35"/>
          <w:jc w:val="center"/>
        </w:trPr>
        <w:tc>
          <w:tcPr>
            <w:tcW w:w="1365" w:type="pct"/>
            <w:tcBorders>
              <w:top w:val="single" w:sz="8" w:space="0" w:color="auto"/>
              <w:left w:val="nil"/>
              <w:right w:val="nil"/>
            </w:tcBorders>
          </w:tcPr>
          <w:p w14:paraId="0726134F" w14:textId="11A2BC88" w:rsidR="009C3784" w:rsidRPr="003C297B" w:rsidRDefault="003C297B">
            <w:pPr>
              <w:autoSpaceDE w:val="0"/>
              <w:autoSpaceDN w:val="0"/>
              <w:adjustRightInd w:val="0"/>
              <w:jc w:val="center"/>
              <w:rPr>
                <w:rFonts w:ascii="Times New Roman" w:eastAsia="SimSun" w:hAnsi="Times New Roman" w:cs="Times New Roman"/>
                <w:b/>
                <w:kern w:val="0"/>
                <w:sz w:val="18"/>
                <w:szCs w:val="20"/>
              </w:rPr>
            </w:pPr>
            <w:r>
              <w:rPr>
                <w:rFonts w:ascii="Times New Roman" w:eastAsia="Microsoft YaHei" w:hAnsi="Times New Roman" w:cs="Times New Roman"/>
                <w:b/>
                <w:kern w:val="0"/>
                <w:sz w:val="18"/>
                <w:szCs w:val="20"/>
              </w:rPr>
              <w:t>C</w:t>
            </w:r>
            <w:r w:rsidR="00D95DA7" w:rsidRPr="003C297B">
              <w:rPr>
                <w:rFonts w:ascii="Times New Roman" w:eastAsia="Microsoft YaHei" w:hAnsi="Times New Roman" w:cs="Times New Roman" w:hint="eastAsia"/>
                <w:b/>
                <w:kern w:val="0"/>
                <w:sz w:val="18"/>
                <w:szCs w:val="20"/>
              </w:rPr>
              <w:t xml:space="preserve">ontrolled variable </w:t>
            </w:r>
          </w:p>
        </w:tc>
        <w:tc>
          <w:tcPr>
            <w:tcW w:w="3635" w:type="pct"/>
            <w:gridSpan w:val="6"/>
            <w:tcBorders>
              <w:top w:val="single" w:sz="8" w:space="0" w:color="auto"/>
              <w:left w:val="nil"/>
              <w:right w:val="nil"/>
            </w:tcBorders>
          </w:tcPr>
          <w:p w14:paraId="5ABF83AE" w14:textId="77777777" w:rsidR="009C3784" w:rsidRPr="003C297B" w:rsidRDefault="009C3784">
            <w:pPr>
              <w:autoSpaceDE w:val="0"/>
              <w:autoSpaceDN w:val="0"/>
              <w:adjustRightInd w:val="0"/>
              <w:jc w:val="center"/>
              <w:rPr>
                <w:rFonts w:ascii="Times New Roman" w:eastAsia="SimSun" w:hAnsi="Times New Roman" w:cs="Times New Roman"/>
                <w:kern w:val="0"/>
                <w:sz w:val="18"/>
                <w:szCs w:val="24"/>
              </w:rPr>
            </w:pPr>
          </w:p>
        </w:tc>
      </w:tr>
      <w:tr w:rsidR="009C3784" w:rsidRPr="003C297B" w14:paraId="523EC71C" w14:textId="77777777">
        <w:trPr>
          <w:jc w:val="center"/>
        </w:trPr>
        <w:tc>
          <w:tcPr>
            <w:tcW w:w="1365" w:type="pct"/>
            <w:tcBorders>
              <w:left w:val="nil"/>
              <w:bottom w:val="nil"/>
              <w:right w:val="nil"/>
            </w:tcBorders>
          </w:tcPr>
          <w:p w14:paraId="2435CD34"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Enterprise size (size)</w:t>
            </w:r>
          </w:p>
        </w:tc>
        <w:tc>
          <w:tcPr>
            <w:tcW w:w="826" w:type="pct"/>
            <w:tcBorders>
              <w:left w:val="nil"/>
              <w:bottom w:val="nil"/>
              <w:right w:val="nil"/>
            </w:tcBorders>
          </w:tcPr>
          <w:p w14:paraId="3F0DFB9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left w:val="nil"/>
              <w:bottom w:val="nil"/>
              <w:right w:val="nil"/>
            </w:tcBorders>
          </w:tcPr>
          <w:p w14:paraId="1678A9F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22.48</w:t>
            </w:r>
          </w:p>
        </w:tc>
        <w:tc>
          <w:tcPr>
            <w:tcW w:w="578" w:type="pct"/>
            <w:tcBorders>
              <w:left w:val="nil"/>
              <w:bottom w:val="nil"/>
              <w:right w:val="nil"/>
            </w:tcBorders>
          </w:tcPr>
          <w:p w14:paraId="2E1D3CB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22.36</w:t>
            </w:r>
          </w:p>
        </w:tc>
        <w:tc>
          <w:tcPr>
            <w:tcW w:w="578" w:type="pct"/>
            <w:tcBorders>
              <w:left w:val="nil"/>
              <w:bottom w:val="nil"/>
              <w:right w:val="nil"/>
            </w:tcBorders>
          </w:tcPr>
          <w:p w14:paraId="32AF76C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1.146</w:t>
            </w:r>
          </w:p>
        </w:tc>
        <w:tc>
          <w:tcPr>
            <w:tcW w:w="578" w:type="pct"/>
            <w:tcBorders>
              <w:left w:val="nil"/>
              <w:bottom w:val="nil"/>
              <w:right w:val="nil"/>
            </w:tcBorders>
          </w:tcPr>
          <w:p w14:paraId="106D580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20.27</w:t>
            </w:r>
          </w:p>
        </w:tc>
        <w:tc>
          <w:tcPr>
            <w:tcW w:w="497" w:type="pct"/>
            <w:tcBorders>
              <w:left w:val="nil"/>
              <w:bottom w:val="nil"/>
              <w:right w:val="nil"/>
            </w:tcBorders>
          </w:tcPr>
          <w:p w14:paraId="4DD728A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25.64</w:t>
            </w:r>
          </w:p>
        </w:tc>
      </w:tr>
      <w:tr w:rsidR="009C3784" w:rsidRPr="003C297B" w14:paraId="40F1F5F0" w14:textId="77777777">
        <w:trPr>
          <w:jc w:val="center"/>
        </w:trPr>
        <w:tc>
          <w:tcPr>
            <w:tcW w:w="1365" w:type="pct"/>
            <w:tcBorders>
              <w:top w:val="nil"/>
              <w:left w:val="nil"/>
              <w:bottom w:val="nil"/>
              <w:right w:val="nil"/>
            </w:tcBorders>
          </w:tcPr>
          <w:p w14:paraId="4D696B77"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Total asset return on equity (ROA)</w:t>
            </w:r>
          </w:p>
        </w:tc>
        <w:tc>
          <w:tcPr>
            <w:tcW w:w="826" w:type="pct"/>
            <w:tcBorders>
              <w:top w:val="nil"/>
              <w:left w:val="nil"/>
              <w:bottom w:val="nil"/>
              <w:right w:val="nil"/>
            </w:tcBorders>
          </w:tcPr>
          <w:p w14:paraId="604C9C7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761B0161"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0.0380</w:t>
            </w:r>
          </w:p>
        </w:tc>
        <w:tc>
          <w:tcPr>
            <w:tcW w:w="578" w:type="pct"/>
            <w:tcBorders>
              <w:top w:val="nil"/>
              <w:left w:val="nil"/>
              <w:bottom w:val="nil"/>
              <w:right w:val="nil"/>
            </w:tcBorders>
          </w:tcPr>
          <w:p w14:paraId="0510CE0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0.0360</w:t>
            </w:r>
          </w:p>
        </w:tc>
        <w:tc>
          <w:tcPr>
            <w:tcW w:w="578" w:type="pct"/>
            <w:tcBorders>
              <w:top w:val="nil"/>
              <w:left w:val="nil"/>
              <w:bottom w:val="nil"/>
              <w:right w:val="nil"/>
            </w:tcBorders>
          </w:tcPr>
          <w:p w14:paraId="70BC38F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0.0540</w:t>
            </w:r>
          </w:p>
        </w:tc>
        <w:tc>
          <w:tcPr>
            <w:tcW w:w="578" w:type="pct"/>
            <w:tcBorders>
              <w:top w:val="nil"/>
              <w:left w:val="nil"/>
              <w:bottom w:val="nil"/>
              <w:right w:val="nil"/>
            </w:tcBorders>
          </w:tcPr>
          <w:p w14:paraId="7FE1F01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-0.211</w:t>
            </w:r>
          </w:p>
        </w:tc>
        <w:tc>
          <w:tcPr>
            <w:tcW w:w="497" w:type="pct"/>
            <w:tcBorders>
              <w:top w:val="nil"/>
              <w:left w:val="nil"/>
              <w:bottom w:val="nil"/>
              <w:right w:val="nil"/>
            </w:tcBorders>
          </w:tcPr>
          <w:p w14:paraId="19C54B9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0.193</w:t>
            </w:r>
          </w:p>
        </w:tc>
      </w:tr>
      <w:tr w:rsidR="009C3784" w:rsidRPr="003C297B" w14:paraId="37EF469B" w14:textId="77777777">
        <w:trPr>
          <w:jc w:val="center"/>
        </w:trPr>
        <w:tc>
          <w:tcPr>
            <w:tcW w:w="1365" w:type="pct"/>
            <w:tcBorders>
              <w:top w:val="nil"/>
              <w:left w:val="nil"/>
              <w:bottom w:val="nil"/>
              <w:right w:val="nil"/>
            </w:tcBorders>
          </w:tcPr>
          <w:p w14:paraId="1D74CB5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Return on equity (roe)</w:t>
            </w:r>
          </w:p>
        </w:tc>
        <w:tc>
          <w:tcPr>
            <w:tcW w:w="826" w:type="pct"/>
            <w:tcBorders>
              <w:top w:val="nil"/>
              <w:left w:val="nil"/>
              <w:bottom w:val="nil"/>
              <w:right w:val="nil"/>
            </w:tcBorders>
          </w:tcPr>
          <w:p w14:paraId="24AA53B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55ACF1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0.0690</w:t>
            </w:r>
          </w:p>
        </w:tc>
        <w:tc>
          <w:tcPr>
            <w:tcW w:w="578" w:type="pct"/>
            <w:tcBorders>
              <w:top w:val="nil"/>
              <w:left w:val="nil"/>
              <w:bottom w:val="nil"/>
              <w:right w:val="nil"/>
            </w:tcBorders>
          </w:tcPr>
          <w:p w14:paraId="77C7EBB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0.0690</w:t>
            </w:r>
          </w:p>
        </w:tc>
        <w:tc>
          <w:tcPr>
            <w:tcW w:w="578" w:type="pct"/>
            <w:tcBorders>
              <w:top w:val="nil"/>
              <w:left w:val="nil"/>
              <w:bottom w:val="nil"/>
              <w:right w:val="nil"/>
            </w:tcBorders>
          </w:tcPr>
          <w:p w14:paraId="4BA9B7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0.110</w:t>
            </w:r>
          </w:p>
        </w:tc>
        <w:tc>
          <w:tcPr>
            <w:tcW w:w="578" w:type="pct"/>
            <w:tcBorders>
              <w:top w:val="nil"/>
              <w:left w:val="nil"/>
              <w:bottom w:val="nil"/>
              <w:right w:val="nil"/>
            </w:tcBorders>
          </w:tcPr>
          <w:p w14:paraId="48F446F6"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-0.514</w:t>
            </w:r>
          </w:p>
        </w:tc>
        <w:tc>
          <w:tcPr>
            <w:tcW w:w="497" w:type="pct"/>
            <w:tcBorders>
              <w:top w:val="nil"/>
              <w:left w:val="nil"/>
              <w:bottom w:val="nil"/>
              <w:right w:val="nil"/>
            </w:tcBorders>
          </w:tcPr>
          <w:p w14:paraId="5E532CE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0.388</w:t>
            </w:r>
          </w:p>
        </w:tc>
      </w:tr>
      <w:tr w:rsidR="009C3784" w:rsidRPr="003C297B" w14:paraId="2549DF94" w14:textId="77777777">
        <w:trPr>
          <w:jc w:val="center"/>
        </w:trPr>
        <w:tc>
          <w:tcPr>
            <w:tcW w:w="1365" w:type="pct"/>
            <w:tcBorders>
              <w:top w:val="nil"/>
              <w:left w:val="nil"/>
              <w:bottom w:val="nil"/>
              <w:right w:val="nil"/>
            </w:tcBorders>
          </w:tcPr>
          <w:p w14:paraId="71747F39"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Cash flow ratio (cashflow)</w:t>
            </w:r>
          </w:p>
        </w:tc>
        <w:tc>
          <w:tcPr>
            <w:tcW w:w="826" w:type="pct"/>
            <w:tcBorders>
              <w:top w:val="nil"/>
              <w:left w:val="nil"/>
              <w:bottom w:val="nil"/>
              <w:right w:val="nil"/>
            </w:tcBorders>
          </w:tcPr>
          <w:p w14:paraId="1D41A286"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7A04A90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0.0520</w:t>
            </w:r>
          </w:p>
        </w:tc>
        <w:tc>
          <w:tcPr>
            <w:tcW w:w="578" w:type="pct"/>
            <w:tcBorders>
              <w:top w:val="nil"/>
              <w:left w:val="nil"/>
              <w:bottom w:val="nil"/>
              <w:right w:val="nil"/>
            </w:tcBorders>
          </w:tcPr>
          <w:p w14:paraId="1FD61E4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0.0510</w:t>
            </w:r>
          </w:p>
        </w:tc>
        <w:tc>
          <w:tcPr>
            <w:tcW w:w="578" w:type="pct"/>
            <w:tcBorders>
              <w:top w:val="nil"/>
              <w:left w:val="nil"/>
              <w:bottom w:val="nil"/>
              <w:right w:val="nil"/>
            </w:tcBorders>
          </w:tcPr>
          <w:p w14:paraId="7455745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0.0630</w:t>
            </w:r>
          </w:p>
        </w:tc>
        <w:tc>
          <w:tcPr>
            <w:tcW w:w="578" w:type="pct"/>
            <w:tcBorders>
              <w:top w:val="nil"/>
              <w:left w:val="nil"/>
              <w:bottom w:val="nil"/>
              <w:right w:val="nil"/>
            </w:tcBorders>
          </w:tcPr>
          <w:p w14:paraId="0D5E38C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-0.120</w:t>
            </w:r>
          </w:p>
        </w:tc>
        <w:tc>
          <w:tcPr>
            <w:tcW w:w="497" w:type="pct"/>
            <w:tcBorders>
              <w:top w:val="nil"/>
              <w:left w:val="nil"/>
              <w:bottom w:val="nil"/>
              <w:right w:val="nil"/>
            </w:tcBorders>
          </w:tcPr>
          <w:p w14:paraId="72B5033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0.239</w:t>
            </w:r>
          </w:p>
        </w:tc>
      </w:tr>
      <w:tr w:rsidR="009C3784" w:rsidRPr="003C297B" w14:paraId="6BC30D28" w14:textId="77777777">
        <w:trPr>
          <w:jc w:val="center"/>
        </w:trPr>
        <w:tc>
          <w:tcPr>
            <w:tcW w:w="1365" w:type="pct"/>
            <w:tcBorders>
              <w:top w:val="nil"/>
              <w:left w:val="nil"/>
              <w:bottom w:val="nil"/>
              <w:right w:val="nil"/>
            </w:tcBorders>
          </w:tcPr>
          <w:p w14:paraId="1E12EF09"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Operating income growth (growth)</w:t>
            </w:r>
          </w:p>
        </w:tc>
        <w:tc>
          <w:tcPr>
            <w:tcW w:w="826" w:type="pct"/>
            <w:tcBorders>
              <w:top w:val="nil"/>
              <w:left w:val="nil"/>
              <w:bottom w:val="nil"/>
              <w:right w:val="nil"/>
            </w:tcBorders>
          </w:tcPr>
          <w:p w14:paraId="5768DD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6D0917C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0.188</w:t>
            </w:r>
          </w:p>
        </w:tc>
        <w:tc>
          <w:tcPr>
            <w:tcW w:w="578" w:type="pct"/>
            <w:tcBorders>
              <w:top w:val="nil"/>
              <w:left w:val="nil"/>
              <w:bottom w:val="nil"/>
              <w:right w:val="nil"/>
            </w:tcBorders>
          </w:tcPr>
          <w:p w14:paraId="10E33E0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0.117</w:t>
            </w:r>
          </w:p>
        </w:tc>
        <w:tc>
          <w:tcPr>
            <w:tcW w:w="578" w:type="pct"/>
            <w:tcBorders>
              <w:top w:val="nil"/>
              <w:left w:val="nil"/>
              <w:bottom w:val="nil"/>
              <w:right w:val="nil"/>
            </w:tcBorders>
          </w:tcPr>
          <w:p w14:paraId="78CEBC7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0.355</w:t>
            </w:r>
          </w:p>
        </w:tc>
        <w:tc>
          <w:tcPr>
            <w:tcW w:w="578" w:type="pct"/>
            <w:tcBorders>
              <w:top w:val="nil"/>
              <w:left w:val="nil"/>
              <w:bottom w:val="nil"/>
              <w:right w:val="nil"/>
            </w:tcBorders>
          </w:tcPr>
          <w:p w14:paraId="2E206CE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-0.418</w:t>
            </w:r>
          </w:p>
        </w:tc>
        <w:tc>
          <w:tcPr>
            <w:tcW w:w="497" w:type="pct"/>
            <w:tcBorders>
              <w:top w:val="nil"/>
              <w:left w:val="nil"/>
              <w:bottom w:val="nil"/>
              <w:right w:val="nil"/>
            </w:tcBorders>
          </w:tcPr>
          <w:p w14:paraId="2CFFC8B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2.086</w:t>
            </w:r>
          </w:p>
        </w:tc>
      </w:tr>
      <w:tr w:rsidR="009C3784" w:rsidRPr="003C297B" w14:paraId="4E7D078B" w14:textId="77777777">
        <w:trPr>
          <w:jc w:val="center"/>
        </w:trPr>
        <w:tc>
          <w:tcPr>
            <w:tcW w:w="1365" w:type="pct"/>
            <w:tcBorders>
              <w:top w:val="nil"/>
              <w:left w:val="nil"/>
              <w:right w:val="nil"/>
            </w:tcBorders>
          </w:tcPr>
          <w:p w14:paraId="34DCB616"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Asset-liability ratio (lev)</w:t>
            </w:r>
          </w:p>
        </w:tc>
        <w:tc>
          <w:tcPr>
            <w:tcW w:w="826" w:type="pct"/>
            <w:tcBorders>
              <w:top w:val="nil"/>
              <w:left w:val="nil"/>
              <w:right w:val="nil"/>
            </w:tcBorders>
          </w:tcPr>
          <w:p w14:paraId="12423BE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right w:val="nil"/>
            </w:tcBorders>
          </w:tcPr>
          <w:p w14:paraId="120061C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0.436</w:t>
            </w:r>
          </w:p>
        </w:tc>
        <w:tc>
          <w:tcPr>
            <w:tcW w:w="578" w:type="pct"/>
            <w:tcBorders>
              <w:top w:val="nil"/>
              <w:left w:val="nil"/>
              <w:right w:val="nil"/>
            </w:tcBorders>
          </w:tcPr>
          <w:p w14:paraId="33B337B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0.436</w:t>
            </w:r>
          </w:p>
        </w:tc>
        <w:tc>
          <w:tcPr>
            <w:tcW w:w="578" w:type="pct"/>
            <w:tcBorders>
              <w:top w:val="nil"/>
              <w:left w:val="nil"/>
              <w:right w:val="nil"/>
            </w:tcBorders>
          </w:tcPr>
          <w:p w14:paraId="7D6CC14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0.187</w:t>
            </w:r>
          </w:p>
        </w:tc>
        <w:tc>
          <w:tcPr>
            <w:tcW w:w="578" w:type="pct"/>
            <w:tcBorders>
              <w:top w:val="nil"/>
              <w:left w:val="nil"/>
              <w:right w:val="nil"/>
            </w:tcBorders>
          </w:tcPr>
          <w:p w14:paraId="503F357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0.0480</w:t>
            </w:r>
          </w:p>
        </w:tc>
        <w:tc>
          <w:tcPr>
            <w:tcW w:w="497" w:type="pct"/>
            <w:tcBorders>
              <w:top w:val="nil"/>
              <w:left w:val="nil"/>
              <w:bottom w:val="nil"/>
              <w:right w:val="nil"/>
            </w:tcBorders>
          </w:tcPr>
          <w:p w14:paraId="23F37931"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0.869</w:t>
            </w:r>
          </w:p>
        </w:tc>
      </w:tr>
      <w:tr w:rsidR="009C3784" w:rsidRPr="003C297B" w14:paraId="2FCBAB35" w14:textId="77777777">
        <w:trPr>
          <w:jc w:val="center"/>
        </w:trPr>
        <w:tc>
          <w:tcPr>
            <w:tcW w:w="1365" w:type="pct"/>
            <w:tcBorders>
              <w:top w:val="nil"/>
              <w:left w:val="nil"/>
              <w:bottom w:val="single" w:sz="8" w:space="0" w:color="auto"/>
              <w:right w:val="nil"/>
            </w:tcBorders>
          </w:tcPr>
          <w:p w14:paraId="2D9748E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Tobin q-value (tobinq)</w:t>
            </w:r>
          </w:p>
        </w:tc>
        <w:tc>
          <w:tcPr>
            <w:tcW w:w="826" w:type="pct"/>
            <w:tcBorders>
              <w:top w:val="nil"/>
              <w:left w:val="nil"/>
              <w:bottom w:val="single" w:sz="8" w:space="0" w:color="auto"/>
              <w:right w:val="nil"/>
            </w:tcBorders>
          </w:tcPr>
          <w:p w14:paraId="1FD54F0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single" w:sz="8" w:space="0" w:color="auto"/>
              <w:right w:val="nil"/>
            </w:tcBorders>
          </w:tcPr>
          <w:p w14:paraId="554518A7"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1.726</w:t>
            </w:r>
          </w:p>
        </w:tc>
        <w:tc>
          <w:tcPr>
            <w:tcW w:w="578" w:type="pct"/>
            <w:tcBorders>
              <w:top w:val="nil"/>
              <w:left w:val="nil"/>
              <w:bottom w:val="single" w:sz="8" w:space="0" w:color="auto"/>
              <w:right w:val="nil"/>
            </w:tcBorders>
          </w:tcPr>
          <w:p w14:paraId="56CFB47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1.450</w:t>
            </w:r>
          </w:p>
        </w:tc>
        <w:tc>
          <w:tcPr>
            <w:tcW w:w="578" w:type="pct"/>
            <w:tcBorders>
              <w:top w:val="nil"/>
              <w:left w:val="nil"/>
              <w:bottom w:val="single" w:sz="8" w:space="0" w:color="auto"/>
              <w:right w:val="nil"/>
            </w:tcBorders>
          </w:tcPr>
          <w:p w14:paraId="794AB4A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0.975</w:t>
            </w:r>
          </w:p>
        </w:tc>
        <w:tc>
          <w:tcPr>
            <w:tcW w:w="578" w:type="pct"/>
            <w:tcBorders>
              <w:top w:val="nil"/>
              <w:left w:val="nil"/>
              <w:bottom w:val="single" w:sz="8" w:space="0" w:color="auto"/>
              <w:right w:val="nil"/>
            </w:tcBorders>
          </w:tcPr>
          <w:p w14:paraId="42018E2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single" w:sz="8" w:space="0" w:color="auto"/>
              <w:right w:val="nil"/>
            </w:tcBorders>
          </w:tcPr>
          <w:p w14:paraId="50B7A1E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8.012</w:t>
            </w:r>
          </w:p>
        </w:tc>
      </w:tr>
      <w:tr w:rsidR="009C3784" w:rsidRPr="003C297B" w14:paraId="07207121" w14:textId="77777777">
        <w:trPr>
          <w:jc w:val="center"/>
        </w:trPr>
        <w:tc>
          <w:tcPr>
            <w:tcW w:w="1365" w:type="pct"/>
            <w:tcBorders>
              <w:top w:val="single" w:sz="8" w:space="0" w:color="auto"/>
              <w:left w:val="nil"/>
              <w:bottom w:val="nil"/>
              <w:right w:val="nil"/>
            </w:tcBorders>
          </w:tcPr>
          <w:p w14:paraId="3373ED3E" w14:textId="77777777" w:rsidR="009C3784" w:rsidRPr="003C297B" w:rsidRDefault="00D95DA7">
            <w:pPr>
              <w:autoSpaceDE w:val="0"/>
              <w:autoSpaceDN w:val="0"/>
              <w:adjustRightInd w:val="0"/>
              <w:jc w:val="center"/>
              <w:rPr>
                <w:rFonts w:ascii="Times New Roman" w:eastAsia="SimSun" w:hAnsi="Times New Roman" w:cs="Times New Roman"/>
                <w:b/>
                <w:kern w:val="0"/>
                <w:sz w:val="18"/>
                <w:szCs w:val="20"/>
              </w:rPr>
            </w:pPr>
            <w:r w:rsidRPr="003C297B">
              <w:rPr>
                <w:rFonts w:ascii="Times New Roman" w:eastAsia="Microsoft YaHei" w:hAnsi="Times New Roman" w:cs="Times New Roman" w:hint="eastAsia"/>
                <w:b/>
                <w:kern w:val="0"/>
                <w:sz w:val="18"/>
                <w:szCs w:val="20"/>
              </w:rPr>
              <w:t>Mechanism variables</w:t>
            </w:r>
          </w:p>
        </w:tc>
        <w:tc>
          <w:tcPr>
            <w:tcW w:w="3635" w:type="pct"/>
            <w:gridSpan w:val="6"/>
            <w:tcBorders>
              <w:top w:val="single" w:sz="8" w:space="0" w:color="auto"/>
              <w:left w:val="nil"/>
              <w:bottom w:val="nil"/>
              <w:right w:val="nil"/>
            </w:tcBorders>
          </w:tcPr>
          <w:p w14:paraId="016126F7" w14:textId="77777777" w:rsidR="009C3784" w:rsidRPr="003C297B" w:rsidRDefault="009C3784">
            <w:pPr>
              <w:autoSpaceDE w:val="0"/>
              <w:autoSpaceDN w:val="0"/>
              <w:adjustRightInd w:val="0"/>
              <w:jc w:val="center"/>
              <w:rPr>
                <w:rFonts w:ascii="Times New Roman" w:eastAsia="SimSun" w:hAnsi="Times New Roman" w:cs="Times New Roman"/>
                <w:kern w:val="0"/>
                <w:sz w:val="18"/>
                <w:szCs w:val="24"/>
              </w:rPr>
            </w:pPr>
          </w:p>
        </w:tc>
      </w:tr>
      <w:tr w:rsidR="009C3784" w:rsidRPr="003C297B" w14:paraId="2C1F9707" w14:textId="77777777">
        <w:trPr>
          <w:jc w:val="center"/>
        </w:trPr>
        <w:tc>
          <w:tcPr>
            <w:tcW w:w="1365" w:type="pct"/>
            <w:tcBorders>
              <w:top w:val="nil"/>
              <w:left w:val="nil"/>
              <w:bottom w:val="nil"/>
              <w:right w:val="nil"/>
            </w:tcBorders>
          </w:tcPr>
          <w:p w14:paraId="02A0B697"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Environmental concerns (LNER)</w:t>
            </w:r>
          </w:p>
        </w:tc>
        <w:tc>
          <w:tcPr>
            <w:tcW w:w="826" w:type="pct"/>
            <w:tcBorders>
              <w:top w:val="nil"/>
              <w:left w:val="nil"/>
              <w:bottom w:val="nil"/>
              <w:right w:val="nil"/>
            </w:tcBorders>
          </w:tcPr>
          <w:p w14:paraId="6A89754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665837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3.338</w:t>
            </w:r>
          </w:p>
        </w:tc>
        <w:tc>
          <w:tcPr>
            <w:tcW w:w="578" w:type="pct"/>
            <w:tcBorders>
              <w:top w:val="nil"/>
              <w:left w:val="nil"/>
              <w:bottom w:val="nil"/>
              <w:right w:val="nil"/>
            </w:tcBorders>
          </w:tcPr>
          <w:p w14:paraId="6F70804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3.611</w:t>
            </w:r>
          </w:p>
        </w:tc>
        <w:tc>
          <w:tcPr>
            <w:tcW w:w="578" w:type="pct"/>
            <w:tcBorders>
              <w:top w:val="nil"/>
              <w:left w:val="nil"/>
              <w:bottom w:val="nil"/>
              <w:right w:val="nil"/>
            </w:tcBorders>
          </w:tcPr>
          <w:p w14:paraId="49F547A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1.066</w:t>
            </w:r>
          </w:p>
        </w:tc>
        <w:tc>
          <w:tcPr>
            <w:tcW w:w="578" w:type="pct"/>
            <w:tcBorders>
              <w:top w:val="nil"/>
              <w:left w:val="nil"/>
              <w:bottom w:val="nil"/>
              <w:right w:val="nil"/>
            </w:tcBorders>
          </w:tcPr>
          <w:p w14:paraId="61C9DBC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1802526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4.454</w:t>
            </w:r>
          </w:p>
        </w:tc>
      </w:tr>
      <w:tr w:rsidR="009C3784" w:rsidRPr="003C297B" w14:paraId="24C04449" w14:textId="77777777">
        <w:trPr>
          <w:jc w:val="center"/>
        </w:trPr>
        <w:tc>
          <w:tcPr>
            <w:tcW w:w="1365" w:type="pct"/>
            <w:tcBorders>
              <w:top w:val="nil"/>
              <w:left w:val="nil"/>
              <w:bottom w:val="nil"/>
              <w:right w:val="nil"/>
            </w:tcBorders>
          </w:tcPr>
          <w:p w14:paraId="52F1B312"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Green Innovation (Invent)</w:t>
            </w:r>
          </w:p>
        </w:tc>
        <w:tc>
          <w:tcPr>
            <w:tcW w:w="826" w:type="pct"/>
            <w:tcBorders>
              <w:top w:val="nil"/>
              <w:left w:val="nil"/>
              <w:bottom w:val="nil"/>
              <w:right w:val="nil"/>
            </w:tcBorders>
          </w:tcPr>
          <w:p w14:paraId="1D6F96F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5CFFBBB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1.368</w:t>
            </w:r>
          </w:p>
        </w:tc>
        <w:tc>
          <w:tcPr>
            <w:tcW w:w="578" w:type="pct"/>
            <w:tcBorders>
              <w:top w:val="nil"/>
              <w:left w:val="nil"/>
              <w:bottom w:val="nil"/>
              <w:right w:val="nil"/>
            </w:tcBorders>
          </w:tcPr>
          <w:p w14:paraId="59D0BBC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nil"/>
              <w:right w:val="nil"/>
            </w:tcBorders>
          </w:tcPr>
          <w:p w14:paraId="37C0EE3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1.755</w:t>
            </w:r>
          </w:p>
        </w:tc>
        <w:tc>
          <w:tcPr>
            <w:tcW w:w="578" w:type="pct"/>
            <w:tcBorders>
              <w:top w:val="nil"/>
              <w:left w:val="nil"/>
              <w:bottom w:val="nil"/>
              <w:right w:val="nil"/>
            </w:tcBorders>
          </w:tcPr>
          <w:p w14:paraId="7F80099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6DFD2D5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8.495</w:t>
            </w:r>
          </w:p>
        </w:tc>
      </w:tr>
      <w:tr w:rsidR="009C3784" w:rsidRPr="003C297B" w14:paraId="1C205005" w14:textId="77777777">
        <w:trPr>
          <w:jc w:val="center"/>
        </w:trPr>
        <w:tc>
          <w:tcPr>
            <w:tcW w:w="1365" w:type="pct"/>
            <w:tcBorders>
              <w:top w:val="nil"/>
              <w:left w:val="nil"/>
              <w:right w:val="nil"/>
            </w:tcBorders>
          </w:tcPr>
          <w:p w14:paraId="7F085F7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Rigidity of law enforcement (law)</w:t>
            </w:r>
          </w:p>
        </w:tc>
        <w:tc>
          <w:tcPr>
            <w:tcW w:w="826" w:type="pct"/>
            <w:tcBorders>
              <w:top w:val="nil"/>
              <w:left w:val="nil"/>
              <w:right w:val="nil"/>
            </w:tcBorders>
          </w:tcPr>
          <w:p w14:paraId="7F44165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right w:val="nil"/>
            </w:tcBorders>
          </w:tcPr>
          <w:p w14:paraId="721B444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7.310</w:t>
            </w:r>
          </w:p>
        </w:tc>
        <w:tc>
          <w:tcPr>
            <w:tcW w:w="578" w:type="pct"/>
            <w:tcBorders>
              <w:top w:val="nil"/>
              <w:left w:val="nil"/>
              <w:right w:val="nil"/>
            </w:tcBorders>
          </w:tcPr>
          <w:p w14:paraId="1B183FA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7.484</w:t>
            </w:r>
          </w:p>
        </w:tc>
        <w:tc>
          <w:tcPr>
            <w:tcW w:w="578" w:type="pct"/>
            <w:tcBorders>
              <w:top w:val="nil"/>
              <w:left w:val="nil"/>
              <w:right w:val="nil"/>
            </w:tcBorders>
          </w:tcPr>
          <w:p w14:paraId="0C4F938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1.639</w:t>
            </w:r>
          </w:p>
        </w:tc>
        <w:tc>
          <w:tcPr>
            <w:tcW w:w="578" w:type="pct"/>
            <w:tcBorders>
              <w:top w:val="nil"/>
              <w:left w:val="nil"/>
              <w:right w:val="nil"/>
            </w:tcBorders>
          </w:tcPr>
          <w:p w14:paraId="63DABCE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right w:val="nil"/>
            </w:tcBorders>
          </w:tcPr>
          <w:p w14:paraId="598D486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9.747</w:t>
            </w:r>
          </w:p>
        </w:tc>
      </w:tr>
      <w:tr w:rsidR="009C3784" w:rsidRPr="003C297B" w14:paraId="722B63E0" w14:textId="77777777">
        <w:trPr>
          <w:jc w:val="center"/>
        </w:trPr>
        <w:tc>
          <w:tcPr>
            <w:tcW w:w="1365" w:type="pct"/>
            <w:tcBorders>
              <w:top w:val="nil"/>
              <w:left w:val="nil"/>
              <w:bottom w:val="nil"/>
              <w:right w:val="nil"/>
            </w:tcBorders>
          </w:tcPr>
          <w:p w14:paraId="1EAAA22A"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Government-business collusion (PC)</w:t>
            </w:r>
          </w:p>
        </w:tc>
        <w:tc>
          <w:tcPr>
            <w:tcW w:w="826" w:type="pct"/>
            <w:tcBorders>
              <w:top w:val="nil"/>
              <w:left w:val="nil"/>
              <w:bottom w:val="nil"/>
              <w:right w:val="nil"/>
            </w:tcBorders>
          </w:tcPr>
          <w:p w14:paraId="131BF0A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1EB6CB7"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0.300</w:t>
            </w:r>
          </w:p>
        </w:tc>
        <w:tc>
          <w:tcPr>
            <w:tcW w:w="578" w:type="pct"/>
            <w:tcBorders>
              <w:top w:val="nil"/>
              <w:left w:val="nil"/>
              <w:bottom w:val="nil"/>
              <w:right w:val="nil"/>
            </w:tcBorders>
          </w:tcPr>
          <w:p w14:paraId="2FB6779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nil"/>
              <w:right w:val="nil"/>
            </w:tcBorders>
          </w:tcPr>
          <w:p w14:paraId="061747F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0.458</w:t>
            </w:r>
          </w:p>
        </w:tc>
        <w:tc>
          <w:tcPr>
            <w:tcW w:w="578" w:type="pct"/>
            <w:tcBorders>
              <w:top w:val="nil"/>
              <w:left w:val="nil"/>
              <w:bottom w:val="nil"/>
              <w:right w:val="nil"/>
            </w:tcBorders>
          </w:tcPr>
          <w:p w14:paraId="463042E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44830A3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w:t>
            </w:r>
          </w:p>
        </w:tc>
      </w:tr>
      <w:tr w:rsidR="009C3784" w:rsidRPr="003C297B" w14:paraId="6CC69180" w14:textId="77777777">
        <w:tblPrEx>
          <w:tblBorders>
            <w:bottom w:val="single" w:sz="6" w:space="0" w:color="auto"/>
          </w:tblBorders>
        </w:tblPrEx>
        <w:trPr>
          <w:jc w:val="center"/>
        </w:trPr>
        <w:tc>
          <w:tcPr>
            <w:tcW w:w="1365" w:type="pct"/>
            <w:tcBorders>
              <w:top w:val="nil"/>
              <w:left w:val="nil"/>
              <w:bottom w:val="single" w:sz="8" w:space="0" w:color="auto"/>
              <w:right w:val="nil"/>
            </w:tcBorders>
          </w:tcPr>
          <w:p w14:paraId="05A3734D"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Government-enterprise collusion level (pclevel)</w:t>
            </w:r>
          </w:p>
        </w:tc>
        <w:tc>
          <w:tcPr>
            <w:tcW w:w="826" w:type="pct"/>
            <w:tcBorders>
              <w:top w:val="nil"/>
              <w:left w:val="nil"/>
              <w:bottom w:val="single" w:sz="8" w:space="0" w:color="auto"/>
              <w:right w:val="nil"/>
            </w:tcBorders>
          </w:tcPr>
          <w:p w14:paraId="6A8B0C3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single" w:sz="8" w:space="0" w:color="auto"/>
              <w:right w:val="nil"/>
            </w:tcBorders>
          </w:tcPr>
          <w:p w14:paraId="736173F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0.901</w:t>
            </w:r>
          </w:p>
        </w:tc>
        <w:tc>
          <w:tcPr>
            <w:tcW w:w="578" w:type="pct"/>
            <w:tcBorders>
              <w:top w:val="nil"/>
              <w:left w:val="nil"/>
              <w:bottom w:val="single" w:sz="8" w:space="0" w:color="auto"/>
              <w:right w:val="nil"/>
            </w:tcBorders>
          </w:tcPr>
          <w:p w14:paraId="7CABF6C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single" w:sz="8" w:space="0" w:color="auto"/>
              <w:right w:val="nil"/>
            </w:tcBorders>
          </w:tcPr>
          <w:p w14:paraId="6C27BF0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1.479</w:t>
            </w:r>
          </w:p>
        </w:tc>
        <w:tc>
          <w:tcPr>
            <w:tcW w:w="578" w:type="pct"/>
            <w:tcBorders>
              <w:top w:val="nil"/>
              <w:left w:val="nil"/>
              <w:bottom w:val="single" w:sz="8" w:space="0" w:color="auto"/>
              <w:right w:val="nil"/>
            </w:tcBorders>
          </w:tcPr>
          <w:p w14:paraId="4BD793E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single" w:sz="8" w:space="0" w:color="auto"/>
              <w:right w:val="nil"/>
            </w:tcBorders>
          </w:tcPr>
          <w:p w14:paraId="2851FF9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4</w:t>
            </w:r>
          </w:p>
        </w:tc>
      </w:tr>
    </w:tbl>
    <w:p w14:paraId="18C8D94F"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Table 1 presents the descriptive statistics of the variables related to the </w:t>
      </w:r>
      <m:oMath>
        <m:r>
          <w:rPr>
            <w:rFonts w:ascii="Cambria Math" w:eastAsia="SimSun" w:hAnsi="Cambria Math" w:cs="Times New Roman"/>
            <w:sz w:val="22"/>
            <w:szCs w:val="24"/>
          </w:rPr>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oMath>
      <w:r>
        <w:rPr>
          <w:rFonts w:ascii="Times New Roman" w:eastAsia="Microsoft YaHei" w:hAnsi="Times New Roman" w:cs="Times New Roman" w:hint="eastAsia"/>
          <w:sz w:val="22"/>
          <w:szCs w:val="24"/>
        </w:rPr>
        <w:t>article. The mean and standard deviation of the dependent variable are 1.366 and 0.175, respectively, with a minimum value of 0.947 and a maximum value of 2.285. This indicates significant differences in environmental performance among different companies. Listed companies generally exhibit lower environmental performance, with most failing to meet the average level. Overall, the environmental performance is still relatively low, which holds considerable research value. The statistical information for other control variables is similar to that found in previous studies.</w:t>
      </w:r>
    </w:p>
    <w:p w14:paraId="6C455E46"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5. Empirical test</w:t>
      </w:r>
    </w:p>
    <w:p w14:paraId="3C3E9492" w14:textId="77777777" w:rsidR="009C3784" w:rsidRDefault="00D95DA7" w:rsidP="003C297B">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5.1 Benchmark regression</w:t>
      </w:r>
    </w:p>
    <w:p w14:paraId="47D689AB"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Table 2 presents the regression results of the EPTL on corporate environmental performance. The </w:t>
      </w:r>
      <w:r>
        <w:rPr>
          <w:rFonts w:ascii="Times New Roman" w:eastAsia="Microsoft YaHei" w:hAnsi="Times New Roman" w:cs="Times New Roman" w:hint="eastAsia"/>
          <w:sz w:val="22"/>
          <w:szCs w:val="24"/>
        </w:rPr>
        <w:lastRenderedPageBreak/>
        <w:t>dependent variable is the environmental performance indicator constructed using the ecological benefit method. Each regression result in the table has been adjusted for standard errors using industry-level clustering effects. The empirical results show that the estimated coefficients of the EPTL are all highly significant and positive, indicating that the implementation of the EPTL can effectively enhance the environmental performance of heavily polluting enterprises. Columns (1) to (2) do not control for any fixed effects. Columns (3) to (5) gradually control for various fixed effects, and the regression results for the core explanatory variables are all highly significant and positive, with little variation in the coefficients. The regression results suggest that the formal implementation of the EPTL can effectively promote environmental awareness among heavily polluting enterprises, compelling them to actively reduce pollution and improve their environmental performance, thus supporting Hypothesis 1.</w:t>
      </w:r>
    </w:p>
    <w:p w14:paraId="0C6C3CCA" w14:textId="67B26904" w:rsidR="009C3784" w:rsidRPr="00E86B17" w:rsidRDefault="00D95DA7">
      <w:pPr>
        <w:ind w:firstLineChars="200" w:firstLine="440"/>
        <w:jc w:val="center"/>
        <w:rPr>
          <w:rFonts w:ascii="Times New Roman" w:eastAsia="SimSun" w:hAnsi="Times New Roman" w:cs="Times New Roman"/>
          <w:b/>
          <w:sz w:val="22"/>
          <w:szCs w:val="24"/>
        </w:rPr>
      </w:pPr>
      <w:r w:rsidRPr="00E86B17">
        <w:rPr>
          <w:rFonts w:ascii="Times New Roman" w:eastAsia="Microsoft YaHei" w:hAnsi="Times New Roman" w:cs="Times New Roman" w:hint="eastAsia"/>
          <w:b/>
          <w:sz w:val="22"/>
          <w:szCs w:val="24"/>
        </w:rPr>
        <w:t>Table 2. Baseline regression</w:t>
      </w:r>
      <w:r w:rsidR="00E86B17" w:rsidRPr="00E86B17">
        <w:rPr>
          <w:rFonts w:ascii="Times New Roman" w:eastAsia="Microsoft YaHei" w:hAnsi="Times New Roman" w:cs="Times New Roman"/>
          <w:b/>
          <w:sz w:val="22"/>
          <w:szCs w:val="24"/>
        </w:rPr>
        <w:t xml:space="preserve"> results</w:t>
      </w:r>
    </w:p>
    <w:tbl>
      <w:tblPr>
        <w:tblW w:w="9321" w:type="dxa"/>
        <w:jc w:val="center"/>
        <w:tblLayout w:type="fixed"/>
        <w:tblCellMar>
          <w:left w:w="75" w:type="dxa"/>
          <w:right w:w="75" w:type="dxa"/>
        </w:tblCellMar>
        <w:tblLook w:val="04A0" w:firstRow="1" w:lastRow="0" w:firstColumn="1" w:lastColumn="0" w:noHBand="0" w:noVBand="1"/>
      </w:tblPr>
      <w:tblGrid>
        <w:gridCol w:w="1833"/>
        <w:gridCol w:w="1584"/>
        <w:gridCol w:w="1584"/>
        <w:gridCol w:w="1440"/>
        <w:gridCol w:w="1440"/>
        <w:gridCol w:w="1440"/>
      </w:tblGrid>
      <w:tr w:rsidR="009C3784" w:rsidRPr="003C297B" w14:paraId="267B8AB0" w14:textId="77777777">
        <w:trPr>
          <w:jc w:val="center"/>
        </w:trPr>
        <w:tc>
          <w:tcPr>
            <w:tcW w:w="1833" w:type="dxa"/>
            <w:tcBorders>
              <w:top w:val="single" w:sz="6" w:space="0" w:color="auto"/>
              <w:left w:val="nil"/>
              <w:bottom w:val="nil"/>
              <w:right w:val="nil"/>
            </w:tcBorders>
          </w:tcPr>
          <w:p w14:paraId="2F64D8CA"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single" w:sz="6" w:space="0" w:color="auto"/>
              <w:left w:val="nil"/>
              <w:bottom w:val="nil"/>
              <w:right w:val="nil"/>
            </w:tcBorders>
          </w:tcPr>
          <w:p w14:paraId="4ADD9B3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584" w:type="dxa"/>
            <w:tcBorders>
              <w:top w:val="single" w:sz="6" w:space="0" w:color="auto"/>
              <w:left w:val="nil"/>
              <w:bottom w:val="nil"/>
              <w:right w:val="nil"/>
            </w:tcBorders>
          </w:tcPr>
          <w:p w14:paraId="3297908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440" w:type="dxa"/>
            <w:tcBorders>
              <w:top w:val="single" w:sz="6" w:space="0" w:color="auto"/>
              <w:left w:val="nil"/>
              <w:bottom w:val="nil"/>
              <w:right w:val="nil"/>
            </w:tcBorders>
          </w:tcPr>
          <w:p w14:paraId="7B9049D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1440" w:type="dxa"/>
            <w:tcBorders>
              <w:top w:val="single" w:sz="6" w:space="0" w:color="auto"/>
              <w:left w:val="nil"/>
              <w:bottom w:val="nil"/>
              <w:right w:val="nil"/>
            </w:tcBorders>
          </w:tcPr>
          <w:p w14:paraId="696D527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1440" w:type="dxa"/>
            <w:tcBorders>
              <w:top w:val="single" w:sz="6" w:space="0" w:color="auto"/>
              <w:left w:val="nil"/>
              <w:bottom w:val="nil"/>
              <w:right w:val="nil"/>
            </w:tcBorders>
          </w:tcPr>
          <w:p w14:paraId="220149D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6D0542D9" w14:textId="77777777">
        <w:trPr>
          <w:jc w:val="center"/>
        </w:trPr>
        <w:tc>
          <w:tcPr>
            <w:tcW w:w="1833" w:type="dxa"/>
            <w:tcBorders>
              <w:top w:val="nil"/>
              <w:left w:val="nil"/>
              <w:bottom w:val="single" w:sz="6" w:space="0" w:color="auto"/>
              <w:right w:val="nil"/>
            </w:tcBorders>
          </w:tcPr>
          <w:p w14:paraId="6C844EE3"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single" w:sz="6" w:space="0" w:color="auto"/>
              <w:right w:val="nil"/>
            </w:tcBorders>
          </w:tcPr>
          <w:p w14:paraId="2AD3493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6AC621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1E3B5B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662C6D7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5170BCB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667A5816" w14:textId="77777777">
        <w:trPr>
          <w:jc w:val="center"/>
        </w:trPr>
        <w:tc>
          <w:tcPr>
            <w:tcW w:w="1833" w:type="dxa"/>
            <w:tcBorders>
              <w:top w:val="nil"/>
              <w:left w:val="nil"/>
              <w:bottom w:val="nil"/>
              <w:right w:val="nil"/>
            </w:tcBorders>
          </w:tcPr>
          <w:p w14:paraId="7DE274C4"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did</w:t>
            </w:r>
          </w:p>
        </w:tc>
        <w:tc>
          <w:tcPr>
            <w:tcW w:w="1584" w:type="dxa"/>
            <w:tcBorders>
              <w:top w:val="nil"/>
              <w:left w:val="nil"/>
              <w:bottom w:val="nil"/>
              <w:right w:val="nil"/>
            </w:tcBorders>
          </w:tcPr>
          <w:p w14:paraId="73A67FC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0.0854***</w:t>
            </w:r>
          </w:p>
        </w:tc>
        <w:tc>
          <w:tcPr>
            <w:tcW w:w="1584" w:type="dxa"/>
            <w:tcBorders>
              <w:top w:val="nil"/>
              <w:left w:val="nil"/>
              <w:bottom w:val="nil"/>
              <w:right w:val="nil"/>
            </w:tcBorders>
          </w:tcPr>
          <w:p w14:paraId="558204B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0.0818***</w:t>
            </w:r>
          </w:p>
        </w:tc>
        <w:tc>
          <w:tcPr>
            <w:tcW w:w="1440" w:type="dxa"/>
            <w:tcBorders>
              <w:top w:val="nil"/>
              <w:left w:val="nil"/>
              <w:bottom w:val="nil"/>
              <w:right w:val="nil"/>
            </w:tcBorders>
          </w:tcPr>
          <w:p w14:paraId="77FC86B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0.0370**</w:t>
            </w:r>
          </w:p>
        </w:tc>
        <w:tc>
          <w:tcPr>
            <w:tcW w:w="1440" w:type="dxa"/>
            <w:tcBorders>
              <w:top w:val="nil"/>
              <w:left w:val="nil"/>
              <w:bottom w:val="nil"/>
              <w:right w:val="nil"/>
            </w:tcBorders>
          </w:tcPr>
          <w:p w14:paraId="2DC94CA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0.0349**</w:t>
            </w:r>
          </w:p>
        </w:tc>
        <w:tc>
          <w:tcPr>
            <w:tcW w:w="1440" w:type="dxa"/>
            <w:tcBorders>
              <w:top w:val="nil"/>
              <w:left w:val="nil"/>
              <w:bottom w:val="nil"/>
              <w:right w:val="nil"/>
            </w:tcBorders>
          </w:tcPr>
          <w:p w14:paraId="1E8EC7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0.0347**</w:t>
            </w:r>
          </w:p>
        </w:tc>
      </w:tr>
      <w:tr w:rsidR="009C3784" w:rsidRPr="003C297B" w14:paraId="2F54D0D2" w14:textId="77777777">
        <w:trPr>
          <w:jc w:val="center"/>
        </w:trPr>
        <w:tc>
          <w:tcPr>
            <w:tcW w:w="1833" w:type="dxa"/>
            <w:tcBorders>
              <w:top w:val="nil"/>
              <w:left w:val="nil"/>
              <w:bottom w:val="nil"/>
              <w:right w:val="nil"/>
            </w:tcBorders>
          </w:tcPr>
          <w:p w14:paraId="7E92440B"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C49441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(0.0249)</w:t>
            </w:r>
          </w:p>
        </w:tc>
        <w:tc>
          <w:tcPr>
            <w:tcW w:w="1584" w:type="dxa"/>
            <w:tcBorders>
              <w:top w:val="nil"/>
              <w:left w:val="nil"/>
              <w:bottom w:val="nil"/>
              <w:right w:val="nil"/>
            </w:tcBorders>
          </w:tcPr>
          <w:p w14:paraId="31C62E5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(0.0226)</w:t>
            </w:r>
          </w:p>
        </w:tc>
        <w:tc>
          <w:tcPr>
            <w:tcW w:w="1440" w:type="dxa"/>
            <w:tcBorders>
              <w:top w:val="nil"/>
              <w:left w:val="nil"/>
              <w:bottom w:val="nil"/>
              <w:right w:val="nil"/>
            </w:tcBorders>
          </w:tcPr>
          <w:p w14:paraId="1AED002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(0.0164)</w:t>
            </w:r>
          </w:p>
        </w:tc>
        <w:tc>
          <w:tcPr>
            <w:tcW w:w="1440" w:type="dxa"/>
            <w:tcBorders>
              <w:top w:val="nil"/>
              <w:left w:val="nil"/>
              <w:bottom w:val="nil"/>
              <w:right w:val="nil"/>
            </w:tcBorders>
          </w:tcPr>
          <w:p w14:paraId="112C6AC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(0.0156)</w:t>
            </w:r>
          </w:p>
        </w:tc>
        <w:tc>
          <w:tcPr>
            <w:tcW w:w="1440" w:type="dxa"/>
            <w:tcBorders>
              <w:top w:val="nil"/>
              <w:left w:val="nil"/>
              <w:bottom w:val="nil"/>
              <w:right w:val="nil"/>
            </w:tcBorders>
          </w:tcPr>
          <w:p w14:paraId="7009497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(0.0157)</w:t>
            </w:r>
          </w:p>
        </w:tc>
      </w:tr>
      <w:tr w:rsidR="009C3784" w:rsidRPr="003C297B" w14:paraId="0217DC2C" w14:textId="77777777">
        <w:trPr>
          <w:jc w:val="center"/>
        </w:trPr>
        <w:tc>
          <w:tcPr>
            <w:tcW w:w="1833" w:type="dxa"/>
            <w:tcBorders>
              <w:top w:val="nil"/>
              <w:left w:val="nil"/>
              <w:bottom w:val="nil"/>
              <w:right w:val="nil"/>
            </w:tcBorders>
          </w:tcPr>
          <w:p w14:paraId="63DBD9B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pul</w:t>
            </w:r>
          </w:p>
        </w:tc>
        <w:tc>
          <w:tcPr>
            <w:tcW w:w="1584" w:type="dxa"/>
            <w:tcBorders>
              <w:top w:val="nil"/>
              <w:left w:val="nil"/>
              <w:bottom w:val="nil"/>
              <w:right w:val="nil"/>
            </w:tcBorders>
          </w:tcPr>
          <w:p w14:paraId="043CEC2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-0.0361</w:t>
            </w:r>
          </w:p>
        </w:tc>
        <w:tc>
          <w:tcPr>
            <w:tcW w:w="1584" w:type="dxa"/>
            <w:tcBorders>
              <w:top w:val="nil"/>
              <w:left w:val="nil"/>
              <w:bottom w:val="nil"/>
              <w:right w:val="nil"/>
            </w:tcBorders>
          </w:tcPr>
          <w:p w14:paraId="303C220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-0.0331</w:t>
            </w:r>
          </w:p>
        </w:tc>
        <w:tc>
          <w:tcPr>
            <w:tcW w:w="1440" w:type="dxa"/>
            <w:tcBorders>
              <w:top w:val="nil"/>
              <w:left w:val="nil"/>
              <w:bottom w:val="nil"/>
              <w:right w:val="nil"/>
            </w:tcBorders>
          </w:tcPr>
          <w:p w14:paraId="0DF2578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440" w:type="dxa"/>
            <w:tcBorders>
              <w:top w:val="nil"/>
              <w:left w:val="nil"/>
              <w:bottom w:val="nil"/>
              <w:right w:val="nil"/>
            </w:tcBorders>
          </w:tcPr>
          <w:p w14:paraId="2514F950"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30AD440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14296E37" w14:textId="77777777">
        <w:trPr>
          <w:jc w:val="center"/>
        </w:trPr>
        <w:tc>
          <w:tcPr>
            <w:tcW w:w="1833" w:type="dxa"/>
            <w:tcBorders>
              <w:top w:val="nil"/>
              <w:left w:val="nil"/>
              <w:bottom w:val="nil"/>
              <w:right w:val="nil"/>
            </w:tcBorders>
          </w:tcPr>
          <w:p w14:paraId="686641B9"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35F449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(0.0241)</w:t>
            </w:r>
          </w:p>
        </w:tc>
        <w:tc>
          <w:tcPr>
            <w:tcW w:w="1584" w:type="dxa"/>
            <w:tcBorders>
              <w:top w:val="nil"/>
              <w:left w:val="nil"/>
              <w:bottom w:val="nil"/>
              <w:right w:val="nil"/>
            </w:tcBorders>
          </w:tcPr>
          <w:p w14:paraId="77C0F8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(0.0209)</w:t>
            </w:r>
          </w:p>
        </w:tc>
        <w:tc>
          <w:tcPr>
            <w:tcW w:w="1440" w:type="dxa"/>
            <w:tcBorders>
              <w:top w:val="nil"/>
              <w:left w:val="nil"/>
              <w:bottom w:val="nil"/>
              <w:right w:val="nil"/>
            </w:tcBorders>
          </w:tcPr>
          <w:p w14:paraId="410BE4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(0.0258)</w:t>
            </w:r>
          </w:p>
        </w:tc>
        <w:tc>
          <w:tcPr>
            <w:tcW w:w="1440" w:type="dxa"/>
            <w:tcBorders>
              <w:top w:val="nil"/>
              <w:left w:val="nil"/>
              <w:bottom w:val="nil"/>
              <w:right w:val="nil"/>
            </w:tcBorders>
          </w:tcPr>
          <w:p w14:paraId="005C4E06"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7029F1AD"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3D062B37" w14:textId="77777777">
        <w:trPr>
          <w:jc w:val="center"/>
        </w:trPr>
        <w:tc>
          <w:tcPr>
            <w:tcW w:w="1833" w:type="dxa"/>
            <w:tcBorders>
              <w:top w:val="nil"/>
              <w:left w:val="nil"/>
              <w:bottom w:val="nil"/>
              <w:right w:val="nil"/>
            </w:tcBorders>
          </w:tcPr>
          <w:p w14:paraId="1475F94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post</w:t>
            </w:r>
          </w:p>
        </w:tc>
        <w:tc>
          <w:tcPr>
            <w:tcW w:w="1584" w:type="dxa"/>
            <w:tcBorders>
              <w:top w:val="nil"/>
              <w:left w:val="nil"/>
              <w:bottom w:val="nil"/>
              <w:right w:val="nil"/>
            </w:tcBorders>
          </w:tcPr>
          <w:p w14:paraId="0CE9666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-0.0301***</w:t>
            </w:r>
          </w:p>
        </w:tc>
        <w:tc>
          <w:tcPr>
            <w:tcW w:w="1584" w:type="dxa"/>
            <w:tcBorders>
              <w:top w:val="nil"/>
              <w:left w:val="nil"/>
              <w:bottom w:val="nil"/>
              <w:right w:val="nil"/>
            </w:tcBorders>
          </w:tcPr>
          <w:p w14:paraId="710A1A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-0.0199***</w:t>
            </w:r>
          </w:p>
        </w:tc>
        <w:tc>
          <w:tcPr>
            <w:tcW w:w="1440" w:type="dxa"/>
            <w:tcBorders>
              <w:top w:val="nil"/>
              <w:left w:val="nil"/>
              <w:bottom w:val="nil"/>
              <w:right w:val="nil"/>
            </w:tcBorders>
          </w:tcPr>
          <w:p w14:paraId="2BAFB925"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0F5E9231"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3A1B1BC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1948267E" w14:textId="77777777">
        <w:trPr>
          <w:jc w:val="center"/>
        </w:trPr>
        <w:tc>
          <w:tcPr>
            <w:tcW w:w="1833" w:type="dxa"/>
            <w:tcBorders>
              <w:top w:val="nil"/>
              <w:left w:val="nil"/>
              <w:bottom w:val="nil"/>
              <w:right w:val="nil"/>
            </w:tcBorders>
          </w:tcPr>
          <w:p w14:paraId="30B4A91C"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1DC85FA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584" w:type="dxa"/>
            <w:tcBorders>
              <w:top w:val="nil"/>
              <w:left w:val="nil"/>
              <w:bottom w:val="nil"/>
              <w:right w:val="nil"/>
            </w:tcBorders>
          </w:tcPr>
          <w:p w14:paraId="2B096F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440" w:type="dxa"/>
            <w:tcBorders>
              <w:top w:val="nil"/>
              <w:left w:val="nil"/>
              <w:bottom w:val="nil"/>
              <w:right w:val="nil"/>
            </w:tcBorders>
          </w:tcPr>
          <w:p w14:paraId="2411889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4FB2199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7E8D998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4B7D5D1D" w14:textId="77777777">
        <w:trPr>
          <w:jc w:val="center"/>
        </w:trPr>
        <w:tc>
          <w:tcPr>
            <w:tcW w:w="1833" w:type="dxa"/>
            <w:tcBorders>
              <w:top w:val="nil"/>
              <w:left w:val="nil"/>
              <w:bottom w:val="nil"/>
              <w:right w:val="nil"/>
            </w:tcBorders>
          </w:tcPr>
          <w:p w14:paraId="7FF95DD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584" w:type="dxa"/>
            <w:tcBorders>
              <w:top w:val="nil"/>
              <w:left w:val="nil"/>
              <w:bottom w:val="nil"/>
              <w:right w:val="nil"/>
            </w:tcBorders>
          </w:tcPr>
          <w:p w14:paraId="1C92693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1.3800***</w:t>
            </w:r>
          </w:p>
        </w:tc>
        <w:tc>
          <w:tcPr>
            <w:tcW w:w="1584" w:type="dxa"/>
            <w:tcBorders>
              <w:top w:val="nil"/>
              <w:left w:val="nil"/>
              <w:bottom w:val="nil"/>
              <w:right w:val="nil"/>
            </w:tcBorders>
          </w:tcPr>
          <w:p w14:paraId="37DBF22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1.6103***</w:t>
            </w:r>
          </w:p>
        </w:tc>
        <w:tc>
          <w:tcPr>
            <w:tcW w:w="1440" w:type="dxa"/>
            <w:tcBorders>
              <w:top w:val="nil"/>
              <w:left w:val="nil"/>
              <w:bottom w:val="nil"/>
              <w:right w:val="nil"/>
            </w:tcBorders>
          </w:tcPr>
          <w:p w14:paraId="0BE55CF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1.8024***</w:t>
            </w:r>
          </w:p>
        </w:tc>
        <w:tc>
          <w:tcPr>
            <w:tcW w:w="1440" w:type="dxa"/>
            <w:tcBorders>
              <w:top w:val="nil"/>
              <w:left w:val="nil"/>
              <w:bottom w:val="nil"/>
              <w:right w:val="nil"/>
            </w:tcBorders>
          </w:tcPr>
          <w:p w14:paraId="792D572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2.1942***</w:t>
            </w:r>
          </w:p>
        </w:tc>
        <w:tc>
          <w:tcPr>
            <w:tcW w:w="1440" w:type="dxa"/>
            <w:tcBorders>
              <w:top w:val="nil"/>
              <w:left w:val="nil"/>
              <w:bottom w:val="nil"/>
              <w:right w:val="nil"/>
            </w:tcBorders>
          </w:tcPr>
          <w:p w14:paraId="5B75A6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2.1856***</w:t>
            </w:r>
          </w:p>
        </w:tc>
      </w:tr>
      <w:tr w:rsidR="009C3784" w:rsidRPr="003C297B" w14:paraId="786C873B" w14:textId="77777777">
        <w:trPr>
          <w:jc w:val="center"/>
        </w:trPr>
        <w:tc>
          <w:tcPr>
            <w:tcW w:w="1833" w:type="dxa"/>
            <w:tcBorders>
              <w:top w:val="nil"/>
              <w:left w:val="nil"/>
              <w:bottom w:val="nil"/>
              <w:right w:val="nil"/>
            </w:tcBorders>
          </w:tcPr>
          <w:p w14:paraId="2369F502"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32E90E8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584" w:type="dxa"/>
            <w:tcBorders>
              <w:top w:val="nil"/>
              <w:left w:val="nil"/>
              <w:bottom w:val="nil"/>
              <w:right w:val="nil"/>
            </w:tcBorders>
          </w:tcPr>
          <w:p w14:paraId="31DFA2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(0.1219)</w:t>
            </w:r>
          </w:p>
        </w:tc>
        <w:tc>
          <w:tcPr>
            <w:tcW w:w="1440" w:type="dxa"/>
            <w:tcBorders>
              <w:top w:val="nil"/>
              <w:left w:val="nil"/>
              <w:bottom w:val="nil"/>
              <w:right w:val="nil"/>
            </w:tcBorders>
          </w:tcPr>
          <w:p w14:paraId="6B6B833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(0.4859)</w:t>
            </w:r>
          </w:p>
        </w:tc>
        <w:tc>
          <w:tcPr>
            <w:tcW w:w="1440" w:type="dxa"/>
            <w:tcBorders>
              <w:top w:val="nil"/>
              <w:left w:val="nil"/>
              <w:bottom w:val="nil"/>
              <w:right w:val="nil"/>
            </w:tcBorders>
          </w:tcPr>
          <w:p w14:paraId="1696A5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(0.4846)</w:t>
            </w:r>
          </w:p>
        </w:tc>
        <w:tc>
          <w:tcPr>
            <w:tcW w:w="1440" w:type="dxa"/>
            <w:tcBorders>
              <w:top w:val="nil"/>
              <w:left w:val="nil"/>
              <w:bottom w:val="nil"/>
              <w:right w:val="nil"/>
            </w:tcBorders>
          </w:tcPr>
          <w:p w14:paraId="2C5FF5F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(0.4892)</w:t>
            </w:r>
          </w:p>
        </w:tc>
      </w:tr>
      <w:tr w:rsidR="009C3784" w:rsidRPr="003C297B" w14:paraId="015519B8" w14:textId="77777777">
        <w:trPr>
          <w:jc w:val="center"/>
        </w:trPr>
        <w:tc>
          <w:tcPr>
            <w:tcW w:w="1833" w:type="dxa"/>
            <w:tcBorders>
              <w:top w:val="nil"/>
              <w:left w:val="nil"/>
              <w:bottom w:val="nil"/>
              <w:right w:val="nil"/>
            </w:tcBorders>
          </w:tcPr>
          <w:p w14:paraId="768CD59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584" w:type="dxa"/>
            <w:tcBorders>
              <w:top w:val="nil"/>
              <w:left w:val="nil"/>
              <w:bottom w:val="nil"/>
              <w:right w:val="nil"/>
            </w:tcBorders>
          </w:tcPr>
          <w:p w14:paraId="13EB2F7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4088BC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440" w:type="dxa"/>
            <w:tcBorders>
              <w:top w:val="nil"/>
              <w:left w:val="nil"/>
              <w:bottom w:val="nil"/>
              <w:right w:val="nil"/>
            </w:tcBorders>
          </w:tcPr>
          <w:p w14:paraId="58C0C74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2,849</w:t>
            </w:r>
          </w:p>
        </w:tc>
        <w:tc>
          <w:tcPr>
            <w:tcW w:w="1440" w:type="dxa"/>
            <w:tcBorders>
              <w:top w:val="nil"/>
              <w:left w:val="nil"/>
              <w:bottom w:val="nil"/>
              <w:right w:val="nil"/>
            </w:tcBorders>
          </w:tcPr>
          <w:p w14:paraId="76A942A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1440" w:type="dxa"/>
            <w:tcBorders>
              <w:top w:val="nil"/>
              <w:left w:val="nil"/>
              <w:bottom w:val="nil"/>
              <w:right w:val="nil"/>
            </w:tcBorders>
          </w:tcPr>
          <w:p w14:paraId="566F27C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34FFBB53" w14:textId="77777777">
        <w:trPr>
          <w:jc w:val="center"/>
        </w:trPr>
        <w:tc>
          <w:tcPr>
            <w:tcW w:w="1833" w:type="dxa"/>
            <w:tcBorders>
              <w:top w:val="nil"/>
              <w:left w:val="nil"/>
              <w:bottom w:val="nil"/>
              <w:right w:val="nil"/>
            </w:tcBorders>
          </w:tcPr>
          <w:p w14:paraId="38C84BF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584" w:type="dxa"/>
            <w:tcBorders>
              <w:top w:val="nil"/>
              <w:left w:val="nil"/>
              <w:bottom w:val="nil"/>
              <w:right w:val="nil"/>
            </w:tcBorders>
          </w:tcPr>
          <w:p w14:paraId="7716E4F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w:t>
            </w:r>
          </w:p>
        </w:tc>
        <w:tc>
          <w:tcPr>
            <w:tcW w:w="1584" w:type="dxa"/>
            <w:tcBorders>
              <w:top w:val="nil"/>
              <w:left w:val="nil"/>
              <w:bottom w:val="nil"/>
              <w:right w:val="nil"/>
            </w:tcBorders>
          </w:tcPr>
          <w:p w14:paraId="445B0A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0.044</w:t>
            </w:r>
          </w:p>
        </w:tc>
        <w:tc>
          <w:tcPr>
            <w:tcW w:w="1440" w:type="dxa"/>
            <w:tcBorders>
              <w:top w:val="nil"/>
              <w:left w:val="nil"/>
              <w:bottom w:val="nil"/>
              <w:right w:val="nil"/>
            </w:tcBorders>
          </w:tcPr>
          <w:p w14:paraId="73A0A6E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0.766</w:t>
            </w:r>
          </w:p>
        </w:tc>
        <w:tc>
          <w:tcPr>
            <w:tcW w:w="1440" w:type="dxa"/>
            <w:tcBorders>
              <w:top w:val="nil"/>
              <w:left w:val="nil"/>
              <w:bottom w:val="nil"/>
              <w:right w:val="nil"/>
            </w:tcBorders>
          </w:tcPr>
          <w:p w14:paraId="75308D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0.774</w:t>
            </w:r>
          </w:p>
        </w:tc>
        <w:tc>
          <w:tcPr>
            <w:tcW w:w="1440" w:type="dxa"/>
            <w:tcBorders>
              <w:top w:val="nil"/>
              <w:left w:val="nil"/>
              <w:bottom w:val="nil"/>
              <w:right w:val="nil"/>
            </w:tcBorders>
          </w:tcPr>
          <w:p w14:paraId="62A37D0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0.774</w:t>
            </w:r>
          </w:p>
        </w:tc>
      </w:tr>
      <w:tr w:rsidR="009C3784" w:rsidRPr="003C297B" w14:paraId="4D772E64" w14:textId="77777777">
        <w:trPr>
          <w:jc w:val="center"/>
        </w:trPr>
        <w:tc>
          <w:tcPr>
            <w:tcW w:w="1833" w:type="dxa"/>
            <w:tcBorders>
              <w:top w:val="nil"/>
              <w:left w:val="nil"/>
              <w:bottom w:val="nil"/>
              <w:right w:val="nil"/>
            </w:tcBorders>
          </w:tcPr>
          <w:p w14:paraId="51C233D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584" w:type="dxa"/>
            <w:tcBorders>
              <w:top w:val="nil"/>
              <w:left w:val="nil"/>
              <w:bottom w:val="nil"/>
              <w:right w:val="nil"/>
            </w:tcBorders>
          </w:tcPr>
          <w:p w14:paraId="224AE2D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2DEE47D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9472A9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A38FB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671937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EE4BD4E" w14:textId="77777777">
        <w:trPr>
          <w:jc w:val="center"/>
        </w:trPr>
        <w:tc>
          <w:tcPr>
            <w:tcW w:w="1833" w:type="dxa"/>
            <w:tcBorders>
              <w:top w:val="nil"/>
              <w:left w:val="nil"/>
              <w:bottom w:val="nil"/>
              <w:right w:val="nil"/>
            </w:tcBorders>
          </w:tcPr>
          <w:p w14:paraId="703BA08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584" w:type="dxa"/>
            <w:tcBorders>
              <w:top w:val="nil"/>
              <w:left w:val="nil"/>
              <w:bottom w:val="nil"/>
              <w:right w:val="nil"/>
            </w:tcBorders>
          </w:tcPr>
          <w:p w14:paraId="3A8AFC1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00F6DC0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1964875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40A8B2F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2E60F4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9B4E12B" w14:textId="77777777">
        <w:trPr>
          <w:jc w:val="center"/>
        </w:trPr>
        <w:tc>
          <w:tcPr>
            <w:tcW w:w="1833" w:type="dxa"/>
            <w:tcBorders>
              <w:top w:val="nil"/>
              <w:left w:val="nil"/>
              <w:bottom w:val="nil"/>
              <w:right w:val="nil"/>
            </w:tcBorders>
          </w:tcPr>
          <w:p w14:paraId="583F411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584" w:type="dxa"/>
            <w:tcBorders>
              <w:top w:val="nil"/>
              <w:left w:val="nil"/>
              <w:bottom w:val="nil"/>
              <w:right w:val="nil"/>
            </w:tcBorders>
          </w:tcPr>
          <w:p w14:paraId="0DB1BF0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6FAC3B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0D3413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1CCFC5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4FF9B58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E802F75" w14:textId="77777777">
        <w:trPr>
          <w:jc w:val="center"/>
        </w:trPr>
        <w:tc>
          <w:tcPr>
            <w:tcW w:w="1833" w:type="dxa"/>
            <w:tcBorders>
              <w:top w:val="nil"/>
              <w:left w:val="nil"/>
              <w:bottom w:val="nil"/>
              <w:right w:val="nil"/>
            </w:tcBorders>
          </w:tcPr>
          <w:p w14:paraId="6B2EF72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584" w:type="dxa"/>
            <w:tcBorders>
              <w:top w:val="nil"/>
              <w:left w:val="nil"/>
              <w:bottom w:val="nil"/>
              <w:right w:val="nil"/>
            </w:tcBorders>
          </w:tcPr>
          <w:p w14:paraId="03CC666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5381C2D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341D16F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5B05C4A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075763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7F1597C" w14:textId="77777777">
        <w:tblPrEx>
          <w:tblBorders>
            <w:bottom w:val="single" w:sz="6" w:space="0" w:color="auto"/>
          </w:tblBorders>
        </w:tblPrEx>
        <w:trPr>
          <w:jc w:val="center"/>
        </w:trPr>
        <w:tc>
          <w:tcPr>
            <w:tcW w:w="1833" w:type="dxa"/>
            <w:tcBorders>
              <w:top w:val="nil"/>
              <w:left w:val="nil"/>
              <w:bottom w:val="single" w:sz="6" w:space="0" w:color="auto"/>
              <w:right w:val="nil"/>
            </w:tcBorders>
          </w:tcPr>
          <w:p w14:paraId="56A982C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584" w:type="dxa"/>
            <w:tcBorders>
              <w:top w:val="nil"/>
              <w:left w:val="nil"/>
              <w:bottom w:val="single" w:sz="6" w:space="0" w:color="auto"/>
              <w:right w:val="nil"/>
            </w:tcBorders>
          </w:tcPr>
          <w:p w14:paraId="400A0B7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5C67B1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110D5A9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485A1A9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43BAFFB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0102DEDD" w14:textId="77777777" w:rsidR="007C10D5" w:rsidRPr="007C10D5" w:rsidRDefault="007C10D5" w:rsidP="007C10D5">
      <w:pPr>
        <w:rPr>
          <w:rFonts w:ascii="Times New Roman" w:hAnsi="Times New Roman" w:cs="Times New Roman"/>
        </w:rPr>
      </w:pPr>
      <w:r w:rsidRPr="007C10D5">
        <w:rPr>
          <w:rFonts w:ascii="Times New Roman" w:hAnsi="Times New Roman" w:cs="Times New Roman"/>
        </w:rPr>
        <w:t>Note: *, **, *** indicate significance at the 10%, 5% and 1% levels respectively; and the same applies hereinafter.</w:t>
      </w:r>
    </w:p>
    <w:p w14:paraId="662C7EA7" w14:textId="77777777" w:rsidR="007C10D5" w:rsidRPr="007C10D5" w:rsidRDefault="007C10D5" w:rsidP="007C10D5"/>
    <w:p w14:paraId="5403B99D"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5.2Parallel trend test</w:t>
      </w:r>
    </w:p>
    <w:p w14:paraId="2DF4A563" w14:textId="31610B9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double difference must satisfy the prior assumption of common support, indicating that the control group and the treatment group had the same trend before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Figure 1 presents the estimated values of the coefficients for the parallel trend test. The regression results show that the coefficients of the key variables were not significant before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Specifically, in 2016-2017 and before the formal implementation of the protection tax law, there was no statistically significant difference between the experimental group and the control group, confirming the parallel trend hypothesis. However, in 2018-2019, there was a significant difference in the trend of environmental investment changes between the experimental group and the control group, with the regression coefficient being significantly positive. Therefore, the control group selected in this study is comparable to the treatment group before the policy shock, meeting the parallel trend hypothesis.</w:t>
      </w:r>
    </w:p>
    <w:p w14:paraId="1D798947" w14:textId="77777777" w:rsidR="009C3784" w:rsidRDefault="00D95DA7">
      <w:pPr>
        <w:keepNext/>
        <w:keepLines/>
        <w:snapToGrid w:val="0"/>
        <w:jc w:val="center"/>
        <w:outlineLvl w:val="3"/>
        <w:rPr>
          <w:rFonts w:ascii="Times New Roman" w:eastAsia="SimSun" w:hAnsi="Times New Roman" w:cs="Times New Roman"/>
          <w:b/>
          <w:bCs/>
          <w:szCs w:val="28"/>
        </w:rPr>
      </w:pPr>
      <w:r>
        <w:rPr>
          <w:noProof/>
        </w:rPr>
        <w:lastRenderedPageBreak/>
        <w:drawing>
          <wp:inline distT="0" distB="0" distL="0" distR="0" wp14:anchorId="79DD61D0" wp14:editId="3CFE5D3A">
            <wp:extent cx="2974975" cy="2128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5162" b="6682"/>
                    <a:stretch>
                      <a:fillRect/>
                    </a:stretch>
                  </pic:blipFill>
                  <pic:spPr>
                    <a:xfrm>
                      <a:off x="0" y="0"/>
                      <a:ext cx="2974975" cy="2128520"/>
                    </a:xfrm>
                    <a:prstGeom prst="rect">
                      <a:avLst/>
                    </a:prstGeom>
                  </pic:spPr>
                </pic:pic>
              </a:graphicData>
            </a:graphic>
          </wp:inline>
        </w:drawing>
      </w:r>
    </w:p>
    <w:p w14:paraId="5A94391D"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Figure 1. Parallel trend test</w:t>
      </w:r>
    </w:p>
    <w:p w14:paraId="036002F4"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5.3Robustness analysis</w:t>
      </w:r>
    </w:p>
    <w:p w14:paraId="155DEFF5" w14:textId="69DB17ED" w:rsidR="009C3784" w:rsidRDefault="003C297B">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sidR="00D95DA7">
        <w:rPr>
          <w:rFonts w:ascii="Times New Roman" w:eastAsia="Microsoft YaHei" w:hAnsi="Times New Roman" w:cs="Times New Roman" w:hint="eastAsia"/>
          <w:sz w:val="22"/>
          <w:szCs w:val="24"/>
        </w:rPr>
        <w:t>1</w:t>
      </w:r>
      <w:r>
        <w:rPr>
          <w:rFonts w:ascii="Times New Roman" w:eastAsia="Microsoft YaHei" w:hAnsi="Times New Roman" w:cs="Times New Roman"/>
          <w:sz w:val="22"/>
          <w:szCs w:val="24"/>
        </w:rPr>
        <w:t>)</w:t>
      </w:r>
      <w:r w:rsidR="00D95DA7">
        <w:rPr>
          <w:rFonts w:ascii="Times New Roman" w:eastAsia="Microsoft YaHei" w:hAnsi="Times New Roman" w:cs="Times New Roman" w:hint="eastAsia"/>
          <w:sz w:val="22"/>
          <w:szCs w:val="24"/>
        </w:rPr>
        <w:t xml:space="preserve">Replace the representation form of core variables. Referring to the research ideas of </w:t>
      </w:r>
      <w:r w:rsidR="0047354F" w:rsidRPr="0047354F">
        <w:rPr>
          <w:rFonts w:ascii="Times New Roman" w:eastAsia="Microsoft YaHei" w:cs="SimSun" w:hint="eastAsia"/>
          <w:bCs/>
          <w:color w:val="000000"/>
          <w:kern w:val="0"/>
          <w:sz w:val="22"/>
          <w:szCs w:val="24"/>
        </w:rPr>
        <w:t>Greenstone</w:t>
      </w:r>
      <w:r w:rsidR="0047354F">
        <w:rPr>
          <w:rFonts w:ascii="Times New Roman" w:eastAsia="Microsoft YaHei" w:cs="SimSun" w:hint="eastAsia"/>
          <w:bCs/>
          <w:color w:val="000000"/>
          <w:kern w:val="0"/>
          <w:sz w:val="22"/>
          <w:szCs w:val="24"/>
        </w:rPr>
        <w:t xml:space="preserve"> (2023)</w:t>
      </w:r>
      <w:r w:rsidR="00D95DA7">
        <w:rPr>
          <w:rFonts w:ascii="Times New Roman" w:eastAsia="Microsoft YaHei" w:hAnsi="Times New Roman" w:cs="Times New Roman" w:hint="eastAsia"/>
          <w:sz w:val="22"/>
          <w:szCs w:val="24"/>
        </w:rPr>
        <w:t>, this paper constructs the model by replacing the core explanatory variables as follows:</w:t>
      </w:r>
    </w:p>
    <w:p w14:paraId="4FCB4F03" w14:textId="04342538" w:rsidR="009C3784" w:rsidRDefault="00D95DA7">
      <w:pPr>
        <w:ind w:firstLineChars="200" w:firstLine="440"/>
        <w:jc w:val="center"/>
        <w:rPr>
          <w:rFonts w:ascii="Times New Roman" w:eastAsia="SimSun" w:hAnsi="Times New Roman" w:cs="Times New Roman"/>
          <w:sz w:val="22"/>
          <w:szCs w:val="24"/>
        </w:rPr>
      </w:pPr>
      <m:oMathPara>
        <m:oMath>
          <m:r>
            <w:rPr>
              <w:rFonts w:ascii="Cambria Math" w:eastAsia="SimSun" w:hAnsi="Cambria Math" w:cs="Times New Roman"/>
              <w:sz w:val="22"/>
              <w:szCs w:val="24"/>
            </w:rPr>
            <m:t>E</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0</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1</m:t>
                  </m:r>
                </m:sub>
              </m:sSub>
              <m:r>
                <w:rPr>
                  <w:rFonts w:ascii="Cambria Math" w:eastAsia="SimSun" w:hAnsi="Cambria Math" w:cs="Times New Roman"/>
                  <w:sz w:val="22"/>
                  <w:szCs w:val="24"/>
                </w:rPr>
                <m:t>ETT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ET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m:r>
                    <w:rPr>
                      <w:rFonts w:ascii="Cambria Math" w:eastAsia="SimSun" w:hAnsi="Cambria Math" w:cs="Times New Roman"/>
                      <w:sz w:val="22"/>
                      <w:szCs w:val="24"/>
                    </w:rPr>
                    <m:t>j</m:t>
                  </m:r>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r>
            <m:rPr>
              <m:sty m:val="p"/>
            </m:rPr>
            <w:rPr>
              <w:rFonts w:ascii="Times New Roman" w:eastAsia="Microsoft YaHei" w:hAnsi="Cambria Math" w:cs="Times New Roman" w:hint="eastAsia"/>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m:oMathPara>
    </w:p>
    <w:p w14:paraId="45A30B18" w14:textId="7C40CE3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This section primarily illustrates the extent to which industries are affected by policies</w:t>
      </w:r>
      <m:oMath>
        <m:sSub>
          <m:sSubPr>
            <m:ctrlPr>
              <w:rPr>
                <w:rFonts w:ascii="Cambria Math" w:eastAsia="SimSun" w:hAnsi="Cambria Math" w:cs="Times New Roman"/>
                <w:sz w:val="22"/>
                <w:szCs w:val="24"/>
              </w:rPr>
            </m:ctrlPr>
          </m:sSubPr>
          <m:e>
            <m:r>
              <w:rPr>
                <w:rFonts w:ascii="Cambria Math" w:eastAsia="SimSun" w:hAnsi="Cambria Math" w:cs="Times New Roman"/>
                <w:sz w:val="22"/>
                <w:szCs w:val="24"/>
              </w:rPr>
              <m:t>ETT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Treat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r>
          <w:rPr>
            <w:rFonts w:ascii="Cambria Math" w:eastAsia="SimSun" w:hAnsi="Cambria Math" w:cs="Times New Roman"/>
            <w:sz w:val="22"/>
            <w:szCs w:val="24"/>
          </w:rPr>
          <m:t>Δ</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pullutin</m:t>
            </m:r>
          </m:e>
          <m:sub>
            <m:r>
              <m:rPr>
                <m:sty m:val="p"/>
              </m:rPr>
              <w:rPr>
                <w:rFonts w:ascii="Cambria Math" w:eastAsia="SimSun" w:hAnsi="Cambria Math" w:cs="Times New Roman"/>
                <w:sz w:val="22"/>
                <w:szCs w:val="24"/>
              </w:rPr>
              <m:t xml:space="preserve"> </m:t>
            </m:r>
          </m:sub>
        </m:sSub>
      </m:oMath>
      <w:r>
        <w:rPr>
          <w:rFonts w:ascii="Times New Roman" w:eastAsia="Microsoft YaHei" w:hAnsi="Times New Roman" w:cs="Times New Roman" w:hint="eastAsia"/>
          <w:sz w:val="22"/>
          <w:szCs w:val="24"/>
        </w:rPr>
        <w:t xml:space="preserve"> The paper measures the overall pollution level of each industry using the weighted average of pollutant increments across various sectors. The higher the pollution level, the greater the impact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which stipulates 'more emissions, more taxes; fewer emissions, fewer taxes; no emissions, no taxes.' The study focuses on three types of pollutants: industrial solid waste, industrial exhaust (sulfur dioxide, nitrogen oxides, and fly ash), and industrial wastewater. The method of normalization and equal-weight linear summation is used to determine the overall changes in pollutant emissions for each industry. The primary sources of industry-specific pollutant data are the 'China Environmental Statistics Yearbook' and the 'China Statistical Yearbook,' spanning multiple years. According to the 'National Economic Industry Classification and Code' (GB/T 4754-2017), two-digit industry codes are used to match the restricted industries under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with those of listed companies.</w:t>
      </w:r>
    </w:p>
    <w:p w14:paraId="1AED6BDE" w14:textId="24E84CB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This </w:t>
      </w:r>
      <w:r w:rsidR="003C297B">
        <w:rPr>
          <w:rFonts w:ascii="Times New Roman" w:eastAsia="Microsoft YaHei" w:hAnsi="Times New Roman" w:cs="Times New Roman"/>
          <w:sz w:val="22"/>
          <w:szCs w:val="24"/>
        </w:rPr>
        <w:t>research</w:t>
      </w:r>
      <w:r>
        <w:rPr>
          <w:rFonts w:ascii="Times New Roman" w:eastAsia="Microsoft YaHei" w:hAnsi="Times New Roman" w:cs="Times New Roman" w:hint="eastAsia"/>
          <w:sz w:val="22"/>
          <w:szCs w:val="24"/>
        </w:rPr>
        <w:t xml:space="preserve"> replaces the core explanatory variable, excluding non-restricted industries from the treatment group and characterizing the extent to which the treatment group is affected by policy. Only industries that are both restricted and significantly impacted by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experience a greater impact on their internal enterprises. The regression results in Table 3 show that after replacing the core explanatory variable, the regression results under the same baseline model are all highly significant and positive, with the coefficients and significance levels increasing, indicating the robustness of the baseline regression and further confirming Hypothesis 1.</w:t>
      </w:r>
    </w:p>
    <w:p w14:paraId="214FD67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3 Robustness test 1</w:t>
      </w:r>
    </w:p>
    <w:tbl>
      <w:tblPr>
        <w:tblW w:w="9867" w:type="dxa"/>
        <w:jc w:val="center"/>
        <w:tblLayout w:type="fixed"/>
        <w:tblCellMar>
          <w:left w:w="75" w:type="dxa"/>
          <w:right w:w="75" w:type="dxa"/>
        </w:tblCellMar>
        <w:tblLook w:val="04A0" w:firstRow="1" w:lastRow="0" w:firstColumn="1" w:lastColumn="0" w:noHBand="0" w:noVBand="1"/>
      </w:tblPr>
      <w:tblGrid>
        <w:gridCol w:w="1947"/>
        <w:gridCol w:w="1584"/>
        <w:gridCol w:w="1584"/>
        <w:gridCol w:w="1584"/>
        <w:gridCol w:w="1584"/>
        <w:gridCol w:w="1584"/>
      </w:tblGrid>
      <w:tr w:rsidR="009C3784" w:rsidRPr="003C297B" w14:paraId="45529EB9" w14:textId="77777777">
        <w:trPr>
          <w:jc w:val="center"/>
        </w:trPr>
        <w:tc>
          <w:tcPr>
            <w:tcW w:w="1947" w:type="dxa"/>
            <w:tcBorders>
              <w:top w:val="single" w:sz="6" w:space="0" w:color="auto"/>
              <w:left w:val="nil"/>
              <w:bottom w:val="nil"/>
              <w:right w:val="nil"/>
            </w:tcBorders>
          </w:tcPr>
          <w:p w14:paraId="0EE2D977"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single" w:sz="6" w:space="0" w:color="auto"/>
              <w:left w:val="nil"/>
              <w:bottom w:val="nil"/>
              <w:right w:val="nil"/>
            </w:tcBorders>
          </w:tcPr>
          <w:p w14:paraId="2FBD5BF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584" w:type="dxa"/>
            <w:tcBorders>
              <w:top w:val="single" w:sz="6" w:space="0" w:color="auto"/>
              <w:left w:val="nil"/>
              <w:bottom w:val="nil"/>
              <w:right w:val="nil"/>
            </w:tcBorders>
          </w:tcPr>
          <w:p w14:paraId="0E7E9D6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584" w:type="dxa"/>
            <w:tcBorders>
              <w:top w:val="single" w:sz="6" w:space="0" w:color="auto"/>
              <w:left w:val="nil"/>
              <w:bottom w:val="nil"/>
              <w:right w:val="nil"/>
            </w:tcBorders>
          </w:tcPr>
          <w:p w14:paraId="2A693D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1584" w:type="dxa"/>
            <w:tcBorders>
              <w:top w:val="single" w:sz="6" w:space="0" w:color="auto"/>
              <w:left w:val="nil"/>
              <w:bottom w:val="nil"/>
              <w:right w:val="nil"/>
            </w:tcBorders>
          </w:tcPr>
          <w:p w14:paraId="2269437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1584" w:type="dxa"/>
            <w:tcBorders>
              <w:top w:val="single" w:sz="6" w:space="0" w:color="auto"/>
              <w:left w:val="nil"/>
              <w:bottom w:val="nil"/>
              <w:right w:val="nil"/>
            </w:tcBorders>
          </w:tcPr>
          <w:p w14:paraId="3B4E48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558B5F34" w14:textId="77777777">
        <w:trPr>
          <w:jc w:val="center"/>
        </w:trPr>
        <w:tc>
          <w:tcPr>
            <w:tcW w:w="1947" w:type="dxa"/>
            <w:tcBorders>
              <w:top w:val="nil"/>
              <w:left w:val="nil"/>
              <w:bottom w:val="single" w:sz="6" w:space="0" w:color="auto"/>
              <w:right w:val="nil"/>
            </w:tcBorders>
          </w:tcPr>
          <w:p w14:paraId="0D9FFB5F"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single" w:sz="6" w:space="0" w:color="auto"/>
              <w:right w:val="nil"/>
            </w:tcBorders>
          </w:tcPr>
          <w:p w14:paraId="4D7B2F0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9C7C5E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50002F1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321C89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BE46F3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00255BC2" w14:textId="77777777">
        <w:trPr>
          <w:jc w:val="center"/>
        </w:trPr>
        <w:tc>
          <w:tcPr>
            <w:tcW w:w="1947" w:type="dxa"/>
            <w:tcBorders>
              <w:top w:val="nil"/>
              <w:left w:val="nil"/>
              <w:bottom w:val="nil"/>
              <w:right w:val="nil"/>
            </w:tcBorders>
          </w:tcPr>
          <w:p w14:paraId="5ED0400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ET2</w:t>
            </w:r>
          </w:p>
        </w:tc>
        <w:tc>
          <w:tcPr>
            <w:tcW w:w="1584" w:type="dxa"/>
            <w:tcBorders>
              <w:top w:val="nil"/>
              <w:left w:val="nil"/>
              <w:bottom w:val="nil"/>
              <w:right w:val="nil"/>
            </w:tcBorders>
          </w:tcPr>
          <w:p w14:paraId="763458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11.5019***</w:t>
            </w:r>
          </w:p>
        </w:tc>
        <w:tc>
          <w:tcPr>
            <w:tcW w:w="1584" w:type="dxa"/>
            <w:tcBorders>
              <w:top w:val="nil"/>
              <w:left w:val="nil"/>
              <w:bottom w:val="nil"/>
              <w:right w:val="nil"/>
            </w:tcBorders>
          </w:tcPr>
          <w:p w14:paraId="513BD24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12.5486***</w:t>
            </w:r>
          </w:p>
        </w:tc>
        <w:tc>
          <w:tcPr>
            <w:tcW w:w="1584" w:type="dxa"/>
            <w:tcBorders>
              <w:top w:val="nil"/>
              <w:left w:val="nil"/>
              <w:bottom w:val="nil"/>
              <w:right w:val="nil"/>
            </w:tcBorders>
          </w:tcPr>
          <w:p w14:paraId="7EFE9C0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6.7680***</w:t>
            </w:r>
          </w:p>
        </w:tc>
        <w:tc>
          <w:tcPr>
            <w:tcW w:w="1584" w:type="dxa"/>
            <w:tcBorders>
              <w:top w:val="nil"/>
              <w:left w:val="nil"/>
              <w:bottom w:val="nil"/>
              <w:right w:val="nil"/>
            </w:tcBorders>
          </w:tcPr>
          <w:p w14:paraId="08B46EC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6.4001***</w:t>
            </w:r>
          </w:p>
        </w:tc>
        <w:tc>
          <w:tcPr>
            <w:tcW w:w="1584" w:type="dxa"/>
            <w:tcBorders>
              <w:top w:val="nil"/>
              <w:left w:val="nil"/>
              <w:bottom w:val="nil"/>
              <w:right w:val="nil"/>
            </w:tcBorders>
          </w:tcPr>
          <w:p w14:paraId="0D0B28B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6.4472***</w:t>
            </w:r>
          </w:p>
        </w:tc>
      </w:tr>
      <w:tr w:rsidR="009C3784" w:rsidRPr="003C297B" w14:paraId="7AB71F8D" w14:textId="77777777">
        <w:trPr>
          <w:jc w:val="center"/>
        </w:trPr>
        <w:tc>
          <w:tcPr>
            <w:tcW w:w="1947" w:type="dxa"/>
            <w:tcBorders>
              <w:top w:val="nil"/>
              <w:left w:val="nil"/>
              <w:bottom w:val="nil"/>
              <w:right w:val="nil"/>
            </w:tcBorders>
          </w:tcPr>
          <w:p w14:paraId="343DD734"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375A26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(1.8148)</w:t>
            </w:r>
          </w:p>
        </w:tc>
        <w:tc>
          <w:tcPr>
            <w:tcW w:w="1584" w:type="dxa"/>
            <w:tcBorders>
              <w:top w:val="nil"/>
              <w:left w:val="nil"/>
              <w:bottom w:val="nil"/>
              <w:right w:val="nil"/>
            </w:tcBorders>
          </w:tcPr>
          <w:p w14:paraId="12E55B9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(1.7636)</w:t>
            </w:r>
          </w:p>
        </w:tc>
        <w:tc>
          <w:tcPr>
            <w:tcW w:w="1584" w:type="dxa"/>
            <w:tcBorders>
              <w:top w:val="nil"/>
              <w:left w:val="nil"/>
              <w:bottom w:val="nil"/>
              <w:right w:val="nil"/>
            </w:tcBorders>
          </w:tcPr>
          <w:p w14:paraId="03F6519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(1.3865)</w:t>
            </w:r>
          </w:p>
        </w:tc>
        <w:tc>
          <w:tcPr>
            <w:tcW w:w="1584" w:type="dxa"/>
            <w:tcBorders>
              <w:top w:val="nil"/>
              <w:left w:val="nil"/>
              <w:bottom w:val="nil"/>
              <w:right w:val="nil"/>
            </w:tcBorders>
          </w:tcPr>
          <w:p w14:paraId="1BA5FD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(1.3966)</w:t>
            </w:r>
          </w:p>
        </w:tc>
        <w:tc>
          <w:tcPr>
            <w:tcW w:w="1584" w:type="dxa"/>
            <w:tcBorders>
              <w:top w:val="nil"/>
              <w:left w:val="nil"/>
              <w:bottom w:val="nil"/>
              <w:right w:val="nil"/>
            </w:tcBorders>
          </w:tcPr>
          <w:p w14:paraId="4A0D490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(1.3930)</w:t>
            </w:r>
          </w:p>
        </w:tc>
      </w:tr>
      <w:tr w:rsidR="009C3784" w:rsidRPr="003C297B" w14:paraId="3EF42A14" w14:textId="77777777">
        <w:trPr>
          <w:jc w:val="center"/>
        </w:trPr>
        <w:tc>
          <w:tcPr>
            <w:tcW w:w="1947" w:type="dxa"/>
            <w:tcBorders>
              <w:top w:val="nil"/>
              <w:left w:val="nil"/>
              <w:bottom w:val="nil"/>
              <w:right w:val="nil"/>
            </w:tcBorders>
          </w:tcPr>
          <w:p w14:paraId="5E42632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pul</w:t>
            </w:r>
          </w:p>
        </w:tc>
        <w:tc>
          <w:tcPr>
            <w:tcW w:w="1584" w:type="dxa"/>
            <w:tcBorders>
              <w:top w:val="nil"/>
              <w:left w:val="nil"/>
              <w:bottom w:val="nil"/>
              <w:right w:val="nil"/>
            </w:tcBorders>
          </w:tcPr>
          <w:p w14:paraId="33E29D9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-0.0361</w:t>
            </w:r>
          </w:p>
        </w:tc>
        <w:tc>
          <w:tcPr>
            <w:tcW w:w="1584" w:type="dxa"/>
            <w:tcBorders>
              <w:top w:val="nil"/>
              <w:left w:val="nil"/>
              <w:bottom w:val="nil"/>
              <w:right w:val="nil"/>
            </w:tcBorders>
          </w:tcPr>
          <w:p w14:paraId="17C5970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-0.0328</w:t>
            </w:r>
          </w:p>
        </w:tc>
        <w:tc>
          <w:tcPr>
            <w:tcW w:w="1584" w:type="dxa"/>
            <w:tcBorders>
              <w:top w:val="nil"/>
              <w:left w:val="nil"/>
              <w:bottom w:val="nil"/>
              <w:right w:val="nil"/>
            </w:tcBorders>
          </w:tcPr>
          <w:p w14:paraId="1240DA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-0.0136</w:t>
            </w:r>
          </w:p>
        </w:tc>
        <w:tc>
          <w:tcPr>
            <w:tcW w:w="1584" w:type="dxa"/>
            <w:tcBorders>
              <w:top w:val="nil"/>
              <w:left w:val="nil"/>
              <w:bottom w:val="nil"/>
              <w:right w:val="nil"/>
            </w:tcBorders>
          </w:tcPr>
          <w:p w14:paraId="5CFA79D1"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1020373F"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AE60B0A" w14:textId="77777777">
        <w:trPr>
          <w:jc w:val="center"/>
        </w:trPr>
        <w:tc>
          <w:tcPr>
            <w:tcW w:w="1947" w:type="dxa"/>
            <w:tcBorders>
              <w:top w:val="nil"/>
              <w:left w:val="nil"/>
              <w:bottom w:val="nil"/>
              <w:right w:val="nil"/>
            </w:tcBorders>
          </w:tcPr>
          <w:p w14:paraId="37FF11F7"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F60FC4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(0.0241)</w:t>
            </w:r>
          </w:p>
        </w:tc>
        <w:tc>
          <w:tcPr>
            <w:tcW w:w="1584" w:type="dxa"/>
            <w:tcBorders>
              <w:top w:val="nil"/>
              <w:left w:val="nil"/>
              <w:bottom w:val="nil"/>
              <w:right w:val="nil"/>
            </w:tcBorders>
          </w:tcPr>
          <w:p w14:paraId="56BA4D6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(0.0207)</w:t>
            </w:r>
          </w:p>
        </w:tc>
        <w:tc>
          <w:tcPr>
            <w:tcW w:w="1584" w:type="dxa"/>
            <w:tcBorders>
              <w:top w:val="nil"/>
              <w:left w:val="nil"/>
              <w:bottom w:val="nil"/>
              <w:right w:val="nil"/>
            </w:tcBorders>
          </w:tcPr>
          <w:p w14:paraId="4438A26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(0.0260)</w:t>
            </w:r>
          </w:p>
        </w:tc>
        <w:tc>
          <w:tcPr>
            <w:tcW w:w="1584" w:type="dxa"/>
            <w:tcBorders>
              <w:top w:val="nil"/>
              <w:left w:val="nil"/>
              <w:bottom w:val="nil"/>
              <w:right w:val="nil"/>
            </w:tcBorders>
          </w:tcPr>
          <w:p w14:paraId="4BBAA9B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530DFE6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3A2230DD" w14:textId="77777777">
        <w:trPr>
          <w:jc w:val="center"/>
        </w:trPr>
        <w:tc>
          <w:tcPr>
            <w:tcW w:w="1947" w:type="dxa"/>
            <w:tcBorders>
              <w:top w:val="nil"/>
              <w:left w:val="nil"/>
              <w:bottom w:val="nil"/>
              <w:right w:val="nil"/>
            </w:tcBorders>
          </w:tcPr>
          <w:p w14:paraId="4642530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post</w:t>
            </w:r>
          </w:p>
        </w:tc>
        <w:tc>
          <w:tcPr>
            <w:tcW w:w="1584" w:type="dxa"/>
            <w:tcBorders>
              <w:top w:val="nil"/>
              <w:left w:val="nil"/>
              <w:bottom w:val="nil"/>
              <w:right w:val="nil"/>
            </w:tcBorders>
          </w:tcPr>
          <w:p w14:paraId="797715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-0.0301***</w:t>
            </w:r>
          </w:p>
        </w:tc>
        <w:tc>
          <w:tcPr>
            <w:tcW w:w="1584" w:type="dxa"/>
            <w:tcBorders>
              <w:top w:val="nil"/>
              <w:left w:val="nil"/>
              <w:bottom w:val="nil"/>
              <w:right w:val="nil"/>
            </w:tcBorders>
          </w:tcPr>
          <w:p w14:paraId="687026D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-0.0199***</w:t>
            </w:r>
          </w:p>
        </w:tc>
        <w:tc>
          <w:tcPr>
            <w:tcW w:w="1584" w:type="dxa"/>
            <w:tcBorders>
              <w:top w:val="nil"/>
              <w:left w:val="nil"/>
              <w:bottom w:val="nil"/>
              <w:right w:val="nil"/>
            </w:tcBorders>
          </w:tcPr>
          <w:p w14:paraId="318F9F2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6DD9CE8B"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57D5A4D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E07702C" w14:textId="77777777">
        <w:trPr>
          <w:jc w:val="center"/>
        </w:trPr>
        <w:tc>
          <w:tcPr>
            <w:tcW w:w="1947" w:type="dxa"/>
            <w:tcBorders>
              <w:top w:val="nil"/>
              <w:left w:val="nil"/>
              <w:bottom w:val="nil"/>
              <w:right w:val="nil"/>
            </w:tcBorders>
          </w:tcPr>
          <w:p w14:paraId="4CB956D1"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7D44632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584" w:type="dxa"/>
            <w:tcBorders>
              <w:top w:val="nil"/>
              <w:left w:val="nil"/>
              <w:bottom w:val="nil"/>
              <w:right w:val="nil"/>
            </w:tcBorders>
          </w:tcPr>
          <w:p w14:paraId="439D614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(0.0071)</w:t>
            </w:r>
          </w:p>
        </w:tc>
        <w:tc>
          <w:tcPr>
            <w:tcW w:w="1584" w:type="dxa"/>
            <w:tcBorders>
              <w:top w:val="nil"/>
              <w:left w:val="nil"/>
              <w:bottom w:val="nil"/>
              <w:right w:val="nil"/>
            </w:tcBorders>
          </w:tcPr>
          <w:p w14:paraId="07A8E58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757A9A53"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7B7F4F05"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FD910AC" w14:textId="77777777">
        <w:trPr>
          <w:jc w:val="center"/>
        </w:trPr>
        <w:tc>
          <w:tcPr>
            <w:tcW w:w="1947" w:type="dxa"/>
            <w:tcBorders>
              <w:top w:val="nil"/>
              <w:left w:val="nil"/>
              <w:bottom w:val="nil"/>
              <w:right w:val="nil"/>
            </w:tcBorders>
          </w:tcPr>
          <w:p w14:paraId="5E671D7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1584" w:type="dxa"/>
            <w:tcBorders>
              <w:top w:val="nil"/>
              <w:left w:val="nil"/>
              <w:bottom w:val="nil"/>
              <w:right w:val="nil"/>
            </w:tcBorders>
          </w:tcPr>
          <w:p w14:paraId="34E2B4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-0.1243***</w:t>
            </w:r>
          </w:p>
        </w:tc>
        <w:tc>
          <w:tcPr>
            <w:tcW w:w="1584" w:type="dxa"/>
            <w:tcBorders>
              <w:top w:val="nil"/>
              <w:left w:val="nil"/>
              <w:bottom w:val="nil"/>
              <w:right w:val="nil"/>
            </w:tcBorders>
          </w:tcPr>
          <w:p w14:paraId="783FE4E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-0.1478***</w:t>
            </w:r>
          </w:p>
        </w:tc>
        <w:tc>
          <w:tcPr>
            <w:tcW w:w="1584" w:type="dxa"/>
            <w:tcBorders>
              <w:top w:val="nil"/>
              <w:left w:val="nil"/>
              <w:bottom w:val="nil"/>
              <w:right w:val="nil"/>
            </w:tcBorders>
          </w:tcPr>
          <w:p w14:paraId="463C90F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-0.0882***</w:t>
            </w:r>
          </w:p>
        </w:tc>
        <w:tc>
          <w:tcPr>
            <w:tcW w:w="1584" w:type="dxa"/>
            <w:tcBorders>
              <w:top w:val="nil"/>
              <w:left w:val="nil"/>
              <w:bottom w:val="nil"/>
              <w:right w:val="nil"/>
            </w:tcBorders>
          </w:tcPr>
          <w:p w14:paraId="1C9205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-0.0835***</w:t>
            </w:r>
          </w:p>
        </w:tc>
        <w:tc>
          <w:tcPr>
            <w:tcW w:w="1584" w:type="dxa"/>
            <w:tcBorders>
              <w:top w:val="nil"/>
              <w:left w:val="nil"/>
              <w:bottom w:val="nil"/>
              <w:right w:val="nil"/>
            </w:tcBorders>
          </w:tcPr>
          <w:p w14:paraId="28F1D08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-0.0846***</w:t>
            </w:r>
          </w:p>
        </w:tc>
      </w:tr>
      <w:tr w:rsidR="009C3784" w:rsidRPr="003C297B" w14:paraId="0C8E5820" w14:textId="77777777">
        <w:trPr>
          <w:jc w:val="center"/>
        </w:trPr>
        <w:tc>
          <w:tcPr>
            <w:tcW w:w="1947" w:type="dxa"/>
            <w:tcBorders>
              <w:top w:val="nil"/>
              <w:left w:val="nil"/>
              <w:bottom w:val="nil"/>
              <w:right w:val="nil"/>
            </w:tcBorders>
          </w:tcPr>
          <w:p w14:paraId="25618395"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2901B09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(0.0372)</w:t>
            </w:r>
          </w:p>
        </w:tc>
        <w:tc>
          <w:tcPr>
            <w:tcW w:w="1584" w:type="dxa"/>
            <w:tcBorders>
              <w:top w:val="nil"/>
              <w:left w:val="nil"/>
              <w:bottom w:val="nil"/>
              <w:right w:val="nil"/>
            </w:tcBorders>
          </w:tcPr>
          <w:p w14:paraId="40E052F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(0.0367)</w:t>
            </w:r>
          </w:p>
        </w:tc>
        <w:tc>
          <w:tcPr>
            <w:tcW w:w="1584" w:type="dxa"/>
            <w:tcBorders>
              <w:top w:val="nil"/>
              <w:left w:val="nil"/>
              <w:bottom w:val="nil"/>
              <w:right w:val="nil"/>
            </w:tcBorders>
          </w:tcPr>
          <w:p w14:paraId="78DAC95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(0.0269)</w:t>
            </w:r>
          </w:p>
        </w:tc>
        <w:tc>
          <w:tcPr>
            <w:tcW w:w="1584" w:type="dxa"/>
            <w:tcBorders>
              <w:top w:val="nil"/>
              <w:left w:val="nil"/>
              <w:bottom w:val="nil"/>
              <w:right w:val="nil"/>
            </w:tcBorders>
          </w:tcPr>
          <w:p w14:paraId="7C6A9D4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(0.0285)</w:t>
            </w:r>
          </w:p>
        </w:tc>
        <w:tc>
          <w:tcPr>
            <w:tcW w:w="1584" w:type="dxa"/>
            <w:tcBorders>
              <w:top w:val="nil"/>
              <w:left w:val="nil"/>
              <w:bottom w:val="nil"/>
              <w:right w:val="nil"/>
            </w:tcBorders>
          </w:tcPr>
          <w:p w14:paraId="212110C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(0.0284)</w:t>
            </w:r>
          </w:p>
        </w:tc>
      </w:tr>
      <w:tr w:rsidR="009C3784" w:rsidRPr="003C297B" w14:paraId="69A1106D" w14:textId="77777777">
        <w:trPr>
          <w:jc w:val="center"/>
        </w:trPr>
        <w:tc>
          <w:tcPr>
            <w:tcW w:w="1947" w:type="dxa"/>
            <w:tcBorders>
              <w:top w:val="nil"/>
              <w:left w:val="nil"/>
              <w:bottom w:val="nil"/>
              <w:right w:val="nil"/>
            </w:tcBorders>
          </w:tcPr>
          <w:p w14:paraId="4BD77A5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584" w:type="dxa"/>
            <w:tcBorders>
              <w:top w:val="nil"/>
              <w:left w:val="nil"/>
              <w:bottom w:val="nil"/>
              <w:right w:val="nil"/>
            </w:tcBorders>
          </w:tcPr>
          <w:p w14:paraId="247C8C8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1.3800***</w:t>
            </w:r>
          </w:p>
        </w:tc>
        <w:tc>
          <w:tcPr>
            <w:tcW w:w="1584" w:type="dxa"/>
            <w:tcBorders>
              <w:top w:val="nil"/>
              <w:left w:val="nil"/>
              <w:bottom w:val="nil"/>
              <w:right w:val="nil"/>
            </w:tcBorders>
          </w:tcPr>
          <w:p w14:paraId="59290B9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1.6581***</w:t>
            </w:r>
          </w:p>
        </w:tc>
        <w:tc>
          <w:tcPr>
            <w:tcW w:w="1584" w:type="dxa"/>
            <w:tcBorders>
              <w:top w:val="nil"/>
              <w:left w:val="nil"/>
              <w:bottom w:val="nil"/>
              <w:right w:val="nil"/>
            </w:tcBorders>
          </w:tcPr>
          <w:p w14:paraId="16AE57D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1.7864***</w:t>
            </w:r>
          </w:p>
        </w:tc>
        <w:tc>
          <w:tcPr>
            <w:tcW w:w="1584" w:type="dxa"/>
            <w:tcBorders>
              <w:top w:val="nil"/>
              <w:left w:val="nil"/>
              <w:bottom w:val="nil"/>
              <w:right w:val="nil"/>
            </w:tcBorders>
          </w:tcPr>
          <w:p w14:paraId="396C2DC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2.1666***</w:t>
            </w:r>
          </w:p>
        </w:tc>
        <w:tc>
          <w:tcPr>
            <w:tcW w:w="1584" w:type="dxa"/>
            <w:tcBorders>
              <w:top w:val="nil"/>
              <w:left w:val="nil"/>
              <w:bottom w:val="nil"/>
              <w:right w:val="nil"/>
            </w:tcBorders>
          </w:tcPr>
          <w:p w14:paraId="06258D0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2.1565***</w:t>
            </w:r>
          </w:p>
        </w:tc>
      </w:tr>
      <w:tr w:rsidR="009C3784" w:rsidRPr="003C297B" w14:paraId="10BE0412" w14:textId="77777777">
        <w:trPr>
          <w:jc w:val="center"/>
        </w:trPr>
        <w:tc>
          <w:tcPr>
            <w:tcW w:w="1947" w:type="dxa"/>
            <w:tcBorders>
              <w:top w:val="nil"/>
              <w:left w:val="nil"/>
              <w:bottom w:val="nil"/>
              <w:right w:val="nil"/>
            </w:tcBorders>
          </w:tcPr>
          <w:p w14:paraId="6300043B"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12AF35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584" w:type="dxa"/>
            <w:tcBorders>
              <w:top w:val="nil"/>
              <w:left w:val="nil"/>
              <w:bottom w:val="nil"/>
              <w:right w:val="nil"/>
            </w:tcBorders>
          </w:tcPr>
          <w:p w14:paraId="669444D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(0.1221)</w:t>
            </w:r>
          </w:p>
        </w:tc>
        <w:tc>
          <w:tcPr>
            <w:tcW w:w="1584" w:type="dxa"/>
            <w:tcBorders>
              <w:top w:val="nil"/>
              <w:left w:val="nil"/>
              <w:bottom w:val="nil"/>
              <w:right w:val="nil"/>
            </w:tcBorders>
          </w:tcPr>
          <w:p w14:paraId="6120C5C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(0.5020)</w:t>
            </w:r>
          </w:p>
        </w:tc>
        <w:tc>
          <w:tcPr>
            <w:tcW w:w="1584" w:type="dxa"/>
            <w:tcBorders>
              <w:top w:val="nil"/>
              <w:left w:val="nil"/>
              <w:bottom w:val="nil"/>
              <w:right w:val="nil"/>
            </w:tcBorders>
          </w:tcPr>
          <w:p w14:paraId="414FC0C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(0.5070)</w:t>
            </w:r>
          </w:p>
        </w:tc>
        <w:tc>
          <w:tcPr>
            <w:tcW w:w="1584" w:type="dxa"/>
            <w:tcBorders>
              <w:top w:val="nil"/>
              <w:left w:val="nil"/>
              <w:bottom w:val="nil"/>
              <w:right w:val="nil"/>
            </w:tcBorders>
          </w:tcPr>
          <w:p w14:paraId="2BA269B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(0.5126)</w:t>
            </w:r>
          </w:p>
        </w:tc>
      </w:tr>
      <w:tr w:rsidR="009C3784" w:rsidRPr="003C297B" w14:paraId="2B95C2DC" w14:textId="77777777">
        <w:trPr>
          <w:jc w:val="center"/>
        </w:trPr>
        <w:tc>
          <w:tcPr>
            <w:tcW w:w="1947" w:type="dxa"/>
            <w:tcBorders>
              <w:top w:val="nil"/>
              <w:left w:val="nil"/>
              <w:bottom w:val="nil"/>
              <w:right w:val="nil"/>
            </w:tcBorders>
          </w:tcPr>
          <w:p w14:paraId="64AEECA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584" w:type="dxa"/>
            <w:tcBorders>
              <w:top w:val="nil"/>
              <w:left w:val="nil"/>
              <w:bottom w:val="nil"/>
              <w:right w:val="nil"/>
            </w:tcBorders>
          </w:tcPr>
          <w:p w14:paraId="25BA5CE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798BACC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7E70A02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2,849</w:t>
            </w:r>
          </w:p>
        </w:tc>
        <w:tc>
          <w:tcPr>
            <w:tcW w:w="1584" w:type="dxa"/>
            <w:tcBorders>
              <w:top w:val="nil"/>
              <w:left w:val="nil"/>
              <w:bottom w:val="nil"/>
              <w:right w:val="nil"/>
            </w:tcBorders>
          </w:tcPr>
          <w:p w14:paraId="41BD62E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1584" w:type="dxa"/>
            <w:tcBorders>
              <w:top w:val="nil"/>
              <w:left w:val="nil"/>
              <w:bottom w:val="nil"/>
              <w:right w:val="nil"/>
            </w:tcBorders>
          </w:tcPr>
          <w:p w14:paraId="1988AE5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5C77B4E5" w14:textId="77777777">
        <w:trPr>
          <w:jc w:val="center"/>
        </w:trPr>
        <w:tc>
          <w:tcPr>
            <w:tcW w:w="1947" w:type="dxa"/>
            <w:tcBorders>
              <w:top w:val="nil"/>
              <w:left w:val="nil"/>
              <w:bottom w:val="nil"/>
              <w:right w:val="nil"/>
            </w:tcBorders>
          </w:tcPr>
          <w:p w14:paraId="2B6137AF"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584" w:type="dxa"/>
            <w:tcBorders>
              <w:top w:val="nil"/>
              <w:left w:val="nil"/>
              <w:bottom w:val="nil"/>
              <w:right w:val="nil"/>
            </w:tcBorders>
          </w:tcPr>
          <w:p w14:paraId="4BA1EC2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0.038</w:t>
            </w:r>
          </w:p>
        </w:tc>
        <w:tc>
          <w:tcPr>
            <w:tcW w:w="1584" w:type="dxa"/>
            <w:tcBorders>
              <w:top w:val="nil"/>
              <w:left w:val="nil"/>
              <w:bottom w:val="nil"/>
              <w:right w:val="nil"/>
            </w:tcBorders>
          </w:tcPr>
          <w:p w14:paraId="1DEE254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0.070</w:t>
            </w:r>
          </w:p>
        </w:tc>
        <w:tc>
          <w:tcPr>
            <w:tcW w:w="1584" w:type="dxa"/>
            <w:tcBorders>
              <w:top w:val="nil"/>
              <w:left w:val="nil"/>
              <w:bottom w:val="nil"/>
              <w:right w:val="nil"/>
            </w:tcBorders>
          </w:tcPr>
          <w:p w14:paraId="541918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0.770</w:t>
            </w:r>
          </w:p>
        </w:tc>
        <w:tc>
          <w:tcPr>
            <w:tcW w:w="1584" w:type="dxa"/>
            <w:tcBorders>
              <w:top w:val="nil"/>
              <w:left w:val="nil"/>
              <w:bottom w:val="nil"/>
              <w:right w:val="nil"/>
            </w:tcBorders>
          </w:tcPr>
          <w:p w14:paraId="61BD270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0.777</w:t>
            </w:r>
          </w:p>
        </w:tc>
        <w:tc>
          <w:tcPr>
            <w:tcW w:w="1584" w:type="dxa"/>
            <w:tcBorders>
              <w:top w:val="nil"/>
              <w:left w:val="nil"/>
              <w:bottom w:val="nil"/>
              <w:right w:val="nil"/>
            </w:tcBorders>
          </w:tcPr>
          <w:p w14:paraId="308E41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0.777</w:t>
            </w:r>
          </w:p>
        </w:tc>
      </w:tr>
      <w:tr w:rsidR="009C3784" w:rsidRPr="003C297B" w14:paraId="381D0D0C" w14:textId="77777777">
        <w:trPr>
          <w:jc w:val="center"/>
        </w:trPr>
        <w:tc>
          <w:tcPr>
            <w:tcW w:w="1947" w:type="dxa"/>
            <w:tcBorders>
              <w:top w:val="nil"/>
              <w:left w:val="nil"/>
              <w:bottom w:val="nil"/>
              <w:right w:val="nil"/>
            </w:tcBorders>
          </w:tcPr>
          <w:p w14:paraId="77638A0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584" w:type="dxa"/>
            <w:tcBorders>
              <w:top w:val="nil"/>
              <w:left w:val="nil"/>
              <w:bottom w:val="nil"/>
              <w:right w:val="nil"/>
            </w:tcBorders>
          </w:tcPr>
          <w:p w14:paraId="40B2603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16230B8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97F290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E5658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18A0CE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05580A41" w14:textId="77777777">
        <w:trPr>
          <w:jc w:val="center"/>
        </w:trPr>
        <w:tc>
          <w:tcPr>
            <w:tcW w:w="1947" w:type="dxa"/>
            <w:tcBorders>
              <w:top w:val="nil"/>
              <w:left w:val="nil"/>
              <w:bottom w:val="nil"/>
              <w:right w:val="nil"/>
            </w:tcBorders>
          </w:tcPr>
          <w:p w14:paraId="4D8A621F"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584" w:type="dxa"/>
            <w:tcBorders>
              <w:top w:val="nil"/>
              <w:left w:val="nil"/>
              <w:bottom w:val="nil"/>
              <w:right w:val="nil"/>
            </w:tcBorders>
          </w:tcPr>
          <w:p w14:paraId="50E3142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328914A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4FEA27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64FA5BB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39DBC9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64B3ADA" w14:textId="77777777">
        <w:trPr>
          <w:jc w:val="center"/>
        </w:trPr>
        <w:tc>
          <w:tcPr>
            <w:tcW w:w="1947" w:type="dxa"/>
            <w:tcBorders>
              <w:top w:val="nil"/>
              <w:left w:val="nil"/>
              <w:bottom w:val="nil"/>
              <w:right w:val="nil"/>
            </w:tcBorders>
          </w:tcPr>
          <w:p w14:paraId="1D8E119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584" w:type="dxa"/>
            <w:tcBorders>
              <w:top w:val="nil"/>
              <w:left w:val="nil"/>
              <w:bottom w:val="nil"/>
              <w:right w:val="nil"/>
            </w:tcBorders>
          </w:tcPr>
          <w:p w14:paraId="6E45AD9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02223F2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6DC4F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CD231F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26D3CC2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597DCC56" w14:textId="77777777">
        <w:trPr>
          <w:jc w:val="center"/>
        </w:trPr>
        <w:tc>
          <w:tcPr>
            <w:tcW w:w="1947" w:type="dxa"/>
            <w:tcBorders>
              <w:top w:val="nil"/>
              <w:left w:val="nil"/>
              <w:bottom w:val="nil"/>
              <w:right w:val="nil"/>
            </w:tcBorders>
          </w:tcPr>
          <w:p w14:paraId="2F1D7265"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584" w:type="dxa"/>
            <w:tcBorders>
              <w:top w:val="nil"/>
              <w:left w:val="nil"/>
              <w:bottom w:val="nil"/>
              <w:right w:val="nil"/>
            </w:tcBorders>
          </w:tcPr>
          <w:p w14:paraId="17BA652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64C8836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B66039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13A5D89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C73973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9E0D266"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4A14DC8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584" w:type="dxa"/>
            <w:tcBorders>
              <w:top w:val="nil"/>
              <w:left w:val="nil"/>
              <w:bottom w:val="single" w:sz="6" w:space="0" w:color="auto"/>
              <w:right w:val="nil"/>
            </w:tcBorders>
          </w:tcPr>
          <w:p w14:paraId="1D5D06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14C9865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12334A5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54B7AED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25BA5F2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40F4899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Furthermore, to avoid the interference of the measurement model of the dependent variable on the estimation results, this paper employs multiple evaluation methods to test the robustness of the core dependent variable</w:t>
      </w:r>
      <w:bookmarkStart w:id="7" w:name="_Hlk133161742"/>
      <w:r>
        <w:rPr>
          <w:rFonts w:ascii="Times New Roman" w:eastAsia="Microsoft YaHei" w:hAnsi="Times New Roman" w:cs="Times New Roman" w:hint="eastAsia"/>
          <w:sz w:val="22"/>
          <w:szCs w:val="24"/>
        </w:rPr>
        <w:t>, ensurin</w:t>
      </w:r>
      <w:bookmarkEnd w:id="7"/>
      <w:r>
        <w:rPr>
          <w:rFonts w:ascii="Times New Roman" w:eastAsia="Microsoft YaHei" w:hAnsi="Times New Roman" w:cs="Times New Roman" w:hint="eastAsia"/>
          <w:sz w:val="22"/>
          <w:szCs w:val="24"/>
        </w:rPr>
        <w:t>g the robustness of the regression results. Previously, economic benefits were measured using the total operating revenue of enterprises to reflect their operational outcomes. In this section, total factor productivity is used as a replacement for the previous economic benefit measurement indicator to further test the robustness of the article. Total factor productivity reflects the production efficiency and resource allocation efficiency of enterprises, effectively demonstrating their operational outcomes. This paper uses the lp method and the op method to measure total factor productivity, which reflects the operational outcomes of enterprises. The measurement methods for environmental performance are the same as previously described. The results in columns (1) and (2) of Table 4 show that the regression coefficients of key variables remain highly significant, confirming the high robustness of the baseline regression results of this paper.</w:t>
      </w:r>
    </w:p>
    <w:p w14:paraId="004F4D7C"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2)</w:t>
      </w:r>
      <w:r w:rsidR="00D95DA7">
        <w:rPr>
          <w:rFonts w:ascii="Times New Roman" w:eastAsia="Microsoft YaHei" w:hAnsi="Times New Roman" w:cs="Times New Roman" w:hint="eastAsia"/>
          <w:sz w:val="22"/>
          <w:szCs w:val="24"/>
        </w:rPr>
        <w:t xml:space="preserve"> Control time trends and macroeconomic factors:</w:t>
      </w:r>
    </w:p>
    <w:p w14:paraId="7D5C4989"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In the benchmark regression, the article controls for individual fixed effects, time fixed effects, province fixed effects, and industry fixed effects to control for unobservable variables. In this section, based on the benchmark regression, the province year fixed effect and industry time trend are controlled to further control for industry trends and macroeconomic factors. The regression results in columns (3) and (4) of Table 4 show that the regression coefficients of key variables remain significantly positive, reaffirming the robustness of the previous findings.</w:t>
      </w:r>
    </w:p>
    <w:p w14:paraId="587E158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4 Robustness test 2</w:t>
      </w:r>
    </w:p>
    <w:tbl>
      <w:tblPr>
        <w:tblW w:w="5000" w:type="pct"/>
        <w:jc w:val="center"/>
        <w:tblCellMar>
          <w:left w:w="75" w:type="dxa"/>
          <w:right w:w="75" w:type="dxa"/>
        </w:tblCellMar>
        <w:tblLook w:val="04A0" w:firstRow="1" w:lastRow="0" w:firstColumn="1" w:lastColumn="0" w:noHBand="0" w:noVBand="1"/>
      </w:tblPr>
      <w:tblGrid>
        <w:gridCol w:w="2437"/>
        <w:gridCol w:w="1801"/>
        <w:gridCol w:w="1800"/>
        <w:gridCol w:w="1800"/>
        <w:gridCol w:w="1800"/>
      </w:tblGrid>
      <w:tr w:rsidR="009C3784" w:rsidRPr="003C297B" w14:paraId="485FB61E" w14:textId="77777777">
        <w:trPr>
          <w:jc w:val="center"/>
        </w:trPr>
        <w:tc>
          <w:tcPr>
            <w:tcW w:w="1264" w:type="pct"/>
            <w:tcBorders>
              <w:top w:val="single" w:sz="6" w:space="0" w:color="auto"/>
              <w:left w:val="nil"/>
              <w:bottom w:val="nil"/>
              <w:right w:val="nil"/>
            </w:tcBorders>
          </w:tcPr>
          <w:p w14:paraId="780C3DD8"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single" w:sz="6" w:space="0" w:color="auto"/>
              <w:left w:val="nil"/>
              <w:bottom w:val="nil"/>
              <w:right w:val="nil"/>
            </w:tcBorders>
          </w:tcPr>
          <w:p w14:paraId="08AD7FF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934" w:type="pct"/>
            <w:tcBorders>
              <w:top w:val="single" w:sz="6" w:space="0" w:color="auto"/>
              <w:left w:val="nil"/>
              <w:bottom w:val="nil"/>
              <w:right w:val="nil"/>
            </w:tcBorders>
          </w:tcPr>
          <w:p w14:paraId="0312907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934" w:type="pct"/>
            <w:tcBorders>
              <w:top w:val="single" w:sz="6" w:space="0" w:color="auto"/>
              <w:left w:val="nil"/>
              <w:bottom w:val="nil"/>
              <w:right w:val="nil"/>
            </w:tcBorders>
          </w:tcPr>
          <w:p w14:paraId="7A3D742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934" w:type="pct"/>
            <w:tcBorders>
              <w:top w:val="single" w:sz="6" w:space="0" w:color="auto"/>
              <w:left w:val="nil"/>
              <w:bottom w:val="nil"/>
              <w:right w:val="nil"/>
            </w:tcBorders>
          </w:tcPr>
          <w:p w14:paraId="229EFD1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r>
      <w:tr w:rsidR="009C3784" w:rsidRPr="003C297B" w14:paraId="79F1D451" w14:textId="77777777">
        <w:trPr>
          <w:jc w:val="center"/>
        </w:trPr>
        <w:tc>
          <w:tcPr>
            <w:tcW w:w="1264" w:type="pct"/>
            <w:tcBorders>
              <w:top w:val="nil"/>
              <w:left w:val="nil"/>
              <w:bottom w:val="single" w:sz="6" w:space="0" w:color="auto"/>
              <w:right w:val="nil"/>
            </w:tcBorders>
          </w:tcPr>
          <w:p w14:paraId="1ADA6C2D"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single" w:sz="6" w:space="0" w:color="auto"/>
              <w:right w:val="nil"/>
            </w:tcBorders>
          </w:tcPr>
          <w:p w14:paraId="4874B49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sz w:val="22"/>
                <w:szCs w:val="24"/>
              </w:rPr>
              <w:t xml:space="preserve">LP law </w:t>
            </w:r>
          </w:p>
        </w:tc>
        <w:tc>
          <w:tcPr>
            <w:tcW w:w="934" w:type="pct"/>
            <w:tcBorders>
              <w:top w:val="nil"/>
              <w:left w:val="nil"/>
              <w:bottom w:val="single" w:sz="6" w:space="0" w:color="auto"/>
              <w:right w:val="nil"/>
            </w:tcBorders>
          </w:tcPr>
          <w:p w14:paraId="403FFDA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sz w:val="22"/>
                <w:szCs w:val="24"/>
              </w:rPr>
              <w:t xml:space="preserve">OP law </w:t>
            </w:r>
          </w:p>
        </w:tc>
        <w:tc>
          <w:tcPr>
            <w:tcW w:w="934" w:type="pct"/>
            <w:tcBorders>
              <w:top w:val="nil"/>
              <w:left w:val="nil"/>
              <w:bottom w:val="single" w:sz="6" w:space="0" w:color="auto"/>
              <w:right w:val="nil"/>
            </w:tcBorders>
          </w:tcPr>
          <w:p w14:paraId="71F408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934" w:type="pct"/>
            <w:tcBorders>
              <w:top w:val="nil"/>
              <w:left w:val="nil"/>
              <w:bottom w:val="single" w:sz="6" w:space="0" w:color="auto"/>
              <w:right w:val="nil"/>
            </w:tcBorders>
          </w:tcPr>
          <w:p w14:paraId="39FEAAF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2B4138DA" w14:textId="77777777">
        <w:trPr>
          <w:jc w:val="center"/>
        </w:trPr>
        <w:tc>
          <w:tcPr>
            <w:tcW w:w="1264" w:type="pct"/>
            <w:tcBorders>
              <w:top w:val="nil"/>
              <w:left w:val="nil"/>
              <w:bottom w:val="nil"/>
              <w:right w:val="nil"/>
            </w:tcBorders>
          </w:tcPr>
          <w:p w14:paraId="4D6B1AA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934" w:type="pct"/>
            <w:tcBorders>
              <w:top w:val="nil"/>
              <w:left w:val="nil"/>
              <w:bottom w:val="nil"/>
              <w:right w:val="nil"/>
            </w:tcBorders>
          </w:tcPr>
          <w:p w14:paraId="20EAD3B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0.0080**</w:t>
            </w:r>
          </w:p>
        </w:tc>
        <w:tc>
          <w:tcPr>
            <w:tcW w:w="934" w:type="pct"/>
            <w:tcBorders>
              <w:top w:val="nil"/>
              <w:left w:val="nil"/>
              <w:bottom w:val="nil"/>
              <w:right w:val="nil"/>
            </w:tcBorders>
          </w:tcPr>
          <w:p w14:paraId="6BC7B7F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0.0310*</w:t>
            </w:r>
          </w:p>
        </w:tc>
        <w:tc>
          <w:tcPr>
            <w:tcW w:w="934" w:type="pct"/>
            <w:tcBorders>
              <w:top w:val="nil"/>
              <w:left w:val="nil"/>
              <w:bottom w:val="nil"/>
              <w:right w:val="nil"/>
            </w:tcBorders>
          </w:tcPr>
          <w:p w14:paraId="67E86A7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0.0311*</w:t>
            </w:r>
          </w:p>
        </w:tc>
        <w:tc>
          <w:tcPr>
            <w:tcW w:w="934" w:type="pct"/>
            <w:tcBorders>
              <w:top w:val="nil"/>
              <w:left w:val="nil"/>
              <w:bottom w:val="nil"/>
              <w:right w:val="nil"/>
            </w:tcBorders>
          </w:tcPr>
          <w:p w14:paraId="5A4885C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0.0620***</w:t>
            </w:r>
          </w:p>
        </w:tc>
      </w:tr>
      <w:tr w:rsidR="009C3784" w:rsidRPr="003C297B" w14:paraId="31EB06AD" w14:textId="77777777">
        <w:trPr>
          <w:jc w:val="center"/>
        </w:trPr>
        <w:tc>
          <w:tcPr>
            <w:tcW w:w="1264" w:type="pct"/>
            <w:tcBorders>
              <w:top w:val="nil"/>
              <w:left w:val="nil"/>
              <w:bottom w:val="nil"/>
              <w:right w:val="nil"/>
            </w:tcBorders>
          </w:tcPr>
          <w:p w14:paraId="002ECBF4"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nil"/>
              <w:right w:val="nil"/>
            </w:tcBorders>
          </w:tcPr>
          <w:p w14:paraId="1E53116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(0.0034)</w:t>
            </w:r>
          </w:p>
        </w:tc>
        <w:tc>
          <w:tcPr>
            <w:tcW w:w="934" w:type="pct"/>
            <w:tcBorders>
              <w:top w:val="nil"/>
              <w:left w:val="nil"/>
              <w:bottom w:val="nil"/>
              <w:right w:val="nil"/>
            </w:tcBorders>
          </w:tcPr>
          <w:p w14:paraId="73D06ED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(0.0160)</w:t>
            </w:r>
          </w:p>
        </w:tc>
        <w:tc>
          <w:tcPr>
            <w:tcW w:w="934" w:type="pct"/>
            <w:tcBorders>
              <w:top w:val="nil"/>
              <w:left w:val="nil"/>
              <w:bottom w:val="nil"/>
              <w:right w:val="nil"/>
            </w:tcBorders>
          </w:tcPr>
          <w:p w14:paraId="1E3A34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(0.0171)</w:t>
            </w:r>
          </w:p>
        </w:tc>
        <w:tc>
          <w:tcPr>
            <w:tcW w:w="934" w:type="pct"/>
            <w:tcBorders>
              <w:top w:val="nil"/>
              <w:left w:val="nil"/>
              <w:bottom w:val="nil"/>
              <w:right w:val="nil"/>
            </w:tcBorders>
          </w:tcPr>
          <w:p w14:paraId="3A0D79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(0.0230)</w:t>
            </w:r>
          </w:p>
        </w:tc>
      </w:tr>
      <w:tr w:rsidR="009C3784" w:rsidRPr="003C297B" w14:paraId="6970CD7F" w14:textId="77777777">
        <w:trPr>
          <w:jc w:val="center"/>
        </w:trPr>
        <w:tc>
          <w:tcPr>
            <w:tcW w:w="1264" w:type="pct"/>
            <w:tcBorders>
              <w:top w:val="nil"/>
              <w:left w:val="nil"/>
              <w:bottom w:val="nil"/>
              <w:right w:val="nil"/>
            </w:tcBorders>
          </w:tcPr>
          <w:p w14:paraId="206BF1D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934" w:type="pct"/>
            <w:tcBorders>
              <w:top w:val="nil"/>
              <w:left w:val="nil"/>
              <w:bottom w:val="nil"/>
              <w:right w:val="nil"/>
            </w:tcBorders>
          </w:tcPr>
          <w:p w14:paraId="68299A8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0.4069***</w:t>
            </w:r>
          </w:p>
        </w:tc>
        <w:tc>
          <w:tcPr>
            <w:tcW w:w="934" w:type="pct"/>
            <w:tcBorders>
              <w:top w:val="nil"/>
              <w:left w:val="nil"/>
              <w:bottom w:val="nil"/>
              <w:right w:val="nil"/>
            </w:tcBorders>
          </w:tcPr>
          <w:p w14:paraId="1F19E33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2.1905***</w:t>
            </w:r>
          </w:p>
        </w:tc>
        <w:tc>
          <w:tcPr>
            <w:tcW w:w="934" w:type="pct"/>
            <w:tcBorders>
              <w:top w:val="nil"/>
              <w:left w:val="nil"/>
              <w:bottom w:val="nil"/>
              <w:right w:val="nil"/>
            </w:tcBorders>
          </w:tcPr>
          <w:p w14:paraId="3F2E9B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2.2280***</w:t>
            </w:r>
          </w:p>
        </w:tc>
        <w:tc>
          <w:tcPr>
            <w:tcW w:w="934" w:type="pct"/>
            <w:tcBorders>
              <w:top w:val="nil"/>
              <w:left w:val="nil"/>
              <w:bottom w:val="nil"/>
              <w:right w:val="nil"/>
            </w:tcBorders>
          </w:tcPr>
          <w:p w14:paraId="7A09EA5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2.1148***</w:t>
            </w:r>
          </w:p>
        </w:tc>
      </w:tr>
      <w:tr w:rsidR="009C3784" w:rsidRPr="003C297B" w14:paraId="6C6FAEBB" w14:textId="77777777">
        <w:trPr>
          <w:jc w:val="center"/>
        </w:trPr>
        <w:tc>
          <w:tcPr>
            <w:tcW w:w="1264" w:type="pct"/>
            <w:tcBorders>
              <w:top w:val="nil"/>
              <w:left w:val="nil"/>
              <w:bottom w:val="nil"/>
              <w:right w:val="nil"/>
            </w:tcBorders>
          </w:tcPr>
          <w:p w14:paraId="27886791"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nil"/>
              <w:right w:val="nil"/>
            </w:tcBorders>
          </w:tcPr>
          <w:p w14:paraId="36F9E4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(0.1461)</w:t>
            </w:r>
          </w:p>
        </w:tc>
        <w:tc>
          <w:tcPr>
            <w:tcW w:w="934" w:type="pct"/>
            <w:tcBorders>
              <w:top w:val="nil"/>
              <w:left w:val="nil"/>
              <w:bottom w:val="nil"/>
              <w:right w:val="nil"/>
            </w:tcBorders>
          </w:tcPr>
          <w:p w14:paraId="2BCA0AC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(0.5243)</w:t>
            </w:r>
          </w:p>
        </w:tc>
        <w:tc>
          <w:tcPr>
            <w:tcW w:w="934" w:type="pct"/>
            <w:tcBorders>
              <w:top w:val="nil"/>
              <w:left w:val="nil"/>
              <w:bottom w:val="nil"/>
              <w:right w:val="nil"/>
            </w:tcBorders>
          </w:tcPr>
          <w:p w14:paraId="010CF48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(0.5306)</w:t>
            </w:r>
          </w:p>
        </w:tc>
        <w:tc>
          <w:tcPr>
            <w:tcW w:w="934" w:type="pct"/>
            <w:tcBorders>
              <w:top w:val="nil"/>
              <w:left w:val="nil"/>
              <w:bottom w:val="nil"/>
              <w:right w:val="nil"/>
            </w:tcBorders>
          </w:tcPr>
          <w:p w14:paraId="690E80C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(0.5281)</w:t>
            </w:r>
          </w:p>
        </w:tc>
      </w:tr>
      <w:tr w:rsidR="009C3784" w:rsidRPr="003C297B" w14:paraId="4D68C3FD" w14:textId="77777777">
        <w:trPr>
          <w:jc w:val="center"/>
        </w:trPr>
        <w:tc>
          <w:tcPr>
            <w:tcW w:w="1264" w:type="pct"/>
            <w:tcBorders>
              <w:top w:val="nil"/>
              <w:left w:val="nil"/>
              <w:bottom w:val="nil"/>
              <w:right w:val="nil"/>
            </w:tcBorders>
          </w:tcPr>
          <w:p w14:paraId="138F3013"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934" w:type="pct"/>
            <w:tcBorders>
              <w:top w:val="nil"/>
              <w:left w:val="nil"/>
              <w:bottom w:val="nil"/>
              <w:right w:val="nil"/>
            </w:tcBorders>
          </w:tcPr>
          <w:p w14:paraId="773411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934" w:type="pct"/>
            <w:tcBorders>
              <w:top w:val="nil"/>
              <w:left w:val="nil"/>
              <w:bottom w:val="nil"/>
              <w:right w:val="nil"/>
            </w:tcBorders>
          </w:tcPr>
          <w:p w14:paraId="238AC2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934" w:type="pct"/>
            <w:tcBorders>
              <w:top w:val="nil"/>
              <w:left w:val="nil"/>
              <w:bottom w:val="nil"/>
              <w:right w:val="nil"/>
            </w:tcBorders>
          </w:tcPr>
          <w:p w14:paraId="1D5C239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2,847</w:t>
            </w:r>
          </w:p>
        </w:tc>
        <w:tc>
          <w:tcPr>
            <w:tcW w:w="934" w:type="pct"/>
            <w:tcBorders>
              <w:top w:val="nil"/>
              <w:left w:val="nil"/>
              <w:bottom w:val="nil"/>
              <w:right w:val="nil"/>
            </w:tcBorders>
          </w:tcPr>
          <w:p w14:paraId="72CD6A0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236D0996" w14:textId="77777777">
        <w:trPr>
          <w:jc w:val="center"/>
        </w:trPr>
        <w:tc>
          <w:tcPr>
            <w:tcW w:w="1264" w:type="pct"/>
            <w:tcBorders>
              <w:top w:val="nil"/>
              <w:left w:val="nil"/>
              <w:bottom w:val="nil"/>
              <w:right w:val="nil"/>
            </w:tcBorders>
          </w:tcPr>
          <w:p w14:paraId="4733A51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934" w:type="pct"/>
            <w:tcBorders>
              <w:top w:val="nil"/>
              <w:left w:val="nil"/>
              <w:bottom w:val="nil"/>
              <w:right w:val="nil"/>
            </w:tcBorders>
          </w:tcPr>
          <w:p w14:paraId="2351379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0.865</w:t>
            </w:r>
          </w:p>
        </w:tc>
        <w:tc>
          <w:tcPr>
            <w:tcW w:w="934" w:type="pct"/>
            <w:tcBorders>
              <w:top w:val="nil"/>
              <w:left w:val="nil"/>
              <w:bottom w:val="nil"/>
              <w:right w:val="nil"/>
            </w:tcBorders>
          </w:tcPr>
          <w:p w14:paraId="7DCDE28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0.870</w:t>
            </w:r>
          </w:p>
        </w:tc>
        <w:tc>
          <w:tcPr>
            <w:tcW w:w="934" w:type="pct"/>
            <w:tcBorders>
              <w:top w:val="nil"/>
              <w:left w:val="nil"/>
              <w:bottom w:val="nil"/>
              <w:right w:val="nil"/>
            </w:tcBorders>
          </w:tcPr>
          <w:p w14:paraId="5E787D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0.787</w:t>
            </w:r>
          </w:p>
        </w:tc>
        <w:tc>
          <w:tcPr>
            <w:tcW w:w="934" w:type="pct"/>
            <w:tcBorders>
              <w:top w:val="nil"/>
              <w:left w:val="nil"/>
              <w:bottom w:val="nil"/>
              <w:right w:val="nil"/>
            </w:tcBorders>
          </w:tcPr>
          <w:p w14:paraId="4F6CFE8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0.785</w:t>
            </w:r>
          </w:p>
        </w:tc>
      </w:tr>
      <w:tr w:rsidR="009C3784" w:rsidRPr="003C297B" w14:paraId="23D5E08C" w14:textId="77777777">
        <w:trPr>
          <w:jc w:val="center"/>
        </w:trPr>
        <w:tc>
          <w:tcPr>
            <w:tcW w:w="1264" w:type="pct"/>
            <w:tcBorders>
              <w:top w:val="nil"/>
              <w:left w:val="nil"/>
              <w:bottom w:val="nil"/>
              <w:right w:val="nil"/>
            </w:tcBorders>
          </w:tcPr>
          <w:p w14:paraId="29158E1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934" w:type="pct"/>
            <w:tcBorders>
              <w:top w:val="nil"/>
              <w:left w:val="nil"/>
              <w:bottom w:val="nil"/>
              <w:right w:val="nil"/>
            </w:tcBorders>
          </w:tcPr>
          <w:p w14:paraId="3AF8F6F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7C26A60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71BBA3D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6897EE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52E0F00C" w14:textId="77777777">
        <w:trPr>
          <w:jc w:val="center"/>
        </w:trPr>
        <w:tc>
          <w:tcPr>
            <w:tcW w:w="1264" w:type="pct"/>
            <w:tcBorders>
              <w:top w:val="nil"/>
              <w:left w:val="nil"/>
              <w:right w:val="nil"/>
            </w:tcBorders>
          </w:tcPr>
          <w:p w14:paraId="5F142E0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934" w:type="pct"/>
            <w:tcBorders>
              <w:top w:val="nil"/>
              <w:left w:val="nil"/>
              <w:right w:val="nil"/>
            </w:tcBorders>
          </w:tcPr>
          <w:p w14:paraId="2436B43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61AC442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28BF390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4AFC79F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77304FD" w14:textId="77777777">
        <w:trPr>
          <w:jc w:val="center"/>
        </w:trPr>
        <w:tc>
          <w:tcPr>
            <w:tcW w:w="1264" w:type="pct"/>
            <w:tcBorders>
              <w:top w:val="nil"/>
              <w:left w:val="nil"/>
              <w:bottom w:val="nil"/>
              <w:right w:val="nil"/>
            </w:tcBorders>
          </w:tcPr>
          <w:p w14:paraId="1A65CFF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934" w:type="pct"/>
            <w:tcBorders>
              <w:top w:val="nil"/>
              <w:left w:val="nil"/>
              <w:bottom w:val="nil"/>
              <w:right w:val="nil"/>
            </w:tcBorders>
          </w:tcPr>
          <w:p w14:paraId="4EE89E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D260CF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7CD41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2860DF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5C640D2" w14:textId="77777777">
        <w:trPr>
          <w:jc w:val="center"/>
        </w:trPr>
        <w:tc>
          <w:tcPr>
            <w:tcW w:w="1264" w:type="pct"/>
            <w:tcBorders>
              <w:top w:val="nil"/>
              <w:left w:val="nil"/>
              <w:bottom w:val="nil"/>
              <w:right w:val="nil"/>
            </w:tcBorders>
          </w:tcPr>
          <w:p w14:paraId="02931669"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934" w:type="pct"/>
            <w:tcBorders>
              <w:top w:val="nil"/>
              <w:left w:val="nil"/>
              <w:bottom w:val="nil"/>
              <w:right w:val="nil"/>
            </w:tcBorders>
          </w:tcPr>
          <w:p w14:paraId="5FCF6BF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336E014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1E33FF2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BCF2B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49C1848" w14:textId="77777777">
        <w:tblPrEx>
          <w:tblBorders>
            <w:bottom w:val="single" w:sz="6" w:space="0" w:color="auto"/>
          </w:tblBorders>
        </w:tblPrEx>
        <w:trPr>
          <w:jc w:val="center"/>
        </w:trPr>
        <w:tc>
          <w:tcPr>
            <w:tcW w:w="1264" w:type="pct"/>
            <w:tcBorders>
              <w:top w:val="nil"/>
              <w:left w:val="nil"/>
              <w:bottom w:val="nil"/>
              <w:right w:val="nil"/>
            </w:tcBorders>
          </w:tcPr>
          <w:p w14:paraId="01B1A384"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934" w:type="pct"/>
            <w:tcBorders>
              <w:top w:val="nil"/>
              <w:left w:val="nil"/>
              <w:bottom w:val="nil"/>
              <w:right w:val="nil"/>
            </w:tcBorders>
          </w:tcPr>
          <w:p w14:paraId="16DAAFA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5E919C6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132AA44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65ED88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4009AA8" w14:textId="77777777">
        <w:tblPrEx>
          <w:tblBorders>
            <w:bottom w:val="single" w:sz="6" w:space="0" w:color="auto"/>
          </w:tblBorders>
        </w:tblPrEx>
        <w:trPr>
          <w:jc w:val="center"/>
        </w:trPr>
        <w:tc>
          <w:tcPr>
            <w:tcW w:w="1264" w:type="pct"/>
            <w:tcBorders>
              <w:top w:val="nil"/>
              <w:left w:val="nil"/>
              <w:bottom w:val="nil"/>
              <w:right w:val="nil"/>
            </w:tcBorders>
          </w:tcPr>
          <w:p w14:paraId="535C6F8D"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Prov-Year</w:t>
            </w:r>
          </w:p>
        </w:tc>
        <w:tc>
          <w:tcPr>
            <w:tcW w:w="934" w:type="pct"/>
            <w:tcBorders>
              <w:top w:val="nil"/>
              <w:left w:val="nil"/>
              <w:bottom w:val="nil"/>
              <w:right w:val="nil"/>
            </w:tcBorders>
          </w:tcPr>
          <w:p w14:paraId="1C30558F"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nil"/>
              <w:right w:val="nil"/>
            </w:tcBorders>
          </w:tcPr>
          <w:p w14:paraId="054F008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nil"/>
              <w:right w:val="nil"/>
            </w:tcBorders>
          </w:tcPr>
          <w:p w14:paraId="42D504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011A9632"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CDFB2B5" w14:textId="77777777">
        <w:tblPrEx>
          <w:tblBorders>
            <w:bottom w:val="single" w:sz="6" w:space="0" w:color="auto"/>
          </w:tblBorders>
        </w:tblPrEx>
        <w:trPr>
          <w:jc w:val="center"/>
        </w:trPr>
        <w:tc>
          <w:tcPr>
            <w:tcW w:w="1264" w:type="pct"/>
            <w:tcBorders>
              <w:top w:val="nil"/>
              <w:left w:val="nil"/>
              <w:bottom w:val="single" w:sz="4" w:space="0" w:color="auto"/>
              <w:right w:val="nil"/>
            </w:tcBorders>
          </w:tcPr>
          <w:p w14:paraId="563A1C7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Ind-Trend</w:t>
            </w:r>
          </w:p>
        </w:tc>
        <w:tc>
          <w:tcPr>
            <w:tcW w:w="934" w:type="pct"/>
            <w:tcBorders>
              <w:top w:val="nil"/>
              <w:left w:val="nil"/>
              <w:bottom w:val="single" w:sz="4" w:space="0" w:color="auto"/>
              <w:right w:val="nil"/>
            </w:tcBorders>
          </w:tcPr>
          <w:p w14:paraId="0E62C2C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7DD7BD1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587ED36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148211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0CD7B8E0"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lastRenderedPageBreak/>
        <w:t>(</w:t>
      </w:r>
      <w:r>
        <w:rPr>
          <w:rFonts w:ascii="Times New Roman" w:eastAsia="Microsoft YaHei" w:hAnsi="Times New Roman" w:cs="Times New Roman"/>
          <w:sz w:val="22"/>
          <w:szCs w:val="24"/>
        </w:rPr>
        <w:t>3)</w:t>
      </w:r>
      <w:r w:rsidR="00D95DA7">
        <w:rPr>
          <w:rFonts w:ascii="Times New Roman" w:eastAsia="Microsoft YaHei" w:hAnsi="Times New Roman" w:cs="Times New Roman" w:hint="eastAsia"/>
          <w:sz w:val="22"/>
          <w:szCs w:val="24"/>
        </w:rPr>
        <w:t xml:space="preserve"> Early policy</w:t>
      </w:r>
    </w:p>
    <w:p w14:paraId="4ADC2B29" w14:textId="16460D5A"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parallel trend test examined the dynamic effects of policies by constructing dummy variables for each year, thus testing the uniqueness of the policy setting point. This section further advanced the implementation time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by 1-2 years, setting up two 'pseudo-treatment effect variables' and incorporating them into the empirical framework for analysis. The empirical results in columns (1) and (2) of Table 5 show that after advancing the policy treatment point, the regression coefficients of the core explanatory variables were not significant, indicating that no significant average treatment effect was observed, thus reaffirming the robustness of the regression results from the previous section.</w:t>
      </w:r>
    </w:p>
    <w:p w14:paraId="7B70B02A"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4) </w:t>
      </w:r>
      <w:r w:rsidR="00D95DA7">
        <w:rPr>
          <w:rFonts w:ascii="Times New Roman" w:eastAsia="Microsoft YaHei" w:hAnsi="Times New Roman" w:cs="Times New Roman" w:hint="eastAsia"/>
          <w:sz w:val="22"/>
          <w:szCs w:val="24"/>
        </w:rPr>
        <w:t>Propensity score matching</w:t>
      </w:r>
    </w:p>
    <w:p w14:paraId="2D232728"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article uses propensity score matching (PSM) to address the issue of sample differences, selecting control variables such as firm size (size), return on assets (ROA), return on equity (ROE), revenue growth rate (cashflow), cashflow ratio (growth), debt-to-asset ratio (lev), and Tobin's q-value (tobinq) as covariates. The logit model is used for propensity score matching. The study employs a 1:2 resampling method with replacement for matching and re-runs the regression using the psm-did approach. As shown in the third column of Table 5, after matching and eliminating firm characteristic differences, the regression coefficients of the core explanatory variables remain highly significant, confirming the robustness of the previous findings.</w:t>
      </w:r>
    </w:p>
    <w:p w14:paraId="38A1F296"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5) E</w:t>
      </w:r>
      <w:r w:rsidR="00D95DA7">
        <w:rPr>
          <w:rFonts w:ascii="Times New Roman" w:eastAsia="Microsoft YaHei" w:hAnsi="Times New Roman" w:cs="Times New Roman" w:hint="eastAsia"/>
          <w:sz w:val="22"/>
          <w:szCs w:val="24"/>
        </w:rPr>
        <w:t>xcluding the influence of other policies</w:t>
      </w:r>
    </w:p>
    <w:p w14:paraId="37E4422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This paper covers the period from 2016 to 2019 for empirical research, effectively excluding the influence of other policies. For instance, the Environmental Protection Law, implemented in 2015, was enacted before the study's timeframe, thus its impact is minimized. Additionally, the paper excludes the effect of the green finance pilot policy on the empirical results. Since 2016, China has established green finance innovation and reform pilot zones in nine locations across six provinces (regions), including Zhejiang, Jiangxi, and Guangdong. These pilot zones require companies within the zones to actively engage in environmental social responsibility. Existing literature indicates that the green finance pilot policy significantly reduces the production efficiency of polluting enterprises in the pilot zones while promoting the innovative development of green enterprises. Therefore, the green finance trends in these pilot zones are likely to differ from those in other regions. By excluding the provinces with green finance innovation and reform pilot zones, the regression results are shown in the fourth column of Table 5.</w:t>
      </w:r>
    </w:p>
    <w:p w14:paraId="4ACAADF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5 Robustness test 3</w:t>
      </w:r>
    </w:p>
    <w:tbl>
      <w:tblPr>
        <w:tblW w:w="5000" w:type="pct"/>
        <w:jc w:val="center"/>
        <w:tblCellMar>
          <w:left w:w="75" w:type="dxa"/>
          <w:right w:w="75" w:type="dxa"/>
        </w:tblCellMar>
        <w:tblLook w:val="04A0" w:firstRow="1" w:lastRow="0" w:firstColumn="1" w:lastColumn="0" w:noHBand="0" w:noVBand="1"/>
      </w:tblPr>
      <w:tblGrid>
        <w:gridCol w:w="1691"/>
        <w:gridCol w:w="1685"/>
        <w:gridCol w:w="1685"/>
        <w:gridCol w:w="1398"/>
        <w:gridCol w:w="1685"/>
        <w:gridCol w:w="1494"/>
      </w:tblGrid>
      <w:tr w:rsidR="009C3784" w:rsidRPr="003C297B" w14:paraId="7A3C7791" w14:textId="77777777">
        <w:trPr>
          <w:trHeight w:val="312"/>
          <w:jc w:val="center"/>
        </w:trPr>
        <w:tc>
          <w:tcPr>
            <w:tcW w:w="877" w:type="pct"/>
            <w:tcBorders>
              <w:top w:val="single" w:sz="6" w:space="0" w:color="auto"/>
              <w:left w:val="nil"/>
              <w:bottom w:val="nil"/>
              <w:right w:val="nil"/>
            </w:tcBorders>
          </w:tcPr>
          <w:p w14:paraId="5C805709"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single" w:sz="6" w:space="0" w:color="auto"/>
              <w:left w:val="nil"/>
              <w:bottom w:val="nil"/>
              <w:right w:val="nil"/>
            </w:tcBorders>
          </w:tcPr>
          <w:p w14:paraId="4297D59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874" w:type="pct"/>
            <w:tcBorders>
              <w:top w:val="single" w:sz="6" w:space="0" w:color="auto"/>
              <w:left w:val="nil"/>
              <w:bottom w:val="nil"/>
              <w:right w:val="nil"/>
            </w:tcBorders>
          </w:tcPr>
          <w:p w14:paraId="55EA4CE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725" w:type="pct"/>
            <w:tcBorders>
              <w:top w:val="single" w:sz="6" w:space="0" w:color="auto"/>
              <w:left w:val="nil"/>
              <w:bottom w:val="nil"/>
              <w:right w:val="nil"/>
            </w:tcBorders>
          </w:tcPr>
          <w:p w14:paraId="189569E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874" w:type="pct"/>
            <w:tcBorders>
              <w:top w:val="single" w:sz="6" w:space="0" w:color="auto"/>
              <w:left w:val="nil"/>
              <w:bottom w:val="nil"/>
              <w:right w:val="nil"/>
            </w:tcBorders>
          </w:tcPr>
          <w:p w14:paraId="370D766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775" w:type="pct"/>
            <w:tcBorders>
              <w:top w:val="single" w:sz="6" w:space="0" w:color="auto"/>
              <w:left w:val="nil"/>
              <w:bottom w:val="nil"/>
              <w:right w:val="nil"/>
            </w:tcBorders>
          </w:tcPr>
          <w:p w14:paraId="1A84F87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446D5AB1" w14:textId="77777777">
        <w:trPr>
          <w:trHeight w:val="312"/>
          <w:jc w:val="center"/>
        </w:trPr>
        <w:tc>
          <w:tcPr>
            <w:tcW w:w="877" w:type="pct"/>
            <w:tcBorders>
              <w:top w:val="nil"/>
              <w:left w:val="nil"/>
              <w:bottom w:val="single" w:sz="6" w:space="0" w:color="auto"/>
              <w:right w:val="nil"/>
            </w:tcBorders>
          </w:tcPr>
          <w:p w14:paraId="7CC3F86C"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single" w:sz="6" w:space="0" w:color="auto"/>
              <w:right w:val="nil"/>
            </w:tcBorders>
          </w:tcPr>
          <w:p w14:paraId="051E4618" w14:textId="77777777" w:rsidR="009C3784" w:rsidRPr="003C297B" w:rsidRDefault="00D95DA7">
            <w:pPr>
              <w:autoSpaceDE w:val="0"/>
              <w:autoSpaceDN w:val="0"/>
              <w:adjustRightInd w:val="0"/>
              <w:jc w:val="center"/>
              <w:rPr>
                <w:rFonts w:ascii="Times New Roman" w:hAnsi="Times New Roman" w:cs="Times New Roman"/>
                <w:kern w:val="0"/>
                <w:sz w:val="22"/>
                <w:szCs w:val="21"/>
              </w:rPr>
            </w:pPr>
            <w:r w:rsidRPr="003C297B">
              <w:rPr>
                <w:rFonts w:ascii="Times New Roman" w:eastAsia="Microsoft YaHei" w:hAnsi="Times New Roman" w:cs="Times New Roman" w:hint="eastAsia"/>
                <w:kern w:val="0"/>
                <w:sz w:val="22"/>
                <w:szCs w:val="21"/>
              </w:rPr>
              <w:t>The policy is a year ahead of schedule</w:t>
            </w:r>
          </w:p>
        </w:tc>
        <w:tc>
          <w:tcPr>
            <w:tcW w:w="874" w:type="pct"/>
            <w:tcBorders>
              <w:top w:val="nil"/>
              <w:left w:val="nil"/>
              <w:bottom w:val="single" w:sz="6" w:space="0" w:color="auto"/>
              <w:right w:val="nil"/>
            </w:tcBorders>
          </w:tcPr>
          <w:p w14:paraId="7573A7C2" w14:textId="77777777" w:rsidR="009C3784" w:rsidRPr="003C297B" w:rsidRDefault="00D95DA7">
            <w:pPr>
              <w:autoSpaceDE w:val="0"/>
              <w:autoSpaceDN w:val="0"/>
              <w:adjustRightInd w:val="0"/>
              <w:jc w:val="center"/>
              <w:rPr>
                <w:rFonts w:ascii="Times New Roman" w:hAnsi="Times New Roman" w:cs="Times New Roman"/>
                <w:kern w:val="0"/>
                <w:sz w:val="22"/>
                <w:szCs w:val="21"/>
              </w:rPr>
            </w:pPr>
            <w:r w:rsidRPr="003C297B">
              <w:rPr>
                <w:rFonts w:ascii="Times New Roman" w:eastAsia="Microsoft YaHei" w:hAnsi="Times New Roman" w:cs="Times New Roman" w:hint="eastAsia"/>
                <w:kern w:val="0"/>
                <w:sz w:val="22"/>
                <w:szCs w:val="21"/>
              </w:rPr>
              <w:t>The policy is two years ahead of schedule</w:t>
            </w:r>
          </w:p>
        </w:tc>
        <w:tc>
          <w:tcPr>
            <w:tcW w:w="725" w:type="pct"/>
            <w:tcBorders>
              <w:top w:val="nil"/>
              <w:left w:val="nil"/>
              <w:bottom w:val="single" w:sz="6" w:space="0" w:color="auto"/>
              <w:right w:val="nil"/>
            </w:tcBorders>
          </w:tcPr>
          <w:p w14:paraId="70F7C1A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PSM</w:t>
            </w:r>
          </w:p>
        </w:tc>
        <w:tc>
          <w:tcPr>
            <w:tcW w:w="874" w:type="pct"/>
            <w:tcBorders>
              <w:top w:val="nil"/>
              <w:left w:val="nil"/>
              <w:bottom w:val="single" w:sz="6" w:space="0" w:color="auto"/>
              <w:right w:val="nil"/>
            </w:tcBorders>
          </w:tcPr>
          <w:p w14:paraId="6BCCE70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1"/>
              </w:rPr>
              <w:t>Rule out other policies</w:t>
            </w:r>
          </w:p>
        </w:tc>
        <w:tc>
          <w:tcPr>
            <w:tcW w:w="775" w:type="pct"/>
            <w:tcBorders>
              <w:top w:val="nil"/>
              <w:left w:val="nil"/>
              <w:bottom w:val="single" w:sz="6" w:space="0" w:color="auto"/>
              <w:right w:val="nil"/>
            </w:tcBorders>
          </w:tcPr>
          <w:p w14:paraId="2EC7DCC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rPr>
              <w:t xml:space="preserve">Logit model </w:t>
            </w:r>
          </w:p>
        </w:tc>
      </w:tr>
      <w:tr w:rsidR="009C3784" w:rsidRPr="003C297B" w14:paraId="5DAA4140" w14:textId="77777777">
        <w:trPr>
          <w:trHeight w:val="312"/>
          <w:jc w:val="center"/>
        </w:trPr>
        <w:tc>
          <w:tcPr>
            <w:tcW w:w="877" w:type="pct"/>
            <w:tcBorders>
              <w:top w:val="nil"/>
              <w:left w:val="nil"/>
              <w:bottom w:val="nil"/>
              <w:right w:val="nil"/>
            </w:tcBorders>
          </w:tcPr>
          <w:p w14:paraId="323D0C12"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6B04EB39"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6C0DDFF"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01155E2"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5418753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495504E9"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29274AC8" w14:textId="77777777">
        <w:trPr>
          <w:trHeight w:val="312"/>
          <w:jc w:val="center"/>
        </w:trPr>
        <w:tc>
          <w:tcPr>
            <w:tcW w:w="877" w:type="pct"/>
            <w:tcBorders>
              <w:top w:val="nil"/>
              <w:left w:val="nil"/>
              <w:bottom w:val="nil"/>
              <w:right w:val="nil"/>
            </w:tcBorders>
          </w:tcPr>
          <w:p w14:paraId="67960F9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ET_2017</w:t>
            </w:r>
          </w:p>
        </w:tc>
        <w:tc>
          <w:tcPr>
            <w:tcW w:w="874" w:type="pct"/>
            <w:tcBorders>
              <w:top w:val="nil"/>
              <w:left w:val="nil"/>
              <w:bottom w:val="nil"/>
              <w:right w:val="nil"/>
            </w:tcBorders>
          </w:tcPr>
          <w:p w14:paraId="02E0D77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0.0078</w:t>
            </w:r>
          </w:p>
        </w:tc>
        <w:tc>
          <w:tcPr>
            <w:tcW w:w="874" w:type="pct"/>
            <w:tcBorders>
              <w:top w:val="nil"/>
              <w:left w:val="nil"/>
              <w:bottom w:val="nil"/>
              <w:right w:val="nil"/>
            </w:tcBorders>
          </w:tcPr>
          <w:p w14:paraId="06B5DDC0"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0A08BE1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C71FADA"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0BB13AB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5C2A47E9" w14:textId="77777777">
        <w:trPr>
          <w:trHeight w:val="312"/>
          <w:jc w:val="center"/>
        </w:trPr>
        <w:tc>
          <w:tcPr>
            <w:tcW w:w="877" w:type="pct"/>
            <w:tcBorders>
              <w:top w:val="nil"/>
              <w:left w:val="nil"/>
              <w:bottom w:val="nil"/>
              <w:right w:val="nil"/>
            </w:tcBorders>
          </w:tcPr>
          <w:p w14:paraId="636C94FA"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579C283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(0.0159)</w:t>
            </w:r>
          </w:p>
        </w:tc>
        <w:tc>
          <w:tcPr>
            <w:tcW w:w="874" w:type="pct"/>
            <w:tcBorders>
              <w:top w:val="nil"/>
              <w:left w:val="nil"/>
              <w:bottom w:val="nil"/>
              <w:right w:val="nil"/>
            </w:tcBorders>
          </w:tcPr>
          <w:p w14:paraId="1CBFA751"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7F828006"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4C766FD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76ACBF0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10FCEC2D" w14:textId="77777777">
        <w:trPr>
          <w:trHeight w:val="312"/>
          <w:jc w:val="center"/>
        </w:trPr>
        <w:tc>
          <w:tcPr>
            <w:tcW w:w="877" w:type="pct"/>
            <w:tcBorders>
              <w:top w:val="nil"/>
              <w:left w:val="nil"/>
              <w:bottom w:val="nil"/>
              <w:right w:val="nil"/>
            </w:tcBorders>
          </w:tcPr>
          <w:p w14:paraId="5D15AEF4"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ET_2016</w:t>
            </w:r>
          </w:p>
        </w:tc>
        <w:tc>
          <w:tcPr>
            <w:tcW w:w="874" w:type="pct"/>
            <w:tcBorders>
              <w:top w:val="nil"/>
              <w:left w:val="nil"/>
              <w:bottom w:val="nil"/>
              <w:right w:val="nil"/>
            </w:tcBorders>
          </w:tcPr>
          <w:p w14:paraId="23E5A367"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BBA7B5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-0.0169</w:t>
            </w:r>
          </w:p>
        </w:tc>
        <w:tc>
          <w:tcPr>
            <w:tcW w:w="725" w:type="pct"/>
            <w:tcBorders>
              <w:top w:val="nil"/>
              <w:left w:val="nil"/>
              <w:bottom w:val="nil"/>
              <w:right w:val="nil"/>
            </w:tcBorders>
          </w:tcPr>
          <w:p w14:paraId="7C197E2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90AADE8"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29BE9F95"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3D26FE7D" w14:textId="77777777">
        <w:trPr>
          <w:trHeight w:val="312"/>
          <w:jc w:val="center"/>
        </w:trPr>
        <w:tc>
          <w:tcPr>
            <w:tcW w:w="877" w:type="pct"/>
            <w:tcBorders>
              <w:top w:val="nil"/>
              <w:left w:val="nil"/>
              <w:bottom w:val="nil"/>
              <w:right w:val="nil"/>
            </w:tcBorders>
          </w:tcPr>
          <w:p w14:paraId="51FD340B"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79C25E96"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0B3A37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(0.0234)</w:t>
            </w:r>
          </w:p>
        </w:tc>
        <w:tc>
          <w:tcPr>
            <w:tcW w:w="725" w:type="pct"/>
            <w:tcBorders>
              <w:top w:val="nil"/>
              <w:left w:val="nil"/>
              <w:bottom w:val="nil"/>
              <w:right w:val="nil"/>
            </w:tcBorders>
          </w:tcPr>
          <w:p w14:paraId="7692F98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F7C7095"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63F806BA"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33E69C56" w14:textId="77777777">
        <w:trPr>
          <w:trHeight w:val="312"/>
          <w:jc w:val="center"/>
        </w:trPr>
        <w:tc>
          <w:tcPr>
            <w:tcW w:w="877" w:type="pct"/>
            <w:tcBorders>
              <w:top w:val="nil"/>
              <w:left w:val="nil"/>
              <w:bottom w:val="nil"/>
              <w:right w:val="nil"/>
            </w:tcBorders>
          </w:tcPr>
          <w:p w14:paraId="1BFDD0F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874" w:type="pct"/>
            <w:tcBorders>
              <w:top w:val="nil"/>
              <w:left w:val="nil"/>
              <w:bottom w:val="nil"/>
              <w:right w:val="nil"/>
            </w:tcBorders>
          </w:tcPr>
          <w:p w14:paraId="734729A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C15471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755981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0.0365**</w:t>
            </w:r>
          </w:p>
        </w:tc>
        <w:tc>
          <w:tcPr>
            <w:tcW w:w="874" w:type="pct"/>
            <w:tcBorders>
              <w:top w:val="nil"/>
              <w:left w:val="nil"/>
              <w:bottom w:val="nil"/>
              <w:right w:val="nil"/>
            </w:tcBorders>
          </w:tcPr>
          <w:p w14:paraId="19B7CC6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0.0402**</w:t>
            </w:r>
          </w:p>
        </w:tc>
        <w:tc>
          <w:tcPr>
            <w:tcW w:w="775" w:type="pct"/>
            <w:tcBorders>
              <w:top w:val="nil"/>
              <w:left w:val="nil"/>
              <w:bottom w:val="nil"/>
              <w:right w:val="nil"/>
            </w:tcBorders>
          </w:tcPr>
          <w:p w14:paraId="3B29211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0.2351</w:t>
            </w:r>
          </w:p>
        </w:tc>
      </w:tr>
      <w:tr w:rsidR="009C3784" w:rsidRPr="003C297B" w14:paraId="283C46E9" w14:textId="77777777">
        <w:trPr>
          <w:trHeight w:val="312"/>
          <w:jc w:val="center"/>
        </w:trPr>
        <w:tc>
          <w:tcPr>
            <w:tcW w:w="877" w:type="pct"/>
            <w:tcBorders>
              <w:top w:val="nil"/>
              <w:left w:val="nil"/>
              <w:bottom w:val="nil"/>
              <w:right w:val="nil"/>
            </w:tcBorders>
          </w:tcPr>
          <w:p w14:paraId="31085F31"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2938AD60"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E5FF5C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4265563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(0.0164)</w:t>
            </w:r>
          </w:p>
        </w:tc>
        <w:tc>
          <w:tcPr>
            <w:tcW w:w="874" w:type="pct"/>
            <w:tcBorders>
              <w:top w:val="nil"/>
              <w:left w:val="nil"/>
              <w:bottom w:val="nil"/>
              <w:right w:val="nil"/>
            </w:tcBorders>
          </w:tcPr>
          <w:p w14:paraId="44AA7F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(0.0166)</w:t>
            </w:r>
          </w:p>
        </w:tc>
        <w:tc>
          <w:tcPr>
            <w:tcW w:w="775" w:type="pct"/>
            <w:tcBorders>
              <w:top w:val="nil"/>
              <w:left w:val="nil"/>
              <w:bottom w:val="nil"/>
              <w:right w:val="nil"/>
            </w:tcBorders>
          </w:tcPr>
          <w:p w14:paraId="5BDC29CB"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(0.2314)</w:t>
            </w:r>
          </w:p>
        </w:tc>
      </w:tr>
      <w:tr w:rsidR="009C3784" w:rsidRPr="003C297B" w14:paraId="5E294AA4" w14:textId="77777777">
        <w:trPr>
          <w:trHeight w:val="312"/>
          <w:jc w:val="center"/>
        </w:trPr>
        <w:tc>
          <w:tcPr>
            <w:tcW w:w="877" w:type="pct"/>
            <w:tcBorders>
              <w:top w:val="nil"/>
              <w:left w:val="nil"/>
              <w:bottom w:val="nil"/>
              <w:right w:val="nil"/>
            </w:tcBorders>
          </w:tcPr>
          <w:p w14:paraId="2B791D48"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874" w:type="pct"/>
            <w:tcBorders>
              <w:top w:val="nil"/>
              <w:left w:val="nil"/>
              <w:bottom w:val="nil"/>
              <w:right w:val="nil"/>
            </w:tcBorders>
          </w:tcPr>
          <w:p w14:paraId="6065155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2.0613***</w:t>
            </w:r>
          </w:p>
        </w:tc>
        <w:tc>
          <w:tcPr>
            <w:tcW w:w="874" w:type="pct"/>
            <w:tcBorders>
              <w:top w:val="nil"/>
              <w:left w:val="nil"/>
              <w:bottom w:val="nil"/>
              <w:right w:val="nil"/>
            </w:tcBorders>
          </w:tcPr>
          <w:p w14:paraId="20EFAD2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1.8894***</w:t>
            </w:r>
          </w:p>
        </w:tc>
        <w:tc>
          <w:tcPr>
            <w:tcW w:w="725" w:type="pct"/>
            <w:tcBorders>
              <w:top w:val="nil"/>
              <w:left w:val="nil"/>
              <w:bottom w:val="nil"/>
              <w:right w:val="nil"/>
            </w:tcBorders>
          </w:tcPr>
          <w:p w14:paraId="25D36EA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2.1714***</w:t>
            </w:r>
          </w:p>
        </w:tc>
        <w:tc>
          <w:tcPr>
            <w:tcW w:w="874" w:type="pct"/>
            <w:tcBorders>
              <w:top w:val="nil"/>
              <w:left w:val="nil"/>
              <w:bottom w:val="nil"/>
              <w:right w:val="nil"/>
            </w:tcBorders>
          </w:tcPr>
          <w:p w14:paraId="3B48548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2.1215***</w:t>
            </w:r>
          </w:p>
        </w:tc>
        <w:tc>
          <w:tcPr>
            <w:tcW w:w="775" w:type="pct"/>
            <w:tcBorders>
              <w:top w:val="nil"/>
              <w:left w:val="nil"/>
              <w:bottom w:val="nil"/>
              <w:right w:val="nil"/>
            </w:tcBorders>
          </w:tcPr>
          <w:p w14:paraId="60DECB4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-3.0215***</w:t>
            </w:r>
          </w:p>
        </w:tc>
      </w:tr>
      <w:tr w:rsidR="009C3784" w:rsidRPr="003C297B" w14:paraId="647B7550" w14:textId="77777777">
        <w:trPr>
          <w:trHeight w:val="312"/>
          <w:jc w:val="center"/>
        </w:trPr>
        <w:tc>
          <w:tcPr>
            <w:tcW w:w="877" w:type="pct"/>
            <w:tcBorders>
              <w:top w:val="nil"/>
              <w:left w:val="nil"/>
              <w:bottom w:val="nil"/>
              <w:right w:val="nil"/>
            </w:tcBorders>
          </w:tcPr>
          <w:p w14:paraId="71216C56"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2A461BA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(0.6091)</w:t>
            </w:r>
          </w:p>
        </w:tc>
        <w:tc>
          <w:tcPr>
            <w:tcW w:w="874" w:type="pct"/>
            <w:tcBorders>
              <w:top w:val="nil"/>
              <w:left w:val="nil"/>
              <w:bottom w:val="nil"/>
              <w:right w:val="nil"/>
            </w:tcBorders>
          </w:tcPr>
          <w:p w14:paraId="5E9E90A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(0.5779)</w:t>
            </w:r>
          </w:p>
        </w:tc>
        <w:tc>
          <w:tcPr>
            <w:tcW w:w="725" w:type="pct"/>
            <w:tcBorders>
              <w:top w:val="nil"/>
              <w:left w:val="nil"/>
              <w:bottom w:val="nil"/>
              <w:right w:val="nil"/>
            </w:tcBorders>
          </w:tcPr>
          <w:p w14:paraId="04214EF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(0.5331)</w:t>
            </w:r>
          </w:p>
        </w:tc>
        <w:tc>
          <w:tcPr>
            <w:tcW w:w="874" w:type="pct"/>
            <w:tcBorders>
              <w:top w:val="nil"/>
              <w:left w:val="nil"/>
              <w:bottom w:val="nil"/>
              <w:right w:val="nil"/>
            </w:tcBorders>
          </w:tcPr>
          <w:p w14:paraId="0CDEEE7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(0.6621)</w:t>
            </w:r>
          </w:p>
        </w:tc>
        <w:tc>
          <w:tcPr>
            <w:tcW w:w="775" w:type="pct"/>
            <w:tcBorders>
              <w:top w:val="nil"/>
              <w:left w:val="nil"/>
              <w:bottom w:val="nil"/>
              <w:right w:val="nil"/>
            </w:tcBorders>
          </w:tcPr>
          <w:p w14:paraId="5F6FF0F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(1.0960)</w:t>
            </w:r>
          </w:p>
        </w:tc>
      </w:tr>
      <w:tr w:rsidR="009C3784" w:rsidRPr="003C297B" w14:paraId="48CDEC35" w14:textId="77777777">
        <w:trPr>
          <w:trHeight w:val="312"/>
          <w:jc w:val="center"/>
        </w:trPr>
        <w:tc>
          <w:tcPr>
            <w:tcW w:w="877" w:type="pct"/>
            <w:tcBorders>
              <w:top w:val="nil"/>
              <w:left w:val="nil"/>
              <w:bottom w:val="nil"/>
              <w:right w:val="nil"/>
            </w:tcBorders>
          </w:tcPr>
          <w:p w14:paraId="6F507280"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7C457CA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10CCF382"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1A6830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BFDF50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28AE7BB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7C3750C1" w14:textId="77777777">
        <w:trPr>
          <w:trHeight w:val="312"/>
          <w:jc w:val="center"/>
        </w:trPr>
        <w:tc>
          <w:tcPr>
            <w:tcW w:w="877" w:type="pct"/>
            <w:tcBorders>
              <w:top w:val="nil"/>
              <w:left w:val="nil"/>
              <w:bottom w:val="nil"/>
              <w:right w:val="nil"/>
            </w:tcBorders>
          </w:tcPr>
          <w:p w14:paraId="1EEB925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874" w:type="pct"/>
            <w:tcBorders>
              <w:top w:val="nil"/>
              <w:left w:val="nil"/>
              <w:bottom w:val="nil"/>
              <w:right w:val="nil"/>
            </w:tcBorders>
          </w:tcPr>
          <w:p w14:paraId="4E59A1F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874" w:type="pct"/>
            <w:tcBorders>
              <w:top w:val="nil"/>
              <w:left w:val="nil"/>
              <w:bottom w:val="nil"/>
              <w:right w:val="nil"/>
            </w:tcBorders>
          </w:tcPr>
          <w:p w14:paraId="5FA8625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2,788</w:t>
            </w:r>
          </w:p>
        </w:tc>
        <w:tc>
          <w:tcPr>
            <w:tcW w:w="725" w:type="pct"/>
            <w:tcBorders>
              <w:top w:val="nil"/>
              <w:left w:val="nil"/>
              <w:bottom w:val="nil"/>
              <w:right w:val="nil"/>
            </w:tcBorders>
          </w:tcPr>
          <w:p w14:paraId="59D09D7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1,941</w:t>
            </w:r>
          </w:p>
        </w:tc>
        <w:tc>
          <w:tcPr>
            <w:tcW w:w="874" w:type="pct"/>
            <w:tcBorders>
              <w:top w:val="nil"/>
              <w:left w:val="nil"/>
              <w:bottom w:val="nil"/>
              <w:right w:val="nil"/>
            </w:tcBorders>
          </w:tcPr>
          <w:p w14:paraId="333672A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1,995</w:t>
            </w:r>
          </w:p>
        </w:tc>
        <w:tc>
          <w:tcPr>
            <w:tcW w:w="775" w:type="pct"/>
            <w:tcBorders>
              <w:top w:val="nil"/>
              <w:left w:val="nil"/>
              <w:bottom w:val="nil"/>
              <w:right w:val="nil"/>
            </w:tcBorders>
          </w:tcPr>
          <w:p w14:paraId="4AD8DA3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r>
      <w:tr w:rsidR="009C3784" w:rsidRPr="003C297B" w14:paraId="6C3A1A6B" w14:textId="77777777">
        <w:trPr>
          <w:trHeight w:val="312"/>
          <w:jc w:val="center"/>
        </w:trPr>
        <w:tc>
          <w:tcPr>
            <w:tcW w:w="877" w:type="pct"/>
            <w:tcBorders>
              <w:top w:val="nil"/>
              <w:left w:val="nil"/>
              <w:bottom w:val="nil"/>
              <w:right w:val="nil"/>
            </w:tcBorders>
          </w:tcPr>
          <w:p w14:paraId="7121FCD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lastRenderedPageBreak/>
              <w:t>R-squared</w:t>
            </w:r>
          </w:p>
        </w:tc>
        <w:tc>
          <w:tcPr>
            <w:tcW w:w="874" w:type="pct"/>
            <w:tcBorders>
              <w:top w:val="nil"/>
              <w:left w:val="nil"/>
              <w:bottom w:val="nil"/>
              <w:right w:val="nil"/>
            </w:tcBorders>
          </w:tcPr>
          <w:p w14:paraId="3FEDA05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0.771</w:t>
            </w:r>
          </w:p>
        </w:tc>
        <w:tc>
          <w:tcPr>
            <w:tcW w:w="874" w:type="pct"/>
            <w:tcBorders>
              <w:top w:val="nil"/>
              <w:left w:val="nil"/>
              <w:bottom w:val="nil"/>
              <w:right w:val="nil"/>
            </w:tcBorders>
          </w:tcPr>
          <w:p w14:paraId="1A2D1A8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0.764</w:t>
            </w:r>
          </w:p>
        </w:tc>
        <w:tc>
          <w:tcPr>
            <w:tcW w:w="725" w:type="pct"/>
            <w:tcBorders>
              <w:top w:val="nil"/>
              <w:left w:val="nil"/>
              <w:bottom w:val="nil"/>
              <w:right w:val="nil"/>
            </w:tcBorders>
          </w:tcPr>
          <w:p w14:paraId="4F5F564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0.780</w:t>
            </w:r>
          </w:p>
        </w:tc>
        <w:tc>
          <w:tcPr>
            <w:tcW w:w="874" w:type="pct"/>
            <w:tcBorders>
              <w:top w:val="nil"/>
              <w:left w:val="nil"/>
              <w:bottom w:val="nil"/>
              <w:right w:val="nil"/>
            </w:tcBorders>
          </w:tcPr>
          <w:p w14:paraId="177CD1B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0.782</w:t>
            </w:r>
          </w:p>
        </w:tc>
        <w:tc>
          <w:tcPr>
            <w:tcW w:w="775" w:type="pct"/>
            <w:tcBorders>
              <w:top w:val="nil"/>
              <w:left w:val="nil"/>
              <w:bottom w:val="nil"/>
              <w:right w:val="nil"/>
            </w:tcBorders>
          </w:tcPr>
          <w:p w14:paraId="2A85DB48"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6BAA046E" w14:textId="77777777">
        <w:trPr>
          <w:trHeight w:val="312"/>
          <w:jc w:val="center"/>
        </w:trPr>
        <w:tc>
          <w:tcPr>
            <w:tcW w:w="877" w:type="pct"/>
            <w:tcBorders>
              <w:top w:val="nil"/>
              <w:left w:val="nil"/>
              <w:bottom w:val="nil"/>
              <w:right w:val="nil"/>
            </w:tcBorders>
          </w:tcPr>
          <w:p w14:paraId="0C145CB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rPr>
              <w:t>Pseudo R2</w:t>
            </w:r>
          </w:p>
        </w:tc>
        <w:tc>
          <w:tcPr>
            <w:tcW w:w="874" w:type="pct"/>
            <w:tcBorders>
              <w:top w:val="nil"/>
              <w:left w:val="nil"/>
              <w:bottom w:val="nil"/>
              <w:right w:val="nil"/>
            </w:tcBorders>
          </w:tcPr>
          <w:p w14:paraId="04362E1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2D936FD1"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0C356CA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895562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1417AF3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0.105</w:t>
            </w:r>
          </w:p>
        </w:tc>
      </w:tr>
      <w:tr w:rsidR="009C3784" w:rsidRPr="003C297B" w14:paraId="5A3B3BD8" w14:textId="77777777">
        <w:trPr>
          <w:trHeight w:val="312"/>
          <w:jc w:val="center"/>
        </w:trPr>
        <w:tc>
          <w:tcPr>
            <w:tcW w:w="877" w:type="pct"/>
            <w:tcBorders>
              <w:top w:val="nil"/>
              <w:left w:val="nil"/>
              <w:bottom w:val="nil"/>
              <w:right w:val="nil"/>
            </w:tcBorders>
          </w:tcPr>
          <w:p w14:paraId="7478F149"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874" w:type="pct"/>
            <w:tcBorders>
              <w:top w:val="nil"/>
              <w:left w:val="nil"/>
              <w:bottom w:val="nil"/>
              <w:right w:val="nil"/>
            </w:tcBorders>
          </w:tcPr>
          <w:p w14:paraId="5ECD6B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0994140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10D1231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423CEFD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36C90E6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B63F970" w14:textId="77777777">
        <w:trPr>
          <w:trHeight w:val="312"/>
          <w:jc w:val="center"/>
        </w:trPr>
        <w:tc>
          <w:tcPr>
            <w:tcW w:w="877" w:type="pct"/>
            <w:tcBorders>
              <w:top w:val="nil"/>
              <w:left w:val="nil"/>
              <w:bottom w:val="nil"/>
              <w:right w:val="nil"/>
            </w:tcBorders>
          </w:tcPr>
          <w:p w14:paraId="2D73BBEA"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874" w:type="pct"/>
            <w:tcBorders>
              <w:top w:val="nil"/>
              <w:left w:val="nil"/>
              <w:bottom w:val="nil"/>
              <w:right w:val="nil"/>
            </w:tcBorders>
          </w:tcPr>
          <w:p w14:paraId="4BFCCFC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3CBCFCD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393C5FE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5C3809AB"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6CD7BC6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10D8532B" w14:textId="77777777">
        <w:trPr>
          <w:trHeight w:val="312"/>
          <w:jc w:val="center"/>
        </w:trPr>
        <w:tc>
          <w:tcPr>
            <w:tcW w:w="877" w:type="pct"/>
            <w:tcBorders>
              <w:top w:val="nil"/>
              <w:left w:val="nil"/>
              <w:bottom w:val="nil"/>
              <w:right w:val="nil"/>
            </w:tcBorders>
          </w:tcPr>
          <w:p w14:paraId="356509B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874" w:type="pct"/>
            <w:tcBorders>
              <w:top w:val="nil"/>
              <w:left w:val="nil"/>
              <w:bottom w:val="nil"/>
              <w:right w:val="nil"/>
            </w:tcBorders>
          </w:tcPr>
          <w:p w14:paraId="00337F8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52AF94F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34F383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7D19176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46A3B15F"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441F3266" w14:textId="77777777">
        <w:trPr>
          <w:trHeight w:val="312"/>
          <w:jc w:val="center"/>
        </w:trPr>
        <w:tc>
          <w:tcPr>
            <w:tcW w:w="877" w:type="pct"/>
            <w:tcBorders>
              <w:top w:val="nil"/>
              <w:left w:val="nil"/>
              <w:bottom w:val="nil"/>
              <w:right w:val="nil"/>
            </w:tcBorders>
          </w:tcPr>
          <w:p w14:paraId="55FB614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874" w:type="pct"/>
            <w:tcBorders>
              <w:top w:val="nil"/>
              <w:left w:val="nil"/>
              <w:bottom w:val="nil"/>
              <w:right w:val="nil"/>
            </w:tcBorders>
          </w:tcPr>
          <w:p w14:paraId="27D0A82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0ACFD09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725" w:type="pct"/>
            <w:tcBorders>
              <w:top w:val="nil"/>
              <w:left w:val="nil"/>
              <w:bottom w:val="nil"/>
              <w:right w:val="nil"/>
            </w:tcBorders>
          </w:tcPr>
          <w:p w14:paraId="6180E97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2989938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1DEDBAA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4F6B00F8" w14:textId="77777777">
        <w:tblPrEx>
          <w:tblBorders>
            <w:bottom w:val="single" w:sz="6" w:space="0" w:color="auto"/>
          </w:tblBorders>
        </w:tblPrEx>
        <w:trPr>
          <w:trHeight w:val="312"/>
          <w:jc w:val="center"/>
        </w:trPr>
        <w:tc>
          <w:tcPr>
            <w:tcW w:w="877" w:type="pct"/>
            <w:tcBorders>
              <w:top w:val="nil"/>
              <w:left w:val="nil"/>
              <w:bottom w:val="single" w:sz="6" w:space="0" w:color="auto"/>
              <w:right w:val="nil"/>
            </w:tcBorders>
          </w:tcPr>
          <w:p w14:paraId="7BDD4BB1"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874" w:type="pct"/>
            <w:tcBorders>
              <w:top w:val="nil"/>
              <w:left w:val="nil"/>
              <w:bottom w:val="single" w:sz="6" w:space="0" w:color="auto"/>
              <w:right w:val="nil"/>
            </w:tcBorders>
          </w:tcPr>
          <w:p w14:paraId="73ADC0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single" w:sz="6" w:space="0" w:color="auto"/>
              <w:right w:val="nil"/>
            </w:tcBorders>
          </w:tcPr>
          <w:p w14:paraId="6BCF5F9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single" w:sz="6" w:space="0" w:color="auto"/>
              <w:right w:val="nil"/>
            </w:tcBorders>
          </w:tcPr>
          <w:p w14:paraId="0D9260A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single" w:sz="6" w:space="0" w:color="auto"/>
              <w:right w:val="nil"/>
            </w:tcBorders>
          </w:tcPr>
          <w:p w14:paraId="4392767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single" w:sz="6" w:space="0" w:color="auto"/>
              <w:right w:val="nil"/>
            </w:tcBorders>
          </w:tcPr>
          <w:p w14:paraId="64D80CA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571105CE"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6) </w:t>
      </w:r>
      <w:r w:rsidR="00D95DA7">
        <w:rPr>
          <w:rFonts w:ascii="Times New Roman" w:eastAsia="Microsoft YaHei" w:hAnsi="Times New Roman" w:cs="Times New Roman" w:hint="eastAsia"/>
          <w:sz w:val="22"/>
          <w:szCs w:val="24"/>
        </w:rPr>
        <w:t>Re-examination of identification conditions</w:t>
      </w:r>
    </w:p>
    <w:p w14:paraId="43189643" w14:textId="1A5FF2E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section used parallel trend tests and policy pre-selection methods to examine the randomness of the timing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's establishment. However, it did not consider whether the selection of heavily polluting industries was non-random. There might be a reverse causal relationship where industries with lower environmental performance are more likely to be selected as heavily polluting industries. To address this, this paper adopts the approach of </w:t>
      </w:r>
      <w:r w:rsidR="00AF0A74" w:rsidRPr="00AF0A74">
        <w:rPr>
          <w:rFonts w:ascii="Times New Roman" w:eastAsia="Microsoft YaHei" w:cs="SimSun" w:hint="eastAsia"/>
          <w:bCs/>
          <w:color w:val="000000"/>
          <w:kern w:val="0"/>
          <w:sz w:val="22"/>
          <w:szCs w:val="24"/>
        </w:rPr>
        <w:t>Hanna</w:t>
      </w:r>
      <w:r w:rsidR="00AF0A74">
        <w:rPr>
          <w:rFonts w:ascii="Times New Roman" w:eastAsia="Microsoft YaHei" w:cs="SimSun" w:hint="eastAsia"/>
          <w:bCs/>
          <w:color w:val="000000"/>
          <w:kern w:val="0"/>
          <w:sz w:val="22"/>
          <w:szCs w:val="24"/>
        </w:rPr>
        <w:t xml:space="preserve"> (2015)</w:t>
      </w:r>
      <w:r>
        <w:rPr>
          <w:rFonts w:ascii="Times New Roman" w:eastAsia="Microsoft YaHei" w:hAnsi="Times New Roman" w:cs="Times New Roman" w:hint="eastAsia"/>
          <w:sz w:val="22"/>
          <w:szCs w:val="24"/>
        </w:rPr>
        <w:t xml:space="preserve"> and constructs a Logit model to estimate the probability of an industry being selected as a heavily polluting industry. The core explanatory variable in the logit model is whether the industry is a heavily polluting industry (pul), while environmental performance (EP) and the control variables selected earlier are used as explanatory variables. The regression results in the fifth column of Table 5 show that the regression coefficient of environmental performance is not significant, indicating that environmental performance levels do not influence the selection of heavily polluting industries in this study, suggesting no non-randomness in industry selection.</w:t>
      </w:r>
    </w:p>
    <w:p w14:paraId="21496DCC"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7) </w:t>
      </w:r>
      <w:r w:rsidR="00D95DA7">
        <w:rPr>
          <w:rFonts w:ascii="Times New Roman" w:eastAsia="Microsoft YaHei" w:hAnsi="Times New Roman" w:cs="Times New Roman" w:hint="eastAsia"/>
          <w:sz w:val="22"/>
          <w:szCs w:val="24"/>
        </w:rPr>
        <w:t>Placebo test</w:t>
      </w:r>
    </w:p>
    <w:p w14:paraId="1905DC5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grouping of the experimental and control groups may be influenced by other random factors, necessitating a placebo test to enhance the robustness of the article's results. All enterprises were randomly reselected, with 1000 random samples repeated. Figure 2 presents the kernel density plot and p-value distribution of the regression coefficients under the placebo test. The regression results show that the mean of the estimated coefficients under the random process is close to 0, and most p-values are above 0.1. The actual estimated coefficients of the benchmark regression ET in this study fall within the range of small probability events on the kernel density plot of the placebo test, indicating that the true estimates in this study are empirically robust.</w:t>
      </w:r>
    </w:p>
    <w:p w14:paraId="10E2B60C" w14:textId="77777777" w:rsidR="009C3784" w:rsidRDefault="00D95DA7">
      <w:pPr>
        <w:ind w:firstLine="440"/>
        <w:jc w:val="center"/>
        <w:rPr>
          <w:rFonts w:ascii="Times New Roman" w:eastAsia="SimSun" w:hAnsi="Times New Roman" w:cs="Times New Roman"/>
          <w:sz w:val="24"/>
          <w:szCs w:val="24"/>
        </w:rPr>
      </w:pPr>
      <w:r>
        <w:rPr>
          <w:rFonts w:ascii="Times New Roman" w:eastAsia="SimSun" w:hAnsi="Times New Roman" w:cs="Times New Roman"/>
          <w:noProof/>
        </w:rPr>
        <w:drawing>
          <wp:inline distT="0" distB="0" distL="0" distR="0" wp14:anchorId="054B4CDF" wp14:editId="34D0AF79">
            <wp:extent cx="3657600" cy="2617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715273" cy="2659053"/>
                    </a:xfrm>
                    <a:prstGeom prst="rect">
                      <a:avLst/>
                    </a:prstGeom>
                  </pic:spPr>
                </pic:pic>
              </a:graphicData>
            </a:graphic>
          </wp:inline>
        </w:drawing>
      </w:r>
    </w:p>
    <w:p w14:paraId="646EA5ED"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Figure 2 Placebo test</w:t>
      </w:r>
    </w:p>
    <w:p w14:paraId="03E05E73" w14:textId="77777777" w:rsidR="009C3784" w:rsidRDefault="00D95DA7">
      <w:pPr>
        <w:pStyle w:val="Heading1"/>
        <w:rPr>
          <w:sz w:val="24"/>
          <w:szCs w:val="24"/>
        </w:rPr>
      </w:pPr>
      <w:r>
        <w:rPr>
          <w:rFonts w:ascii="Times New Roman" w:eastAsia="Microsoft YaHei" w:hint="eastAsia"/>
          <w:sz w:val="24"/>
          <w:szCs w:val="24"/>
        </w:rPr>
        <w:lastRenderedPageBreak/>
        <w:t>6. Heterogeneity analysis and mechanism test</w:t>
      </w:r>
    </w:p>
    <w:p w14:paraId="51942417"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6.1Heterogeneity analysis</w:t>
      </w:r>
    </w:p>
    <w:p w14:paraId="3B3956AE" w14:textId="70407A5D" w:rsidR="007C10D5" w:rsidRDefault="00D95DA7" w:rsidP="007C10D5">
      <w:pPr>
        <w:ind w:firstLineChars="200" w:firstLine="440"/>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 xml:space="preserve">The above research mainly discusses the average treatment effect of environmental protection policies. However, for subjects with different characteristics, it is difficult to have the same effect of policies considering the influence of factors such as product production cycle and differences in production factors. Therefore, it is necessary to discuss the asymmetric effect of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on subjects with different characteristics from the perspective of heterogeneity.</w:t>
      </w:r>
    </w:p>
    <w:p w14:paraId="4FCD62D3" w14:textId="11624F99" w:rsidR="009C3784" w:rsidRDefault="003C297B">
      <w:pPr>
        <w:ind w:firstLineChars="200" w:firstLine="440"/>
        <w:rPr>
          <w:rFonts w:ascii="Times New Roman" w:eastAsia="SimSun" w:hAnsi="Times New Roman" w:cs="Times New Roman"/>
          <w:sz w:val="22"/>
          <w:szCs w:val="24"/>
        </w:rPr>
      </w:pPr>
      <w:r>
        <w:rPr>
          <w:rFonts w:ascii="Times New Roman" w:eastAsia="Microsoft YaHei" w:hAnsi="Times New Roman" w:cs="Times New Roman"/>
          <w:sz w:val="22"/>
          <w:szCs w:val="24"/>
        </w:rPr>
        <w:t xml:space="preserve"> </w:t>
      </w:r>
      <w:r w:rsidR="007C10D5">
        <w:rPr>
          <w:rFonts w:ascii="Times New Roman" w:eastAsia="Microsoft YaHei" w:hAnsi="Times New Roman" w:cs="Times New Roman"/>
          <w:sz w:val="22"/>
          <w:szCs w:val="24"/>
        </w:rPr>
        <w:t xml:space="preserve">(1) </w:t>
      </w:r>
      <w:r w:rsidR="00D95DA7">
        <w:rPr>
          <w:rFonts w:ascii="Times New Roman" w:eastAsia="Microsoft YaHei" w:hAnsi="Times New Roman" w:cs="Times New Roman" w:hint="eastAsia"/>
          <w:sz w:val="22"/>
          <w:szCs w:val="24"/>
        </w:rPr>
        <w:t>Heterogeneity of financing constraints: "strengthening" or "weakening"?</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As the demands for sustainable development become increasingly stringent, the business philosophies of enterprises have undergone profound changes. With the increasing number of ecological, environmental, social, and economic issues, environmentally friendly investments are becoming an essential requirement. Given the current investment environment, the capital market is increasingly focusing on a company's ability to sustainably develop, leading to significant changes in external financing channels. The conflict between financing constraints and free cash flow has also intensified. Does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have different policy effects for companies with varying financing constraints? This paper employs three methods to measure financing constraints, constructing the WW index, KZ index, and SA index, to analyze the differential policy effects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under heterogeneous financing constraints. The regression results in Table 6 show that companies with high financing constraints benefit more from the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as evidenced by higher significance and coefficients. This may be because companies with high financing constraints face strong environmental regulation pressures. Without the motivation to rectify environmental issues, they might exacerbate their own operational difficulties, leading to poor economic outcomes. Therefore, in the face of the institutional pressure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companies with high financing constraints are more likely to rectify their operations, which is reflected in a significant improvement in their environmental performance.</w:t>
      </w:r>
    </w:p>
    <w:p w14:paraId="15551DA9"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6 Heterogeneity of financing constraints, "strengthening" or "weakening"?</w:t>
      </w:r>
    </w:p>
    <w:tbl>
      <w:tblPr>
        <w:tblW w:w="10011" w:type="dxa"/>
        <w:jc w:val="center"/>
        <w:tblLayout w:type="fixed"/>
        <w:tblCellMar>
          <w:left w:w="75" w:type="dxa"/>
          <w:right w:w="75" w:type="dxa"/>
        </w:tblCellMar>
        <w:tblLook w:val="04A0" w:firstRow="1" w:lastRow="0" w:firstColumn="1" w:lastColumn="0" w:noHBand="0" w:noVBand="1"/>
      </w:tblPr>
      <w:tblGrid>
        <w:gridCol w:w="1947"/>
        <w:gridCol w:w="1296"/>
        <w:gridCol w:w="1440"/>
        <w:gridCol w:w="1296"/>
        <w:gridCol w:w="1296"/>
        <w:gridCol w:w="1440"/>
        <w:gridCol w:w="1296"/>
      </w:tblGrid>
      <w:tr w:rsidR="009C3784" w14:paraId="2668607F" w14:textId="77777777">
        <w:trPr>
          <w:jc w:val="center"/>
        </w:trPr>
        <w:tc>
          <w:tcPr>
            <w:tcW w:w="1947" w:type="dxa"/>
            <w:tcBorders>
              <w:top w:val="single" w:sz="6" w:space="0" w:color="auto"/>
              <w:left w:val="nil"/>
              <w:bottom w:val="nil"/>
              <w:right w:val="nil"/>
            </w:tcBorders>
          </w:tcPr>
          <w:p w14:paraId="7D5F8A2C"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2736" w:type="dxa"/>
            <w:gridSpan w:val="2"/>
            <w:tcBorders>
              <w:top w:val="single" w:sz="6" w:space="0" w:color="auto"/>
              <w:left w:val="nil"/>
              <w:bottom w:val="nil"/>
              <w:right w:val="nil"/>
            </w:tcBorders>
          </w:tcPr>
          <w:p w14:paraId="5544B98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WW index number </w:t>
            </w:r>
          </w:p>
        </w:tc>
        <w:tc>
          <w:tcPr>
            <w:tcW w:w="2592" w:type="dxa"/>
            <w:gridSpan w:val="2"/>
            <w:tcBorders>
              <w:top w:val="single" w:sz="6" w:space="0" w:color="auto"/>
              <w:left w:val="nil"/>
              <w:bottom w:val="nil"/>
              <w:right w:val="nil"/>
            </w:tcBorders>
          </w:tcPr>
          <w:p w14:paraId="488DB66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KZ index number </w:t>
            </w:r>
          </w:p>
        </w:tc>
        <w:tc>
          <w:tcPr>
            <w:tcW w:w="2736" w:type="dxa"/>
            <w:gridSpan w:val="2"/>
            <w:tcBorders>
              <w:top w:val="single" w:sz="6" w:space="0" w:color="auto"/>
              <w:left w:val="nil"/>
              <w:bottom w:val="nil"/>
              <w:right w:val="nil"/>
            </w:tcBorders>
          </w:tcPr>
          <w:p w14:paraId="7F9C334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SA index number </w:t>
            </w:r>
          </w:p>
        </w:tc>
      </w:tr>
      <w:tr w:rsidR="009C3784" w14:paraId="123D2FC7" w14:textId="77777777">
        <w:trPr>
          <w:jc w:val="center"/>
        </w:trPr>
        <w:tc>
          <w:tcPr>
            <w:tcW w:w="1947" w:type="dxa"/>
            <w:tcBorders>
              <w:top w:val="nil"/>
              <w:left w:val="nil"/>
              <w:bottom w:val="single" w:sz="6" w:space="0" w:color="auto"/>
              <w:right w:val="nil"/>
            </w:tcBorders>
          </w:tcPr>
          <w:p w14:paraId="0D4AAE0C"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single" w:sz="6" w:space="0" w:color="auto"/>
              <w:right w:val="nil"/>
            </w:tcBorders>
          </w:tcPr>
          <w:p w14:paraId="0503C7E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440" w:type="dxa"/>
            <w:tcBorders>
              <w:top w:val="nil"/>
              <w:left w:val="nil"/>
              <w:bottom w:val="single" w:sz="6" w:space="0" w:color="auto"/>
              <w:right w:val="nil"/>
            </w:tcBorders>
          </w:tcPr>
          <w:p w14:paraId="7D18653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296" w:type="dxa"/>
            <w:tcBorders>
              <w:top w:val="nil"/>
              <w:left w:val="nil"/>
              <w:bottom w:val="single" w:sz="6" w:space="0" w:color="auto"/>
              <w:right w:val="nil"/>
            </w:tcBorders>
          </w:tcPr>
          <w:p w14:paraId="2BF0FF8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296" w:type="dxa"/>
            <w:tcBorders>
              <w:top w:val="nil"/>
              <w:left w:val="nil"/>
              <w:bottom w:val="single" w:sz="6" w:space="0" w:color="auto"/>
              <w:right w:val="nil"/>
            </w:tcBorders>
          </w:tcPr>
          <w:p w14:paraId="578879C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440" w:type="dxa"/>
            <w:tcBorders>
              <w:top w:val="nil"/>
              <w:left w:val="nil"/>
              <w:bottom w:val="single" w:sz="6" w:space="0" w:color="auto"/>
              <w:right w:val="nil"/>
            </w:tcBorders>
          </w:tcPr>
          <w:p w14:paraId="29B55C1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296" w:type="dxa"/>
            <w:tcBorders>
              <w:top w:val="nil"/>
              <w:left w:val="nil"/>
              <w:bottom w:val="single" w:sz="6" w:space="0" w:color="auto"/>
              <w:right w:val="nil"/>
            </w:tcBorders>
          </w:tcPr>
          <w:p w14:paraId="2D9A445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r>
      <w:tr w:rsidR="009C3784" w14:paraId="744D1E1A" w14:textId="77777777">
        <w:trPr>
          <w:jc w:val="center"/>
        </w:trPr>
        <w:tc>
          <w:tcPr>
            <w:tcW w:w="1947" w:type="dxa"/>
            <w:tcBorders>
              <w:top w:val="nil"/>
              <w:left w:val="nil"/>
              <w:bottom w:val="nil"/>
              <w:right w:val="nil"/>
            </w:tcBorders>
          </w:tcPr>
          <w:p w14:paraId="505E9B2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ET</w:t>
            </w:r>
          </w:p>
        </w:tc>
        <w:tc>
          <w:tcPr>
            <w:tcW w:w="1296" w:type="dxa"/>
            <w:tcBorders>
              <w:top w:val="nil"/>
              <w:left w:val="nil"/>
              <w:bottom w:val="nil"/>
              <w:right w:val="nil"/>
            </w:tcBorders>
          </w:tcPr>
          <w:p w14:paraId="58738B1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0.0323</w:t>
            </w:r>
          </w:p>
        </w:tc>
        <w:tc>
          <w:tcPr>
            <w:tcW w:w="1440" w:type="dxa"/>
            <w:tcBorders>
              <w:top w:val="nil"/>
              <w:left w:val="nil"/>
              <w:bottom w:val="nil"/>
              <w:right w:val="nil"/>
            </w:tcBorders>
          </w:tcPr>
          <w:p w14:paraId="63AC2D0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0.0393**</w:t>
            </w:r>
          </w:p>
        </w:tc>
        <w:tc>
          <w:tcPr>
            <w:tcW w:w="1296" w:type="dxa"/>
            <w:tcBorders>
              <w:top w:val="nil"/>
              <w:left w:val="nil"/>
              <w:bottom w:val="nil"/>
              <w:right w:val="nil"/>
            </w:tcBorders>
          </w:tcPr>
          <w:p w14:paraId="5F4925E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0.0291</w:t>
            </w:r>
          </w:p>
        </w:tc>
        <w:tc>
          <w:tcPr>
            <w:tcW w:w="1296" w:type="dxa"/>
            <w:tcBorders>
              <w:top w:val="nil"/>
              <w:left w:val="nil"/>
              <w:bottom w:val="nil"/>
              <w:right w:val="nil"/>
            </w:tcBorders>
          </w:tcPr>
          <w:p w14:paraId="1441365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0.0497**</w:t>
            </w:r>
          </w:p>
        </w:tc>
        <w:tc>
          <w:tcPr>
            <w:tcW w:w="1440" w:type="dxa"/>
            <w:tcBorders>
              <w:top w:val="nil"/>
              <w:left w:val="nil"/>
              <w:bottom w:val="nil"/>
              <w:right w:val="nil"/>
            </w:tcBorders>
          </w:tcPr>
          <w:p w14:paraId="24CE6C6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0.0311</w:t>
            </w:r>
          </w:p>
        </w:tc>
        <w:tc>
          <w:tcPr>
            <w:tcW w:w="1296" w:type="dxa"/>
            <w:tcBorders>
              <w:top w:val="nil"/>
              <w:left w:val="nil"/>
              <w:bottom w:val="nil"/>
              <w:right w:val="nil"/>
            </w:tcBorders>
          </w:tcPr>
          <w:p w14:paraId="1E21086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0.0387*</w:t>
            </w:r>
          </w:p>
        </w:tc>
      </w:tr>
      <w:tr w:rsidR="009C3784" w14:paraId="479DA606" w14:textId="77777777">
        <w:trPr>
          <w:jc w:val="center"/>
        </w:trPr>
        <w:tc>
          <w:tcPr>
            <w:tcW w:w="1947" w:type="dxa"/>
            <w:tcBorders>
              <w:top w:val="nil"/>
              <w:left w:val="nil"/>
              <w:bottom w:val="nil"/>
              <w:right w:val="nil"/>
            </w:tcBorders>
          </w:tcPr>
          <w:p w14:paraId="4D88C9D9"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nil"/>
              <w:right w:val="nil"/>
            </w:tcBorders>
          </w:tcPr>
          <w:p w14:paraId="13B4742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(0.0239)</w:t>
            </w:r>
          </w:p>
        </w:tc>
        <w:tc>
          <w:tcPr>
            <w:tcW w:w="1440" w:type="dxa"/>
            <w:tcBorders>
              <w:top w:val="nil"/>
              <w:left w:val="nil"/>
              <w:bottom w:val="nil"/>
              <w:right w:val="nil"/>
            </w:tcBorders>
          </w:tcPr>
          <w:p w14:paraId="0CD8F2B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(0.0195)</w:t>
            </w:r>
          </w:p>
        </w:tc>
        <w:tc>
          <w:tcPr>
            <w:tcW w:w="1296" w:type="dxa"/>
            <w:tcBorders>
              <w:top w:val="nil"/>
              <w:left w:val="nil"/>
              <w:bottom w:val="nil"/>
              <w:right w:val="nil"/>
            </w:tcBorders>
          </w:tcPr>
          <w:p w14:paraId="79E3CAD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(0.0205)</w:t>
            </w:r>
          </w:p>
        </w:tc>
        <w:tc>
          <w:tcPr>
            <w:tcW w:w="1296" w:type="dxa"/>
            <w:tcBorders>
              <w:top w:val="nil"/>
              <w:left w:val="nil"/>
              <w:bottom w:val="nil"/>
              <w:right w:val="nil"/>
            </w:tcBorders>
          </w:tcPr>
          <w:p w14:paraId="32EA7A9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(0.0244)</w:t>
            </w:r>
          </w:p>
        </w:tc>
        <w:tc>
          <w:tcPr>
            <w:tcW w:w="1440" w:type="dxa"/>
            <w:tcBorders>
              <w:top w:val="nil"/>
              <w:left w:val="nil"/>
              <w:bottom w:val="nil"/>
              <w:right w:val="nil"/>
            </w:tcBorders>
          </w:tcPr>
          <w:p w14:paraId="686CF74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(0.0211)</w:t>
            </w:r>
          </w:p>
        </w:tc>
        <w:tc>
          <w:tcPr>
            <w:tcW w:w="1296" w:type="dxa"/>
            <w:tcBorders>
              <w:top w:val="nil"/>
              <w:left w:val="nil"/>
              <w:bottom w:val="nil"/>
              <w:right w:val="nil"/>
            </w:tcBorders>
          </w:tcPr>
          <w:p w14:paraId="37580AA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(0.0205)</w:t>
            </w:r>
          </w:p>
        </w:tc>
      </w:tr>
      <w:tr w:rsidR="009C3784" w14:paraId="013986E0" w14:textId="77777777">
        <w:trPr>
          <w:jc w:val="center"/>
        </w:trPr>
        <w:tc>
          <w:tcPr>
            <w:tcW w:w="1947" w:type="dxa"/>
            <w:tcBorders>
              <w:top w:val="nil"/>
              <w:left w:val="nil"/>
              <w:bottom w:val="nil"/>
              <w:right w:val="nil"/>
            </w:tcBorders>
          </w:tcPr>
          <w:p w14:paraId="05F7099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Constant</w:t>
            </w:r>
          </w:p>
        </w:tc>
        <w:tc>
          <w:tcPr>
            <w:tcW w:w="1296" w:type="dxa"/>
            <w:tcBorders>
              <w:top w:val="nil"/>
              <w:left w:val="nil"/>
              <w:bottom w:val="nil"/>
              <w:right w:val="nil"/>
            </w:tcBorders>
          </w:tcPr>
          <w:p w14:paraId="71380F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2.1627</w:t>
            </w:r>
          </w:p>
        </w:tc>
        <w:tc>
          <w:tcPr>
            <w:tcW w:w="1440" w:type="dxa"/>
            <w:tcBorders>
              <w:top w:val="nil"/>
              <w:left w:val="nil"/>
              <w:bottom w:val="nil"/>
              <w:right w:val="nil"/>
            </w:tcBorders>
          </w:tcPr>
          <w:p w14:paraId="0EA8D84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2.8827***</w:t>
            </w:r>
          </w:p>
        </w:tc>
        <w:tc>
          <w:tcPr>
            <w:tcW w:w="1296" w:type="dxa"/>
            <w:tcBorders>
              <w:top w:val="nil"/>
              <w:left w:val="nil"/>
              <w:bottom w:val="nil"/>
              <w:right w:val="nil"/>
            </w:tcBorders>
          </w:tcPr>
          <w:p w14:paraId="7E7CEDE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2.6152**</w:t>
            </w:r>
          </w:p>
        </w:tc>
        <w:tc>
          <w:tcPr>
            <w:tcW w:w="1296" w:type="dxa"/>
            <w:tcBorders>
              <w:top w:val="nil"/>
              <w:left w:val="nil"/>
              <w:bottom w:val="nil"/>
              <w:right w:val="nil"/>
            </w:tcBorders>
          </w:tcPr>
          <w:p w14:paraId="19BEE0C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1.9590**</w:t>
            </w:r>
          </w:p>
        </w:tc>
        <w:tc>
          <w:tcPr>
            <w:tcW w:w="1440" w:type="dxa"/>
            <w:tcBorders>
              <w:top w:val="nil"/>
              <w:left w:val="nil"/>
              <w:bottom w:val="nil"/>
              <w:right w:val="nil"/>
            </w:tcBorders>
          </w:tcPr>
          <w:p w14:paraId="4AC1041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2.1041***</w:t>
            </w:r>
          </w:p>
        </w:tc>
        <w:tc>
          <w:tcPr>
            <w:tcW w:w="1296" w:type="dxa"/>
            <w:tcBorders>
              <w:top w:val="nil"/>
              <w:left w:val="nil"/>
              <w:bottom w:val="nil"/>
              <w:right w:val="nil"/>
            </w:tcBorders>
          </w:tcPr>
          <w:p w14:paraId="69C68DC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2.3648**</w:t>
            </w:r>
          </w:p>
        </w:tc>
      </w:tr>
      <w:tr w:rsidR="009C3784" w14:paraId="011A0399" w14:textId="77777777">
        <w:trPr>
          <w:jc w:val="center"/>
        </w:trPr>
        <w:tc>
          <w:tcPr>
            <w:tcW w:w="1947" w:type="dxa"/>
            <w:tcBorders>
              <w:top w:val="nil"/>
              <w:left w:val="nil"/>
              <w:bottom w:val="nil"/>
              <w:right w:val="nil"/>
            </w:tcBorders>
          </w:tcPr>
          <w:p w14:paraId="16F7FDB8"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nil"/>
              <w:right w:val="nil"/>
            </w:tcBorders>
          </w:tcPr>
          <w:p w14:paraId="42CD34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(1.4357)</w:t>
            </w:r>
          </w:p>
        </w:tc>
        <w:tc>
          <w:tcPr>
            <w:tcW w:w="1440" w:type="dxa"/>
            <w:tcBorders>
              <w:top w:val="nil"/>
              <w:left w:val="nil"/>
              <w:bottom w:val="nil"/>
              <w:right w:val="nil"/>
            </w:tcBorders>
          </w:tcPr>
          <w:p w14:paraId="555531A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(0.7510)</w:t>
            </w:r>
          </w:p>
        </w:tc>
        <w:tc>
          <w:tcPr>
            <w:tcW w:w="1296" w:type="dxa"/>
            <w:tcBorders>
              <w:top w:val="nil"/>
              <w:left w:val="nil"/>
              <w:bottom w:val="nil"/>
              <w:right w:val="nil"/>
            </w:tcBorders>
          </w:tcPr>
          <w:p w14:paraId="405FF35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(0.9834)</w:t>
            </w:r>
          </w:p>
        </w:tc>
        <w:tc>
          <w:tcPr>
            <w:tcW w:w="1296" w:type="dxa"/>
            <w:tcBorders>
              <w:top w:val="nil"/>
              <w:left w:val="nil"/>
              <w:bottom w:val="nil"/>
              <w:right w:val="nil"/>
            </w:tcBorders>
          </w:tcPr>
          <w:p w14:paraId="3C08537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(0.8853)</w:t>
            </w:r>
          </w:p>
        </w:tc>
        <w:tc>
          <w:tcPr>
            <w:tcW w:w="1440" w:type="dxa"/>
            <w:tcBorders>
              <w:top w:val="nil"/>
              <w:left w:val="nil"/>
              <w:bottom w:val="nil"/>
              <w:right w:val="nil"/>
            </w:tcBorders>
          </w:tcPr>
          <w:p w14:paraId="2676A87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(0.6403)</w:t>
            </w:r>
          </w:p>
        </w:tc>
        <w:tc>
          <w:tcPr>
            <w:tcW w:w="1296" w:type="dxa"/>
            <w:tcBorders>
              <w:top w:val="nil"/>
              <w:left w:val="nil"/>
              <w:bottom w:val="nil"/>
              <w:right w:val="nil"/>
            </w:tcBorders>
          </w:tcPr>
          <w:p w14:paraId="3128B0F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(1.0469)</w:t>
            </w:r>
          </w:p>
        </w:tc>
      </w:tr>
      <w:tr w:rsidR="009C3784" w14:paraId="6D3E4E09" w14:textId="77777777">
        <w:trPr>
          <w:jc w:val="center"/>
        </w:trPr>
        <w:tc>
          <w:tcPr>
            <w:tcW w:w="1947" w:type="dxa"/>
            <w:tcBorders>
              <w:top w:val="nil"/>
              <w:left w:val="nil"/>
              <w:bottom w:val="nil"/>
              <w:right w:val="nil"/>
            </w:tcBorders>
          </w:tcPr>
          <w:p w14:paraId="5E08AE77"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Observations</w:t>
            </w:r>
          </w:p>
        </w:tc>
        <w:tc>
          <w:tcPr>
            <w:tcW w:w="1296" w:type="dxa"/>
            <w:tcBorders>
              <w:top w:val="nil"/>
              <w:left w:val="nil"/>
              <w:bottom w:val="nil"/>
              <w:right w:val="nil"/>
            </w:tcBorders>
          </w:tcPr>
          <w:p w14:paraId="0E19F9A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966</w:t>
            </w:r>
          </w:p>
        </w:tc>
        <w:tc>
          <w:tcPr>
            <w:tcW w:w="1440" w:type="dxa"/>
            <w:tcBorders>
              <w:top w:val="nil"/>
              <w:left w:val="nil"/>
              <w:bottom w:val="nil"/>
              <w:right w:val="nil"/>
            </w:tcBorders>
          </w:tcPr>
          <w:p w14:paraId="158C3D1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1,497</w:t>
            </w:r>
          </w:p>
        </w:tc>
        <w:tc>
          <w:tcPr>
            <w:tcW w:w="1296" w:type="dxa"/>
            <w:tcBorders>
              <w:top w:val="nil"/>
              <w:left w:val="nil"/>
              <w:bottom w:val="nil"/>
              <w:right w:val="nil"/>
            </w:tcBorders>
          </w:tcPr>
          <w:p w14:paraId="40113E2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1,181</w:t>
            </w:r>
          </w:p>
        </w:tc>
        <w:tc>
          <w:tcPr>
            <w:tcW w:w="1296" w:type="dxa"/>
            <w:tcBorders>
              <w:top w:val="nil"/>
              <w:left w:val="nil"/>
              <w:bottom w:val="nil"/>
              <w:right w:val="nil"/>
            </w:tcBorders>
          </w:tcPr>
          <w:p w14:paraId="708A35F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1,229</w:t>
            </w:r>
          </w:p>
        </w:tc>
        <w:tc>
          <w:tcPr>
            <w:tcW w:w="1440" w:type="dxa"/>
            <w:tcBorders>
              <w:top w:val="nil"/>
              <w:left w:val="nil"/>
              <w:bottom w:val="nil"/>
              <w:right w:val="nil"/>
            </w:tcBorders>
          </w:tcPr>
          <w:p w14:paraId="0145D9E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1,377</w:t>
            </w:r>
          </w:p>
        </w:tc>
        <w:tc>
          <w:tcPr>
            <w:tcW w:w="1296" w:type="dxa"/>
            <w:tcBorders>
              <w:top w:val="nil"/>
              <w:left w:val="nil"/>
              <w:bottom w:val="nil"/>
              <w:right w:val="nil"/>
            </w:tcBorders>
          </w:tcPr>
          <w:p w14:paraId="6FC4D57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1,347</w:t>
            </w:r>
          </w:p>
        </w:tc>
      </w:tr>
      <w:tr w:rsidR="009C3784" w14:paraId="1A8410BC" w14:textId="77777777">
        <w:trPr>
          <w:jc w:val="center"/>
        </w:trPr>
        <w:tc>
          <w:tcPr>
            <w:tcW w:w="1947" w:type="dxa"/>
            <w:tcBorders>
              <w:top w:val="nil"/>
              <w:left w:val="nil"/>
              <w:bottom w:val="nil"/>
              <w:right w:val="nil"/>
            </w:tcBorders>
          </w:tcPr>
          <w:p w14:paraId="0A4494CD"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R-squared</w:t>
            </w:r>
          </w:p>
        </w:tc>
        <w:tc>
          <w:tcPr>
            <w:tcW w:w="1296" w:type="dxa"/>
            <w:tcBorders>
              <w:top w:val="nil"/>
              <w:left w:val="nil"/>
              <w:bottom w:val="nil"/>
              <w:right w:val="nil"/>
            </w:tcBorders>
          </w:tcPr>
          <w:p w14:paraId="040D34B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0.798</w:t>
            </w:r>
          </w:p>
        </w:tc>
        <w:tc>
          <w:tcPr>
            <w:tcW w:w="1440" w:type="dxa"/>
            <w:tcBorders>
              <w:top w:val="nil"/>
              <w:left w:val="nil"/>
              <w:bottom w:val="nil"/>
              <w:right w:val="nil"/>
            </w:tcBorders>
          </w:tcPr>
          <w:p w14:paraId="09AD46A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0.782</w:t>
            </w:r>
          </w:p>
        </w:tc>
        <w:tc>
          <w:tcPr>
            <w:tcW w:w="1296" w:type="dxa"/>
            <w:tcBorders>
              <w:top w:val="nil"/>
              <w:left w:val="nil"/>
              <w:bottom w:val="nil"/>
              <w:right w:val="nil"/>
            </w:tcBorders>
          </w:tcPr>
          <w:p w14:paraId="577D12A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0.803</w:t>
            </w:r>
          </w:p>
        </w:tc>
        <w:tc>
          <w:tcPr>
            <w:tcW w:w="1296" w:type="dxa"/>
            <w:tcBorders>
              <w:top w:val="nil"/>
              <w:left w:val="nil"/>
              <w:bottom w:val="nil"/>
              <w:right w:val="nil"/>
            </w:tcBorders>
          </w:tcPr>
          <w:p w14:paraId="7442105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0.781</w:t>
            </w:r>
          </w:p>
        </w:tc>
        <w:tc>
          <w:tcPr>
            <w:tcW w:w="1440" w:type="dxa"/>
            <w:tcBorders>
              <w:top w:val="nil"/>
              <w:left w:val="nil"/>
              <w:bottom w:val="nil"/>
              <w:right w:val="nil"/>
            </w:tcBorders>
          </w:tcPr>
          <w:p w14:paraId="257910B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0.790</w:t>
            </w:r>
          </w:p>
        </w:tc>
        <w:tc>
          <w:tcPr>
            <w:tcW w:w="1296" w:type="dxa"/>
            <w:tcBorders>
              <w:top w:val="nil"/>
              <w:left w:val="nil"/>
              <w:bottom w:val="nil"/>
              <w:right w:val="nil"/>
            </w:tcBorders>
          </w:tcPr>
          <w:p w14:paraId="3082870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0.768</w:t>
            </w:r>
          </w:p>
        </w:tc>
      </w:tr>
      <w:tr w:rsidR="009C3784" w14:paraId="56C7BDCE" w14:textId="77777777">
        <w:trPr>
          <w:jc w:val="center"/>
        </w:trPr>
        <w:tc>
          <w:tcPr>
            <w:tcW w:w="1947" w:type="dxa"/>
            <w:tcBorders>
              <w:top w:val="nil"/>
              <w:left w:val="nil"/>
              <w:bottom w:val="nil"/>
              <w:right w:val="nil"/>
            </w:tcBorders>
          </w:tcPr>
          <w:p w14:paraId="5782BE4F"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Controls</w:t>
            </w:r>
          </w:p>
        </w:tc>
        <w:tc>
          <w:tcPr>
            <w:tcW w:w="1296" w:type="dxa"/>
            <w:tcBorders>
              <w:top w:val="nil"/>
              <w:left w:val="nil"/>
              <w:bottom w:val="nil"/>
              <w:right w:val="nil"/>
            </w:tcBorders>
          </w:tcPr>
          <w:p w14:paraId="4DCBB78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1B4BFC2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4D1421C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861AEE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7680CB2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45FEB08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60C93BCD" w14:textId="77777777">
        <w:trPr>
          <w:jc w:val="center"/>
        </w:trPr>
        <w:tc>
          <w:tcPr>
            <w:tcW w:w="1947" w:type="dxa"/>
            <w:tcBorders>
              <w:top w:val="nil"/>
              <w:left w:val="nil"/>
              <w:bottom w:val="nil"/>
              <w:right w:val="nil"/>
            </w:tcBorders>
          </w:tcPr>
          <w:p w14:paraId="47C96499"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Year FE</w:t>
            </w:r>
          </w:p>
        </w:tc>
        <w:tc>
          <w:tcPr>
            <w:tcW w:w="1296" w:type="dxa"/>
            <w:tcBorders>
              <w:top w:val="nil"/>
              <w:left w:val="nil"/>
              <w:bottom w:val="nil"/>
              <w:right w:val="nil"/>
            </w:tcBorders>
          </w:tcPr>
          <w:p w14:paraId="1425167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6DDC187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2FA283E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08AA776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0EB37F6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72AD20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0BF59696" w14:textId="77777777">
        <w:trPr>
          <w:jc w:val="center"/>
        </w:trPr>
        <w:tc>
          <w:tcPr>
            <w:tcW w:w="1947" w:type="dxa"/>
            <w:tcBorders>
              <w:top w:val="nil"/>
              <w:left w:val="nil"/>
              <w:bottom w:val="nil"/>
              <w:right w:val="nil"/>
            </w:tcBorders>
          </w:tcPr>
          <w:p w14:paraId="230803B6"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Id FE</w:t>
            </w:r>
          </w:p>
        </w:tc>
        <w:tc>
          <w:tcPr>
            <w:tcW w:w="1296" w:type="dxa"/>
            <w:tcBorders>
              <w:top w:val="nil"/>
              <w:left w:val="nil"/>
              <w:bottom w:val="nil"/>
              <w:right w:val="nil"/>
            </w:tcBorders>
          </w:tcPr>
          <w:p w14:paraId="0583279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1392E13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04D5C8A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87F7CD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6DE4491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69D42E0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403F6C72" w14:textId="77777777">
        <w:trPr>
          <w:jc w:val="center"/>
        </w:trPr>
        <w:tc>
          <w:tcPr>
            <w:tcW w:w="1947" w:type="dxa"/>
            <w:tcBorders>
              <w:top w:val="nil"/>
              <w:left w:val="nil"/>
              <w:bottom w:val="nil"/>
              <w:right w:val="nil"/>
            </w:tcBorders>
          </w:tcPr>
          <w:p w14:paraId="679EB123"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Ind FE</w:t>
            </w:r>
          </w:p>
        </w:tc>
        <w:tc>
          <w:tcPr>
            <w:tcW w:w="1296" w:type="dxa"/>
            <w:tcBorders>
              <w:top w:val="nil"/>
              <w:left w:val="nil"/>
              <w:bottom w:val="nil"/>
              <w:right w:val="nil"/>
            </w:tcBorders>
          </w:tcPr>
          <w:p w14:paraId="4DFE71D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3562350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399F57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46988A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2FAB522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5A7B1E1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761D922A"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5C301B71"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Prov FE</w:t>
            </w:r>
          </w:p>
        </w:tc>
        <w:tc>
          <w:tcPr>
            <w:tcW w:w="1296" w:type="dxa"/>
            <w:tcBorders>
              <w:top w:val="nil"/>
              <w:left w:val="nil"/>
              <w:bottom w:val="single" w:sz="6" w:space="0" w:color="auto"/>
              <w:right w:val="nil"/>
            </w:tcBorders>
          </w:tcPr>
          <w:p w14:paraId="3C99A99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single" w:sz="6" w:space="0" w:color="auto"/>
              <w:right w:val="nil"/>
            </w:tcBorders>
          </w:tcPr>
          <w:p w14:paraId="6E0B38F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3F95C11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6F1D42F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single" w:sz="6" w:space="0" w:color="auto"/>
              <w:right w:val="nil"/>
            </w:tcBorders>
          </w:tcPr>
          <w:p w14:paraId="509F76C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109D1AE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bl>
    <w:p w14:paraId="4B19C615" w14:textId="57592160" w:rsidR="009C3784" w:rsidRDefault="007C10D5" w:rsidP="003C297B">
      <w:pPr>
        <w:ind w:firstLineChars="200" w:firstLine="440"/>
        <w:jc w:val="left"/>
        <w:rPr>
          <w:rFonts w:ascii="Times New Roman" w:eastAsia="SimSun" w:hAnsi="Times New Roman" w:cs="Times New Roman"/>
          <w:sz w:val="22"/>
          <w:szCs w:val="24"/>
        </w:rPr>
      </w:pPr>
      <w:r w:rsidRPr="007C10D5">
        <w:rPr>
          <w:rFonts w:ascii="Times New Roman" w:eastAsia="Microsoft YaHei" w:hAnsi="Times New Roman" w:cs="Times New Roman"/>
          <w:sz w:val="22"/>
          <w:szCs w:val="24"/>
        </w:rPr>
        <w:t>(2)</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Property right heterogeneity, can state-owned enterprises make a "model"?</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The previous section has detailed the specific effects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Compared to the pollution discharge fee system,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is more enforceable and widespread. Can this law achieve the same policy outcomes for both state-owned and non-state-owned enterprises, thereby comprehensively enhancing their environmental performance? The regression results in Table 7 show that the formal implementation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significantly improves the environmental performance of both state-owned and non-state-owned enterprises. In terms of coefficient size and significance,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has a stronger promoting effect on the environmental performance of heavily polluting enterprises among state-owned enterprises. This may be due to two main reasons: First, compared </w:t>
      </w:r>
      <w:r w:rsidR="00D95DA7">
        <w:rPr>
          <w:rFonts w:ascii="Times New Roman" w:eastAsia="Microsoft YaHei" w:hAnsi="Times New Roman" w:cs="Times New Roman" w:hint="eastAsia"/>
          <w:sz w:val="22"/>
          <w:szCs w:val="24"/>
        </w:rPr>
        <w:lastRenderedPageBreak/>
        <w:t xml:space="preserve">to private enterprises, state-owned enterprises have more political connections, making their decision-making more susceptible to government influence. Therefore, when faced with the formal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state-owned enterprises have a better ability to perceive and dynamically adjust to the policy, leading to more noticeable policy effects. Second, private enterprises, which face significant disadvantages in talent reserves, financing costs, and policy preferences compared to state-owned enterprises, find it difficult to make timely adjustments when policies are issued. As a result, the positive impact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on non-state-owned enterprises is less pronounced.</w:t>
      </w:r>
    </w:p>
    <w:p w14:paraId="0ADC279E" w14:textId="6DDD2173" w:rsidR="009C3784" w:rsidRDefault="007C10D5">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w:t>
      </w:r>
      <w:r>
        <w:rPr>
          <w:rFonts w:ascii="Times New Roman" w:eastAsia="Microsoft YaHei" w:hAnsi="Times New Roman" w:cs="Times New Roman"/>
          <w:sz w:val="22"/>
          <w:szCs w:val="24"/>
        </w:rPr>
        <w:t>3</w:t>
      </w:r>
      <w:r w:rsidRPr="007C10D5">
        <w:rPr>
          <w:rFonts w:ascii="Times New Roman" w:eastAsia="Microsoft YaHei" w:hAnsi="Times New Roman" w:cs="Times New Roman"/>
          <w:sz w:val="22"/>
          <w:szCs w:val="24"/>
        </w:rPr>
        <w:t>)</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The heterogeneity of corporate transparency: "sincerity" or "concealment"?</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Contract theory suggests that the process of multi-party games with diverse participants inevitably increases the cost of reaching a contract. Currently, China's formal institutional framework is not fully developed, and the factor market is still underdeveloped. The legal system has loopholes, and the cost of law enforcement is high, all of which increase the risk of companies failing to fulfill their obligations. With the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companies with poor environmental performance may have the incentive to manipulate their environmental contributions to gain environmental legitimacy at a lower cost. Existing literature indicates that company transparency affects investors' information acquisition costs, thereby influencing the level of attention paid to the company. A low transparency information environment can reduce investors 'trust in the company's information, while high transparency can enhance corporate performance (</w:t>
      </w:r>
      <w:r w:rsidR="00617508" w:rsidRPr="00617508">
        <w:rPr>
          <w:rFonts w:ascii="Times New Roman" w:eastAsia="Microsoft YaHei" w:hAnsi="Times New Roman" w:cs="Times New Roman" w:hint="eastAsia"/>
          <w:sz w:val="22"/>
          <w:szCs w:val="24"/>
        </w:rPr>
        <w:t xml:space="preserve">Omran et al. </w:t>
      </w:r>
      <w:r w:rsidR="00617508">
        <w:rPr>
          <w:rFonts w:ascii="Times New Roman" w:eastAsia="Microsoft YaHei" w:hAnsi="Times New Roman" w:cs="Times New Roman" w:hint="eastAsia"/>
          <w:sz w:val="22"/>
          <w:szCs w:val="24"/>
        </w:rPr>
        <w:t>,</w:t>
      </w:r>
      <w:r w:rsidR="00617508" w:rsidRPr="00617508">
        <w:rPr>
          <w:rFonts w:ascii="Times New Roman" w:eastAsia="Microsoft YaHei" w:hAnsi="Times New Roman" w:cs="Times New Roman" w:hint="eastAsia"/>
          <w:sz w:val="22"/>
          <w:szCs w:val="24"/>
        </w:rPr>
        <w:t>2021</w:t>
      </w:r>
      <w:r w:rsidR="00D95DA7">
        <w:rPr>
          <w:rFonts w:ascii="Times New Roman" w:eastAsia="Microsoft YaHei" w:hAnsi="Times New Roman" w:cs="Times New Roman" w:hint="eastAsia"/>
          <w:sz w:val="22"/>
          <w:szCs w:val="24"/>
        </w:rPr>
        <w:t xml:space="preserve">). Does the effectiveness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vary significantly among companies with different levels of transparency? This paper draws on existing research, using the Shenzhen Stock Exchange and Shanghai Stock Exchange Information Disclosure Rating (Dscore) as proxies for company transparency. It also adopts the manipulated accounting profit (DACC) as a proxy for information transparency, based on</w:t>
      </w:r>
      <w:r w:rsidR="00617508" w:rsidRPr="00617508">
        <w:rPr>
          <w:rFonts w:hint="eastAsia"/>
        </w:rPr>
        <w:t xml:space="preserve"> </w:t>
      </w:r>
      <w:r w:rsidR="00617508" w:rsidRPr="00617508">
        <w:rPr>
          <w:rFonts w:ascii="Times New Roman" w:eastAsia="Microsoft YaHei" w:hAnsi="Times New Roman" w:cs="Times New Roman" w:hint="eastAsia"/>
          <w:sz w:val="22"/>
          <w:szCs w:val="24"/>
        </w:rPr>
        <w:t>Nyilasy et al. (2014)</w:t>
      </w:r>
      <w:r w:rsidR="00D95DA7">
        <w:rPr>
          <w:rFonts w:ascii="Times New Roman" w:eastAsia="Microsoft YaHei" w:hAnsi="Times New Roman" w:cs="Times New Roman" w:hint="eastAsia"/>
          <w:sz w:val="22"/>
          <w:szCs w:val="24"/>
        </w:rPr>
        <w:t xml:space="preserve">. The regression results in Table 7 show that companies with high transparency benefit more from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in terms of environmental performance improvement.</w:t>
      </w:r>
    </w:p>
    <w:p w14:paraId="3AE8A02E"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7 Heterogeneity analysis 2</w:t>
      </w:r>
    </w:p>
    <w:tbl>
      <w:tblPr>
        <w:tblW w:w="5000" w:type="pct"/>
        <w:jc w:val="center"/>
        <w:tblCellMar>
          <w:left w:w="75" w:type="dxa"/>
          <w:right w:w="75" w:type="dxa"/>
        </w:tblCellMar>
        <w:tblLook w:val="04A0" w:firstRow="1" w:lastRow="0" w:firstColumn="1" w:lastColumn="0" w:noHBand="0" w:noVBand="1"/>
      </w:tblPr>
      <w:tblGrid>
        <w:gridCol w:w="1926"/>
        <w:gridCol w:w="1928"/>
        <w:gridCol w:w="1928"/>
        <w:gridCol w:w="1928"/>
        <w:gridCol w:w="1928"/>
      </w:tblGrid>
      <w:tr w:rsidR="009C3784" w14:paraId="38B99D92" w14:textId="77777777">
        <w:trPr>
          <w:jc w:val="center"/>
        </w:trPr>
        <w:tc>
          <w:tcPr>
            <w:tcW w:w="999" w:type="pct"/>
            <w:tcBorders>
              <w:top w:val="single" w:sz="6" w:space="0" w:color="auto"/>
              <w:left w:val="nil"/>
              <w:bottom w:val="nil"/>
              <w:right w:val="nil"/>
            </w:tcBorders>
          </w:tcPr>
          <w:p w14:paraId="0955DF01"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2000" w:type="pct"/>
            <w:gridSpan w:val="2"/>
            <w:tcBorders>
              <w:top w:val="single" w:sz="6" w:space="0" w:color="auto"/>
              <w:left w:val="nil"/>
              <w:bottom w:val="nil"/>
              <w:right w:val="nil"/>
            </w:tcBorders>
          </w:tcPr>
          <w:p w14:paraId="3E58D8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Property heterogeneity</w:t>
            </w:r>
          </w:p>
        </w:tc>
        <w:tc>
          <w:tcPr>
            <w:tcW w:w="2000" w:type="pct"/>
            <w:gridSpan w:val="2"/>
            <w:tcBorders>
              <w:top w:val="single" w:sz="6" w:space="0" w:color="auto"/>
              <w:left w:val="nil"/>
              <w:bottom w:val="nil"/>
              <w:right w:val="nil"/>
            </w:tcBorders>
          </w:tcPr>
          <w:p w14:paraId="7167DDE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Heterogeneity of company transparency</w:t>
            </w:r>
          </w:p>
        </w:tc>
      </w:tr>
      <w:tr w:rsidR="009C3784" w14:paraId="7FF2082F" w14:textId="77777777">
        <w:trPr>
          <w:jc w:val="center"/>
        </w:trPr>
        <w:tc>
          <w:tcPr>
            <w:tcW w:w="999" w:type="pct"/>
            <w:tcBorders>
              <w:top w:val="nil"/>
              <w:left w:val="nil"/>
              <w:bottom w:val="single" w:sz="6" w:space="0" w:color="auto"/>
              <w:right w:val="nil"/>
            </w:tcBorders>
          </w:tcPr>
          <w:p w14:paraId="43DEC72D"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single" w:sz="6" w:space="0" w:color="auto"/>
              <w:right w:val="nil"/>
            </w:tcBorders>
          </w:tcPr>
          <w:p w14:paraId="548BDAB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 belong to the state </w:t>
            </w:r>
          </w:p>
        </w:tc>
        <w:tc>
          <w:tcPr>
            <w:tcW w:w="1000" w:type="pct"/>
            <w:tcBorders>
              <w:top w:val="nil"/>
              <w:left w:val="nil"/>
              <w:bottom w:val="single" w:sz="6" w:space="0" w:color="auto"/>
              <w:right w:val="nil"/>
            </w:tcBorders>
          </w:tcPr>
          <w:p w14:paraId="1452A8B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Non-state-owned</w:t>
            </w:r>
          </w:p>
        </w:tc>
        <w:tc>
          <w:tcPr>
            <w:tcW w:w="1000" w:type="pct"/>
            <w:tcBorders>
              <w:top w:val="nil"/>
              <w:left w:val="nil"/>
              <w:bottom w:val="single" w:sz="6" w:space="0" w:color="auto"/>
              <w:right w:val="nil"/>
            </w:tcBorders>
          </w:tcPr>
          <w:p w14:paraId="421F9FE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000" w:type="pct"/>
            <w:tcBorders>
              <w:top w:val="nil"/>
              <w:left w:val="nil"/>
              <w:bottom w:val="single" w:sz="6" w:space="0" w:color="auto"/>
              <w:right w:val="nil"/>
            </w:tcBorders>
          </w:tcPr>
          <w:p w14:paraId="5246C4A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r>
      <w:tr w:rsidR="009C3784" w14:paraId="70C92261" w14:textId="77777777">
        <w:trPr>
          <w:jc w:val="center"/>
        </w:trPr>
        <w:tc>
          <w:tcPr>
            <w:tcW w:w="999" w:type="pct"/>
            <w:tcBorders>
              <w:top w:val="nil"/>
              <w:left w:val="nil"/>
              <w:bottom w:val="nil"/>
              <w:right w:val="nil"/>
            </w:tcBorders>
          </w:tcPr>
          <w:p w14:paraId="03310005"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ET</w:t>
            </w:r>
          </w:p>
        </w:tc>
        <w:tc>
          <w:tcPr>
            <w:tcW w:w="1000" w:type="pct"/>
            <w:tcBorders>
              <w:top w:val="nil"/>
              <w:left w:val="nil"/>
              <w:bottom w:val="nil"/>
              <w:right w:val="nil"/>
            </w:tcBorders>
          </w:tcPr>
          <w:p w14:paraId="09DA668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0.0461**</w:t>
            </w:r>
          </w:p>
        </w:tc>
        <w:tc>
          <w:tcPr>
            <w:tcW w:w="1000" w:type="pct"/>
            <w:tcBorders>
              <w:top w:val="nil"/>
              <w:left w:val="nil"/>
              <w:bottom w:val="nil"/>
              <w:right w:val="nil"/>
            </w:tcBorders>
          </w:tcPr>
          <w:p w14:paraId="1A9D2BE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0.0293*</w:t>
            </w:r>
          </w:p>
        </w:tc>
        <w:tc>
          <w:tcPr>
            <w:tcW w:w="1000" w:type="pct"/>
            <w:tcBorders>
              <w:top w:val="nil"/>
              <w:left w:val="nil"/>
              <w:bottom w:val="nil"/>
              <w:right w:val="nil"/>
            </w:tcBorders>
          </w:tcPr>
          <w:p w14:paraId="1AAA375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0.0521***</w:t>
            </w:r>
          </w:p>
        </w:tc>
        <w:tc>
          <w:tcPr>
            <w:tcW w:w="1000" w:type="pct"/>
            <w:tcBorders>
              <w:top w:val="nil"/>
              <w:left w:val="nil"/>
              <w:bottom w:val="nil"/>
              <w:right w:val="nil"/>
            </w:tcBorders>
          </w:tcPr>
          <w:p w14:paraId="0F19EDE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0.0297</w:t>
            </w:r>
          </w:p>
        </w:tc>
      </w:tr>
      <w:tr w:rsidR="009C3784" w14:paraId="4EBF9D07" w14:textId="77777777">
        <w:trPr>
          <w:jc w:val="center"/>
        </w:trPr>
        <w:tc>
          <w:tcPr>
            <w:tcW w:w="999" w:type="pct"/>
            <w:tcBorders>
              <w:top w:val="nil"/>
              <w:left w:val="nil"/>
              <w:bottom w:val="nil"/>
              <w:right w:val="nil"/>
            </w:tcBorders>
          </w:tcPr>
          <w:p w14:paraId="6F38C8CD"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nil"/>
              <w:right w:val="nil"/>
            </w:tcBorders>
          </w:tcPr>
          <w:p w14:paraId="707C55B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(0.0198)</w:t>
            </w:r>
          </w:p>
        </w:tc>
        <w:tc>
          <w:tcPr>
            <w:tcW w:w="1000" w:type="pct"/>
            <w:tcBorders>
              <w:top w:val="nil"/>
              <w:left w:val="nil"/>
              <w:bottom w:val="nil"/>
              <w:right w:val="nil"/>
            </w:tcBorders>
          </w:tcPr>
          <w:p w14:paraId="6CF1F17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(0.0163)</w:t>
            </w:r>
          </w:p>
        </w:tc>
        <w:tc>
          <w:tcPr>
            <w:tcW w:w="1000" w:type="pct"/>
            <w:tcBorders>
              <w:top w:val="nil"/>
              <w:left w:val="nil"/>
              <w:bottom w:val="nil"/>
              <w:right w:val="nil"/>
            </w:tcBorders>
          </w:tcPr>
          <w:p w14:paraId="18C9A99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(0.0185)</w:t>
            </w:r>
          </w:p>
        </w:tc>
        <w:tc>
          <w:tcPr>
            <w:tcW w:w="1000" w:type="pct"/>
            <w:tcBorders>
              <w:top w:val="nil"/>
              <w:left w:val="nil"/>
              <w:bottom w:val="nil"/>
              <w:right w:val="nil"/>
            </w:tcBorders>
          </w:tcPr>
          <w:p w14:paraId="0B7CD33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(0.0294)</w:t>
            </w:r>
          </w:p>
        </w:tc>
      </w:tr>
      <w:tr w:rsidR="009C3784" w14:paraId="3B6C0EDB" w14:textId="77777777">
        <w:trPr>
          <w:jc w:val="center"/>
        </w:trPr>
        <w:tc>
          <w:tcPr>
            <w:tcW w:w="999" w:type="pct"/>
            <w:tcBorders>
              <w:top w:val="nil"/>
              <w:left w:val="nil"/>
              <w:bottom w:val="nil"/>
              <w:right w:val="nil"/>
            </w:tcBorders>
          </w:tcPr>
          <w:p w14:paraId="27F7EA4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Constant</w:t>
            </w:r>
          </w:p>
        </w:tc>
        <w:tc>
          <w:tcPr>
            <w:tcW w:w="1000" w:type="pct"/>
            <w:tcBorders>
              <w:top w:val="nil"/>
              <w:left w:val="nil"/>
              <w:bottom w:val="nil"/>
              <w:right w:val="nil"/>
            </w:tcBorders>
          </w:tcPr>
          <w:p w14:paraId="6CE3DD1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2.4802**</w:t>
            </w:r>
          </w:p>
        </w:tc>
        <w:tc>
          <w:tcPr>
            <w:tcW w:w="1000" w:type="pct"/>
            <w:tcBorders>
              <w:top w:val="nil"/>
              <w:left w:val="nil"/>
              <w:bottom w:val="nil"/>
              <w:right w:val="nil"/>
            </w:tcBorders>
          </w:tcPr>
          <w:p w14:paraId="7CA4BA4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2.2904***</w:t>
            </w:r>
          </w:p>
        </w:tc>
        <w:tc>
          <w:tcPr>
            <w:tcW w:w="1000" w:type="pct"/>
            <w:tcBorders>
              <w:top w:val="nil"/>
              <w:left w:val="nil"/>
              <w:bottom w:val="nil"/>
              <w:right w:val="nil"/>
            </w:tcBorders>
          </w:tcPr>
          <w:p w14:paraId="568A2AC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2.8036**</w:t>
            </w:r>
          </w:p>
        </w:tc>
        <w:tc>
          <w:tcPr>
            <w:tcW w:w="1000" w:type="pct"/>
            <w:tcBorders>
              <w:top w:val="nil"/>
              <w:left w:val="nil"/>
              <w:bottom w:val="nil"/>
              <w:right w:val="nil"/>
            </w:tcBorders>
          </w:tcPr>
          <w:p w14:paraId="0D98D69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1.1596</w:t>
            </w:r>
          </w:p>
        </w:tc>
      </w:tr>
      <w:tr w:rsidR="009C3784" w14:paraId="64D48BA9" w14:textId="77777777">
        <w:trPr>
          <w:jc w:val="center"/>
        </w:trPr>
        <w:tc>
          <w:tcPr>
            <w:tcW w:w="999" w:type="pct"/>
            <w:tcBorders>
              <w:top w:val="nil"/>
              <w:left w:val="nil"/>
              <w:bottom w:val="nil"/>
              <w:right w:val="nil"/>
            </w:tcBorders>
          </w:tcPr>
          <w:p w14:paraId="3B82B868"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nil"/>
              <w:right w:val="nil"/>
            </w:tcBorders>
          </w:tcPr>
          <w:p w14:paraId="20E9473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(0.9965)</w:t>
            </w:r>
          </w:p>
        </w:tc>
        <w:tc>
          <w:tcPr>
            <w:tcW w:w="1000" w:type="pct"/>
            <w:tcBorders>
              <w:top w:val="nil"/>
              <w:left w:val="nil"/>
              <w:bottom w:val="nil"/>
              <w:right w:val="nil"/>
            </w:tcBorders>
          </w:tcPr>
          <w:p w14:paraId="305F111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(0.7883)</w:t>
            </w:r>
          </w:p>
        </w:tc>
        <w:tc>
          <w:tcPr>
            <w:tcW w:w="1000" w:type="pct"/>
            <w:tcBorders>
              <w:top w:val="nil"/>
              <w:left w:val="nil"/>
              <w:bottom w:val="nil"/>
              <w:right w:val="nil"/>
            </w:tcBorders>
          </w:tcPr>
          <w:p w14:paraId="4A1F1A4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(1.1870)</w:t>
            </w:r>
          </w:p>
        </w:tc>
        <w:tc>
          <w:tcPr>
            <w:tcW w:w="1000" w:type="pct"/>
            <w:tcBorders>
              <w:top w:val="nil"/>
              <w:left w:val="nil"/>
              <w:bottom w:val="nil"/>
              <w:right w:val="nil"/>
            </w:tcBorders>
          </w:tcPr>
          <w:p w14:paraId="263F48B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(0.8847)</w:t>
            </w:r>
          </w:p>
        </w:tc>
      </w:tr>
      <w:tr w:rsidR="009C3784" w14:paraId="24FB44EA" w14:textId="77777777">
        <w:trPr>
          <w:jc w:val="center"/>
        </w:trPr>
        <w:tc>
          <w:tcPr>
            <w:tcW w:w="999" w:type="pct"/>
            <w:tcBorders>
              <w:top w:val="nil"/>
              <w:left w:val="nil"/>
              <w:bottom w:val="nil"/>
              <w:right w:val="nil"/>
            </w:tcBorders>
          </w:tcPr>
          <w:p w14:paraId="48FEB8AC"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Observations</w:t>
            </w:r>
          </w:p>
        </w:tc>
        <w:tc>
          <w:tcPr>
            <w:tcW w:w="1000" w:type="pct"/>
            <w:tcBorders>
              <w:top w:val="nil"/>
              <w:left w:val="nil"/>
              <w:bottom w:val="nil"/>
              <w:right w:val="nil"/>
            </w:tcBorders>
          </w:tcPr>
          <w:p w14:paraId="6EFF760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1,081</w:t>
            </w:r>
          </w:p>
        </w:tc>
        <w:tc>
          <w:tcPr>
            <w:tcW w:w="1000" w:type="pct"/>
            <w:tcBorders>
              <w:top w:val="nil"/>
              <w:left w:val="nil"/>
              <w:bottom w:val="nil"/>
              <w:right w:val="nil"/>
            </w:tcBorders>
          </w:tcPr>
          <w:p w14:paraId="595EBDD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1,737</w:t>
            </w:r>
          </w:p>
        </w:tc>
        <w:tc>
          <w:tcPr>
            <w:tcW w:w="1000" w:type="pct"/>
            <w:tcBorders>
              <w:top w:val="nil"/>
              <w:left w:val="nil"/>
              <w:bottom w:val="nil"/>
              <w:right w:val="nil"/>
            </w:tcBorders>
          </w:tcPr>
          <w:p w14:paraId="22A57A8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1,070</w:t>
            </w:r>
          </w:p>
        </w:tc>
        <w:tc>
          <w:tcPr>
            <w:tcW w:w="1000" w:type="pct"/>
            <w:tcBorders>
              <w:top w:val="nil"/>
              <w:left w:val="nil"/>
              <w:bottom w:val="nil"/>
              <w:right w:val="nil"/>
            </w:tcBorders>
          </w:tcPr>
          <w:p w14:paraId="415996C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979</w:t>
            </w:r>
          </w:p>
        </w:tc>
      </w:tr>
      <w:tr w:rsidR="009C3784" w14:paraId="02126C5D" w14:textId="77777777">
        <w:trPr>
          <w:jc w:val="center"/>
        </w:trPr>
        <w:tc>
          <w:tcPr>
            <w:tcW w:w="999" w:type="pct"/>
            <w:tcBorders>
              <w:top w:val="nil"/>
              <w:left w:val="nil"/>
              <w:bottom w:val="nil"/>
              <w:right w:val="nil"/>
            </w:tcBorders>
          </w:tcPr>
          <w:p w14:paraId="568F83F2"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R-squared</w:t>
            </w:r>
          </w:p>
        </w:tc>
        <w:tc>
          <w:tcPr>
            <w:tcW w:w="1000" w:type="pct"/>
            <w:tcBorders>
              <w:top w:val="nil"/>
              <w:left w:val="nil"/>
              <w:bottom w:val="nil"/>
              <w:right w:val="nil"/>
            </w:tcBorders>
          </w:tcPr>
          <w:p w14:paraId="5AC5CAE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0.796</w:t>
            </w:r>
          </w:p>
        </w:tc>
        <w:tc>
          <w:tcPr>
            <w:tcW w:w="1000" w:type="pct"/>
            <w:tcBorders>
              <w:top w:val="nil"/>
              <w:left w:val="nil"/>
              <w:bottom w:val="nil"/>
              <w:right w:val="nil"/>
            </w:tcBorders>
          </w:tcPr>
          <w:p w14:paraId="7106FB8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0.765</w:t>
            </w:r>
          </w:p>
        </w:tc>
        <w:tc>
          <w:tcPr>
            <w:tcW w:w="1000" w:type="pct"/>
            <w:tcBorders>
              <w:top w:val="nil"/>
              <w:left w:val="nil"/>
              <w:bottom w:val="nil"/>
              <w:right w:val="nil"/>
            </w:tcBorders>
          </w:tcPr>
          <w:p w14:paraId="33EB650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0.815</w:t>
            </w:r>
          </w:p>
        </w:tc>
        <w:tc>
          <w:tcPr>
            <w:tcW w:w="1000" w:type="pct"/>
            <w:tcBorders>
              <w:top w:val="nil"/>
              <w:left w:val="nil"/>
              <w:bottom w:val="nil"/>
              <w:right w:val="nil"/>
            </w:tcBorders>
          </w:tcPr>
          <w:p w14:paraId="6890477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0.793</w:t>
            </w:r>
          </w:p>
        </w:tc>
      </w:tr>
      <w:tr w:rsidR="009C3784" w14:paraId="1ED865FE" w14:textId="77777777">
        <w:trPr>
          <w:jc w:val="center"/>
        </w:trPr>
        <w:tc>
          <w:tcPr>
            <w:tcW w:w="999" w:type="pct"/>
            <w:tcBorders>
              <w:top w:val="nil"/>
              <w:left w:val="nil"/>
              <w:bottom w:val="nil"/>
              <w:right w:val="nil"/>
            </w:tcBorders>
          </w:tcPr>
          <w:p w14:paraId="17D3CDE1"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Controls</w:t>
            </w:r>
          </w:p>
        </w:tc>
        <w:tc>
          <w:tcPr>
            <w:tcW w:w="1000" w:type="pct"/>
            <w:tcBorders>
              <w:top w:val="nil"/>
              <w:left w:val="nil"/>
              <w:bottom w:val="nil"/>
              <w:right w:val="nil"/>
            </w:tcBorders>
          </w:tcPr>
          <w:p w14:paraId="338DFD0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9306FD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023FB92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1AF583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0C534211" w14:textId="77777777">
        <w:trPr>
          <w:jc w:val="center"/>
        </w:trPr>
        <w:tc>
          <w:tcPr>
            <w:tcW w:w="999" w:type="pct"/>
            <w:tcBorders>
              <w:top w:val="nil"/>
              <w:left w:val="nil"/>
              <w:bottom w:val="nil"/>
              <w:right w:val="nil"/>
            </w:tcBorders>
          </w:tcPr>
          <w:p w14:paraId="6ECD7F3D"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Year FE</w:t>
            </w:r>
          </w:p>
        </w:tc>
        <w:tc>
          <w:tcPr>
            <w:tcW w:w="1000" w:type="pct"/>
            <w:tcBorders>
              <w:top w:val="nil"/>
              <w:left w:val="nil"/>
              <w:bottom w:val="nil"/>
              <w:right w:val="nil"/>
            </w:tcBorders>
          </w:tcPr>
          <w:p w14:paraId="5C97295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2E18E07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0B681F7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348C7AE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3086A4E0" w14:textId="77777777">
        <w:trPr>
          <w:jc w:val="center"/>
        </w:trPr>
        <w:tc>
          <w:tcPr>
            <w:tcW w:w="999" w:type="pct"/>
            <w:tcBorders>
              <w:top w:val="nil"/>
              <w:left w:val="nil"/>
              <w:bottom w:val="nil"/>
              <w:right w:val="nil"/>
            </w:tcBorders>
          </w:tcPr>
          <w:p w14:paraId="711A335B"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Id FE</w:t>
            </w:r>
          </w:p>
        </w:tc>
        <w:tc>
          <w:tcPr>
            <w:tcW w:w="1000" w:type="pct"/>
            <w:tcBorders>
              <w:top w:val="nil"/>
              <w:left w:val="nil"/>
              <w:bottom w:val="nil"/>
              <w:right w:val="nil"/>
            </w:tcBorders>
          </w:tcPr>
          <w:p w14:paraId="1531183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177A5D5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4C5B429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415B9D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161407CA" w14:textId="77777777">
        <w:trPr>
          <w:jc w:val="center"/>
        </w:trPr>
        <w:tc>
          <w:tcPr>
            <w:tcW w:w="999" w:type="pct"/>
            <w:tcBorders>
              <w:top w:val="nil"/>
              <w:left w:val="nil"/>
              <w:bottom w:val="nil"/>
              <w:right w:val="nil"/>
            </w:tcBorders>
          </w:tcPr>
          <w:p w14:paraId="386FFB52"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Ind FE</w:t>
            </w:r>
          </w:p>
        </w:tc>
        <w:tc>
          <w:tcPr>
            <w:tcW w:w="1000" w:type="pct"/>
            <w:tcBorders>
              <w:top w:val="nil"/>
              <w:left w:val="nil"/>
              <w:bottom w:val="nil"/>
              <w:right w:val="nil"/>
            </w:tcBorders>
          </w:tcPr>
          <w:p w14:paraId="3B09396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BEB07B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3294E52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15270C6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78E4D6CC" w14:textId="77777777">
        <w:tblPrEx>
          <w:tblBorders>
            <w:bottom w:val="single" w:sz="6" w:space="0" w:color="auto"/>
          </w:tblBorders>
        </w:tblPrEx>
        <w:trPr>
          <w:jc w:val="center"/>
        </w:trPr>
        <w:tc>
          <w:tcPr>
            <w:tcW w:w="999" w:type="pct"/>
            <w:tcBorders>
              <w:top w:val="nil"/>
              <w:left w:val="nil"/>
              <w:bottom w:val="single" w:sz="6" w:space="0" w:color="auto"/>
              <w:right w:val="nil"/>
            </w:tcBorders>
          </w:tcPr>
          <w:p w14:paraId="197B9C96"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Prov FE</w:t>
            </w:r>
          </w:p>
        </w:tc>
        <w:tc>
          <w:tcPr>
            <w:tcW w:w="1000" w:type="pct"/>
            <w:tcBorders>
              <w:top w:val="nil"/>
              <w:left w:val="nil"/>
              <w:bottom w:val="single" w:sz="6" w:space="0" w:color="auto"/>
              <w:right w:val="nil"/>
            </w:tcBorders>
          </w:tcPr>
          <w:p w14:paraId="3632F5E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5C11008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134E11D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350E191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bl>
    <w:p w14:paraId="7E115BB3" w14:textId="77777777" w:rsidR="009C3784" w:rsidRPr="007C10D5" w:rsidRDefault="007C10D5">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2</w:t>
      </w:r>
      <w:r w:rsidRPr="007C10D5">
        <w:rPr>
          <w:rFonts w:ascii="Times New Roman" w:eastAsia="Microsoft YaHei" w:hAnsi="Times New Roman" w:cs="Times New Roman"/>
          <w:b/>
          <w:sz w:val="22"/>
          <w:szCs w:val="24"/>
        </w:rPr>
        <w:t xml:space="preserve">. </w:t>
      </w:r>
      <w:r w:rsidR="00D95DA7" w:rsidRPr="007C10D5">
        <w:rPr>
          <w:rFonts w:ascii="Times New Roman" w:eastAsia="Microsoft YaHei" w:hAnsi="Times New Roman" w:cs="Times New Roman" w:hint="eastAsia"/>
          <w:b/>
          <w:sz w:val="22"/>
          <w:szCs w:val="24"/>
        </w:rPr>
        <w:t>Heterogeneity of corporate governance</w:t>
      </w:r>
    </w:p>
    <w:p w14:paraId="7AF7CB26" w14:textId="03944D65"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analysis of corporate governance heterogeneity in the article comprises three aspects: whether executives have overseas backgrounds, financial backgrounds, and doctoral degrees. According to the High-Level Team Theory (Hambrick and Mason, 1984), the professional background of executives can lead to significant differences in psychological traits such as cognitive patterns, thinking styles, risk preferences, and decision-making methods. Research indicates that executive teams with overseas backgrounds can better foster innovation and social responsibility (</w:t>
      </w:r>
      <w:r w:rsidR="00AA289B" w:rsidRPr="00AA289B">
        <w:rPr>
          <w:rFonts w:ascii="Times New Roman" w:eastAsia="Microsoft YaHei" w:hAnsi="Times New Roman" w:cs="Times New Roman" w:hint="eastAsia"/>
          <w:sz w:val="22"/>
          <w:szCs w:val="24"/>
        </w:rPr>
        <w:t>Yan et al., 2021</w:t>
      </w:r>
      <w:r>
        <w:rPr>
          <w:rFonts w:ascii="Times New Roman" w:eastAsia="Microsoft YaHei" w:hAnsi="Times New Roman" w:cs="Times New Roman" w:hint="eastAsia"/>
          <w:sz w:val="22"/>
          <w:szCs w:val="24"/>
        </w:rPr>
        <w:t xml:space="preserve">). In the face of stricter environmental regulations under </w:t>
      </w:r>
      <w:r>
        <w:rPr>
          <w:rFonts w:ascii="Times New Roman" w:eastAsia="Microsoft YaHei" w:hAnsi="Times New Roman" w:cs="Times New Roman" w:hint="eastAsia"/>
          <w:sz w:val="22"/>
          <w:szCs w:val="24"/>
        </w:rPr>
        <w:lastRenderedPageBreak/>
        <w:t xml:space="preserve">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executive teams with overseas backgrounds may demonstrate stronger adjustment capabilities and more effective improvements in environmental performance. Regarding the financial background of executives, companies can establish bank-enterprise relationships by hiring executives with financial expertise, which reduces financing difficulties and facilitates long-term loans. Conversely, executive teams without a financial background may find it harder to secure funding, are more susceptible to policy influences, and may need to improve their environmental performance to meet environmental legitimacy requirements and alleviate cash flow pressures. From the perspective of the academic background of executives, educational background to some extent reflects a company's management capabilities. The higher the educational level of executives, the more likely they are to take on social responsibilities. Therefore, companies with a team of highly educated executives tend to meet environmental compliance standards. In contrast, companies with a team of less educated executives face greater environmental pressure from the </w:t>
      </w:r>
      <w:r w:rsidR="00CE1A0D">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As a result, companies with a team of highly educated executives can more effectively improve their environmental performance in the face of mandatory tax laws. Based on this, the article further explores whether the EPTL has a differential impact on corporate environmental performance. Table 8 presents the heterogeneity regression results of corporate governance, indicating that non-financial, overseas, and low-academic backgrounds have a stronger effect on improving environmental performance.</w:t>
      </w:r>
    </w:p>
    <w:p w14:paraId="0F396B04"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8 Analysis of corporate governance heterogeneity</w:t>
      </w:r>
    </w:p>
    <w:tbl>
      <w:tblPr>
        <w:tblW w:w="10443" w:type="dxa"/>
        <w:jc w:val="center"/>
        <w:tblLayout w:type="fixed"/>
        <w:tblCellMar>
          <w:left w:w="75" w:type="dxa"/>
          <w:right w:w="75" w:type="dxa"/>
        </w:tblCellMar>
        <w:tblLook w:val="04A0" w:firstRow="1" w:lastRow="0" w:firstColumn="1" w:lastColumn="0" w:noHBand="0" w:noVBand="1"/>
      </w:tblPr>
      <w:tblGrid>
        <w:gridCol w:w="1947"/>
        <w:gridCol w:w="1440"/>
        <w:gridCol w:w="1296"/>
        <w:gridCol w:w="1440"/>
        <w:gridCol w:w="1440"/>
        <w:gridCol w:w="1440"/>
        <w:gridCol w:w="1440"/>
      </w:tblGrid>
      <w:tr w:rsidR="009C3784" w:rsidRPr="003C297B" w14:paraId="5C8EFAB5" w14:textId="77777777">
        <w:trPr>
          <w:jc w:val="center"/>
        </w:trPr>
        <w:tc>
          <w:tcPr>
            <w:tcW w:w="1947" w:type="dxa"/>
            <w:tcBorders>
              <w:top w:val="single" w:sz="6" w:space="0" w:color="auto"/>
              <w:left w:val="nil"/>
              <w:bottom w:val="nil"/>
              <w:right w:val="nil"/>
            </w:tcBorders>
          </w:tcPr>
          <w:p w14:paraId="28CB35D2"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2736" w:type="dxa"/>
            <w:gridSpan w:val="2"/>
            <w:tcBorders>
              <w:top w:val="single" w:sz="6" w:space="0" w:color="auto"/>
              <w:left w:val="nil"/>
              <w:bottom w:val="nil"/>
              <w:right w:val="nil"/>
            </w:tcBorders>
          </w:tcPr>
          <w:p w14:paraId="16DC8A1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Whether it is a financial background</w:t>
            </w:r>
          </w:p>
        </w:tc>
        <w:tc>
          <w:tcPr>
            <w:tcW w:w="2880" w:type="dxa"/>
            <w:gridSpan w:val="2"/>
            <w:tcBorders>
              <w:top w:val="single" w:sz="6" w:space="0" w:color="auto"/>
              <w:left w:val="nil"/>
              <w:bottom w:val="nil"/>
              <w:right w:val="nil"/>
            </w:tcBorders>
          </w:tcPr>
          <w:p w14:paraId="25A95A4F" w14:textId="77777777" w:rsidR="009C3784" w:rsidRPr="003C297B" w:rsidRDefault="00D95DA7">
            <w:pPr>
              <w:autoSpaceDE w:val="0"/>
              <w:autoSpaceDN w:val="0"/>
              <w:adjustRightInd w:val="0"/>
              <w:ind w:firstLineChars="200" w:firstLine="420"/>
              <w:rPr>
                <w:rFonts w:ascii="Times New Roman" w:eastAsia="SimSun" w:hAnsi="Times New Roman" w:cs="Times New Roman"/>
                <w:kern w:val="0"/>
              </w:rPr>
            </w:pPr>
            <w:r w:rsidRPr="003C297B">
              <w:rPr>
                <w:rFonts w:ascii="Times New Roman" w:eastAsia="Microsoft YaHei" w:hAnsi="Times New Roman" w:cs="Times New Roman" w:hint="eastAsia"/>
                <w:kern w:val="0"/>
              </w:rPr>
              <w:t>Whether it is an overseas background</w:t>
            </w:r>
          </w:p>
        </w:tc>
        <w:tc>
          <w:tcPr>
            <w:tcW w:w="2880" w:type="dxa"/>
            <w:gridSpan w:val="2"/>
            <w:tcBorders>
              <w:top w:val="single" w:sz="6" w:space="0" w:color="auto"/>
              <w:left w:val="nil"/>
              <w:bottom w:val="nil"/>
              <w:right w:val="nil"/>
            </w:tcBorders>
          </w:tcPr>
          <w:p w14:paraId="6CFA620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Whether you have a PhD background</w:t>
            </w:r>
          </w:p>
        </w:tc>
      </w:tr>
      <w:tr w:rsidR="009C3784" w:rsidRPr="003C297B" w14:paraId="4D29FD77" w14:textId="77777777">
        <w:trPr>
          <w:jc w:val="center"/>
        </w:trPr>
        <w:tc>
          <w:tcPr>
            <w:tcW w:w="1947" w:type="dxa"/>
            <w:tcBorders>
              <w:top w:val="nil"/>
              <w:left w:val="nil"/>
              <w:bottom w:val="single" w:sz="6" w:space="0" w:color="auto"/>
              <w:right w:val="nil"/>
            </w:tcBorders>
          </w:tcPr>
          <w:p w14:paraId="7434E810"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single" w:sz="6" w:space="0" w:color="auto"/>
              <w:right w:val="nil"/>
            </w:tcBorders>
          </w:tcPr>
          <w:p w14:paraId="2CB7A6C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single" w:sz="6" w:space="0" w:color="auto"/>
              <w:right w:val="nil"/>
            </w:tcBorders>
          </w:tcPr>
          <w:p w14:paraId="1C84CDD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c>
          <w:tcPr>
            <w:tcW w:w="1440" w:type="dxa"/>
            <w:tcBorders>
              <w:top w:val="nil"/>
              <w:left w:val="nil"/>
              <w:bottom w:val="single" w:sz="6" w:space="0" w:color="auto"/>
              <w:right w:val="nil"/>
            </w:tcBorders>
          </w:tcPr>
          <w:p w14:paraId="2DD8C25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6FA531C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c>
          <w:tcPr>
            <w:tcW w:w="1440" w:type="dxa"/>
            <w:tcBorders>
              <w:top w:val="nil"/>
              <w:left w:val="nil"/>
              <w:bottom w:val="single" w:sz="6" w:space="0" w:color="auto"/>
              <w:right w:val="nil"/>
            </w:tcBorders>
          </w:tcPr>
          <w:p w14:paraId="2F74019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106D53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r>
      <w:tr w:rsidR="009C3784" w:rsidRPr="003C297B" w14:paraId="016B5FF8" w14:textId="77777777">
        <w:trPr>
          <w:jc w:val="center"/>
        </w:trPr>
        <w:tc>
          <w:tcPr>
            <w:tcW w:w="1947" w:type="dxa"/>
            <w:tcBorders>
              <w:top w:val="nil"/>
              <w:left w:val="nil"/>
              <w:bottom w:val="nil"/>
              <w:right w:val="nil"/>
            </w:tcBorders>
          </w:tcPr>
          <w:p w14:paraId="5EEDAA80"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440" w:type="dxa"/>
            <w:tcBorders>
              <w:top w:val="nil"/>
              <w:left w:val="nil"/>
              <w:bottom w:val="nil"/>
              <w:right w:val="nil"/>
            </w:tcBorders>
          </w:tcPr>
          <w:p w14:paraId="5EB2DC6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0.0250</w:t>
            </w:r>
          </w:p>
        </w:tc>
        <w:tc>
          <w:tcPr>
            <w:tcW w:w="1296" w:type="dxa"/>
            <w:tcBorders>
              <w:top w:val="nil"/>
              <w:left w:val="nil"/>
              <w:bottom w:val="nil"/>
              <w:right w:val="nil"/>
            </w:tcBorders>
          </w:tcPr>
          <w:p w14:paraId="0EBDFE1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0.0388**</w:t>
            </w:r>
          </w:p>
        </w:tc>
        <w:tc>
          <w:tcPr>
            <w:tcW w:w="1440" w:type="dxa"/>
            <w:tcBorders>
              <w:top w:val="nil"/>
              <w:left w:val="nil"/>
              <w:bottom w:val="nil"/>
              <w:right w:val="nil"/>
            </w:tcBorders>
          </w:tcPr>
          <w:p w14:paraId="29CA55D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0.0452***</w:t>
            </w:r>
          </w:p>
        </w:tc>
        <w:tc>
          <w:tcPr>
            <w:tcW w:w="1440" w:type="dxa"/>
            <w:tcBorders>
              <w:top w:val="nil"/>
              <w:left w:val="nil"/>
              <w:bottom w:val="nil"/>
              <w:right w:val="nil"/>
            </w:tcBorders>
          </w:tcPr>
          <w:p w14:paraId="524BA82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0.0157</w:t>
            </w:r>
          </w:p>
        </w:tc>
        <w:tc>
          <w:tcPr>
            <w:tcW w:w="1440" w:type="dxa"/>
            <w:tcBorders>
              <w:top w:val="nil"/>
              <w:left w:val="nil"/>
              <w:bottom w:val="nil"/>
              <w:right w:val="nil"/>
            </w:tcBorders>
          </w:tcPr>
          <w:p w14:paraId="3B7F40A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0.0280</w:t>
            </w:r>
          </w:p>
        </w:tc>
        <w:tc>
          <w:tcPr>
            <w:tcW w:w="1440" w:type="dxa"/>
            <w:tcBorders>
              <w:top w:val="nil"/>
              <w:left w:val="nil"/>
              <w:bottom w:val="nil"/>
              <w:right w:val="nil"/>
            </w:tcBorders>
          </w:tcPr>
          <w:p w14:paraId="1BE0280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0.0547**</w:t>
            </w:r>
          </w:p>
        </w:tc>
      </w:tr>
      <w:tr w:rsidR="009C3784" w:rsidRPr="003C297B" w14:paraId="021E61F3" w14:textId="77777777">
        <w:trPr>
          <w:jc w:val="center"/>
        </w:trPr>
        <w:tc>
          <w:tcPr>
            <w:tcW w:w="1947" w:type="dxa"/>
            <w:tcBorders>
              <w:top w:val="nil"/>
              <w:left w:val="nil"/>
              <w:bottom w:val="nil"/>
              <w:right w:val="nil"/>
            </w:tcBorders>
          </w:tcPr>
          <w:p w14:paraId="0F4D6A0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nil"/>
              <w:right w:val="nil"/>
            </w:tcBorders>
          </w:tcPr>
          <w:p w14:paraId="27E8C26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(0.0226)</w:t>
            </w:r>
          </w:p>
        </w:tc>
        <w:tc>
          <w:tcPr>
            <w:tcW w:w="1296" w:type="dxa"/>
            <w:tcBorders>
              <w:top w:val="nil"/>
              <w:left w:val="nil"/>
              <w:bottom w:val="nil"/>
              <w:right w:val="nil"/>
            </w:tcBorders>
          </w:tcPr>
          <w:p w14:paraId="2777533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(0.0186)</w:t>
            </w:r>
          </w:p>
        </w:tc>
        <w:tc>
          <w:tcPr>
            <w:tcW w:w="1440" w:type="dxa"/>
            <w:tcBorders>
              <w:top w:val="nil"/>
              <w:left w:val="nil"/>
              <w:bottom w:val="nil"/>
              <w:right w:val="nil"/>
            </w:tcBorders>
          </w:tcPr>
          <w:p w14:paraId="27C0E4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(0.0163)</w:t>
            </w:r>
          </w:p>
        </w:tc>
        <w:tc>
          <w:tcPr>
            <w:tcW w:w="1440" w:type="dxa"/>
            <w:tcBorders>
              <w:top w:val="nil"/>
              <w:left w:val="nil"/>
              <w:bottom w:val="nil"/>
              <w:right w:val="nil"/>
            </w:tcBorders>
          </w:tcPr>
          <w:p w14:paraId="2DFD629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(0.0215)</w:t>
            </w:r>
          </w:p>
        </w:tc>
        <w:tc>
          <w:tcPr>
            <w:tcW w:w="1440" w:type="dxa"/>
            <w:tcBorders>
              <w:top w:val="nil"/>
              <w:left w:val="nil"/>
              <w:bottom w:val="nil"/>
              <w:right w:val="nil"/>
            </w:tcBorders>
          </w:tcPr>
          <w:p w14:paraId="6CBC998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(0.0196)</w:t>
            </w:r>
          </w:p>
        </w:tc>
        <w:tc>
          <w:tcPr>
            <w:tcW w:w="1440" w:type="dxa"/>
            <w:tcBorders>
              <w:top w:val="nil"/>
              <w:left w:val="nil"/>
              <w:bottom w:val="nil"/>
              <w:right w:val="nil"/>
            </w:tcBorders>
          </w:tcPr>
          <w:p w14:paraId="1A59CD1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(0.0221)</w:t>
            </w:r>
          </w:p>
        </w:tc>
      </w:tr>
      <w:tr w:rsidR="009C3784" w:rsidRPr="003C297B" w14:paraId="5C2F2080" w14:textId="77777777">
        <w:trPr>
          <w:jc w:val="center"/>
        </w:trPr>
        <w:tc>
          <w:tcPr>
            <w:tcW w:w="1947" w:type="dxa"/>
            <w:tcBorders>
              <w:top w:val="nil"/>
              <w:left w:val="nil"/>
              <w:bottom w:val="nil"/>
              <w:right w:val="nil"/>
            </w:tcBorders>
          </w:tcPr>
          <w:p w14:paraId="62A0524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440" w:type="dxa"/>
            <w:tcBorders>
              <w:top w:val="nil"/>
              <w:left w:val="nil"/>
              <w:bottom w:val="nil"/>
              <w:right w:val="nil"/>
            </w:tcBorders>
          </w:tcPr>
          <w:p w14:paraId="3B819E6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2.2909***</w:t>
            </w:r>
          </w:p>
        </w:tc>
        <w:tc>
          <w:tcPr>
            <w:tcW w:w="1296" w:type="dxa"/>
            <w:tcBorders>
              <w:top w:val="nil"/>
              <w:left w:val="nil"/>
              <w:bottom w:val="nil"/>
              <w:right w:val="nil"/>
            </w:tcBorders>
          </w:tcPr>
          <w:p w14:paraId="76A6A4C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2.4994**</w:t>
            </w:r>
          </w:p>
        </w:tc>
        <w:tc>
          <w:tcPr>
            <w:tcW w:w="1440" w:type="dxa"/>
            <w:tcBorders>
              <w:top w:val="nil"/>
              <w:left w:val="nil"/>
              <w:bottom w:val="nil"/>
              <w:right w:val="nil"/>
            </w:tcBorders>
          </w:tcPr>
          <w:p w14:paraId="720BDAC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1.2116</w:t>
            </w:r>
          </w:p>
        </w:tc>
        <w:tc>
          <w:tcPr>
            <w:tcW w:w="1440" w:type="dxa"/>
            <w:tcBorders>
              <w:top w:val="nil"/>
              <w:left w:val="nil"/>
              <w:bottom w:val="nil"/>
              <w:right w:val="nil"/>
            </w:tcBorders>
          </w:tcPr>
          <w:p w14:paraId="4BD3F9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2.0818***</w:t>
            </w:r>
          </w:p>
        </w:tc>
        <w:tc>
          <w:tcPr>
            <w:tcW w:w="1440" w:type="dxa"/>
            <w:tcBorders>
              <w:top w:val="nil"/>
              <w:left w:val="nil"/>
              <w:bottom w:val="nil"/>
              <w:right w:val="nil"/>
            </w:tcBorders>
          </w:tcPr>
          <w:p w14:paraId="1E0A1B5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1.9924***</w:t>
            </w:r>
          </w:p>
        </w:tc>
        <w:tc>
          <w:tcPr>
            <w:tcW w:w="1440" w:type="dxa"/>
            <w:tcBorders>
              <w:top w:val="nil"/>
              <w:left w:val="nil"/>
              <w:bottom w:val="nil"/>
              <w:right w:val="nil"/>
            </w:tcBorders>
          </w:tcPr>
          <w:p w14:paraId="04C6DD9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2.3963***</w:t>
            </w:r>
          </w:p>
        </w:tc>
      </w:tr>
      <w:tr w:rsidR="009C3784" w:rsidRPr="003C297B" w14:paraId="05B9F3B4" w14:textId="77777777">
        <w:trPr>
          <w:jc w:val="center"/>
        </w:trPr>
        <w:tc>
          <w:tcPr>
            <w:tcW w:w="1947" w:type="dxa"/>
            <w:tcBorders>
              <w:top w:val="nil"/>
              <w:left w:val="nil"/>
              <w:bottom w:val="nil"/>
              <w:right w:val="nil"/>
            </w:tcBorders>
          </w:tcPr>
          <w:p w14:paraId="16FEAF0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nil"/>
              <w:right w:val="nil"/>
            </w:tcBorders>
          </w:tcPr>
          <w:p w14:paraId="438CB7C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(0.6949)</w:t>
            </w:r>
          </w:p>
        </w:tc>
        <w:tc>
          <w:tcPr>
            <w:tcW w:w="1296" w:type="dxa"/>
            <w:tcBorders>
              <w:top w:val="nil"/>
              <w:left w:val="nil"/>
              <w:bottom w:val="nil"/>
              <w:right w:val="nil"/>
            </w:tcBorders>
          </w:tcPr>
          <w:p w14:paraId="0872C47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(1.1855)</w:t>
            </w:r>
          </w:p>
        </w:tc>
        <w:tc>
          <w:tcPr>
            <w:tcW w:w="1440" w:type="dxa"/>
            <w:tcBorders>
              <w:top w:val="nil"/>
              <w:left w:val="nil"/>
              <w:bottom w:val="nil"/>
              <w:right w:val="nil"/>
            </w:tcBorders>
          </w:tcPr>
          <w:p w14:paraId="35E75F5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(0.7612)</w:t>
            </w:r>
          </w:p>
        </w:tc>
        <w:tc>
          <w:tcPr>
            <w:tcW w:w="1440" w:type="dxa"/>
            <w:tcBorders>
              <w:top w:val="nil"/>
              <w:left w:val="nil"/>
              <w:bottom w:val="nil"/>
              <w:right w:val="nil"/>
            </w:tcBorders>
          </w:tcPr>
          <w:p w14:paraId="08419E9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(0.7305)</w:t>
            </w:r>
          </w:p>
        </w:tc>
        <w:tc>
          <w:tcPr>
            <w:tcW w:w="1440" w:type="dxa"/>
            <w:tcBorders>
              <w:top w:val="nil"/>
              <w:left w:val="nil"/>
              <w:bottom w:val="nil"/>
              <w:right w:val="nil"/>
            </w:tcBorders>
          </w:tcPr>
          <w:p w14:paraId="586CF43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(0.6632)</w:t>
            </w:r>
          </w:p>
        </w:tc>
        <w:tc>
          <w:tcPr>
            <w:tcW w:w="1440" w:type="dxa"/>
            <w:tcBorders>
              <w:top w:val="nil"/>
              <w:left w:val="nil"/>
              <w:bottom w:val="nil"/>
              <w:right w:val="nil"/>
            </w:tcBorders>
          </w:tcPr>
          <w:p w14:paraId="66E1F67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(0.7937)</w:t>
            </w:r>
          </w:p>
        </w:tc>
      </w:tr>
      <w:tr w:rsidR="009C3784" w:rsidRPr="003C297B" w14:paraId="5DE9DCBD" w14:textId="77777777">
        <w:trPr>
          <w:jc w:val="center"/>
        </w:trPr>
        <w:tc>
          <w:tcPr>
            <w:tcW w:w="1947" w:type="dxa"/>
            <w:tcBorders>
              <w:top w:val="nil"/>
              <w:left w:val="nil"/>
              <w:bottom w:val="nil"/>
              <w:right w:val="nil"/>
            </w:tcBorders>
          </w:tcPr>
          <w:p w14:paraId="49C6EF2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Observations</w:t>
            </w:r>
          </w:p>
        </w:tc>
        <w:tc>
          <w:tcPr>
            <w:tcW w:w="1440" w:type="dxa"/>
            <w:tcBorders>
              <w:top w:val="nil"/>
              <w:left w:val="nil"/>
              <w:bottom w:val="nil"/>
              <w:right w:val="nil"/>
            </w:tcBorders>
          </w:tcPr>
          <w:p w14:paraId="6FD1457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1,743</w:t>
            </w:r>
          </w:p>
        </w:tc>
        <w:tc>
          <w:tcPr>
            <w:tcW w:w="1296" w:type="dxa"/>
            <w:tcBorders>
              <w:top w:val="nil"/>
              <w:left w:val="nil"/>
              <w:bottom w:val="nil"/>
              <w:right w:val="nil"/>
            </w:tcBorders>
          </w:tcPr>
          <w:p w14:paraId="4A62DD1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778</w:t>
            </w:r>
          </w:p>
        </w:tc>
        <w:tc>
          <w:tcPr>
            <w:tcW w:w="1440" w:type="dxa"/>
            <w:tcBorders>
              <w:top w:val="nil"/>
              <w:left w:val="nil"/>
              <w:bottom w:val="nil"/>
              <w:right w:val="nil"/>
            </w:tcBorders>
          </w:tcPr>
          <w:p w14:paraId="4DC7B25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1,246</w:t>
            </w:r>
          </w:p>
        </w:tc>
        <w:tc>
          <w:tcPr>
            <w:tcW w:w="1440" w:type="dxa"/>
            <w:tcBorders>
              <w:top w:val="nil"/>
              <w:left w:val="nil"/>
              <w:bottom w:val="nil"/>
              <w:right w:val="nil"/>
            </w:tcBorders>
          </w:tcPr>
          <w:p w14:paraId="011078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1,412</w:t>
            </w:r>
          </w:p>
        </w:tc>
        <w:tc>
          <w:tcPr>
            <w:tcW w:w="1440" w:type="dxa"/>
            <w:tcBorders>
              <w:top w:val="nil"/>
              <w:left w:val="nil"/>
              <w:bottom w:val="nil"/>
              <w:right w:val="nil"/>
            </w:tcBorders>
          </w:tcPr>
          <w:p w14:paraId="6FE91E3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1,838</w:t>
            </w:r>
          </w:p>
        </w:tc>
        <w:tc>
          <w:tcPr>
            <w:tcW w:w="1440" w:type="dxa"/>
            <w:tcBorders>
              <w:top w:val="nil"/>
              <w:left w:val="nil"/>
              <w:bottom w:val="nil"/>
              <w:right w:val="nil"/>
            </w:tcBorders>
          </w:tcPr>
          <w:p w14:paraId="5D388F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878</w:t>
            </w:r>
          </w:p>
        </w:tc>
      </w:tr>
      <w:tr w:rsidR="009C3784" w:rsidRPr="003C297B" w14:paraId="757984A8" w14:textId="77777777">
        <w:trPr>
          <w:jc w:val="center"/>
        </w:trPr>
        <w:tc>
          <w:tcPr>
            <w:tcW w:w="1947" w:type="dxa"/>
            <w:tcBorders>
              <w:top w:val="nil"/>
              <w:left w:val="nil"/>
              <w:bottom w:val="nil"/>
              <w:right w:val="nil"/>
            </w:tcBorders>
          </w:tcPr>
          <w:p w14:paraId="6FC617AC"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440" w:type="dxa"/>
            <w:tcBorders>
              <w:top w:val="nil"/>
              <w:left w:val="nil"/>
              <w:bottom w:val="nil"/>
              <w:right w:val="nil"/>
            </w:tcBorders>
          </w:tcPr>
          <w:p w14:paraId="1D87199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0.780</w:t>
            </w:r>
          </w:p>
        </w:tc>
        <w:tc>
          <w:tcPr>
            <w:tcW w:w="1296" w:type="dxa"/>
            <w:tcBorders>
              <w:top w:val="nil"/>
              <w:left w:val="nil"/>
              <w:bottom w:val="nil"/>
              <w:right w:val="nil"/>
            </w:tcBorders>
          </w:tcPr>
          <w:p w14:paraId="62EDBCA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440" w:type="dxa"/>
            <w:tcBorders>
              <w:top w:val="nil"/>
              <w:left w:val="nil"/>
              <w:bottom w:val="nil"/>
              <w:right w:val="nil"/>
            </w:tcBorders>
          </w:tcPr>
          <w:p w14:paraId="556B23B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0.787</w:t>
            </w:r>
          </w:p>
        </w:tc>
        <w:tc>
          <w:tcPr>
            <w:tcW w:w="1440" w:type="dxa"/>
            <w:tcBorders>
              <w:top w:val="nil"/>
              <w:left w:val="nil"/>
              <w:bottom w:val="nil"/>
              <w:right w:val="nil"/>
            </w:tcBorders>
          </w:tcPr>
          <w:p w14:paraId="0A46F80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0.799</w:t>
            </w:r>
          </w:p>
        </w:tc>
        <w:tc>
          <w:tcPr>
            <w:tcW w:w="1440" w:type="dxa"/>
            <w:tcBorders>
              <w:top w:val="nil"/>
              <w:left w:val="nil"/>
              <w:bottom w:val="nil"/>
              <w:right w:val="nil"/>
            </w:tcBorders>
          </w:tcPr>
          <w:p w14:paraId="5FA613B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440" w:type="dxa"/>
            <w:tcBorders>
              <w:top w:val="nil"/>
              <w:left w:val="nil"/>
              <w:bottom w:val="nil"/>
              <w:right w:val="nil"/>
            </w:tcBorders>
          </w:tcPr>
          <w:p w14:paraId="0150026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0.788</w:t>
            </w:r>
          </w:p>
        </w:tc>
      </w:tr>
      <w:tr w:rsidR="009C3784" w:rsidRPr="003C297B" w14:paraId="6A1A15B9" w14:textId="77777777">
        <w:trPr>
          <w:jc w:val="center"/>
        </w:trPr>
        <w:tc>
          <w:tcPr>
            <w:tcW w:w="1947" w:type="dxa"/>
            <w:tcBorders>
              <w:top w:val="nil"/>
              <w:left w:val="nil"/>
              <w:bottom w:val="nil"/>
              <w:right w:val="nil"/>
            </w:tcBorders>
          </w:tcPr>
          <w:p w14:paraId="51E30D4E"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440" w:type="dxa"/>
            <w:tcBorders>
              <w:top w:val="nil"/>
              <w:left w:val="nil"/>
              <w:bottom w:val="nil"/>
              <w:right w:val="nil"/>
            </w:tcBorders>
          </w:tcPr>
          <w:p w14:paraId="0E823A7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350A760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D5E88E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5EB65BF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14F2AAA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C88E08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F02F351" w14:textId="77777777">
        <w:trPr>
          <w:jc w:val="center"/>
        </w:trPr>
        <w:tc>
          <w:tcPr>
            <w:tcW w:w="1947" w:type="dxa"/>
            <w:tcBorders>
              <w:top w:val="nil"/>
              <w:left w:val="nil"/>
              <w:bottom w:val="nil"/>
              <w:right w:val="nil"/>
            </w:tcBorders>
          </w:tcPr>
          <w:p w14:paraId="05C0380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440" w:type="dxa"/>
            <w:tcBorders>
              <w:top w:val="nil"/>
              <w:left w:val="nil"/>
              <w:bottom w:val="nil"/>
              <w:right w:val="nil"/>
            </w:tcBorders>
          </w:tcPr>
          <w:p w14:paraId="3A31DB2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25B2328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0483A9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2DFC370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FD8CE2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7B69A5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AD1F1BC" w14:textId="77777777">
        <w:trPr>
          <w:jc w:val="center"/>
        </w:trPr>
        <w:tc>
          <w:tcPr>
            <w:tcW w:w="1947" w:type="dxa"/>
            <w:tcBorders>
              <w:top w:val="nil"/>
              <w:left w:val="nil"/>
              <w:bottom w:val="nil"/>
              <w:right w:val="nil"/>
            </w:tcBorders>
          </w:tcPr>
          <w:p w14:paraId="4F3D335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440" w:type="dxa"/>
            <w:tcBorders>
              <w:top w:val="nil"/>
              <w:left w:val="nil"/>
              <w:bottom w:val="nil"/>
              <w:right w:val="nil"/>
            </w:tcBorders>
          </w:tcPr>
          <w:p w14:paraId="79E7139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30E7DEF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A61E32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285524B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56D70F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294A02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EBC5F38" w14:textId="77777777">
        <w:trPr>
          <w:jc w:val="center"/>
        </w:trPr>
        <w:tc>
          <w:tcPr>
            <w:tcW w:w="1947" w:type="dxa"/>
            <w:tcBorders>
              <w:top w:val="nil"/>
              <w:left w:val="nil"/>
              <w:bottom w:val="nil"/>
              <w:right w:val="nil"/>
            </w:tcBorders>
          </w:tcPr>
          <w:p w14:paraId="333377C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440" w:type="dxa"/>
            <w:tcBorders>
              <w:top w:val="nil"/>
              <w:left w:val="nil"/>
              <w:bottom w:val="nil"/>
              <w:right w:val="nil"/>
            </w:tcBorders>
          </w:tcPr>
          <w:p w14:paraId="5887469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58ABF04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572D194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782F719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F257B8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C01DE5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7E36267"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3B9D9B1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440" w:type="dxa"/>
            <w:tcBorders>
              <w:top w:val="nil"/>
              <w:left w:val="nil"/>
              <w:bottom w:val="single" w:sz="6" w:space="0" w:color="auto"/>
              <w:right w:val="nil"/>
            </w:tcBorders>
          </w:tcPr>
          <w:p w14:paraId="2854BB7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single" w:sz="6" w:space="0" w:color="auto"/>
              <w:right w:val="nil"/>
            </w:tcBorders>
          </w:tcPr>
          <w:p w14:paraId="55A7CD5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217C928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430D8F9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7A4B8D0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3F6EC75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0942C98F" w14:textId="77777777" w:rsidR="009C3784" w:rsidRPr="007C10D5" w:rsidRDefault="007C10D5">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w:t>
      </w:r>
      <w:r w:rsidRPr="007C10D5">
        <w:rPr>
          <w:rFonts w:ascii="Times New Roman" w:eastAsia="Microsoft YaHei" w:hAnsi="Times New Roman" w:cs="Times New Roman"/>
          <w:b/>
          <w:sz w:val="22"/>
          <w:szCs w:val="24"/>
        </w:rPr>
        <w:t xml:space="preserve">. </w:t>
      </w:r>
      <w:r w:rsidR="00D95DA7" w:rsidRPr="007C10D5">
        <w:rPr>
          <w:rFonts w:ascii="Times New Roman" w:eastAsia="Microsoft YaHei" w:hAnsi="Times New Roman" w:cs="Times New Roman" w:hint="eastAsia"/>
          <w:b/>
          <w:sz w:val="22"/>
          <w:szCs w:val="24"/>
        </w:rPr>
        <w:t>Mechanism analysis</w:t>
      </w:r>
    </w:p>
    <w:p w14:paraId="623B3901" w14:textId="009F834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As previously discussed,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been strengthened in both policy and institutional arrangements compared to the pollution discharge fee system. This is evident in the law's enforcement through its mandatory and universal nature, which enhances local environmental law enforcement, increases local government attention to environmental issues, and breaks down collusion between government and enterprises. The rational design of the tax law also promotes resource reallocation among enterprises, thereby encouraging green innovation and improving environmental performance. This section empirically examines these mechanisms to test the specific impact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on corporate environmental performance.</w:t>
      </w:r>
    </w:p>
    <w:p w14:paraId="1374A50D" w14:textId="400D18E4" w:rsidR="003C297B" w:rsidRDefault="007C10D5" w:rsidP="003C297B">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hint="eastAsia"/>
          <w:sz w:val="22"/>
          <w:szCs w:val="24"/>
        </w:rPr>
        <w:t>(</w:t>
      </w:r>
      <w:r w:rsidRPr="007C10D5">
        <w:rPr>
          <w:rFonts w:ascii="Times New Roman" w:eastAsia="Microsoft YaHei" w:hAnsi="Times New Roman" w:cs="Times New Roman"/>
          <w:sz w:val="22"/>
          <w:szCs w:val="24"/>
        </w:rPr>
        <w:t>1)</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Strengthen law enforcement</w:t>
      </w:r>
      <w:r w:rsidR="003C297B">
        <w:rPr>
          <w:rFonts w:ascii="Times New Roman" w:eastAsia="Microsoft YaHei" w:hAnsi="Times New Roman" w:cs="Times New Roman"/>
          <w:sz w:val="22"/>
          <w:szCs w:val="24"/>
        </w:rPr>
        <w:t>.</w:t>
      </w:r>
      <w:bookmarkStart w:id="8" w:name="_Hlk117890416"/>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This </w:t>
      </w:r>
      <w:r w:rsidR="003C297B">
        <w:rPr>
          <w:rFonts w:ascii="Times New Roman" w:eastAsia="Microsoft YaHei" w:hAnsi="Times New Roman" w:cs="Times New Roman"/>
          <w:sz w:val="22"/>
          <w:szCs w:val="24"/>
        </w:rPr>
        <w:t>research</w:t>
      </w:r>
      <w:r w:rsidR="00D95DA7">
        <w:rPr>
          <w:rFonts w:ascii="Times New Roman" w:eastAsia="Microsoft YaHei" w:hAnsi="Times New Roman" w:cs="Times New Roman" w:hint="eastAsia"/>
          <w:sz w:val="22"/>
          <w:szCs w:val="24"/>
        </w:rPr>
        <w:t xml:space="preserve"> compiles environmental penalty cases (Law</w:t>
      </w:r>
      <w:bookmarkEnd w:id="8"/>
      <w:r w:rsidR="00D95DA7">
        <w:rPr>
          <w:rFonts w:ascii="Times New Roman" w:eastAsia="Microsoft YaHei" w:hAnsi="Times New Roman" w:cs="Times New Roman" w:hint="eastAsia"/>
          <w:sz w:val="22"/>
          <w:szCs w:val="24"/>
        </w:rPr>
        <w:t xml:space="preserve">) from various provinces, serving as a proxy for the intensity of regional environmental law enforcement. A higher Law value indicates stronger environmental law enforcement in the region. Following </w:t>
      </w:r>
      <w:r w:rsidR="00AF0A74" w:rsidRPr="0034665F">
        <w:rPr>
          <w:rFonts w:ascii="Times New Roman" w:eastAsia="Microsoft YaHei" w:cs="SimSun"/>
          <w:bCs/>
          <w:color w:val="000000"/>
          <w:kern w:val="0"/>
          <w:sz w:val="22"/>
          <w:szCs w:val="24"/>
        </w:rPr>
        <w:t>Khan</w:t>
      </w:r>
      <w:r w:rsidR="00AF0A74">
        <w:rPr>
          <w:rFonts w:ascii="Times New Roman" w:eastAsia="Microsoft YaHei" w:cs="SimSun" w:hint="eastAsia"/>
          <w:bCs/>
          <w:color w:val="000000"/>
          <w:kern w:val="0"/>
          <w:sz w:val="22"/>
          <w:szCs w:val="24"/>
        </w:rPr>
        <w:t xml:space="preserve"> (2023)</w:t>
      </w:r>
      <w:r w:rsidR="00D95DA7">
        <w:rPr>
          <w:rFonts w:ascii="Times New Roman" w:eastAsia="Microsoft YaHei" w:hAnsi="Times New Roman" w:cs="Times New Roman" w:hint="eastAsia"/>
          <w:sz w:val="22"/>
          <w:szCs w:val="24"/>
        </w:rPr>
        <w:t xml:space="preserve">, the baseline regression model includes an ET*Law interaction term and the original pre-ET difference term, using the three-way difference method for estimation. The regression results show that the coefficient of the ET*Law </w:t>
      </w:r>
      <w:r w:rsidR="00D95DA7">
        <w:rPr>
          <w:rFonts w:ascii="Times New Roman" w:eastAsia="Microsoft YaHei" w:hAnsi="Times New Roman" w:cs="Times New Roman" w:hint="eastAsia"/>
          <w:sz w:val="22"/>
          <w:szCs w:val="24"/>
        </w:rPr>
        <w:lastRenderedPageBreak/>
        <w:t xml:space="preserve">interaction term is significantly positive at the 1% significance level. Table 9's regression results support the mechanism by which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enhances regional environmental law enforcement, thereby compelling companies to improve their environmental performance.</w:t>
      </w:r>
    </w:p>
    <w:p w14:paraId="3FB8F2A8" w14:textId="61D4D3BE" w:rsidR="003C297B" w:rsidRDefault="007C10D5" w:rsidP="003C297B">
      <w:pPr>
        <w:ind w:firstLineChars="200" w:firstLine="440"/>
        <w:rPr>
          <w:rFonts w:ascii="Times New Roman" w:eastAsia="Microsoft YaHei" w:hAnsi="Times New Roman" w:cs="Times New Roman"/>
          <w:sz w:val="22"/>
          <w:szCs w:val="24"/>
        </w:rPr>
      </w:pPr>
      <w:r w:rsidRPr="007C10D5">
        <w:rPr>
          <w:rFonts w:ascii="Times New Roman" w:eastAsia="Microsoft YaHei" w:hAnsi="Times New Roman" w:cs="Times New Roman"/>
          <w:sz w:val="22"/>
          <w:szCs w:val="24"/>
        </w:rPr>
        <w:t>(2)</w:t>
      </w:r>
      <w:r>
        <w:rPr>
          <w:rFonts w:ascii="Microsoft YaHei" w:eastAsia="Microsoft YaHei" w:hAnsi="Microsoft YaHei" w:cs="Microsoft YaHei"/>
          <w:sz w:val="22"/>
          <w:szCs w:val="24"/>
        </w:rPr>
        <w:t xml:space="preserve"> </w:t>
      </w:r>
      <w:r w:rsidR="00D95DA7">
        <w:rPr>
          <w:rFonts w:ascii="Times New Roman" w:eastAsia="Microsoft YaHei" w:hAnsi="Times New Roman" w:cs="Times New Roman" w:hint="eastAsia"/>
          <w:sz w:val="22"/>
          <w:szCs w:val="24"/>
        </w:rPr>
        <w:t>Improve local government environmental concerns</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Drawing on the research of </w:t>
      </w:r>
      <w:r w:rsidR="00AA289B" w:rsidRPr="00AA289B">
        <w:rPr>
          <w:rFonts w:ascii="Times New Roman" w:eastAsia="Microsoft YaHei" w:hAnsi="Times New Roman" w:cs="Times New Roman" w:hint="eastAsia"/>
          <w:sz w:val="22"/>
          <w:szCs w:val="24"/>
        </w:rPr>
        <w:t>Yan, Almandoz, and Ferraro (2021)</w:t>
      </w:r>
      <w:r w:rsidR="00D95DA7">
        <w:rPr>
          <w:rFonts w:ascii="Times New Roman" w:eastAsia="Microsoft YaHei" w:hAnsi="Times New Roman" w:cs="Times New Roman" w:hint="eastAsia"/>
          <w:sz w:val="22"/>
          <w:szCs w:val="24"/>
        </w:rPr>
        <w:t>, this paper uses the logarithm of the environmental protection term frequency ER, as reported by prefecture-level city local governments, as a proxy for environmental</w:t>
      </w:r>
      <w:bookmarkStart w:id="9" w:name="_Hlk117893703"/>
      <w:r w:rsidR="00D95DA7">
        <w:rPr>
          <w:rFonts w:ascii="Times New Roman" w:eastAsia="Microsoft YaHei" w:hAnsi="Times New Roman" w:cs="Times New Roman" w:hint="eastAsia"/>
          <w:sz w:val="22"/>
          <w:szCs w:val="24"/>
        </w:rPr>
        <w:t xml:space="preserve"> concern. The selection of environmental terms follows the approach of</w:t>
      </w:r>
      <w:bookmarkEnd w:id="9"/>
      <w:r w:rsidR="00D95DA7">
        <w:rPr>
          <w:rFonts w:ascii="Times New Roman" w:eastAsia="Microsoft YaHei" w:hAnsi="Times New Roman" w:cs="Times New Roman" w:hint="eastAsia"/>
          <w:sz w:val="22"/>
          <w:szCs w:val="24"/>
        </w:rPr>
        <w:t xml:space="preserve"> </w:t>
      </w:r>
      <w:r w:rsidR="00AA289B" w:rsidRPr="00AA289B">
        <w:rPr>
          <w:rFonts w:ascii="Times New Roman" w:eastAsia="Microsoft YaHei" w:hAnsi="Times New Roman" w:cs="Times New Roman" w:hint="eastAsia"/>
          <w:sz w:val="22"/>
          <w:szCs w:val="24"/>
        </w:rPr>
        <w:t>Yan</w:t>
      </w:r>
      <w:r w:rsidR="003C297B">
        <w:rPr>
          <w:rFonts w:ascii="Times New Roman" w:eastAsia="Microsoft YaHei" w:hAnsi="Times New Roman" w:cs="Times New Roman"/>
          <w:sz w:val="22"/>
          <w:szCs w:val="24"/>
        </w:rPr>
        <w:t xml:space="preserve"> et al.</w:t>
      </w:r>
      <w:r w:rsidR="00AA289B" w:rsidRPr="00AA289B">
        <w:rPr>
          <w:rFonts w:ascii="Times New Roman" w:eastAsia="Microsoft YaHei" w:hAnsi="Times New Roman" w:cs="Times New Roman" w:hint="eastAsia"/>
          <w:sz w:val="22"/>
          <w:szCs w:val="24"/>
        </w:rPr>
        <w:t xml:space="preserve"> (2021)</w:t>
      </w:r>
      <w:r w:rsidR="00D95DA7">
        <w:rPr>
          <w:rFonts w:ascii="Times New Roman" w:eastAsia="Microsoft YaHei" w:hAnsi="Times New Roman" w:cs="Times New Roman" w:hint="eastAsia"/>
          <w:sz w:val="22"/>
          <w:szCs w:val="24"/>
        </w:rPr>
        <w:t xml:space="preserve">. In line with this method, this paper introduces an Lner*Law interaction term and a double difference term ET into the baseline regression model, using the triple difference method for estimation. The regression results show that the regression coefficient of the Lner*Law interaction term is significantly positive. Table 9 further confirms empirically that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can effectively enhance local government's environmental concern, encouraging them to actively fulfill their environmental supervision responsibilities, thereby promoting the improvement of corporate environmental performance.</w:t>
      </w:r>
    </w:p>
    <w:p w14:paraId="61905F10" w14:textId="1F61DE5E" w:rsidR="009C3784" w:rsidRDefault="007C10D5" w:rsidP="003C297B">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(3)</w:t>
      </w:r>
      <w:r>
        <w:rPr>
          <w:rFonts w:ascii="Microsoft YaHei" w:eastAsia="Microsoft YaHei" w:hAnsi="Microsoft YaHei" w:cs="Microsoft YaHei"/>
          <w:sz w:val="22"/>
          <w:szCs w:val="24"/>
        </w:rPr>
        <w:t xml:space="preserve"> </w:t>
      </w:r>
      <w:r w:rsidR="00D95DA7">
        <w:rPr>
          <w:rFonts w:ascii="Times New Roman" w:eastAsia="Microsoft YaHei" w:hAnsi="Times New Roman" w:cs="Times New Roman" w:hint="eastAsia"/>
          <w:sz w:val="22"/>
          <w:szCs w:val="24"/>
        </w:rPr>
        <w:t>Encourage green innovation in enterprises</w:t>
      </w:r>
      <w:r w:rsidR="003C297B">
        <w:rPr>
          <w:rFonts w:ascii="Times New Roman" w:eastAsia="Microsoft YaHei" w:hAnsi="Times New Roman" w:cs="Times New Roman"/>
          <w:sz w:val="22"/>
          <w:szCs w:val="24"/>
        </w:rPr>
        <w:t>.</w:t>
      </w:r>
      <w:r w:rsidR="00E86B17">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The Porter hypothesis suggests that well-designed environmental policies can provide 'innovation compensation' (Porter and Van der Linde, 1995), thereby encouraging companies to innovate. Green innovation, a key indicator of a company's green governance capabilities, reflects the company's technological innovations in using renewable energy in its production and operations, which enhances resource efficiency and, consequently, corporate environmental performance. Based on existing research, this paper measures corporate green innovation by taking the natural logarithm of the number of green patent applications. Following this approach, the paper introduces an interaction term between Lnvent and Law, adds the Lnvent term, and includes a difference-in-differences term ET, estimating the model using the triple difference method. The regression results show that the interaction term between Lnvent and Law has a significantly positive coefficient. Table 9 further confirms through empirical analysis that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effectively promotes corporate green innovation and enhances corporate environmental performance.</w:t>
      </w:r>
    </w:p>
    <w:p w14:paraId="7A9BE62A"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9 Mechanism analysis 1</w:t>
      </w:r>
    </w:p>
    <w:tbl>
      <w:tblPr>
        <w:tblW w:w="5000" w:type="pct"/>
        <w:jc w:val="center"/>
        <w:tblCellMar>
          <w:left w:w="75" w:type="dxa"/>
          <w:right w:w="75" w:type="dxa"/>
        </w:tblCellMar>
        <w:tblLook w:val="04A0" w:firstRow="1" w:lastRow="0" w:firstColumn="1" w:lastColumn="0" w:noHBand="0" w:noVBand="1"/>
      </w:tblPr>
      <w:tblGrid>
        <w:gridCol w:w="2993"/>
        <w:gridCol w:w="2215"/>
        <w:gridCol w:w="2215"/>
        <w:gridCol w:w="2215"/>
      </w:tblGrid>
      <w:tr w:rsidR="009C3784" w:rsidRPr="003C297B" w14:paraId="045BAF44" w14:textId="77777777">
        <w:trPr>
          <w:jc w:val="center"/>
        </w:trPr>
        <w:tc>
          <w:tcPr>
            <w:tcW w:w="1553" w:type="pct"/>
            <w:tcBorders>
              <w:top w:val="single" w:sz="6" w:space="0" w:color="auto"/>
              <w:left w:val="nil"/>
              <w:bottom w:val="nil"/>
              <w:right w:val="nil"/>
            </w:tcBorders>
          </w:tcPr>
          <w:p w14:paraId="49D9D50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single" w:sz="6" w:space="0" w:color="auto"/>
              <w:left w:val="nil"/>
              <w:bottom w:val="nil"/>
              <w:right w:val="nil"/>
            </w:tcBorders>
          </w:tcPr>
          <w:p w14:paraId="44CEBD2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w:t>
            </w:r>
          </w:p>
        </w:tc>
        <w:tc>
          <w:tcPr>
            <w:tcW w:w="1149" w:type="pct"/>
            <w:tcBorders>
              <w:top w:val="single" w:sz="6" w:space="0" w:color="auto"/>
              <w:left w:val="nil"/>
              <w:bottom w:val="nil"/>
              <w:right w:val="nil"/>
            </w:tcBorders>
          </w:tcPr>
          <w:p w14:paraId="4A3C00F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w:t>
            </w:r>
          </w:p>
        </w:tc>
        <w:tc>
          <w:tcPr>
            <w:tcW w:w="1149" w:type="pct"/>
            <w:tcBorders>
              <w:top w:val="single" w:sz="6" w:space="0" w:color="auto"/>
              <w:left w:val="nil"/>
              <w:bottom w:val="nil"/>
              <w:right w:val="nil"/>
            </w:tcBorders>
          </w:tcPr>
          <w:p w14:paraId="7AFE2EF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(3)</w:t>
            </w:r>
          </w:p>
        </w:tc>
      </w:tr>
      <w:tr w:rsidR="009C3784" w:rsidRPr="003C297B" w14:paraId="0985733F" w14:textId="77777777">
        <w:trPr>
          <w:jc w:val="center"/>
        </w:trPr>
        <w:tc>
          <w:tcPr>
            <w:tcW w:w="1553" w:type="pct"/>
            <w:tcBorders>
              <w:top w:val="nil"/>
              <w:left w:val="nil"/>
              <w:bottom w:val="single" w:sz="6" w:space="0" w:color="auto"/>
              <w:right w:val="nil"/>
            </w:tcBorders>
          </w:tcPr>
          <w:p w14:paraId="4C5F83C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single" w:sz="6" w:space="0" w:color="auto"/>
              <w:right w:val="nil"/>
            </w:tcBorders>
          </w:tcPr>
          <w:p w14:paraId="074EDBA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149" w:type="pct"/>
            <w:tcBorders>
              <w:top w:val="nil"/>
              <w:left w:val="nil"/>
              <w:bottom w:val="single" w:sz="6" w:space="0" w:color="auto"/>
              <w:right w:val="nil"/>
            </w:tcBorders>
          </w:tcPr>
          <w:p w14:paraId="774D939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149" w:type="pct"/>
            <w:tcBorders>
              <w:top w:val="nil"/>
              <w:left w:val="nil"/>
              <w:bottom w:val="single" w:sz="6" w:space="0" w:color="auto"/>
              <w:right w:val="nil"/>
            </w:tcBorders>
          </w:tcPr>
          <w:p w14:paraId="7625218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r>
      <w:tr w:rsidR="009C3784" w:rsidRPr="003C297B" w14:paraId="75D7DD5F" w14:textId="77777777">
        <w:trPr>
          <w:jc w:val="center"/>
        </w:trPr>
        <w:tc>
          <w:tcPr>
            <w:tcW w:w="1553" w:type="pct"/>
            <w:tcBorders>
              <w:top w:val="nil"/>
              <w:left w:val="nil"/>
              <w:bottom w:val="nil"/>
              <w:right w:val="nil"/>
            </w:tcBorders>
          </w:tcPr>
          <w:p w14:paraId="5FA2FAF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ET*Law</w:t>
            </w:r>
          </w:p>
        </w:tc>
        <w:tc>
          <w:tcPr>
            <w:tcW w:w="1149" w:type="pct"/>
            <w:tcBorders>
              <w:top w:val="nil"/>
              <w:left w:val="nil"/>
              <w:bottom w:val="nil"/>
              <w:right w:val="nil"/>
            </w:tcBorders>
          </w:tcPr>
          <w:p w14:paraId="0A82059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0.3153***</w:t>
            </w:r>
          </w:p>
        </w:tc>
        <w:tc>
          <w:tcPr>
            <w:tcW w:w="1149" w:type="pct"/>
            <w:tcBorders>
              <w:top w:val="nil"/>
              <w:left w:val="nil"/>
              <w:bottom w:val="nil"/>
              <w:right w:val="nil"/>
            </w:tcBorders>
          </w:tcPr>
          <w:p w14:paraId="391C0B27"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3E4A699"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B9EA645" w14:textId="77777777">
        <w:trPr>
          <w:jc w:val="center"/>
        </w:trPr>
        <w:tc>
          <w:tcPr>
            <w:tcW w:w="1553" w:type="pct"/>
            <w:tcBorders>
              <w:top w:val="nil"/>
              <w:left w:val="nil"/>
              <w:bottom w:val="nil"/>
              <w:right w:val="nil"/>
            </w:tcBorders>
          </w:tcPr>
          <w:p w14:paraId="755482A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624B49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(0.0974)</w:t>
            </w:r>
          </w:p>
        </w:tc>
        <w:tc>
          <w:tcPr>
            <w:tcW w:w="1149" w:type="pct"/>
            <w:tcBorders>
              <w:top w:val="nil"/>
              <w:left w:val="nil"/>
              <w:bottom w:val="nil"/>
              <w:right w:val="nil"/>
            </w:tcBorders>
          </w:tcPr>
          <w:p w14:paraId="09316EDC"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876AB83"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2C80BFE0" w14:textId="77777777">
        <w:trPr>
          <w:jc w:val="center"/>
        </w:trPr>
        <w:tc>
          <w:tcPr>
            <w:tcW w:w="1553" w:type="pct"/>
            <w:tcBorders>
              <w:top w:val="nil"/>
              <w:left w:val="nil"/>
              <w:bottom w:val="nil"/>
              <w:right w:val="nil"/>
            </w:tcBorders>
          </w:tcPr>
          <w:p w14:paraId="605D6B33"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149" w:type="pct"/>
            <w:tcBorders>
              <w:top w:val="nil"/>
              <w:left w:val="nil"/>
              <w:bottom w:val="nil"/>
              <w:right w:val="nil"/>
            </w:tcBorders>
          </w:tcPr>
          <w:p w14:paraId="7AE65DF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0.5021</w:t>
            </w:r>
          </w:p>
        </w:tc>
        <w:tc>
          <w:tcPr>
            <w:tcW w:w="1149" w:type="pct"/>
            <w:tcBorders>
              <w:top w:val="nil"/>
              <w:left w:val="nil"/>
              <w:bottom w:val="nil"/>
              <w:right w:val="nil"/>
            </w:tcBorders>
          </w:tcPr>
          <w:p w14:paraId="72AFAFC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1.0315</w:t>
            </w:r>
          </w:p>
        </w:tc>
        <w:tc>
          <w:tcPr>
            <w:tcW w:w="1149" w:type="pct"/>
            <w:tcBorders>
              <w:top w:val="nil"/>
              <w:left w:val="nil"/>
              <w:bottom w:val="nil"/>
              <w:right w:val="nil"/>
            </w:tcBorders>
          </w:tcPr>
          <w:p w14:paraId="58F790F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1.3776</w:t>
            </w:r>
          </w:p>
        </w:tc>
      </w:tr>
      <w:tr w:rsidR="009C3784" w:rsidRPr="003C297B" w14:paraId="70D7BE23" w14:textId="77777777">
        <w:trPr>
          <w:jc w:val="center"/>
        </w:trPr>
        <w:tc>
          <w:tcPr>
            <w:tcW w:w="1553" w:type="pct"/>
            <w:tcBorders>
              <w:top w:val="nil"/>
              <w:left w:val="nil"/>
              <w:bottom w:val="nil"/>
              <w:right w:val="nil"/>
            </w:tcBorders>
          </w:tcPr>
          <w:p w14:paraId="624DC90B"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5D268E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(2.0478)</w:t>
            </w:r>
          </w:p>
        </w:tc>
        <w:tc>
          <w:tcPr>
            <w:tcW w:w="1149" w:type="pct"/>
            <w:tcBorders>
              <w:top w:val="nil"/>
              <w:left w:val="nil"/>
              <w:bottom w:val="nil"/>
              <w:right w:val="nil"/>
            </w:tcBorders>
          </w:tcPr>
          <w:p w14:paraId="2B3886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(2.1742)</w:t>
            </w:r>
          </w:p>
        </w:tc>
        <w:tc>
          <w:tcPr>
            <w:tcW w:w="1149" w:type="pct"/>
            <w:tcBorders>
              <w:top w:val="nil"/>
              <w:left w:val="nil"/>
              <w:bottom w:val="nil"/>
              <w:right w:val="nil"/>
            </w:tcBorders>
          </w:tcPr>
          <w:p w14:paraId="32909CA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(1.6880)</w:t>
            </w:r>
          </w:p>
        </w:tc>
      </w:tr>
      <w:tr w:rsidR="009C3784" w:rsidRPr="003C297B" w14:paraId="7E37E0ED" w14:textId="77777777">
        <w:trPr>
          <w:jc w:val="center"/>
        </w:trPr>
        <w:tc>
          <w:tcPr>
            <w:tcW w:w="1553" w:type="pct"/>
            <w:tcBorders>
              <w:top w:val="nil"/>
              <w:left w:val="nil"/>
              <w:bottom w:val="nil"/>
              <w:right w:val="nil"/>
            </w:tcBorders>
          </w:tcPr>
          <w:p w14:paraId="1FA63961"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law</w:t>
            </w:r>
          </w:p>
        </w:tc>
        <w:tc>
          <w:tcPr>
            <w:tcW w:w="1149" w:type="pct"/>
            <w:tcBorders>
              <w:top w:val="nil"/>
              <w:left w:val="nil"/>
              <w:bottom w:val="nil"/>
              <w:right w:val="nil"/>
            </w:tcBorders>
          </w:tcPr>
          <w:p w14:paraId="46F4110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-0.0005</w:t>
            </w:r>
          </w:p>
        </w:tc>
        <w:tc>
          <w:tcPr>
            <w:tcW w:w="1149" w:type="pct"/>
            <w:tcBorders>
              <w:top w:val="nil"/>
              <w:left w:val="nil"/>
              <w:bottom w:val="nil"/>
              <w:right w:val="nil"/>
            </w:tcBorders>
          </w:tcPr>
          <w:p w14:paraId="1C3E5519"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E5356DB"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5E02B835" w14:textId="77777777">
        <w:trPr>
          <w:jc w:val="center"/>
        </w:trPr>
        <w:tc>
          <w:tcPr>
            <w:tcW w:w="1553" w:type="pct"/>
            <w:tcBorders>
              <w:top w:val="nil"/>
              <w:left w:val="nil"/>
              <w:bottom w:val="nil"/>
              <w:right w:val="nil"/>
            </w:tcBorders>
          </w:tcPr>
          <w:p w14:paraId="40BCEE57"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2B105E6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(0.0047)</w:t>
            </w:r>
          </w:p>
        </w:tc>
        <w:tc>
          <w:tcPr>
            <w:tcW w:w="1149" w:type="pct"/>
            <w:tcBorders>
              <w:top w:val="nil"/>
              <w:left w:val="nil"/>
              <w:bottom w:val="nil"/>
              <w:right w:val="nil"/>
            </w:tcBorders>
          </w:tcPr>
          <w:p w14:paraId="2E01F38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BE93E2B"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7D6073C6" w14:textId="77777777">
        <w:trPr>
          <w:jc w:val="center"/>
        </w:trPr>
        <w:tc>
          <w:tcPr>
            <w:tcW w:w="1553" w:type="pct"/>
            <w:tcBorders>
              <w:top w:val="nil"/>
              <w:left w:val="nil"/>
              <w:bottom w:val="nil"/>
              <w:right w:val="nil"/>
            </w:tcBorders>
          </w:tcPr>
          <w:p w14:paraId="2961B920"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ET*Lner</w:t>
            </w:r>
          </w:p>
        </w:tc>
        <w:tc>
          <w:tcPr>
            <w:tcW w:w="1149" w:type="pct"/>
            <w:tcBorders>
              <w:top w:val="nil"/>
              <w:left w:val="nil"/>
              <w:bottom w:val="nil"/>
              <w:right w:val="nil"/>
            </w:tcBorders>
          </w:tcPr>
          <w:p w14:paraId="2507BB5F"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34ABEE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0.6433***</w:t>
            </w:r>
          </w:p>
        </w:tc>
        <w:tc>
          <w:tcPr>
            <w:tcW w:w="1149" w:type="pct"/>
            <w:tcBorders>
              <w:top w:val="nil"/>
              <w:left w:val="nil"/>
              <w:bottom w:val="nil"/>
              <w:right w:val="nil"/>
            </w:tcBorders>
          </w:tcPr>
          <w:p w14:paraId="42EC46AF"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245C7535" w14:textId="77777777">
        <w:trPr>
          <w:jc w:val="center"/>
        </w:trPr>
        <w:tc>
          <w:tcPr>
            <w:tcW w:w="1553" w:type="pct"/>
            <w:tcBorders>
              <w:top w:val="nil"/>
              <w:left w:val="nil"/>
              <w:bottom w:val="nil"/>
              <w:right w:val="nil"/>
            </w:tcBorders>
          </w:tcPr>
          <w:p w14:paraId="784668B7"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02C230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8478DD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(0.2176)</w:t>
            </w:r>
          </w:p>
        </w:tc>
        <w:tc>
          <w:tcPr>
            <w:tcW w:w="1149" w:type="pct"/>
            <w:tcBorders>
              <w:top w:val="nil"/>
              <w:left w:val="nil"/>
              <w:bottom w:val="nil"/>
              <w:right w:val="nil"/>
            </w:tcBorders>
          </w:tcPr>
          <w:p w14:paraId="6C195EF3"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4FBC04E" w14:textId="77777777">
        <w:trPr>
          <w:jc w:val="center"/>
        </w:trPr>
        <w:tc>
          <w:tcPr>
            <w:tcW w:w="1553" w:type="pct"/>
            <w:tcBorders>
              <w:top w:val="nil"/>
              <w:left w:val="nil"/>
              <w:bottom w:val="nil"/>
              <w:right w:val="nil"/>
            </w:tcBorders>
          </w:tcPr>
          <w:p w14:paraId="0A093F8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Lner</w:t>
            </w:r>
          </w:p>
        </w:tc>
        <w:tc>
          <w:tcPr>
            <w:tcW w:w="1149" w:type="pct"/>
            <w:tcBorders>
              <w:top w:val="nil"/>
              <w:left w:val="nil"/>
              <w:bottom w:val="nil"/>
              <w:right w:val="nil"/>
            </w:tcBorders>
          </w:tcPr>
          <w:p w14:paraId="1FD61C1F"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401861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-0.0168*</w:t>
            </w:r>
          </w:p>
        </w:tc>
        <w:tc>
          <w:tcPr>
            <w:tcW w:w="1149" w:type="pct"/>
            <w:tcBorders>
              <w:top w:val="nil"/>
              <w:left w:val="nil"/>
              <w:bottom w:val="nil"/>
              <w:right w:val="nil"/>
            </w:tcBorders>
          </w:tcPr>
          <w:p w14:paraId="7981D600"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474163E5" w14:textId="77777777">
        <w:trPr>
          <w:jc w:val="center"/>
        </w:trPr>
        <w:tc>
          <w:tcPr>
            <w:tcW w:w="1553" w:type="pct"/>
            <w:tcBorders>
              <w:top w:val="nil"/>
              <w:left w:val="nil"/>
              <w:bottom w:val="nil"/>
              <w:right w:val="nil"/>
            </w:tcBorders>
          </w:tcPr>
          <w:p w14:paraId="490D1F0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176BBC84"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B2BC23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(0.0096)</w:t>
            </w:r>
          </w:p>
        </w:tc>
        <w:tc>
          <w:tcPr>
            <w:tcW w:w="1149" w:type="pct"/>
            <w:tcBorders>
              <w:top w:val="nil"/>
              <w:left w:val="nil"/>
              <w:bottom w:val="nil"/>
              <w:right w:val="nil"/>
            </w:tcBorders>
          </w:tcPr>
          <w:p w14:paraId="78C561AF"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6C6A0A2E" w14:textId="77777777">
        <w:trPr>
          <w:jc w:val="center"/>
        </w:trPr>
        <w:tc>
          <w:tcPr>
            <w:tcW w:w="1553" w:type="pct"/>
            <w:tcBorders>
              <w:top w:val="nil"/>
              <w:left w:val="nil"/>
              <w:bottom w:val="nil"/>
              <w:right w:val="nil"/>
            </w:tcBorders>
          </w:tcPr>
          <w:p w14:paraId="32A222A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 Lnvent</w:t>
            </w:r>
          </w:p>
        </w:tc>
        <w:tc>
          <w:tcPr>
            <w:tcW w:w="1149" w:type="pct"/>
            <w:tcBorders>
              <w:top w:val="nil"/>
              <w:left w:val="nil"/>
              <w:bottom w:val="nil"/>
              <w:right w:val="nil"/>
            </w:tcBorders>
          </w:tcPr>
          <w:p w14:paraId="11175D8C"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86C7C48"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4E8A76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1.4688**</w:t>
            </w:r>
          </w:p>
        </w:tc>
      </w:tr>
      <w:tr w:rsidR="009C3784" w:rsidRPr="003C297B" w14:paraId="154CB6CB" w14:textId="77777777">
        <w:trPr>
          <w:jc w:val="center"/>
        </w:trPr>
        <w:tc>
          <w:tcPr>
            <w:tcW w:w="1553" w:type="pct"/>
            <w:tcBorders>
              <w:top w:val="nil"/>
              <w:left w:val="nil"/>
              <w:bottom w:val="nil"/>
              <w:right w:val="nil"/>
            </w:tcBorders>
          </w:tcPr>
          <w:p w14:paraId="3B156DA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01CDC6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2E409731"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EF4ED9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(0.7144)</w:t>
            </w:r>
          </w:p>
        </w:tc>
      </w:tr>
      <w:tr w:rsidR="009C3784" w:rsidRPr="003C297B" w14:paraId="61ABC450" w14:textId="77777777">
        <w:trPr>
          <w:jc w:val="center"/>
        </w:trPr>
        <w:tc>
          <w:tcPr>
            <w:tcW w:w="1553" w:type="pct"/>
            <w:tcBorders>
              <w:top w:val="nil"/>
              <w:left w:val="nil"/>
              <w:bottom w:val="nil"/>
              <w:right w:val="nil"/>
            </w:tcBorders>
          </w:tcPr>
          <w:p w14:paraId="3B0D4EE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Lnvent</w:t>
            </w:r>
          </w:p>
        </w:tc>
        <w:tc>
          <w:tcPr>
            <w:tcW w:w="1149" w:type="pct"/>
            <w:tcBorders>
              <w:top w:val="nil"/>
              <w:left w:val="nil"/>
              <w:bottom w:val="nil"/>
              <w:right w:val="nil"/>
            </w:tcBorders>
          </w:tcPr>
          <w:p w14:paraId="0898E6D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6CDD51D2"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198E59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0.0050</w:t>
            </w:r>
          </w:p>
        </w:tc>
      </w:tr>
      <w:tr w:rsidR="009C3784" w:rsidRPr="003C297B" w14:paraId="245E80BB" w14:textId="77777777">
        <w:trPr>
          <w:jc w:val="center"/>
        </w:trPr>
        <w:tc>
          <w:tcPr>
            <w:tcW w:w="1553" w:type="pct"/>
            <w:tcBorders>
              <w:top w:val="nil"/>
              <w:left w:val="nil"/>
              <w:bottom w:val="nil"/>
              <w:right w:val="nil"/>
            </w:tcBorders>
          </w:tcPr>
          <w:p w14:paraId="15972CB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639A82B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39960026"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A907ED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(0.0099)</w:t>
            </w:r>
          </w:p>
        </w:tc>
      </w:tr>
      <w:tr w:rsidR="009C3784" w:rsidRPr="003C297B" w14:paraId="37436106" w14:textId="77777777">
        <w:trPr>
          <w:jc w:val="center"/>
        </w:trPr>
        <w:tc>
          <w:tcPr>
            <w:tcW w:w="1553" w:type="pct"/>
            <w:tcBorders>
              <w:top w:val="nil"/>
              <w:left w:val="nil"/>
              <w:bottom w:val="nil"/>
              <w:right w:val="nil"/>
            </w:tcBorders>
          </w:tcPr>
          <w:p w14:paraId="587D471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149" w:type="pct"/>
            <w:tcBorders>
              <w:top w:val="nil"/>
              <w:left w:val="nil"/>
              <w:bottom w:val="nil"/>
              <w:right w:val="nil"/>
            </w:tcBorders>
          </w:tcPr>
          <w:p w14:paraId="591E4B2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2.1836***</w:t>
            </w:r>
          </w:p>
        </w:tc>
        <w:tc>
          <w:tcPr>
            <w:tcW w:w="1149" w:type="pct"/>
            <w:tcBorders>
              <w:top w:val="nil"/>
              <w:left w:val="nil"/>
              <w:bottom w:val="nil"/>
              <w:right w:val="nil"/>
            </w:tcBorders>
          </w:tcPr>
          <w:p w14:paraId="7A35D74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2.3690***</w:t>
            </w:r>
          </w:p>
        </w:tc>
        <w:tc>
          <w:tcPr>
            <w:tcW w:w="1149" w:type="pct"/>
            <w:tcBorders>
              <w:top w:val="nil"/>
              <w:left w:val="nil"/>
              <w:bottom w:val="nil"/>
              <w:right w:val="nil"/>
            </w:tcBorders>
          </w:tcPr>
          <w:p w14:paraId="7E91B7C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2.2099***</w:t>
            </w:r>
          </w:p>
        </w:tc>
      </w:tr>
      <w:tr w:rsidR="009C3784" w:rsidRPr="003C297B" w14:paraId="15C5DA18" w14:textId="77777777">
        <w:trPr>
          <w:jc w:val="center"/>
        </w:trPr>
        <w:tc>
          <w:tcPr>
            <w:tcW w:w="1553" w:type="pct"/>
            <w:tcBorders>
              <w:top w:val="nil"/>
              <w:left w:val="nil"/>
              <w:bottom w:val="nil"/>
              <w:right w:val="nil"/>
            </w:tcBorders>
          </w:tcPr>
          <w:p w14:paraId="2EEDEB0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785E99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(0.4964)</w:t>
            </w:r>
          </w:p>
        </w:tc>
        <w:tc>
          <w:tcPr>
            <w:tcW w:w="1149" w:type="pct"/>
            <w:tcBorders>
              <w:top w:val="nil"/>
              <w:left w:val="nil"/>
              <w:bottom w:val="nil"/>
              <w:right w:val="nil"/>
            </w:tcBorders>
          </w:tcPr>
          <w:p w14:paraId="6034A10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(0.4996)</w:t>
            </w:r>
          </w:p>
        </w:tc>
        <w:tc>
          <w:tcPr>
            <w:tcW w:w="1149" w:type="pct"/>
            <w:tcBorders>
              <w:top w:val="nil"/>
              <w:left w:val="nil"/>
              <w:bottom w:val="nil"/>
              <w:right w:val="nil"/>
            </w:tcBorders>
          </w:tcPr>
          <w:p w14:paraId="5E12E41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(0.5059)</w:t>
            </w:r>
          </w:p>
        </w:tc>
      </w:tr>
      <w:tr w:rsidR="009C3784" w:rsidRPr="003C297B" w14:paraId="0389E62D" w14:textId="77777777">
        <w:trPr>
          <w:jc w:val="center"/>
        </w:trPr>
        <w:tc>
          <w:tcPr>
            <w:tcW w:w="1553" w:type="pct"/>
            <w:tcBorders>
              <w:top w:val="nil"/>
              <w:left w:val="nil"/>
              <w:bottom w:val="nil"/>
              <w:right w:val="nil"/>
            </w:tcBorders>
          </w:tcPr>
          <w:p w14:paraId="624C8EF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lastRenderedPageBreak/>
              <w:t>Observations</w:t>
            </w:r>
          </w:p>
        </w:tc>
        <w:tc>
          <w:tcPr>
            <w:tcW w:w="1149" w:type="pct"/>
            <w:tcBorders>
              <w:top w:val="nil"/>
              <w:left w:val="nil"/>
              <w:bottom w:val="nil"/>
              <w:right w:val="nil"/>
            </w:tcBorders>
          </w:tcPr>
          <w:p w14:paraId="2E15F8D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c>
          <w:tcPr>
            <w:tcW w:w="1149" w:type="pct"/>
            <w:tcBorders>
              <w:top w:val="nil"/>
              <w:left w:val="nil"/>
              <w:bottom w:val="nil"/>
              <w:right w:val="nil"/>
            </w:tcBorders>
          </w:tcPr>
          <w:p w14:paraId="1BF933A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2,612</w:t>
            </w:r>
          </w:p>
        </w:tc>
        <w:tc>
          <w:tcPr>
            <w:tcW w:w="1149" w:type="pct"/>
            <w:tcBorders>
              <w:top w:val="nil"/>
              <w:left w:val="nil"/>
              <w:bottom w:val="nil"/>
              <w:right w:val="nil"/>
            </w:tcBorders>
          </w:tcPr>
          <w:p w14:paraId="423EEFF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r>
      <w:tr w:rsidR="009C3784" w:rsidRPr="003C297B" w14:paraId="2C5E8D95" w14:textId="77777777">
        <w:trPr>
          <w:jc w:val="center"/>
        </w:trPr>
        <w:tc>
          <w:tcPr>
            <w:tcW w:w="1553" w:type="pct"/>
            <w:tcBorders>
              <w:top w:val="nil"/>
              <w:left w:val="nil"/>
              <w:bottom w:val="nil"/>
              <w:right w:val="nil"/>
            </w:tcBorders>
          </w:tcPr>
          <w:p w14:paraId="5C500C56"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149" w:type="pct"/>
            <w:tcBorders>
              <w:top w:val="nil"/>
              <w:left w:val="nil"/>
              <w:bottom w:val="nil"/>
              <w:right w:val="nil"/>
            </w:tcBorders>
          </w:tcPr>
          <w:p w14:paraId="05F61DB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149" w:type="pct"/>
            <w:tcBorders>
              <w:top w:val="nil"/>
              <w:left w:val="nil"/>
              <w:bottom w:val="nil"/>
              <w:right w:val="nil"/>
            </w:tcBorders>
          </w:tcPr>
          <w:p w14:paraId="4DDF444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149" w:type="pct"/>
            <w:tcBorders>
              <w:top w:val="nil"/>
              <w:left w:val="nil"/>
              <w:bottom w:val="nil"/>
              <w:right w:val="nil"/>
            </w:tcBorders>
          </w:tcPr>
          <w:p w14:paraId="094B649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0.773</w:t>
            </w:r>
          </w:p>
        </w:tc>
      </w:tr>
      <w:tr w:rsidR="009C3784" w:rsidRPr="003C297B" w14:paraId="7CC6EA18" w14:textId="77777777">
        <w:trPr>
          <w:jc w:val="center"/>
        </w:trPr>
        <w:tc>
          <w:tcPr>
            <w:tcW w:w="1553" w:type="pct"/>
            <w:tcBorders>
              <w:top w:val="nil"/>
              <w:left w:val="nil"/>
              <w:bottom w:val="nil"/>
              <w:right w:val="nil"/>
            </w:tcBorders>
          </w:tcPr>
          <w:p w14:paraId="426A64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149" w:type="pct"/>
            <w:tcBorders>
              <w:top w:val="nil"/>
              <w:left w:val="nil"/>
              <w:bottom w:val="nil"/>
              <w:right w:val="nil"/>
            </w:tcBorders>
          </w:tcPr>
          <w:p w14:paraId="06A6CDA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482C14D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5E29985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62624F65" w14:textId="77777777">
        <w:trPr>
          <w:jc w:val="center"/>
        </w:trPr>
        <w:tc>
          <w:tcPr>
            <w:tcW w:w="1553" w:type="pct"/>
            <w:tcBorders>
              <w:top w:val="nil"/>
              <w:left w:val="nil"/>
              <w:bottom w:val="nil"/>
              <w:right w:val="nil"/>
            </w:tcBorders>
          </w:tcPr>
          <w:p w14:paraId="760F9167"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149" w:type="pct"/>
            <w:tcBorders>
              <w:top w:val="nil"/>
              <w:left w:val="nil"/>
              <w:bottom w:val="nil"/>
              <w:right w:val="nil"/>
            </w:tcBorders>
          </w:tcPr>
          <w:p w14:paraId="4E4A11D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0A9AE42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732EB85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4832DD4" w14:textId="77777777">
        <w:trPr>
          <w:jc w:val="center"/>
        </w:trPr>
        <w:tc>
          <w:tcPr>
            <w:tcW w:w="1553" w:type="pct"/>
            <w:tcBorders>
              <w:top w:val="nil"/>
              <w:left w:val="nil"/>
              <w:bottom w:val="nil"/>
              <w:right w:val="nil"/>
            </w:tcBorders>
          </w:tcPr>
          <w:p w14:paraId="708CD0A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149" w:type="pct"/>
            <w:tcBorders>
              <w:top w:val="nil"/>
              <w:left w:val="nil"/>
              <w:bottom w:val="nil"/>
              <w:right w:val="nil"/>
            </w:tcBorders>
          </w:tcPr>
          <w:p w14:paraId="652D4CE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15EC9A5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30E962E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D5FD438" w14:textId="77777777">
        <w:trPr>
          <w:jc w:val="center"/>
        </w:trPr>
        <w:tc>
          <w:tcPr>
            <w:tcW w:w="1553" w:type="pct"/>
            <w:tcBorders>
              <w:top w:val="nil"/>
              <w:left w:val="nil"/>
              <w:bottom w:val="nil"/>
              <w:right w:val="nil"/>
            </w:tcBorders>
          </w:tcPr>
          <w:p w14:paraId="3781DA8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149" w:type="pct"/>
            <w:tcBorders>
              <w:top w:val="nil"/>
              <w:left w:val="nil"/>
              <w:bottom w:val="nil"/>
              <w:right w:val="nil"/>
            </w:tcBorders>
          </w:tcPr>
          <w:p w14:paraId="0BAA70C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24B61B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794CAB9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CB4F497" w14:textId="77777777">
        <w:tblPrEx>
          <w:tblBorders>
            <w:bottom w:val="single" w:sz="6" w:space="0" w:color="auto"/>
          </w:tblBorders>
        </w:tblPrEx>
        <w:trPr>
          <w:jc w:val="center"/>
        </w:trPr>
        <w:tc>
          <w:tcPr>
            <w:tcW w:w="1553" w:type="pct"/>
            <w:tcBorders>
              <w:top w:val="nil"/>
              <w:left w:val="nil"/>
              <w:bottom w:val="single" w:sz="6" w:space="0" w:color="auto"/>
              <w:right w:val="nil"/>
            </w:tcBorders>
          </w:tcPr>
          <w:p w14:paraId="305D0E5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149" w:type="pct"/>
            <w:tcBorders>
              <w:top w:val="nil"/>
              <w:left w:val="nil"/>
              <w:bottom w:val="single" w:sz="6" w:space="0" w:color="auto"/>
              <w:right w:val="nil"/>
            </w:tcBorders>
          </w:tcPr>
          <w:p w14:paraId="7CFBB03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single" w:sz="6" w:space="0" w:color="auto"/>
              <w:right w:val="nil"/>
            </w:tcBorders>
          </w:tcPr>
          <w:p w14:paraId="5EA4FA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single" w:sz="6" w:space="0" w:color="auto"/>
              <w:right w:val="nil"/>
            </w:tcBorders>
          </w:tcPr>
          <w:p w14:paraId="7A28724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5054943A" w14:textId="7154F876" w:rsidR="009C3784" w:rsidRDefault="007C10D5">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 xml:space="preserve">(4) </w:t>
      </w:r>
      <w:r w:rsidR="00D95DA7">
        <w:rPr>
          <w:rFonts w:ascii="Times New Roman" w:eastAsia="Microsoft YaHei" w:hAnsi="Times New Roman" w:cs="Times New Roman" w:hint="eastAsia"/>
          <w:sz w:val="22"/>
          <w:szCs w:val="24"/>
        </w:rPr>
        <w:t>Resolve collusion between government and business</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Drawing on the research of</w:t>
      </w:r>
      <w:r w:rsidR="0047354F">
        <w:rPr>
          <w:rFonts w:ascii="Times New Roman" w:eastAsia="Microsoft YaHei" w:hAnsi="Times New Roman" w:cs="Times New Roman" w:hint="eastAsia"/>
          <w:sz w:val="22"/>
          <w:szCs w:val="24"/>
        </w:rPr>
        <w:t xml:space="preserve"> </w:t>
      </w:r>
      <w:r w:rsidR="0047354F" w:rsidRPr="00AA289B">
        <w:rPr>
          <w:rFonts w:ascii="Times New Roman" w:eastAsia="Microsoft YaHei" w:hAnsi="Times New Roman" w:cs="Times New Roman" w:hint="eastAsia"/>
          <w:sz w:val="22"/>
          <w:szCs w:val="24"/>
        </w:rPr>
        <w:t>Porter, M. E. (2005)</w:t>
      </w:r>
      <w:r w:rsidR="00D95DA7">
        <w:rPr>
          <w:rFonts w:ascii="Times New Roman" w:eastAsia="Microsoft YaHei" w:hAnsi="Times New Roman" w:cs="Times New Roman" w:hint="eastAsia"/>
          <w:sz w:val="22"/>
          <w:szCs w:val="24"/>
        </w:rPr>
        <w:t>, this paper collects information on political connections among listed companies from their executives' resumes to construct a variable called corporate political connection (pc). The specific measurement method is consistent with that of</w:t>
      </w:r>
      <w:r w:rsidR="00AA289B">
        <w:rPr>
          <w:rFonts w:ascii="Times New Roman" w:eastAsia="Microsoft YaHei" w:hAnsi="Times New Roman" w:cs="Times New Roman" w:hint="eastAsia"/>
          <w:sz w:val="22"/>
          <w:szCs w:val="24"/>
        </w:rPr>
        <w:t xml:space="preserve"> </w:t>
      </w:r>
      <w:r w:rsidR="00AA289B" w:rsidRPr="00AA289B">
        <w:rPr>
          <w:rFonts w:ascii="Times New Roman" w:eastAsia="Microsoft YaHei" w:hAnsi="Times New Roman" w:cs="Times New Roman" w:hint="eastAsia"/>
          <w:sz w:val="22"/>
          <w:szCs w:val="24"/>
        </w:rPr>
        <w:t xml:space="preserve">Esty, D. C. </w:t>
      </w:r>
      <w:r w:rsidR="00AA289B">
        <w:rPr>
          <w:rFonts w:ascii="Times New Roman" w:eastAsia="Microsoft YaHei" w:hAnsi="Times New Roman" w:cs="Times New Roman" w:hint="eastAsia"/>
          <w:sz w:val="22"/>
          <w:szCs w:val="24"/>
        </w:rPr>
        <w:t>and</w:t>
      </w:r>
      <w:r w:rsidR="00AA289B" w:rsidRPr="00AA289B">
        <w:rPr>
          <w:rFonts w:ascii="Times New Roman" w:eastAsia="Microsoft YaHei" w:hAnsi="Times New Roman" w:cs="Times New Roman" w:hint="eastAsia"/>
          <w:sz w:val="22"/>
          <w:szCs w:val="24"/>
        </w:rPr>
        <w:t xml:space="preserve"> Porter, M. E. (2005)</w:t>
      </w:r>
      <w:r w:rsidR="00D95DA7">
        <w:rPr>
          <w:rFonts w:ascii="Times New Roman" w:eastAsia="Microsoft YaHei" w:hAnsi="Times New Roman" w:cs="Times New Roman" w:hint="eastAsia"/>
          <w:sz w:val="22"/>
          <w:szCs w:val="24"/>
        </w:rPr>
        <w:t xml:space="preserve">. Furthermore, based on the degree of political connection between listed companies and enterprises, the political connection is categorized into four levels: district and county level and below (pc_1), city level (pc_2), provincial level (pc_3), and national level (pc_4). The table presents the specific regression results. The results indicate that after incorporating the political connection control variable, the positive impact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on environmental performance has not significantly changed, and the significance level remains unchanged compared to the baseline regression. The regression coefficients in Table 10 have not undergone significant changes. The empirical results suggest that corporate political connection does not significantly affect the policy effect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on environmental performance improvement, and collusion between the government and enterprises is unlikely to influence the implementation effect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w:t>
      </w:r>
    </w:p>
    <w:p w14:paraId="57C764B6"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 xml:space="preserve">Table 10 Mechanism Analysis 2 </w:t>
      </w:r>
      <w:r w:rsidR="007C10D5" w:rsidRPr="00E86B17">
        <w:rPr>
          <w:rFonts w:ascii="Times New Roman" w:eastAsia="Microsoft YaHei" w:hAnsi="Times New Roman" w:cs="Times New Roman"/>
          <w:b/>
          <w:sz w:val="22"/>
          <w:szCs w:val="24"/>
        </w:rPr>
        <w:t>--</w:t>
      </w:r>
      <w:r w:rsidRPr="00E86B17">
        <w:rPr>
          <w:rFonts w:ascii="Times New Roman" w:eastAsia="Microsoft YaHei" w:hAnsi="Times New Roman" w:cs="Times New Roman" w:hint="eastAsia"/>
          <w:b/>
          <w:sz w:val="22"/>
          <w:szCs w:val="24"/>
        </w:rPr>
        <w:t>Resolve collusion between government and enterprise</w:t>
      </w:r>
    </w:p>
    <w:tbl>
      <w:tblPr>
        <w:tblW w:w="5000" w:type="pct"/>
        <w:jc w:val="center"/>
        <w:tblCellMar>
          <w:left w:w="75" w:type="dxa"/>
          <w:right w:w="75" w:type="dxa"/>
        </w:tblCellMar>
        <w:tblLook w:val="04A0" w:firstRow="1" w:lastRow="0" w:firstColumn="1" w:lastColumn="0" w:noHBand="0" w:noVBand="1"/>
      </w:tblPr>
      <w:tblGrid>
        <w:gridCol w:w="3636"/>
        <w:gridCol w:w="3001"/>
        <w:gridCol w:w="3001"/>
      </w:tblGrid>
      <w:tr w:rsidR="009C3784" w:rsidRPr="003C297B" w14:paraId="2D404A4D" w14:textId="77777777">
        <w:trPr>
          <w:jc w:val="center"/>
        </w:trPr>
        <w:tc>
          <w:tcPr>
            <w:tcW w:w="1886" w:type="pct"/>
            <w:tcBorders>
              <w:top w:val="single" w:sz="6" w:space="0" w:color="auto"/>
              <w:left w:val="nil"/>
              <w:bottom w:val="nil"/>
              <w:right w:val="nil"/>
            </w:tcBorders>
          </w:tcPr>
          <w:p w14:paraId="176F8CAF"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single" w:sz="6" w:space="0" w:color="auto"/>
              <w:left w:val="nil"/>
              <w:bottom w:val="nil"/>
              <w:right w:val="nil"/>
            </w:tcBorders>
          </w:tcPr>
          <w:p w14:paraId="2D74E50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w:t>
            </w:r>
          </w:p>
        </w:tc>
        <w:tc>
          <w:tcPr>
            <w:tcW w:w="1557" w:type="pct"/>
            <w:tcBorders>
              <w:top w:val="single" w:sz="6" w:space="0" w:color="auto"/>
              <w:left w:val="nil"/>
              <w:bottom w:val="nil"/>
              <w:right w:val="nil"/>
            </w:tcBorders>
          </w:tcPr>
          <w:p w14:paraId="7881F9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w:t>
            </w:r>
          </w:p>
        </w:tc>
      </w:tr>
      <w:tr w:rsidR="009C3784" w:rsidRPr="003C297B" w14:paraId="2B2AD489" w14:textId="77777777">
        <w:trPr>
          <w:jc w:val="center"/>
        </w:trPr>
        <w:tc>
          <w:tcPr>
            <w:tcW w:w="1886" w:type="pct"/>
            <w:tcBorders>
              <w:top w:val="nil"/>
              <w:left w:val="nil"/>
              <w:bottom w:val="single" w:sz="6" w:space="0" w:color="auto"/>
              <w:right w:val="nil"/>
            </w:tcBorders>
          </w:tcPr>
          <w:p w14:paraId="166F2CA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single" w:sz="6" w:space="0" w:color="auto"/>
              <w:right w:val="nil"/>
            </w:tcBorders>
          </w:tcPr>
          <w:p w14:paraId="421039B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557" w:type="pct"/>
            <w:tcBorders>
              <w:top w:val="nil"/>
              <w:left w:val="nil"/>
              <w:bottom w:val="single" w:sz="6" w:space="0" w:color="auto"/>
              <w:right w:val="nil"/>
            </w:tcBorders>
          </w:tcPr>
          <w:p w14:paraId="0381F1E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r>
      <w:tr w:rsidR="009C3784" w:rsidRPr="003C297B" w14:paraId="3B09214E" w14:textId="77777777">
        <w:trPr>
          <w:jc w:val="center"/>
        </w:trPr>
        <w:tc>
          <w:tcPr>
            <w:tcW w:w="1886" w:type="pct"/>
            <w:tcBorders>
              <w:top w:val="nil"/>
              <w:left w:val="nil"/>
              <w:bottom w:val="nil"/>
              <w:right w:val="nil"/>
            </w:tcBorders>
          </w:tcPr>
          <w:p w14:paraId="2528518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557" w:type="pct"/>
            <w:tcBorders>
              <w:top w:val="nil"/>
              <w:left w:val="nil"/>
              <w:bottom w:val="nil"/>
              <w:right w:val="nil"/>
            </w:tcBorders>
          </w:tcPr>
          <w:p w14:paraId="16CC860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0.0347**</w:t>
            </w:r>
          </w:p>
        </w:tc>
        <w:tc>
          <w:tcPr>
            <w:tcW w:w="1557" w:type="pct"/>
            <w:tcBorders>
              <w:top w:val="nil"/>
              <w:left w:val="nil"/>
              <w:bottom w:val="nil"/>
              <w:right w:val="nil"/>
            </w:tcBorders>
          </w:tcPr>
          <w:p w14:paraId="3F3DA5A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0.0352**</w:t>
            </w:r>
          </w:p>
        </w:tc>
      </w:tr>
      <w:tr w:rsidR="009C3784" w:rsidRPr="003C297B" w14:paraId="13329FD0" w14:textId="77777777">
        <w:trPr>
          <w:jc w:val="center"/>
        </w:trPr>
        <w:tc>
          <w:tcPr>
            <w:tcW w:w="1886" w:type="pct"/>
            <w:tcBorders>
              <w:top w:val="nil"/>
              <w:left w:val="nil"/>
              <w:bottom w:val="nil"/>
              <w:right w:val="nil"/>
            </w:tcBorders>
          </w:tcPr>
          <w:p w14:paraId="684F902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4F5A8B8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(0.0157)</w:t>
            </w:r>
          </w:p>
        </w:tc>
        <w:tc>
          <w:tcPr>
            <w:tcW w:w="1557" w:type="pct"/>
            <w:tcBorders>
              <w:top w:val="nil"/>
              <w:left w:val="nil"/>
              <w:bottom w:val="nil"/>
              <w:right w:val="nil"/>
            </w:tcBorders>
          </w:tcPr>
          <w:p w14:paraId="5FA68B1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(0.0155)</w:t>
            </w:r>
          </w:p>
        </w:tc>
      </w:tr>
      <w:tr w:rsidR="009C3784" w:rsidRPr="003C297B" w14:paraId="6E0635DE" w14:textId="77777777">
        <w:trPr>
          <w:jc w:val="center"/>
        </w:trPr>
        <w:tc>
          <w:tcPr>
            <w:tcW w:w="1886" w:type="pct"/>
            <w:tcBorders>
              <w:top w:val="nil"/>
              <w:left w:val="nil"/>
              <w:bottom w:val="nil"/>
              <w:right w:val="nil"/>
            </w:tcBorders>
          </w:tcPr>
          <w:p w14:paraId="1829B9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w:t>
            </w:r>
          </w:p>
        </w:tc>
        <w:tc>
          <w:tcPr>
            <w:tcW w:w="1557" w:type="pct"/>
            <w:tcBorders>
              <w:top w:val="nil"/>
              <w:left w:val="nil"/>
              <w:bottom w:val="nil"/>
              <w:right w:val="nil"/>
            </w:tcBorders>
          </w:tcPr>
          <w:p w14:paraId="13C6827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-0.0014</w:t>
            </w:r>
          </w:p>
        </w:tc>
        <w:tc>
          <w:tcPr>
            <w:tcW w:w="1557" w:type="pct"/>
            <w:tcBorders>
              <w:top w:val="nil"/>
              <w:left w:val="nil"/>
              <w:bottom w:val="nil"/>
              <w:right w:val="nil"/>
            </w:tcBorders>
          </w:tcPr>
          <w:p w14:paraId="4186DE2D"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62FE4BB0" w14:textId="77777777">
        <w:trPr>
          <w:jc w:val="center"/>
        </w:trPr>
        <w:tc>
          <w:tcPr>
            <w:tcW w:w="1886" w:type="pct"/>
            <w:tcBorders>
              <w:top w:val="nil"/>
              <w:left w:val="nil"/>
              <w:bottom w:val="nil"/>
              <w:right w:val="nil"/>
            </w:tcBorders>
          </w:tcPr>
          <w:p w14:paraId="7F4D7776"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59ECE6C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(0.0133)</w:t>
            </w:r>
          </w:p>
        </w:tc>
        <w:tc>
          <w:tcPr>
            <w:tcW w:w="1557" w:type="pct"/>
            <w:tcBorders>
              <w:top w:val="nil"/>
              <w:left w:val="nil"/>
              <w:bottom w:val="nil"/>
              <w:right w:val="nil"/>
            </w:tcBorders>
          </w:tcPr>
          <w:p w14:paraId="705E0BF9"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CEC6086" w14:textId="77777777">
        <w:trPr>
          <w:jc w:val="center"/>
        </w:trPr>
        <w:tc>
          <w:tcPr>
            <w:tcW w:w="1886" w:type="pct"/>
            <w:tcBorders>
              <w:top w:val="nil"/>
              <w:left w:val="nil"/>
              <w:bottom w:val="nil"/>
              <w:right w:val="nil"/>
            </w:tcBorders>
          </w:tcPr>
          <w:p w14:paraId="50AA7F1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pc_1</w:t>
            </w:r>
          </w:p>
        </w:tc>
        <w:tc>
          <w:tcPr>
            <w:tcW w:w="1557" w:type="pct"/>
            <w:tcBorders>
              <w:top w:val="nil"/>
              <w:left w:val="nil"/>
              <w:bottom w:val="nil"/>
              <w:right w:val="nil"/>
            </w:tcBorders>
          </w:tcPr>
          <w:p w14:paraId="37D9B11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356C0AF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0.0057</w:t>
            </w:r>
          </w:p>
        </w:tc>
      </w:tr>
      <w:tr w:rsidR="009C3784" w:rsidRPr="003C297B" w14:paraId="76D63C45" w14:textId="77777777">
        <w:trPr>
          <w:jc w:val="center"/>
        </w:trPr>
        <w:tc>
          <w:tcPr>
            <w:tcW w:w="1886" w:type="pct"/>
            <w:tcBorders>
              <w:top w:val="nil"/>
              <w:left w:val="nil"/>
              <w:bottom w:val="nil"/>
              <w:right w:val="nil"/>
            </w:tcBorders>
          </w:tcPr>
          <w:p w14:paraId="633FA528"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1BAFDD61"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44CC90A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(0.0540)</w:t>
            </w:r>
          </w:p>
        </w:tc>
      </w:tr>
      <w:tr w:rsidR="009C3784" w:rsidRPr="003C297B" w14:paraId="52E0B5A7" w14:textId="77777777">
        <w:trPr>
          <w:jc w:val="center"/>
        </w:trPr>
        <w:tc>
          <w:tcPr>
            <w:tcW w:w="1886" w:type="pct"/>
            <w:tcBorders>
              <w:top w:val="nil"/>
              <w:left w:val="nil"/>
              <w:bottom w:val="nil"/>
              <w:right w:val="nil"/>
            </w:tcBorders>
          </w:tcPr>
          <w:p w14:paraId="13D3089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pc_2</w:t>
            </w:r>
          </w:p>
        </w:tc>
        <w:tc>
          <w:tcPr>
            <w:tcW w:w="1557" w:type="pct"/>
            <w:tcBorders>
              <w:top w:val="nil"/>
              <w:left w:val="nil"/>
              <w:bottom w:val="nil"/>
              <w:right w:val="nil"/>
            </w:tcBorders>
          </w:tcPr>
          <w:p w14:paraId="21FD8DDB"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737CDD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-0.0137</w:t>
            </w:r>
          </w:p>
        </w:tc>
      </w:tr>
      <w:tr w:rsidR="009C3784" w:rsidRPr="003C297B" w14:paraId="6AECA498" w14:textId="77777777">
        <w:trPr>
          <w:jc w:val="center"/>
        </w:trPr>
        <w:tc>
          <w:tcPr>
            <w:tcW w:w="1886" w:type="pct"/>
            <w:tcBorders>
              <w:top w:val="nil"/>
              <w:left w:val="nil"/>
              <w:bottom w:val="nil"/>
              <w:right w:val="nil"/>
            </w:tcBorders>
          </w:tcPr>
          <w:p w14:paraId="11A5ADE0"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1C0C149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67D95E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(0.0218)</w:t>
            </w:r>
          </w:p>
        </w:tc>
      </w:tr>
      <w:tr w:rsidR="009C3784" w:rsidRPr="003C297B" w14:paraId="5D77FF61" w14:textId="77777777">
        <w:trPr>
          <w:jc w:val="center"/>
        </w:trPr>
        <w:tc>
          <w:tcPr>
            <w:tcW w:w="1886" w:type="pct"/>
            <w:tcBorders>
              <w:top w:val="nil"/>
              <w:left w:val="nil"/>
              <w:bottom w:val="nil"/>
              <w:right w:val="nil"/>
            </w:tcBorders>
          </w:tcPr>
          <w:p w14:paraId="137347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pc_3</w:t>
            </w:r>
          </w:p>
        </w:tc>
        <w:tc>
          <w:tcPr>
            <w:tcW w:w="1557" w:type="pct"/>
            <w:tcBorders>
              <w:top w:val="nil"/>
              <w:left w:val="nil"/>
              <w:bottom w:val="nil"/>
              <w:right w:val="nil"/>
            </w:tcBorders>
          </w:tcPr>
          <w:p w14:paraId="489311EB"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4D23476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0.0036</w:t>
            </w:r>
          </w:p>
        </w:tc>
      </w:tr>
      <w:tr w:rsidR="009C3784" w:rsidRPr="003C297B" w14:paraId="70825A7D" w14:textId="77777777">
        <w:trPr>
          <w:jc w:val="center"/>
        </w:trPr>
        <w:tc>
          <w:tcPr>
            <w:tcW w:w="1886" w:type="pct"/>
            <w:tcBorders>
              <w:top w:val="nil"/>
              <w:left w:val="nil"/>
              <w:bottom w:val="nil"/>
              <w:right w:val="nil"/>
            </w:tcBorders>
          </w:tcPr>
          <w:p w14:paraId="5F8D23D2"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44A42B98"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69294D2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(0.0201)</w:t>
            </w:r>
          </w:p>
        </w:tc>
      </w:tr>
      <w:tr w:rsidR="009C3784" w:rsidRPr="003C297B" w14:paraId="5AB10384" w14:textId="77777777">
        <w:trPr>
          <w:jc w:val="center"/>
        </w:trPr>
        <w:tc>
          <w:tcPr>
            <w:tcW w:w="1886" w:type="pct"/>
            <w:tcBorders>
              <w:top w:val="nil"/>
              <w:left w:val="nil"/>
              <w:bottom w:val="nil"/>
              <w:right w:val="nil"/>
            </w:tcBorders>
          </w:tcPr>
          <w:p w14:paraId="53D64E84"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pc_4</w:t>
            </w:r>
          </w:p>
        </w:tc>
        <w:tc>
          <w:tcPr>
            <w:tcW w:w="1557" w:type="pct"/>
            <w:tcBorders>
              <w:top w:val="nil"/>
              <w:left w:val="nil"/>
              <w:bottom w:val="nil"/>
              <w:right w:val="nil"/>
            </w:tcBorders>
          </w:tcPr>
          <w:p w14:paraId="5F8F076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0D1ADD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0.0028</w:t>
            </w:r>
          </w:p>
        </w:tc>
      </w:tr>
      <w:tr w:rsidR="009C3784" w:rsidRPr="003C297B" w14:paraId="2B714B59" w14:textId="77777777">
        <w:trPr>
          <w:jc w:val="center"/>
        </w:trPr>
        <w:tc>
          <w:tcPr>
            <w:tcW w:w="1886" w:type="pct"/>
            <w:tcBorders>
              <w:top w:val="nil"/>
              <w:left w:val="nil"/>
              <w:bottom w:val="nil"/>
              <w:right w:val="nil"/>
            </w:tcBorders>
          </w:tcPr>
          <w:p w14:paraId="53E0D4BD"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734E452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CC0CC7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(0.0203)</w:t>
            </w:r>
          </w:p>
        </w:tc>
      </w:tr>
      <w:tr w:rsidR="009C3784" w:rsidRPr="003C297B" w14:paraId="67FE9E1D" w14:textId="77777777">
        <w:trPr>
          <w:jc w:val="center"/>
        </w:trPr>
        <w:tc>
          <w:tcPr>
            <w:tcW w:w="1886" w:type="pct"/>
            <w:tcBorders>
              <w:top w:val="nil"/>
              <w:left w:val="nil"/>
              <w:bottom w:val="nil"/>
              <w:right w:val="nil"/>
            </w:tcBorders>
          </w:tcPr>
          <w:p w14:paraId="346465CE"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557" w:type="pct"/>
            <w:tcBorders>
              <w:top w:val="nil"/>
              <w:left w:val="nil"/>
              <w:bottom w:val="nil"/>
              <w:right w:val="nil"/>
            </w:tcBorders>
          </w:tcPr>
          <w:p w14:paraId="0AA26CD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2.1847***</w:t>
            </w:r>
          </w:p>
        </w:tc>
        <w:tc>
          <w:tcPr>
            <w:tcW w:w="1557" w:type="pct"/>
            <w:tcBorders>
              <w:top w:val="nil"/>
              <w:left w:val="nil"/>
              <w:bottom w:val="nil"/>
              <w:right w:val="nil"/>
            </w:tcBorders>
          </w:tcPr>
          <w:p w14:paraId="14359E1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2.2011***</w:t>
            </w:r>
          </w:p>
        </w:tc>
      </w:tr>
      <w:tr w:rsidR="009C3784" w:rsidRPr="003C297B" w14:paraId="1FD470A2" w14:textId="77777777">
        <w:trPr>
          <w:jc w:val="center"/>
        </w:trPr>
        <w:tc>
          <w:tcPr>
            <w:tcW w:w="1886" w:type="pct"/>
            <w:tcBorders>
              <w:top w:val="nil"/>
              <w:left w:val="nil"/>
              <w:bottom w:val="nil"/>
              <w:right w:val="nil"/>
            </w:tcBorders>
          </w:tcPr>
          <w:p w14:paraId="2E049C7F"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01F485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(0.4899)</w:t>
            </w:r>
          </w:p>
        </w:tc>
        <w:tc>
          <w:tcPr>
            <w:tcW w:w="1557" w:type="pct"/>
            <w:tcBorders>
              <w:top w:val="nil"/>
              <w:left w:val="nil"/>
              <w:bottom w:val="nil"/>
              <w:right w:val="nil"/>
            </w:tcBorders>
          </w:tcPr>
          <w:p w14:paraId="1CAFD03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(0.4963)</w:t>
            </w:r>
          </w:p>
        </w:tc>
      </w:tr>
      <w:tr w:rsidR="009C3784" w:rsidRPr="003C297B" w14:paraId="3038A24D" w14:textId="77777777">
        <w:trPr>
          <w:jc w:val="center"/>
        </w:trPr>
        <w:tc>
          <w:tcPr>
            <w:tcW w:w="1886" w:type="pct"/>
            <w:tcBorders>
              <w:top w:val="nil"/>
              <w:left w:val="nil"/>
              <w:bottom w:val="nil"/>
              <w:right w:val="nil"/>
            </w:tcBorders>
          </w:tcPr>
          <w:p w14:paraId="33F1B15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Observations</w:t>
            </w:r>
          </w:p>
        </w:tc>
        <w:tc>
          <w:tcPr>
            <w:tcW w:w="1557" w:type="pct"/>
            <w:tcBorders>
              <w:top w:val="nil"/>
              <w:left w:val="nil"/>
              <w:bottom w:val="nil"/>
              <w:right w:val="nil"/>
            </w:tcBorders>
          </w:tcPr>
          <w:p w14:paraId="5A2E5E0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c>
          <w:tcPr>
            <w:tcW w:w="1557" w:type="pct"/>
            <w:tcBorders>
              <w:top w:val="nil"/>
              <w:left w:val="nil"/>
              <w:bottom w:val="nil"/>
              <w:right w:val="nil"/>
            </w:tcBorders>
          </w:tcPr>
          <w:p w14:paraId="3FDA2E8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r>
      <w:tr w:rsidR="009C3784" w:rsidRPr="003C297B" w14:paraId="5E149111" w14:textId="77777777">
        <w:trPr>
          <w:jc w:val="center"/>
        </w:trPr>
        <w:tc>
          <w:tcPr>
            <w:tcW w:w="1886" w:type="pct"/>
            <w:tcBorders>
              <w:top w:val="nil"/>
              <w:left w:val="nil"/>
              <w:bottom w:val="nil"/>
              <w:right w:val="nil"/>
            </w:tcBorders>
          </w:tcPr>
          <w:p w14:paraId="07B73DF7"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557" w:type="pct"/>
            <w:tcBorders>
              <w:top w:val="nil"/>
              <w:left w:val="nil"/>
              <w:bottom w:val="nil"/>
              <w:right w:val="nil"/>
            </w:tcBorders>
          </w:tcPr>
          <w:p w14:paraId="1BD0E5F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0.774</w:t>
            </w:r>
          </w:p>
        </w:tc>
        <w:tc>
          <w:tcPr>
            <w:tcW w:w="1557" w:type="pct"/>
            <w:tcBorders>
              <w:top w:val="nil"/>
              <w:left w:val="nil"/>
              <w:bottom w:val="nil"/>
              <w:right w:val="nil"/>
            </w:tcBorders>
          </w:tcPr>
          <w:p w14:paraId="381378F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0.774</w:t>
            </w:r>
          </w:p>
        </w:tc>
      </w:tr>
      <w:tr w:rsidR="009C3784" w:rsidRPr="003C297B" w14:paraId="562AC963" w14:textId="77777777">
        <w:trPr>
          <w:jc w:val="center"/>
        </w:trPr>
        <w:tc>
          <w:tcPr>
            <w:tcW w:w="1886" w:type="pct"/>
            <w:tcBorders>
              <w:top w:val="nil"/>
              <w:left w:val="nil"/>
              <w:bottom w:val="nil"/>
              <w:right w:val="nil"/>
            </w:tcBorders>
          </w:tcPr>
          <w:p w14:paraId="560E243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557" w:type="pct"/>
            <w:tcBorders>
              <w:top w:val="nil"/>
              <w:left w:val="nil"/>
              <w:bottom w:val="nil"/>
              <w:right w:val="nil"/>
            </w:tcBorders>
          </w:tcPr>
          <w:p w14:paraId="7791746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22A91D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5DAC2C6A" w14:textId="77777777">
        <w:trPr>
          <w:jc w:val="center"/>
        </w:trPr>
        <w:tc>
          <w:tcPr>
            <w:tcW w:w="1886" w:type="pct"/>
            <w:tcBorders>
              <w:top w:val="nil"/>
              <w:left w:val="nil"/>
              <w:bottom w:val="nil"/>
              <w:right w:val="nil"/>
            </w:tcBorders>
          </w:tcPr>
          <w:p w14:paraId="427CCFB4"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557" w:type="pct"/>
            <w:tcBorders>
              <w:top w:val="nil"/>
              <w:left w:val="nil"/>
              <w:bottom w:val="nil"/>
              <w:right w:val="nil"/>
            </w:tcBorders>
          </w:tcPr>
          <w:p w14:paraId="4939061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BAB175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1F213B2" w14:textId="77777777">
        <w:trPr>
          <w:jc w:val="center"/>
        </w:trPr>
        <w:tc>
          <w:tcPr>
            <w:tcW w:w="1886" w:type="pct"/>
            <w:tcBorders>
              <w:top w:val="nil"/>
              <w:left w:val="nil"/>
              <w:bottom w:val="nil"/>
              <w:right w:val="nil"/>
            </w:tcBorders>
          </w:tcPr>
          <w:p w14:paraId="3130D25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557" w:type="pct"/>
            <w:tcBorders>
              <w:top w:val="nil"/>
              <w:left w:val="nil"/>
              <w:bottom w:val="nil"/>
              <w:right w:val="nil"/>
            </w:tcBorders>
          </w:tcPr>
          <w:p w14:paraId="3902732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E0787D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421DBAC" w14:textId="77777777">
        <w:trPr>
          <w:jc w:val="center"/>
        </w:trPr>
        <w:tc>
          <w:tcPr>
            <w:tcW w:w="1886" w:type="pct"/>
            <w:tcBorders>
              <w:top w:val="nil"/>
              <w:left w:val="nil"/>
              <w:bottom w:val="nil"/>
              <w:right w:val="nil"/>
            </w:tcBorders>
          </w:tcPr>
          <w:p w14:paraId="6EEA8B66"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557" w:type="pct"/>
            <w:tcBorders>
              <w:top w:val="nil"/>
              <w:left w:val="nil"/>
              <w:bottom w:val="nil"/>
              <w:right w:val="nil"/>
            </w:tcBorders>
          </w:tcPr>
          <w:p w14:paraId="36F2AC1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16C08E5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5EBAA969" w14:textId="77777777">
        <w:tblPrEx>
          <w:tblBorders>
            <w:bottom w:val="single" w:sz="6" w:space="0" w:color="auto"/>
          </w:tblBorders>
        </w:tblPrEx>
        <w:trPr>
          <w:jc w:val="center"/>
        </w:trPr>
        <w:tc>
          <w:tcPr>
            <w:tcW w:w="1886" w:type="pct"/>
            <w:tcBorders>
              <w:top w:val="nil"/>
              <w:left w:val="nil"/>
              <w:bottom w:val="single" w:sz="6" w:space="0" w:color="auto"/>
              <w:right w:val="nil"/>
            </w:tcBorders>
          </w:tcPr>
          <w:p w14:paraId="51F5528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557" w:type="pct"/>
            <w:tcBorders>
              <w:top w:val="nil"/>
              <w:left w:val="nil"/>
              <w:bottom w:val="single" w:sz="6" w:space="0" w:color="auto"/>
              <w:right w:val="nil"/>
            </w:tcBorders>
          </w:tcPr>
          <w:p w14:paraId="4B6C581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single" w:sz="6" w:space="0" w:color="auto"/>
              <w:right w:val="nil"/>
            </w:tcBorders>
          </w:tcPr>
          <w:p w14:paraId="167D448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3A020E17"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lastRenderedPageBreak/>
        <w:t>7.Further analysis</w:t>
      </w:r>
    </w:p>
    <w:p w14:paraId="7BE3663D" w14:textId="47F711A8"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analysis of the mechanism indicates that, in the face of rising production and compliance costs due to increasingly stringent environmental regulations, regulated companies may find it difficult to continue rectification efforts if they cannot afford the continuously increasing operating costs. Instead, they might opt to evade environmental law enforcement, leading to a negative transfer phenomenon across regions. Does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lead to such a negative pollution transfer phenomenon? In other words, when faced with the environmental legitimacy pressure from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will companies choose to rectify or passively transfer their pollution?</w:t>
      </w:r>
    </w:p>
    <w:p w14:paraId="5DD622DA"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11. Transfer or transformation analysis</w:t>
      </w:r>
    </w:p>
    <w:tbl>
      <w:tblPr>
        <w:tblW w:w="5000" w:type="pct"/>
        <w:jc w:val="center"/>
        <w:tblCellMar>
          <w:left w:w="75" w:type="dxa"/>
          <w:right w:w="75" w:type="dxa"/>
        </w:tblCellMar>
        <w:tblLook w:val="04A0" w:firstRow="1" w:lastRow="0" w:firstColumn="1" w:lastColumn="0" w:noHBand="0" w:noVBand="1"/>
      </w:tblPr>
      <w:tblGrid>
        <w:gridCol w:w="2408"/>
        <w:gridCol w:w="2410"/>
        <w:gridCol w:w="2410"/>
        <w:gridCol w:w="2410"/>
      </w:tblGrid>
      <w:tr w:rsidR="009C3784" w:rsidRPr="003C297B" w14:paraId="33B79B40" w14:textId="77777777">
        <w:trPr>
          <w:jc w:val="center"/>
        </w:trPr>
        <w:tc>
          <w:tcPr>
            <w:tcW w:w="1249" w:type="pct"/>
            <w:tcBorders>
              <w:top w:val="single" w:sz="6" w:space="0" w:color="auto"/>
              <w:left w:val="nil"/>
              <w:bottom w:val="nil"/>
              <w:right w:val="nil"/>
            </w:tcBorders>
          </w:tcPr>
          <w:p w14:paraId="7B03E639"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single" w:sz="6" w:space="0" w:color="auto"/>
              <w:left w:val="nil"/>
              <w:bottom w:val="nil"/>
              <w:right w:val="nil"/>
            </w:tcBorders>
          </w:tcPr>
          <w:p w14:paraId="5FA4218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250" w:type="pct"/>
            <w:tcBorders>
              <w:top w:val="single" w:sz="6" w:space="0" w:color="auto"/>
              <w:left w:val="nil"/>
              <w:bottom w:val="nil"/>
              <w:right w:val="nil"/>
            </w:tcBorders>
          </w:tcPr>
          <w:p w14:paraId="36A7059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250" w:type="pct"/>
            <w:tcBorders>
              <w:top w:val="single" w:sz="6" w:space="0" w:color="auto"/>
              <w:left w:val="nil"/>
              <w:bottom w:val="nil"/>
              <w:right w:val="nil"/>
            </w:tcBorders>
          </w:tcPr>
          <w:p w14:paraId="408E71F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r>
      <w:tr w:rsidR="009C3784" w:rsidRPr="003C297B" w14:paraId="711E9B8E" w14:textId="77777777">
        <w:trPr>
          <w:jc w:val="center"/>
        </w:trPr>
        <w:tc>
          <w:tcPr>
            <w:tcW w:w="1249" w:type="pct"/>
            <w:tcBorders>
              <w:top w:val="nil"/>
              <w:left w:val="nil"/>
              <w:bottom w:val="single" w:sz="6" w:space="0" w:color="auto"/>
              <w:right w:val="nil"/>
            </w:tcBorders>
          </w:tcPr>
          <w:p w14:paraId="25CBC3C3"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single" w:sz="6" w:space="0" w:color="auto"/>
              <w:right w:val="nil"/>
            </w:tcBorders>
          </w:tcPr>
          <w:p w14:paraId="1521DDB1"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Listed company subsidiaries</w:t>
            </w:r>
          </w:p>
        </w:tc>
        <w:tc>
          <w:tcPr>
            <w:tcW w:w="1250" w:type="pct"/>
            <w:tcBorders>
              <w:top w:val="nil"/>
              <w:left w:val="nil"/>
              <w:bottom w:val="single" w:sz="6" w:space="0" w:color="auto"/>
              <w:right w:val="nil"/>
            </w:tcBorders>
          </w:tcPr>
          <w:p w14:paraId="4F429E93"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Overseas subsidiaries of listed companies</w:t>
            </w:r>
          </w:p>
        </w:tc>
        <w:tc>
          <w:tcPr>
            <w:tcW w:w="1250" w:type="pct"/>
            <w:tcBorders>
              <w:top w:val="nil"/>
              <w:left w:val="nil"/>
              <w:bottom w:val="single" w:sz="6" w:space="0" w:color="auto"/>
              <w:right w:val="nil"/>
            </w:tcBorders>
          </w:tcPr>
          <w:p w14:paraId="49CA4DFC"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Countries along the "Belt and Road"</w:t>
            </w:r>
          </w:p>
        </w:tc>
      </w:tr>
      <w:tr w:rsidR="009C3784" w:rsidRPr="003C297B" w14:paraId="6E443B7A" w14:textId="77777777">
        <w:trPr>
          <w:jc w:val="center"/>
        </w:trPr>
        <w:tc>
          <w:tcPr>
            <w:tcW w:w="1249" w:type="pct"/>
            <w:tcBorders>
              <w:top w:val="nil"/>
              <w:left w:val="nil"/>
              <w:bottom w:val="nil"/>
              <w:right w:val="nil"/>
            </w:tcBorders>
          </w:tcPr>
          <w:p w14:paraId="3E427CB7"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1250" w:type="pct"/>
            <w:tcBorders>
              <w:top w:val="nil"/>
              <w:left w:val="nil"/>
              <w:bottom w:val="nil"/>
              <w:right w:val="nil"/>
            </w:tcBorders>
          </w:tcPr>
          <w:p w14:paraId="17B742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-1.3129</w:t>
            </w:r>
          </w:p>
        </w:tc>
        <w:tc>
          <w:tcPr>
            <w:tcW w:w="1250" w:type="pct"/>
            <w:tcBorders>
              <w:top w:val="nil"/>
              <w:left w:val="nil"/>
              <w:bottom w:val="nil"/>
              <w:right w:val="nil"/>
            </w:tcBorders>
          </w:tcPr>
          <w:p w14:paraId="6C71016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-0.1744</w:t>
            </w:r>
          </w:p>
        </w:tc>
        <w:tc>
          <w:tcPr>
            <w:tcW w:w="1250" w:type="pct"/>
            <w:tcBorders>
              <w:top w:val="nil"/>
              <w:left w:val="nil"/>
              <w:bottom w:val="nil"/>
              <w:right w:val="nil"/>
            </w:tcBorders>
          </w:tcPr>
          <w:p w14:paraId="464F60E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-0.0415</w:t>
            </w:r>
          </w:p>
        </w:tc>
      </w:tr>
      <w:tr w:rsidR="009C3784" w:rsidRPr="003C297B" w14:paraId="4C511892" w14:textId="77777777">
        <w:trPr>
          <w:jc w:val="center"/>
        </w:trPr>
        <w:tc>
          <w:tcPr>
            <w:tcW w:w="1249" w:type="pct"/>
            <w:tcBorders>
              <w:top w:val="nil"/>
              <w:left w:val="nil"/>
              <w:bottom w:val="nil"/>
              <w:right w:val="nil"/>
            </w:tcBorders>
          </w:tcPr>
          <w:p w14:paraId="4AAAA9CF"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nil"/>
              <w:right w:val="nil"/>
            </w:tcBorders>
          </w:tcPr>
          <w:p w14:paraId="1041590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(1.2934)</w:t>
            </w:r>
          </w:p>
        </w:tc>
        <w:tc>
          <w:tcPr>
            <w:tcW w:w="1250" w:type="pct"/>
            <w:tcBorders>
              <w:top w:val="nil"/>
              <w:left w:val="nil"/>
              <w:bottom w:val="nil"/>
              <w:right w:val="nil"/>
            </w:tcBorders>
          </w:tcPr>
          <w:p w14:paraId="3600E11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(0.2682)</w:t>
            </w:r>
          </w:p>
        </w:tc>
        <w:tc>
          <w:tcPr>
            <w:tcW w:w="1250" w:type="pct"/>
            <w:tcBorders>
              <w:top w:val="nil"/>
              <w:left w:val="nil"/>
              <w:bottom w:val="nil"/>
              <w:right w:val="nil"/>
            </w:tcBorders>
          </w:tcPr>
          <w:p w14:paraId="5AC82C1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(0.0629)</w:t>
            </w:r>
          </w:p>
        </w:tc>
      </w:tr>
      <w:tr w:rsidR="009C3784" w:rsidRPr="003C297B" w14:paraId="3B94561B" w14:textId="77777777">
        <w:trPr>
          <w:jc w:val="center"/>
        </w:trPr>
        <w:tc>
          <w:tcPr>
            <w:tcW w:w="1249" w:type="pct"/>
            <w:tcBorders>
              <w:top w:val="nil"/>
              <w:left w:val="nil"/>
              <w:bottom w:val="nil"/>
              <w:right w:val="nil"/>
            </w:tcBorders>
          </w:tcPr>
          <w:p w14:paraId="5E28702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250" w:type="pct"/>
            <w:tcBorders>
              <w:top w:val="nil"/>
              <w:left w:val="nil"/>
              <w:bottom w:val="nil"/>
              <w:right w:val="nil"/>
            </w:tcBorders>
          </w:tcPr>
          <w:p w14:paraId="5064781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-338.2465**</w:t>
            </w:r>
          </w:p>
        </w:tc>
        <w:tc>
          <w:tcPr>
            <w:tcW w:w="1250" w:type="pct"/>
            <w:tcBorders>
              <w:top w:val="nil"/>
              <w:left w:val="nil"/>
              <w:bottom w:val="nil"/>
              <w:right w:val="nil"/>
            </w:tcBorders>
          </w:tcPr>
          <w:p w14:paraId="395EF87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-111.0276</w:t>
            </w:r>
          </w:p>
        </w:tc>
        <w:tc>
          <w:tcPr>
            <w:tcW w:w="1250" w:type="pct"/>
            <w:tcBorders>
              <w:top w:val="nil"/>
              <w:left w:val="nil"/>
              <w:bottom w:val="nil"/>
              <w:right w:val="nil"/>
            </w:tcBorders>
          </w:tcPr>
          <w:p w14:paraId="0B6EFAB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-18.9933***</w:t>
            </w:r>
          </w:p>
        </w:tc>
      </w:tr>
      <w:tr w:rsidR="009C3784" w:rsidRPr="003C297B" w14:paraId="52964380" w14:textId="77777777">
        <w:trPr>
          <w:jc w:val="center"/>
        </w:trPr>
        <w:tc>
          <w:tcPr>
            <w:tcW w:w="1249" w:type="pct"/>
            <w:tcBorders>
              <w:top w:val="nil"/>
              <w:left w:val="nil"/>
              <w:bottom w:val="nil"/>
              <w:right w:val="nil"/>
            </w:tcBorders>
          </w:tcPr>
          <w:p w14:paraId="44B822AC"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nil"/>
              <w:right w:val="nil"/>
            </w:tcBorders>
          </w:tcPr>
          <w:p w14:paraId="67170AA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(135.3622)</w:t>
            </w:r>
          </w:p>
        </w:tc>
        <w:tc>
          <w:tcPr>
            <w:tcW w:w="1250" w:type="pct"/>
            <w:tcBorders>
              <w:top w:val="nil"/>
              <w:left w:val="nil"/>
              <w:bottom w:val="nil"/>
              <w:right w:val="nil"/>
            </w:tcBorders>
          </w:tcPr>
          <w:p w14:paraId="7A00B7A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(71.4622)</w:t>
            </w:r>
          </w:p>
        </w:tc>
        <w:tc>
          <w:tcPr>
            <w:tcW w:w="1250" w:type="pct"/>
            <w:tcBorders>
              <w:top w:val="nil"/>
              <w:left w:val="nil"/>
              <w:bottom w:val="nil"/>
              <w:right w:val="nil"/>
            </w:tcBorders>
          </w:tcPr>
          <w:p w14:paraId="08918B3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(6.0323)</w:t>
            </w:r>
          </w:p>
        </w:tc>
      </w:tr>
      <w:tr w:rsidR="009C3784" w:rsidRPr="003C297B" w14:paraId="42112D88" w14:textId="77777777">
        <w:trPr>
          <w:jc w:val="center"/>
        </w:trPr>
        <w:tc>
          <w:tcPr>
            <w:tcW w:w="1249" w:type="pct"/>
            <w:tcBorders>
              <w:top w:val="nil"/>
              <w:left w:val="nil"/>
              <w:bottom w:val="nil"/>
              <w:right w:val="nil"/>
            </w:tcBorders>
          </w:tcPr>
          <w:p w14:paraId="69A857C5"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250" w:type="pct"/>
            <w:tcBorders>
              <w:top w:val="nil"/>
              <w:left w:val="nil"/>
              <w:bottom w:val="nil"/>
              <w:right w:val="nil"/>
            </w:tcBorders>
          </w:tcPr>
          <w:p w14:paraId="7A3C0B5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1250" w:type="pct"/>
            <w:tcBorders>
              <w:top w:val="nil"/>
              <w:left w:val="nil"/>
              <w:bottom w:val="nil"/>
              <w:right w:val="nil"/>
            </w:tcBorders>
          </w:tcPr>
          <w:p w14:paraId="6C8BDC3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1250" w:type="pct"/>
            <w:tcBorders>
              <w:top w:val="nil"/>
              <w:left w:val="nil"/>
              <w:bottom w:val="nil"/>
              <w:right w:val="nil"/>
            </w:tcBorders>
          </w:tcPr>
          <w:p w14:paraId="4C8C6BD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r>
      <w:tr w:rsidR="009C3784" w:rsidRPr="003C297B" w14:paraId="599C211F" w14:textId="77777777">
        <w:trPr>
          <w:jc w:val="center"/>
        </w:trPr>
        <w:tc>
          <w:tcPr>
            <w:tcW w:w="1249" w:type="pct"/>
            <w:tcBorders>
              <w:top w:val="nil"/>
              <w:left w:val="nil"/>
              <w:bottom w:val="nil"/>
              <w:right w:val="nil"/>
            </w:tcBorders>
          </w:tcPr>
          <w:p w14:paraId="280C96DF"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250" w:type="pct"/>
            <w:tcBorders>
              <w:top w:val="nil"/>
              <w:left w:val="nil"/>
              <w:bottom w:val="nil"/>
              <w:right w:val="nil"/>
            </w:tcBorders>
          </w:tcPr>
          <w:p w14:paraId="0604A20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0.918</w:t>
            </w:r>
          </w:p>
        </w:tc>
        <w:tc>
          <w:tcPr>
            <w:tcW w:w="1250" w:type="pct"/>
            <w:tcBorders>
              <w:top w:val="nil"/>
              <w:left w:val="nil"/>
              <w:bottom w:val="nil"/>
              <w:right w:val="nil"/>
            </w:tcBorders>
          </w:tcPr>
          <w:p w14:paraId="7AC8EF8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0.869</w:t>
            </w:r>
          </w:p>
        </w:tc>
        <w:tc>
          <w:tcPr>
            <w:tcW w:w="1250" w:type="pct"/>
            <w:tcBorders>
              <w:top w:val="nil"/>
              <w:left w:val="nil"/>
              <w:bottom w:val="nil"/>
              <w:right w:val="nil"/>
            </w:tcBorders>
          </w:tcPr>
          <w:p w14:paraId="09994F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0.913</w:t>
            </w:r>
          </w:p>
        </w:tc>
      </w:tr>
      <w:tr w:rsidR="009C3784" w:rsidRPr="003C297B" w14:paraId="78B056FB" w14:textId="77777777">
        <w:trPr>
          <w:jc w:val="center"/>
        </w:trPr>
        <w:tc>
          <w:tcPr>
            <w:tcW w:w="1249" w:type="pct"/>
            <w:tcBorders>
              <w:top w:val="nil"/>
              <w:left w:val="nil"/>
              <w:bottom w:val="nil"/>
              <w:right w:val="nil"/>
            </w:tcBorders>
          </w:tcPr>
          <w:p w14:paraId="55AF7CE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250" w:type="pct"/>
            <w:tcBorders>
              <w:top w:val="nil"/>
              <w:left w:val="nil"/>
              <w:bottom w:val="nil"/>
              <w:right w:val="nil"/>
            </w:tcBorders>
          </w:tcPr>
          <w:p w14:paraId="485861B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1A8BC1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41446A5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0467E76" w14:textId="77777777">
        <w:trPr>
          <w:jc w:val="center"/>
        </w:trPr>
        <w:tc>
          <w:tcPr>
            <w:tcW w:w="1249" w:type="pct"/>
            <w:tcBorders>
              <w:top w:val="nil"/>
              <w:left w:val="nil"/>
              <w:bottom w:val="nil"/>
              <w:right w:val="nil"/>
            </w:tcBorders>
          </w:tcPr>
          <w:p w14:paraId="2005DC83"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250" w:type="pct"/>
            <w:tcBorders>
              <w:top w:val="nil"/>
              <w:left w:val="nil"/>
              <w:bottom w:val="nil"/>
              <w:right w:val="nil"/>
            </w:tcBorders>
          </w:tcPr>
          <w:p w14:paraId="1BE954D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6168D8B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E4E635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1BA552F3" w14:textId="77777777">
        <w:trPr>
          <w:jc w:val="center"/>
        </w:trPr>
        <w:tc>
          <w:tcPr>
            <w:tcW w:w="1249" w:type="pct"/>
            <w:tcBorders>
              <w:top w:val="nil"/>
              <w:left w:val="nil"/>
              <w:bottom w:val="nil"/>
              <w:right w:val="nil"/>
            </w:tcBorders>
          </w:tcPr>
          <w:p w14:paraId="5B6E5DF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250" w:type="pct"/>
            <w:tcBorders>
              <w:top w:val="nil"/>
              <w:left w:val="nil"/>
              <w:bottom w:val="nil"/>
              <w:right w:val="nil"/>
            </w:tcBorders>
          </w:tcPr>
          <w:p w14:paraId="3418AD1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31B63B8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3717806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3C111D6" w14:textId="77777777">
        <w:trPr>
          <w:jc w:val="center"/>
        </w:trPr>
        <w:tc>
          <w:tcPr>
            <w:tcW w:w="1249" w:type="pct"/>
            <w:tcBorders>
              <w:top w:val="nil"/>
              <w:left w:val="nil"/>
              <w:bottom w:val="nil"/>
              <w:right w:val="nil"/>
            </w:tcBorders>
          </w:tcPr>
          <w:p w14:paraId="306BE6DB"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250" w:type="pct"/>
            <w:tcBorders>
              <w:top w:val="nil"/>
              <w:left w:val="nil"/>
              <w:bottom w:val="nil"/>
              <w:right w:val="nil"/>
            </w:tcBorders>
          </w:tcPr>
          <w:p w14:paraId="36842A5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75909B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7DD6C7E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BC7630A" w14:textId="77777777">
        <w:tblPrEx>
          <w:tblBorders>
            <w:bottom w:val="single" w:sz="6" w:space="0" w:color="auto"/>
          </w:tblBorders>
        </w:tblPrEx>
        <w:trPr>
          <w:jc w:val="center"/>
        </w:trPr>
        <w:tc>
          <w:tcPr>
            <w:tcW w:w="1249" w:type="pct"/>
            <w:tcBorders>
              <w:top w:val="nil"/>
              <w:left w:val="nil"/>
              <w:bottom w:val="single" w:sz="6" w:space="0" w:color="auto"/>
              <w:right w:val="nil"/>
            </w:tcBorders>
          </w:tcPr>
          <w:p w14:paraId="10D61BE2"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250" w:type="pct"/>
            <w:tcBorders>
              <w:top w:val="nil"/>
              <w:left w:val="nil"/>
              <w:bottom w:val="single" w:sz="6" w:space="0" w:color="auto"/>
              <w:right w:val="nil"/>
            </w:tcBorders>
          </w:tcPr>
          <w:p w14:paraId="00F8581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single" w:sz="6" w:space="0" w:color="auto"/>
              <w:right w:val="nil"/>
            </w:tcBorders>
          </w:tcPr>
          <w:p w14:paraId="52590E0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single" w:sz="6" w:space="0" w:color="auto"/>
              <w:right w:val="nil"/>
            </w:tcBorders>
          </w:tcPr>
          <w:p w14:paraId="3D7CE76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2B2F6F0B" w14:textId="361AF04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Based on the above analysis, this paper manually collected data on the number of subsidiaries of listed companies, the number of overseas subsidiaries of listed companies, and the number of subsidiaries established by listed companies in Belt and Road countries. This data was used to test the mechanism analysis presented earlier. The empirical results show that the regression coefficients for the core explanatory variables are negative but not significant, indicating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not significantly led to pollution transfer through the establishment of subsidiaries or the setting up of overseas subsidiaries in Belt and Road countries. The regression results in Table 11 suggest that the rationality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's design reflects that its mandatory penalty mechanism has not severely impacted the operating costs of enterprises, nor has it resulted in negative cross-regional pollution transfer. Instead, it primarily promotes heavy polluting enterprises to voluntarily rectify their operations, control pollution, fulfill environmental social responsibilities, and engage in green governance through its internal incentive mechanisms.</w:t>
      </w:r>
    </w:p>
    <w:p w14:paraId="55C3CEF0" w14:textId="77777777" w:rsidR="009C3784" w:rsidRDefault="00D95DA7">
      <w:pPr>
        <w:pStyle w:val="Heading1"/>
        <w:spacing w:line="300" w:lineRule="auto"/>
        <w:rPr>
          <w:rFonts w:ascii="Times New Roman" w:eastAsia="SimSun" w:hAnsi="Times New Roman" w:cs="Times New Roman"/>
          <w:sz w:val="24"/>
          <w:szCs w:val="24"/>
        </w:rPr>
      </w:pPr>
      <w:r>
        <w:rPr>
          <w:rFonts w:ascii="Times New Roman" w:eastAsia="Microsoft YaHei" w:hAnsi="Times New Roman" w:cs="Times New Roman" w:hint="eastAsia"/>
          <w:sz w:val="24"/>
          <w:szCs w:val="24"/>
        </w:rPr>
        <w:t>8. Conclusions and policy recommendations</w:t>
      </w:r>
    </w:p>
    <w:p w14:paraId="53E6B423" w14:textId="6859755E"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official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marks the formal introduction of China's first standalone tax law centered on green taxation, reflecting the comprehensive greening of China's tax system. This paper uses the exogenous policy shock of the transition from a pollution discharge fee system to a tax system and the official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as a quasi-natural experiment to examine the impact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on corporate environmental performance. Based on the internal policy logic of the tax law, Porter's hypothesis, and the pollution haven hypothesis, the paper analyzes the mechanisms. The study finds: First,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significantly and robustly promotes the improvement of corporate environmental performance. Second, the heterogeneity analysis reveals that the effect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 promoting corporate environmental performance is more pronounced in companies with stronger financing constraints and higher internal transparency. </w:t>
      </w:r>
      <w:r>
        <w:rPr>
          <w:rFonts w:ascii="Times New Roman" w:eastAsia="Microsoft YaHei" w:hAnsi="Times New Roman" w:cs="Times New Roman" w:hint="eastAsia"/>
          <w:sz w:val="22"/>
          <w:szCs w:val="24"/>
        </w:rPr>
        <w:lastRenderedPageBreak/>
        <w:t xml:space="preserve">Moreover, state-owned enterprises show a stronger improvement in environmental performance, indicating that they can set an example in response to the exogenous shock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Additionally, the heterogeneity in corporate governance indicates that the background of senior executives is a significant factor influencing the improvement of environmental performance. Third, the mechanism analysis shows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primarily enhances corporate environmental performance by strengthening local government enforcement, increasing local government attention to environmental issues, promoting corporate green innovation, and resolving collusion between government and enterprises. Fourth, further analysis based on the empirical results of this study indicates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has not led to negative cross-regional pollution transfer among heavily polluting enterprises.</w:t>
      </w:r>
    </w:p>
    <w:p w14:paraId="54999295"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Based on the above research results, this paper obtains the following four policy implications:</w:t>
      </w:r>
    </w:p>
    <w:p w14:paraId="22993F3D"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First, relevant departments need to provide guidance and education to managers based on the actual operation of regulated enterprises, guide the management of enterprises to actively undertake environmental governance obligations, shape the internal environmental supervision mechanism of enterprises, establish the ecological environment damage responsibility system for senior executives of enterprises, so as to promote the win-win of economic benefits and environmental benefits of enterprises.</w:t>
      </w:r>
    </w:p>
    <w:p w14:paraId="6C1BCA38"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Second, local governments should gradually improve the laws and regulations governing market entry and operations for heavily polluting enterprises. This ensures fair competition in the market while further encouraging these enterprises to optimize their product structures and promote cleaner production. Additionally, local governments should firmly adhere to the ecological protection red line, reasonably and orderly absorb some heavily polluting enterprises based on their own development needs, prevent industrial development models that harm the environment, practice the concept of green development, and promote sustainable growth.</w:t>
      </w:r>
    </w:p>
    <w:p w14:paraId="0129B5FE"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Third, tax regulatory departments and local law enforcement departments should actively carry out cooperation, strengthen the overall coordination of various environmental policies, promote the coordinated, orderly and efficient implementation of policies, so that all policies can play their maximum role.</w:t>
      </w:r>
    </w:p>
    <w:p w14:paraId="38377743" w14:textId="77777777" w:rsidR="009C3784" w:rsidRDefault="00D95DA7">
      <w:pPr>
        <w:ind w:firstLineChars="200" w:firstLine="440"/>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Fourth, the government should give full play to the role of external governance mechanisms such as media supervision and public participation supervision, strengthen the rectification of heavy polluting enterprises through the construction of external supervision mechanism, establish an external mechanism to prevent collusion between government and enterprises, and effectively promote the improvement of environmental protection of enterprises.</w:t>
      </w:r>
    </w:p>
    <w:p w14:paraId="5B72EE19" w14:textId="77777777" w:rsidR="007301E9" w:rsidRDefault="007301E9">
      <w:pPr>
        <w:ind w:firstLineChars="200" w:firstLine="440"/>
        <w:rPr>
          <w:rFonts w:ascii="Times New Roman" w:eastAsia="Microsoft YaHei" w:hAnsi="Times New Roman" w:cs="Times New Roman"/>
          <w:sz w:val="22"/>
          <w:szCs w:val="24"/>
        </w:rPr>
      </w:pPr>
    </w:p>
    <w:p w14:paraId="700B4BEB" w14:textId="77777777" w:rsidR="007301E9" w:rsidRPr="00191740" w:rsidRDefault="007301E9" w:rsidP="007301E9">
      <w:pPr>
        <w:widowControl/>
        <w:jc w:val="center"/>
        <w:rPr>
          <w:rFonts w:ascii="Times New Roman" w:eastAsia="SimSun" w:hAnsi="Times New Roman" w:cs="Times New Roman"/>
          <w:b/>
          <w:bCs/>
          <w:sz w:val="32"/>
          <w:szCs w:val="40"/>
        </w:rPr>
      </w:pPr>
      <w:r w:rsidRPr="00191740">
        <w:rPr>
          <w:rFonts w:ascii="Times New Roman" w:eastAsia="SimSun" w:hAnsi="Times New Roman" w:cs="Times New Roman" w:hint="eastAsia"/>
          <w:b/>
          <w:bCs/>
          <w:sz w:val="32"/>
          <w:szCs w:val="40"/>
        </w:rPr>
        <w:t>Declaration</w:t>
      </w:r>
    </w:p>
    <w:p w14:paraId="7C6C670F" w14:textId="77777777" w:rsidR="007301E9" w:rsidRDefault="007301E9" w:rsidP="007301E9">
      <w:pPr>
        <w:widowControl/>
        <w:rPr>
          <w:rFonts w:ascii="Times New Roman" w:hAnsi="Times New Roman" w:cs="Times New Roman"/>
        </w:rPr>
      </w:pPr>
      <w:r w:rsidRPr="00191740">
        <w:rPr>
          <w:rFonts w:ascii="Times New Roman" w:eastAsia="Times New Roman" w:hAnsi="Times New Roman" w:cs="Times New Roman"/>
        </w:rPr>
        <w:t>We confirm that this manuscript has not been published elsewhere and is not under consideration by another journal. All authors have approved the manuscript and agree with submission to</w:t>
      </w:r>
      <w:r>
        <w:rPr>
          <w:rFonts w:ascii="Times New Roman" w:hAnsi="Times New Roman" w:cs="Times New Roman" w:hint="eastAsia"/>
        </w:rPr>
        <w:t xml:space="preserve"> </w:t>
      </w:r>
      <w:r w:rsidRPr="006A44FE">
        <w:rPr>
          <w:rFonts w:ascii="Times New Roman" w:eastAsia="Times New Roman" w:hAnsi="Times New Roman" w:cs="Times New Roman" w:hint="eastAsia"/>
          <w:b/>
          <w:bCs/>
          <w:i/>
          <w:iCs/>
        </w:rPr>
        <w:t>Asian Journal of Economics, Business and Accounting</w:t>
      </w:r>
      <w:r w:rsidRPr="00191740">
        <w:rPr>
          <w:rFonts w:ascii="Times New Roman" w:eastAsia="Times New Roman" w:hAnsi="Times New Roman" w:cs="Times New Roman"/>
        </w:rPr>
        <w:t>. The authors have no conflicts of interest to declare.</w:t>
      </w:r>
    </w:p>
    <w:p w14:paraId="1ED72FA0" w14:textId="77777777" w:rsidR="007301E9" w:rsidRDefault="007301E9">
      <w:pPr>
        <w:ind w:firstLineChars="200" w:firstLine="440"/>
        <w:rPr>
          <w:rFonts w:ascii="Times New Roman" w:eastAsia="SimSun" w:hAnsi="Times New Roman" w:cs="Times New Roman"/>
          <w:sz w:val="22"/>
          <w:szCs w:val="24"/>
        </w:rPr>
      </w:pPr>
    </w:p>
    <w:p w14:paraId="382B1EC5" w14:textId="184AD3B8" w:rsidR="009C3784" w:rsidRDefault="003B7E33" w:rsidP="003B7E33">
      <w:pPr>
        <w:autoSpaceDE w:val="0"/>
        <w:autoSpaceDN w:val="0"/>
        <w:adjustRightInd w:val="0"/>
        <w:spacing w:before="160" w:after="160"/>
        <w:rPr>
          <w:rFonts w:ascii="Times New Roman" w:eastAsia="Microsoft YaHei" w:cs="SimSun"/>
          <w:b/>
          <w:bCs/>
          <w:color w:val="000000"/>
          <w:kern w:val="0"/>
          <w:sz w:val="24"/>
          <w:szCs w:val="24"/>
        </w:rPr>
      </w:pPr>
      <w:r>
        <w:rPr>
          <w:rFonts w:ascii="Times New Roman" w:eastAsia="Microsoft YaHei" w:cs="SimSun"/>
          <w:b/>
          <w:bCs/>
          <w:color w:val="000000"/>
          <w:kern w:val="0"/>
          <w:sz w:val="24"/>
          <w:szCs w:val="24"/>
        </w:rPr>
        <w:t>R</w:t>
      </w:r>
      <w:r>
        <w:rPr>
          <w:rFonts w:ascii="Times New Roman" w:eastAsia="Microsoft YaHei" w:cs="SimSun" w:hint="eastAsia"/>
          <w:b/>
          <w:bCs/>
          <w:color w:val="000000"/>
          <w:kern w:val="0"/>
          <w:sz w:val="24"/>
          <w:szCs w:val="24"/>
        </w:rPr>
        <w:t>eference</w:t>
      </w:r>
      <w:r>
        <w:rPr>
          <w:rFonts w:ascii="Times New Roman" w:eastAsia="Microsoft YaHei" w:cs="SimSun"/>
          <w:b/>
          <w:bCs/>
          <w:color w:val="000000"/>
          <w:kern w:val="0"/>
          <w:sz w:val="24"/>
          <w:szCs w:val="24"/>
        </w:rPr>
        <w:t>s</w:t>
      </w:r>
    </w:p>
    <w:p w14:paraId="617292D0"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Acemoglu, D., Aghion, P., &amp; Bursztyn, L. (2012). The environment and directed technical change.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American Economic Review, 102</w:t>
      </w:r>
      <w:r w:rsidRPr="0034665F">
        <w:rPr>
          <w:rFonts w:ascii="Times New Roman" w:eastAsia="Microsoft YaHei" w:cs="SimSun"/>
          <w:bCs/>
          <w:color w:val="000000"/>
          <w:kern w:val="0"/>
          <w:sz w:val="22"/>
          <w:szCs w:val="24"/>
        </w:rPr>
        <w:t>(1), 131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166.</w:t>
      </w:r>
    </w:p>
    <w:p w14:paraId="03771F97"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Ali, M., Raza, A., Soomro, M. A., Zameer, R., &amp; Perveen, A. (2025). Green taxation and economic competitiveness: A cross-country comparative analysis of environmental policy impacts on industrial growth and trade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Advance Journal of Econometrics and Finance, 3</w:t>
      </w:r>
      <w:r w:rsidRPr="0034665F">
        <w:rPr>
          <w:rFonts w:ascii="Times New Roman" w:eastAsia="Microsoft YaHei" w:cs="SimSun"/>
          <w:bCs/>
          <w:color w:val="000000"/>
          <w:kern w:val="0"/>
          <w:sz w:val="22"/>
          <w:szCs w:val="24"/>
        </w:rPr>
        <w:t>(2), 126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137.</w:t>
      </w:r>
    </w:p>
    <w:p w14:paraId="0C03982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lastRenderedPageBreak/>
        <w:t>Ameer, F., &amp; Khan, N. R. (2023). Green entrepreneurial orientation and corporate environmental performance: A systematic literature review.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European Management Journal, 41</w:t>
      </w:r>
      <w:r w:rsidRPr="0034665F">
        <w:rPr>
          <w:rFonts w:ascii="Times New Roman" w:eastAsia="Microsoft YaHei" w:cs="SimSun"/>
          <w:bCs/>
          <w:color w:val="000000"/>
          <w:kern w:val="0"/>
          <w:sz w:val="22"/>
          <w:szCs w:val="24"/>
        </w:rPr>
        <w:t>(5), 755</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778.</w:t>
      </w:r>
    </w:p>
    <w:p w14:paraId="39D1AC6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Awawdeh, A. E., Ananzeh, M., El-khateeb, A. I., &amp; Aljumah, A. (2021). Role of green financing and corporate social responsibility (CSR) in technological innovation and corporate environmental performance: A COVID-19 perspective.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China Finance Review International, 12</w:t>
      </w:r>
      <w:r w:rsidRPr="0034665F">
        <w:rPr>
          <w:rFonts w:ascii="Times New Roman" w:eastAsia="Microsoft YaHei" w:cs="SimSun"/>
          <w:bCs/>
          <w:color w:val="000000"/>
          <w:kern w:val="0"/>
          <w:sz w:val="22"/>
          <w:szCs w:val="24"/>
        </w:rPr>
        <w:t>(2), 297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316.</w:t>
      </w:r>
      <w:r w:rsidRPr="0034665F">
        <w:rPr>
          <w:rFonts w:ascii="Times New Roman" w:eastAsia="Microsoft YaHei" w:cs="SimSun"/>
          <w:bCs/>
          <w:color w:val="000000"/>
          <w:kern w:val="0"/>
          <w:sz w:val="22"/>
          <w:szCs w:val="24"/>
        </w:rPr>
        <w:t> </w:t>
      </w:r>
      <w:hyperlink r:id="rId10" w:tgtFrame="_blank" w:history="1">
        <w:r w:rsidRPr="0034665F">
          <w:rPr>
            <w:rStyle w:val="Hyperlink"/>
            <w:rFonts w:ascii="Times New Roman" w:eastAsia="Microsoft YaHei" w:cs="SimSun"/>
            <w:bCs/>
            <w:kern w:val="0"/>
            <w:sz w:val="22"/>
            <w:szCs w:val="24"/>
          </w:rPr>
          <w:t>https://doi.org/10.1108/CFRI-09-2020-0141</w:t>
        </w:r>
      </w:hyperlink>
    </w:p>
    <w:p w14:paraId="3BD00A7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B</w:t>
      </w:r>
      <w:r w:rsidRPr="0034665F">
        <w:rPr>
          <w:rFonts w:ascii="Cambria" w:eastAsia="Microsoft YaHei" w:hAnsi="Cambria" w:cs="Cambria"/>
          <w:bCs/>
          <w:color w:val="000000"/>
          <w:kern w:val="0"/>
          <w:sz w:val="22"/>
          <w:szCs w:val="24"/>
        </w:rPr>
        <w:t>ă</w:t>
      </w:r>
      <w:r w:rsidRPr="0034665F">
        <w:rPr>
          <w:rFonts w:ascii="Times New Roman" w:eastAsia="Microsoft YaHei" w:cs="SimSun"/>
          <w:bCs/>
          <w:color w:val="000000"/>
          <w:kern w:val="0"/>
          <w:sz w:val="22"/>
          <w:szCs w:val="24"/>
        </w:rPr>
        <w:t>d</w:t>
      </w:r>
      <w:r w:rsidRPr="0034665F">
        <w:rPr>
          <w:rFonts w:ascii="Times New Roman" w:eastAsia="Microsoft YaHei" w:cs="SimSun"/>
          <w:bCs/>
          <w:color w:val="000000"/>
          <w:kern w:val="0"/>
          <w:sz w:val="22"/>
          <w:szCs w:val="24"/>
        </w:rPr>
        <w:t>î</w:t>
      </w:r>
      <w:r w:rsidRPr="0034665F">
        <w:rPr>
          <w:rFonts w:ascii="Times New Roman" w:eastAsia="Microsoft YaHei" w:cs="SimSun"/>
          <w:bCs/>
          <w:color w:val="000000"/>
          <w:kern w:val="0"/>
          <w:sz w:val="22"/>
          <w:szCs w:val="24"/>
        </w:rPr>
        <w:t>rcea, R. M., Florea, N. M., Manta, A. G., Puiu, S., &amp; Doran, M. D. (2020). Comparison between Romania and Sweden based on three dimensions: Environmental performance, green taxation and economic growth.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Sustainability, 12</w:t>
      </w:r>
      <w:r w:rsidRPr="0034665F">
        <w:rPr>
          <w:rFonts w:ascii="Times New Roman" w:eastAsia="Microsoft YaHei" w:cs="SimSun"/>
          <w:bCs/>
          <w:color w:val="000000"/>
          <w:kern w:val="0"/>
          <w:sz w:val="22"/>
          <w:szCs w:val="24"/>
        </w:rPr>
        <w:t>(9), 3817.</w:t>
      </w:r>
      <w:r w:rsidRPr="0034665F">
        <w:rPr>
          <w:rFonts w:ascii="Times New Roman" w:eastAsia="Microsoft YaHei" w:cs="SimSun"/>
          <w:bCs/>
          <w:color w:val="000000"/>
          <w:kern w:val="0"/>
          <w:sz w:val="22"/>
          <w:szCs w:val="24"/>
        </w:rPr>
        <w:t> </w:t>
      </w:r>
      <w:hyperlink r:id="rId11" w:tgtFrame="_blank" w:history="1">
        <w:r w:rsidRPr="0034665F">
          <w:rPr>
            <w:rStyle w:val="Hyperlink"/>
            <w:rFonts w:ascii="Times New Roman" w:eastAsia="Microsoft YaHei" w:cs="SimSun"/>
            <w:bCs/>
            <w:kern w:val="0"/>
            <w:sz w:val="22"/>
            <w:szCs w:val="24"/>
          </w:rPr>
          <w:t>https://doi.org/10.3390/su12093817</w:t>
        </w:r>
      </w:hyperlink>
    </w:p>
    <w:p w14:paraId="372F5A9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Boubaker, S., Cheng, F., Liao, J., &amp; Yue, S. (2024). Environmental tax incentives and corporate environmental behaviour: An unintended consequence from a natural experiment in China.</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European Financial Management, 30</w:t>
      </w:r>
      <w:r w:rsidRPr="0034665F">
        <w:rPr>
          <w:rFonts w:ascii="Times New Roman" w:eastAsia="Microsoft YaHei" w:cs="SimSun"/>
          <w:bCs/>
          <w:color w:val="000000"/>
          <w:kern w:val="0"/>
          <w:sz w:val="22"/>
          <w:szCs w:val="24"/>
        </w:rPr>
        <w:t>(2), 800</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838.</w:t>
      </w:r>
      <w:r w:rsidRPr="0034665F">
        <w:rPr>
          <w:rFonts w:ascii="Times New Roman" w:eastAsia="Microsoft YaHei" w:cs="SimSun"/>
          <w:bCs/>
          <w:color w:val="000000"/>
          <w:kern w:val="0"/>
          <w:sz w:val="22"/>
          <w:szCs w:val="24"/>
        </w:rPr>
        <w:t> </w:t>
      </w:r>
      <w:hyperlink r:id="rId12" w:tgtFrame="_blank" w:history="1">
        <w:r w:rsidRPr="0034665F">
          <w:rPr>
            <w:rStyle w:val="Hyperlink"/>
            <w:rFonts w:ascii="Times New Roman" w:eastAsia="Microsoft YaHei" w:cs="SimSun"/>
            <w:bCs/>
            <w:kern w:val="0"/>
            <w:sz w:val="22"/>
            <w:szCs w:val="24"/>
          </w:rPr>
          <w:t>https://doi.org/10.1111/eufm.12425</w:t>
        </w:r>
      </w:hyperlink>
    </w:p>
    <w:p w14:paraId="6BB72F8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Chen, Q., Maung, M., &amp; Shi, Y. (2014). Foreign direct investment concessions and environmental levies in China.</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International Review of Financial Analysis, 36</w:t>
      </w:r>
      <w:r w:rsidRPr="0034665F">
        <w:rPr>
          <w:rFonts w:ascii="Times New Roman" w:eastAsia="Microsoft YaHei" w:cs="SimSun"/>
          <w:bCs/>
          <w:color w:val="000000"/>
          <w:kern w:val="0"/>
          <w:sz w:val="22"/>
          <w:szCs w:val="24"/>
        </w:rPr>
        <w:t>, 241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250.</w:t>
      </w:r>
    </w:p>
    <w:p w14:paraId="6DA8401C"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Clarkson, P. M., Li, Y., &amp; Richardson, G. D. (2008). Revisiting the relation between environmental performance and environmental disclosure: An empirical analysis.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Accounting, Organizations and Society, 33</w:t>
      </w:r>
      <w:r w:rsidRPr="0034665F">
        <w:rPr>
          <w:rFonts w:ascii="Times New Roman" w:eastAsia="Microsoft YaHei" w:cs="SimSun"/>
          <w:bCs/>
          <w:color w:val="000000"/>
          <w:kern w:val="0"/>
          <w:sz w:val="22"/>
          <w:szCs w:val="24"/>
        </w:rPr>
        <w:t>(4</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 303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327.</w:t>
      </w:r>
      <w:r w:rsidRPr="0034665F">
        <w:rPr>
          <w:rFonts w:ascii="Times New Roman" w:eastAsia="Microsoft YaHei" w:cs="SimSun"/>
          <w:bCs/>
          <w:color w:val="000000"/>
          <w:kern w:val="0"/>
          <w:sz w:val="22"/>
          <w:szCs w:val="24"/>
        </w:rPr>
        <w:t> </w:t>
      </w:r>
      <w:hyperlink r:id="rId13" w:tgtFrame="_blank" w:history="1">
        <w:r w:rsidRPr="0034665F">
          <w:rPr>
            <w:rStyle w:val="Hyperlink"/>
            <w:rFonts w:ascii="Times New Roman" w:eastAsia="Microsoft YaHei" w:cs="SimSun"/>
            <w:bCs/>
            <w:kern w:val="0"/>
            <w:sz w:val="22"/>
            <w:szCs w:val="24"/>
          </w:rPr>
          <w:t>https://doi.org/10.1016/j.aos.2007.05.003</w:t>
        </w:r>
      </w:hyperlink>
    </w:p>
    <w:p w14:paraId="6AB0772B"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Dechow, P. M., Sloan, R. G., &amp; Sweeney, A. P. (1995). Detecting earnings management.</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Accounting Review, 70</w:t>
      </w:r>
      <w:r w:rsidRPr="0034665F">
        <w:rPr>
          <w:rFonts w:ascii="Times New Roman" w:eastAsia="Microsoft YaHei" w:cs="SimSun"/>
          <w:bCs/>
          <w:color w:val="000000"/>
          <w:kern w:val="0"/>
          <w:sz w:val="22"/>
          <w:szCs w:val="24"/>
        </w:rPr>
        <w:t>(2), 193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225.</w:t>
      </w:r>
    </w:p>
    <w:p w14:paraId="0ED8965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Esty, D. C., &amp; Porter, M. E. (2005). National environmental performance: An empirical analysis of policy results and determinants.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Environment and Development Economics, 10</w:t>
      </w:r>
      <w:r w:rsidRPr="0034665F">
        <w:rPr>
          <w:rFonts w:ascii="Times New Roman" w:eastAsia="Microsoft YaHei" w:cs="SimSun"/>
          <w:bCs/>
          <w:color w:val="000000"/>
          <w:kern w:val="0"/>
          <w:sz w:val="22"/>
          <w:szCs w:val="24"/>
        </w:rPr>
        <w:t>(4), 391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434.</w:t>
      </w:r>
    </w:p>
    <w:p w14:paraId="260C9320"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Farooq, U., Subhani, B. H., Shafiq, M. N., &amp; Gillani, S. (2023). Assessing the environmental impacts of environmental tax rate and corporate statutory tax rate: Empirical evidence from industry-intensive economies.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Reports, 9</w:t>
      </w:r>
      <w:r w:rsidRPr="0034665F">
        <w:rPr>
          <w:rFonts w:ascii="Times New Roman" w:eastAsia="Microsoft YaHei" w:cs="SimSun"/>
          <w:bCs/>
          <w:color w:val="000000"/>
          <w:kern w:val="0"/>
          <w:sz w:val="22"/>
          <w:szCs w:val="24"/>
        </w:rPr>
        <w:t>, 6241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6250.</w:t>
      </w:r>
      <w:r w:rsidRPr="0034665F">
        <w:rPr>
          <w:rFonts w:ascii="Times New Roman" w:eastAsia="Microsoft YaHei" w:cs="SimSun"/>
          <w:bCs/>
          <w:color w:val="000000"/>
          <w:kern w:val="0"/>
          <w:sz w:val="22"/>
          <w:szCs w:val="24"/>
        </w:rPr>
        <w:t> </w:t>
      </w:r>
      <w:hyperlink r:id="rId14" w:tgtFrame="_blank" w:history="1">
        <w:r w:rsidRPr="0034665F">
          <w:rPr>
            <w:rStyle w:val="Hyperlink"/>
            <w:rFonts w:ascii="Times New Roman" w:eastAsia="Microsoft YaHei" w:cs="SimSun"/>
            <w:bCs/>
            <w:kern w:val="0"/>
            <w:sz w:val="22"/>
            <w:szCs w:val="24"/>
          </w:rPr>
          <w:t>https://doi.org/10.1016/j.egyr.2023.05.270</w:t>
        </w:r>
      </w:hyperlink>
    </w:p>
    <w:p w14:paraId="4B74EE58"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Fel</w:t>
      </w:r>
      <w:r w:rsidRPr="0034665F">
        <w:rPr>
          <w:rFonts w:ascii="Times New Roman" w:eastAsia="Microsoft YaHei" w:cs="SimSun"/>
          <w:bCs/>
          <w:color w:val="000000"/>
          <w:kern w:val="0"/>
          <w:sz w:val="22"/>
          <w:szCs w:val="24"/>
        </w:rPr>
        <w:t>í</w:t>
      </w:r>
      <w:r w:rsidRPr="0034665F">
        <w:rPr>
          <w:rFonts w:ascii="Times New Roman" w:eastAsia="Microsoft YaHei" w:cs="SimSun"/>
          <w:bCs/>
          <w:color w:val="000000"/>
          <w:kern w:val="0"/>
          <w:sz w:val="22"/>
          <w:szCs w:val="24"/>
        </w:rPr>
        <w:t>cio, J. A., Rodrigues, R., &amp; Caldeirinha, V. (2021). Green shipping effect on sustainable economy and environmental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Sustainability, 13</w:t>
      </w:r>
      <w:r w:rsidRPr="0034665F">
        <w:rPr>
          <w:rFonts w:ascii="Times New Roman" w:eastAsia="Microsoft YaHei" w:cs="SimSun"/>
          <w:bCs/>
          <w:color w:val="000000"/>
          <w:kern w:val="0"/>
          <w:sz w:val="22"/>
          <w:szCs w:val="24"/>
        </w:rPr>
        <w:t>(8), 4256.</w:t>
      </w:r>
      <w:r w:rsidRPr="0034665F">
        <w:rPr>
          <w:rFonts w:ascii="Times New Roman" w:eastAsia="Microsoft YaHei" w:cs="SimSun"/>
          <w:bCs/>
          <w:color w:val="000000"/>
          <w:kern w:val="0"/>
          <w:sz w:val="22"/>
          <w:szCs w:val="24"/>
        </w:rPr>
        <w:t> </w:t>
      </w:r>
      <w:hyperlink r:id="rId15" w:tgtFrame="_blank" w:history="1">
        <w:r w:rsidRPr="0034665F">
          <w:rPr>
            <w:rStyle w:val="Hyperlink"/>
            <w:rFonts w:ascii="Times New Roman" w:eastAsia="Microsoft YaHei" w:cs="SimSun"/>
            <w:bCs/>
            <w:kern w:val="0"/>
            <w:sz w:val="22"/>
            <w:szCs w:val="24"/>
          </w:rPr>
          <w:t>https://doi.org/10.3390/su13084256</w:t>
        </w:r>
      </w:hyperlink>
    </w:p>
    <w:p w14:paraId="5FE876E4"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Galeotti, M., Salini, S., &amp; Verdolini, E. (2020). Measuring environmental policy stringency: Approaches, validity, and impact on environmental innovation and energy efficiency.</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Policy, 136</w:t>
      </w:r>
      <w:r w:rsidRPr="0034665F">
        <w:rPr>
          <w:rFonts w:ascii="Times New Roman" w:eastAsia="Microsoft YaHei" w:cs="SimSun"/>
          <w:bCs/>
          <w:color w:val="000000"/>
          <w:kern w:val="0"/>
          <w:sz w:val="22"/>
          <w:szCs w:val="24"/>
        </w:rPr>
        <w:t>, 111052.</w:t>
      </w:r>
      <w:r w:rsidRPr="0034665F">
        <w:rPr>
          <w:rFonts w:ascii="Times New Roman" w:eastAsia="Microsoft YaHei" w:cs="SimSun"/>
          <w:bCs/>
          <w:color w:val="000000"/>
          <w:kern w:val="0"/>
          <w:sz w:val="22"/>
          <w:szCs w:val="24"/>
        </w:rPr>
        <w:t> </w:t>
      </w:r>
      <w:hyperlink r:id="rId16" w:tgtFrame="_blank" w:history="1">
        <w:r w:rsidRPr="0034665F">
          <w:rPr>
            <w:rStyle w:val="Hyperlink"/>
            <w:rFonts w:ascii="Times New Roman" w:eastAsia="Microsoft YaHei" w:cs="SimSun"/>
            <w:bCs/>
            <w:kern w:val="0"/>
            <w:sz w:val="22"/>
            <w:szCs w:val="24"/>
          </w:rPr>
          <w:t>https://doi.org/10.1016/j.enpol.2019.111052</w:t>
        </w:r>
      </w:hyperlink>
    </w:p>
    <w:p w14:paraId="7425E942" w14:textId="77777777" w:rsidR="0034665F" w:rsidRDefault="0034665F" w:rsidP="0034665F">
      <w:pPr>
        <w:autoSpaceDE w:val="0"/>
        <w:autoSpaceDN w:val="0"/>
        <w:adjustRightInd w:val="0"/>
        <w:ind w:left="440" w:hangingChars="200" w:hanging="440"/>
      </w:pPr>
      <w:r w:rsidRPr="0034665F">
        <w:rPr>
          <w:rFonts w:ascii="Times New Roman" w:eastAsia="Microsoft YaHei" w:cs="SimSun"/>
          <w:bCs/>
          <w:color w:val="000000"/>
          <w:kern w:val="0"/>
          <w:sz w:val="22"/>
          <w:szCs w:val="24"/>
        </w:rPr>
        <w:t>Gunningham, N. (2009). Shaping corporate environmental performance: A review.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Environmental Policy and Governance, 19</w:t>
      </w:r>
      <w:r w:rsidRPr="0034665F">
        <w:rPr>
          <w:rFonts w:ascii="Times New Roman" w:eastAsia="Microsoft YaHei" w:cs="SimSun"/>
          <w:bCs/>
          <w:color w:val="000000"/>
          <w:kern w:val="0"/>
          <w:sz w:val="22"/>
          <w:szCs w:val="24"/>
        </w:rPr>
        <w:t>(4), 215</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231.</w:t>
      </w:r>
      <w:r w:rsidRPr="0034665F">
        <w:rPr>
          <w:rFonts w:ascii="Times New Roman" w:eastAsia="Microsoft YaHei" w:cs="SimSun"/>
          <w:bCs/>
          <w:color w:val="000000"/>
          <w:kern w:val="0"/>
          <w:sz w:val="22"/>
          <w:szCs w:val="24"/>
        </w:rPr>
        <w:t> </w:t>
      </w:r>
      <w:hyperlink r:id="rId17" w:tgtFrame="_blank" w:history="1">
        <w:r w:rsidRPr="0034665F">
          <w:rPr>
            <w:rStyle w:val="Hyperlink"/>
            <w:rFonts w:ascii="Times New Roman" w:eastAsia="Microsoft YaHei" w:cs="SimSun"/>
            <w:bCs/>
            <w:kern w:val="0"/>
            <w:sz w:val="22"/>
            <w:szCs w:val="24"/>
          </w:rPr>
          <w:t>https://doi.org/10.1002/eet.507</w:t>
        </w:r>
      </w:hyperlink>
    </w:p>
    <w:p w14:paraId="3CD0D046" w14:textId="256ED3FF" w:rsidR="0047354F" w:rsidRDefault="0047354F" w:rsidP="0034665F">
      <w:pPr>
        <w:autoSpaceDE w:val="0"/>
        <w:autoSpaceDN w:val="0"/>
        <w:adjustRightInd w:val="0"/>
        <w:ind w:left="440" w:hangingChars="200" w:hanging="440"/>
        <w:rPr>
          <w:rFonts w:ascii="Times New Roman" w:eastAsia="Microsoft YaHei" w:cs="SimSun"/>
          <w:bCs/>
          <w:color w:val="000000"/>
          <w:kern w:val="0"/>
          <w:sz w:val="22"/>
          <w:szCs w:val="24"/>
        </w:rPr>
      </w:pPr>
      <w:r w:rsidRPr="0047354F">
        <w:rPr>
          <w:rFonts w:ascii="Times New Roman" w:eastAsia="Microsoft YaHei" w:cs="SimSun" w:hint="eastAsia"/>
          <w:bCs/>
          <w:color w:val="000000"/>
          <w:kern w:val="0"/>
          <w:sz w:val="22"/>
          <w:szCs w:val="24"/>
        </w:rPr>
        <w:t xml:space="preserve">Greenstone, M. (2003). Estimating regulation-induced substitution: The effect of the Clean Air Act on water and ground pollution. American Economic Review, 93(2), 442-448. </w:t>
      </w:r>
      <w:hyperlink r:id="rId18" w:history="1">
        <w:r w:rsidRPr="008F5DCA">
          <w:rPr>
            <w:rStyle w:val="Hyperlink"/>
            <w:rFonts w:ascii="Times New Roman" w:eastAsia="Microsoft YaHei" w:cs="SimSun" w:hint="eastAsia"/>
            <w:bCs/>
            <w:kern w:val="0"/>
            <w:sz w:val="22"/>
            <w:szCs w:val="24"/>
          </w:rPr>
          <w:t>https://doi.org/10.1257/000282803321947425</w:t>
        </w:r>
      </w:hyperlink>
    </w:p>
    <w:p w14:paraId="1D5CF278" w14:textId="10957C3A" w:rsidR="00AF0A74" w:rsidRDefault="0034665F" w:rsidP="00AF0A74">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Hambrick, D. C., &amp; Mason, P. A. (1984). Upper echelons: The organization as a reflection of its top managers.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Academy of Management Review, 9</w:t>
      </w:r>
      <w:r w:rsidRPr="0034665F">
        <w:rPr>
          <w:rFonts w:ascii="Times New Roman" w:eastAsia="Microsoft YaHei" w:cs="SimSun"/>
          <w:bCs/>
          <w:color w:val="000000"/>
          <w:kern w:val="0"/>
          <w:sz w:val="22"/>
          <w:szCs w:val="24"/>
        </w:rPr>
        <w:t>(2), 193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206.</w:t>
      </w:r>
    </w:p>
    <w:p w14:paraId="0589B273" w14:textId="45BC664A" w:rsidR="00AF0A74" w:rsidRDefault="00AF0A74" w:rsidP="00AF0A74">
      <w:pPr>
        <w:autoSpaceDE w:val="0"/>
        <w:autoSpaceDN w:val="0"/>
        <w:adjustRightInd w:val="0"/>
        <w:ind w:left="440" w:hangingChars="200" w:hanging="440"/>
        <w:rPr>
          <w:rFonts w:ascii="Times New Roman" w:eastAsia="Microsoft YaHei" w:cs="SimSun"/>
          <w:bCs/>
          <w:color w:val="000000"/>
          <w:kern w:val="0"/>
          <w:sz w:val="22"/>
          <w:szCs w:val="24"/>
        </w:rPr>
      </w:pPr>
      <w:r w:rsidRPr="00AF0A74">
        <w:rPr>
          <w:rFonts w:ascii="Times New Roman" w:eastAsia="Microsoft YaHei" w:cs="SimSun" w:hint="eastAsia"/>
          <w:bCs/>
          <w:color w:val="000000"/>
          <w:kern w:val="0"/>
          <w:sz w:val="22"/>
          <w:szCs w:val="24"/>
        </w:rPr>
        <w:t xml:space="preserve">Hanna, R., &amp; Oliva, P. (2015). The effect of pollution on labor supply: Evidence from a natural experiment in Mexico City. Journal of Public Economics, </w:t>
      </w:r>
      <w:r w:rsidRPr="00AF0A74">
        <w:rPr>
          <w:rFonts w:ascii="Times New Roman" w:eastAsia="Microsoft YaHei" w:cs="SimSun" w:hint="eastAsia"/>
          <w:bCs/>
          <w:i/>
          <w:iCs/>
          <w:color w:val="000000"/>
          <w:kern w:val="0"/>
          <w:sz w:val="22"/>
          <w:szCs w:val="24"/>
        </w:rPr>
        <w:t>122</w:t>
      </w:r>
      <w:r w:rsidRPr="00AF0A74">
        <w:rPr>
          <w:rFonts w:ascii="Times New Roman" w:eastAsia="Microsoft YaHei" w:cs="SimSun" w:hint="eastAsia"/>
          <w:bCs/>
          <w:color w:val="000000"/>
          <w:kern w:val="0"/>
          <w:sz w:val="22"/>
          <w:szCs w:val="24"/>
        </w:rPr>
        <w:t>, 68</w:t>
      </w:r>
      <w:r w:rsidRPr="00AF0A74">
        <w:rPr>
          <w:rFonts w:ascii="Times New Roman" w:eastAsia="Microsoft YaHei" w:cs="SimSun" w:hint="eastAsia"/>
          <w:bCs/>
          <w:color w:val="000000"/>
          <w:kern w:val="0"/>
          <w:sz w:val="22"/>
          <w:szCs w:val="24"/>
        </w:rPr>
        <w:t>–</w:t>
      </w:r>
      <w:r w:rsidRPr="00AF0A74">
        <w:rPr>
          <w:rFonts w:ascii="Times New Roman" w:eastAsia="Microsoft YaHei" w:cs="SimSun" w:hint="eastAsia"/>
          <w:bCs/>
          <w:color w:val="000000"/>
          <w:kern w:val="0"/>
          <w:sz w:val="22"/>
          <w:szCs w:val="24"/>
        </w:rPr>
        <w:t xml:space="preserve">79. </w:t>
      </w:r>
      <w:hyperlink r:id="rId19" w:history="1">
        <w:r w:rsidRPr="008F5DCA">
          <w:rPr>
            <w:rStyle w:val="Hyperlink"/>
            <w:rFonts w:ascii="Times New Roman" w:eastAsia="Microsoft YaHei" w:cs="SimSun" w:hint="eastAsia"/>
            <w:bCs/>
            <w:kern w:val="0"/>
            <w:sz w:val="22"/>
            <w:szCs w:val="24"/>
          </w:rPr>
          <w:t>https://doi.org/10.1016/j.jpubeco.2014.10.004</w:t>
        </w:r>
      </w:hyperlink>
    </w:p>
    <w:p w14:paraId="5CB52AAA"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Hanif, S., Ahmed, A., &amp; Younas, N. (2023). Examining the impact of environmental management accounting practices and green transformational leadership on corporate environmental performance: The mediating role of green process innovation.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Cleaner Production, 414</w:t>
      </w:r>
      <w:r w:rsidRPr="0034665F">
        <w:rPr>
          <w:rFonts w:ascii="Times New Roman" w:eastAsia="Microsoft YaHei" w:cs="SimSun"/>
          <w:bCs/>
          <w:color w:val="000000"/>
          <w:kern w:val="0"/>
          <w:sz w:val="22"/>
          <w:szCs w:val="24"/>
        </w:rPr>
        <w:t>, 137584.</w:t>
      </w:r>
      <w:r w:rsidRPr="0034665F">
        <w:rPr>
          <w:rFonts w:ascii="Times New Roman" w:eastAsia="Microsoft YaHei" w:cs="SimSun"/>
          <w:bCs/>
          <w:color w:val="000000"/>
          <w:kern w:val="0"/>
          <w:sz w:val="22"/>
          <w:szCs w:val="24"/>
        </w:rPr>
        <w:t> </w:t>
      </w:r>
      <w:hyperlink r:id="rId20" w:tgtFrame="_blank" w:history="1">
        <w:r w:rsidRPr="0034665F">
          <w:rPr>
            <w:rStyle w:val="Hyperlink"/>
            <w:rFonts w:ascii="Times New Roman" w:eastAsia="Microsoft YaHei" w:cs="SimSun"/>
            <w:bCs/>
            <w:kern w:val="0"/>
            <w:sz w:val="22"/>
            <w:szCs w:val="24"/>
          </w:rPr>
          <w:t>https://doi.org/10.1016/j.jclepro.2023.137584</w:t>
        </w:r>
      </w:hyperlink>
    </w:p>
    <w:p w14:paraId="2D32929A" w14:textId="77777777" w:rsidR="0034665F" w:rsidRDefault="0034665F" w:rsidP="0034665F">
      <w:pPr>
        <w:autoSpaceDE w:val="0"/>
        <w:autoSpaceDN w:val="0"/>
        <w:adjustRightInd w:val="0"/>
        <w:ind w:left="440" w:hangingChars="200" w:hanging="440"/>
      </w:pPr>
      <w:proofErr w:type="spellStart"/>
      <w:r w:rsidRPr="0034665F">
        <w:rPr>
          <w:rFonts w:ascii="Cambria" w:eastAsia="Microsoft YaHei" w:hAnsi="Cambria" w:cs="Cambria"/>
          <w:bCs/>
          <w:color w:val="000000"/>
          <w:kern w:val="0"/>
          <w:sz w:val="22"/>
          <w:szCs w:val="24"/>
        </w:rPr>
        <w:t>İ</w:t>
      </w:r>
      <w:r w:rsidRPr="0034665F">
        <w:rPr>
          <w:rFonts w:ascii="Times New Roman" w:eastAsia="Microsoft YaHei" w:cs="SimSun"/>
          <w:bCs/>
          <w:color w:val="000000"/>
          <w:kern w:val="0"/>
          <w:sz w:val="22"/>
          <w:szCs w:val="24"/>
        </w:rPr>
        <w:t>nceiplik</w:t>
      </w:r>
      <w:proofErr w:type="spellEnd"/>
      <w:r w:rsidRPr="0034665F">
        <w:rPr>
          <w:rFonts w:ascii="Times New Roman" w:eastAsia="Microsoft YaHei" w:cs="SimSun"/>
          <w:bCs/>
          <w:color w:val="000000"/>
          <w:kern w:val="0"/>
          <w:sz w:val="22"/>
          <w:szCs w:val="24"/>
        </w:rPr>
        <w:t xml:space="preserve">, G. K., &amp; </w:t>
      </w:r>
      <w:r w:rsidRPr="0034665F">
        <w:rPr>
          <w:rFonts w:ascii="Times New Roman" w:eastAsia="Microsoft YaHei" w:cs="SimSun"/>
          <w:bCs/>
          <w:color w:val="000000"/>
          <w:kern w:val="0"/>
          <w:sz w:val="22"/>
          <w:szCs w:val="24"/>
        </w:rPr>
        <w:t>Ş</w:t>
      </w:r>
      <w:r w:rsidRPr="0034665F">
        <w:rPr>
          <w:rFonts w:ascii="Times New Roman" w:eastAsia="Microsoft YaHei" w:cs="SimSun"/>
          <w:bCs/>
          <w:color w:val="000000"/>
          <w:kern w:val="0"/>
          <w:sz w:val="22"/>
          <w:szCs w:val="24"/>
        </w:rPr>
        <w:t>im</w:t>
      </w:r>
      <w:r w:rsidRPr="0034665F">
        <w:rPr>
          <w:rFonts w:ascii="Times New Roman" w:eastAsia="Microsoft YaHei" w:cs="SimSun"/>
          <w:bCs/>
          <w:color w:val="000000"/>
          <w:kern w:val="0"/>
          <w:sz w:val="22"/>
          <w:szCs w:val="24"/>
        </w:rPr>
        <w:t>ş</w:t>
      </w:r>
      <w:r w:rsidRPr="0034665F">
        <w:rPr>
          <w:rFonts w:ascii="Times New Roman" w:eastAsia="Microsoft YaHei" w:cs="SimSun"/>
          <w:bCs/>
          <w:color w:val="000000"/>
          <w:kern w:val="0"/>
          <w:sz w:val="22"/>
          <w:szCs w:val="24"/>
        </w:rPr>
        <w:t xml:space="preserve">ek, O. (2024). Role of green taxes on economic growth goals of sustainable </w:t>
      </w:r>
      <w:r w:rsidRPr="0034665F">
        <w:rPr>
          <w:rFonts w:ascii="Times New Roman" w:eastAsia="Microsoft YaHei" w:cs="SimSun"/>
          <w:bCs/>
          <w:color w:val="000000"/>
          <w:kern w:val="0"/>
          <w:sz w:val="22"/>
          <w:szCs w:val="24"/>
        </w:rPr>
        <w:lastRenderedPageBreak/>
        <w:t>development directly and through environmental performance: A system GMM approach.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Economy Culture and Society, 69</w:t>
      </w:r>
      <w:r w:rsidRPr="0034665F">
        <w:rPr>
          <w:rFonts w:ascii="Times New Roman" w:eastAsia="Microsoft YaHei" w:cs="SimSun"/>
          <w:bCs/>
          <w:color w:val="000000"/>
          <w:kern w:val="0"/>
          <w:sz w:val="22"/>
          <w:szCs w:val="24"/>
        </w:rPr>
        <w:t>, 56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65.</w:t>
      </w:r>
      <w:r w:rsidRPr="0034665F">
        <w:rPr>
          <w:rFonts w:ascii="Times New Roman" w:eastAsia="Microsoft YaHei" w:cs="SimSun"/>
          <w:bCs/>
          <w:color w:val="000000"/>
          <w:kern w:val="0"/>
          <w:sz w:val="22"/>
          <w:szCs w:val="24"/>
        </w:rPr>
        <w:t> </w:t>
      </w:r>
      <w:hyperlink r:id="rId21" w:tgtFrame="_blank" w:history="1">
        <w:r w:rsidRPr="0034665F">
          <w:rPr>
            <w:rStyle w:val="Hyperlink"/>
            <w:rFonts w:ascii="Times New Roman" w:eastAsia="Microsoft YaHei" w:cs="SimSun"/>
            <w:bCs/>
            <w:kern w:val="0"/>
            <w:sz w:val="22"/>
            <w:szCs w:val="24"/>
          </w:rPr>
          <w:t>https://doi.org/10.26650/JECS2023-1278968</w:t>
        </w:r>
      </w:hyperlink>
    </w:p>
    <w:p w14:paraId="7C31376E" w14:textId="1A141B44" w:rsidR="00AF0A74" w:rsidRDefault="00AF0A74" w:rsidP="0034665F">
      <w:pPr>
        <w:autoSpaceDE w:val="0"/>
        <w:autoSpaceDN w:val="0"/>
        <w:adjustRightInd w:val="0"/>
        <w:ind w:left="440" w:hangingChars="200" w:hanging="440"/>
        <w:rPr>
          <w:rFonts w:ascii="Times New Roman" w:eastAsia="Microsoft YaHei" w:cs="SimSun"/>
          <w:bCs/>
          <w:color w:val="000000"/>
          <w:kern w:val="0"/>
          <w:sz w:val="22"/>
          <w:szCs w:val="24"/>
        </w:rPr>
      </w:pPr>
      <w:r w:rsidRPr="00AF0A74">
        <w:rPr>
          <w:rFonts w:ascii="Times New Roman" w:eastAsia="Microsoft YaHei" w:cs="SimSun" w:hint="eastAsia"/>
          <w:bCs/>
          <w:color w:val="000000"/>
          <w:kern w:val="0"/>
          <w:sz w:val="22"/>
          <w:szCs w:val="24"/>
        </w:rPr>
        <w:t xml:space="preserve">Kahn, M. E., Li, P., &amp; Zhao, D. (2022). Water pollution progress at borders: The role of changes in China's political promotion incentives. Journal of Financial Economics, </w:t>
      </w:r>
      <w:r w:rsidRPr="00AF0A74">
        <w:rPr>
          <w:rFonts w:ascii="Times New Roman" w:eastAsia="Microsoft YaHei" w:cs="SimSun" w:hint="eastAsia"/>
          <w:bCs/>
          <w:i/>
          <w:iCs/>
          <w:color w:val="000000"/>
          <w:kern w:val="0"/>
          <w:sz w:val="22"/>
          <w:szCs w:val="24"/>
        </w:rPr>
        <w:t>143</w:t>
      </w:r>
      <w:r w:rsidRPr="00AF0A74">
        <w:rPr>
          <w:rFonts w:ascii="Times New Roman" w:eastAsia="Microsoft YaHei" w:cs="SimSun" w:hint="eastAsia"/>
          <w:bCs/>
          <w:color w:val="000000"/>
          <w:kern w:val="0"/>
          <w:sz w:val="22"/>
          <w:szCs w:val="24"/>
        </w:rPr>
        <w:t xml:space="preserve">(1), 275-299. </w:t>
      </w:r>
      <w:hyperlink r:id="rId22" w:history="1">
        <w:r w:rsidRPr="008F5DCA">
          <w:rPr>
            <w:rStyle w:val="Hyperlink"/>
            <w:rFonts w:ascii="Times New Roman" w:eastAsia="Microsoft YaHei" w:cs="SimSun" w:hint="eastAsia"/>
            <w:bCs/>
            <w:kern w:val="0"/>
            <w:sz w:val="22"/>
            <w:szCs w:val="24"/>
          </w:rPr>
          <w:t>https://doi.org/10.1016/j.jfineco.2021.07.022</w:t>
        </w:r>
      </w:hyperlink>
    </w:p>
    <w:p w14:paraId="082EE56E" w14:textId="10060DF6"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Khan, S. A. R., Sheikh, A. A., &amp; Ahmad, Z. (2023). Developing the interconnection between green employee behavior, tax avoidance, green capability, and sustainable performance of SMEs through corporate social responsibility.</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Cleaner Production, 419</w:t>
      </w:r>
      <w:r w:rsidRPr="0034665F">
        <w:rPr>
          <w:rFonts w:ascii="Times New Roman" w:eastAsia="Microsoft YaHei" w:cs="SimSun"/>
          <w:bCs/>
          <w:color w:val="000000"/>
          <w:kern w:val="0"/>
          <w:sz w:val="22"/>
          <w:szCs w:val="24"/>
        </w:rPr>
        <w:t>, 138236.</w:t>
      </w:r>
      <w:r w:rsidRPr="0034665F">
        <w:rPr>
          <w:rFonts w:ascii="Times New Roman" w:eastAsia="Microsoft YaHei" w:cs="SimSun"/>
          <w:bCs/>
          <w:color w:val="000000"/>
          <w:kern w:val="0"/>
          <w:sz w:val="22"/>
          <w:szCs w:val="24"/>
        </w:rPr>
        <w:t> </w:t>
      </w:r>
      <w:hyperlink r:id="rId23" w:history="1">
        <w:r w:rsidRPr="00891566">
          <w:rPr>
            <w:rStyle w:val="Hyperlink"/>
            <w:rFonts w:ascii="Times New Roman" w:eastAsia="Microsoft YaHei" w:cs="SimSun"/>
            <w:bCs/>
            <w:kern w:val="0"/>
            <w:sz w:val="22"/>
            <w:szCs w:val="24"/>
          </w:rPr>
          <w:t>https://doi.org/10.1016/j.jclepro.2023.138236</w:t>
        </w:r>
      </w:hyperlink>
    </w:p>
    <w:p w14:paraId="0A246B61"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Li, Y., &amp; Hua, Z. (2024). Environmental protection tax law and corporate ESG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Finance Research Letters, 64</w:t>
      </w:r>
      <w:r w:rsidRPr="0034665F">
        <w:rPr>
          <w:rFonts w:ascii="Times New Roman" w:eastAsia="Microsoft YaHei" w:cs="SimSun"/>
          <w:bCs/>
          <w:color w:val="000000"/>
          <w:kern w:val="0"/>
          <w:sz w:val="22"/>
          <w:szCs w:val="24"/>
        </w:rPr>
        <w:t>, 105423.</w:t>
      </w:r>
      <w:r w:rsidRPr="0034665F">
        <w:rPr>
          <w:rFonts w:ascii="Times New Roman" w:eastAsia="Microsoft YaHei" w:cs="SimSun"/>
          <w:bCs/>
          <w:color w:val="000000"/>
          <w:kern w:val="0"/>
          <w:sz w:val="22"/>
          <w:szCs w:val="24"/>
        </w:rPr>
        <w:t> </w:t>
      </w:r>
      <w:hyperlink r:id="rId24" w:tgtFrame="_blank" w:history="1">
        <w:r w:rsidRPr="0034665F">
          <w:rPr>
            <w:rStyle w:val="Hyperlink"/>
            <w:rFonts w:ascii="Times New Roman" w:eastAsia="Microsoft YaHei" w:cs="SimSun"/>
            <w:bCs/>
            <w:kern w:val="0"/>
            <w:sz w:val="22"/>
            <w:szCs w:val="24"/>
          </w:rPr>
          <w:t>https://doi.org/10.1016/j.frl.2024.105423</w:t>
        </w:r>
      </w:hyperlink>
    </w:p>
    <w:p w14:paraId="3238277B"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Liu, G., Yang, Z., Zhang, F., &amp; Zhang, N. (2022). Environmental tax reform and environmental investment: A quasi-natural experiment based on China's Environmental Protection Tax Law.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Economics, 109</w:t>
      </w:r>
      <w:r w:rsidRPr="0034665F">
        <w:rPr>
          <w:rFonts w:ascii="Times New Roman" w:eastAsia="Microsoft YaHei" w:cs="SimSun"/>
          <w:bCs/>
          <w:color w:val="000000"/>
          <w:kern w:val="0"/>
          <w:sz w:val="22"/>
          <w:szCs w:val="24"/>
        </w:rPr>
        <w:t>, 106000.</w:t>
      </w:r>
      <w:r w:rsidRPr="0034665F">
        <w:rPr>
          <w:rFonts w:ascii="Times New Roman" w:eastAsia="Microsoft YaHei" w:cs="SimSun"/>
          <w:bCs/>
          <w:color w:val="000000"/>
          <w:kern w:val="0"/>
          <w:sz w:val="22"/>
          <w:szCs w:val="24"/>
        </w:rPr>
        <w:t> </w:t>
      </w:r>
      <w:hyperlink r:id="rId25" w:tgtFrame="_blank" w:history="1">
        <w:r w:rsidRPr="0034665F">
          <w:rPr>
            <w:rStyle w:val="Hyperlink"/>
            <w:rFonts w:ascii="Times New Roman" w:eastAsia="Microsoft YaHei" w:cs="SimSun"/>
            <w:bCs/>
            <w:kern w:val="0"/>
            <w:sz w:val="22"/>
            <w:szCs w:val="24"/>
          </w:rPr>
          <w:t>https://doi.org/10.1016/j.eneco.2022.106000</w:t>
        </w:r>
      </w:hyperlink>
    </w:p>
    <w:p w14:paraId="12105B65"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Nyilasy, G., Gangadharbatla, H., &amp; Paladino, A. (2014). Perceived greenwashing: The interactive effects of green advertising and corporate environmental performance on consumer reactions.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Business Ethics, 125</w:t>
      </w:r>
      <w:r w:rsidRPr="0034665F">
        <w:rPr>
          <w:rFonts w:ascii="Times New Roman" w:eastAsia="Microsoft YaHei" w:cs="SimSun"/>
          <w:bCs/>
          <w:color w:val="000000"/>
          <w:kern w:val="0"/>
          <w:sz w:val="22"/>
          <w:szCs w:val="24"/>
        </w:rPr>
        <w:t>, 693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707.</w:t>
      </w:r>
      <w:r w:rsidRPr="0034665F">
        <w:rPr>
          <w:rFonts w:ascii="Times New Roman" w:eastAsia="Microsoft YaHei" w:cs="SimSun"/>
          <w:bCs/>
          <w:color w:val="000000"/>
          <w:kern w:val="0"/>
          <w:sz w:val="22"/>
          <w:szCs w:val="24"/>
        </w:rPr>
        <w:t> </w:t>
      </w:r>
      <w:hyperlink r:id="rId26" w:tgtFrame="_blank" w:history="1">
        <w:r w:rsidRPr="0034665F">
          <w:rPr>
            <w:rStyle w:val="Hyperlink"/>
            <w:rFonts w:ascii="Times New Roman" w:eastAsia="Microsoft YaHei" w:cs="SimSun"/>
            <w:bCs/>
            <w:kern w:val="0"/>
            <w:sz w:val="22"/>
            <w:szCs w:val="24"/>
          </w:rPr>
          <w:t>https://doi.org/10.1007/s10551-013-1944-3</w:t>
        </w:r>
      </w:hyperlink>
    </w:p>
    <w:p w14:paraId="188EEE03"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Omran, M. S., Zaid, M. A., &amp; Dwekat, A. (2021). The relationship between integrated reporting and corporate environmental performance: A green trial.</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Corporate Social Responsibility and Environmental Management, 28</w:t>
      </w:r>
      <w:r w:rsidRPr="0034665F">
        <w:rPr>
          <w:rFonts w:ascii="Times New Roman" w:eastAsia="Microsoft YaHei" w:cs="SimSun"/>
          <w:bCs/>
          <w:color w:val="000000"/>
          <w:kern w:val="0"/>
          <w:sz w:val="22"/>
          <w:szCs w:val="24"/>
        </w:rPr>
        <w:t>(1), 427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445.</w:t>
      </w:r>
      <w:r w:rsidRPr="0034665F">
        <w:rPr>
          <w:rFonts w:ascii="Times New Roman" w:eastAsia="Microsoft YaHei" w:cs="SimSun"/>
          <w:bCs/>
          <w:color w:val="000000"/>
          <w:kern w:val="0"/>
          <w:sz w:val="22"/>
          <w:szCs w:val="24"/>
        </w:rPr>
        <w:t> </w:t>
      </w:r>
      <w:hyperlink r:id="rId27" w:tgtFrame="_blank" w:history="1">
        <w:r w:rsidRPr="0034665F">
          <w:rPr>
            <w:rStyle w:val="Hyperlink"/>
            <w:rFonts w:ascii="Times New Roman" w:eastAsia="Microsoft YaHei" w:cs="SimSun"/>
            <w:bCs/>
            <w:kern w:val="0"/>
            <w:sz w:val="22"/>
            <w:szCs w:val="24"/>
          </w:rPr>
          <w:t>https://doi.org/10.1002/csr.2068</w:t>
        </w:r>
      </w:hyperlink>
    </w:p>
    <w:p w14:paraId="3E4DA508" w14:textId="471EF791"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Pham, T. N. D., Le, T. D., &amp; Tran, T. K. (2024). Environmental tax policy and enterprise performance: Analysis in Vietnam. In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The International Conference on Economics, Law and Government (ELG 2024)</w:t>
      </w:r>
      <w:r w:rsidRPr="0034665F">
        <w:rPr>
          <w:rFonts w:ascii="Times New Roman" w:eastAsia="Microsoft YaHei" w:cs="SimSun"/>
          <w:bCs/>
          <w:color w:val="000000"/>
          <w:kern w:val="0"/>
          <w:sz w:val="22"/>
          <w:szCs w:val="24"/>
        </w:rPr>
        <w:t> </w:t>
      </w:r>
      <w:r w:rsidRPr="0034665F">
        <w:rPr>
          <w:rFonts w:ascii="Times New Roman" w:eastAsia="Microsoft YaHei" w:cs="SimSun"/>
          <w:bCs/>
          <w:color w:val="000000"/>
          <w:kern w:val="0"/>
          <w:sz w:val="22"/>
          <w:szCs w:val="24"/>
        </w:rPr>
        <w:t>(p. 158).</w:t>
      </w:r>
    </w:p>
    <w:p w14:paraId="5F9F455D"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Sahoo, S., Kumar, A., &amp; Upadhyay, A. (2023). How do green knowledge management and green technology innovation impact corporate environmental performance? Understanding the role of green knowledge acquisition.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Business Strategy and the Environment, 32</w:t>
      </w:r>
      <w:r w:rsidRPr="0034665F">
        <w:rPr>
          <w:rFonts w:ascii="Times New Roman" w:eastAsia="Microsoft YaHei" w:cs="SimSun"/>
          <w:bCs/>
          <w:color w:val="000000"/>
          <w:kern w:val="0"/>
          <w:sz w:val="22"/>
          <w:szCs w:val="24"/>
        </w:rPr>
        <w:t>(1), 551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569.</w:t>
      </w:r>
      <w:r w:rsidRPr="0034665F">
        <w:rPr>
          <w:rFonts w:ascii="Times New Roman" w:eastAsia="Microsoft YaHei" w:cs="SimSun"/>
          <w:bCs/>
          <w:color w:val="000000"/>
          <w:kern w:val="0"/>
          <w:sz w:val="22"/>
          <w:szCs w:val="24"/>
        </w:rPr>
        <w:t> </w:t>
      </w:r>
      <w:hyperlink r:id="rId28" w:tgtFrame="_blank" w:history="1">
        <w:r w:rsidRPr="0034665F">
          <w:rPr>
            <w:rStyle w:val="Hyperlink"/>
            <w:rFonts w:ascii="Times New Roman" w:eastAsia="Microsoft YaHei" w:cs="SimSun"/>
            <w:bCs/>
            <w:kern w:val="0"/>
            <w:sz w:val="22"/>
            <w:szCs w:val="24"/>
          </w:rPr>
          <w:t>https://doi.org/10.1002/bse.3160</w:t>
        </w:r>
      </w:hyperlink>
    </w:p>
    <w:p w14:paraId="7C34F957"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Tobey, J. A. (2001).</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The effects of domestic environmental policies on patterns of world trade: An empirical test</w:t>
      </w:r>
      <w:r w:rsidRPr="0034665F">
        <w:rPr>
          <w:rFonts w:ascii="Times New Roman" w:eastAsia="Microsoft YaHei" w:cs="SimSun"/>
          <w:bCs/>
          <w:color w:val="000000"/>
          <w:kern w:val="0"/>
          <w:sz w:val="22"/>
          <w:szCs w:val="24"/>
        </w:rPr>
        <w:t> </w:t>
      </w:r>
      <w:r w:rsidRPr="0034665F">
        <w:rPr>
          <w:rFonts w:ascii="Times New Roman" w:eastAsia="Microsoft YaHei" w:cs="SimSun"/>
          <w:bCs/>
          <w:color w:val="000000"/>
          <w:kern w:val="0"/>
          <w:sz w:val="22"/>
          <w:szCs w:val="24"/>
        </w:rPr>
        <w:t>[Unpublished manuscript].</w:t>
      </w:r>
    </w:p>
    <w:p w14:paraId="174E88C7" w14:textId="6E81C2B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Uddin, K. M. K., Rahman, M. M., &amp; Saha, S. (2023). The impact of green tax and energy efficiency on sustainability: Evidence from Bangladesh.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Reports, 10</w:t>
      </w:r>
      <w:r w:rsidRPr="0034665F">
        <w:rPr>
          <w:rFonts w:ascii="Times New Roman" w:eastAsia="Microsoft YaHei" w:cs="SimSun"/>
          <w:bCs/>
          <w:color w:val="000000"/>
          <w:kern w:val="0"/>
          <w:sz w:val="22"/>
          <w:szCs w:val="24"/>
        </w:rPr>
        <w:t>, 2306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2318.</w:t>
      </w:r>
      <w:r w:rsidRPr="0034665F">
        <w:rPr>
          <w:rFonts w:ascii="Times New Roman" w:eastAsia="Microsoft YaHei" w:cs="SimSun"/>
          <w:bCs/>
          <w:color w:val="000000"/>
          <w:kern w:val="0"/>
          <w:sz w:val="22"/>
          <w:szCs w:val="24"/>
        </w:rPr>
        <w:t> </w:t>
      </w:r>
      <w:hyperlink r:id="rId29" w:history="1">
        <w:r w:rsidRPr="00891566">
          <w:rPr>
            <w:rStyle w:val="Hyperlink"/>
            <w:rFonts w:ascii="Times New Roman" w:eastAsia="Microsoft YaHei" w:cs="SimSun"/>
            <w:bCs/>
            <w:kern w:val="0"/>
            <w:sz w:val="22"/>
            <w:szCs w:val="24"/>
          </w:rPr>
          <w:t>https://doi.org/10.1016/j.egyr.2023.08.055</w:t>
        </w:r>
      </w:hyperlink>
    </w:p>
    <w:p w14:paraId="3AE1EBAC"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Verbeke, A., &amp; Coeck, C. (1997). Environmental taxation: A green stick or a green carrot for corporate social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Managerial and Decision Economics, 18</w:t>
      </w:r>
      <w:r w:rsidRPr="0034665F">
        <w:rPr>
          <w:rFonts w:ascii="Times New Roman" w:eastAsia="Microsoft YaHei" w:cs="SimSun"/>
          <w:bCs/>
          <w:color w:val="000000"/>
          <w:kern w:val="0"/>
          <w:sz w:val="22"/>
          <w:szCs w:val="24"/>
        </w:rPr>
        <w:t>(6), 507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516.</w:t>
      </w:r>
    </w:p>
    <w:p w14:paraId="081AF3DD"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Yan, S., Almandoz, J., &amp; Ferraro, F. (2021). The impact of logic (in)compatibility: Green investing, state policy, and corporate environmental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Administrative Science Quarterly, 66</w:t>
      </w:r>
      <w:r w:rsidRPr="0034665F">
        <w:rPr>
          <w:rFonts w:ascii="Times New Roman" w:eastAsia="Microsoft YaHei" w:cs="SimSun"/>
          <w:bCs/>
          <w:color w:val="000000"/>
          <w:kern w:val="0"/>
          <w:sz w:val="22"/>
          <w:szCs w:val="24"/>
        </w:rPr>
        <w:t>(4), 903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944.</w:t>
      </w:r>
      <w:r w:rsidRPr="0034665F">
        <w:rPr>
          <w:rFonts w:ascii="Times New Roman" w:eastAsia="Microsoft YaHei" w:cs="SimSun"/>
          <w:bCs/>
          <w:color w:val="000000"/>
          <w:kern w:val="0"/>
          <w:sz w:val="22"/>
          <w:szCs w:val="24"/>
        </w:rPr>
        <w:t> </w:t>
      </w:r>
      <w:hyperlink r:id="rId30" w:tgtFrame="_blank" w:history="1">
        <w:r w:rsidRPr="0034665F">
          <w:rPr>
            <w:rStyle w:val="Hyperlink"/>
            <w:rFonts w:ascii="Times New Roman" w:eastAsia="Microsoft YaHei" w:cs="SimSun"/>
            <w:bCs/>
            <w:kern w:val="0"/>
            <w:sz w:val="22"/>
            <w:szCs w:val="24"/>
          </w:rPr>
          <w:t>https://doi.org/10.1177/00018392211024555</w:t>
        </w:r>
      </w:hyperlink>
    </w:p>
    <w:p w14:paraId="254F9A40" w14:textId="49F0FF0B" w:rsidR="00CF17D2" w:rsidRPr="0034665F" w:rsidRDefault="00CF17D2" w:rsidP="0034665F">
      <w:pPr>
        <w:autoSpaceDE w:val="0"/>
        <w:autoSpaceDN w:val="0"/>
        <w:adjustRightInd w:val="0"/>
        <w:rPr>
          <w:rFonts w:ascii="Times New Roman" w:eastAsia="SimSun" w:hAnsi="Times New Roman" w:cs="Times New Roman"/>
          <w:kern w:val="0"/>
          <w:sz w:val="20"/>
          <w:szCs w:val="20"/>
        </w:rPr>
      </w:pPr>
    </w:p>
    <w:sectPr w:rsidR="00CF17D2" w:rsidRPr="0034665F">
      <w:headerReference w:type="even" r:id="rId31"/>
      <w:headerReference w:type="default" r:id="rId32"/>
      <w:footerReference w:type="even" r:id="rId33"/>
      <w:footerReference w:type="default" r:id="rId34"/>
      <w:headerReference w:type="first" r:id="rId35"/>
      <w:footerReference w:type="first" r:id="rId36"/>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6783" w14:textId="77777777" w:rsidR="008D431B" w:rsidRDefault="008D431B">
      <w:r>
        <w:separator/>
      </w:r>
    </w:p>
  </w:endnote>
  <w:endnote w:type="continuationSeparator" w:id="0">
    <w:p w14:paraId="285A5B1E" w14:textId="77777777" w:rsidR="008D431B" w:rsidRDefault="008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3123" w14:textId="77777777" w:rsidR="00DF1611" w:rsidRDefault="00DF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20C3" w14:textId="77777777" w:rsidR="00DF1611" w:rsidRDefault="00DF1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47BF" w14:textId="77777777" w:rsidR="00DF1611" w:rsidRDefault="00DF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4949" w14:textId="77777777" w:rsidR="008D431B" w:rsidRDefault="008D431B">
      <w:r>
        <w:separator/>
      </w:r>
    </w:p>
  </w:footnote>
  <w:footnote w:type="continuationSeparator" w:id="0">
    <w:p w14:paraId="22C2777B" w14:textId="77777777" w:rsidR="008D431B" w:rsidRDefault="008D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59AE" w14:textId="439735A8" w:rsidR="00DF1611" w:rsidRDefault="00DF1611">
    <w:pPr>
      <w:pStyle w:val="Header"/>
    </w:pPr>
    <w:r>
      <w:rPr>
        <w:noProof/>
      </w:rPr>
      <w:pict w14:anchorId="6CDBB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7" o:spid="_x0000_s2050" type="#_x0000_t136" style="position:absolute;left:0;text-align:left;margin-left:0;margin-top:0;width:611.4pt;height:67.9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E7E5" w14:textId="16E6862A" w:rsidR="00DF1611" w:rsidRDefault="00DF1611">
    <w:pPr>
      <w:pStyle w:val="Header"/>
    </w:pPr>
    <w:r>
      <w:rPr>
        <w:noProof/>
      </w:rPr>
      <w:pict w14:anchorId="50924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8" o:spid="_x0000_s2051" type="#_x0000_t136" style="position:absolute;left:0;text-align:left;margin-left:0;margin-top:0;width:611.4pt;height:67.9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2418" w14:textId="75FE988A" w:rsidR="00DF1611" w:rsidRDefault="00DF1611">
    <w:pPr>
      <w:pStyle w:val="Header"/>
    </w:pPr>
    <w:r>
      <w:rPr>
        <w:noProof/>
      </w:rPr>
      <w:pict w14:anchorId="46E5B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6" o:spid="_x0000_s2049" type="#_x0000_t136" style="position:absolute;left:0;text-align:left;margin-left:0;margin-top:0;width:611.4pt;height:67.9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D27F6"/>
    <w:multiLevelType w:val="multilevel"/>
    <w:tmpl w:val="8ADA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1F4084"/>
    <w:multiLevelType w:val="hybridMultilevel"/>
    <w:tmpl w:val="6318EA82"/>
    <w:lvl w:ilvl="0" w:tplc="D0EEC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000817"/>
    <w:multiLevelType w:val="hybridMultilevel"/>
    <w:tmpl w:val="F3466C98"/>
    <w:lvl w:ilvl="0" w:tplc="F28A40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9E66F54"/>
    <w:multiLevelType w:val="hybridMultilevel"/>
    <w:tmpl w:val="83B085DA"/>
    <w:lvl w:ilvl="0" w:tplc="F28A40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4134231-CF32-4F39-BDFE-ACB3AC1BFEA4}" w:val=" ADDIN NE.Ref.{04134231-CF32-4F39-BDFE-ACB3AC1BFEA4}&lt;Citation&gt;&lt;Group&gt;&lt;References&gt;&lt;Item&gt;&lt;ID&gt;558&lt;/ID&gt;&lt;UID&gt;{60C77781-A04D-4AE1-9720-106C900518DC}&lt;/UID&gt;&lt;Title&gt;中国有关环境税费的污染减排效应实证研究&lt;/Title&gt;&lt;Template&gt;Journal Article&lt;/Template&gt;&lt;Star&gt;0&lt;/Star&gt;&lt;Tag&gt;0&lt;/Tag&gt;&lt;Author&gt;李建军; 刘元生&lt;/Author&gt;&lt;Year&gt;2015&lt;/Year&gt;&lt;Details&gt;&lt;_author_adr&gt;西南财经大学财政税务学院;&lt;/_author_adr&gt;&lt;_db_provider&gt;CNKI&lt;/_db_provider&gt;&lt;_isbn&gt;1002-2104&lt;/_isbn&gt;&lt;_issue&gt;08&lt;/_issue&gt;&lt;_journal&gt;中国人口·资源与环境&lt;/_journal&gt;&lt;_keywords&gt;环境税收;排污费;工业“三废”;“双重红利”&lt;/_keywords&gt;&lt;_pages&gt;84-91&lt;/_pages&gt;&lt;_url&gt;https://kns.cnki.net/kcms/detail/37.1196.n.20150803.1110.022.html&lt;/_url&gt;&lt;_volume&gt;25&lt;/_volume&gt;&lt;_created&gt;64605545&lt;/_created&gt;&lt;_modified&gt;64605545&lt;/_modified&gt;&lt;_collection_scope&gt;CSSCI;PKU;CSCD&lt;/_collection_scope&gt;&lt;_translated_author&gt;Li, Jian jun;Liu, Yuan sheng&lt;/_translated_author&gt;&lt;/Details&gt;&lt;Extra&gt;&lt;DBUID&gt;{F96A950B-833F-4880-A151-76DA2D6A2879}&lt;/DBUID&gt;&lt;/Extra&gt;&lt;/Item&gt;&lt;/References&gt;&lt;/Group&gt;&lt;Group&gt;&lt;References&gt;&lt;Item&gt;&lt;ID&gt;552&lt;/ID&gt;&lt;UID&gt;{77309E84-EDAF-41BD-8719-4EE20B42FF3B}&lt;/UID&gt;&lt;Title&gt;环境保护税的减排效应及区域差异性分析——基于我国排污费调整的实证研究&lt;/Title&gt;&lt;Template&gt;Journal Article&lt;/Template&gt;&lt;Star&gt;0&lt;/Star&gt;&lt;Tag&gt;0&lt;/Tag&gt;&lt;Author&gt;刘晔; 张训常&lt;/Author&gt;&lt;Year&gt;2018&lt;/Year&gt;&lt;Details&gt;&lt;_author_adr&gt;厦门大学经济学院;&lt;/_author_adr&gt;&lt;_db_provider&gt;CNKI&lt;/_db_provider&gt;&lt;_doi&gt;10.19376/j.cnki.cn11-1011/f.2018.02.008&lt;/_doi&gt;&lt;_isbn&gt;1003-448X&lt;/_isbn&gt;&lt;_issue&gt;02&lt;/_issue&gt;&lt;_journal&gt;税务研究&lt;/_journal&gt;&lt;_keywords&gt;环境保护税;排污费;减排效应;区域差异&lt;/_keywords&gt;&lt;_pages&gt;41-47&lt;/_pages&gt;&lt;_created&gt;64605545&lt;/_created&gt;&lt;_modified&gt;64605545&lt;/_modified&gt;&lt;_collection_scope&gt;CSSCI;PKU&lt;/_collection_scope&gt;&lt;_translated_author&gt;Liu, Ye;Zhang, Xun chang&lt;/_translated_author&gt;&lt;/Details&gt;&lt;Extra&gt;&lt;DBUID&gt;{F96A950B-833F-4880-A151-76DA2D6A2879}&lt;/DBUID&gt;&lt;/Extra&gt;&lt;/Item&gt;&lt;/References&gt;&lt;/Group&gt;&lt;Group&gt;&lt;References&gt;&lt;Item&gt;&lt;ID&gt;585&lt;/ID&gt;&lt;UID&gt;{52F7BD45-2817-409B-9ADF-FE270EDE1008}&lt;/UID&gt;&lt;Title&gt;Foreign direct investment concessions and environmental levies in China&lt;/Title&gt;&lt;Template&gt;Journal Article&lt;/Template&gt;&lt;Star&gt;0&lt;/Star&gt;&lt;Tag&gt;0&lt;/Tag&gt;&lt;Author&gt;Chen, Qiu; Maung, Min; Shi, Yulin; Wilson, Craig&lt;/Author&gt;&lt;Year&gt;2014&lt;/Year&gt;&lt;Details&gt;&lt;_alternate_title&gt;International Review of Financial Analysis&lt;/_alternate_title&gt;&lt;_date_display&gt;2014&lt;/_date_display&gt;&lt;_date&gt;2014-01-01&lt;/_date&gt;&lt;_isbn&gt;1057-5219&lt;/_isbn&gt;&lt;_journal&gt;International Review of Financial Analysis&lt;/_journal&gt;&lt;_ori_publication&gt;Elsevier&lt;/_ori_publication&gt;&lt;_pages&gt;241-250&lt;/_pages&gt;&lt;_volume&gt;36&lt;/_volume&gt;&lt;_created&gt;64606441&lt;/_created&gt;&lt;_modified&gt;64606441&lt;/_modified&gt;&lt;_impact_factor&gt;   8.235&lt;/_impact_factor&gt;&lt;_social_category&gt;经济学(3)&lt;/_social_category&gt;&lt;_collection_scope&gt;SSCI&lt;/_collection_scope&gt;&lt;/Details&gt;&lt;Extra&gt;&lt;DBUID&gt;{F96A950B-833F-4880-A151-76DA2D6A2879}&lt;/DBUID&gt;&lt;/Extra&gt;&lt;/Item&gt;&lt;/References&gt;&lt;/Group&gt;&lt;/Citation&gt;_x000a_"/>
    <w:docVar w:name="NE.Ref{07B1A156-42BA-4FB2-9A30-35FF5095E5BC}" w:val=" ADDIN NE.Ref.{07B1A156-42BA-4FB2-9A30-35FF5095E5BC}&lt;Citation&gt;&lt;Group&gt;&lt;References&gt;&lt;Item&gt;&lt;ID&gt;533&lt;/ID&gt;&lt;UID&gt;{359D4448-0118-4AAE-83C3-D099505C43CC}&lt;/UID&gt;&lt;Title&gt;进口竞争如何影响企业环境绩效——来自中国加入WTO的准自然实验&lt;/Title&gt;&lt;Template&gt;Journal Article&lt;/Template&gt;&lt;Star&gt;0&lt;/Star&gt;&lt;Tag&gt;0&lt;/Tag&gt;&lt;Author&gt;邵朝对&lt;/Author&gt;&lt;Year&gt;2021&lt;/Year&gt;&lt;Details&gt;&lt;_author_adr&gt;南开大学跨国公司研究中心;南开大学经济学院;&lt;/_author_adr&gt;&lt;_db_provider&gt;CNKI&lt;/_db_provider&gt;&lt;_doi&gt;10.13821/j.cnki.ceq.2021.05.06&lt;/_doi&gt;&lt;_isbn&gt;2095-1086&lt;/_isbn&gt;&lt;_issue&gt;05&lt;/_issue&gt;&lt;_journal&gt;经济学(季刊)&lt;/_journal&gt;&lt;_keywords&gt;进口竞争;企业污染排放强度;倍差法&lt;/_keywords&gt;&lt;_pages&gt;1615-1638&lt;/_pages&gt;&lt;_volume&gt;21&lt;/_volume&gt;&lt;_created&gt;64605545&lt;/_created&gt;&lt;_modified&gt;64605545&lt;/_modified&gt;&lt;_collection_scope&gt;CSSCI;PKU&lt;/_collection_scope&gt;&lt;_translated_author&gt;Shao, Chao dui&lt;/_translated_author&gt;&lt;/Details&gt;&lt;Extra&gt;&lt;DBUID&gt;{F96A950B-833F-4880-A151-76DA2D6A2879}&lt;/DBUID&gt;&lt;/Extra&gt;&lt;/Item&gt;&lt;/References&gt;&lt;/Group&gt;&lt;/Citation&gt;_x000a_"/>
    <w:docVar w:name="NE.Ref{0971F426-C603-42CD-9117-471759A66E89}" w:val=" ADDIN NE.Ref.{0971F426-C603-42CD-9117-471759A66E89}&lt;Citation&gt;&lt;Group&gt;&lt;References&gt;&lt;Item&gt;&lt;ID&gt;529&lt;/ID&gt;&lt;UID&gt;{D43EB7FE-5EC3-44D5-A8EC-04AFF2EC49AA}&lt;/UID&gt;&lt;Title&gt;市场型环境规制政策有效性检验——来自碳排放权交易政策视角的经验证据&lt;/Title&gt;&lt;Template&gt;Journal Article&lt;/Template&gt;&lt;Star&gt;0&lt;/Star&gt;&lt;Tag&gt;0&lt;/Tag&gt;&lt;Author&gt;董直庆; 王辉&lt;/Author&gt;&lt;Year&gt;2021&lt;/Year&gt;&lt;Details&gt;&lt;_author_adr&gt;华东师范大学经济与管理学部;湖南大学经济与贸易学院;&lt;/_author_adr&gt;&lt;_db_provider&gt;CNKI&lt;/_db_provider&gt;&lt;_doi&gt;10.19343/j.cnki.11-1302/c.2021.10.005&lt;/_doi&gt;&lt;_isbn&gt;1002-4565&lt;/_isbn&gt;&lt;_issue&gt;10&lt;/_issue&gt;&lt;_journal&gt;统计研究&lt;/_journal&gt;&lt;_keywords&gt;碳排放权交易政策;碳排放;能源结构;绿色技术进步程度&lt;/_keywords&gt;&lt;_pages&gt;48-61&lt;/_pages&gt;&lt;_url&gt;https://kns.cnki.net/kcms/detail/11.1302.C.20211109.1424.004.html&lt;/_url&gt;&lt;_volume&gt;38&lt;/_volume&gt;&lt;_created&gt;64605545&lt;/_created&gt;&lt;_modified&gt;64605545&lt;/_modified&gt;&lt;_collection_scope&gt;CSSCI;PKU&lt;/_collection_scope&gt;&lt;_translated_author&gt;Dong, Zhi qing;Wang, Hui&lt;/_translated_author&gt;&lt;/Details&gt;&lt;Extra&gt;&lt;DBUID&gt;{F96A950B-833F-4880-A151-76DA2D6A2879}&lt;/DBUID&gt;&lt;/Extra&gt;&lt;/Item&gt;&lt;/References&gt;&lt;/Group&gt;&lt;/Citation&gt;_x000a_"/>
    <w:docVar w:name="NE.Ref{0A6F514A-D064-49B4-A1F4-FC6C1F9874BE}" w:val=" ADDIN NE.Ref.{0A6F514A-D064-49B4-A1F4-FC6C1F9874BE}&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0B86CBB3-9846-444A-8F9A-79BDD646CB1B}" w:val=" ADDIN NE.Ref.{0B86CBB3-9846-444A-8F9A-79BDD646CB1B}&lt;Citation&gt;&lt;Group&gt;&lt;References&gt;&lt;Item&gt;&lt;ID&gt;551&lt;/ID&gt;&lt;UID&gt;{B383C0B2-9110-4BE5-BB65-26CDEC17CBEF}&lt;/UID&gt;&lt;Title&gt;雾霾污染、政府治理与经济高质量发展&lt;/Title&gt;&lt;Template&gt;Journal Article&lt;/Template&gt;&lt;Star&gt;0&lt;/Star&gt;&lt;Tag&gt;0&lt;/Tag&gt;&lt;Author&gt;陈诗一; 陈登科&lt;/Author&gt;&lt;Year&gt;2018&lt;/Year&gt;&lt;Details&gt;&lt;_author_adr&gt;复旦大学经济学院;&lt;/_author_adr&gt;&lt;_db_provider&gt;CNKI&lt;/_db_provider&gt;&lt;_isbn&gt;0577-9154&lt;/_isbn&gt;&lt;_issue&gt;02&lt;/_issue&gt;&lt;_journal&gt;经济研究&lt;/_journal&gt;&lt;_keywords&gt;雾霾污染;经济发展质量;政府治理;地级市PM2.5浓度&lt;/_keywords&gt;&lt;_pages&gt;20-34&lt;/_pages&gt;&lt;_volume&gt;53&lt;/_volume&gt;&lt;_created&gt;64605545&lt;/_created&gt;&lt;_modified&gt;64605545&lt;/_modified&gt;&lt;_collection_scope&gt;CSSCI;PKU&lt;/_collection_scope&gt;&lt;_translated_author&gt;Chen, Shi yi;Chen, Deng ke&lt;/_translated_author&gt;&lt;/Details&gt;&lt;Extra&gt;&lt;DBUID&gt;{F96A950B-833F-4880-A151-76DA2D6A2879}&lt;/DBUID&gt;&lt;/Extra&gt;&lt;/Item&gt;&lt;/References&gt;&lt;/Group&gt;&lt;/Citation&gt;_x000a_"/>
    <w:docVar w:name="NE.Ref{122BDEA2-4456-42F6-92DC-BB06D0F6AC1C}" w:val=" ADDIN NE.Ref.{122BDEA2-4456-42F6-92DC-BB06D0F6AC1C}&lt;Citation&gt;&lt;Group&gt;&lt;References&gt;&lt;Item&gt;&lt;ID&gt;572&lt;/ID&gt;&lt;UID&gt;{E8306624-AE6B-4C1F-8A19-DF52A100FF5D}&lt;/UID&gt;&lt;Title&gt;The environment and directed technical change&lt;/Title&gt;&lt;Template&gt;Journal Article&lt;/Template&gt;&lt;Star&gt;0&lt;/Star&gt;&lt;Tag&gt;0&lt;/Tag&gt;&lt;Author&gt;Acemoglu, Daron; Aghion, Philippe; Bursztyn, Leonardo; Hemous, David&lt;/Author&gt;&lt;Year&gt;2012&lt;/Year&gt;&lt;Details&gt;&lt;_alternate_title&gt;American economic review&lt;/_alternate_title&gt;&lt;_date_display&gt;2012&lt;/_date_display&gt;&lt;_date&gt;2012-01-01&lt;/_date&gt;&lt;_isbn&gt;0002-8282&lt;/_isbn&gt;&lt;_issue&gt;1&lt;/_issue&gt;&lt;_journal&gt;American economic review&lt;/_journal&gt;&lt;_pages&gt;131-66&lt;/_pages&gt;&lt;_volume&gt;102&lt;/_volume&gt;&lt;_created&gt;64605565&lt;/_created&gt;&lt;_modified&gt;64605565&lt;/_modified&gt;&lt;_impact_factor&gt;  11.490&lt;/_impact_factor&gt;&lt;_social_category&gt;经济学(1)&lt;/_social_category&gt;&lt;_collection_scope&gt;SSCI&lt;/_collection_scope&gt;&lt;/Details&gt;&lt;Extra&gt;&lt;DBUID&gt;{F96A950B-833F-4880-A151-76DA2D6A2879}&lt;/DBUID&gt;&lt;/Extra&gt;&lt;/Item&gt;&lt;/References&gt;&lt;/Group&gt;&lt;Group&gt;&lt;References&gt;&lt;Item&gt;&lt;ID&gt;519&lt;/ID&gt;&lt;UID&gt;{EB526958-6CB9-4603-8FDE-91823BB290D1}&lt;/UID&gt;&lt;Title&gt;环境规制与企业产品结构优化策略——来自多产品出口企业的经验证据&lt;/Title&gt;&lt;Template&gt;Journal Article&lt;/Template&gt;&lt;Star&gt;0&lt;/Star&gt;&lt;Tag&gt;0&lt;/Tag&gt;&lt;Author&gt;周沂; 郭琪; 邹冬寒&lt;/Author&gt;&lt;Year&gt;2022&lt;/Year&gt;&lt;Details&gt;&lt;_author_adr&gt;四川大学经济学院;华东师范大学城市与区域科学学院;&lt;/_author_adr&gt;&lt;_db_provider&gt;CNKI&lt;/_db_provider&gt;&lt;_doi&gt;10.19581/j.cnki.ciejournal.2022.06.005&lt;/_doi&gt;&lt;_isbn&gt;1006-480X&lt;/_isbn&gt;&lt;_issue&gt;06&lt;/_issue&gt;&lt;_journal&gt;中国工业经济&lt;/_journal&gt;&lt;_keywords&gt;多产品出口企业;环境规制;产品结构;资源配置;清洁生产标准&lt;/_keywords&gt;&lt;_pages&gt;117-135&lt;/_pages&gt;&lt;_url&gt;https://kns.cnki.net/kcms/detail/11.3536.F.20220705.1630.010.html&lt;/_url&gt;&lt;_created&gt;64605545&lt;/_created&gt;&lt;_modified&gt;64605545&lt;/_modified&gt;&lt;_collection_scope&gt;CSSCI;PKU&lt;/_collection_scope&gt;&lt;_translated_author&gt;Zhou, Yi;Guo, Qi;Zou, Dong han&lt;/_translated_author&gt;&lt;/Details&gt;&lt;Extra&gt;&lt;DBUID&gt;{F96A950B-833F-4880-A151-76DA2D6A2879}&lt;/DBUID&gt;&lt;/Extra&gt;&lt;/Item&gt;&lt;/References&gt;&lt;/Group&gt;&lt;/Citation&gt;_x000a_"/>
    <w:docVar w:name="NE.Ref{1509093B-D36E-44A8-9D8A-E344AA585ABB}" w:val=" ADDIN NE.Ref.{1509093B-D36E-44A8-9D8A-E344AA585ABB}&lt;Citation&gt;&lt;Group&gt;&lt;References&gt;&lt;Item&gt;&lt;ID&gt;539&lt;/ID&gt;&lt;UID&gt;{7BD31F03-259B-40A8-A20A-085D620CCCB5}&lt;/UID&gt;&lt;Title&gt;建设人与自然和谐共生的现代化&lt;/Title&gt;&lt;Template&gt;Journal Article&lt;/Template&gt;&lt;Star&gt;0&lt;/Star&gt;&lt;Tag&gt;0&lt;/Tag&gt;&lt;Author&gt;孙金龙; 黄润秋&lt;/Author&gt;&lt;Year&gt;2021&lt;/Year&gt;&lt;Details&gt;&lt;_author_adr&gt;生态环境部;&lt;/_author_adr&gt;&lt;_db_provider&gt;CNKI&lt;/_db_provider&gt;&lt;_isbn&gt;2095-6177&lt;/_isbn&gt;&lt;_issue&gt;02&lt;/_issue&gt;&lt;_journal&gt;中国生态文明&lt;/_journal&gt;&lt;_keywords&gt;生态环境保护;攻坚战;污染防治;支撑保障;人与自然和谐共生;&lt;/_keywords&gt;&lt;_pages&gt;8-9&lt;/_pages&gt;&lt;_created&gt;64605545&lt;/_created&gt;&lt;_modified&gt;64605545&lt;/_modified&gt;&lt;_translated_author&gt;Sun, Jin long;Huang, Run qiu&lt;/_translated_author&gt;&lt;/Details&gt;&lt;Extra&gt;&lt;DBUID&gt;{F96A950B-833F-4880-A151-76DA2D6A2879}&lt;/DBUID&gt;&lt;/Extra&gt;&lt;/Item&gt;&lt;/References&gt;&lt;/Group&gt;&lt;/Citation&gt;_x000a_"/>
    <w:docVar w:name="NE.Ref{16277D74-5BF1-4B70-B367-2AEBE655860C}" w:val=" ADDIN NE.Ref.{16277D74-5BF1-4B70-B367-2AEBE655860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18A699C6-C307-4D18-8943-D4EC95EF8441}" w:val=" ADDIN NE.Ref.{18A699C6-C307-4D18-8943-D4EC95EF8441}&lt;Citation&gt;&lt;Group&gt;&lt;References&gt;&lt;Item&gt;&lt;ID&gt;532&lt;/ID&gt;&lt;UID&gt;{77C58C84-A7F0-4AAC-8C31-21D0D7BA8CDC}&lt;/UID&gt;&lt;Title&gt;国际化董事会与企业环境绩效&lt;/Title&gt;&lt;Template&gt;Journal Article&lt;/Template&gt;&lt;Star&gt;0&lt;/Star&gt;&lt;Tag&gt;0&lt;/Tag&gt;&lt;Author&gt;杜兴强; 殷敬伟; 张颖; 杜颖洁&lt;/Author&gt;&lt;Year&gt;2021&lt;/Year&gt;&lt;Details&gt;&lt;_author_adr&gt;厦门大学会计发展研究中心/管理学院;中南大学商学院;上海大学管理学院;&lt;/_author_adr&gt;&lt;_db_provider&gt;CNKI&lt;/_db_provider&gt;&lt;_isbn&gt;1003-2886&lt;/_isbn&gt;&lt;_issue&gt;10&lt;/_issue&gt;&lt;_journal&gt;会计研究&lt;/_journal&gt;&lt;_keywords&gt;国际化董事会;地区绿色发展水平;董事会治理;监督和咨询职能;企业环境绩效&lt;/_keywords&gt;&lt;_pages&gt;84-96&lt;/_pages&gt;&lt;_created&gt;64605545&lt;/_created&gt;&lt;_modified&gt;64605545&lt;/_modified&gt;&lt;_collection_scope&gt;CSSCI;PKU&lt;/_collection_scope&gt;&lt;_translated_author&gt;Du, Xing qiang;Yin, Jing wei;Zhang, Ying;Du, Ying jie&lt;/_translated_author&gt;&lt;/Details&gt;&lt;Extra&gt;&lt;DBUID&gt;{F96A950B-833F-4880-A151-76DA2D6A2879}&lt;/DBUID&gt;&lt;/Extra&gt;&lt;/Item&gt;&lt;/References&gt;&lt;/Group&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19C1E214-177D-4548-946F-8536255584C2}" w:val=" ADDIN NE.Ref.{19C1E214-177D-4548-946F-8536255584C2}&lt;Citation&gt;&lt;Group&gt;&lt;References&gt;&lt;Item&gt;&lt;ID&gt;537&lt;/ID&gt;&lt;UID&gt;{9D006372-3A2C-4CBA-B48A-37B9AA9730CE}&lt;/UID&gt;&lt;Title&gt;他山之石或可攻玉：税制绿色化对企业创新的溢出效应&lt;/Title&gt;&lt;Template&gt;Journal Article&lt;/Template&gt;&lt;Star&gt;0&lt;/Star&gt;&lt;Tag&gt;0&lt;/Tag&gt;&lt;Author&gt;程博; 熊婷; 殷俊明&lt;/Author&gt;&lt;Year&gt;2021&lt;/Year&gt;&lt;Details&gt;&lt;_author_adr&gt;南京审计大学会计学院;&lt;/_author_adr&gt;&lt;_db_provider&gt;CNKI&lt;/_db_provider&gt;&lt;_isbn&gt;1003-2886&lt;/_isbn&gt;&lt;_issue&gt;06&lt;/_issue&gt;&lt;_journal&gt;会计研究&lt;/_journal&gt;&lt;_keywords&gt;税制绿色化;企业创新;溢出效应;《环境保护税法》&lt;/_keywords&gt;&lt;_pages&gt;176-188&lt;/_pages&gt;&lt;_created&gt;64605545&lt;/_created&gt;&lt;_modified&gt;64605545&lt;/_modified&gt;&lt;_collection_scope&gt;CSSCI;PKU&lt;/_collection_scope&gt;&lt;_translated_author&gt;Cheng, Bo;Xiong, Ting;Yin, Jun ming&lt;/_translated_author&gt;&lt;/Details&gt;&lt;Extra&gt;&lt;DBUID&gt;{F96A950B-833F-4880-A151-76DA2D6A2879}&lt;/DBUID&gt;&lt;/Extra&gt;&lt;/Item&gt;&lt;/References&gt;&lt;/Group&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2AF904AE-7717-4FC3-BAAD-E6105178E843}" w:val=" ADDIN NE.Ref.{2AF904AE-7717-4FC3-BAAD-E6105178E843}&lt;Citation&gt;&lt;Group&gt;&lt;References&gt;&lt;Item&gt;&lt;ID&gt;530&lt;/ID&gt;&lt;UID&gt;{B0805A47-122F-4330-9A64-05A201284F59}&lt;/UID&gt;&lt;Title&gt;企业集团内部是否存在“污染避难所”&lt;/Title&gt;&lt;Template&gt;Journal Article&lt;/Template&gt;&lt;Star&gt;0&lt;/Star&gt;&lt;Tag&gt;0&lt;/Tag&gt;&lt;Author&gt;宋德勇; 朱文博; 王班班; 丁海&lt;/Author&gt;&lt;Year&gt;2021&lt;/Year&gt;&lt;Details&gt;&lt;_author_adr&gt;华中科技大学经济学院;&lt;/_author_adr&gt;&lt;_db_provider&gt;CNKI&lt;/_db_provider&gt;&lt;_doi&gt;10.19581/j.cnki.ciejournal.2021.10.008&lt;/_doi&gt;&lt;_isbn&gt;1006-480X&lt;/_isbn&gt;&lt;_issue&gt;10&lt;/_issue&gt;&lt;_journal&gt;中国工业经济&lt;/_journal&gt;&lt;_keywords&gt;污染转移;环境规制;企业集团;排污费改革&lt;/_keywords&gt;&lt;_pages&gt;156-174&lt;/_pages&gt;&lt;_url&gt;https://kns.cnki.net/kcms/detail/11.3536.F.20211022.1352.016.html&lt;/_url&gt;&lt;_created&gt;64605545&lt;/_created&gt;&lt;_modified&gt;64605545&lt;/_modified&gt;&lt;_collection_scope&gt;CSSCI;PKU&lt;/_collection_scope&gt;&lt;_translated_author&gt;Song, De yong;Zhu, Wen bo;Wang, Ban ban;Ding, Hai&lt;/_translated_author&gt;&lt;/Details&gt;&lt;Extra&gt;&lt;DBUID&gt;{F96A950B-833F-4880-A151-76DA2D6A2879}&lt;/DBUID&gt;&lt;/Extra&gt;&lt;/Item&gt;&lt;/References&gt;&lt;/Group&gt;&lt;/Citation&gt;_x000a_"/>
    <w:docVar w:name="NE.Ref{2D01AD5B-457A-4E49-804F-64C66C9D1B00}" w:val=" ADDIN NE.Ref.{2D01AD5B-457A-4E49-804F-64C66C9D1B00}&lt;Citation&gt;&lt;Group&gt;&lt;References&gt;&lt;Item&gt;&lt;ID&gt;35&lt;/ID&gt;&lt;UID&gt;{4624EAD9-06A3-4A0B-953C-8714C2AF3ABA}&lt;/UID&gt;&lt;Title&gt;高管团队海外背景对企业创新绩效的影响研究&lt;/Title&gt;&lt;Template&gt;Journal Article&lt;/Template&gt;&lt;Star&gt;0&lt;/Star&gt;&lt;Tag&gt;0&lt;/Tag&gt;&lt;Author&gt;刘凤朝; 默佳鑫; 马荣康&lt;/Author&gt;&lt;Year&gt;2017&lt;/Year&gt;&lt;Details&gt;&lt;_author_adr&gt;大连理工大学管理与经济学部;&lt;/_author_adr&gt;&lt;_collection_scope&gt;CSSCI-C;PKU&lt;/_collection_scope&gt;&lt;_created&gt;64385829&lt;/_created&gt;&lt;_db_provider&gt;CNKI&lt;/_db_provider&gt;&lt;_doi&gt;10.14120/j.cnki.cn11-5057/f.2017.06.009&lt;/_doi&gt;&lt;_isbn&gt;1003-1952&lt;/_isbn&gt;&lt;_issue&gt;07&lt;/_issue&gt;&lt;_journal&gt;管理评论&lt;/_journal&gt;&lt;_keywords&gt;高管团队;海外背景;创新绩效;影响&lt;/_keywords&gt;&lt;_modified&gt;64385829&lt;/_modified&gt;&lt;_pages&gt;135-147&lt;/_pages&gt;&lt;_url&gt;https://kns.cnki.net/kcms/detail/11.5057.F.20170428.1248.022.html&lt;/_url&gt;&lt;_volume&gt;29&lt;/_volume&gt;&lt;_translated_author&gt;Liu, Fengchao;Mo, Jiaxin;Ma, Rongkang&lt;/_translated_author&gt;&lt;/Details&gt;&lt;Extra&gt;&lt;DBUID&gt;{CB3432AD-8324-41DF-9574-982C5C2A1FCD}&lt;/DBUID&gt;&lt;/Extra&gt;&lt;/Item&gt;&lt;/References&gt;&lt;/Group&gt;&lt;Group&gt;&lt;References&gt;&lt;Item&gt;&lt;ID&gt;555&lt;/ID&gt;&lt;UID&gt;{9924FE85-36C3-457F-B41F-25CDA4DCEBA8}&lt;/UID&gt;&lt;Title&gt;高管海外背景与企业社会责任&lt;/Title&gt;&lt;Template&gt;Journal Article&lt;/Template&gt;&lt;Star&gt;0&lt;/Star&gt;&lt;Tag&gt;0&lt;/Tag&gt;&lt;Author&gt;文雯; 宋建波&lt;/Author&gt;&lt;Year&gt;2017&lt;/Year&gt;&lt;Details&gt;&lt;_author_adr&gt;中国人民大学商学院;&lt;/_author_adr&gt;&lt;_db_provider&gt;CNKI&lt;/_db_provider&gt;&lt;_isbn&gt;1672-0334&lt;/_isbn&gt;&lt;_issue&gt;02&lt;/_issue&gt;&lt;_journal&gt;管理科学&lt;/_journal&gt;&lt;_keywords&gt;海外背景;企业社会责任;高阶梯队理论;信息不对称;利益相关者&lt;/_keywords&gt;&lt;_pages&gt;119-131&lt;/_pages&gt;&lt;_volume&gt;30&lt;/_volume&gt;&lt;_created&gt;64605545&lt;/_created&gt;&lt;_modified&gt;64605545&lt;/_modified&gt;&lt;_collection_scope&gt;CSSCI;PKU&lt;/_collection_scope&gt;&lt;_translated_author&gt;Wen, Wen;Song, Jian bo&lt;/_translated_author&gt;&lt;/Details&gt;&lt;Extra/&gt;&lt;/Item&gt;&lt;/References&gt;&lt;/Group&gt;&lt;/Citation&gt;_x000a_"/>
    <w:docVar w:name="NE.Ref{2E95C3B4-1950-4DCC-A4AA-1F3C96C65E82}" w:val=" ADDIN NE.Ref.{2E95C3B4-1950-4DCC-A4AA-1F3C96C65E82}&lt;Citation&gt;&lt;Group&gt;&lt;References&gt;&lt;Item&gt;&lt;ID&gt;541&lt;/ID&gt;&lt;UID&gt;{0E7608AD-BB0A-4E73-8FAB-451BE609A23B}&lt;/UID&gt;&lt;Title&gt;“环保费改税”会影响企业绩效吗?&lt;/Title&gt;&lt;Template&gt;Journal Article&lt;/Template&gt;&lt;Star&gt;0&lt;/Star&gt;&lt;Tag&gt;0&lt;/Tag&gt;&lt;Author&gt;金友良; 谷钧仁; 曾辉祥&lt;/Author&gt;&lt;Year&gt;2020&lt;/Year&gt;&lt;Details&gt;&lt;_author_adr&gt;中南大学商学院;&lt;/_author_adr&gt;&lt;_db_provider&gt;CNKI&lt;/_db_provider&gt;&lt;_isbn&gt;1003-2886&lt;/_isbn&gt;&lt;_issue&gt;05&lt;/_issue&gt;&lt;_journal&gt;会计研究&lt;/_journal&gt;&lt;_keywords&gt;环保费改税;企业绩效;税负标准;双重差分法&lt;/_keywords&gt;&lt;_pages&gt;117-133&lt;/_pages&gt;&lt;_created&gt;64605545&lt;/_created&gt;&lt;_modified&gt;64605545&lt;/_modified&gt;&lt;_collection_scope&gt;CSSCI;PKU&lt;/_collection_scope&gt;&lt;_translated_author&gt;Jin, You liang;Gu, Jun ren;Ceng, Hui xiang&lt;/_translated_author&gt;&lt;/Details&gt;&lt;Extra&gt;&lt;DBUID&gt;{F96A950B-833F-4880-A151-76DA2D6A2879}&lt;/DBUID&gt;&lt;/Extra&gt;&lt;/Item&gt;&lt;/References&gt;&lt;/Group&gt;&lt;/Citation&gt;_x000a_"/>
    <w:docVar w:name="NE.Ref{2FD61701-9BAC-4809-8568-850DE8E0466E}" w:val=" ADDIN NE.Ref.{2FD61701-9BAC-4809-8568-850DE8E0466E}&lt;Citation&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31404B1B-F783-4AF5-A639-432438BC4403}" w:val=" ADDIN NE.Ref.{31404B1B-F783-4AF5-A639-432438BC4403}&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Citation&gt;_x000a_"/>
    <w:docVar w:name="NE.Ref{3CE7B68E-76C6-47ED-8AFD-56AE96FD3502}" w:val=" ADDIN NE.Ref.{3CE7B68E-76C6-47ED-8AFD-56AE96FD3502}&lt;Citation&gt;&lt;Group&gt;&lt;References&gt;&lt;Item&gt;&lt;ID&gt;564&lt;/ID&gt;&lt;UID&gt;{E319C380-E940-44DE-9ED0-958D41C3AB94}&lt;/UID&gt;&lt;Title&gt;金融生态环境、银行关联与债务融资——基于我国民营企业的实证研究&lt;/Title&gt;&lt;Template&gt;Journal Article&lt;/Template&gt;&lt;Star&gt;0&lt;/Star&gt;&lt;Tag&gt;0&lt;/Tag&gt;&lt;Author&gt;邓建平; 曾勇&lt;/Author&gt;&lt;Year&gt;2011&lt;/Year&gt;&lt;Details&gt;&lt;_author_adr&gt;厦门国家会计学院;电子科技大学经济与管理学院;&lt;/_author_adr&gt;&lt;_db_provider&gt;CNKI&lt;/_db_provider&gt;&lt;_isbn&gt;1003-2886&lt;/_isbn&gt;&lt;_issue&gt;12&lt;/_issue&gt;&lt;_journal&gt;会计研究&lt;/_journal&gt;&lt;_keywords&gt;银行关联;金融生态环境;债务融资&lt;/_keywords&gt;&lt;_pages&gt;33-40+96-97&lt;/_pages&gt;&lt;_created&gt;64605545&lt;/_created&gt;&lt;_modified&gt;64605545&lt;/_modified&gt;&lt;_collection_scope&gt;CSSCI;PKU&lt;/_collection_scope&gt;&lt;_translated_author&gt;Deng, Jian ping;Ceng, Yong&lt;/_translated_author&gt;&lt;/Details&gt;&lt;Extra/&gt;&lt;/Item&gt;&lt;/References&gt;&lt;/Group&gt;&lt;/Citation&gt;_x000a_"/>
    <w:docVar w:name="NE.Ref{3D589BAA-D321-46AD-8BE9-2264E9F06B15}" w:val=" ADDIN NE.Ref.{3D589BAA-D321-46AD-8BE9-2264E9F06B15}&lt;Citation&gt;&lt;Group&gt;&lt;References&gt;&lt;Item&gt;&lt;ID&gt;580&lt;/ID&gt;&lt;UID&gt;{0099388E-3E1D-4DE4-8A61-808BEE63FDE4}&lt;/UID&gt;&lt;Title&gt;Sample selection bias as a specification error&lt;/Title&gt;&lt;Template&gt;Journal Article&lt;/Template&gt;&lt;Star&gt;0&lt;/Star&gt;&lt;Tag&gt;0&lt;/Tag&gt;&lt;Author&gt;Heckman, James J&lt;/Author&gt;&lt;Year&gt;1979&lt;/Year&gt;&lt;Details&gt;&lt;_alternate_title&gt;Econometrica: Journal of the econometric society&lt;/_alternate_title&gt;&lt;_date_display&gt;1979&lt;/_date_display&gt;&lt;_date&gt;1979-01-01&lt;/_date&gt;&lt;_isbn&gt;0012-9682&lt;/_isbn&gt;&lt;_journal&gt;Econometrica: Journal of the econometric society&lt;/_journal&gt;&lt;_ori_publication&gt;JSTOR&lt;/_ori_publication&gt;&lt;_pages&gt;153-161&lt;/_pages&gt;&lt;_created&gt;64605594&lt;/_created&gt;&lt;_modified&gt;64605594&lt;/_modified&gt;&lt;_impact_factor&gt;   6.383&lt;/_impact_factor&gt;&lt;_social_category&gt;经济学(1)&lt;/_social_category&gt;&lt;/Details&gt;&lt;Extra&gt;&lt;DBUID&gt;{F96A950B-833F-4880-A151-76DA2D6A2879}&lt;/DBUID&gt;&lt;/Extra&gt;&lt;/Item&gt;&lt;/References&gt;&lt;/Group&gt;&lt;/Citation&gt;_x000a_"/>
    <w:docVar w:name="NE.Ref{45C205A7-4558-45F4-9C7A-783D0F18AB93}" w:val=" ADDIN NE.Ref.{45C205A7-4558-45F4-9C7A-783D0F18AB93}&lt;Citation&gt;&lt;Group&gt;&lt;References&gt;&lt;Item&gt;&lt;ID&gt;524&lt;/ID&gt;&lt;UID&gt;{CDEAF819-20F6-4E73-86C8-9A2E2BA2871D}&lt;/UID&gt;&lt;Title&gt;税收征管数字化与企业内部薪酬差距&lt;/Title&gt;&lt;Template&gt;Journal Article&lt;/Template&gt;&lt;Star&gt;0&lt;/Star&gt;&lt;Tag&gt;0&lt;/Tag&gt;&lt;Author&gt;魏志华; 王孝华; 蔡伟毅&lt;/Author&gt;&lt;Year&gt;2022&lt;/Year&gt;&lt;Details&gt;&lt;_author_adr&gt;厦门大学经济学院;&lt;/_author_adr&gt;&lt;_db_provider&gt;CNKI&lt;/_db_provider&gt;&lt;_doi&gt;10.19581/j.cnki.ciejournal.2022.03.008&lt;/_doi&gt;&lt;_isbn&gt;1006-480X&lt;/_isbn&gt;&lt;_issue&gt;03&lt;/_issue&gt;&lt;_journal&gt;中国工业经济&lt;/_journal&gt;&lt;_keywords&gt;税收征管数字化;薪酬差距;公司治理;超额薪酬&lt;/_keywords&gt;&lt;_pages&gt;152-170&lt;/_pages&gt;&lt;_created&gt;64605545&lt;/_created&gt;&lt;_modified&gt;64605545&lt;/_modified&gt;&lt;_collection_scope&gt;CSSCI;PKU&lt;/_collection_scope&gt;&lt;_translated_author&gt;Wei, Zhi hua;Wang, Xiao hua;Cai, Wei yi&lt;/_translated_author&gt;&lt;/Details&gt;&lt;Extra&gt;&lt;DBUID&gt;{F96A950B-833F-4880-A151-76DA2D6A2879}&lt;/DBUID&gt;&lt;/Extra&gt;&lt;/Item&gt;&lt;/References&gt;&lt;/Group&gt;&lt;/Citation&gt;_x000a_"/>
    <w:docVar w:name="NE.Ref{47C11D96-431C-419D-922B-20AF306E173F}" w:val=" ADDIN NE.Ref.{47C11D96-431C-419D-922B-20AF306E173F}&lt;Citation&gt;&lt;Group&gt;&lt;References&gt;&lt;Item&gt;&lt;ID&gt;62&lt;/ID&gt;&lt;UID&gt;{FDA4BCD0-AF12-443F-AC2C-54170EBCFAF2}&lt;/UID&gt;&lt;Title&gt;UPPER ECHELONS - THE ORGANIZATION AS A REFLECTION OF ITS TOP MANAGERS&lt;/Title&gt;&lt;Template&gt;Journal Article&lt;/Template&gt;&lt;Star&gt;0&lt;/Star&gt;&lt;Tag&gt;0&lt;/Tag&gt;&lt;Author&gt;HAMBRICK, D C; MASON, P A&lt;/Author&gt;&lt;Year&gt;1984&lt;/Year&gt;&lt;Details&gt;&lt;_alternate_title&gt;ACADEMY OF MANAGEMENT REVIEW&lt;/_alternate_title&gt;&lt;_collection_scope&gt;SSCI&lt;/_collection_scope&gt;&lt;_created&gt;64385967&lt;/_created&gt;&lt;_date&gt;1984-01-01&lt;/_date&gt;&lt;_date_display&gt;1984&lt;/_date_display&gt;&lt;_doi&gt;10.2307/258434&lt;/_doi&gt;&lt;_impact_factor&gt;  12.638&lt;/_impact_factor&gt;&lt;_isbn&gt;0363-7425&lt;/_isbn&gt;&lt;_issue&gt;2&lt;/_issue&gt;&lt;_journal&gt;ACADEMY OF MANAGEMENT REVIEW&lt;/_journal&gt;&lt;_modified&gt;64385967&lt;/_modified&gt;&lt;_pages&gt;193-206&lt;/_pages&gt;&lt;_volume&gt;9&lt;/_volume&gt;&lt;/Details&gt;&lt;Extra&gt;&lt;DBUID&gt;{CB3432AD-8324-41DF-9574-982C5C2A1FCD}&lt;/DBUID&gt;&lt;/Extra&gt;&lt;/Item&gt;&lt;/References&gt;&lt;/Group&gt;&lt;Group&gt;&lt;References&gt;&lt;Item&gt;&lt;ID&gt;582&lt;/ID&gt;&lt;UID&gt;{08FFF348-724B-4830-8A7D-7B50254E31ED}&lt;/UID&gt;&lt;Title&gt;Upper echelons: The organization as a reflection of its top managers&lt;/Title&gt;&lt;Template&gt;Journal Article&lt;/Template&gt;&lt;Star&gt;0&lt;/Star&gt;&lt;Tag&gt;0&lt;/Tag&gt;&lt;Author&gt;Hambrick, Donald C; Mason, Phyllis A&lt;/Author&gt;&lt;Year&gt;1984&lt;/Year&gt;&lt;Details&gt;&lt;_alternate_title&gt;Academy of management review&lt;/_alternate_title&gt;&lt;_date_display&gt;1984&lt;/_date_display&gt;&lt;_date&gt;1984-01-01&lt;/_date&gt;&lt;_isbn&gt;0363-7425&lt;/_isbn&gt;&lt;_issue&gt;2&lt;/_issue&gt;&lt;_journal&gt;Academy of management review&lt;/_journal&gt;&lt;_ori_publication&gt;Academy of Management Briarcliff Manor, NY 10510&lt;/_ori_publication&gt;&lt;_pages&gt;193-206&lt;/_pages&gt;&lt;_volume&gt;9&lt;/_volume&gt;&lt;_created&gt;64605598&lt;/_created&gt;&lt;_modified&gt;64605598&lt;/_modified&gt;&lt;_impact_factor&gt;  13.865&lt;/_impact_factor&gt;&lt;_social_category&gt;管理学(1)&lt;/_social_category&gt;&lt;_collection_scope&gt;SSCI&lt;/_collection_scope&gt;&lt;/Details&gt;&lt;Extra&gt;&lt;DBUID&gt;{F96A950B-833F-4880-A151-76DA2D6A2879}&lt;/DBUID&gt;&lt;/Extra&gt;&lt;/Item&gt;&lt;/References&gt;&lt;/Group&gt;&lt;/Citation&gt;_x000a_"/>
    <w:docVar w:name="NE.Ref{550B2A7B-9745-48BD-8CCA-2B15C5B439F7}" w:val=" ADDIN NE.Ref.{550B2A7B-9745-48BD-8CCA-2B15C5B439F7}&lt;Citation&gt;&lt;Group&gt;&lt;References&gt;&lt;Item&gt;&lt;ID&gt;555&lt;/ID&gt;&lt;UID&gt;{9924FE85-36C3-457F-B41F-25CDA4DCEBA8}&lt;/UID&gt;&lt;Title&gt;高管海外背景与企业社会责任&lt;/Title&gt;&lt;Template&gt;Journal Article&lt;/Template&gt;&lt;Star&gt;0&lt;/Star&gt;&lt;Tag&gt;0&lt;/Tag&gt;&lt;Author&gt;文雯; 宋建波&lt;/Author&gt;&lt;Year&gt;2017&lt;/Year&gt;&lt;Details&gt;&lt;_author_adr&gt;中国人民大学商学院;&lt;/_author_adr&gt;&lt;_db_provider&gt;CNKI&lt;/_db_provider&gt;&lt;_isbn&gt;1672-0334&lt;/_isbn&gt;&lt;_issue&gt;02&lt;/_issue&gt;&lt;_journal&gt;管理科学&lt;/_journal&gt;&lt;_keywords&gt;海外背景;企业社会责任;高阶梯队理论;信息不对称;利益相关者&lt;/_keywords&gt;&lt;_pages&gt;119-131&lt;/_pages&gt;&lt;_volume&gt;30&lt;/_volume&gt;&lt;_created&gt;64605545&lt;/_created&gt;&lt;_modified&gt;64605545&lt;/_modified&gt;&lt;_collection_scope&gt;CSSCI;PKU&lt;/_collection_scope&gt;&lt;_translated_author&gt;Wen, Wen;Song, Jian bo&lt;/_translated_author&gt;&lt;/Details&gt;&lt;Extra&gt;&lt;DBUID&gt;{F96A950B-833F-4880-A151-76DA2D6A2879}&lt;/DBUID&gt;&lt;/Extra&gt;&lt;/Item&gt;&lt;/References&gt;&lt;/Group&gt;&lt;/Citation&gt;_x000a_"/>
    <w:docVar w:name="NE.Ref{55C55F2A-9092-4E81-B751-C73D3238222C}" w:val=" ADDIN NE.Ref.{55C55F2A-9092-4E81-B751-C73D3238222C}&lt;Citation&gt;&lt;Group&gt;&lt;References&gt;&lt;Item&gt;&lt;ID&gt;571&lt;/ID&gt;&lt;UID&gt;{AE042F88-A641-4D7D-869B-358852A8B1C9}&lt;/UID&gt;&lt;Title&gt;Polluting thy neighbor: Unintended consequences of China׳ s pollution reduction mandates&lt;/Title&gt;&lt;Template&gt;Journal Article&lt;/Template&gt;&lt;Star&gt;0&lt;/Star&gt;&lt;Tag&gt;0&lt;/Tag&gt;&lt;Author&gt;Cai, Hongbin; Chen, Yuyu; Gong, Qing&lt;/Author&gt;&lt;Year&gt;2016&lt;/Year&gt;&lt;Details&gt;&lt;_alternate_title&gt;Journal of Environmental Economics and Management&lt;/_alternate_title&gt;&lt;_date_display&gt;2016&lt;/_date_display&gt;&lt;_date&gt;2016-01-01&lt;/_date&gt;&lt;_isbn&gt;0095-0696&lt;/_isbn&gt;&lt;_journal&gt;Journal of Environmental Economics and Management&lt;/_journal&gt;&lt;_ori_publication&gt;Elsevier&lt;/_ori_publication&gt;&lt;_pages&gt;86-104&lt;/_pages&gt;&lt;_volume&gt;76&lt;/_volume&gt;&lt;_created&gt;64605562&lt;/_created&gt;&lt;_modified&gt;64605562&lt;/_modified&gt;&lt;_impact_factor&gt;   5.840&lt;/_impact_factor&gt;&lt;_social_category&gt;经济学(2)&lt;/_social_category&gt;&lt;_collection_scope&gt;SSCI;EI&lt;/_collection_scope&gt;&lt;/Details&gt;&lt;Extra&gt;&lt;DBUID&gt;{F96A950B-833F-4880-A151-76DA2D6A2879}&lt;/DBUID&gt;&lt;/Extra&gt;&lt;/Item&gt;&lt;/References&gt;&lt;/Group&gt;&lt;Group&gt;&lt;References&gt;&lt;Item&gt;&lt;ID&gt;531&lt;/ID&gt;&lt;UID&gt;{AAC24540-928C-4161-8478-00C2A59D7EC0}&lt;/UID&gt;&lt;Title&gt;交通基础设施升级与污染型企业选址&lt;/Title&gt;&lt;Template&gt;Journal Article&lt;/Template&gt;&lt;Star&gt;0&lt;/Star&gt;&lt;Tag&gt;0&lt;/Tag&gt;&lt;Author&gt;蔡宏波; 钟超; 韩金镕&lt;/Author&gt;&lt;Year&gt;2021&lt;/Year&gt;&lt;Details&gt;&lt;_author_adr&gt;北京师范大学经济与工商管理学院;&lt;/_author_adr&gt;&lt;_db_provider&gt;CNKI&lt;/_db_provider&gt;&lt;_doi&gt;10.19581/j.cnki.ciejournal.2021.10.007&lt;/_doi&gt;&lt;_isbn&gt;1006-480X&lt;/_isbn&gt;&lt;_issue&gt;10&lt;/_issue&gt;&lt;_journal&gt;中国工业经济&lt;/_journal&gt;&lt;_keywords&gt;交通基础设施;高铁;污染型企业;区位选择&lt;/_keywords&gt;&lt;_pages&gt;136-155&lt;/_pages&gt;&lt;_url&gt;https://kns.cnki.net/kcms/detail/11.3536.f.20211022.1352.014.html&lt;/_url&gt;&lt;_created&gt;64605545&lt;/_created&gt;&lt;_modified&gt;64605545&lt;/_modified&gt;&lt;_collection_scope&gt;CSSCI;PKU&lt;/_collection_scope&gt;&lt;_translated_author&gt;Cai, Hong bo;Zhong, Chao;Han, Jin rong&lt;/_translated_author&gt;&lt;/Details&gt;&lt;Extra&gt;&lt;DBUID&gt;{F96A950B-833F-4880-A151-76DA2D6A2879}&lt;/DBUID&gt;&lt;/Extra&gt;&lt;/Item&gt;&lt;/References&gt;&lt;/Group&gt;&lt;/Citation&gt;_x000a_"/>
    <w:docVar w:name="NE.Ref{56C40035-0F18-49D8-AFC2-5112E0F2DFA1}" w:val=" ADDIN NE.Ref.{56C40035-0F18-49D8-AFC2-5112E0F2DFA1}&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591A6402-E969-4D33-9388-556D3012346F}" w:val=" ADDIN NE.Ref.{591A6402-E969-4D33-9388-556D3012346F}&lt;Citation&gt;&lt;Group&gt;&lt;References&gt;&lt;Item&gt;&lt;ID&gt;516&lt;/ID&gt;&lt;UID&gt;{E47437BD-E2E2-46F7-8E0E-6A10C1F62770}&lt;/UID&gt;&lt;Title&gt;“环保费改税”提高了重污染企业全要素生产率吗?&lt;/Title&gt;&lt;Template&gt;Journal Article&lt;/Template&gt;&lt;Star&gt;0&lt;/Star&gt;&lt;Tag&gt;0&lt;/Tag&gt;&lt;Author&gt;曹越; 唐奕可; 辛红霞&lt;/Author&gt;&lt;Year&gt;2022&lt;/Year&gt;&lt;Details&gt;&lt;_author_adr&gt;湖南大学工商管理学院;&lt;/_author_adr&gt;&lt;_db_provider&gt;CNKI&lt;/_db_provider&gt;&lt;_isbn&gt;1004-4833&lt;/_isbn&gt;&lt;_journal&gt;审计与经济研究&lt;/_journal&gt;&lt;_keywords&gt;排污费;环境保护税;全要素生产率;波特假说;费改税;资源配置效率&lt;/_keywords&gt;&lt;_pages&gt;1-12&lt;/_pages&gt;&lt;_url&gt;https://kns.cnki.net/kcms/detail/32.1317.f.20221017.0917.012.html&lt;/_url&gt;&lt;_created&gt;64605545&lt;/_created&gt;&lt;_modified&gt;64605545&lt;/_modified&gt;&lt;_collection_scope&gt;CSSCI;PKU&lt;/_collection_scope&gt;&lt;_accessed&gt;64605545&lt;/_accessed&gt;&lt;_translated_author&gt;Cao, Yue;Tang, Yi ke;Xin, Hong xia&lt;/_translated_author&gt;&lt;/Details&gt;&lt;Extra&gt;&lt;DBUID&gt;{F96A950B-833F-4880-A151-76DA2D6A2879}&lt;/DBUID&gt;&lt;/Extra&gt;&lt;/Item&gt;&lt;/References&gt;&lt;/Group&gt;&lt;/Citation&gt;_x000a_"/>
    <w:docVar w:name="NE.Ref{6CEA912F-92B0-420B-B1FA-AC782F81D3EF}" w:val=" ADDIN NE.Ref.{6CEA912F-92B0-420B-B1FA-AC782F81D3EF}&lt;Citation&gt;&lt;Group&gt;&lt;References&gt;&lt;Item&gt;&lt;ID&gt;560&lt;/ID&gt;&lt;UID&gt;{0CF86000-F116-41D5-9997-F29206783488}&lt;/UID&gt;&lt;Title&gt;监督还是掏空:大股东持股比例与股价崩盘风险&lt;/Title&gt;&lt;Template&gt;Journal Article&lt;/Template&gt;&lt;Star&gt;0&lt;/Star&gt;&lt;Tag&gt;0&lt;/Tag&gt;&lt;Author&gt;王化成; 曹丰; 叶康涛&lt;/Author&gt;&lt;Year&gt;2015&lt;/Year&gt;&lt;Details&gt;&lt;_author_adr&gt;中国人民大学商学院;&lt;/_author_adr&gt;&lt;_db_provider&gt;CNKI&lt;/_db_provider&gt;&lt;_doi&gt;10.19744/j.cnki.11-1235/f.2015.02.005&lt;/_doi&gt;&lt;_isbn&gt;1002-5502&lt;/_isbn&gt;&lt;_issue&gt;02&lt;/_issue&gt;&lt;_journal&gt;管理世界&lt;/_journal&gt;&lt;_keywords&gt;股价崩盘风险;大股东;股权制衡;机构投资者;管理层权力&lt;/_keywords&gt;&lt;_pages&gt;45-57+187&lt;/_pages&gt;&lt;_created&gt;64605545&lt;/_created&gt;&lt;_modified&gt;64605545&lt;/_modified&gt;&lt;_collection_scope&gt;CSSCI;PKU&lt;/_collection_scope&gt;&lt;_translated_author&gt;Wang, Hua cheng;Cao, Feng;Ye, Kang tao&lt;/_translated_author&gt;&lt;/Details&gt;&lt;Extra&gt;&lt;DBUID&gt;{F96A950B-833F-4880-A151-76DA2D6A2879}&lt;/DBUID&gt;&lt;/Extra&gt;&lt;/Item&gt;&lt;/References&gt;&lt;/Group&gt;&lt;/Citation&gt;_x000a_"/>
    <w:docVar w:name="NE.Ref{6DC819FE-A6C2-4457-A11C-9823BE229CEC}" w:val=" ADDIN NE.Ref.{6DC819FE-A6C2-4457-A11C-9823BE229CEC}&lt;Citation&gt;&lt;Group&gt;&lt;References&gt;&lt;Item&gt;&lt;ID&gt;517&lt;/ID&gt;&lt;UID&gt;{904CA60A-8272-4193-BA2B-7FDD6B6BCF65}&lt;/UID&gt;&lt;Title&gt;税制绿色化与企业ESG表现——基于《环境保护税法》的准自然实验&lt;/Title&gt;&lt;Template&gt;Journal Article&lt;/Template&gt;&lt;Star&gt;0&lt;/Star&gt;&lt;Tag&gt;0&lt;/Tag&gt;&lt;Author&gt;王禹; 王浩宇; 薛爽&lt;/Author&gt;&lt;Year&gt;2022&lt;/Year&gt;&lt;Details&gt;&lt;_author_adr&gt;上海财经大学会计学院;上海财经大学会计与财务研究院;&lt;/_author_adr&gt;&lt;_db_provider&gt;CNKI&lt;/_db_provider&gt;&lt;_doi&gt;10.16538/j.cnki.jfe.20220621.101&lt;/_doi&gt;&lt;_isbn&gt;1001-9952&lt;/_isbn&gt;&lt;_issue&gt;09&lt;/_issue&gt;&lt;_journal&gt;财经研究&lt;/_journal&gt;&lt;_keywords&gt;《环境保护税法》;ESG;可持续发展;环保投入;绿色专利&lt;/_keywords&gt;&lt;_pages&gt;47-62&lt;/_pages&gt;&lt;_url&gt;https://kns.cnki.net/kcms/detail/31.1012.F.20220718.0926.002.html&lt;/_url&gt;&lt;_volume&gt;48&lt;/_volume&gt;&lt;_created&gt;64605545&lt;/_created&gt;&lt;_modified&gt;64605545&lt;/_modified&gt;&lt;_collection_scope&gt;CSSCI;PKU&lt;/_collection_scope&gt;&lt;_translated_author&gt;Wang, Yu;Wang, Hao yu;Xue, Shuang&lt;/_translated_author&gt;&lt;/Details&gt;&lt;Extra&gt;&lt;DBUID&gt;{F96A950B-833F-4880-A151-76DA2D6A2879}&lt;/DBUID&gt;&lt;/Extra&gt;&lt;/Item&gt;&lt;/References&gt;&lt;/Group&gt;&lt;/Citation&gt;_x000a_"/>
    <w:docVar w:name="NE.Ref{735C9796-FF4B-4FF7-9A33-80F77D7106B3}" w:val=" ADDIN NE.Ref.{735C9796-FF4B-4FF7-9A33-80F77D7106B3}&lt;Citation&gt;&lt;Group&gt;&lt;References&gt;&lt;Item&gt;&lt;ID&gt;520&lt;/ID&gt;&lt;UID&gt;{E6813AB2-0D2F-47AF-8029-ECB38C71B4C3}&lt;/UID&gt;&lt;Title&gt;环境保护税税额地方确定权的实施现状与制度完善&lt;/Title&gt;&lt;Template&gt;Journal Article&lt;/Template&gt;&lt;Star&gt;0&lt;/Star&gt;&lt;Tag&gt;0&lt;/Tag&gt;&lt;Author&gt;邓伟&lt;/Author&gt;&lt;Year&gt;2022&lt;/Year&gt;&lt;Details&gt;&lt;_author_adr&gt;中山大学法学院;&lt;/_author_adr&gt;&lt;_db_provider&gt;CNKI&lt;/_db_provider&gt;&lt;_doi&gt;10.19376/j.cnki.cn11-1011/f.2022.06.021&lt;/_doi&gt;&lt;_isbn&gt;1003-448X&lt;/_isbn&gt;&lt;_issue&gt;06&lt;/_issue&gt;&lt;_journal&gt;税务研究&lt;/_journal&gt;&lt;_keywords&gt;环境保护税;税额;地方确定权&lt;/_keywords&gt;&lt;_pages&gt;33-39&lt;/_pages&gt;&lt;_created&gt;64605545&lt;/_created&gt;&lt;_modified&gt;64605545&lt;/_modified&gt;&lt;_collection_scope&gt;CSSCI;PKU&lt;/_collection_scope&gt;&lt;_translated_author&gt;Deng, Wei&lt;/_translated_author&gt;&lt;/Details&gt;&lt;Extra&gt;&lt;DBUID&gt;{F96A950B-833F-4880-A151-76DA2D6A2879}&lt;/DBUID&gt;&lt;/Extra&gt;&lt;/Item&gt;&lt;/References&gt;&lt;/Group&gt;&lt;/Citation&gt;_x000a_"/>
    <w:docVar w:name="NE.Ref{749655EF-B36F-4C82-BCD5-D7D8C12DD20B}" w:val=" ADDIN NE.Ref.{749655EF-B36F-4C82-BCD5-D7D8C12DD20B}&lt;Citation&gt;&lt;Group&gt;&lt;References&gt;&lt;Item&gt;&lt;ID&gt;554&lt;/ID&gt;&lt;UID&gt;{4D9AB5C8-57F2-45EE-B628-2A8CBB3B199F}&lt;/UID&gt;&lt;Title&gt;环境规制引起了污染就近转移吗?&lt;/Title&gt;&lt;Template&gt;Journal Article&lt;/Template&gt;&lt;Star&gt;0&lt;/Star&gt;&lt;Tag&gt;0&lt;/Tag&gt;&lt;Author&gt;沈坤荣; 金刚; 方娴&lt;/Author&gt;&lt;Year&gt;2017&lt;/Year&gt;&lt;Details&gt;&lt;_author_adr&gt;南京大学商学院;南京大学经济学院;复旦大学经济学院;&lt;/_author_adr&gt;&lt;_db_provider&gt;CNKI&lt;/_db_provider&gt;&lt;_isbn&gt;0577-9154&lt;/_isbn&gt;&lt;_issue&gt;05&lt;/_issue&gt;&lt;_journal&gt;经济研究&lt;/_journal&gt;&lt;_keywords&gt;环境规制;污染就近转移;产业结构污染化;空间自滞后模型&lt;/_keywords&gt;&lt;_pages&gt;44-59&lt;/_pages&gt;&lt;_volume&gt;52&lt;/_volume&gt;&lt;_created&gt;64605545&lt;/_created&gt;&lt;_modified&gt;64605545&lt;/_modified&gt;&lt;_collection_scope&gt;CSSCI;PKU&lt;/_collection_scope&gt;&lt;_translated_author&gt;Shen, Kun rong;Jin, Gang;Fang, Xian&lt;/_translated_author&gt;&lt;/Details&gt;&lt;Extra&gt;&lt;DBUID&gt;{F96A950B-833F-4880-A151-76DA2D6A2879}&lt;/DBUID&gt;&lt;/Extra&gt;&lt;/Item&gt;&lt;/References&gt;&lt;/Group&gt;&lt;/Citation&gt;_x000a_"/>
    <w:docVar w:name="NE.Ref{7ABF4582-1A19-4C3D-9251-73251D71A6D7}" w:val=" ADDIN NE.Ref.{7ABF4582-1A19-4C3D-9251-73251D71A6D7}&lt;Citation&gt;&lt;Group&gt;&lt;References&gt;&lt;Item&gt;&lt;ID&gt;566&lt;/ID&gt;&lt;UID&gt;{1B3C2E39-A5C9-4A28-9F82-0065158A54AD}&lt;/UID&gt;&lt;Title&gt;地方环境监管困境解释——政治激励与财政约束假说&lt;/Title&gt;&lt;Template&gt;Journal Article&lt;/Template&gt;&lt;Star&gt;0&lt;/Star&gt;&lt;Tag&gt;0&lt;/Tag&gt;&lt;Author&gt;张凌云; 齐晔&lt;/Author&gt;&lt;Year&gt;2010&lt;/Year&gt;&lt;Details&gt;&lt;_author_adr&gt;清华大学公共管理学院;&lt;/_author_adr&gt;&lt;_db_provider&gt;CNKI&lt;/_db_provider&gt;&lt;_isbn&gt;1006-0863&lt;/_isbn&gt;&lt;_issue&gt;03&lt;/_issue&gt;&lt;_journal&gt;中国行政管理&lt;/_journal&gt;&lt;_keywords&gt;地方政府;理性人;政治激励;财政约束;环境监管&lt;/_keywords&gt;&lt;_pages&gt;93-97&lt;/_pages&gt;&lt;_created&gt;64605545&lt;/_created&gt;&lt;_modified&gt;64605545&lt;/_modified&gt;&lt;_collection_scope&gt;CSSCI;PKU&lt;/_collection_scope&gt;&lt;_translated_author&gt;Zhang, Ling yun;Qi, Ye&lt;/_translated_author&gt;&lt;/Details&gt;&lt;Extra&gt;&lt;DBUID&gt;{F96A950B-833F-4880-A151-76DA2D6A2879}&lt;/DBUID&gt;&lt;/Extra&gt;&lt;/Item&gt;&lt;/References&gt;&lt;/Group&gt;&lt;/Citation&gt;_x000a_"/>
    <w:docVar w:name="NE.Ref{7B62865C-3DE4-42FA-BD8C-87DD5A8908AE}" w:val=" ADDIN NE.Ref.{7B62865C-3DE4-42FA-BD8C-87DD5A8908AE}&lt;Citation&gt;&lt;Group&gt;&lt;References&gt;&lt;Item&gt;&lt;ID&gt;567&lt;/ID&gt;&lt;UID&gt;{C95586E0-026E-4D5B-8434-7D5E99F59EE4}&lt;/UID&gt;&lt;Title&gt;行政协作法律机制研究&lt;/Title&gt;&lt;Template&gt;Journal Article&lt;/Template&gt;&lt;Star&gt;0&lt;/Star&gt;&lt;Tag&gt;0&lt;/Tag&gt;&lt;Author&gt;金国坤&lt;/Author&gt;&lt;Year&gt;2008&lt;/Year&gt;&lt;Details&gt;&lt;_author_adr&gt;武汉大学法学院 湖北武汉430072&lt;/_author_adr&gt;&lt;_db_provider&gt;CNKI&lt;/_db_provider&gt;&lt;_doi&gt;10.16494/j.cnki.1002-3933.2008.01.007&lt;/_doi&gt;&lt;_isbn&gt;1002-3933&lt;/_isbn&gt;&lt;_issue&gt;01&lt;/_issue&gt;&lt;_journal&gt;河北法学&lt;/_journal&gt;&lt;_keywords&gt;行政协作;依法行政;行政程序&lt;/_keywords&gt;&lt;_pages&gt;54-58&lt;/_pages&gt;&lt;_created&gt;64605545&lt;/_created&gt;&lt;_modified&gt;64605545&lt;/_modified&gt;&lt;_collection_scope&gt;CSSCI;PKU&lt;/_collection_scope&gt;&lt;_translated_author&gt;Jin, Guo kun&lt;/_translated_author&gt;&lt;/Details&gt;&lt;Extra&gt;&lt;DBUID&gt;{F96A950B-833F-4880-A151-76DA2D6A2879}&lt;/DBUID&gt;&lt;/Extra&gt;&lt;/Item&gt;&lt;/References&gt;&lt;/Group&gt;&lt;/Citation&gt;_x000a_"/>
    <w:docVar w:name="NE.Ref{87DC7ACE-DEEE-4201-9892-558CBBD21C51}" w:val=" ADDIN NE.Ref.{87DC7ACE-DEEE-4201-9892-558CBBD21C51}&lt;Citation&gt;&lt;Group&gt;&lt;References&gt;&lt;Item&gt;&lt;ID&gt;543&lt;/ID&gt;&lt;UID&gt;{8521FCA5-FB86-4D9E-A0FE-24A02EEFA2A2}&lt;/UID&gt;&lt;Title&gt;政治关联与企业环境违规处罚:庇护还是监督——来自IPE数据库的证据&lt;/Title&gt;&lt;Template&gt;Journal Article&lt;/Template&gt;&lt;Star&gt;0&lt;/Star&gt;&lt;Tag&gt;0&lt;/Tag&gt;&lt;Author&gt;罗喜英; 刘伟&lt;/Author&gt;&lt;Year&gt;2019&lt;/Year&gt;&lt;Details&gt;&lt;_author_adr&gt;湖南科技大学商学院;暨南大学管理学院;&lt;/_author_adr&gt;&lt;_db_provider&gt;CNKI&lt;/_db_provider&gt;&lt;_doi&gt;10.13781/j.cnki.1007-9556.2019.10.007&lt;/_doi&gt;&lt;_isbn&gt;1007-9556&lt;/_isbn&gt;&lt;_issue&gt;10&lt;/_issue&gt;&lt;_journal&gt;山西财经大学学报&lt;/_journal&gt;&lt;_keywords&gt;政治关联;环境违规处罚;庇护效应;监督效应;公众环境研究中心(IPE)&lt;/_keywords&gt;&lt;_pages&gt;85-99&lt;/_pages&gt;&lt;_url&gt;https://kns.cnki.net/kcms/detail/14.1221.F.20190723.1523.007.html&lt;/_url&gt;&lt;_volume&gt;41&lt;/_volume&gt;&lt;_created&gt;64605545&lt;/_created&gt;&lt;_modified&gt;64605545&lt;/_modified&gt;&lt;_collection_scope&gt;CSSCI;PKU&lt;/_collection_scope&gt;&lt;_translated_author&gt;Luo, Xi ying;Liu, Wei&lt;/_translated_author&gt;&lt;/Details&gt;&lt;Extra&gt;&lt;DBUID&gt;{F96A950B-833F-4880-A151-76DA2D6A2879}&lt;/DBUID&gt;&lt;/Extra&gt;&lt;/Item&gt;&lt;/References&gt;&lt;/Group&gt;&lt;/Citation&gt;_x000a_"/>
    <w:docVar w:name="NE.Ref{8BEBCCCF-BCE4-456B-B4C7-A2647224A036}" w:val=" ADDIN NE.Ref.{8BEBCCCF-BCE4-456B-B4C7-A2647224A036}&lt;Citation&gt;&lt;Group&gt;&lt;References&gt;&lt;Item&gt;&lt;ID&gt;540&lt;/ID&gt;&lt;UID&gt;{AECC8CFE-EF8F-4B0B-8110-22394EB92E55}&lt;/UID&gt;&lt;Title&gt;环境分权、环保约谈与环境污染&lt;/Title&gt;&lt;Template&gt;Journal Article&lt;/Template&gt;&lt;Star&gt;0&lt;/Star&gt;&lt;Tag&gt;0&lt;/Tag&gt;&lt;Author&gt;李强; 王琰&lt;/Author&gt;&lt;Year&gt;2020&lt;/Year&gt;&lt;Details&gt;&lt;_author_adr&gt;安徽财经大学经济学院;&lt;/_author_adr&gt;&lt;_db_provider&gt;CNKI&lt;/_db_provider&gt;&lt;_doi&gt;10.19343/j.cnki.11-1302/c.2020.06.006&lt;/_doi&gt;&lt;_isbn&gt;1002-4565&lt;/_isbn&gt;&lt;_issue&gt;06&lt;/_issue&gt;&lt;_journal&gt;统计研究&lt;/_journal&gt;&lt;_keywords&gt;环境分权;河长制;环保约谈;双重差分&lt;/_keywords&gt;&lt;_pages&gt;66-78&lt;/_pages&gt;&lt;_volume&gt;37&lt;/_volume&gt;&lt;_created&gt;64605545&lt;/_created&gt;&lt;_modified&gt;64605545&lt;/_modified&gt;&lt;_collection_scope&gt;CSSCI;PKU&lt;/_collection_scope&gt;&lt;_translated_author&gt;Li, Qiang;Wang, Yan&lt;/_translated_author&gt;&lt;/Details&gt;&lt;Extra&gt;&lt;DBUID&gt;{F96A950B-833F-4880-A151-76DA2D6A2879}&lt;/DBUID&gt;&lt;/Extra&gt;&lt;/Item&gt;&lt;/References&gt;&lt;/Group&gt;&lt;/Citation&gt;_x000a_"/>
    <w:docVar w:name="NE.Ref{8CF19FB2-2415-4E58-9571-714E18F562ED}" w:val=" ADDIN NE.Ref.{8CF19FB2-2415-4E58-9571-714E18F562ED}&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8DFA54E4-17D0-4205-BE69-18925A469C31}" w:val=" ADDIN NE.Ref.{8DFA54E4-17D0-4205-BE69-18925A469C31}&lt;Citation&gt;&lt;Group&gt;&lt;References&gt;&lt;Item&gt;&lt;ID&gt;521&lt;/ID&gt;&lt;UID&gt;{C203BEFF-2001-47FF-9D77-D86E0C9845B5}&lt;/UID&gt;&lt;Title&gt;绿色信贷政策能够改善企业环境社会责任吗——基于外部约束和内部关注的视角&lt;/Title&gt;&lt;Template&gt;Journal Article&lt;/Template&gt;&lt;Star&gt;0&lt;/Star&gt;&lt;Tag&gt;0&lt;/Tag&gt;&lt;Author&gt;斯丽娟; 曹昊煜&lt;/Author&gt;&lt;Year&gt;2022&lt;/Year&gt;&lt;Details&gt;&lt;_author_adr&gt;兰州大学经济学院、绿色金融研究院;兰州大学经济学院;&lt;/_author_adr&gt;&lt;_db_provider&gt;CNKI&lt;/_db_provider&gt;&lt;_doi&gt;10.19581/j.cnki.ciejournal.2022.04.009&lt;/_doi&gt;&lt;_isbn&gt;1006-480X&lt;/_isbn&gt;&lt;_issue&gt;04&lt;/_issue&gt;&lt;_journal&gt;中国工业经济&lt;/_journal&gt;&lt;_keywords&gt;绿色信贷政策;企业环境社会责任;资金成本;融资渠道;企业环境关注度&lt;/_keywords&gt;&lt;_pages&gt;137-155&lt;/_pages&gt;&lt;_url&gt;https://kns.cnki.net/kcms/detail/11.3536.F.20220506.1500.018.html&lt;/_url&gt;&lt;_created&gt;64605545&lt;/_created&gt;&lt;_modified&gt;64605545&lt;/_modified&gt;&lt;_collection_scope&gt;CSSCI;PKU&lt;/_collection_scope&gt;&lt;_translated_author&gt;Si, Li juan;Cao, Hao yu&lt;/_translated_author&gt;&lt;/Details&gt;&lt;Extra&gt;&lt;DBUID&gt;{F96A950B-833F-4880-A151-76DA2D6A2879}&lt;/DBUID&gt;&lt;/Extra&gt;&lt;/Item&gt;&lt;/References&gt;&lt;/Group&gt;&lt;/Citation&gt;_x000a_"/>
    <w:docVar w:name="NE.Ref{90E671A2-85E3-4682-B8B5-953BEB3EE767}" w:val=" ADDIN NE.Ref.{90E671A2-85E3-4682-B8B5-953BEB3EE767}&lt;Citation&gt;&lt;Group&gt;&lt;References&gt;&lt;Item&gt;&lt;ID&gt;581&lt;/ID&gt;&lt;UID&gt;{0BC98B49-8814-47E7-8E4F-2910A9C8C78F}&lt;/UID&gt;&lt;Title&gt;Detecting earnings management&lt;/Title&gt;&lt;Template&gt;Journal Article&lt;/Template&gt;&lt;Star&gt;0&lt;/Star&gt;&lt;Tag&gt;0&lt;/Tag&gt;&lt;Author&gt;Dechow, Patricia M; Sloan, Richard G; Sweeney, Amy P&lt;/Author&gt;&lt;Year&gt;1995&lt;/Year&gt;&lt;Details&gt;&lt;_alternate_title&gt;Accounting review&lt;/_alternate_title&gt;&lt;_date_display&gt;1995&lt;/_date_display&gt;&lt;_date&gt;1995-01-01&lt;/_date&gt;&lt;_isbn&gt;0001-4826&lt;/_isbn&gt;&lt;_journal&gt;Accounting review&lt;/_journal&gt;&lt;_ori_publication&gt;JSTOR&lt;/_ori_publication&gt;&lt;_pages&gt;193-225&lt;/_pages&gt;&lt;_created&gt;64605598&lt;/_created&gt;&lt;_modified&gt;64605598&lt;/_modified&gt;&lt;_impact_factor&gt;   5.182&lt;/_impact_factor&gt;&lt;_social_category&gt;管理学(2)&lt;/_social_category&gt;&lt;_collection_scope&gt;SSCI&lt;/_collection_scope&gt;&lt;/Details&gt;&lt;Extra&gt;&lt;DBUID&gt;{F96A950B-833F-4880-A151-76DA2D6A2879}&lt;/DBUID&gt;&lt;/Extra&gt;&lt;/Item&gt;&lt;/References&gt;&lt;/Group&gt;&lt;/Citation&gt;_x000a_"/>
    <w:docVar w:name="NE.Ref{9349DB45-61DE-4044-BA15-C26CC04F4E7C}" w:val=" ADDIN NE.Ref.{9349DB45-61DE-4044-BA15-C26CC04F4E7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934F42D0-48AC-4EFE-B71F-12C7AD9348E5}" w:val=" ADDIN NE.Ref.{934F42D0-48AC-4EFE-B71F-12C7AD9348E5}&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9910E187-A493-48AF-AEA4-78BC75BD79B6}" w:val=" ADDIN NE.Ref.{9910E187-A493-48AF-AEA4-78BC75BD79B6}&lt;Citation&gt;&lt;Group&gt;&lt;References&gt;&lt;Item&gt;&lt;ID&gt;564&lt;/ID&gt;&lt;UID&gt;{E319C380-E940-44DE-9ED0-958D41C3AB94}&lt;/UID&gt;&lt;Title&gt;金融生态环境、银行关联与债务融资——基于我国民营企业的实证研究&lt;/Title&gt;&lt;Template&gt;Journal Article&lt;/Template&gt;&lt;Star&gt;0&lt;/Star&gt;&lt;Tag&gt;0&lt;/Tag&gt;&lt;Author&gt;邓建平; 曾勇&lt;/Author&gt;&lt;Year&gt;2011&lt;/Year&gt;&lt;Details&gt;&lt;_author_adr&gt;厦门国家会计学院;电子科技大学经济与管理学院;&lt;/_author_adr&gt;&lt;_db_provider&gt;CNKI&lt;/_db_provider&gt;&lt;_isbn&gt;1003-2886&lt;/_isbn&gt;&lt;_issue&gt;12&lt;/_issue&gt;&lt;_journal&gt;会计研究&lt;/_journal&gt;&lt;_keywords&gt;银行关联;金融生态环境;债务融资&lt;/_keywords&gt;&lt;_pages&gt;33-40+96-97&lt;/_pages&gt;&lt;_created&gt;64605545&lt;/_created&gt;&lt;_modified&gt;64605545&lt;/_modified&gt;&lt;_collection_scope&gt;CSSCI;PKU&lt;/_collection_scope&gt;&lt;_translated_author&gt;Deng, Jian ping;Ceng, Yong&lt;/_translated_author&gt;&lt;/Details&gt;&lt;Extra&gt;&lt;DBUID&gt;{F96A950B-833F-4880-A151-76DA2D6A2879}&lt;/DBUID&gt;&lt;/Extra&gt;&lt;/Item&gt;&lt;/References&gt;&lt;/Group&gt;&lt;/Citation&gt;_x000a_"/>
    <w:docVar w:name="NE.Ref{9EB6BFDE-DDD8-45F4-97C0-7CE2A5AD19CC}" w:val=" ADDIN NE.Ref.{9EB6BFDE-DDD8-45F4-97C0-7CE2A5AD19CC}&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Group&gt;&lt;References&gt;&lt;Item&gt;&lt;ID&gt;584&lt;/ID&gt;&lt;UID&gt;{212B0E09-7EBF-4445-B9FD-A1EBA99E26EA}&lt;/UID&gt;&lt;Title&gt;边际减排成本与中国环境税改革&lt;/Title&gt;&lt;Template&gt;Journal Article&lt;/Template&gt;&lt;Star&gt;0&lt;/Star&gt;&lt;Tag&gt;0&lt;/Tag&gt;&lt;Author&gt;陈诗一&lt;/Author&gt;&lt;Year&gt;2011&lt;/Year&gt;&lt;Details&gt;&lt;_author_adr&gt;复旦大学中国社会主义市场经济研究中心;&lt;/_author_adr&gt;&lt;_db_provider&gt;CNKI&lt;/_db_provider&gt;&lt;_isbn&gt;1002-4921&lt;/_isbn&gt;&lt;_issue&gt;03&lt;/_issue&gt;&lt;_journal&gt;中国社会科学&lt;/_journal&gt;&lt;_keywords&gt;环境税改革;工业碳税;边际减排成本&lt;/_keywords&gt;&lt;_pages&gt;85-100+222&lt;/_pages&gt;&lt;_created&gt;64606414&lt;/_created&gt;&lt;_modified&gt;64606414&lt;/_modified&gt;&lt;_collection_scope&gt;CSSCI;PKU&lt;/_collection_scope&gt;&lt;_translated_author&gt;Chen, Shi yi&lt;/_translated_author&gt;&lt;/Details&gt;&lt;Extra&gt;&lt;DBUID&gt;{F96A950B-833F-4880-A151-76DA2D6A2879}&lt;/DBUID&gt;&lt;/Extra&gt;&lt;/Item&gt;&lt;/References&gt;&lt;/Group&gt;&lt;/Citation&gt;_x000a_"/>
    <w:docVar w:name="NE.Ref{9F3B3154-F236-4AFF-8637-6407F7B52C93}" w:val=" ADDIN NE.Ref.{9F3B3154-F236-4AFF-8637-6407F7B52C93}&lt;Citation&gt;&lt;Group&gt;&lt;References&gt;&lt;Item&gt;&lt;ID&gt;528&lt;/ID&gt;&lt;UID&gt;{084D9C15-AE2F-48C5-BBBC-C8E46BD3D6E4}&lt;/UID&gt;&lt;Title&gt;CEO多职业背景对企业技术资本积累的影响——基于沪深A股上市公司数据的研究&lt;/Title&gt;&lt;Template&gt;Journal Article&lt;/Template&gt;&lt;Star&gt;0&lt;/Star&gt;&lt;Tag&gt;0&lt;/Tag&gt;&lt;Author&gt;汤倩; 罗福凯; 刘源; 王斌&lt;/Author&gt;&lt;Year&gt;2021&lt;/Year&gt;&lt;Details&gt;&lt;_author_adr&gt;齐鲁师范学院经济与管理学院;中国海洋大学管理学院;山东财经大学会计学院;&lt;/_author_adr&gt;&lt;_db_provider&gt;CNKI&lt;/_db_provider&gt;&lt;_isbn&gt;1003-2886&lt;/_isbn&gt;&lt;_issue&gt;11&lt;/_issue&gt;&lt;_journal&gt;会计研究&lt;/_journal&gt;&lt;_keywords&gt;CEO多职业背景;企业技术资本积累;职业数量;技术创新&lt;/_keywords&gt;&lt;_pages&gt;88-101&lt;/_pages&gt;&lt;_created&gt;64605545&lt;/_created&gt;&lt;_modified&gt;64605545&lt;/_modified&gt;&lt;_collection_scope&gt;CSSCI;PKU&lt;/_collection_scope&gt;&lt;_translated_author&gt;Tang, Qian;Luo, Fu kai;Liu, Yuan;Wang, Bin&lt;/_translated_author&gt;&lt;/Details&gt;&lt;Extra&gt;&lt;DBUID&gt;{F96A950B-833F-4880-A151-76DA2D6A2879}&lt;/DBUID&gt;&lt;/Extra&gt;&lt;/Item&gt;&lt;/References&gt;&lt;/Group&gt;&lt;/Citation&gt;_x000a_"/>
    <w:docVar w:name="NE.Ref{A418F7AB-8C2D-4CBE-AB7D-AFA725A1F7FD}" w:val=" ADDIN NE.Ref.{A418F7AB-8C2D-4CBE-AB7D-AFA725A1F7FD}&lt;Citation&gt;&lt;Group&gt;&lt;References&gt;&lt;Item&gt;&lt;ID&gt;542&lt;/ID&gt;&lt;UID&gt;{1AE4ADF3-5633-4A47-AFE8-3E06169CFBF3}&lt;/UID&gt;&lt;Title&gt;环境规制对企业环境治理行为的影响——基于新《环保法》的准自然实验&lt;/Title&gt;&lt;Template&gt;Journal Article&lt;/Template&gt;&lt;Star&gt;0&lt;/Star&gt;&lt;Tag&gt;0&lt;/Tag&gt;&lt;Author&gt;崔广慧; 姜英兵&lt;/Author&gt;&lt;Year&gt;2019&lt;/Year&gt;&lt;Details&gt;&lt;_author_adr&gt;东北财经大学会计学院/中国内部控制研究中心;&lt;/_author_adr&gt;&lt;_db_provider&gt;CNKI&lt;/_db_provider&gt;&lt;_doi&gt;10.19616/j.cnki.bmj.2019.10.004&lt;/_doi&gt;&lt;_isbn&gt;1002-5766&lt;/_isbn&gt;&lt;_issue&gt;10&lt;/_issue&gt;&lt;_journal&gt;经济管理&lt;/_journal&gt;&lt;_keywords&gt;环境规制;环境治理;新《环保法》;绿色发展&lt;/_keywords&gt;&lt;_pages&gt;54-72&lt;/_pages&gt;&lt;_url&gt;https://kns.cnki.net/kcms/detail/11.1047.F.20190929.1556.006.html&lt;/_url&gt;&lt;_volume&gt;41&lt;/_volume&gt;&lt;_created&gt;64605545&lt;/_created&gt;&lt;_modified&gt;64605545&lt;/_modified&gt;&lt;_collection_scope&gt;CSSCI;PKU&lt;/_collection_scope&gt;&lt;_translated_author&gt;Cui, Guang hui;Jiang, Ying bing&lt;/_translated_author&gt;&lt;/Details&gt;&lt;Extra&gt;&lt;DBUID&gt;{F96A950B-833F-4880-A151-76DA2D6A2879}&lt;/DBUID&gt;&lt;/Extra&gt;&lt;/Item&gt;&lt;/References&gt;&lt;/Group&gt;&lt;/Citation&gt;_x000a_"/>
    <w:docVar w:name="NE.Ref{A4E91E3A-D761-42F2-AB53-719503430A61}" w:val=" ADDIN NE.Ref.{A4E91E3A-D761-42F2-AB53-719503430A61}&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Citation&gt;_x000a_"/>
    <w:docVar w:name="NE.Ref{A909F0CE-5328-42BB-A4EE-672ADD74AB1C}" w:val=" ADDIN NE.Ref.{A909F0CE-5328-42BB-A4EE-672ADD74AB1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Group&gt;&lt;References&gt;&lt;Item&gt;&lt;ID&gt;537&lt;/ID&gt;&lt;UID&gt;{9D006372-3A2C-4CBA-B48A-37B9AA9730CE}&lt;/UID&gt;&lt;Title&gt;他山之石或可攻玉：税制绿色化对企业创新的溢出效应&lt;/Title&gt;&lt;Template&gt;Journal Article&lt;/Template&gt;&lt;Star&gt;0&lt;/Star&gt;&lt;Tag&gt;0&lt;/Tag&gt;&lt;Author&gt;程博; 熊婷; 殷俊明&lt;/Author&gt;&lt;Year&gt;2021&lt;/Year&gt;&lt;Details&gt;&lt;_author_adr&gt;南京审计大学会计学院;&lt;/_author_adr&gt;&lt;_db_provider&gt;CNKI&lt;/_db_provider&gt;&lt;_isbn&gt;1003-2886&lt;/_isbn&gt;&lt;_issue&gt;06&lt;/_issue&gt;&lt;_journal&gt;会计研究&lt;/_journal&gt;&lt;_keywords&gt;税制绿色化;企业创新;溢出效应;《环境保护税法》&lt;/_keywords&gt;&lt;_pages&gt;176-188&lt;/_pages&gt;&lt;_created&gt;64605545&lt;/_created&gt;&lt;_modified&gt;64605545&lt;/_modified&gt;&lt;_collection_scope&gt;CSSCI;PKU&lt;/_collection_scope&gt;&lt;_translated_author&gt;Cheng, Bo;Xiong, Ting;Yin, Jun ming&lt;/_translated_author&gt;&lt;/Details&gt;&lt;Extra&gt;&lt;DBUID&gt;{F96A950B-833F-4880-A151-76DA2D6A2879}&lt;/DBUID&gt;&lt;/Extra&gt;&lt;/Item&gt;&lt;/References&gt;&lt;/Group&gt;&lt;/Citation&gt;_x000a_"/>
    <w:docVar w:name="NE.Ref{ADF35E0E-7FBB-45C0-A142-DEC8AC73CF9A}" w:val=" ADDIN NE.Ref.{ADF35E0E-7FBB-45C0-A142-DEC8AC73CF9A}&lt;Citation&gt;&lt;Group&gt;&lt;References&gt;&lt;Item&gt;&lt;ID&gt;522&lt;/ID&gt;&lt;UID&gt;{725279A1-9F83-4DDB-96A1-FCAB15F2A205}&lt;/UID&gt;&lt;Title&gt;环境保护税费改革与企业环保投资——基于《环境保护税法》实施的准自然实验&lt;/Title&gt;&lt;Template&gt;Journal Article&lt;/Template&gt;&lt;Star&gt;0&lt;/Star&gt;&lt;Tag&gt;0&lt;/Tag&gt;&lt;Author&gt;田利辉; 关欣; 李政; 李鑫&lt;/Author&gt;&lt;Year&gt;2022&lt;/Year&gt;&lt;Details&gt;&lt;_author_adr&gt;南开大学金融发展研究院;广西大学经济学院;&lt;/_author_adr&gt;&lt;_db_provider&gt;CNKI&lt;/_db_provider&gt;&lt;_doi&gt;10.16538/j.cnki.jfe.20220317.102&lt;/_doi&gt;&lt;_isbn&gt;1001-9952&lt;/_isbn&gt;&lt;_issue&gt;09&lt;/_issue&gt;&lt;_journal&gt;财经研究&lt;/_journal&gt;&lt;_keywords&gt;排污费;环保税;税费改革;环保投资&lt;/_keywords&gt;&lt;_pages&gt;32-46+62&lt;/_pages&gt;&lt;_url&gt;https://kns.cnki.net/kcms/detail/31.1012.F.20220331.1516.001.html&lt;/_url&gt;&lt;_volume&gt;48&lt;/_volume&gt;&lt;_created&gt;64605545&lt;/_created&gt;&lt;_modified&gt;64605545&lt;/_modified&gt;&lt;_collection_scope&gt;CSSCI;PKU&lt;/_collection_scope&gt;&lt;_translated_author&gt;Tian, Li hui;Guan, Xin;Li, Zheng;Li, Xin&lt;/_translated_author&gt;&lt;/Details&gt;&lt;Extra&gt;&lt;DBUID&gt;{F96A950B-833F-4880-A151-76DA2D6A2879}&lt;/DBUID&gt;&lt;/Extra&gt;&lt;/Item&gt;&lt;/References&gt;&lt;/Group&gt;&lt;/Citation&gt;_x000a_"/>
    <w:docVar w:name="NE.Ref{B7134763-59E6-4AD2-8931-F5140543F61C}" w:val=" ADDIN NE.Ref.{B7134763-59E6-4AD2-8931-F5140543F61C}&lt;Citation&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B927F7FB-7BD0-4DBC-B630-99DE61B34BBA}" w:val=" ADDIN NE.Ref.{B927F7FB-7BD0-4DBC-B630-99DE61B34BBA}&lt;Citation&gt;&lt;Group&gt;&lt;References&gt;&lt;Item&gt;&lt;ID&gt;578&lt;/ID&gt;&lt;UID&gt;{BEF3227B-837E-4683-9AA7-439736AEE705}&lt;/UID&gt;&lt;Title&gt;Does stringent environmental regulation lead to a carbon haven effect? Evidence from carbon-intensive industries in China&lt;/Title&gt;&lt;Template&gt;Journal Article&lt;/Template&gt;&lt;Star&gt;0&lt;/Star&gt;&lt;Tag&gt;0&lt;/Tag&gt;&lt;Author&gt;Zhao, Xiaomeng; Liu, Chuanjiang; Sun, Chuanwang; Yang, Mian&lt;/Author&gt;&lt;Year&gt;2020&lt;/Year&gt;&lt;Details&gt;&lt;_alternate_title&gt;Energy Economics&lt;/_alternate_title&gt;&lt;_date_display&gt;2020&lt;/_date_display&gt;&lt;_date&gt;2020-01-01&lt;/_date&gt;&lt;_isbn&gt;0140-9883&lt;/_isbn&gt;&lt;_journal&gt;Energy Economics&lt;/_journal&gt;&lt;_ori_publication&gt;Elsevier&lt;/_ori_publication&gt;&lt;_pages&gt;104631&lt;/_pages&gt;&lt;_volume&gt;86&lt;/_volume&gt;&lt;_created&gt;64605583&lt;/_created&gt;&lt;_modified&gt;64605583&lt;/_modified&gt;&lt;_impact_factor&gt;   9.252&lt;/_impact_factor&gt;&lt;_social_category&gt;经济学(2)&lt;/_social_category&gt;&lt;_collection_scope&gt;SSCI;EI&lt;/_collection_scope&gt;&lt;/Details&gt;&lt;Extra&gt;&lt;DBUID&gt;{F96A950B-833F-4880-A151-76DA2D6A2879}&lt;/DBUID&gt;&lt;/Extra&gt;&lt;/Item&gt;&lt;/References&gt;&lt;/Group&gt;&lt;/Citation&gt;_x000a_"/>
    <w:docVar w:name="NE.Ref{C1F89114-607B-49D4-BC43-59EC7B840801}" w:val=" ADDIN NE.Ref.{C1F89114-607B-49D4-BC43-59EC7B840801}&lt;Citation&gt;&lt;Group&gt;&lt;References&gt;&lt;Item&gt;&lt;ID&gt;530&lt;/ID&gt;&lt;UID&gt;{B0805A47-122F-4330-9A64-05A201284F59}&lt;/UID&gt;&lt;Title&gt;企业集团内部是否存在“污染避难所”&lt;/Title&gt;&lt;Template&gt;Journal Article&lt;/Template&gt;&lt;Star&gt;0&lt;/Star&gt;&lt;Tag&gt;0&lt;/Tag&gt;&lt;Author&gt;宋德勇; 朱文博; 王班班; 丁海&lt;/Author&gt;&lt;Year&gt;2021&lt;/Year&gt;&lt;Details&gt;&lt;_author_adr&gt;华中科技大学经济学院;&lt;/_author_adr&gt;&lt;_db_provider&gt;CNKI&lt;/_db_provider&gt;&lt;_doi&gt;10.19581/j.cnki.ciejournal.2021.10.008&lt;/_doi&gt;&lt;_isbn&gt;1006-480X&lt;/_isbn&gt;&lt;_issue&gt;10&lt;/_issue&gt;&lt;_journal&gt;中国工业经济&lt;/_journal&gt;&lt;_keywords&gt;污染转移;环境规制;企业集团;排污费改革&lt;/_keywords&gt;&lt;_pages&gt;156-174&lt;/_pages&gt;&lt;_url&gt;https://kns.cnki.net/kcms/detail/11.3536.F.20211022.1352.016.html&lt;/_url&gt;&lt;_created&gt;64605545&lt;/_created&gt;&lt;_modified&gt;64605545&lt;/_modified&gt;&lt;_collection_scope&gt;CSSCI;PKU&lt;/_collection_scope&gt;&lt;_translated_author&gt;Song, De yong;Zhu, Wen bo;Wang, Ban ban;Ding, Hai&lt;/_translated_author&gt;&lt;/Details&gt;&lt;Extra&gt;&lt;DBUID&gt;{F96A950B-833F-4880-A151-76DA2D6A2879}&lt;/DBUID&gt;&lt;/Extra&gt;&lt;/Item&gt;&lt;/References&gt;&lt;/Group&gt;&lt;/Citation&gt;_x000a_"/>
    <w:docVar w:name="NE.Ref{C864D87B-8C4C-40FA-AB96-DE6238D3AB4A}" w:val=" ADDIN NE.Ref.{C864D87B-8C4C-40FA-AB96-DE6238D3AB4A}&lt;Citation&gt;&lt;Group&gt;&lt;References&gt;&lt;Item&gt;&lt;ID&gt;575&lt;/ID&gt;&lt;UID&gt;{DC6DD42D-D564-44F3-82D1-83B3C08D21D7}&lt;/UID&gt;&lt;Title&gt;Toward a new conception of the environment-competitiveness relationship&lt;/Title&gt;&lt;Template&gt;Journal Article&lt;/Template&gt;&lt;Star&gt;0&lt;/Star&gt;&lt;Tag&gt;0&lt;/Tag&gt;&lt;Author&gt;Porter, Michael E; Van der Linde, Claas&lt;/Author&gt;&lt;Year&gt;1995&lt;/Year&gt;&lt;Details&gt;&lt;_alternate_title&gt;Journal of economic perspectives&lt;/_alternate_title&gt;&lt;_date_display&gt;1995&lt;/_date_display&gt;&lt;_date&gt;1995-01-01&lt;/_date&gt;&lt;_isbn&gt;0895-3309&lt;/_isbn&gt;&lt;_issue&gt;4&lt;/_issue&gt;&lt;_journal&gt;Journal of economic perspectives&lt;/_journal&gt;&lt;_pages&gt;97-118&lt;/_pages&gt;&lt;_volume&gt;9&lt;/_volume&gt;&lt;_created&gt;64605573&lt;/_created&gt;&lt;_modified&gt;64605573&lt;/_modified&gt;&lt;_impact_factor&gt;   9.944&lt;/_impact_factor&gt;&lt;_social_category&gt;经济学(1)&lt;/_social_category&gt;&lt;_collection_scope&gt;SSCI&lt;/_collection_scope&gt;&lt;/Details&gt;&lt;Extra&gt;&lt;DBUID&gt;{F96A950B-833F-4880-A151-76DA2D6A2879}&lt;/DBUID&gt;&lt;/Extra&gt;&lt;/Item&gt;&lt;/References&gt;&lt;/Group&gt;&lt;/Citation&gt;_x000a_"/>
    <w:docVar w:name="NE.Ref{CBD19BC9-E5DA-4991-9DCC-493B1E1EF913}" w:val=" ADDIN NE.Ref.{CBD19BC9-E5DA-4991-9DCC-493B1E1EF913}&lt;Citation&gt;&lt;Group&gt;&lt;References&gt;&lt;Item&gt;&lt;ID&gt;573&lt;/ID&gt;&lt;UID&gt;{07D5F9E1-D1ED-4EB5-ACEC-AB62F21F78DB}&lt;/UID&gt;&lt;Title&gt;Revisiting the relation between environmental performance and environmental disclosure: An empirical analysis&lt;/Title&gt;&lt;Template&gt;Journal Article&lt;/Template&gt;&lt;Star&gt;0&lt;/Star&gt;&lt;Tag&gt;0&lt;/Tag&gt;&lt;Author&gt;Clarkson, Peter M; Li, Yue; Richardson, Gordon D; Vasvari, Florin P&lt;/Author&gt;&lt;Year&gt;2008&lt;/Year&gt;&lt;Details&gt;&lt;_alternate_title&gt;Accounting, organizations and society&lt;/_alternate_title&gt;&lt;_date_display&gt;2008&lt;/_date_display&gt;&lt;_date&gt;2008-01-01&lt;/_date&gt;&lt;_isbn&gt;0361-3682&lt;/_isbn&gt;&lt;_issue&gt;4-5&lt;/_issue&gt;&lt;_journal&gt;Accounting, organizations and society&lt;/_journal&gt;&lt;_ori_publication&gt;Elsevier&lt;/_ori_publication&gt;&lt;_pages&gt;303-327&lt;/_pages&gt;&lt;_volume&gt;33&lt;/_volume&gt;&lt;_created&gt;64605569&lt;/_created&gt;&lt;_modified&gt;64605569&lt;/_modified&gt;&lt;_impact_factor&gt;   4.114&lt;/_impact_factor&gt;&lt;_social_category&gt;管理学(3)&lt;/_social_category&gt;&lt;/Details&gt;&lt;Extra&gt;&lt;DBUID&gt;{F96A950B-833F-4880-A151-76DA2D6A2879}&lt;/DBUID&gt;&lt;/Extra&gt;&lt;/Item&gt;&lt;/References&gt;&lt;/Group&gt;&lt;/Citation&gt;_x000a_"/>
    <w:docVar w:name="NE.Ref{D07DC256-FB18-4640-91D2-62267EBEFD56}" w:val=" ADDIN NE.Ref.{D07DC256-FB18-4640-91D2-62267EBEFD56}&lt;Citation&gt;&lt;Group&gt;&lt;References&gt;&lt;Item&gt;&lt;ID&gt;558&lt;/ID&gt;&lt;UID&gt;{60C77781-A04D-4AE1-9720-106C900518DC}&lt;/UID&gt;&lt;Title&gt;中国有关环境税费的污染减排效应实证研究&lt;/Title&gt;&lt;Template&gt;Journal Article&lt;/Template&gt;&lt;Star&gt;0&lt;/Star&gt;&lt;Tag&gt;0&lt;/Tag&gt;&lt;Author&gt;李建军; 刘元生&lt;/Author&gt;&lt;Year&gt;2015&lt;/Year&gt;&lt;Details&gt;&lt;_author_adr&gt;西南财经大学财政税务学院;&lt;/_author_adr&gt;&lt;_db_provider&gt;CNKI&lt;/_db_provider&gt;&lt;_isbn&gt;1002-2104&lt;/_isbn&gt;&lt;_issue&gt;08&lt;/_issue&gt;&lt;_journal&gt;中国人口·资源与环境&lt;/_journal&gt;&lt;_keywords&gt;环境税收;排污费;工业“三废”;“双重红利”&lt;/_keywords&gt;&lt;_pages&gt;84-91&lt;/_pages&gt;&lt;_url&gt;https://kns.cnki.net/kcms/detail/37.1196.n.20150803.1110.022.html&lt;/_url&gt;&lt;_volume&gt;25&lt;/_volume&gt;&lt;_created&gt;64605545&lt;/_created&gt;&lt;_modified&gt;64605545&lt;/_modified&gt;&lt;_collection_scope&gt;CSSCI;PKU;CSCD&lt;/_collection_scope&gt;&lt;_translated_author&gt;Li, Jian jun;Liu, Yuan sheng&lt;/_translated_author&gt;&lt;/Details&gt;&lt;Extra&gt;&lt;DBUID&gt;{F96A950B-833F-4880-A151-76DA2D6A2879}&lt;/DBUID&gt;&lt;/Extra&gt;&lt;/Item&gt;&lt;/References&gt;&lt;/Group&gt;&lt;/Citation&gt;_x000a_"/>
    <w:docVar w:name="NE.Ref{D36150DA-DF52-47B5-B395-6D1A86E50DD9}" w:val=" ADDIN NE.Ref.{D36150DA-DF52-47B5-B395-6D1A86E50DD9}&lt;Citation&gt;&lt;Group&gt;&lt;References&gt;&lt;Item&gt;&lt;ID&gt;579&lt;/ID&gt;&lt;UID&gt;{DF4E4B8A-6DFC-40C7-AEAE-73009AB78ED8}&lt;/UID&gt;&lt;Title&gt;重污染企业投资与地方官员晋升——基于地级市1999-2010年数据的经验证据&lt;/Title&gt;&lt;Template&gt;Journal Article&lt;/Template&gt;&lt;Star&gt;0&lt;/Star&gt;&lt;Tag&gt;0&lt;/Tag&gt;&lt;Author&gt;罗党论; 赖再洪&lt;/Author&gt;&lt;Year&gt;2016&lt;/Year&gt;&lt;Details&gt;&lt;_author_adr&gt;中山大学岭南学院;中国人民大学;&lt;/_author_adr&gt;&lt;_db_provider&gt;CNKI&lt;/_db_provider&gt;&lt;_isbn&gt;1003-2886&lt;/_isbn&gt;&lt;_issue&gt;04&lt;/_issue&gt;&lt;_journal&gt;会计研究&lt;/_journal&gt;&lt;_keywords&gt;重污染企业投资;环境绩效;经济绩效;地方官员;政治晋升&lt;/_keywords&gt;&lt;_pages&gt;42-48+95&lt;/_pages&gt;&lt;_created&gt;64605590&lt;/_created&gt;&lt;_modified&gt;64605590&lt;/_modified&gt;&lt;_collection_scope&gt;CSSCI;PKU&lt;/_collection_scope&gt;&lt;_translated_author&gt;Luo, Dang lun;Lai, Zai hong&lt;/_translated_author&gt;&lt;/Details&gt;&lt;Extra&gt;&lt;DBUID&gt;{F96A950B-833F-4880-A151-76DA2D6A2879}&lt;/DBUID&gt;&lt;/Extra&gt;&lt;/Item&gt;&lt;/References&gt;&lt;/Group&gt;&lt;/Citation&gt;_x000a_"/>
    <w:docVar w:name="NE.Ref{D59A798A-6DFE-4981-9DDF-61EC88F997E2}" w:val=" ADDIN NE.Ref.{D59A798A-6DFE-4981-9DDF-61EC88F997E2}&lt;Citation&gt;&lt;Group&gt;&lt;References&gt;&lt;Item&gt;&lt;ID&gt;553&lt;/ID&gt;&lt;UID&gt;{0161AC8B-8A9B-46B0-821B-4C3D921AB586}&lt;/UID&gt;&lt;Title&gt;环境执法监督与企业环境绩效:来自环保约谈的准自然实验证据&lt;/Title&gt;&lt;Template&gt;Journal Article&lt;/Template&gt;&lt;Star&gt;0&lt;/Star&gt;&lt;Tag&gt;0&lt;/Tag&gt;&lt;Author&gt;沈洪涛; 周艳坤&lt;/Author&gt;&lt;Year&gt;2017&lt;/Year&gt;&lt;Details&gt;&lt;_author_adr&gt;暨南大学管理学院;中国人民大学商学院;&lt;/_author_adr&gt;&lt;_db_provider&gt;CNKI&lt;/_db_provider&gt;&lt;_isbn&gt;1008-3448&lt;/_isbn&gt;&lt;_issue&gt;06&lt;/_issue&gt;&lt;_journal&gt;南开管理评论&lt;/_journal&gt;&lt;_keywords&gt;执法监督;环保约谈;企业环境绩效;环境治理&lt;/_keywords&gt;&lt;_pages&gt;73-82&lt;/_pages&gt;&lt;_volume&gt;20&lt;/_volume&gt;&lt;_created&gt;64605545&lt;/_created&gt;&lt;_modified&gt;64605545&lt;/_modified&gt;&lt;_collection_scope&gt;CSSCI;PKU&lt;/_collection_scope&gt;&lt;_translated_author&gt;Shen, Hong tao;Zhou, Yan kun&lt;/_translated_author&gt;&lt;/Details&gt;&lt;Extra&gt;&lt;DBUID&gt;{F96A950B-833F-4880-A151-76DA2D6A2879}&lt;/DBUID&gt;&lt;/Extra&gt;&lt;/Item&gt;&lt;/References&gt;&lt;/Group&gt;&lt;/Citation&gt;_x000a_"/>
    <w:docVar w:name="NE.Ref{D7640524-7EBD-45CD-B4DE-2C7C52385AAF}" w:val=" ADDIN NE.Ref.{D7640524-7EBD-45CD-B4DE-2C7C52385AAF}&lt;Citation&gt;&lt;Group&gt;&lt;References&gt;&lt;Item&gt;&lt;ID&gt;563&lt;/ID&gt;&lt;UID&gt;{AC606280-72C5-4AFB-A43A-51824B0997D4}&lt;/UID&gt;&lt;Title&gt;信息透明度、公司治理与中小股东参与&lt;/Title&gt;&lt;Template&gt;Journal Article&lt;/Template&gt;&lt;Star&gt;0&lt;/Star&gt;&lt;Tag&gt;0&lt;/Tag&gt;&lt;Author&gt;黎文靖; 孔东民&lt;/Author&gt;&lt;Year&gt;2013&lt;/Year&gt;&lt;Details&gt;&lt;_author_adr&gt;暨南大学管理学院;华中科技大学经济学院;&lt;/_author_adr&gt;&lt;_db_provider&gt;CNKI&lt;/_db_provider&gt;&lt;_isbn&gt;1003-2886&lt;/_isbn&gt;&lt;_issue&gt;01&lt;/_issue&gt;&lt;_journal&gt;会计研究&lt;/_journal&gt;&lt;_keywords&gt;信息透明度;中小股东;公司治理;网络投票&lt;/_keywords&gt;&lt;_pages&gt;42-49+95&lt;/_pages&gt;&lt;_created&gt;64605545&lt;/_created&gt;&lt;_modified&gt;64605545&lt;/_modified&gt;&lt;_collection_scope&gt;CSSCI;PKU&lt;/_collection_scope&gt;&lt;_translated_author&gt;Li, Wen jing;Kong, Dong min&lt;/_translated_author&gt;&lt;/Details&gt;&lt;Extra&gt;&lt;DBUID&gt;{F96A950B-833F-4880-A151-76DA2D6A2879}&lt;/DBUID&gt;&lt;/Extra&gt;&lt;/Item&gt;&lt;/References&gt;&lt;/Group&gt;&lt;/Citation&gt;_x000a_"/>
    <w:docVar w:name="NE.Ref{D80B2553-9955-49F6-87B3-107FBDC2587D}" w:val=" ADDIN NE.Ref.{D80B2553-9955-49F6-87B3-107FBDC2587D}&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Group&gt;&lt;References&gt;&lt;Item&gt;&lt;ID&gt;569&lt;/ID&gt;&lt;UID&gt;{7C7BA322-FA2D-489C-93C1-C0CABEBBD043}&lt;/UID&gt;&lt;Title&gt;中国地方官员的晋升锦标赛模式研究&lt;/Title&gt;&lt;Template&gt;Journal Article&lt;/Template&gt;&lt;Star&gt;0&lt;/Star&gt;&lt;Tag&gt;0&lt;/Tag&gt;&lt;Author&gt;周黎安&lt;/Author&gt;&lt;Year&gt;2007&lt;/Year&gt;&lt;Details&gt;&lt;_author_adr&gt;北京大学光华管理学院,&lt;/_author_adr&gt;&lt;_db_provider&gt;CNKI&lt;/_db_provider&gt;&lt;_isbn&gt;0577-9154&lt;/_isbn&gt;&lt;_issue&gt;07&lt;/_issue&gt;&lt;_journal&gt;经济研究&lt;/_journal&gt;&lt;_keywords&gt;晋升锦标赛;地方官员的激励;中国经济增长&lt;/_keywords&gt;&lt;_pages&gt;36-50&lt;/_pages&gt;&lt;_created&gt;64605545&lt;/_created&gt;&lt;_modified&gt;64605545&lt;/_modified&gt;&lt;_collection_scope&gt;CSSCI;PKU&lt;/_collection_scope&gt;&lt;_translated_author&gt;Zhou, Li&amp;apos;an&lt;/_translated_author&gt;&lt;/Details&gt;&lt;Extra&gt;&lt;DBUID&gt;{F96A950B-833F-4880-A151-76DA2D6A2879}&lt;/DBUID&gt;&lt;/Extra&gt;&lt;/Item&gt;&lt;/References&gt;&lt;/Group&gt;&lt;/Citation&gt;_x000a_"/>
    <w:docVar w:name="NE.Ref{D9AE592F-A091-4C0C-B2DD-83F27D7601AE}" w:val=" ADDIN NE.Ref.{D9AE592F-A091-4C0C-B2DD-83F27D7601AE}&lt;Citation&gt;&lt;Group&gt;&lt;References&gt;&lt;Item&gt;&lt;ID&gt;583&lt;/ID&gt;&lt;UID&gt;{5F624357-0EB0-434F-B9BD-CE4F6F8F0B45}&lt;/UID&gt;&lt;Title&gt;绿色金融促进了中国出口贸易发展吗?&lt;/Title&gt;&lt;Template&gt;Journal Article&lt;/Template&gt;&lt;Star&gt;0&lt;/Star&gt;&lt;Tag&gt;0&lt;/Tag&gt;&lt;Author&gt;金祥义; 张文菲; 施炳展&lt;/Author&gt;&lt;Year&gt;2022&lt;/Year&gt;&lt;Details&gt;&lt;_author_adr&gt;兰州大学经济学院;南开大学经济学院;&lt;/_author_adr&gt;&lt;_db_provider&gt;CNKI&lt;/_db_provider&gt;&lt;_isbn&gt;1002-7246&lt;/_isbn&gt;&lt;_issue&gt;05&lt;/_issue&gt;&lt;_journal&gt;金融研究&lt;/_journal&gt;&lt;_keywords&gt;绿色金融;出口贸易;绿色信贷指引;融资约束;双重差分法&lt;/_keywords&gt;&lt;_pages&gt;38-56&lt;/_pages&gt;&lt;_created&gt;64605601&lt;/_created&gt;&lt;_modified&gt;64605601&lt;/_modified&gt;&lt;_collection_scope&gt;CSSCI;PKU&lt;/_collection_scope&gt;&lt;_translated_author&gt;Jin, Xiang yi;Zhang, Wen fei;Shi, Bing zhan&lt;/_translated_author&gt;&lt;/Details&gt;&lt;Extra&gt;&lt;DBUID&gt;{F96A950B-833F-4880-A151-76DA2D6A2879}&lt;/DBUID&gt;&lt;/Extra&gt;&lt;/Item&gt;&lt;/References&gt;&lt;/Group&gt;&lt;/Citation&gt;_x000a_"/>
    <w:docVar w:name="NE.Ref{DCDB9ABB-5595-402B-8A68-90C47E2E86E0}" w:val=" ADDIN NE.Ref.{DCDB9ABB-5595-402B-8A68-90C47E2E86E0}&lt;Citation&gt;&lt;Group&gt;&lt;References&gt;&lt;Item&gt;&lt;ID&gt;570&lt;/ID&gt;&lt;UID&gt;{D7BA2A4A-88A4-4B88-906D-DE324E7FD9B9}&lt;/UID&gt;&lt;Title&gt;我国排污费制度的局限性及其改革&lt;/Title&gt;&lt;Template&gt;Journal Article&lt;/Template&gt;&lt;Star&gt;0&lt;/Star&gt;&lt;Tag&gt;0&lt;/Tag&gt;&lt;Author&gt;王萌&lt;/Author&gt;&lt;Year&gt;2009&lt;/Year&gt;&lt;Details&gt;&lt;_author_adr&gt;中南财经政法大学财政税务学院;浙江商业职业技术学院;&lt;/_author_adr&gt;&lt;_db_provider&gt;CNKI&lt;/_db_provider&gt;&lt;_doi&gt;10.19376/j.cnki.cn11-1011/f.2009.07.007&lt;/_doi&gt;&lt;_isbn&gt;1003-448X&lt;/_isbn&gt;&lt;_issue&gt;07&lt;/_issue&gt;&lt;_journal&gt;税务研究&lt;/_journal&gt;&lt;_keywords&gt;排污收费制度;命令—控制工具;外部性;庇古税&lt;/_keywords&gt;&lt;_pages&gt;28-31&lt;/_pages&gt;&lt;_created&gt;64605549&lt;/_created&gt;&lt;_modified&gt;64605549&lt;/_modified&gt;&lt;_collection_scope&gt;CSSCI;PKU&lt;/_collection_scope&gt;&lt;_translated_author&gt;Wang, Meng&lt;/_translated_author&gt;&lt;/Details&gt;&lt;Extra&gt;&lt;DBUID&gt;{F96A950B-833F-4880-A151-76DA2D6A2879}&lt;/DBUID&gt;&lt;/Extra&gt;&lt;/Item&gt;&lt;/References&gt;&lt;/Group&gt;&lt;/Citation&gt;_x000a_"/>
    <w:docVar w:name="NE.Ref{E36470E0-94A3-4B49-AEB8-033F747A042F}" w:val=" ADDIN NE.Ref.{E36470E0-94A3-4B49-AEB8-033F747A042F}&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Citation&gt;_x000a_"/>
    <w:docVar w:name="NE.Ref{E4C47796-3466-439E-92D5-99E7196E6F46}" w:val=" ADDIN NE.Ref.{E4C47796-3466-439E-92D5-99E7196E6F46}&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ECC18C58-46C4-4D18-A3F3-27813A5025C1}" w:val=" ADDIN NE.Ref.{ECC18C58-46C4-4D18-A3F3-27813A5025C1}&lt;Citation&gt;&lt;Group&gt;&lt;References&gt;&lt;Item&gt;&lt;ID&gt;552&lt;/ID&gt;&lt;UID&gt;{77309E84-EDAF-41BD-8719-4EE20B42FF3B}&lt;/UID&gt;&lt;Title&gt;环境保护税的减排效应及区域差异性分析——基于我国排污费调整的实证研究&lt;/Title&gt;&lt;Template&gt;Journal Article&lt;/Template&gt;&lt;Star&gt;0&lt;/Star&gt;&lt;Tag&gt;0&lt;/Tag&gt;&lt;Author&gt;刘晔; 张训常&lt;/Author&gt;&lt;Year&gt;2018&lt;/Year&gt;&lt;Details&gt;&lt;_author_adr&gt;厦门大学经济学院;&lt;/_author_adr&gt;&lt;_db_provider&gt;CNKI&lt;/_db_provider&gt;&lt;_doi&gt;10.19376/j.cnki.cn11-1011/f.2018.02.008&lt;/_doi&gt;&lt;_isbn&gt;1003-448X&lt;/_isbn&gt;&lt;_issue&gt;02&lt;/_issue&gt;&lt;_journal&gt;税务研究&lt;/_journal&gt;&lt;_keywords&gt;环境保护税;排污费;减排效应;区域差异&lt;/_keywords&gt;&lt;_pages&gt;41-47&lt;/_pages&gt;&lt;_created&gt;64605545&lt;/_created&gt;&lt;_modified&gt;64605545&lt;/_modified&gt;&lt;_collection_scope&gt;CSSCI;PKU&lt;/_collection_scope&gt;&lt;_translated_author&gt;Liu, Ye;Zhang, Xun chang&lt;/_translated_author&gt;&lt;/Details&gt;&lt;Extra&gt;&lt;DBUID&gt;{F96A950B-833F-4880-A151-76DA2D6A2879}&lt;/DBUID&gt;&lt;/Extra&gt;&lt;/Item&gt;&lt;/References&gt;&lt;/Group&gt;&lt;/Citation&gt;_x000a_"/>
    <w:docVar w:name="NE.Ref{EDFEED9E-E88A-420D-84F6-B8ACF40D03CE}" w:val=" ADDIN NE.Ref.{EDFEED9E-E88A-420D-84F6-B8ACF40D03CE}&lt;Citation&gt;&lt;Group&gt;&lt;References&gt;&lt;Item&gt;&lt;ID&gt;523&lt;/ID&gt;&lt;UID&gt;{C81C8F11-B13F-4F27-889B-D82060E298DC}&lt;/UID&gt;&lt;Title&gt;负责任的国际投资：ESG与中国OFDI&lt;/Title&gt;&lt;Template&gt;Journal Article&lt;/Template&gt;&lt;Star&gt;0&lt;/Star&gt;&lt;Tag&gt;0&lt;/Tag&gt;&lt;Author&gt;谢红军; 吕雪&lt;/Author&gt;&lt;Year&gt;2022&lt;/Year&gt;&lt;Details&gt;&lt;_author_adr&gt;对外经济贸易大学国际经济贸易学院;&lt;/_author_adr&gt;&lt;_db_provider&gt;CNKI&lt;/_db_provider&gt;&lt;_isbn&gt;0577-9154&lt;/_isbn&gt;&lt;_issue&gt;03&lt;/_issue&gt;&lt;_journal&gt;经济研究&lt;/_journal&gt;&lt;_keywords&gt;对外直接投资;可持续发展;ESG;资本成本;融资约束;外来者劣势&lt;/_keywords&gt;&lt;_pages&gt;83-99&lt;/_pages&gt;&lt;_volume&gt;57&lt;/_volume&gt;&lt;_created&gt;64605545&lt;/_created&gt;&lt;_modified&gt;64605545&lt;/_modified&gt;&lt;_collection_scope&gt;CSSCI;PKU&lt;/_collection_scope&gt;&lt;_translated_author&gt;Xie, Hong jun;Lu, Xue&lt;/_translated_author&gt;&lt;/Details&gt;&lt;Extra&gt;&lt;DBUID&gt;{F96A950B-833F-4880-A151-76DA2D6A2879}&lt;/DBUID&gt;&lt;/Extra&gt;&lt;/Item&gt;&lt;/References&gt;&lt;/Group&gt;&lt;/Citation&gt;_x000a_"/>
    <w:docVar w:name="NE.Ref{F06C3DC1-A5B3-4F0A-9DDD-B08A57325DA2}" w:val=" ADDIN NE.Ref.{F06C3DC1-A5B3-4F0A-9DDD-B08A57325DA2}&lt;Citation&gt;&lt;Group&gt;&lt;References&gt;&lt;Item&gt;&lt;ID&gt;534&lt;/ID&gt;&lt;UID&gt;{69D30758-92D9-4B72-B1EA-4EA687A7419E}&lt;/UID&gt;&lt;Title&gt;自由贸易试验区建设与中国出口行为&lt;/Title&gt;&lt;Template&gt;Journal Article&lt;/Template&gt;&lt;Star&gt;0&lt;/Star&gt;&lt;Tag&gt;0&lt;/Tag&gt;&lt;Author&gt;蒋灵多; 陆毅; 张国峰&lt;/Author&gt;&lt;Year&gt;2021&lt;/Year&gt;&lt;Details&gt;&lt;_author_adr&gt;对外经济贸易大学国际经济贸易学院;清华大学经济管理学院;&lt;/_author_adr&gt;&lt;_db_provider&gt;CNKI&lt;/_db_provider&gt;&lt;_doi&gt;10.19581/j.cnki.ciejournal.2021.08.005&lt;/_doi&gt;&lt;_isbn&gt;1006-480X&lt;/_isbn&gt;&lt;_issue&gt;08&lt;/_issue&gt;&lt;_journal&gt;中国工业经济&lt;/_journal&gt;&lt;_keywords&gt;自由贸易试验区建设;出口增长;出口结构;联动效应&lt;/_keywords&gt;&lt;_pages&gt;75-93&lt;/_pages&gt;&lt;_url&gt;https://kns.cnki.net/kcms/detail/11.3536.f.20210824.1731.010.html&lt;/_url&gt;&lt;_created&gt;64605545&lt;/_created&gt;&lt;_modified&gt;64605545&lt;/_modified&gt;&lt;_collection_scope&gt;CSSCI;PKU&lt;/_collection_scope&gt;&lt;_translated_author&gt;Jiang, Ling duo;Lu, Yi;Zhang, Guo feng&lt;/_translated_author&gt;&lt;/Details&gt;&lt;Extra&gt;&lt;DBUID&gt;{F96A950B-833F-4880-A151-76DA2D6A2879}&lt;/DBUID&gt;&lt;/Extra&gt;&lt;/Item&gt;&lt;/References&gt;&lt;/Group&gt;&lt;/Citation&gt;_x000a_"/>
    <w:docVar w:name="NE.Ref{F09994C2-A2F2-4D8A-852D-189BCD47F0C5}" w:val=" ADDIN NE.Ref.{F09994C2-A2F2-4D8A-852D-189BCD47F0C5}&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F94A1DEE-8E5A-4B54-AFB3-A9C07D07C32E}" w:val=" ADDIN NE.Ref.{F94A1DEE-8E5A-4B54-AFB3-A9C07D07C32E}&lt;Citation&gt;&lt;Group&gt;&lt;References&gt;&lt;Item&gt;&lt;ID&gt;576&lt;/ID&gt;&lt;UID&gt;{E33C911C-998F-4580-80D2-13F7F7DC5980}&lt;/UID&gt;&lt;Title&gt;Measuring environmental policy stringency: Approaches, validity, and impact on environmental innovation and energy efficiency&lt;/Title&gt;&lt;Template&gt;Journal Article&lt;/Template&gt;&lt;Star&gt;0&lt;/Star&gt;&lt;Tag&gt;0&lt;/Tag&gt;&lt;Author&gt;Galeotti, Marzio; Salini, Silvia; Verdolini, Elena&lt;/Author&gt;&lt;Year&gt;2020&lt;/Year&gt;&lt;Details&gt;&lt;_alternate_title&gt;Energy Policy&lt;/_alternate_title&gt;&lt;_date_display&gt;2020&lt;/_date_display&gt;&lt;_date&gt;2020-01-01&lt;/_date&gt;&lt;_isbn&gt;0301-4215&lt;/_isbn&gt;&lt;_journal&gt;Energy Policy&lt;/_journal&gt;&lt;_ori_publication&gt;Elsevier&lt;/_ori_publication&gt;&lt;_pages&gt;111052&lt;/_pages&gt;&lt;_volume&gt;136&lt;/_volume&gt;&lt;_created&gt;64605575&lt;/_created&gt;&lt;_modified&gt;64605575&lt;/_modified&gt;&lt;_impact_factor&gt;   7.576&lt;/_impact_factor&gt;&lt;_social_category&gt;经济学(2)&lt;/_social_category&gt;&lt;_collection_scope&gt;SCIE;SSCI;EI&lt;/_collection_scope&gt;&lt;/Details&gt;&lt;Extra&gt;&lt;DBUID&gt;{F96A950B-833F-4880-A151-76DA2D6A2879}&lt;/DBUID&gt;&lt;/Extra&gt;&lt;/Item&gt;&lt;/References&gt;&lt;/Group&gt;&lt;Group&gt;&lt;References&gt;&lt;Item&gt;&lt;ID&gt;577&lt;/ID&gt;&lt;UID&gt;{C15D96EA-5326-4E5D-A069-BA01BC5BDEE8}&lt;/UID&gt;&lt;Title&gt;The effects of domestic environmental policies on patterns of world trade: an empirical test&lt;/Title&gt;&lt;Template&gt;Book Section&lt;/Template&gt;&lt;Star&gt;0&lt;/Star&gt;&lt;Tag&gt;0&lt;/Tag&gt;&lt;Author&gt;Tobey, James A&lt;/Author&gt;&lt;Year&gt;2001&lt;/Year&gt;&lt;Details&gt;&lt;_isbn&gt;0429144121&lt;/_isbn&gt;&lt;_ori_publication&gt;CRC Press&lt;/_ori_publication&gt;&lt;_pages&gt;205-216&lt;/_pages&gt;&lt;_publisher&gt;CRC Press&lt;/_publisher&gt;&lt;_short_title&gt;The Economics of International Trade and the Environment&lt;/_short_title&gt;&lt;_created&gt;64605582&lt;/_created&gt;&lt;_modified&gt;64605582&lt;/_modified&gt;&lt;/Details&gt;&lt;Extra&gt;&lt;DBUID&gt;{F96A950B-833F-4880-A151-76DA2D6A2879}&lt;/DBUID&gt;&lt;/Extra&gt;&lt;/Item&gt;&lt;/References&gt;&lt;/Group&gt;&lt;/Citation&gt;_x000a_"/>
    <w:docVar w:name="NE.Ref{FD095D27-C2B9-47D0-AB66-1F75FA36C3E5}" w:val=" ADDIN NE.Ref.{FD095D27-C2B9-47D0-AB66-1F75FA36C3E5}&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Citation&gt;_x000a_"/>
    <w:docVar w:name="NE.Ref{FF0EDFE3-9E2F-4E0A-B9E2-8158EAD38997}" w:val=" ADDIN NE.Ref.{FF0EDFE3-9E2F-4E0A-B9E2-8158EAD38997}&lt;Citation&gt;&lt;Group&gt;&lt;References&gt;&lt;Item&gt;&lt;ID&gt;551&lt;/ID&gt;&lt;UID&gt;{B383C0B2-9110-4BE5-BB65-26CDEC17CBEF}&lt;/UID&gt;&lt;Title&gt;雾霾污染、政府治理与经济高质量发展&lt;/Title&gt;&lt;Template&gt;Journal Article&lt;/Template&gt;&lt;Star&gt;0&lt;/Star&gt;&lt;Tag&gt;0&lt;/Tag&gt;&lt;Author&gt;陈诗一; 陈登科&lt;/Author&gt;&lt;Year&gt;2018&lt;/Year&gt;&lt;Details&gt;&lt;_author_adr&gt;复旦大学经济学院;&lt;/_author_adr&gt;&lt;_db_provider&gt;CNKI&lt;/_db_provider&gt;&lt;_isbn&gt;0577-9154&lt;/_isbn&gt;&lt;_issue&gt;02&lt;/_issue&gt;&lt;_journal&gt;经济研究&lt;/_journal&gt;&lt;_keywords&gt;雾霾污染;经济发展质量;政府治理;地级市PM2.5浓度&lt;/_keywords&gt;&lt;_pages&gt;20-34&lt;/_pages&gt;&lt;_volume&gt;53&lt;/_volume&gt;&lt;_created&gt;64605545&lt;/_created&gt;&lt;_modified&gt;64605545&lt;/_modified&gt;&lt;_collection_scope&gt;CSSCI;PKU&lt;/_collection_scope&gt;&lt;_translated_author&gt;Chen, Shi yi;Chen, Deng ke&lt;/_translated_author&gt;&lt;/Details&gt;&lt;Extra&gt;&lt;DBUID&gt;{F96A950B-833F-4880-A151-76DA2D6A2879}&lt;/DBUID&gt;&lt;/Extra&gt;&lt;/Item&gt;&lt;/References&gt;&lt;/Group&gt;&lt;/Citation&gt;_x000a_"/>
    <w:docVar w:name="ne_docsoft" w:val="MSWord"/>
    <w:docVar w:name="ne_docversion" w:val="NoteExpress 2.0"/>
    <w:docVar w:name="ne_insertmode" w:val="0"/>
    <w:docVar w:name="ne_stylename" w:val="中国工业经济"/>
  </w:docVars>
  <w:rsids>
    <w:rsidRoot w:val="00EB441B"/>
    <w:rsid w:val="00001092"/>
    <w:rsid w:val="000026D8"/>
    <w:rsid w:val="0000302E"/>
    <w:rsid w:val="00003DC0"/>
    <w:rsid w:val="00004417"/>
    <w:rsid w:val="00004BC2"/>
    <w:rsid w:val="00005A5D"/>
    <w:rsid w:val="000074F0"/>
    <w:rsid w:val="000075CE"/>
    <w:rsid w:val="00010F9E"/>
    <w:rsid w:val="000118D9"/>
    <w:rsid w:val="00013F82"/>
    <w:rsid w:val="000175F5"/>
    <w:rsid w:val="00021EAC"/>
    <w:rsid w:val="000225E3"/>
    <w:rsid w:val="0002502E"/>
    <w:rsid w:val="000260D1"/>
    <w:rsid w:val="000327F4"/>
    <w:rsid w:val="0003539B"/>
    <w:rsid w:val="000359EA"/>
    <w:rsid w:val="00037229"/>
    <w:rsid w:val="00037D9A"/>
    <w:rsid w:val="00037F0C"/>
    <w:rsid w:val="00040003"/>
    <w:rsid w:val="00041EA3"/>
    <w:rsid w:val="00044366"/>
    <w:rsid w:val="00044A90"/>
    <w:rsid w:val="00044BBF"/>
    <w:rsid w:val="00045D23"/>
    <w:rsid w:val="00046CD9"/>
    <w:rsid w:val="00047EBB"/>
    <w:rsid w:val="00052B27"/>
    <w:rsid w:val="000555CB"/>
    <w:rsid w:val="00055C49"/>
    <w:rsid w:val="00056CB3"/>
    <w:rsid w:val="00057AEC"/>
    <w:rsid w:val="00062508"/>
    <w:rsid w:val="00064509"/>
    <w:rsid w:val="00065953"/>
    <w:rsid w:val="000702E2"/>
    <w:rsid w:val="0007068A"/>
    <w:rsid w:val="000744D8"/>
    <w:rsid w:val="00074C4C"/>
    <w:rsid w:val="0007695B"/>
    <w:rsid w:val="00077231"/>
    <w:rsid w:val="000773D2"/>
    <w:rsid w:val="00083F9C"/>
    <w:rsid w:val="00084DC8"/>
    <w:rsid w:val="0008516D"/>
    <w:rsid w:val="00085FC4"/>
    <w:rsid w:val="000872F8"/>
    <w:rsid w:val="00087765"/>
    <w:rsid w:val="0008784B"/>
    <w:rsid w:val="00091023"/>
    <w:rsid w:val="0009322A"/>
    <w:rsid w:val="000944DE"/>
    <w:rsid w:val="00094940"/>
    <w:rsid w:val="0009728A"/>
    <w:rsid w:val="00097C58"/>
    <w:rsid w:val="000A1787"/>
    <w:rsid w:val="000A4A43"/>
    <w:rsid w:val="000A5298"/>
    <w:rsid w:val="000A5A34"/>
    <w:rsid w:val="000A5D2A"/>
    <w:rsid w:val="000A69EE"/>
    <w:rsid w:val="000A6B42"/>
    <w:rsid w:val="000A6DF2"/>
    <w:rsid w:val="000B08AC"/>
    <w:rsid w:val="000B0C20"/>
    <w:rsid w:val="000B20AA"/>
    <w:rsid w:val="000B369A"/>
    <w:rsid w:val="000B45C2"/>
    <w:rsid w:val="000C0273"/>
    <w:rsid w:val="000C4983"/>
    <w:rsid w:val="000C66D8"/>
    <w:rsid w:val="000C6B6C"/>
    <w:rsid w:val="000C71F0"/>
    <w:rsid w:val="000C7343"/>
    <w:rsid w:val="000C7403"/>
    <w:rsid w:val="000C7BB8"/>
    <w:rsid w:val="000D043A"/>
    <w:rsid w:val="000D4315"/>
    <w:rsid w:val="000D5ADA"/>
    <w:rsid w:val="000D5BB2"/>
    <w:rsid w:val="000E0714"/>
    <w:rsid w:val="000E15B1"/>
    <w:rsid w:val="000E298B"/>
    <w:rsid w:val="000E4B5E"/>
    <w:rsid w:val="000E4BD4"/>
    <w:rsid w:val="000E596A"/>
    <w:rsid w:val="000E5A25"/>
    <w:rsid w:val="000E7C8A"/>
    <w:rsid w:val="000F1A87"/>
    <w:rsid w:val="000F2D1D"/>
    <w:rsid w:val="000F3F39"/>
    <w:rsid w:val="000F628C"/>
    <w:rsid w:val="00100914"/>
    <w:rsid w:val="00106065"/>
    <w:rsid w:val="00110454"/>
    <w:rsid w:val="001125BE"/>
    <w:rsid w:val="0011564F"/>
    <w:rsid w:val="001205BB"/>
    <w:rsid w:val="00126CF5"/>
    <w:rsid w:val="00126FC5"/>
    <w:rsid w:val="001271B2"/>
    <w:rsid w:val="00127C27"/>
    <w:rsid w:val="0013314E"/>
    <w:rsid w:val="0013782B"/>
    <w:rsid w:val="00140D33"/>
    <w:rsid w:val="0014173E"/>
    <w:rsid w:val="00145793"/>
    <w:rsid w:val="00147CF2"/>
    <w:rsid w:val="00150BE8"/>
    <w:rsid w:val="001528C9"/>
    <w:rsid w:val="00152F9E"/>
    <w:rsid w:val="00156AB1"/>
    <w:rsid w:val="00156F15"/>
    <w:rsid w:val="00161F98"/>
    <w:rsid w:val="00162214"/>
    <w:rsid w:val="00162A44"/>
    <w:rsid w:val="0016514D"/>
    <w:rsid w:val="001652D4"/>
    <w:rsid w:val="0017640C"/>
    <w:rsid w:val="00182DE1"/>
    <w:rsid w:val="00183C27"/>
    <w:rsid w:val="0018610E"/>
    <w:rsid w:val="00186A30"/>
    <w:rsid w:val="00187614"/>
    <w:rsid w:val="0019169A"/>
    <w:rsid w:val="00192D48"/>
    <w:rsid w:val="00194505"/>
    <w:rsid w:val="001945AE"/>
    <w:rsid w:val="0019507A"/>
    <w:rsid w:val="001976E5"/>
    <w:rsid w:val="001A00BC"/>
    <w:rsid w:val="001A4B96"/>
    <w:rsid w:val="001B04D3"/>
    <w:rsid w:val="001B13B8"/>
    <w:rsid w:val="001C0331"/>
    <w:rsid w:val="001C0965"/>
    <w:rsid w:val="001C2765"/>
    <w:rsid w:val="001C4045"/>
    <w:rsid w:val="001C5505"/>
    <w:rsid w:val="001D1F1C"/>
    <w:rsid w:val="001D7FAD"/>
    <w:rsid w:val="001E0889"/>
    <w:rsid w:val="001E16B3"/>
    <w:rsid w:val="001E1BA0"/>
    <w:rsid w:val="001E1BA5"/>
    <w:rsid w:val="001E24B2"/>
    <w:rsid w:val="001E2D38"/>
    <w:rsid w:val="001E770E"/>
    <w:rsid w:val="001E7F28"/>
    <w:rsid w:val="001F0475"/>
    <w:rsid w:val="001F0CB8"/>
    <w:rsid w:val="001F21DC"/>
    <w:rsid w:val="001F3564"/>
    <w:rsid w:val="001F76BA"/>
    <w:rsid w:val="00200B10"/>
    <w:rsid w:val="00200BDD"/>
    <w:rsid w:val="00205E70"/>
    <w:rsid w:val="00206DA9"/>
    <w:rsid w:val="00211038"/>
    <w:rsid w:val="002118F8"/>
    <w:rsid w:val="00211FF5"/>
    <w:rsid w:val="00213C77"/>
    <w:rsid w:val="00213F64"/>
    <w:rsid w:val="00215BA1"/>
    <w:rsid w:val="0021660C"/>
    <w:rsid w:val="00217BD0"/>
    <w:rsid w:val="00217D24"/>
    <w:rsid w:val="002210E2"/>
    <w:rsid w:val="002224D3"/>
    <w:rsid w:val="00222733"/>
    <w:rsid w:val="00223CA0"/>
    <w:rsid w:val="002326D4"/>
    <w:rsid w:val="00232B0D"/>
    <w:rsid w:val="00234516"/>
    <w:rsid w:val="00234F61"/>
    <w:rsid w:val="00235440"/>
    <w:rsid w:val="00235A3D"/>
    <w:rsid w:val="0023638D"/>
    <w:rsid w:val="00241513"/>
    <w:rsid w:val="0024354C"/>
    <w:rsid w:val="0024370B"/>
    <w:rsid w:val="002442CB"/>
    <w:rsid w:val="002524C8"/>
    <w:rsid w:val="00254B35"/>
    <w:rsid w:val="0025504C"/>
    <w:rsid w:val="002600E3"/>
    <w:rsid w:val="002629AA"/>
    <w:rsid w:val="00262F7C"/>
    <w:rsid w:val="002630D1"/>
    <w:rsid w:val="00266D54"/>
    <w:rsid w:val="0027068A"/>
    <w:rsid w:val="00271AAE"/>
    <w:rsid w:val="002726A4"/>
    <w:rsid w:val="00280219"/>
    <w:rsid w:val="00280C2E"/>
    <w:rsid w:val="00281ECA"/>
    <w:rsid w:val="00282A0F"/>
    <w:rsid w:val="002856F4"/>
    <w:rsid w:val="0028579C"/>
    <w:rsid w:val="002868AC"/>
    <w:rsid w:val="00294D35"/>
    <w:rsid w:val="002952D0"/>
    <w:rsid w:val="0029650E"/>
    <w:rsid w:val="002A2613"/>
    <w:rsid w:val="002A3563"/>
    <w:rsid w:val="002A3A13"/>
    <w:rsid w:val="002A6F8E"/>
    <w:rsid w:val="002B036C"/>
    <w:rsid w:val="002B1AEB"/>
    <w:rsid w:val="002B562A"/>
    <w:rsid w:val="002B6FE5"/>
    <w:rsid w:val="002C1D94"/>
    <w:rsid w:val="002C36F6"/>
    <w:rsid w:val="002C4CC7"/>
    <w:rsid w:val="002C66AC"/>
    <w:rsid w:val="002C6ECF"/>
    <w:rsid w:val="002C707A"/>
    <w:rsid w:val="002D325A"/>
    <w:rsid w:val="002D6792"/>
    <w:rsid w:val="002D77EC"/>
    <w:rsid w:val="002D7F3A"/>
    <w:rsid w:val="002E1B18"/>
    <w:rsid w:val="002E351C"/>
    <w:rsid w:val="002E460D"/>
    <w:rsid w:val="002E73A0"/>
    <w:rsid w:val="002E76E3"/>
    <w:rsid w:val="002E7A25"/>
    <w:rsid w:val="002E7D34"/>
    <w:rsid w:val="002F31BB"/>
    <w:rsid w:val="002F592A"/>
    <w:rsid w:val="003003F3"/>
    <w:rsid w:val="0030393E"/>
    <w:rsid w:val="00311A68"/>
    <w:rsid w:val="0031254D"/>
    <w:rsid w:val="003170B1"/>
    <w:rsid w:val="00320AD8"/>
    <w:rsid w:val="00321411"/>
    <w:rsid w:val="00321BC7"/>
    <w:rsid w:val="00324541"/>
    <w:rsid w:val="0032708C"/>
    <w:rsid w:val="003276D3"/>
    <w:rsid w:val="003302E2"/>
    <w:rsid w:val="003326D0"/>
    <w:rsid w:val="00332F27"/>
    <w:rsid w:val="0033446D"/>
    <w:rsid w:val="0033621D"/>
    <w:rsid w:val="003400F1"/>
    <w:rsid w:val="0034296D"/>
    <w:rsid w:val="00344B28"/>
    <w:rsid w:val="00345DE3"/>
    <w:rsid w:val="0034665F"/>
    <w:rsid w:val="00346FFD"/>
    <w:rsid w:val="003473F1"/>
    <w:rsid w:val="00352A36"/>
    <w:rsid w:val="0035638E"/>
    <w:rsid w:val="003609FD"/>
    <w:rsid w:val="00363CE6"/>
    <w:rsid w:val="003702D8"/>
    <w:rsid w:val="0037376E"/>
    <w:rsid w:val="0038161D"/>
    <w:rsid w:val="0038213E"/>
    <w:rsid w:val="00383DCC"/>
    <w:rsid w:val="003903AC"/>
    <w:rsid w:val="00390AD7"/>
    <w:rsid w:val="00391919"/>
    <w:rsid w:val="00392FE8"/>
    <w:rsid w:val="00396D6E"/>
    <w:rsid w:val="003A0D12"/>
    <w:rsid w:val="003A1E6C"/>
    <w:rsid w:val="003A3884"/>
    <w:rsid w:val="003A4EC5"/>
    <w:rsid w:val="003A710F"/>
    <w:rsid w:val="003B1CD6"/>
    <w:rsid w:val="003B2569"/>
    <w:rsid w:val="003B349B"/>
    <w:rsid w:val="003B4254"/>
    <w:rsid w:val="003B487E"/>
    <w:rsid w:val="003B69E6"/>
    <w:rsid w:val="003B6F06"/>
    <w:rsid w:val="003B7E33"/>
    <w:rsid w:val="003C07B1"/>
    <w:rsid w:val="003C0ED2"/>
    <w:rsid w:val="003C248A"/>
    <w:rsid w:val="003C297B"/>
    <w:rsid w:val="003D04BA"/>
    <w:rsid w:val="003D1B49"/>
    <w:rsid w:val="003D58B9"/>
    <w:rsid w:val="003D7C44"/>
    <w:rsid w:val="003E0530"/>
    <w:rsid w:val="003E3110"/>
    <w:rsid w:val="003E720C"/>
    <w:rsid w:val="003F08C1"/>
    <w:rsid w:val="003F24F5"/>
    <w:rsid w:val="003F2B0B"/>
    <w:rsid w:val="003F4D68"/>
    <w:rsid w:val="003F4EA3"/>
    <w:rsid w:val="003F7181"/>
    <w:rsid w:val="0040059E"/>
    <w:rsid w:val="00403AAD"/>
    <w:rsid w:val="00404127"/>
    <w:rsid w:val="00404EFD"/>
    <w:rsid w:val="0040560C"/>
    <w:rsid w:val="00405E88"/>
    <w:rsid w:val="0040606C"/>
    <w:rsid w:val="00407C8A"/>
    <w:rsid w:val="0041418E"/>
    <w:rsid w:val="00414B9E"/>
    <w:rsid w:val="00415D65"/>
    <w:rsid w:val="0041696C"/>
    <w:rsid w:val="004215DC"/>
    <w:rsid w:val="00425506"/>
    <w:rsid w:val="00425C52"/>
    <w:rsid w:val="004260A9"/>
    <w:rsid w:val="0042730B"/>
    <w:rsid w:val="004314D4"/>
    <w:rsid w:val="004314EE"/>
    <w:rsid w:val="004341C1"/>
    <w:rsid w:val="004416A3"/>
    <w:rsid w:val="00442C65"/>
    <w:rsid w:val="004457D8"/>
    <w:rsid w:val="00450730"/>
    <w:rsid w:val="0045156E"/>
    <w:rsid w:val="004516F0"/>
    <w:rsid w:val="00456A0D"/>
    <w:rsid w:val="00456AAC"/>
    <w:rsid w:val="00457A02"/>
    <w:rsid w:val="0046234B"/>
    <w:rsid w:val="00463930"/>
    <w:rsid w:val="00463D88"/>
    <w:rsid w:val="004640DC"/>
    <w:rsid w:val="0046474D"/>
    <w:rsid w:val="0046529B"/>
    <w:rsid w:val="00467D14"/>
    <w:rsid w:val="00467FA4"/>
    <w:rsid w:val="00471188"/>
    <w:rsid w:val="00471893"/>
    <w:rsid w:val="0047354F"/>
    <w:rsid w:val="0048057E"/>
    <w:rsid w:val="00494B5E"/>
    <w:rsid w:val="00495322"/>
    <w:rsid w:val="0049660F"/>
    <w:rsid w:val="004A058B"/>
    <w:rsid w:val="004A2146"/>
    <w:rsid w:val="004A29DD"/>
    <w:rsid w:val="004A2DA6"/>
    <w:rsid w:val="004A6395"/>
    <w:rsid w:val="004B386F"/>
    <w:rsid w:val="004B64A9"/>
    <w:rsid w:val="004C1B9F"/>
    <w:rsid w:val="004C21E7"/>
    <w:rsid w:val="004C2EFE"/>
    <w:rsid w:val="004C383B"/>
    <w:rsid w:val="004C3A18"/>
    <w:rsid w:val="004C48AB"/>
    <w:rsid w:val="004C6B08"/>
    <w:rsid w:val="004C7855"/>
    <w:rsid w:val="004D0FD8"/>
    <w:rsid w:val="004D374D"/>
    <w:rsid w:val="004D3AE8"/>
    <w:rsid w:val="004D5528"/>
    <w:rsid w:val="004E0D68"/>
    <w:rsid w:val="004E398C"/>
    <w:rsid w:val="004E3F31"/>
    <w:rsid w:val="004E516E"/>
    <w:rsid w:val="004F1C01"/>
    <w:rsid w:val="004F2FB8"/>
    <w:rsid w:val="004F44D4"/>
    <w:rsid w:val="004F5383"/>
    <w:rsid w:val="00501704"/>
    <w:rsid w:val="00501BC8"/>
    <w:rsid w:val="00505009"/>
    <w:rsid w:val="0050514C"/>
    <w:rsid w:val="00505715"/>
    <w:rsid w:val="0051185D"/>
    <w:rsid w:val="00512F62"/>
    <w:rsid w:val="005136D3"/>
    <w:rsid w:val="00521BE2"/>
    <w:rsid w:val="00522014"/>
    <w:rsid w:val="00522C58"/>
    <w:rsid w:val="00523D9D"/>
    <w:rsid w:val="00524B1F"/>
    <w:rsid w:val="00525412"/>
    <w:rsid w:val="00525FD5"/>
    <w:rsid w:val="00532DEA"/>
    <w:rsid w:val="00533CEF"/>
    <w:rsid w:val="005359E7"/>
    <w:rsid w:val="0053763A"/>
    <w:rsid w:val="00537E88"/>
    <w:rsid w:val="005417EF"/>
    <w:rsid w:val="005432DE"/>
    <w:rsid w:val="005438EC"/>
    <w:rsid w:val="00552D50"/>
    <w:rsid w:val="00556B52"/>
    <w:rsid w:val="0055717E"/>
    <w:rsid w:val="005577E1"/>
    <w:rsid w:val="00564B48"/>
    <w:rsid w:val="005668E2"/>
    <w:rsid w:val="00574020"/>
    <w:rsid w:val="00582467"/>
    <w:rsid w:val="00584526"/>
    <w:rsid w:val="00584AFA"/>
    <w:rsid w:val="005871E8"/>
    <w:rsid w:val="00587D57"/>
    <w:rsid w:val="00590C90"/>
    <w:rsid w:val="00591BF9"/>
    <w:rsid w:val="005928DC"/>
    <w:rsid w:val="005941C1"/>
    <w:rsid w:val="0059439D"/>
    <w:rsid w:val="00595421"/>
    <w:rsid w:val="00595B74"/>
    <w:rsid w:val="00597626"/>
    <w:rsid w:val="005976F4"/>
    <w:rsid w:val="005A012B"/>
    <w:rsid w:val="005A31D6"/>
    <w:rsid w:val="005A3792"/>
    <w:rsid w:val="005A5008"/>
    <w:rsid w:val="005A7D8E"/>
    <w:rsid w:val="005B2619"/>
    <w:rsid w:val="005B5F92"/>
    <w:rsid w:val="005C31A9"/>
    <w:rsid w:val="005C53FC"/>
    <w:rsid w:val="005C542F"/>
    <w:rsid w:val="005C739E"/>
    <w:rsid w:val="005C7BC0"/>
    <w:rsid w:val="005D1BD8"/>
    <w:rsid w:val="005D1DD4"/>
    <w:rsid w:val="005D2333"/>
    <w:rsid w:val="005D41AA"/>
    <w:rsid w:val="005D682E"/>
    <w:rsid w:val="005E2696"/>
    <w:rsid w:val="005E2DE8"/>
    <w:rsid w:val="005E3371"/>
    <w:rsid w:val="005E45E2"/>
    <w:rsid w:val="005F0430"/>
    <w:rsid w:val="005F2B3C"/>
    <w:rsid w:val="006002E7"/>
    <w:rsid w:val="006007D2"/>
    <w:rsid w:val="00600A33"/>
    <w:rsid w:val="006040C7"/>
    <w:rsid w:val="0060415D"/>
    <w:rsid w:val="00605425"/>
    <w:rsid w:val="006163B6"/>
    <w:rsid w:val="006163C5"/>
    <w:rsid w:val="006168D8"/>
    <w:rsid w:val="00617508"/>
    <w:rsid w:val="00625971"/>
    <w:rsid w:val="006263A6"/>
    <w:rsid w:val="006277DA"/>
    <w:rsid w:val="006414F2"/>
    <w:rsid w:val="00641608"/>
    <w:rsid w:val="006434A5"/>
    <w:rsid w:val="00644DB5"/>
    <w:rsid w:val="006473D3"/>
    <w:rsid w:val="00647A24"/>
    <w:rsid w:val="00647F3B"/>
    <w:rsid w:val="00647FBF"/>
    <w:rsid w:val="006508EF"/>
    <w:rsid w:val="00660CD5"/>
    <w:rsid w:val="00660E49"/>
    <w:rsid w:val="00663331"/>
    <w:rsid w:val="006634F3"/>
    <w:rsid w:val="0066494A"/>
    <w:rsid w:val="00671AC3"/>
    <w:rsid w:val="00671BDF"/>
    <w:rsid w:val="00675D61"/>
    <w:rsid w:val="00676555"/>
    <w:rsid w:val="006775CB"/>
    <w:rsid w:val="006835C6"/>
    <w:rsid w:val="00684AA8"/>
    <w:rsid w:val="0068505C"/>
    <w:rsid w:val="00687B7A"/>
    <w:rsid w:val="0069309A"/>
    <w:rsid w:val="00695A07"/>
    <w:rsid w:val="006A1383"/>
    <w:rsid w:val="006A2ACF"/>
    <w:rsid w:val="006A5CB9"/>
    <w:rsid w:val="006A7DD0"/>
    <w:rsid w:val="006B0738"/>
    <w:rsid w:val="006B1312"/>
    <w:rsid w:val="006B182A"/>
    <w:rsid w:val="006B1F65"/>
    <w:rsid w:val="006B2066"/>
    <w:rsid w:val="006B2491"/>
    <w:rsid w:val="006B483F"/>
    <w:rsid w:val="006B4D0C"/>
    <w:rsid w:val="006C0EDC"/>
    <w:rsid w:val="006C2168"/>
    <w:rsid w:val="006C2662"/>
    <w:rsid w:val="006C3A61"/>
    <w:rsid w:val="006C4336"/>
    <w:rsid w:val="006D103D"/>
    <w:rsid w:val="006E7670"/>
    <w:rsid w:val="006F1453"/>
    <w:rsid w:val="00701EB5"/>
    <w:rsid w:val="00707F54"/>
    <w:rsid w:val="00713791"/>
    <w:rsid w:val="00716B82"/>
    <w:rsid w:val="00717840"/>
    <w:rsid w:val="007179D8"/>
    <w:rsid w:val="00720675"/>
    <w:rsid w:val="00720B73"/>
    <w:rsid w:val="00721CA5"/>
    <w:rsid w:val="0072229C"/>
    <w:rsid w:val="00722ECF"/>
    <w:rsid w:val="007301E9"/>
    <w:rsid w:val="00734829"/>
    <w:rsid w:val="00734E15"/>
    <w:rsid w:val="007357A0"/>
    <w:rsid w:val="00740EA2"/>
    <w:rsid w:val="00741538"/>
    <w:rsid w:val="00742597"/>
    <w:rsid w:val="0074271C"/>
    <w:rsid w:val="00743D23"/>
    <w:rsid w:val="00744992"/>
    <w:rsid w:val="00746B19"/>
    <w:rsid w:val="00746D3F"/>
    <w:rsid w:val="00750FB8"/>
    <w:rsid w:val="00752C55"/>
    <w:rsid w:val="00753177"/>
    <w:rsid w:val="0075377E"/>
    <w:rsid w:val="00760090"/>
    <w:rsid w:val="00762913"/>
    <w:rsid w:val="00763142"/>
    <w:rsid w:val="00765320"/>
    <w:rsid w:val="007664FB"/>
    <w:rsid w:val="00766CDB"/>
    <w:rsid w:val="00767214"/>
    <w:rsid w:val="00772E81"/>
    <w:rsid w:val="00776AA3"/>
    <w:rsid w:val="00777144"/>
    <w:rsid w:val="0077760F"/>
    <w:rsid w:val="00777EFA"/>
    <w:rsid w:val="0078028D"/>
    <w:rsid w:val="007810B3"/>
    <w:rsid w:val="007817AD"/>
    <w:rsid w:val="0078367F"/>
    <w:rsid w:val="007841D1"/>
    <w:rsid w:val="007857F9"/>
    <w:rsid w:val="00786A61"/>
    <w:rsid w:val="007870F9"/>
    <w:rsid w:val="00787697"/>
    <w:rsid w:val="007907BE"/>
    <w:rsid w:val="007938EE"/>
    <w:rsid w:val="0079460D"/>
    <w:rsid w:val="00795E5A"/>
    <w:rsid w:val="00797116"/>
    <w:rsid w:val="007A03FB"/>
    <w:rsid w:val="007A2BA8"/>
    <w:rsid w:val="007A2D1B"/>
    <w:rsid w:val="007A6E83"/>
    <w:rsid w:val="007B3161"/>
    <w:rsid w:val="007B5964"/>
    <w:rsid w:val="007B6049"/>
    <w:rsid w:val="007C10D5"/>
    <w:rsid w:val="007C1E1C"/>
    <w:rsid w:val="007C21D2"/>
    <w:rsid w:val="007C2AC2"/>
    <w:rsid w:val="007C2D3F"/>
    <w:rsid w:val="007C3C1E"/>
    <w:rsid w:val="007C45A2"/>
    <w:rsid w:val="007C4ACF"/>
    <w:rsid w:val="007C547E"/>
    <w:rsid w:val="007D0C67"/>
    <w:rsid w:val="007D3E51"/>
    <w:rsid w:val="007D6858"/>
    <w:rsid w:val="007D7351"/>
    <w:rsid w:val="00803040"/>
    <w:rsid w:val="00807C30"/>
    <w:rsid w:val="0081009A"/>
    <w:rsid w:val="008104D0"/>
    <w:rsid w:val="00811965"/>
    <w:rsid w:val="00811CB8"/>
    <w:rsid w:val="00814F7B"/>
    <w:rsid w:val="008156DE"/>
    <w:rsid w:val="00817049"/>
    <w:rsid w:val="008174BB"/>
    <w:rsid w:val="00820CE5"/>
    <w:rsid w:val="008213F6"/>
    <w:rsid w:val="00827564"/>
    <w:rsid w:val="00827889"/>
    <w:rsid w:val="0083383D"/>
    <w:rsid w:val="00833E7A"/>
    <w:rsid w:val="00834C5A"/>
    <w:rsid w:val="00836DF3"/>
    <w:rsid w:val="008450F8"/>
    <w:rsid w:val="00845BAE"/>
    <w:rsid w:val="008463B2"/>
    <w:rsid w:val="00846867"/>
    <w:rsid w:val="00847950"/>
    <w:rsid w:val="00852B7A"/>
    <w:rsid w:val="00855C4A"/>
    <w:rsid w:val="0085707F"/>
    <w:rsid w:val="00861F76"/>
    <w:rsid w:val="008654E8"/>
    <w:rsid w:val="008673F5"/>
    <w:rsid w:val="00870878"/>
    <w:rsid w:val="00872584"/>
    <w:rsid w:val="00873046"/>
    <w:rsid w:val="008779E4"/>
    <w:rsid w:val="008816E5"/>
    <w:rsid w:val="00884248"/>
    <w:rsid w:val="00884896"/>
    <w:rsid w:val="00884EDA"/>
    <w:rsid w:val="0088502B"/>
    <w:rsid w:val="008910CB"/>
    <w:rsid w:val="0089111D"/>
    <w:rsid w:val="008925E2"/>
    <w:rsid w:val="00893411"/>
    <w:rsid w:val="00894F3F"/>
    <w:rsid w:val="008A0374"/>
    <w:rsid w:val="008A0F12"/>
    <w:rsid w:val="008A21E3"/>
    <w:rsid w:val="008A3011"/>
    <w:rsid w:val="008A31B0"/>
    <w:rsid w:val="008A34E4"/>
    <w:rsid w:val="008A468B"/>
    <w:rsid w:val="008A5817"/>
    <w:rsid w:val="008A5D84"/>
    <w:rsid w:val="008B5B7F"/>
    <w:rsid w:val="008C2A09"/>
    <w:rsid w:val="008C6407"/>
    <w:rsid w:val="008C7D2C"/>
    <w:rsid w:val="008D158A"/>
    <w:rsid w:val="008D3040"/>
    <w:rsid w:val="008D431B"/>
    <w:rsid w:val="008D7348"/>
    <w:rsid w:val="008D7FD5"/>
    <w:rsid w:val="008E072C"/>
    <w:rsid w:val="008E10C1"/>
    <w:rsid w:val="008E4052"/>
    <w:rsid w:val="008E787E"/>
    <w:rsid w:val="008E7E70"/>
    <w:rsid w:val="008F2788"/>
    <w:rsid w:val="008F2EE3"/>
    <w:rsid w:val="008F526A"/>
    <w:rsid w:val="008F6236"/>
    <w:rsid w:val="008F71C2"/>
    <w:rsid w:val="008F7507"/>
    <w:rsid w:val="00902F23"/>
    <w:rsid w:val="009037FD"/>
    <w:rsid w:val="0090595A"/>
    <w:rsid w:val="00906205"/>
    <w:rsid w:val="00906341"/>
    <w:rsid w:val="00906716"/>
    <w:rsid w:val="00906F09"/>
    <w:rsid w:val="00907889"/>
    <w:rsid w:val="00911149"/>
    <w:rsid w:val="00911E24"/>
    <w:rsid w:val="00913118"/>
    <w:rsid w:val="00913E29"/>
    <w:rsid w:val="00916CD4"/>
    <w:rsid w:val="00920D2F"/>
    <w:rsid w:val="0092110C"/>
    <w:rsid w:val="00921D0C"/>
    <w:rsid w:val="009244C3"/>
    <w:rsid w:val="00926D30"/>
    <w:rsid w:val="009275A4"/>
    <w:rsid w:val="00927D8C"/>
    <w:rsid w:val="00927FEE"/>
    <w:rsid w:val="0093168C"/>
    <w:rsid w:val="009323E2"/>
    <w:rsid w:val="009324D5"/>
    <w:rsid w:val="00934AA4"/>
    <w:rsid w:val="00936350"/>
    <w:rsid w:val="0094085A"/>
    <w:rsid w:val="0094420B"/>
    <w:rsid w:val="00946CE0"/>
    <w:rsid w:val="00954471"/>
    <w:rsid w:val="00960DF2"/>
    <w:rsid w:val="00961707"/>
    <w:rsid w:val="00961E14"/>
    <w:rsid w:val="0096222F"/>
    <w:rsid w:val="00964EF6"/>
    <w:rsid w:val="00970729"/>
    <w:rsid w:val="00970F44"/>
    <w:rsid w:val="0097278E"/>
    <w:rsid w:val="00973011"/>
    <w:rsid w:val="00973034"/>
    <w:rsid w:val="0097305C"/>
    <w:rsid w:val="00973C72"/>
    <w:rsid w:val="00974814"/>
    <w:rsid w:val="00974E85"/>
    <w:rsid w:val="00977C1D"/>
    <w:rsid w:val="00982D8A"/>
    <w:rsid w:val="00992045"/>
    <w:rsid w:val="00992AEC"/>
    <w:rsid w:val="00995876"/>
    <w:rsid w:val="009A0F23"/>
    <w:rsid w:val="009A4504"/>
    <w:rsid w:val="009A5180"/>
    <w:rsid w:val="009A56C9"/>
    <w:rsid w:val="009A5980"/>
    <w:rsid w:val="009B14C7"/>
    <w:rsid w:val="009B158C"/>
    <w:rsid w:val="009B3436"/>
    <w:rsid w:val="009B7C6F"/>
    <w:rsid w:val="009C0473"/>
    <w:rsid w:val="009C1AE4"/>
    <w:rsid w:val="009C360E"/>
    <w:rsid w:val="009C3784"/>
    <w:rsid w:val="009C4DB3"/>
    <w:rsid w:val="009C7537"/>
    <w:rsid w:val="009C7624"/>
    <w:rsid w:val="009D4535"/>
    <w:rsid w:val="009D4754"/>
    <w:rsid w:val="009D475B"/>
    <w:rsid w:val="009E1027"/>
    <w:rsid w:val="009E11CC"/>
    <w:rsid w:val="009E16B1"/>
    <w:rsid w:val="009E2FDC"/>
    <w:rsid w:val="009E3B73"/>
    <w:rsid w:val="009E47BE"/>
    <w:rsid w:val="009E79B6"/>
    <w:rsid w:val="009F2A04"/>
    <w:rsid w:val="009F3B65"/>
    <w:rsid w:val="009F4DD3"/>
    <w:rsid w:val="009F69B9"/>
    <w:rsid w:val="009F6BE4"/>
    <w:rsid w:val="00A00316"/>
    <w:rsid w:val="00A00A7E"/>
    <w:rsid w:val="00A016A9"/>
    <w:rsid w:val="00A01BC7"/>
    <w:rsid w:val="00A01C4A"/>
    <w:rsid w:val="00A02CA0"/>
    <w:rsid w:val="00A06199"/>
    <w:rsid w:val="00A0719C"/>
    <w:rsid w:val="00A11233"/>
    <w:rsid w:val="00A124B5"/>
    <w:rsid w:val="00A13F12"/>
    <w:rsid w:val="00A1404E"/>
    <w:rsid w:val="00A14842"/>
    <w:rsid w:val="00A20809"/>
    <w:rsid w:val="00A21BFD"/>
    <w:rsid w:val="00A2365E"/>
    <w:rsid w:val="00A23A30"/>
    <w:rsid w:val="00A31416"/>
    <w:rsid w:val="00A33A53"/>
    <w:rsid w:val="00A35EBF"/>
    <w:rsid w:val="00A36041"/>
    <w:rsid w:val="00A3690E"/>
    <w:rsid w:val="00A42349"/>
    <w:rsid w:val="00A42353"/>
    <w:rsid w:val="00A43C40"/>
    <w:rsid w:val="00A448F2"/>
    <w:rsid w:val="00A45AD6"/>
    <w:rsid w:val="00A46761"/>
    <w:rsid w:val="00A477C7"/>
    <w:rsid w:val="00A47DA1"/>
    <w:rsid w:val="00A53509"/>
    <w:rsid w:val="00A553EA"/>
    <w:rsid w:val="00A60821"/>
    <w:rsid w:val="00A647BA"/>
    <w:rsid w:val="00A65AB8"/>
    <w:rsid w:val="00A7023D"/>
    <w:rsid w:val="00A708FB"/>
    <w:rsid w:val="00A7267C"/>
    <w:rsid w:val="00A72733"/>
    <w:rsid w:val="00A7281C"/>
    <w:rsid w:val="00A72EF3"/>
    <w:rsid w:val="00A74030"/>
    <w:rsid w:val="00A76BF7"/>
    <w:rsid w:val="00A77DCD"/>
    <w:rsid w:val="00A811B1"/>
    <w:rsid w:val="00A81DFE"/>
    <w:rsid w:val="00A8202E"/>
    <w:rsid w:val="00A842C1"/>
    <w:rsid w:val="00A8673E"/>
    <w:rsid w:val="00A86E4A"/>
    <w:rsid w:val="00A87257"/>
    <w:rsid w:val="00A87D2C"/>
    <w:rsid w:val="00A92736"/>
    <w:rsid w:val="00A93022"/>
    <w:rsid w:val="00A94F28"/>
    <w:rsid w:val="00A95AEF"/>
    <w:rsid w:val="00AA289B"/>
    <w:rsid w:val="00AA3843"/>
    <w:rsid w:val="00AA41E9"/>
    <w:rsid w:val="00AA57C9"/>
    <w:rsid w:val="00AB162E"/>
    <w:rsid w:val="00AB1C26"/>
    <w:rsid w:val="00AB2951"/>
    <w:rsid w:val="00AB6874"/>
    <w:rsid w:val="00AC04E1"/>
    <w:rsid w:val="00AC1D47"/>
    <w:rsid w:val="00AC2FB0"/>
    <w:rsid w:val="00AC45D2"/>
    <w:rsid w:val="00AC7EE4"/>
    <w:rsid w:val="00AD0B8B"/>
    <w:rsid w:val="00AD0D31"/>
    <w:rsid w:val="00AD132B"/>
    <w:rsid w:val="00AD2E5B"/>
    <w:rsid w:val="00AD614E"/>
    <w:rsid w:val="00AD6CA7"/>
    <w:rsid w:val="00AE2DC1"/>
    <w:rsid w:val="00AE3F0B"/>
    <w:rsid w:val="00AE4ED3"/>
    <w:rsid w:val="00AE79D5"/>
    <w:rsid w:val="00AF0A74"/>
    <w:rsid w:val="00AF0EBB"/>
    <w:rsid w:val="00B03CC9"/>
    <w:rsid w:val="00B05B9E"/>
    <w:rsid w:val="00B1235F"/>
    <w:rsid w:val="00B12D20"/>
    <w:rsid w:val="00B1324D"/>
    <w:rsid w:val="00B167E1"/>
    <w:rsid w:val="00B16B01"/>
    <w:rsid w:val="00B22688"/>
    <w:rsid w:val="00B226B1"/>
    <w:rsid w:val="00B33F0D"/>
    <w:rsid w:val="00B41467"/>
    <w:rsid w:val="00B4201F"/>
    <w:rsid w:val="00B42BDE"/>
    <w:rsid w:val="00B42C0F"/>
    <w:rsid w:val="00B4351E"/>
    <w:rsid w:val="00B43E1A"/>
    <w:rsid w:val="00B45777"/>
    <w:rsid w:val="00B4721C"/>
    <w:rsid w:val="00B50C8B"/>
    <w:rsid w:val="00B53C62"/>
    <w:rsid w:val="00B55D66"/>
    <w:rsid w:val="00B57D67"/>
    <w:rsid w:val="00B6257A"/>
    <w:rsid w:val="00B66A81"/>
    <w:rsid w:val="00B67328"/>
    <w:rsid w:val="00B67E28"/>
    <w:rsid w:val="00B72365"/>
    <w:rsid w:val="00B72BEB"/>
    <w:rsid w:val="00B75653"/>
    <w:rsid w:val="00B77B06"/>
    <w:rsid w:val="00B77BE0"/>
    <w:rsid w:val="00B85FFD"/>
    <w:rsid w:val="00B8654F"/>
    <w:rsid w:val="00B873E8"/>
    <w:rsid w:val="00B87A57"/>
    <w:rsid w:val="00B90AD6"/>
    <w:rsid w:val="00B962F7"/>
    <w:rsid w:val="00BA0E5D"/>
    <w:rsid w:val="00BA1478"/>
    <w:rsid w:val="00BA1A99"/>
    <w:rsid w:val="00BA1D90"/>
    <w:rsid w:val="00BA1E4C"/>
    <w:rsid w:val="00BA2A58"/>
    <w:rsid w:val="00BA4CBF"/>
    <w:rsid w:val="00BB17C7"/>
    <w:rsid w:val="00BB3584"/>
    <w:rsid w:val="00BB714D"/>
    <w:rsid w:val="00BC049A"/>
    <w:rsid w:val="00BC22D9"/>
    <w:rsid w:val="00BC2FBE"/>
    <w:rsid w:val="00BC3526"/>
    <w:rsid w:val="00BC4D2D"/>
    <w:rsid w:val="00BC7536"/>
    <w:rsid w:val="00BC7F2F"/>
    <w:rsid w:val="00BD0FE7"/>
    <w:rsid w:val="00BD29CF"/>
    <w:rsid w:val="00BD417A"/>
    <w:rsid w:val="00BD4275"/>
    <w:rsid w:val="00BD671C"/>
    <w:rsid w:val="00BD6C8D"/>
    <w:rsid w:val="00BE0850"/>
    <w:rsid w:val="00BE3009"/>
    <w:rsid w:val="00BE73A5"/>
    <w:rsid w:val="00BF132C"/>
    <w:rsid w:val="00BF171C"/>
    <w:rsid w:val="00BF274A"/>
    <w:rsid w:val="00BF3D4A"/>
    <w:rsid w:val="00C00871"/>
    <w:rsid w:val="00C01E5F"/>
    <w:rsid w:val="00C02027"/>
    <w:rsid w:val="00C023D5"/>
    <w:rsid w:val="00C03FC0"/>
    <w:rsid w:val="00C04093"/>
    <w:rsid w:val="00C05240"/>
    <w:rsid w:val="00C07111"/>
    <w:rsid w:val="00C103CA"/>
    <w:rsid w:val="00C11D09"/>
    <w:rsid w:val="00C13532"/>
    <w:rsid w:val="00C14EBA"/>
    <w:rsid w:val="00C15635"/>
    <w:rsid w:val="00C21B42"/>
    <w:rsid w:val="00C22D04"/>
    <w:rsid w:val="00C23288"/>
    <w:rsid w:val="00C23A73"/>
    <w:rsid w:val="00C24341"/>
    <w:rsid w:val="00C2624E"/>
    <w:rsid w:val="00C27593"/>
    <w:rsid w:val="00C30206"/>
    <w:rsid w:val="00C302A8"/>
    <w:rsid w:val="00C31A77"/>
    <w:rsid w:val="00C33031"/>
    <w:rsid w:val="00C345B6"/>
    <w:rsid w:val="00C36D79"/>
    <w:rsid w:val="00C3753A"/>
    <w:rsid w:val="00C37690"/>
    <w:rsid w:val="00C40223"/>
    <w:rsid w:val="00C505F5"/>
    <w:rsid w:val="00C52647"/>
    <w:rsid w:val="00C54DC8"/>
    <w:rsid w:val="00C54F2E"/>
    <w:rsid w:val="00C555BA"/>
    <w:rsid w:val="00C565FA"/>
    <w:rsid w:val="00C60213"/>
    <w:rsid w:val="00C616F1"/>
    <w:rsid w:val="00C61C07"/>
    <w:rsid w:val="00C6369D"/>
    <w:rsid w:val="00C63964"/>
    <w:rsid w:val="00C65A07"/>
    <w:rsid w:val="00C70C99"/>
    <w:rsid w:val="00C71CA1"/>
    <w:rsid w:val="00C72C7E"/>
    <w:rsid w:val="00C73EFF"/>
    <w:rsid w:val="00C80AE8"/>
    <w:rsid w:val="00C81C43"/>
    <w:rsid w:val="00C81FBF"/>
    <w:rsid w:val="00C84FA7"/>
    <w:rsid w:val="00C858AF"/>
    <w:rsid w:val="00C86D7F"/>
    <w:rsid w:val="00C9011B"/>
    <w:rsid w:val="00C96976"/>
    <w:rsid w:val="00C97D03"/>
    <w:rsid w:val="00CA26AB"/>
    <w:rsid w:val="00CA2A7F"/>
    <w:rsid w:val="00CA2BEA"/>
    <w:rsid w:val="00CA5C81"/>
    <w:rsid w:val="00CA7C8D"/>
    <w:rsid w:val="00CB0B8E"/>
    <w:rsid w:val="00CB15B5"/>
    <w:rsid w:val="00CB16BA"/>
    <w:rsid w:val="00CB31BE"/>
    <w:rsid w:val="00CB3904"/>
    <w:rsid w:val="00CB45DA"/>
    <w:rsid w:val="00CB475D"/>
    <w:rsid w:val="00CB4BC6"/>
    <w:rsid w:val="00CB5D1A"/>
    <w:rsid w:val="00CC1FE2"/>
    <w:rsid w:val="00CC2ACB"/>
    <w:rsid w:val="00CD178B"/>
    <w:rsid w:val="00CD3DAC"/>
    <w:rsid w:val="00CD5DE6"/>
    <w:rsid w:val="00CD74BB"/>
    <w:rsid w:val="00CE082E"/>
    <w:rsid w:val="00CE1A0D"/>
    <w:rsid w:val="00CE34A9"/>
    <w:rsid w:val="00CE4734"/>
    <w:rsid w:val="00CE59B9"/>
    <w:rsid w:val="00CE5E31"/>
    <w:rsid w:val="00CF0BF6"/>
    <w:rsid w:val="00CF17D2"/>
    <w:rsid w:val="00CF2876"/>
    <w:rsid w:val="00CF4FF1"/>
    <w:rsid w:val="00CF6470"/>
    <w:rsid w:val="00D00330"/>
    <w:rsid w:val="00D01540"/>
    <w:rsid w:val="00D0278D"/>
    <w:rsid w:val="00D02C2D"/>
    <w:rsid w:val="00D06643"/>
    <w:rsid w:val="00D10B61"/>
    <w:rsid w:val="00D1146C"/>
    <w:rsid w:val="00D1346D"/>
    <w:rsid w:val="00D143D7"/>
    <w:rsid w:val="00D152DD"/>
    <w:rsid w:val="00D20932"/>
    <w:rsid w:val="00D25DBD"/>
    <w:rsid w:val="00D26384"/>
    <w:rsid w:val="00D32506"/>
    <w:rsid w:val="00D33402"/>
    <w:rsid w:val="00D37549"/>
    <w:rsid w:val="00D4016F"/>
    <w:rsid w:val="00D4107C"/>
    <w:rsid w:val="00D428D4"/>
    <w:rsid w:val="00D43180"/>
    <w:rsid w:val="00D44CC8"/>
    <w:rsid w:val="00D466BF"/>
    <w:rsid w:val="00D46B8B"/>
    <w:rsid w:val="00D52B88"/>
    <w:rsid w:val="00D5467F"/>
    <w:rsid w:val="00D573F9"/>
    <w:rsid w:val="00D61A88"/>
    <w:rsid w:val="00D6200B"/>
    <w:rsid w:val="00D65211"/>
    <w:rsid w:val="00D66706"/>
    <w:rsid w:val="00D70FD8"/>
    <w:rsid w:val="00D71171"/>
    <w:rsid w:val="00D72F29"/>
    <w:rsid w:val="00D738F6"/>
    <w:rsid w:val="00D75963"/>
    <w:rsid w:val="00D77CFB"/>
    <w:rsid w:val="00D82827"/>
    <w:rsid w:val="00D851A2"/>
    <w:rsid w:val="00D922FB"/>
    <w:rsid w:val="00D93B16"/>
    <w:rsid w:val="00D95DA7"/>
    <w:rsid w:val="00D96ECB"/>
    <w:rsid w:val="00DA0B3B"/>
    <w:rsid w:val="00DA1483"/>
    <w:rsid w:val="00DA2BD4"/>
    <w:rsid w:val="00DA7852"/>
    <w:rsid w:val="00DA7DD4"/>
    <w:rsid w:val="00DB0086"/>
    <w:rsid w:val="00DB01A0"/>
    <w:rsid w:val="00DB07BD"/>
    <w:rsid w:val="00DB2F63"/>
    <w:rsid w:val="00DB3BE7"/>
    <w:rsid w:val="00DB5728"/>
    <w:rsid w:val="00DB5DF1"/>
    <w:rsid w:val="00DB5ED0"/>
    <w:rsid w:val="00DB629D"/>
    <w:rsid w:val="00DB702A"/>
    <w:rsid w:val="00DC0E69"/>
    <w:rsid w:val="00DC5853"/>
    <w:rsid w:val="00DD0334"/>
    <w:rsid w:val="00DD1A1C"/>
    <w:rsid w:val="00DD1D60"/>
    <w:rsid w:val="00DD4889"/>
    <w:rsid w:val="00DD5E3A"/>
    <w:rsid w:val="00DD6746"/>
    <w:rsid w:val="00DD6FFA"/>
    <w:rsid w:val="00DE00B0"/>
    <w:rsid w:val="00DE22A8"/>
    <w:rsid w:val="00DE25FC"/>
    <w:rsid w:val="00DE3817"/>
    <w:rsid w:val="00DE48AC"/>
    <w:rsid w:val="00DF1109"/>
    <w:rsid w:val="00DF1611"/>
    <w:rsid w:val="00DF3417"/>
    <w:rsid w:val="00DF7609"/>
    <w:rsid w:val="00E00E48"/>
    <w:rsid w:val="00E02025"/>
    <w:rsid w:val="00E03767"/>
    <w:rsid w:val="00E0390E"/>
    <w:rsid w:val="00E113A3"/>
    <w:rsid w:val="00E1232C"/>
    <w:rsid w:val="00E16A80"/>
    <w:rsid w:val="00E22829"/>
    <w:rsid w:val="00E26250"/>
    <w:rsid w:val="00E3043B"/>
    <w:rsid w:val="00E367A3"/>
    <w:rsid w:val="00E37B89"/>
    <w:rsid w:val="00E439E3"/>
    <w:rsid w:val="00E43E9B"/>
    <w:rsid w:val="00E46453"/>
    <w:rsid w:val="00E4741E"/>
    <w:rsid w:val="00E50144"/>
    <w:rsid w:val="00E516A8"/>
    <w:rsid w:val="00E551ED"/>
    <w:rsid w:val="00E55B0B"/>
    <w:rsid w:val="00E56124"/>
    <w:rsid w:val="00E56409"/>
    <w:rsid w:val="00E65ABD"/>
    <w:rsid w:val="00E663A3"/>
    <w:rsid w:val="00E701F1"/>
    <w:rsid w:val="00E705B2"/>
    <w:rsid w:val="00E705C9"/>
    <w:rsid w:val="00E728D1"/>
    <w:rsid w:val="00E72C64"/>
    <w:rsid w:val="00E73E27"/>
    <w:rsid w:val="00E74AA9"/>
    <w:rsid w:val="00E77D78"/>
    <w:rsid w:val="00E80DC9"/>
    <w:rsid w:val="00E8267A"/>
    <w:rsid w:val="00E82ADF"/>
    <w:rsid w:val="00E85508"/>
    <w:rsid w:val="00E86B17"/>
    <w:rsid w:val="00E86BB4"/>
    <w:rsid w:val="00E86DD3"/>
    <w:rsid w:val="00E86F9B"/>
    <w:rsid w:val="00E9004E"/>
    <w:rsid w:val="00E920E6"/>
    <w:rsid w:val="00E92D82"/>
    <w:rsid w:val="00E93884"/>
    <w:rsid w:val="00E97E3D"/>
    <w:rsid w:val="00EA15FD"/>
    <w:rsid w:val="00EA52FE"/>
    <w:rsid w:val="00EA5466"/>
    <w:rsid w:val="00EA5C7D"/>
    <w:rsid w:val="00EB067B"/>
    <w:rsid w:val="00EB14AC"/>
    <w:rsid w:val="00EB1A01"/>
    <w:rsid w:val="00EB2EE0"/>
    <w:rsid w:val="00EB4007"/>
    <w:rsid w:val="00EB441B"/>
    <w:rsid w:val="00EB454F"/>
    <w:rsid w:val="00EB48B9"/>
    <w:rsid w:val="00EB7D89"/>
    <w:rsid w:val="00EC1E24"/>
    <w:rsid w:val="00EC342D"/>
    <w:rsid w:val="00ED2AC9"/>
    <w:rsid w:val="00ED2AF3"/>
    <w:rsid w:val="00ED33B7"/>
    <w:rsid w:val="00ED34C7"/>
    <w:rsid w:val="00ED6196"/>
    <w:rsid w:val="00ED6360"/>
    <w:rsid w:val="00ED7B25"/>
    <w:rsid w:val="00ED7FD2"/>
    <w:rsid w:val="00EE10D7"/>
    <w:rsid w:val="00EE199F"/>
    <w:rsid w:val="00EE2E3E"/>
    <w:rsid w:val="00EE3955"/>
    <w:rsid w:val="00EE4A23"/>
    <w:rsid w:val="00EE67E9"/>
    <w:rsid w:val="00EE70A0"/>
    <w:rsid w:val="00EE7BB0"/>
    <w:rsid w:val="00EF0C60"/>
    <w:rsid w:val="00EF34B1"/>
    <w:rsid w:val="00EF51ED"/>
    <w:rsid w:val="00F024A7"/>
    <w:rsid w:val="00F06F1C"/>
    <w:rsid w:val="00F117E2"/>
    <w:rsid w:val="00F146C9"/>
    <w:rsid w:val="00F156E3"/>
    <w:rsid w:val="00F225E1"/>
    <w:rsid w:val="00F22688"/>
    <w:rsid w:val="00F24492"/>
    <w:rsid w:val="00F252CE"/>
    <w:rsid w:val="00F30BFA"/>
    <w:rsid w:val="00F32A67"/>
    <w:rsid w:val="00F333BD"/>
    <w:rsid w:val="00F33D90"/>
    <w:rsid w:val="00F348BC"/>
    <w:rsid w:val="00F35000"/>
    <w:rsid w:val="00F37CB6"/>
    <w:rsid w:val="00F406C7"/>
    <w:rsid w:val="00F408E4"/>
    <w:rsid w:val="00F40CD7"/>
    <w:rsid w:val="00F41921"/>
    <w:rsid w:val="00F4315D"/>
    <w:rsid w:val="00F4360C"/>
    <w:rsid w:val="00F43817"/>
    <w:rsid w:val="00F43F44"/>
    <w:rsid w:val="00F44F6B"/>
    <w:rsid w:val="00F450BC"/>
    <w:rsid w:val="00F46C04"/>
    <w:rsid w:val="00F534B5"/>
    <w:rsid w:val="00F53810"/>
    <w:rsid w:val="00F53B42"/>
    <w:rsid w:val="00F6092B"/>
    <w:rsid w:val="00F63133"/>
    <w:rsid w:val="00F633D9"/>
    <w:rsid w:val="00F6498E"/>
    <w:rsid w:val="00F65298"/>
    <w:rsid w:val="00F66889"/>
    <w:rsid w:val="00F71CDA"/>
    <w:rsid w:val="00F75A17"/>
    <w:rsid w:val="00F77152"/>
    <w:rsid w:val="00F81567"/>
    <w:rsid w:val="00F818E4"/>
    <w:rsid w:val="00F845A8"/>
    <w:rsid w:val="00F92254"/>
    <w:rsid w:val="00F932BC"/>
    <w:rsid w:val="00F9348A"/>
    <w:rsid w:val="00F96229"/>
    <w:rsid w:val="00F97474"/>
    <w:rsid w:val="00FA3D32"/>
    <w:rsid w:val="00FA4649"/>
    <w:rsid w:val="00FA4C41"/>
    <w:rsid w:val="00FA6ACA"/>
    <w:rsid w:val="00FA6C74"/>
    <w:rsid w:val="00FB1118"/>
    <w:rsid w:val="00FB121F"/>
    <w:rsid w:val="00FB6966"/>
    <w:rsid w:val="00FB6B9E"/>
    <w:rsid w:val="00FB7725"/>
    <w:rsid w:val="00FC24CE"/>
    <w:rsid w:val="00FC2D7A"/>
    <w:rsid w:val="00FC3466"/>
    <w:rsid w:val="00FD1107"/>
    <w:rsid w:val="00FD1688"/>
    <w:rsid w:val="00FD2E4E"/>
    <w:rsid w:val="00FD4F01"/>
    <w:rsid w:val="00FD546B"/>
    <w:rsid w:val="00FE0E22"/>
    <w:rsid w:val="00FE2538"/>
    <w:rsid w:val="00FE40F9"/>
    <w:rsid w:val="00FE7BDE"/>
    <w:rsid w:val="00FF11DD"/>
    <w:rsid w:val="00FF16CF"/>
    <w:rsid w:val="00FF30D9"/>
    <w:rsid w:val="00FF330E"/>
    <w:rsid w:val="00FF35BF"/>
    <w:rsid w:val="00FF6098"/>
    <w:rsid w:val="00FF6536"/>
    <w:rsid w:val="00FF6EAF"/>
    <w:rsid w:val="20403AAB"/>
    <w:rsid w:val="228B5853"/>
    <w:rsid w:val="42CB4991"/>
    <w:rsid w:val="4F1C41FF"/>
    <w:rsid w:val="7999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9E3F8"/>
  <w15:docId w15:val="{D03F404C-D8EA-463F-9001-FF4AAAE7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E33"/>
    <w:pPr>
      <w:widowControl w:val="0"/>
      <w:jc w:val="both"/>
    </w:pPr>
    <w:rPr>
      <w:kern w:val="2"/>
      <w:sz w:val="21"/>
      <w:szCs w:val="22"/>
    </w:rPr>
  </w:style>
  <w:style w:type="paragraph" w:styleId="Heading1">
    <w:name w:val="heading 1"/>
    <w:basedOn w:val="Normal"/>
    <w:next w:val="Normal"/>
    <w:link w:val="Heading1Char"/>
    <w:uiPriority w:val="9"/>
    <w:qFormat/>
    <w:pPr>
      <w:keepNext/>
      <w:keepLines/>
      <w:snapToGrid w:val="0"/>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9"/>
    <w:qFormat/>
    <w:rPr>
      <w:b/>
      <w:bCs/>
      <w:kern w:val="44"/>
      <w:sz w:val="44"/>
      <w:szCs w:val="4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qFormat/>
    <w:rPr>
      <w:color w:val="808080"/>
    </w:rPr>
  </w:style>
  <w:style w:type="character" w:styleId="CommentReference">
    <w:name w:val="annotation reference"/>
    <w:basedOn w:val="DefaultParagraphFont"/>
    <w:uiPriority w:val="99"/>
    <w:semiHidden/>
    <w:unhideWhenUsed/>
    <w:rsid w:val="00884EDA"/>
    <w:rPr>
      <w:sz w:val="21"/>
      <w:szCs w:val="21"/>
    </w:rPr>
  </w:style>
  <w:style w:type="paragraph" w:styleId="CommentText">
    <w:name w:val="annotation text"/>
    <w:basedOn w:val="Normal"/>
    <w:link w:val="CommentTextChar"/>
    <w:uiPriority w:val="99"/>
    <w:semiHidden/>
    <w:unhideWhenUsed/>
    <w:rsid w:val="00884EDA"/>
    <w:pPr>
      <w:jc w:val="left"/>
    </w:pPr>
  </w:style>
  <w:style w:type="character" w:customStyle="1" w:styleId="CommentTextChar">
    <w:name w:val="Comment Text Char"/>
    <w:basedOn w:val="DefaultParagraphFont"/>
    <w:link w:val="CommentText"/>
    <w:uiPriority w:val="99"/>
    <w:semiHidden/>
    <w:rsid w:val="00884EDA"/>
    <w:rPr>
      <w:kern w:val="2"/>
      <w:sz w:val="21"/>
      <w:szCs w:val="22"/>
    </w:rPr>
  </w:style>
  <w:style w:type="paragraph" w:styleId="CommentSubject">
    <w:name w:val="annotation subject"/>
    <w:basedOn w:val="CommentText"/>
    <w:next w:val="CommentText"/>
    <w:link w:val="CommentSubjectChar"/>
    <w:uiPriority w:val="99"/>
    <w:semiHidden/>
    <w:unhideWhenUsed/>
    <w:rsid w:val="00884EDA"/>
    <w:rPr>
      <w:b/>
      <w:bCs/>
    </w:rPr>
  </w:style>
  <w:style w:type="character" w:customStyle="1" w:styleId="CommentSubjectChar">
    <w:name w:val="Comment Subject Char"/>
    <w:basedOn w:val="CommentTextChar"/>
    <w:link w:val="CommentSubject"/>
    <w:uiPriority w:val="99"/>
    <w:semiHidden/>
    <w:rsid w:val="00884EDA"/>
    <w:rPr>
      <w:b/>
      <w:bCs/>
      <w:kern w:val="2"/>
      <w:sz w:val="21"/>
      <w:szCs w:val="22"/>
    </w:rPr>
  </w:style>
  <w:style w:type="paragraph" w:styleId="BalloonText">
    <w:name w:val="Balloon Text"/>
    <w:basedOn w:val="Normal"/>
    <w:link w:val="BalloonTextChar"/>
    <w:uiPriority w:val="99"/>
    <w:semiHidden/>
    <w:unhideWhenUsed/>
    <w:rsid w:val="00884EDA"/>
    <w:rPr>
      <w:sz w:val="18"/>
      <w:szCs w:val="18"/>
    </w:rPr>
  </w:style>
  <w:style w:type="character" w:customStyle="1" w:styleId="BalloonTextChar">
    <w:name w:val="Balloon Text Char"/>
    <w:basedOn w:val="DefaultParagraphFont"/>
    <w:link w:val="BalloonText"/>
    <w:uiPriority w:val="99"/>
    <w:semiHidden/>
    <w:rsid w:val="00884EDA"/>
    <w:rPr>
      <w:kern w:val="2"/>
      <w:sz w:val="18"/>
      <w:szCs w:val="18"/>
    </w:rPr>
  </w:style>
  <w:style w:type="character" w:styleId="Hyperlink">
    <w:name w:val="Hyperlink"/>
    <w:basedOn w:val="DefaultParagraphFont"/>
    <w:uiPriority w:val="99"/>
    <w:unhideWhenUsed/>
    <w:rsid w:val="0034665F"/>
    <w:rPr>
      <w:color w:val="0563C1" w:themeColor="hyperlink"/>
      <w:u w:val="single"/>
    </w:rPr>
  </w:style>
  <w:style w:type="character" w:styleId="UnresolvedMention">
    <w:name w:val="Unresolved Mention"/>
    <w:basedOn w:val="DefaultParagraphFont"/>
    <w:uiPriority w:val="99"/>
    <w:semiHidden/>
    <w:unhideWhenUsed/>
    <w:rsid w:val="0034665F"/>
    <w:rPr>
      <w:color w:val="605E5C"/>
      <w:shd w:val="clear" w:color="auto" w:fill="E1DFDD"/>
    </w:rPr>
  </w:style>
  <w:style w:type="character" w:styleId="FollowedHyperlink">
    <w:name w:val="FollowedHyperlink"/>
    <w:basedOn w:val="DefaultParagraphFont"/>
    <w:uiPriority w:val="99"/>
    <w:semiHidden/>
    <w:unhideWhenUsed/>
    <w:rsid w:val="00AF0A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88422">
      <w:bodyDiv w:val="1"/>
      <w:marLeft w:val="0"/>
      <w:marRight w:val="0"/>
      <w:marTop w:val="0"/>
      <w:marBottom w:val="0"/>
      <w:divBdr>
        <w:top w:val="none" w:sz="0" w:space="0" w:color="auto"/>
        <w:left w:val="none" w:sz="0" w:space="0" w:color="auto"/>
        <w:bottom w:val="none" w:sz="0" w:space="0" w:color="auto"/>
        <w:right w:val="none" w:sz="0" w:space="0" w:color="auto"/>
      </w:divBdr>
    </w:div>
    <w:div w:id="400250406">
      <w:bodyDiv w:val="1"/>
      <w:marLeft w:val="0"/>
      <w:marRight w:val="0"/>
      <w:marTop w:val="0"/>
      <w:marBottom w:val="0"/>
      <w:divBdr>
        <w:top w:val="none" w:sz="0" w:space="0" w:color="auto"/>
        <w:left w:val="none" w:sz="0" w:space="0" w:color="auto"/>
        <w:bottom w:val="none" w:sz="0" w:space="0" w:color="auto"/>
        <w:right w:val="none" w:sz="0" w:space="0" w:color="auto"/>
      </w:divBdr>
    </w:div>
    <w:div w:id="546334140">
      <w:bodyDiv w:val="1"/>
      <w:marLeft w:val="0"/>
      <w:marRight w:val="0"/>
      <w:marTop w:val="0"/>
      <w:marBottom w:val="0"/>
      <w:divBdr>
        <w:top w:val="none" w:sz="0" w:space="0" w:color="auto"/>
        <w:left w:val="none" w:sz="0" w:space="0" w:color="auto"/>
        <w:bottom w:val="none" w:sz="0" w:space="0" w:color="auto"/>
        <w:right w:val="none" w:sz="0" w:space="0" w:color="auto"/>
      </w:divBdr>
    </w:div>
    <w:div w:id="738480718">
      <w:bodyDiv w:val="1"/>
      <w:marLeft w:val="0"/>
      <w:marRight w:val="0"/>
      <w:marTop w:val="0"/>
      <w:marBottom w:val="0"/>
      <w:divBdr>
        <w:top w:val="none" w:sz="0" w:space="0" w:color="auto"/>
        <w:left w:val="none" w:sz="0" w:space="0" w:color="auto"/>
        <w:bottom w:val="none" w:sz="0" w:space="0" w:color="auto"/>
        <w:right w:val="none" w:sz="0" w:space="0" w:color="auto"/>
      </w:divBdr>
    </w:div>
    <w:div w:id="1010331979">
      <w:bodyDiv w:val="1"/>
      <w:marLeft w:val="0"/>
      <w:marRight w:val="0"/>
      <w:marTop w:val="0"/>
      <w:marBottom w:val="0"/>
      <w:divBdr>
        <w:top w:val="none" w:sz="0" w:space="0" w:color="auto"/>
        <w:left w:val="none" w:sz="0" w:space="0" w:color="auto"/>
        <w:bottom w:val="none" w:sz="0" w:space="0" w:color="auto"/>
        <w:right w:val="none" w:sz="0" w:space="0" w:color="auto"/>
      </w:divBdr>
    </w:div>
    <w:div w:id="209388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os.2007.05.003" TargetMode="External"/><Relationship Id="rId18" Type="http://schemas.openxmlformats.org/officeDocument/2006/relationships/hyperlink" Target="https://doi.org/10.1257/000282803321947425" TargetMode="External"/><Relationship Id="rId26" Type="http://schemas.openxmlformats.org/officeDocument/2006/relationships/hyperlink" Target="https://doi.org/10.1007/s10551-013-1944-3" TargetMode="External"/><Relationship Id="rId21" Type="http://schemas.openxmlformats.org/officeDocument/2006/relationships/hyperlink" Target="https://doi.org/10.26650/JECS2023-127896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11/eufm.12425" TargetMode="External"/><Relationship Id="rId17" Type="http://schemas.openxmlformats.org/officeDocument/2006/relationships/hyperlink" Target="https://doi.org/10.1002/eet.507" TargetMode="External"/><Relationship Id="rId25" Type="http://schemas.openxmlformats.org/officeDocument/2006/relationships/hyperlink" Target="https://doi.org/10.1016/j.eneco.2022.10600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enpol.2019.111052" TargetMode="External"/><Relationship Id="rId20" Type="http://schemas.openxmlformats.org/officeDocument/2006/relationships/hyperlink" Target="https://doi.org/10.1016/j.jclepro.2023.137584" TargetMode="External"/><Relationship Id="rId29" Type="http://schemas.openxmlformats.org/officeDocument/2006/relationships/hyperlink" Target="https://doi.org/10.1016/j.egyr.2023.08.0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2093817" TargetMode="External"/><Relationship Id="rId24" Type="http://schemas.openxmlformats.org/officeDocument/2006/relationships/hyperlink" Target="https://doi.org/10.1016/j.frl.2024.10542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su13084256" TargetMode="External"/><Relationship Id="rId23" Type="http://schemas.openxmlformats.org/officeDocument/2006/relationships/hyperlink" Target="https://doi.org/10.1016/j.jclepro.2023.138236" TargetMode="External"/><Relationship Id="rId28" Type="http://schemas.openxmlformats.org/officeDocument/2006/relationships/hyperlink" Target="https://doi.org/10.1002/bse.3160" TargetMode="External"/><Relationship Id="rId36" Type="http://schemas.openxmlformats.org/officeDocument/2006/relationships/footer" Target="footer3.xml"/><Relationship Id="rId10" Type="http://schemas.openxmlformats.org/officeDocument/2006/relationships/hyperlink" Target="https://doi.org/10.1108/CFRI-09-2020-0141" TargetMode="External"/><Relationship Id="rId19" Type="http://schemas.openxmlformats.org/officeDocument/2006/relationships/hyperlink" Target="https://doi.org/10.1016/j.jpubeco.2014.10.00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egyr.2023.05.270" TargetMode="External"/><Relationship Id="rId22" Type="http://schemas.openxmlformats.org/officeDocument/2006/relationships/hyperlink" Target="https://doi.org/10.1016/j.jfineco.2021.07.022" TargetMode="External"/><Relationship Id="rId27" Type="http://schemas.openxmlformats.org/officeDocument/2006/relationships/hyperlink" Target="https://doi.org/10.1002/csr.2068" TargetMode="External"/><Relationship Id="rId30" Type="http://schemas.openxmlformats.org/officeDocument/2006/relationships/hyperlink" Target="https://doi.org/10.1177/00018392211024555"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60F6-5A6D-443A-9F8E-4616BF02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12181</Words>
  <Characters>69436</Characters>
  <Application>Microsoft Office Word</Application>
  <DocSecurity>0</DocSecurity>
  <Lines>578</Lines>
  <Paragraphs>162</Paragraphs>
  <ScaleCrop>false</ScaleCrop>
  <Company/>
  <LinksUpToDate>false</LinksUpToDate>
  <CharactersWithSpaces>81455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泽源</dc:creator>
  <dc:description>NE.Ref</dc:description>
  <cp:lastModifiedBy>SDI 1084</cp:lastModifiedBy>
  <cp:revision>14</cp:revision>
  <cp:lastPrinted>2022-10-29T10:04:00Z</cp:lastPrinted>
  <dcterms:created xsi:type="dcterms:W3CDTF">2025-06-17T07:55:00Z</dcterms:created>
  <dcterms:modified xsi:type="dcterms:W3CDTF">2025-06-18T10:37:00Z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B4F6E421C5804ADCB513185C3D5D55F0_13</vt:lpwstr>
  </property>
  <property fmtid="{D5CDD505-2E9C-101B-9397-08002B2CF9AE}" pid="4" name="KSOTemplateDocerSaveRecord">
    <vt:lpwstr>eyJoZGlkIjoiM2ViYzJkOWJjZDY2ZTMwZjY2MTE4MWU5NWRiY2MwMWIiLCJ1c2VySWQiOiIxMzY1NzQ3NTA2In0=</vt:lpwstr>
  </property>
</Properties>
</file>