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0E1B" w14:textId="2C7E70B2" w:rsidR="00441BF0" w:rsidRPr="000B5A8D" w:rsidRDefault="00441BF0" w:rsidP="00441B6F">
      <w:pPr>
        <w:pStyle w:val="Author"/>
        <w:spacing w:line="240" w:lineRule="auto"/>
        <w:jc w:val="both"/>
        <w:rPr>
          <w:rFonts w:ascii="Arial" w:hAnsi="Arial" w:cs="Arial"/>
          <w:bCs/>
          <w:iCs/>
          <w:kern w:val="28"/>
          <w:sz w:val="36"/>
        </w:rPr>
      </w:pPr>
      <w:bookmarkStart w:id="0" w:name="_Hlk200640530"/>
      <w:r w:rsidRPr="000B5A8D">
        <w:rPr>
          <w:rFonts w:ascii="Arial" w:hAnsi="Arial" w:cs="Arial"/>
          <w:bCs/>
          <w:iCs/>
          <w:kern w:val="28"/>
          <w:sz w:val="36"/>
        </w:rPr>
        <w:t xml:space="preserve">Original Research Article </w:t>
      </w:r>
    </w:p>
    <w:p w14:paraId="2EF5C603" w14:textId="77777777" w:rsidR="00441BF0" w:rsidRPr="000B5A8D" w:rsidRDefault="00441BF0" w:rsidP="00441B6F">
      <w:pPr>
        <w:pStyle w:val="Author"/>
        <w:spacing w:line="240" w:lineRule="auto"/>
        <w:jc w:val="both"/>
        <w:rPr>
          <w:rFonts w:ascii="Arial" w:hAnsi="Arial" w:cs="Arial"/>
          <w:bCs/>
          <w:iCs/>
          <w:kern w:val="28"/>
          <w:sz w:val="36"/>
        </w:rPr>
      </w:pPr>
    </w:p>
    <w:p w14:paraId="17A9D91B" w14:textId="3E830ECA" w:rsidR="00A258C3" w:rsidRDefault="00D26085" w:rsidP="00441B6F">
      <w:pPr>
        <w:pStyle w:val="Author"/>
        <w:spacing w:line="240" w:lineRule="auto"/>
        <w:jc w:val="both"/>
        <w:rPr>
          <w:rFonts w:ascii="Arial" w:hAnsi="Arial" w:cs="Arial"/>
          <w:bCs/>
          <w:iCs/>
          <w:kern w:val="28"/>
          <w:sz w:val="36"/>
        </w:rPr>
      </w:pPr>
      <w:bookmarkStart w:id="1" w:name="_Hlk200699687"/>
      <w:r w:rsidRPr="000B5A8D">
        <w:rPr>
          <w:rFonts w:ascii="Arial" w:hAnsi="Arial" w:cs="Arial"/>
          <w:bCs/>
          <w:iCs/>
          <w:kern w:val="28"/>
          <w:sz w:val="36"/>
        </w:rPr>
        <w:t>Bangladesh’s LDC Graduation</w:t>
      </w:r>
      <w:bookmarkEnd w:id="1"/>
      <w:r w:rsidRPr="000B5A8D">
        <w:rPr>
          <w:rFonts w:ascii="Arial" w:hAnsi="Arial" w:cs="Arial"/>
          <w:bCs/>
          <w:iCs/>
          <w:kern w:val="28"/>
          <w:sz w:val="36"/>
        </w:rPr>
        <w:t xml:space="preserve">: Navigating </w:t>
      </w:r>
      <w:r w:rsidR="003004A5" w:rsidRPr="000B5A8D">
        <w:rPr>
          <w:rFonts w:ascii="Arial" w:hAnsi="Arial" w:cs="Arial"/>
          <w:bCs/>
          <w:iCs/>
          <w:kern w:val="28"/>
          <w:sz w:val="36"/>
        </w:rPr>
        <w:t>Export</w:t>
      </w:r>
      <w:r w:rsidRPr="000B5A8D">
        <w:rPr>
          <w:rFonts w:ascii="Arial" w:hAnsi="Arial" w:cs="Arial"/>
          <w:bCs/>
          <w:iCs/>
          <w:kern w:val="28"/>
          <w:sz w:val="36"/>
        </w:rPr>
        <w:t xml:space="preserve"> Challenges in a New Era</w:t>
      </w:r>
    </w:p>
    <w:p w14:paraId="44DB2437" w14:textId="77777777" w:rsidR="00E32F20" w:rsidRPr="000B5A8D" w:rsidRDefault="00E32F20" w:rsidP="00441B6F">
      <w:pPr>
        <w:pStyle w:val="Author"/>
        <w:spacing w:line="240" w:lineRule="auto"/>
        <w:jc w:val="both"/>
        <w:rPr>
          <w:rFonts w:ascii="Arial" w:hAnsi="Arial" w:cs="Arial"/>
          <w:sz w:val="36"/>
        </w:rPr>
      </w:pPr>
    </w:p>
    <w:bookmarkEnd w:id="0"/>
    <w:p w14:paraId="6C9B9598" w14:textId="77777777" w:rsidR="00B01FCD" w:rsidRPr="000B5A8D" w:rsidRDefault="00B01FCD" w:rsidP="00441B6F">
      <w:pPr>
        <w:pStyle w:val="AbstHead"/>
        <w:spacing w:after="0"/>
        <w:jc w:val="both"/>
        <w:rPr>
          <w:rFonts w:ascii="Arial" w:hAnsi="Arial" w:cs="Arial"/>
        </w:rPr>
      </w:pPr>
      <w:r w:rsidRPr="000B5A8D">
        <w:rPr>
          <w:rFonts w:ascii="Arial" w:hAnsi="Arial" w:cs="Arial"/>
        </w:rPr>
        <w:t>ABSTRACT</w:t>
      </w:r>
      <w:r w:rsidR="0066510A" w:rsidRPr="000B5A8D">
        <w:rPr>
          <w:rFonts w:ascii="Arial" w:hAnsi="Arial" w:cs="Arial"/>
        </w:rPr>
        <w:t xml:space="preserve"> </w:t>
      </w:r>
    </w:p>
    <w:p w14:paraId="27C6E08E" w14:textId="77777777" w:rsidR="00790ADA" w:rsidRPr="000B5A8D"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0B5A8D" w14:paraId="345116E5" w14:textId="77777777" w:rsidTr="001E44FE">
        <w:tc>
          <w:tcPr>
            <w:tcW w:w="9576" w:type="dxa"/>
            <w:shd w:val="clear" w:color="auto" w:fill="F2F2F2"/>
          </w:tcPr>
          <w:p w14:paraId="13A176A3" w14:textId="77777777" w:rsidR="00505F06" w:rsidRPr="000B5A8D" w:rsidRDefault="00A135C4" w:rsidP="00441B6F">
            <w:pPr>
              <w:pStyle w:val="Body"/>
              <w:spacing w:after="0"/>
              <w:rPr>
                <w:rFonts w:ascii="Arial" w:eastAsia="Calibri" w:hAnsi="Arial" w:cs="Arial"/>
                <w:szCs w:val="22"/>
              </w:rPr>
            </w:pPr>
            <w:r w:rsidRPr="000B5A8D">
              <w:rPr>
                <w:rFonts w:ascii="Arial" w:eastAsia="Calibri" w:hAnsi="Arial" w:cs="Arial"/>
                <w:szCs w:val="22"/>
              </w:rPr>
              <w:t xml:space="preserve">Bangladesh has met three criteria Human Asset Index, Economic Vulnerability Index, and GNI indices to graduate from the least developing countries to developing ones in the third triennial review. </w:t>
            </w:r>
            <w:r w:rsidR="00754D5A" w:rsidRPr="000B5A8D">
              <w:rPr>
                <w:rFonts w:ascii="Arial" w:eastAsia="Calibri" w:hAnsi="Arial" w:cs="Arial"/>
                <w:szCs w:val="22"/>
              </w:rPr>
              <w:t>The study aims to assess the trade preference loss and to find out</w:t>
            </w:r>
            <w:r w:rsidR="008B7BA7" w:rsidRPr="000B5A8D">
              <w:rPr>
                <w:rFonts w:ascii="Arial" w:eastAsia="Calibri" w:hAnsi="Arial" w:cs="Arial"/>
                <w:szCs w:val="22"/>
              </w:rPr>
              <w:t xml:space="preserve"> impact of graduation on export</w:t>
            </w:r>
            <w:r w:rsidRPr="000B5A8D">
              <w:rPr>
                <w:rFonts w:ascii="Arial" w:eastAsia="Calibri" w:hAnsi="Arial" w:cs="Arial"/>
                <w:szCs w:val="22"/>
              </w:rPr>
              <w:t>.</w:t>
            </w:r>
            <w:r w:rsidR="00315186" w:rsidRPr="000B5A8D">
              <w:rPr>
                <w:rFonts w:ascii="Arial" w:eastAsia="Calibri" w:hAnsi="Arial" w:cs="Arial"/>
                <w:szCs w:val="22"/>
              </w:rPr>
              <w:t xml:space="preserve"> </w:t>
            </w:r>
            <w:r w:rsidR="00FA15B5" w:rsidRPr="000B5A8D">
              <w:t xml:space="preserve">A combination of qualitative and quantitative approaches </w:t>
            </w:r>
            <w:r w:rsidR="00C457D0" w:rsidRPr="000B5A8D">
              <w:t>is</w:t>
            </w:r>
            <w:r w:rsidR="00FA15B5" w:rsidRPr="000B5A8D">
              <w:t xml:space="preserve"> followed in the study where for quantify</w:t>
            </w:r>
            <w:r w:rsidR="003004A5" w:rsidRPr="000B5A8D">
              <w:t>ing the</w:t>
            </w:r>
            <w:r w:rsidR="00FA15B5" w:rsidRPr="000B5A8D">
              <w:t xml:space="preserve"> impact</w:t>
            </w:r>
            <w:r w:rsidR="003004A5" w:rsidRPr="000B5A8D">
              <w:t xml:space="preserve"> on export,</w:t>
            </w:r>
            <w:r w:rsidR="00FA15B5" w:rsidRPr="000B5A8D">
              <w:t xml:space="preserve"> Trade Intelligence and Negotiation Adviser</w:t>
            </w:r>
            <w:r w:rsidR="00773A58" w:rsidRPr="000B5A8D">
              <w:t xml:space="preserve"> (TINA)</w:t>
            </w:r>
            <w:r w:rsidR="003004A5" w:rsidRPr="000B5A8D">
              <w:t xml:space="preserve"> is used</w:t>
            </w:r>
            <w:r w:rsidR="00773A58" w:rsidRPr="000B5A8D">
              <w:t xml:space="preserve"> and 20 KII</w:t>
            </w:r>
            <w:r w:rsidR="003004A5" w:rsidRPr="000B5A8D">
              <w:t>s are</w:t>
            </w:r>
            <w:r w:rsidR="00773A58" w:rsidRPr="000B5A8D">
              <w:t xml:space="preserve"> taken with the purposive sampling method. </w:t>
            </w:r>
            <w:r w:rsidR="00FA15B5" w:rsidRPr="000B5A8D">
              <w:rPr>
                <w:rFonts w:ascii="Arial" w:eastAsia="Calibri" w:hAnsi="Arial" w:cs="Arial"/>
                <w:szCs w:val="22"/>
              </w:rPr>
              <w:t>The study conducted during the period of 2022 to 20</w:t>
            </w:r>
            <w:bookmarkStart w:id="2" w:name="_GoBack"/>
            <w:bookmarkEnd w:id="2"/>
            <w:r w:rsidR="00FA15B5" w:rsidRPr="000B5A8D">
              <w:rPr>
                <w:rFonts w:ascii="Arial" w:eastAsia="Calibri" w:hAnsi="Arial" w:cs="Arial"/>
                <w:szCs w:val="22"/>
              </w:rPr>
              <w:t>24</w:t>
            </w:r>
            <w:r w:rsidR="00773A58" w:rsidRPr="000B5A8D">
              <w:rPr>
                <w:rFonts w:ascii="Arial" w:eastAsia="Calibri" w:hAnsi="Arial" w:cs="Arial"/>
                <w:szCs w:val="22"/>
              </w:rPr>
              <w:t xml:space="preserve"> in Dhaka</w:t>
            </w:r>
            <w:r w:rsidR="00FA15B5" w:rsidRPr="000B5A8D">
              <w:rPr>
                <w:rFonts w:ascii="Arial" w:eastAsia="Calibri" w:hAnsi="Arial" w:cs="Arial"/>
                <w:szCs w:val="22"/>
              </w:rPr>
              <w:t xml:space="preserve">. </w:t>
            </w:r>
            <w:r w:rsidR="00754D5A" w:rsidRPr="000B5A8D">
              <w:rPr>
                <w:rFonts w:ascii="Arial" w:eastAsia="Calibri" w:hAnsi="Arial" w:cs="Arial"/>
                <w:szCs w:val="22"/>
              </w:rPr>
              <w:t>The article, using exploratory research methodology, finds out the potential problem and prospect of LDC graduation and assesses the trade preference loss with TINA Simulation Tools to measure LDC preference loss. Referring to the number of UNCTAD reports, articles and secondary literature, the explanatory research sheds light on how sustainable economic growth can be ensured through diversified products</w:t>
            </w:r>
            <w:r w:rsidR="003004A5" w:rsidRPr="000B5A8D">
              <w:rPr>
                <w:rFonts w:ascii="Arial" w:eastAsia="Calibri" w:hAnsi="Arial" w:cs="Arial"/>
                <w:szCs w:val="22"/>
              </w:rPr>
              <w:t xml:space="preserve"> and internal resource mobilization</w:t>
            </w:r>
            <w:r w:rsidR="00754D5A" w:rsidRPr="000B5A8D">
              <w:rPr>
                <w:rFonts w:ascii="Arial" w:eastAsia="Calibri" w:hAnsi="Arial" w:cs="Arial"/>
                <w:szCs w:val="22"/>
              </w:rPr>
              <w:t>. In the post-graduation era, Bangladesh will face several challenges related to preferential market access, minimum value addition conditions, and other LDC-related leverage in developed countries’ markets</w:t>
            </w:r>
            <w:r w:rsidR="00773A58" w:rsidRPr="000B5A8D">
              <w:rPr>
                <w:rFonts w:ascii="Arial" w:eastAsia="Calibri" w:hAnsi="Arial" w:cs="Arial"/>
                <w:szCs w:val="22"/>
              </w:rPr>
              <w:t>. As a result, the trade loss at post-graduation era may ranges from US$ 17 billion to US$4.7 billion as per the</w:t>
            </w:r>
            <w:r w:rsidR="003004A5" w:rsidRPr="000B5A8D">
              <w:rPr>
                <w:rFonts w:ascii="Arial" w:eastAsia="Calibri" w:hAnsi="Arial" w:cs="Arial"/>
                <w:szCs w:val="22"/>
              </w:rPr>
              <w:t xml:space="preserve"> simulation result of</w:t>
            </w:r>
            <w:r w:rsidR="00773A58" w:rsidRPr="000B5A8D">
              <w:rPr>
                <w:rFonts w:ascii="Arial" w:eastAsia="Calibri" w:hAnsi="Arial" w:cs="Arial"/>
                <w:szCs w:val="22"/>
              </w:rPr>
              <w:t xml:space="preserve"> TINA LDC preference loss mechanism. </w:t>
            </w:r>
            <w:r w:rsidR="00754D5A" w:rsidRPr="000B5A8D">
              <w:rPr>
                <w:rFonts w:ascii="Arial" w:eastAsia="Calibri" w:hAnsi="Arial" w:cs="Arial"/>
                <w:szCs w:val="22"/>
              </w:rPr>
              <w:t>The paper identifies a lack of resource mobilization</w:t>
            </w:r>
            <w:r w:rsidR="00773A58" w:rsidRPr="000B5A8D">
              <w:rPr>
                <w:rFonts w:ascii="Arial" w:eastAsia="Calibri" w:hAnsi="Arial" w:cs="Arial"/>
                <w:szCs w:val="22"/>
              </w:rPr>
              <w:t xml:space="preserve"> and</w:t>
            </w:r>
            <w:r w:rsidR="00754D5A" w:rsidRPr="000B5A8D">
              <w:rPr>
                <w:rFonts w:ascii="Arial" w:eastAsia="Calibri" w:hAnsi="Arial" w:cs="Arial"/>
                <w:szCs w:val="22"/>
              </w:rPr>
              <w:t xml:space="preserve"> export </w:t>
            </w:r>
            <w:r w:rsidR="00C457D0" w:rsidRPr="000B5A8D">
              <w:rPr>
                <w:rFonts w:ascii="Arial" w:eastAsia="Calibri" w:hAnsi="Arial" w:cs="Arial"/>
                <w:szCs w:val="22"/>
              </w:rPr>
              <w:t>concentration are</w:t>
            </w:r>
            <w:r w:rsidR="00754D5A" w:rsidRPr="000B5A8D">
              <w:rPr>
                <w:rFonts w:ascii="Arial" w:eastAsia="Calibri" w:hAnsi="Arial" w:cs="Arial"/>
                <w:szCs w:val="22"/>
              </w:rPr>
              <w:t xml:space="preserve"> the major hindrances to overcoming the hurdles of graduation. To comply with the new eco-system of graduation, the paper emphasizes both private and public sector joint initiatives</w:t>
            </w:r>
            <w:r w:rsidR="003004A5" w:rsidRPr="000B5A8D">
              <w:rPr>
                <w:rFonts w:ascii="Arial" w:eastAsia="Calibri" w:hAnsi="Arial" w:cs="Arial"/>
                <w:szCs w:val="22"/>
              </w:rPr>
              <w:t xml:space="preserve"> </w:t>
            </w:r>
            <w:r w:rsidR="00754D5A" w:rsidRPr="000B5A8D">
              <w:rPr>
                <w:rFonts w:ascii="Arial" w:eastAsia="Calibri" w:hAnsi="Arial" w:cs="Arial"/>
                <w:szCs w:val="22"/>
              </w:rPr>
              <w:t>to implement the strategic roadmap for a smooth transition to be aligned with national graduation strategies.</w:t>
            </w:r>
          </w:p>
        </w:tc>
      </w:tr>
    </w:tbl>
    <w:p w14:paraId="25E81434" w14:textId="77777777" w:rsidR="00636EB2" w:rsidRPr="000B5A8D" w:rsidRDefault="00636EB2" w:rsidP="00441B6F">
      <w:pPr>
        <w:pStyle w:val="Body"/>
        <w:spacing w:after="0"/>
        <w:rPr>
          <w:rFonts w:ascii="Arial" w:hAnsi="Arial" w:cs="Arial"/>
          <w:i/>
        </w:rPr>
      </w:pPr>
    </w:p>
    <w:p w14:paraId="535BCD88" w14:textId="77777777" w:rsidR="00790ADA" w:rsidRPr="000B5A8D" w:rsidRDefault="00A24E7E" w:rsidP="00441B6F">
      <w:pPr>
        <w:pStyle w:val="Body"/>
        <w:spacing w:after="0"/>
        <w:rPr>
          <w:rFonts w:ascii="Arial" w:hAnsi="Arial" w:cs="Arial"/>
          <w:i/>
        </w:rPr>
      </w:pPr>
      <w:r w:rsidRPr="000B5A8D">
        <w:rPr>
          <w:rFonts w:ascii="Arial" w:hAnsi="Arial" w:cs="Arial"/>
          <w:i/>
        </w:rPr>
        <w:t>Keywords:</w:t>
      </w:r>
      <w:r w:rsidR="00C457D0" w:rsidRPr="000B5A8D">
        <w:rPr>
          <w:rFonts w:ascii="Arial" w:hAnsi="Arial" w:cs="Arial"/>
          <w:i/>
        </w:rPr>
        <w:t xml:space="preserve"> LDC Graduation</w:t>
      </w:r>
      <w:r w:rsidR="008B7BA7" w:rsidRPr="000B5A8D">
        <w:rPr>
          <w:rFonts w:ascii="Arial" w:hAnsi="Arial" w:cs="Arial"/>
          <w:i/>
        </w:rPr>
        <w:t xml:space="preserve"> of Bangladesh</w:t>
      </w:r>
      <w:r w:rsidR="00C457D0" w:rsidRPr="000B5A8D">
        <w:rPr>
          <w:rFonts w:ascii="Arial" w:hAnsi="Arial" w:cs="Arial"/>
          <w:i/>
        </w:rPr>
        <w:t>, Preference Loss,</w:t>
      </w:r>
      <w:r w:rsidR="008B7BA7" w:rsidRPr="000B5A8D">
        <w:rPr>
          <w:rFonts w:ascii="Arial" w:hAnsi="Arial" w:cs="Arial"/>
          <w:i/>
        </w:rPr>
        <w:t xml:space="preserve"> Special &amp; Differential Treatment under WTO Agreements,</w:t>
      </w:r>
      <w:r w:rsidR="00C457D0" w:rsidRPr="000B5A8D">
        <w:rPr>
          <w:rFonts w:ascii="Arial" w:hAnsi="Arial" w:cs="Arial"/>
          <w:i/>
        </w:rPr>
        <w:t xml:space="preserve"> Export Loss, Smooth Transition Strategies</w:t>
      </w:r>
      <w:r w:rsidR="008B7BA7" w:rsidRPr="000B5A8D">
        <w:rPr>
          <w:rFonts w:ascii="Arial" w:hAnsi="Arial" w:cs="Arial"/>
          <w:i/>
        </w:rPr>
        <w:t>.</w:t>
      </w:r>
      <w:r w:rsidR="00C457D0" w:rsidRPr="000B5A8D">
        <w:rPr>
          <w:rFonts w:ascii="Arial" w:hAnsi="Arial" w:cs="Arial"/>
          <w:i/>
        </w:rPr>
        <w:t xml:space="preserve"> </w:t>
      </w:r>
      <w:r w:rsidRPr="000B5A8D">
        <w:rPr>
          <w:rFonts w:ascii="Arial" w:hAnsi="Arial" w:cs="Arial"/>
          <w:i/>
        </w:rPr>
        <w:t xml:space="preserve"> </w:t>
      </w:r>
    </w:p>
    <w:p w14:paraId="03E8AE8E" w14:textId="77777777" w:rsidR="008B7BA7" w:rsidRPr="000B5A8D" w:rsidRDefault="008B7BA7" w:rsidP="00441B6F">
      <w:pPr>
        <w:pStyle w:val="Body"/>
        <w:spacing w:after="0"/>
        <w:rPr>
          <w:rFonts w:ascii="Arial" w:hAnsi="Arial" w:cs="Arial"/>
          <w:i/>
        </w:rPr>
      </w:pPr>
    </w:p>
    <w:p w14:paraId="107D3064" w14:textId="77777777" w:rsidR="00790ADA" w:rsidRPr="000B5A8D" w:rsidRDefault="00902823" w:rsidP="00441B6F">
      <w:pPr>
        <w:pStyle w:val="AbstHead"/>
        <w:spacing w:after="0"/>
        <w:jc w:val="both"/>
        <w:rPr>
          <w:rFonts w:ascii="Arial" w:hAnsi="Arial" w:cs="Arial"/>
        </w:rPr>
      </w:pPr>
      <w:r w:rsidRPr="000B5A8D">
        <w:rPr>
          <w:rFonts w:ascii="Arial" w:hAnsi="Arial" w:cs="Arial"/>
        </w:rPr>
        <w:t xml:space="preserve">1. </w:t>
      </w:r>
      <w:r w:rsidR="00B01FCD" w:rsidRPr="000B5A8D">
        <w:rPr>
          <w:rFonts w:ascii="Arial" w:hAnsi="Arial" w:cs="Arial"/>
        </w:rPr>
        <w:t>INTRODUCTION</w:t>
      </w:r>
      <w:r w:rsidR="007F7B32" w:rsidRPr="000B5A8D">
        <w:rPr>
          <w:rFonts w:ascii="Arial" w:hAnsi="Arial" w:cs="Arial"/>
        </w:rPr>
        <w:t xml:space="preserve"> </w:t>
      </w:r>
    </w:p>
    <w:p w14:paraId="2DB625A6" w14:textId="77777777" w:rsidR="001A0142" w:rsidRPr="000B5A8D" w:rsidRDefault="001A0142" w:rsidP="001A0142">
      <w:pPr>
        <w:jc w:val="both"/>
        <w:rPr>
          <w:rFonts w:ascii="Arial" w:hAnsi="Arial" w:cs="Arial"/>
        </w:rPr>
      </w:pPr>
      <w:r w:rsidRPr="000B5A8D">
        <w:rPr>
          <w:rFonts w:ascii="Arial" w:hAnsi="Arial" w:cs="Arial"/>
        </w:rPr>
        <w:t>Bangladesh is heading toward a middle-income country with incremental growth over the last five years. Current export earnings of Bangladesh reach USD 53.93 billion in FY2023-24</w:t>
      </w:r>
      <w:r w:rsidR="009B55BF" w:rsidRPr="000B5A8D">
        <w:rPr>
          <w:rFonts w:ascii="Arial" w:hAnsi="Arial" w:cs="Arial"/>
        </w:rPr>
        <w:t xml:space="preserve"> (EPB, 2024</w:t>
      </w:r>
      <w:r w:rsidR="00DC216A" w:rsidRPr="000B5A8D">
        <w:rPr>
          <w:rFonts w:ascii="Arial" w:hAnsi="Arial" w:cs="Arial"/>
        </w:rPr>
        <w:t>) but</w:t>
      </w:r>
      <w:r w:rsidRPr="000B5A8D">
        <w:rPr>
          <w:rFonts w:ascii="Arial" w:hAnsi="Arial" w:cs="Arial"/>
        </w:rPr>
        <w:t xml:space="preserve"> export concentration on RMG, and lack of product diversification may make Bangladesh uncompetitive in the world market, after Lest Developed Countries (LDC) Graduation. Bangladesh has qualified in all criteria for graduating from LDC in 2018 and met the conditions, despite various economic instabilities</w:t>
      </w:r>
      <w:r w:rsidR="009B55BF" w:rsidRPr="000B5A8D">
        <w:rPr>
          <w:rFonts w:ascii="Arial" w:hAnsi="Arial" w:cs="Arial"/>
        </w:rPr>
        <w:t xml:space="preserve"> (UN, 2024)</w:t>
      </w:r>
      <w:r w:rsidRPr="000B5A8D">
        <w:rPr>
          <w:rFonts w:ascii="Arial" w:hAnsi="Arial" w:cs="Arial"/>
        </w:rPr>
        <w:t>. The country is on track to graduate from LDC in 2026, having met and maintained all three of the UNCDP's graduation requirements in its 3</w:t>
      </w:r>
      <w:r w:rsidRPr="000B5A8D">
        <w:rPr>
          <w:rFonts w:ascii="Arial" w:hAnsi="Arial" w:cs="Arial"/>
          <w:vertAlign w:val="superscript"/>
        </w:rPr>
        <w:t>rd</w:t>
      </w:r>
      <w:r w:rsidRPr="000B5A8D">
        <w:rPr>
          <w:rFonts w:ascii="Arial" w:hAnsi="Arial" w:cs="Arial"/>
        </w:rPr>
        <w:t xml:space="preserve"> triennial evaluation in 2024. Bangladesh's government has also taken proactive steps to prepare the country for a 'graduation with momentum' and a ‘smooth transition' into a new economic environment. The objective of the research is to assess the trade preference loss with TINA simulation tools and clarify the challenges of graduation to leap forward from the LDC to developing countries. In the graduation process, the lack of an investment-friendly environment, lower-skilled manpower, unpredictable policy and lack of good governance create hurdles for an LDC like Bangladesh. Hence, the article will analyze the specific problems related to investment, product diversification, private investment, and overall growth of the economy of Bangladesh and finally draw out the solution to these specific problems. The author has analyzed the discrete view of the possible impact of LDC graduation Investment Need Analysis (TINA) simulation tools. It is a trade analysis tool developed by UNDP, ITC and WTO to help countries assess their trade and investment during economic transitions like LDC graduation. As well as twenty Key Informant Interviews (KIIs) are also taken to assess the potential impact and find out the pragmatic Smooth Transition Strategies (STS) to face the challenges of Graduation.  The article explored the variable of LDC graduation challenges on the specific indicator and its way out depending on the variable of the private investment, export diversification, resources mobilization, skilled </w:t>
      </w:r>
      <w:proofErr w:type="spellStart"/>
      <w:r w:rsidRPr="000B5A8D">
        <w:rPr>
          <w:rFonts w:ascii="Arial" w:hAnsi="Arial" w:cs="Arial"/>
        </w:rPr>
        <w:t>labour</w:t>
      </w:r>
      <w:proofErr w:type="spellEnd"/>
      <w:r w:rsidRPr="000B5A8D">
        <w:rPr>
          <w:rFonts w:ascii="Arial" w:hAnsi="Arial" w:cs="Arial"/>
        </w:rPr>
        <w:t xml:space="preserve"> forces and good governance, affecting sustainable economic development after graduation.</w:t>
      </w:r>
      <w:r w:rsidR="00DC216A" w:rsidRPr="000B5A8D">
        <w:rPr>
          <w:rFonts w:ascii="Arial" w:hAnsi="Arial" w:cs="Arial"/>
        </w:rPr>
        <w:t xml:space="preserve"> Status of Bangladesh in the triennial reviews of UNCDP are explored in the following table:</w:t>
      </w:r>
    </w:p>
    <w:p w14:paraId="3FCF296C" w14:textId="77777777" w:rsidR="00505F06" w:rsidRPr="000B5A8D" w:rsidRDefault="00505F06" w:rsidP="00441B6F">
      <w:pPr>
        <w:pStyle w:val="Body"/>
        <w:spacing w:after="0"/>
        <w:rPr>
          <w:rFonts w:ascii="Arial" w:hAnsi="Arial" w:cs="Arial"/>
        </w:rPr>
      </w:pPr>
    </w:p>
    <w:p w14:paraId="0974DF17" w14:textId="77777777" w:rsidR="009B55BF" w:rsidRPr="000B5A8D" w:rsidRDefault="009B55BF" w:rsidP="009B55BF">
      <w:pPr>
        <w:pStyle w:val="Caption"/>
        <w:keepNext/>
        <w:spacing w:after="0"/>
        <w:rPr>
          <w:rFonts w:ascii="Arial" w:hAnsi="Arial" w:cs="Arial"/>
          <w:sz w:val="20"/>
          <w:szCs w:val="20"/>
        </w:rPr>
      </w:pPr>
      <w:r w:rsidRPr="000B5A8D">
        <w:rPr>
          <w:rFonts w:ascii="Arial" w:hAnsi="Arial" w:cs="Arial"/>
          <w:sz w:val="20"/>
          <w:szCs w:val="20"/>
        </w:rPr>
        <w:t xml:space="preserve">Table </w:t>
      </w:r>
      <w:r w:rsidRPr="000B5A8D">
        <w:rPr>
          <w:rFonts w:ascii="Arial" w:hAnsi="Arial" w:cs="Arial"/>
          <w:sz w:val="20"/>
          <w:szCs w:val="20"/>
        </w:rPr>
        <w:fldChar w:fldCharType="begin"/>
      </w:r>
      <w:r w:rsidRPr="000B5A8D">
        <w:rPr>
          <w:rFonts w:ascii="Arial" w:hAnsi="Arial" w:cs="Arial"/>
          <w:sz w:val="20"/>
          <w:szCs w:val="20"/>
        </w:rPr>
        <w:instrText xml:space="preserve"> SEQ Table \* ARABIC </w:instrText>
      </w:r>
      <w:r w:rsidRPr="000B5A8D">
        <w:rPr>
          <w:rFonts w:ascii="Arial" w:hAnsi="Arial" w:cs="Arial"/>
          <w:sz w:val="20"/>
          <w:szCs w:val="20"/>
        </w:rPr>
        <w:fldChar w:fldCharType="separate"/>
      </w:r>
      <w:r w:rsidRPr="000B5A8D">
        <w:rPr>
          <w:rFonts w:ascii="Arial" w:hAnsi="Arial" w:cs="Arial"/>
          <w:noProof/>
          <w:sz w:val="20"/>
          <w:szCs w:val="20"/>
        </w:rPr>
        <w:t>1</w:t>
      </w:r>
      <w:r w:rsidRPr="000B5A8D">
        <w:rPr>
          <w:rFonts w:ascii="Arial" w:hAnsi="Arial" w:cs="Arial"/>
          <w:sz w:val="20"/>
          <w:szCs w:val="20"/>
        </w:rPr>
        <w:fldChar w:fldCharType="end"/>
      </w:r>
      <w:r w:rsidRPr="000B5A8D">
        <w:rPr>
          <w:rFonts w:ascii="Arial" w:hAnsi="Arial" w:cs="Arial"/>
          <w:sz w:val="20"/>
          <w:szCs w:val="20"/>
        </w:rPr>
        <w:t>: Status of Bangladesh in the triennial reviews of UNCDP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260"/>
        <w:gridCol w:w="1260"/>
        <w:gridCol w:w="1350"/>
        <w:gridCol w:w="1260"/>
        <w:gridCol w:w="1240"/>
        <w:gridCol w:w="1297"/>
      </w:tblGrid>
      <w:tr w:rsidR="009B55BF" w:rsidRPr="000B5A8D" w14:paraId="11780B4F" w14:textId="77777777" w:rsidTr="00127642">
        <w:tc>
          <w:tcPr>
            <w:tcW w:w="1998" w:type="dxa"/>
            <w:vMerge w:val="restart"/>
            <w:shd w:val="clear" w:color="auto" w:fill="auto"/>
          </w:tcPr>
          <w:p w14:paraId="639F3A70" w14:textId="77777777" w:rsidR="009B55BF" w:rsidRPr="000B5A8D" w:rsidRDefault="009B55BF" w:rsidP="00127642">
            <w:pPr>
              <w:jc w:val="both"/>
              <w:rPr>
                <w:rFonts w:ascii="Arial" w:hAnsi="Arial" w:cs="Arial"/>
                <w:b/>
                <w:sz w:val="18"/>
              </w:rPr>
            </w:pPr>
            <w:r w:rsidRPr="000B5A8D">
              <w:rPr>
                <w:rFonts w:ascii="Arial" w:eastAsia="Cambria" w:hAnsi="Arial" w:cs="Arial"/>
                <w:b/>
                <w:bCs/>
                <w:color w:val="000000"/>
                <w:sz w:val="18"/>
                <w:szCs w:val="24"/>
              </w:rPr>
              <w:t>Graduation Criteria</w:t>
            </w:r>
          </w:p>
        </w:tc>
        <w:tc>
          <w:tcPr>
            <w:tcW w:w="2520" w:type="dxa"/>
            <w:gridSpan w:val="2"/>
            <w:shd w:val="clear" w:color="auto" w:fill="auto"/>
          </w:tcPr>
          <w:p w14:paraId="6E91C6A8" w14:textId="77777777" w:rsidR="009B55BF" w:rsidRPr="000B5A8D" w:rsidRDefault="009B55BF" w:rsidP="00127642">
            <w:pPr>
              <w:jc w:val="both"/>
              <w:rPr>
                <w:rFonts w:ascii="Arial" w:eastAsia="Cambria" w:hAnsi="Arial" w:cs="Arial"/>
                <w:b/>
                <w:bCs/>
                <w:color w:val="000000"/>
                <w:sz w:val="18"/>
                <w:szCs w:val="24"/>
              </w:rPr>
            </w:pPr>
            <w:r w:rsidRPr="000B5A8D">
              <w:rPr>
                <w:rFonts w:ascii="Arial" w:eastAsia="Cambria" w:hAnsi="Arial" w:cs="Arial"/>
                <w:b/>
                <w:bCs/>
                <w:color w:val="000000"/>
                <w:sz w:val="18"/>
                <w:szCs w:val="24"/>
              </w:rPr>
              <w:t>2018</w:t>
            </w:r>
          </w:p>
        </w:tc>
        <w:tc>
          <w:tcPr>
            <w:tcW w:w="2610" w:type="dxa"/>
            <w:gridSpan w:val="2"/>
            <w:shd w:val="clear" w:color="auto" w:fill="auto"/>
          </w:tcPr>
          <w:p w14:paraId="697F116A" w14:textId="77777777" w:rsidR="009B55BF" w:rsidRPr="000B5A8D" w:rsidRDefault="009B55BF" w:rsidP="00127642">
            <w:pPr>
              <w:jc w:val="both"/>
              <w:rPr>
                <w:rFonts w:ascii="Arial" w:eastAsia="Cambria" w:hAnsi="Arial" w:cs="Arial"/>
                <w:b/>
                <w:bCs/>
                <w:color w:val="000000"/>
                <w:sz w:val="18"/>
                <w:szCs w:val="24"/>
              </w:rPr>
            </w:pPr>
            <w:r w:rsidRPr="000B5A8D">
              <w:rPr>
                <w:rFonts w:ascii="Arial" w:eastAsia="Cambria" w:hAnsi="Arial" w:cs="Arial"/>
                <w:b/>
                <w:bCs/>
                <w:color w:val="000000"/>
                <w:sz w:val="18"/>
                <w:szCs w:val="24"/>
              </w:rPr>
              <w:t>2021</w:t>
            </w:r>
          </w:p>
        </w:tc>
        <w:tc>
          <w:tcPr>
            <w:tcW w:w="2537" w:type="dxa"/>
            <w:gridSpan w:val="2"/>
            <w:shd w:val="clear" w:color="auto" w:fill="auto"/>
          </w:tcPr>
          <w:p w14:paraId="4ACC0F69" w14:textId="77777777" w:rsidR="009B55BF" w:rsidRPr="000B5A8D" w:rsidRDefault="009B55BF" w:rsidP="00127642">
            <w:pPr>
              <w:jc w:val="both"/>
              <w:rPr>
                <w:rFonts w:ascii="Arial" w:eastAsia="Cambria" w:hAnsi="Arial" w:cs="Arial"/>
                <w:b/>
                <w:bCs/>
                <w:color w:val="000000"/>
                <w:sz w:val="18"/>
                <w:szCs w:val="24"/>
              </w:rPr>
            </w:pPr>
            <w:r w:rsidRPr="000B5A8D">
              <w:rPr>
                <w:rFonts w:ascii="Arial" w:eastAsia="Cambria" w:hAnsi="Arial" w:cs="Arial"/>
                <w:b/>
                <w:bCs/>
                <w:color w:val="000000"/>
                <w:sz w:val="18"/>
                <w:szCs w:val="24"/>
              </w:rPr>
              <w:t>2024</w:t>
            </w:r>
          </w:p>
        </w:tc>
      </w:tr>
      <w:tr w:rsidR="009B55BF" w:rsidRPr="000B5A8D" w14:paraId="48F8DEA4" w14:textId="77777777" w:rsidTr="00127642">
        <w:tc>
          <w:tcPr>
            <w:tcW w:w="1998" w:type="dxa"/>
            <w:vMerge/>
            <w:shd w:val="clear" w:color="auto" w:fill="auto"/>
          </w:tcPr>
          <w:p w14:paraId="45569936" w14:textId="77777777" w:rsidR="009B55BF" w:rsidRPr="000B5A8D" w:rsidRDefault="009B55BF" w:rsidP="00127642">
            <w:pPr>
              <w:jc w:val="both"/>
              <w:rPr>
                <w:rFonts w:ascii="Arial" w:hAnsi="Arial" w:cs="Arial"/>
                <w:b/>
                <w:sz w:val="18"/>
                <w:szCs w:val="24"/>
              </w:rPr>
            </w:pPr>
          </w:p>
        </w:tc>
        <w:tc>
          <w:tcPr>
            <w:tcW w:w="1260" w:type="dxa"/>
            <w:shd w:val="clear" w:color="auto" w:fill="auto"/>
          </w:tcPr>
          <w:p w14:paraId="26407958" w14:textId="77777777" w:rsidR="009B55BF" w:rsidRPr="000B5A8D" w:rsidRDefault="009B55BF" w:rsidP="00127642">
            <w:pPr>
              <w:ind w:right="-150"/>
              <w:jc w:val="both"/>
              <w:rPr>
                <w:rFonts w:ascii="Arial" w:hAnsi="Arial" w:cs="Arial"/>
                <w:b/>
                <w:sz w:val="18"/>
                <w:szCs w:val="24"/>
              </w:rPr>
            </w:pPr>
            <w:r w:rsidRPr="000B5A8D">
              <w:rPr>
                <w:rFonts w:ascii="Arial" w:hAnsi="Arial" w:cs="Arial"/>
                <w:b/>
                <w:sz w:val="18"/>
                <w:szCs w:val="24"/>
              </w:rPr>
              <w:t>Graduation Threshold</w:t>
            </w:r>
          </w:p>
        </w:tc>
        <w:tc>
          <w:tcPr>
            <w:tcW w:w="1260" w:type="dxa"/>
            <w:shd w:val="clear" w:color="auto" w:fill="auto"/>
          </w:tcPr>
          <w:p w14:paraId="127BFED0" w14:textId="77777777" w:rsidR="009B55BF" w:rsidRPr="000B5A8D" w:rsidRDefault="009B55BF" w:rsidP="00127642">
            <w:pPr>
              <w:ind w:right="-150"/>
              <w:jc w:val="both"/>
              <w:rPr>
                <w:rFonts w:ascii="Arial" w:hAnsi="Arial" w:cs="Arial"/>
                <w:b/>
                <w:sz w:val="18"/>
                <w:szCs w:val="24"/>
              </w:rPr>
            </w:pPr>
            <w:r w:rsidRPr="000B5A8D">
              <w:rPr>
                <w:rFonts w:ascii="Arial" w:hAnsi="Arial" w:cs="Arial"/>
                <w:b/>
                <w:sz w:val="18"/>
                <w:szCs w:val="24"/>
              </w:rPr>
              <w:t>Bangladesh</w:t>
            </w:r>
          </w:p>
        </w:tc>
        <w:tc>
          <w:tcPr>
            <w:tcW w:w="1350" w:type="dxa"/>
            <w:shd w:val="clear" w:color="auto" w:fill="auto"/>
          </w:tcPr>
          <w:p w14:paraId="39EB1CDF" w14:textId="77777777" w:rsidR="009B55BF" w:rsidRPr="000B5A8D" w:rsidRDefault="009B55BF" w:rsidP="00127642">
            <w:pPr>
              <w:ind w:right="-150"/>
              <w:jc w:val="both"/>
              <w:rPr>
                <w:rFonts w:ascii="Arial" w:hAnsi="Arial" w:cs="Arial"/>
                <w:b/>
                <w:sz w:val="18"/>
                <w:szCs w:val="24"/>
              </w:rPr>
            </w:pPr>
            <w:r w:rsidRPr="000B5A8D">
              <w:rPr>
                <w:rFonts w:ascii="Arial" w:hAnsi="Arial" w:cs="Arial"/>
                <w:b/>
                <w:sz w:val="18"/>
                <w:szCs w:val="24"/>
              </w:rPr>
              <w:t>Graduation Threshold</w:t>
            </w:r>
          </w:p>
        </w:tc>
        <w:tc>
          <w:tcPr>
            <w:tcW w:w="1260" w:type="dxa"/>
            <w:shd w:val="clear" w:color="auto" w:fill="auto"/>
          </w:tcPr>
          <w:p w14:paraId="0BBF7068" w14:textId="77777777" w:rsidR="009B55BF" w:rsidRPr="000B5A8D" w:rsidRDefault="009B55BF" w:rsidP="00127642">
            <w:pPr>
              <w:ind w:right="-150"/>
              <w:jc w:val="both"/>
              <w:rPr>
                <w:rFonts w:ascii="Arial" w:hAnsi="Arial" w:cs="Arial"/>
                <w:b/>
                <w:sz w:val="18"/>
                <w:szCs w:val="24"/>
              </w:rPr>
            </w:pPr>
            <w:r w:rsidRPr="000B5A8D">
              <w:rPr>
                <w:rFonts w:ascii="Arial" w:eastAsia="Cambria" w:hAnsi="Arial" w:cs="Arial"/>
                <w:b/>
                <w:bCs/>
                <w:color w:val="000000"/>
                <w:sz w:val="18"/>
                <w:szCs w:val="24"/>
              </w:rPr>
              <w:t>Bangladesh</w:t>
            </w:r>
          </w:p>
        </w:tc>
        <w:tc>
          <w:tcPr>
            <w:tcW w:w="1240" w:type="dxa"/>
            <w:shd w:val="clear" w:color="auto" w:fill="auto"/>
          </w:tcPr>
          <w:p w14:paraId="4A47EDA5" w14:textId="77777777" w:rsidR="009B55BF" w:rsidRPr="000B5A8D" w:rsidRDefault="009B55BF" w:rsidP="00127642">
            <w:pPr>
              <w:ind w:right="-150"/>
              <w:jc w:val="both"/>
              <w:rPr>
                <w:rFonts w:ascii="Arial" w:hAnsi="Arial" w:cs="Arial"/>
                <w:b/>
                <w:sz w:val="18"/>
                <w:szCs w:val="24"/>
              </w:rPr>
            </w:pPr>
            <w:r w:rsidRPr="000B5A8D">
              <w:rPr>
                <w:rFonts w:ascii="Arial" w:hAnsi="Arial" w:cs="Arial"/>
                <w:b/>
                <w:sz w:val="18"/>
                <w:szCs w:val="24"/>
              </w:rPr>
              <w:t>Graduation Threshold</w:t>
            </w:r>
          </w:p>
        </w:tc>
        <w:tc>
          <w:tcPr>
            <w:tcW w:w="1297" w:type="dxa"/>
            <w:shd w:val="clear" w:color="auto" w:fill="auto"/>
          </w:tcPr>
          <w:p w14:paraId="44749EB2" w14:textId="77777777" w:rsidR="009B55BF" w:rsidRPr="000B5A8D" w:rsidRDefault="009B55BF" w:rsidP="00127642">
            <w:pPr>
              <w:ind w:right="-150"/>
              <w:jc w:val="both"/>
              <w:rPr>
                <w:rFonts w:ascii="Arial" w:hAnsi="Arial" w:cs="Arial"/>
                <w:b/>
                <w:sz w:val="18"/>
                <w:szCs w:val="24"/>
              </w:rPr>
            </w:pPr>
            <w:r w:rsidRPr="000B5A8D">
              <w:rPr>
                <w:rFonts w:ascii="Arial" w:hAnsi="Arial" w:cs="Arial"/>
                <w:b/>
                <w:sz w:val="18"/>
                <w:szCs w:val="24"/>
              </w:rPr>
              <w:t>Bangladesh</w:t>
            </w:r>
          </w:p>
        </w:tc>
      </w:tr>
      <w:tr w:rsidR="009B55BF" w:rsidRPr="000B5A8D" w14:paraId="0521B2D9" w14:textId="77777777" w:rsidTr="00127642">
        <w:tc>
          <w:tcPr>
            <w:tcW w:w="1998" w:type="dxa"/>
            <w:shd w:val="clear" w:color="auto" w:fill="auto"/>
          </w:tcPr>
          <w:p w14:paraId="0E821A77" w14:textId="77777777" w:rsidR="009B55BF" w:rsidRPr="000B5A8D" w:rsidRDefault="009B55BF" w:rsidP="00127642">
            <w:pPr>
              <w:jc w:val="both"/>
              <w:rPr>
                <w:rFonts w:ascii="Arial" w:hAnsi="Arial" w:cs="Arial"/>
                <w:sz w:val="18"/>
                <w:szCs w:val="24"/>
              </w:rPr>
            </w:pPr>
            <w:r w:rsidRPr="000B5A8D">
              <w:rPr>
                <w:rFonts w:ascii="Arial" w:eastAsia="Cambria" w:hAnsi="Arial" w:cs="Arial"/>
                <w:bCs/>
                <w:color w:val="000000"/>
                <w:sz w:val="18"/>
                <w:szCs w:val="24"/>
              </w:rPr>
              <w:lastRenderedPageBreak/>
              <w:t>Gross national income (GNI) per capita</w:t>
            </w:r>
          </w:p>
        </w:tc>
        <w:tc>
          <w:tcPr>
            <w:tcW w:w="1260" w:type="dxa"/>
            <w:shd w:val="clear" w:color="auto" w:fill="auto"/>
          </w:tcPr>
          <w:p w14:paraId="303DF563"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US$ 1,230 or above</w:t>
            </w:r>
          </w:p>
        </w:tc>
        <w:tc>
          <w:tcPr>
            <w:tcW w:w="1260" w:type="dxa"/>
            <w:shd w:val="clear" w:color="auto" w:fill="auto"/>
          </w:tcPr>
          <w:p w14:paraId="53FBAC9B"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US$ 1,274</w:t>
            </w:r>
          </w:p>
        </w:tc>
        <w:tc>
          <w:tcPr>
            <w:tcW w:w="1350" w:type="dxa"/>
            <w:shd w:val="clear" w:color="auto" w:fill="auto"/>
          </w:tcPr>
          <w:p w14:paraId="7919A7BF"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US$ 1,222</w:t>
            </w:r>
            <w:r w:rsidRPr="000B5A8D">
              <w:rPr>
                <w:rFonts w:ascii="Arial" w:eastAsia="Cambria" w:hAnsi="Arial" w:cs="Arial"/>
                <w:color w:val="000000"/>
                <w:sz w:val="18"/>
                <w:szCs w:val="24"/>
              </w:rPr>
              <w:br/>
              <w:t>or above</w:t>
            </w:r>
          </w:p>
        </w:tc>
        <w:tc>
          <w:tcPr>
            <w:tcW w:w="1260" w:type="dxa"/>
            <w:shd w:val="clear" w:color="auto" w:fill="auto"/>
          </w:tcPr>
          <w:p w14:paraId="68454ABD"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US$ 1,827</w:t>
            </w:r>
          </w:p>
        </w:tc>
        <w:tc>
          <w:tcPr>
            <w:tcW w:w="1240" w:type="dxa"/>
            <w:shd w:val="clear" w:color="auto" w:fill="auto"/>
          </w:tcPr>
          <w:p w14:paraId="45511458"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U$ 1,306</w:t>
            </w:r>
          </w:p>
        </w:tc>
        <w:tc>
          <w:tcPr>
            <w:tcW w:w="1297" w:type="dxa"/>
            <w:shd w:val="clear" w:color="auto" w:fill="auto"/>
          </w:tcPr>
          <w:p w14:paraId="52864C15"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U$ 2,684</w:t>
            </w:r>
          </w:p>
        </w:tc>
      </w:tr>
      <w:tr w:rsidR="009B55BF" w:rsidRPr="000B5A8D" w14:paraId="11B11EBA" w14:textId="77777777" w:rsidTr="00127642">
        <w:tc>
          <w:tcPr>
            <w:tcW w:w="1998" w:type="dxa"/>
            <w:shd w:val="clear" w:color="auto" w:fill="auto"/>
          </w:tcPr>
          <w:p w14:paraId="78D6F3EA" w14:textId="77777777" w:rsidR="009B55BF" w:rsidRPr="000B5A8D" w:rsidRDefault="009B55BF" w:rsidP="00127642">
            <w:pPr>
              <w:pStyle w:val="NormalWeb"/>
              <w:spacing w:before="9" w:beforeAutospacing="0" w:after="0" w:afterAutospacing="0"/>
              <w:jc w:val="both"/>
              <w:rPr>
                <w:rFonts w:ascii="Arial" w:hAnsi="Arial" w:cs="Arial"/>
                <w:sz w:val="18"/>
              </w:rPr>
            </w:pPr>
            <w:r w:rsidRPr="000B5A8D">
              <w:rPr>
                <w:rFonts w:ascii="Arial" w:eastAsia="Cambria" w:hAnsi="Arial" w:cs="Arial"/>
                <w:bCs/>
                <w:color w:val="000000"/>
                <w:sz w:val="18"/>
              </w:rPr>
              <w:t>Human assets index (HAI)</w:t>
            </w:r>
          </w:p>
        </w:tc>
        <w:tc>
          <w:tcPr>
            <w:tcW w:w="1260" w:type="dxa"/>
            <w:shd w:val="clear" w:color="auto" w:fill="auto"/>
          </w:tcPr>
          <w:p w14:paraId="695843FA"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66 or above</w:t>
            </w:r>
          </w:p>
        </w:tc>
        <w:tc>
          <w:tcPr>
            <w:tcW w:w="1260" w:type="dxa"/>
            <w:shd w:val="clear" w:color="auto" w:fill="auto"/>
          </w:tcPr>
          <w:p w14:paraId="7A34C447"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73.2</w:t>
            </w:r>
          </w:p>
        </w:tc>
        <w:tc>
          <w:tcPr>
            <w:tcW w:w="1350" w:type="dxa"/>
            <w:shd w:val="clear" w:color="auto" w:fill="auto"/>
          </w:tcPr>
          <w:p w14:paraId="555ADEAA"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66 or above</w:t>
            </w:r>
          </w:p>
        </w:tc>
        <w:tc>
          <w:tcPr>
            <w:tcW w:w="1260" w:type="dxa"/>
            <w:shd w:val="clear" w:color="auto" w:fill="auto"/>
          </w:tcPr>
          <w:p w14:paraId="1A1CF7CD"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75.3</w:t>
            </w:r>
          </w:p>
        </w:tc>
        <w:tc>
          <w:tcPr>
            <w:tcW w:w="1240" w:type="dxa"/>
            <w:shd w:val="clear" w:color="auto" w:fill="auto"/>
          </w:tcPr>
          <w:p w14:paraId="645B375B"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66 or above</w:t>
            </w:r>
          </w:p>
        </w:tc>
        <w:tc>
          <w:tcPr>
            <w:tcW w:w="1297" w:type="dxa"/>
            <w:shd w:val="clear" w:color="auto" w:fill="auto"/>
          </w:tcPr>
          <w:p w14:paraId="1A678DA1"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77.5</w:t>
            </w:r>
          </w:p>
        </w:tc>
      </w:tr>
      <w:tr w:rsidR="009B55BF" w:rsidRPr="000B5A8D" w14:paraId="6A3411D9" w14:textId="77777777" w:rsidTr="00127642">
        <w:tc>
          <w:tcPr>
            <w:tcW w:w="1998" w:type="dxa"/>
            <w:shd w:val="clear" w:color="auto" w:fill="auto"/>
          </w:tcPr>
          <w:p w14:paraId="52F472C0" w14:textId="77777777" w:rsidR="009B55BF" w:rsidRPr="000B5A8D" w:rsidRDefault="009B55BF" w:rsidP="00127642">
            <w:pPr>
              <w:jc w:val="both"/>
              <w:rPr>
                <w:rFonts w:ascii="Arial" w:hAnsi="Arial" w:cs="Arial"/>
                <w:sz w:val="18"/>
                <w:szCs w:val="24"/>
              </w:rPr>
            </w:pPr>
            <w:r w:rsidRPr="000B5A8D">
              <w:rPr>
                <w:rFonts w:ascii="Arial" w:eastAsia="Cambria" w:hAnsi="Arial" w:cs="Arial"/>
                <w:bCs/>
                <w:color w:val="000000"/>
                <w:sz w:val="18"/>
                <w:szCs w:val="24"/>
              </w:rPr>
              <w:t>Economic and environmental vulnerability index (EVI)</w:t>
            </w:r>
          </w:p>
        </w:tc>
        <w:tc>
          <w:tcPr>
            <w:tcW w:w="1260" w:type="dxa"/>
            <w:shd w:val="clear" w:color="auto" w:fill="auto"/>
          </w:tcPr>
          <w:p w14:paraId="06E31DE6" w14:textId="77777777" w:rsidR="009B55BF" w:rsidRPr="000B5A8D" w:rsidRDefault="009B55BF" w:rsidP="00127642">
            <w:pPr>
              <w:ind w:right="-80"/>
              <w:rPr>
                <w:rFonts w:ascii="Arial" w:hAnsi="Arial" w:cs="Arial"/>
                <w:sz w:val="18"/>
                <w:szCs w:val="24"/>
              </w:rPr>
            </w:pPr>
            <w:r w:rsidRPr="000B5A8D">
              <w:rPr>
                <w:rFonts w:ascii="Arial" w:hAnsi="Arial" w:cs="Arial"/>
                <w:sz w:val="18"/>
                <w:szCs w:val="24"/>
              </w:rPr>
              <w:t>32 or below</w:t>
            </w:r>
          </w:p>
        </w:tc>
        <w:tc>
          <w:tcPr>
            <w:tcW w:w="1260" w:type="dxa"/>
            <w:shd w:val="clear" w:color="auto" w:fill="auto"/>
          </w:tcPr>
          <w:p w14:paraId="51FEB47B" w14:textId="77777777" w:rsidR="009B55BF" w:rsidRPr="000B5A8D" w:rsidRDefault="009B55BF" w:rsidP="00127642">
            <w:pPr>
              <w:ind w:right="-80"/>
              <w:rPr>
                <w:rFonts w:ascii="Arial" w:hAnsi="Arial" w:cs="Arial"/>
                <w:sz w:val="18"/>
                <w:szCs w:val="24"/>
              </w:rPr>
            </w:pPr>
            <w:r w:rsidRPr="000B5A8D">
              <w:rPr>
                <w:rFonts w:ascii="Arial" w:hAnsi="Arial" w:cs="Arial"/>
                <w:sz w:val="18"/>
                <w:szCs w:val="24"/>
              </w:rPr>
              <w:t>25.2</w:t>
            </w:r>
          </w:p>
        </w:tc>
        <w:tc>
          <w:tcPr>
            <w:tcW w:w="1350" w:type="dxa"/>
            <w:shd w:val="clear" w:color="auto" w:fill="auto"/>
          </w:tcPr>
          <w:p w14:paraId="335EA7CE" w14:textId="77777777" w:rsidR="009B55BF" w:rsidRPr="000B5A8D" w:rsidRDefault="009B55BF" w:rsidP="00127642">
            <w:pPr>
              <w:ind w:right="-80"/>
              <w:rPr>
                <w:rFonts w:ascii="Arial" w:hAnsi="Arial" w:cs="Arial"/>
                <w:sz w:val="18"/>
                <w:szCs w:val="24"/>
              </w:rPr>
            </w:pPr>
            <w:r w:rsidRPr="000B5A8D">
              <w:rPr>
                <w:rFonts w:ascii="Arial" w:eastAsia="Cambria" w:hAnsi="Arial" w:cs="Arial"/>
                <w:color w:val="000000"/>
                <w:sz w:val="18"/>
                <w:szCs w:val="24"/>
              </w:rPr>
              <w:t>32 or below</w:t>
            </w:r>
          </w:p>
        </w:tc>
        <w:tc>
          <w:tcPr>
            <w:tcW w:w="1260" w:type="dxa"/>
            <w:shd w:val="clear" w:color="auto" w:fill="auto"/>
          </w:tcPr>
          <w:p w14:paraId="51584A80"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27.2</w:t>
            </w:r>
          </w:p>
        </w:tc>
        <w:tc>
          <w:tcPr>
            <w:tcW w:w="1240" w:type="dxa"/>
            <w:shd w:val="clear" w:color="auto" w:fill="auto"/>
          </w:tcPr>
          <w:p w14:paraId="432EE0F9" w14:textId="77777777" w:rsidR="009B55BF" w:rsidRPr="000B5A8D" w:rsidRDefault="009B55BF" w:rsidP="00127642">
            <w:pPr>
              <w:ind w:right="-80"/>
              <w:rPr>
                <w:rFonts w:ascii="Arial" w:hAnsi="Arial" w:cs="Arial"/>
                <w:sz w:val="18"/>
                <w:szCs w:val="24"/>
              </w:rPr>
            </w:pPr>
            <w:r w:rsidRPr="000B5A8D">
              <w:rPr>
                <w:rFonts w:ascii="Arial" w:hAnsi="Arial" w:cs="Arial"/>
                <w:sz w:val="18"/>
                <w:szCs w:val="24"/>
              </w:rPr>
              <w:t>32 or below</w:t>
            </w:r>
          </w:p>
        </w:tc>
        <w:tc>
          <w:tcPr>
            <w:tcW w:w="1297" w:type="dxa"/>
            <w:shd w:val="clear" w:color="auto" w:fill="auto"/>
          </w:tcPr>
          <w:p w14:paraId="78798D71" w14:textId="77777777" w:rsidR="009B55BF" w:rsidRPr="000B5A8D" w:rsidRDefault="009B55BF" w:rsidP="00127642">
            <w:pPr>
              <w:jc w:val="center"/>
              <w:rPr>
                <w:rFonts w:ascii="Arial" w:hAnsi="Arial" w:cs="Arial"/>
                <w:sz w:val="18"/>
                <w:szCs w:val="24"/>
              </w:rPr>
            </w:pPr>
            <w:r w:rsidRPr="000B5A8D">
              <w:rPr>
                <w:rFonts w:ascii="Arial" w:hAnsi="Arial" w:cs="Arial"/>
                <w:sz w:val="18"/>
                <w:szCs w:val="24"/>
              </w:rPr>
              <w:t>21.9</w:t>
            </w:r>
          </w:p>
        </w:tc>
      </w:tr>
    </w:tbl>
    <w:p w14:paraId="6A9D9DF4" w14:textId="77777777" w:rsidR="009B55BF" w:rsidRPr="000B5A8D" w:rsidRDefault="009B55BF" w:rsidP="009B55BF">
      <w:pPr>
        <w:jc w:val="both"/>
        <w:rPr>
          <w:rFonts w:ascii="Times New Roman" w:hAnsi="Times New Roman"/>
          <w:b/>
          <w:sz w:val="24"/>
        </w:rPr>
      </w:pPr>
      <w:r w:rsidRPr="000B5A8D">
        <w:rPr>
          <w:rFonts w:ascii="Times New Roman" w:hAnsi="Times New Roman"/>
          <w:b/>
          <w:sz w:val="24"/>
        </w:rPr>
        <w:t xml:space="preserve">Source: UNCTAD 2024 statics </w:t>
      </w:r>
    </w:p>
    <w:p w14:paraId="3BC1779A" w14:textId="77777777" w:rsidR="001A0142" w:rsidRPr="000B5A8D" w:rsidRDefault="001A0142" w:rsidP="00441B6F">
      <w:pPr>
        <w:pStyle w:val="Body"/>
        <w:spacing w:after="0"/>
        <w:rPr>
          <w:rFonts w:ascii="Arial" w:hAnsi="Arial" w:cs="Arial"/>
        </w:rPr>
      </w:pPr>
    </w:p>
    <w:p w14:paraId="0816203F" w14:textId="77777777" w:rsidR="00206583" w:rsidRPr="000B5A8D" w:rsidRDefault="00206583" w:rsidP="00C457D0">
      <w:pPr>
        <w:pStyle w:val="AbstHead"/>
        <w:spacing w:after="0"/>
        <w:jc w:val="both"/>
        <w:rPr>
          <w:rFonts w:ascii="Arial" w:hAnsi="Arial" w:cs="Arial"/>
        </w:rPr>
      </w:pPr>
      <w:r w:rsidRPr="000B5A8D">
        <w:rPr>
          <w:rFonts w:ascii="Arial" w:hAnsi="Arial" w:cs="Arial"/>
        </w:rPr>
        <w:t>2. Literature Review</w:t>
      </w:r>
    </w:p>
    <w:p w14:paraId="53DFC76F" w14:textId="77777777" w:rsidR="00DC216A" w:rsidRPr="000B5A8D" w:rsidRDefault="00DC216A" w:rsidP="00DC216A">
      <w:pPr>
        <w:jc w:val="both"/>
        <w:rPr>
          <w:rFonts w:ascii="Arial" w:hAnsi="Arial" w:cs="Arial"/>
        </w:rPr>
      </w:pPr>
      <w:r w:rsidRPr="000B5A8D">
        <w:rPr>
          <w:rFonts w:ascii="Arial" w:hAnsi="Arial" w:cs="Arial"/>
        </w:rPr>
        <w:t>Bhattacharya &amp; Borgatti (2012) urged that the graduation process is directly related to human capital development and they emphasize human capital development, given the proper human capital enforcement policies. They prioritize framing national employment-generating strategies at the domestic level, aiming to leave the LDC category. Given the concern, if private investment along with product diversification and market expansion is not possible, then the opportunity will shrink to become a developed nation</w:t>
      </w:r>
      <w:r w:rsidRPr="000B5A8D">
        <w:rPr>
          <w:rStyle w:val="comma-separator"/>
          <w:rFonts w:ascii="Arial" w:hAnsi="Arial" w:cs="Arial"/>
          <w:color w:val="000000"/>
          <w:bdr w:val="none" w:sz="0" w:space="0" w:color="auto" w:frame="1"/>
          <w:shd w:val="clear" w:color="auto" w:fill="FFFFFF"/>
        </w:rPr>
        <w:t xml:space="preserve"> (</w:t>
      </w:r>
      <w:r w:rsidRPr="000B5A8D">
        <w:rPr>
          <w:rFonts w:ascii="Arial" w:hAnsi="Arial" w:cs="Arial"/>
          <w:bdr w:val="none" w:sz="0" w:space="0" w:color="auto" w:frame="1"/>
        </w:rPr>
        <w:t>Ramirez</w:t>
      </w:r>
      <w:r w:rsidRPr="000B5A8D">
        <w:rPr>
          <w:rStyle w:val="comma-separator"/>
          <w:rFonts w:ascii="Arial" w:hAnsi="Arial" w:cs="Arial"/>
          <w:color w:val="000000"/>
          <w:bdr w:val="none" w:sz="0" w:space="0" w:color="auto" w:frame="1"/>
          <w:shd w:val="clear" w:color="auto" w:fill="FFFFFF"/>
        </w:rPr>
        <w:t xml:space="preserve"> &amp;</w:t>
      </w:r>
      <w:r w:rsidRPr="000B5A8D">
        <w:rPr>
          <w:rFonts w:ascii="Arial" w:hAnsi="Arial" w:cs="Arial"/>
          <w:bdr w:val="none" w:sz="0" w:space="0" w:color="auto" w:frame="1"/>
        </w:rPr>
        <w:t xml:space="preserve"> Nazmi, 2003)</w:t>
      </w:r>
      <w:r w:rsidRPr="000B5A8D">
        <w:rPr>
          <w:rFonts w:ascii="Arial" w:hAnsi="Arial" w:cs="Arial"/>
        </w:rPr>
        <w:t xml:space="preserve">. The growth of technology, the discovery of new economic resources, specialization in </w:t>
      </w:r>
      <w:proofErr w:type="spellStart"/>
      <w:r w:rsidRPr="000B5A8D">
        <w:rPr>
          <w:rFonts w:ascii="Arial" w:hAnsi="Arial" w:cs="Arial"/>
        </w:rPr>
        <w:t>labour</w:t>
      </w:r>
      <w:proofErr w:type="spellEnd"/>
      <w:r w:rsidRPr="000B5A8D">
        <w:rPr>
          <w:rFonts w:ascii="Arial" w:hAnsi="Arial" w:cs="Arial"/>
        </w:rPr>
        <w:t xml:space="preserve"> skills, producing more value-added products and savings supported by investment enhance the process of graduation (Rai,2017). Because of low income and structural impediments to least developed countries, long-term socio-economic development is rounding up a vicious circle of underdevelopment. </w:t>
      </w:r>
    </w:p>
    <w:p w14:paraId="4AF2D027" w14:textId="77777777" w:rsidR="00DC216A" w:rsidRPr="000B5A8D" w:rsidRDefault="00DC216A" w:rsidP="00DC216A">
      <w:pPr>
        <w:jc w:val="both"/>
        <w:rPr>
          <w:rFonts w:ascii="Arial" w:hAnsi="Arial" w:cs="Arial"/>
        </w:rPr>
      </w:pPr>
    </w:p>
    <w:p w14:paraId="60285869" w14:textId="77777777" w:rsidR="00DC216A" w:rsidRPr="000B5A8D" w:rsidRDefault="00DC216A" w:rsidP="00DC216A">
      <w:pPr>
        <w:jc w:val="both"/>
        <w:rPr>
          <w:rFonts w:ascii="Arial" w:hAnsi="Arial" w:cs="Arial"/>
        </w:rPr>
      </w:pPr>
      <w:r w:rsidRPr="000B5A8D">
        <w:rPr>
          <w:rFonts w:ascii="Arial" w:hAnsi="Arial" w:cs="Arial"/>
        </w:rPr>
        <w:t>Chakraborty &amp; Gopal (2011) urged infrastructure gaps and an urgent need for modernized transport, energy, and digital connectivity to make uncertain Bangladesh’s progress toward achieving middle</w:t>
      </w:r>
      <w:r w:rsidRPr="000B5A8D">
        <w:rPr>
          <w:rFonts w:ascii="Cambria Math" w:hAnsi="Cambria Math" w:cs="Cambria Math"/>
        </w:rPr>
        <w:t>‐</w:t>
      </w:r>
      <w:r w:rsidRPr="000B5A8D">
        <w:rPr>
          <w:rFonts w:ascii="Arial" w:hAnsi="Arial" w:cs="Arial"/>
        </w:rPr>
        <w:t xml:space="preserve">income status. Specially, regulatory and policy bottlenecks that hinder further private sector investment and productivity. As well as a persistent skills gap and other human capital constraints in keeping pace with rapid industrial change cannot ensure uninterrupted support for industrial growth. They also suggested implementing pragmatic policy reform to create a more business-friendly environment that attracts foreign direct investment. They also suggested investing in modern infrastructure and human capital development to facilitate diversified and high-value exports. </w:t>
      </w:r>
      <w:proofErr w:type="spellStart"/>
      <w:r w:rsidRPr="000B5A8D">
        <w:rPr>
          <w:rFonts w:ascii="Arial" w:hAnsi="Arial" w:cs="Arial"/>
        </w:rPr>
        <w:t>IPoA</w:t>
      </w:r>
      <w:proofErr w:type="spellEnd"/>
      <w:r w:rsidRPr="000B5A8D">
        <w:rPr>
          <w:rFonts w:ascii="Arial" w:hAnsi="Arial" w:cs="Arial"/>
        </w:rPr>
        <w:t xml:space="preserve"> finds that building productive capacity, enhancing trade in goods and services, flows of different forms of development finance and disasters are possible challenges to graduation. The report identified that the export baskets of the LDCs have become less diversified over time and there is increased export concentration against the dramatic preference erosion for the LDCs (LDC IV Monitor,2020). </w:t>
      </w:r>
    </w:p>
    <w:p w14:paraId="06D491BC" w14:textId="77777777" w:rsidR="008B7BA7" w:rsidRPr="000B5A8D" w:rsidRDefault="008B7BA7" w:rsidP="00DC216A">
      <w:pPr>
        <w:jc w:val="both"/>
        <w:rPr>
          <w:rFonts w:ascii="Arial" w:hAnsi="Arial" w:cs="Arial"/>
        </w:rPr>
      </w:pPr>
    </w:p>
    <w:p w14:paraId="23E787C1" w14:textId="77777777" w:rsidR="00DC216A" w:rsidRPr="000B5A8D" w:rsidRDefault="00DC216A" w:rsidP="00DC216A">
      <w:pPr>
        <w:jc w:val="both"/>
        <w:rPr>
          <w:rFonts w:ascii="Arial" w:hAnsi="Arial" w:cs="Arial"/>
        </w:rPr>
      </w:pPr>
      <w:r w:rsidRPr="000B5A8D">
        <w:rPr>
          <w:rFonts w:ascii="Arial" w:hAnsi="Arial" w:cs="Arial"/>
        </w:rPr>
        <w:t xml:space="preserve">UN ESCAP (2019) report explores that since 1991, Vanuatu has consistently met the two criteria per capita income threshold, and human capital criteria but Vanuatu has never become successful in the economic vulnerability threshold. Vanuatu in its early stage faced significant barriers to international trade, and export earnings and remained dependent on the same handful of unprocessed or semi-processed agricultural commodities. Despite these hurdles, when its graduation was formally triggered in 2012, Vanuatu reviewed its complex policy framework and sectoral strategies to boost productive capacity, reduce reliance on imports, improve export potential, raise much-needed revenue, create gainful employment and income-generating opportunities and perform better in Economic Vulnerability Index (EVI) (Brien, 2017). </w:t>
      </w:r>
    </w:p>
    <w:p w14:paraId="044FC245" w14:textId="77777777" w:rsidR="00DC216A" w:rsidRPr="000B5A8D" w:rsidRDefault="00DC216A" w:rsidP="00DC216A">
      <w:pPr>
        <w:jc w:val="both"/>
        <w:rPr>
          <w:rFonts w:ascii="Arial" w:hAnsi="Arial" w:cs="Arial"/>
        </w:rPr>
      </w:pPr>
    </w:p>
    <w:p w14:paraId="02DC8BAA" w14:textId="77777777" w:rsidR="00DC216A" w:rsidRPr="000B5A8D" w:rsidRDefault="00DC216A" w:rsidP="00DC216A">
      <w:pPr>
        <w:autoSpaceDE w:val="0"/>
        <w:autoSpaceDN w:val="0"/>
        <w:adjustRightInd w:val="0"/>
        <w:jc w:val="both"/>
        <w:rPr>
          <w:rFonts w:ascii="Arial" w:hAnsi="Arial" w:cs="Arial"/>
        </w:rPr>
      </w:pPr>
      <w:r w:rsidRPr="000B5A8D">
        <w:rPr>
          <w:rFonts w:ascii="Arial" w:hAnsi="Arial" w:cs="Arial"/>
        </w:rPr>
        <w:t xml:space="preserve">Kim (2018) found that during the past 47 years, only five countries namely Botswana in 1994, Cape Verde in 2007, the Maldives in 2011, Samoa in 2014, and Equatorial Guinea in 2017 graduated from LDC out of 52 LDCs. Currently, 47 countries are in the LDC threshold, of which 33 countries are from Africa, 13 countries from Asia, and 1 country from Latin America. By developing a historical graph, he sheds light on how the GNI and HAI indices of developing countries are on the rise from 2012 to 2018 but there is little change in the EVI index of those countries. Finally, he emphasizes the unprecedented pace of growth in per capita income, human assets, and reduction in economic and environmental vulnerability. His statistical research informed that LDCs must either increase their revenue by at least 7% or accelerate their advancement two or three times quicker than long-term trends. A significant portion of LDCs will only be able to achieve the graduation requirements by 2030 under such circumstances (Bhattacharya &amp; Khan, 2018). </w:t>
      </w:r>
    </w:p>
    <w:p w14:paraId="61E6ADE1" w14:textId="77777777" w:rsidR="00DC216A" w:rsidRPr="000B5A8D" w:rsidRDefault="00DC216A" w:rsidP="00DC216A">
      <w:pPr>
        <w:jc w:val="both"/>
        <w:rPr>
          <w:rFonts w:ascii="Arial" w:hAnsi="Arial" w:cs="Arial"/>
        </w:rPr>
      </w:pPr>
    </w:p>
    <w:p w14:paraId="69A988A0" w14:textId="77777777" w:rsidR="00DC216A" w:rsidRPr="000B5A8D" w:rsidRDefault="00DC216A" w:rsidP="00DC216A">
      <w:pPr>
        <w:jc w:val="both"/>
        <w:rPr>
          <w:rFonts w:ascii="Arial" w:hAnsi="Arial" w:cs="Arial"/>
          <w:shd w:val="clear" w:color="auto" w:fill="FFFF00"/>
        </w:rPr>
      </w:pPr>
      <w:r w:rsidRPr="000B5A8D">
        <w:rPr>
          <w:rFonts w:ascii="Arial" w:hAnsi="Arial" w:cs="Arial"/>
        </w:rPr>
        <w:t xml:space="preserve">Bangladesh’s absence from regional trade agreement negotiations may impact its future trade potential. Khan &amp; Kamal (2018) explored that the future economic growth prospects may depend on </w:t>
      </w:r>
      <w:proofErr w:type="spellStart"/>
      <w:r w:rsidRPr="000B5A8D">
        <w:rPr>
          <w:rFonts w:ascii="Arial" w:hAnsi="Arial" w:cs="Arial"/>
        </w:rPr>
        <w:t>labour</w:t>
      </w:r>
      <w:proofErr w:type="spellEnd"/>
      <w:r w:rsidRPr="000B5A8D">
        <w:rPr>
          <w:rFonts w:ascii="Arial" w:hAnsi="Arial" w:cs="Arial"/>
        </w:rPr>
        <w:t xml:space="preserve"> productivity and hence pragmatic measures to enhance human capital in the context of a changing demographic dividend while reviewing the existing policy reform is necessary. Finally, they shed light on remittance inflow, as it is so crucial for Bangladesh to enable socio-economic development at national and household </w:t>
      </w:r>
      <w:r w:rsidRPr="006E0185">
        <w:rPr>
          <w:rFonts w:ascii="Arial" w:hAnsi="Arial" w:cs="Arial"/>
        </w:rPr>
        <w:t>levels</w:t>
      </w:r>
      <w:r w:rsidRPr="006E0185">
        <w:rPr>
          <w:rFonts w:ascii="Arial" w:hAnsi="Arial" w:cs="Arial"/>
          <w:shd w:val="clear" w:color="auto" w:fill="FFFF00"/>
        </w:rPr>
        <w:t>.</w:t>
      </w:r>
    </w:p>
    <w:p w14:paraId="27EB4495" w14:textId="77777777" w:rsidR="00DC216A" w:rsidRPr="000B5A8D" w:rsidRDefault="00DC216A" w:rsidP="00DC216A">
      <w:pPr>
        <w:jc w:val="both"/>
        <w:rPr>
          <w:rFonts w:ascii="Arial" w:hAnsi="Arial" w:cs="Arial"/>
        </w:rPr>
      </w:pPr>
    </w:p>
    <w:p w14:paraId="07B2D589" w14:textId="77777777" w:rsidR="00DC216A" w:rsidRPr="000B5A8D" w:rsidRDefault="00DC216A" w:rsidP="00DC216A">
      <w:pPr>
        <w:jc w:val="both"/>
        <w:rPr>
          <w:rFonts w:ascii="Arial" w:hAnsi="Arial" w:cs="Arial"/>
        </w:rPr>
      </w:pPr>
      <w:r w:rsidRPr="000B5A8D">
        <w:rPr>
          <w:rFonts w:ascii="Arial" w:hAnsi="Arial" w:cs="Arial"/>
        </w:rPr>
        <w:t xml:space="preserve">UNCTAD Hand books of statistics (2018) reported that at least ten countries including Angola, Vanuatu, Timor-Leste, Tuvalu, Bhutan, Nepal, São Tomé, and Príncipe, and the Solomon Islands may be graduated within 2021. The report explained that the real GDP growth of the graduated countries except Samoa declined considerably in 5 years after graduation from 5 years before graduation. While the GDP growth of the last 5 years in Bangladesh an on average 7% plus. During the same time, the status of the current account as a percentage of GDP deteriorated in Cape Verde and Samoa </w:t>
      </w:r>
      <w:r w:rsidRPr="000B5A8D">
        <w:rPr>
          <w:rFonts w:ascii="Arial" w:hAnsi="Arial" w:cs="Arial"/>
        </w:rPr>
        <w:lastRenderedPageBreak/>
        <w:t xml:space="preserve">but improved in the Maldives though the country couldn’t come out from deficit. Interestingly, FDI, as a percentage of GDP increased in almost all graduates after 5 years of graduation. Remittance, as a percentage of GDP becomes declined in almost all graduates and the Tax-GDP ratio increased in Maldives and Samoa but reduced in Botswana and Cape Verde while the Tax-GDP ratio of Bangladesh is lower than that of all the countries. </w:t>
      </w:r>
    </w:p>
    <w:p w14:paraId="72B68E3B" w14:textId="77777777" w:rsidR="001F4BC3" w:rsidRPr="000B5A8D" w:rsidRDefault="001F4BC3" w:rsidP="00DC216A">
      <w:pPr>
        <w:jc w:val="both"/>
        <w:rPr>
          <w:rFonts w:ascii="Arial" w:hAnsi="Arial" w:cs="Arial"/>
        </w:rPr>
      </w:pPr>
    </w:p>
    <w:p w14:paraId="607B66BE" w14:textId="77777777" w:rsidR="001F4BC3" w:rsidRPr="000B5A8D" w:rsidRDefault="00DC216A" w:rsidP="00DC216A">
      <w:pPr>
        <w:jc w:val="both"/>
        <w:rPr>
          <w:rFonts w:ascii="Arial" w:hAnsi="Arial" w:cs="Arial"/>
          <w:color w:val="222222"/>
        </w:rPr>
      </w:pPr>
      <w:r w:rsidRPr="000B5A8D">
        <w:rPr>
          <w:rFonts w:ascii="Arial" w:hAnsi="Arial" w:cs="Arial"/>
        </w:rPr>
        <w:t xml:space="preserve">With the largest population and higher GDP, Bangladesh faces an exceptional experience compared to its peer-graduated economies throughout 2010-19. Bangladesh had higher and more stable growth in its real GDP—an average of 6% plus. Remittance as a percentage of GDP and the manufacturing sector is also in a better situation than that of peers (Gay, 2017). Hence, Daniel Gay defined the move for Bangladesh on the next rung of development as a major concern, as Bangladesh has to raise wages of working poor without losing international competitiveness while her competitiveness is currently lying on cheap </w:t>
      </w:r>
      <w:proofErr w:type="spellStart"/>
      <w:r w:rsidRPr="000B5A8D">
        <w:rPr>
          <w:rFonts w:ascii="Arial" w:hAnsi="Arial" w:cs="Arial"/>
        </w:rPr>
        <w:t>labour</w:t>
      </w:r>
      <w:proofErr w:type="spellEnd"/>
      <w:r w:rsidRPr="000B5A8D">
        <w:rPr>
          <w:rFonts w:ascii="Arial" w:hAnsi="Arial" w:cs="Arial"/>
        </w:rPr>
        <w:t>. He further urged</w:t>
      </w:r>
      <w:r w:rsidRPr="000B5A8D">
        <w:rPr>
          <w:rFonts w:ascii="Arial" w:hAnsi="Arial" w:cs="Arial"/>
          <w:vertAlign w:val="superscript"/>
        </w:rPr>
        <w:t xml:space="preserve"> </w:t>
      </w:r>
      <w:r w:rsidRPr="000B5A8D">
        <w:rPr>
          <w:rFonts w:ascii="Arial" w:hAnsi="Arial" w:cs="Arial"/>
          <w:color w:val="222222"/>
        </w:rPr>
        <w:t xml:space="preserve">Bangladesh exporters will remain competitive over the medium term of graduation but a number of other economic challenges like infrastructure, exchange rate and the global economic trend will become the major concern. </w:t>
      </w:r>
    </w:p>
    <w:p w14:paraId="792163DB" w14:textId="77777777" w:rsidR="00DC216A" w:rsidRPr="000B5A8D" w:rsidRDefault="00DC216A" w:rsidP="00DC216A">
      <w:pPr>
        <w:jc w:val="both"/>
        <w:rPr>
          <w:rFonts w:ascii="Arial" w:hAnsi="Arial" w:cs="Arial"/>
        </w:rPr>
      </w:pPr>
      <w:r w:rsidRPr="000B5A8D">
        <w:rPr>
          <w:rFonts w:ascii="Arial" w:hAnsi="Arial" w:cs="Arial"/>
        </w:rPr>
        <w:t xml:space="preserve">In evaluating the performance of Bangladesh in all three criteria, </w:t>
      </w:r>
      <w:proofErr w:type="spellStart"/>
      <w:r w:rsidRPr="000B5A8D">
        <w:rPr>
          <w:rFonts w:ascii="Arial" w:hAnsi="Arial" w:cs="Arial"/>
        </w:rPr>
        <w:t>Odusola</w:t>
      </w:r>
      <w:proofErr w:type="spellEnd"/>
      <w:r w:rsidRPr="000B5A8D">
        <w:rPr>
          <w:rFonts w:ascii="Arial" w:hAnsi="Arial" w:cs="Arial"/>
        </w:rPr>
        <w:t xml:space="preserve"> (2016) urged along with the GNI and HAI index, no country graduated under economic vulnerability criterion. It proves better performance in the economic vulnerability criterion can enhance the merchandise export with the diversified product, as it can make the easier process for graduation. He further explored that a smoother transition of LDC implies enhancing agricultural productivity and diversifying economies from primary commodities production and export market are crucial.</w:t>
      </w:r>
    </w:p>
    <w:p w14:paraId="1100CACA" w14:textId="77777777" w:rsidR="00DC216A" w:rsidRPr="000B5A8D" w:rsidRDefault="00DC216A" w:rsidP="00DC216A">
      <w:pPr>
        <w:jc w:val="both"/>
        <w:rPr>
          <w:rFonts w:ascii="Arial" w:hAnsi="Arial" w:cs="Arial"/>
        </w:rPr>
      </w:pPr>
    </w:p>
    <w:p w14:paraId="66704F2B" w14:textId="77777777" w:rsidR="00DC216A" w:rsidRPr="000B5A8D" w:rsidRDefault="00DC216A" w:rsidP="00DC216A">
      <w:pPr>
        <w:jc w:val="both"/>
        <w:rPr>
          <w:rFonts w:ascii="Arial" w:hAnsi="Arial" w:cs="Arial"/>
        </w:rPr>
      </w:pPr>
      <w:r w:rsidRPr="000B5A8D">
        <w:rPr>
          <w:rFonts w:ascii="Arial" w:hAnsi="Arial" w:cs="Arial"/>
        </w:rPr>
        <w:t xml:space="preserve">Analyzing the economy of Botswana, Makoni (2015), it was found that diamonds contribute 50% of Botswana’s GDP and the extreme dependence of economies on only one sector hindered them from gaining satisfactory results in the economic vulnerability index. Exemplifying the weakness of Maldives, he urged that Maldives’ FDI depends on the tourism sector constituting 88.9% of GDP. Hence, it is justified, that to perform better in the Economic Vulnerability Index (EVI), export diversification of traditional export-oriented industry is necessary. </w:t>
      </w:r>
    </w:p>
    <w:p w14:paraId="7D9A0FC4" w14:textId="77777777" w:rsidR="00DC216A" w:rsidRPr="000B5A8D" w:rsidRDefault="00DC216A" w:rsidP="00DC216A">
      <w:pPr>
        <w:jc w:val="both"/>
        <w:rPr>
          <w:rFonts w:ascii="Arial" w:hAnsi="Arial" w:cs="Arial"/>
        </w:rPr>
      </w:pPr>
    </w:p>
    <w:p w14:paraId="1A5BC8AB" w14:textId="77777777" w:rsidR="00DC216A" w:rsidRPr="000B5A8D" w:rsidRDefault="00DC216A" w:rsidP="00DC216A">
      <w:pPr>
        <w:jc w:val="both"/>
        <w:rPr>
          <w:rFonts w:ascii="Times New Roman" w:hAnsi="Times New Roman"/>
          <w:sz w:val="24"/>
          <w:shd w:val="clear" w:color="auto" w:fill="FFFFFF"/>
        </w:rPr>
      </w:pPr>
      <w:r w:rsidRPr="000B5A8D">
        <w:rPr>
          <w:rFonts w:ascii="Arial" w:hAnsi="Arial" w:cs="Arial"/>
          <w:shd w:val="clear" w:color="auto" w:fill="FFFFFF"/>
        </w:rPr>
        <w:t>Bruckner (2018) urged that the Maldives’ fishery industry providing 11 % of the country’s employment and a major share of exports, was exposed to a fear of reduction because of graduation from LDC. In Post LDC graduation, Maldives managed to keep the export of fish stable and promoted export diversification, product innovation and higher value-added products. Maldives’ experience of the fish industry suggests the loss of preference can successfully be managed if a country can already develop a reasonable level of productive capacity and diversification</w:t>
      </w:r>
      <w:r w:rsidRPr="000B5A8D">
        <w:rPr>
          <w:rFonts w:ascii="Times New Roman" w:hAnsi="Times New Roman"/>
          <w:sz w:val="24"/>
          <w:shd w:val="clear" w:color="auto" w:fill="FFFFFF"/>
        </w:rPr>
        <w:t>.</w:t>
      </w:r>
    </w:p>
    <w:p w14:paraId="4E2E0257" w14:textId="77777777" w:rsidR="009B55BF" w:rsidRPr="000B5A8D" w:rsidRDefault="009B55BF" w:rsidP="00441B6F">
      <w:pPr>
        <w:pStyle w:val="Body"/>
        <w:spacing w:after="0"/>
        <w:rPr>
          <w:rFonts w:ascii="Arial" w:hAnsi="Arial" w:cs="Arial"/>
        </w:rPr>
      </w:pPr>
    </w:p>
    <w:p w14:paraId="561CA29D" w14:textId="77777777" w:rsidR="00127642" w:rsidRPr="000B5A8D" w:rsidRDefault="00206583" w:rsidP="00127642">
      <w:pPr>
        <w:pStyle w:val="AbstHead"/>
        <w:spacing w:after="0"/>
        <w:jc w:val="both"/>
        <w:rPr>
          <w:rFonts w:ascii="Arial" w:hAnsi="Arial" w:cs="Arial"/>
        </w:rPr>
      </w:pPr>
      <w:r w:rsidRPr="000B5A8D">
        <w:rPr>
          <w:rFonts w:ascii="Arial" w:hAnsi="Arial" w:cs="Arial"/>
        </w:rPr>
        <w:t>3</w:t>
      </w:r>
      <w:r w:rsidR="009B55BF" w:rsidRPr="000B5A8D">
        <w:rPr>
          <w:rFonts w:ascii="Arial" w:hAnsi="Arial" w:cs="Arial"/>
        </w:rPr>
        <w:t xml:space="preserve">. </w:t>
      </w:r>
      <w:r w:rsidR="00127642" w:rsidRPr="000B5A8D">
        <w:rPr>
          <w:rFonts w:ascii="Arial" w:hAnsi="Arial" w:cs="Arial"/>
        </w:rPr>
        <w:t xml:space="preserve">methodology of the Study  </w:t>
      </w:r>
    </w:p>
    <w:p w14:paraId="2397472A" w14:textId="77777777" w:rsidR="00127642" w:rsidRPr="000B5A8D" w:rsidRDefault="00127642" w:rsidP="00127642">
      <w:pPr>
        <w:jc w:val="both"/>
        <w:rPr>
          <w:rFonts w:ascii="Arial" w:hAnsi="Arial" w:cs="Arial"/>
        </w:rPr>
      </w:pPr>
      <w:r w:rsidRPr="000B5A8D">
        <w:rPr>
          <w:rFonts w:ascii="Arial" w:hAnsi="Arial" w:cs="Arial"/>
        </w:rPr>
        <w:t>Graduation from LDC will pose a multifaceted pressure for market access, preference erosion, value addition condition additional tariff, reducing overall export and employment of LDC like Bangladesh. The Bangladeshi exporters will face the risk of losing competitiveness in international market due to loss of preferential access in EU and other developed country market, erasing WTO waiver and preference under TRIPS, etc. Official Development Assistance (ODA) will be reduced</w:t>
      </w:r>
      <w:r w:rsidR="00F72E90" w:rsidRPr="000B5A8D">
        <w:rPr>
          <w:rFonts w:ascii="Arial" w:hAnsi="Arial" w:cs="Arial"/>
        </w:rPr>
        <w:t xml:space="preserve"> (World Bank, 2024)</w:t>
      </w:r>
      <w:r w:rsidRPr="000B5A8D">
        <w:rPr>
          <w:rFonts w:ascii="Arial" w:hAnsi="Arial" w:cs="Arial"/>
        </w:rPr>
        <w:t>. Exporters’ major challenge will be to face “preference erosion” due to the LDC graduation, as they will face additional tariffs in the absence of LDC treatment, resulting in a billion-dollar export loss. The market preference provided by WTO, GSP and different trade agreements can be lessened. The Preferential Market Access that Bangladesh will lose due to graduation are as follows;</w:t>
      </w:r>
    </w:p>
    <w:p w14:paraId="7D91DFD5" w14:textId="77777777" w:rsidR="00127642" w:rsidRPr="000B5A8D" w:rsidRDefault="00127642" w:rsidP="00127642">
      <w:pPr>
        <w:numPr>
          <w:ilvl w:val="0"/>
          <w:numId w:val="31"/>
        </w:numPr>
        <w:rPr>
          <w:rFonts w:ascii="Arial" w:hAnsi="Arial" w:cs="Arial"/>
          <w:color w:val="0E101A"/>
        </w:rPr>
      </w:pPr>
      <w:r w:rsidRPr="000B5A8D">
        <w:rPr>
          <w:rFonts w:ascii="Arial" w:hAnsi="Arial" w:cs="Arial"/>
          <w:color w:val="0E101A"/>
        </w:rPr>
        <w:t>World Trade Organization (WTO) specific provision for Special and Differential Treatment (S&amp;D) treatment for LDC.</w:t>
      </w:r>
    </w:p>
    <w:p w14:paraId="6044FCD1" w14:textId="77777777" w:rsidR="00127642" w:rsidRPr="000B5A8D" w:rsidRDefault="00127642" w:rsidP="00127642">
      <w:pPr>
        <w:numPr>
          <w:ilvl w:val="0"/>
          <w:numId w:val="31"/>
        </w:numPr>
        <w:rPr>
          <w:rFonts w:ascii="Arial" w:hAnsi="Arial" w:cs="Arial"/>
          <w:color w:val="0E101A"/>
        </w:rPr>
      </w:pPr>
      <w:r w:rsidRPr="000B5A8D">
        <w:rPr>
          <w:rFonts w:ascii="Arial" w:hAnsi="Arial" w:cs="Arial"/>
          <w:color w:val="0E101A"/>
        </w:rPr>
        <w:t xml:space="preserve">Generalized System of Preference (GSP) scheme of various countries. </w:t>
      </w:r>
    </w:p>
    <w:p w14:paraId="51A3C34E" w14:textId="77777777" w:rsidR="00127642" w:rsidRPr="000B5A8D" w:rsidRDefault="00127642" w:rsidP="00127642">
      <w:pPr>
        <w:numPr>
          <w:ilvl w:val="0"/>
          <w:numId w:val="31"/>
        </w:numPr>
        <w:rPr>
          <w:rFonts w:ascii="Arial" w:hAnsi="Arial" w:cs="Arial"/>
          <w:color w:val="0E101A"/>
        </w:rPr>
      </w:pPr>
      <w:r w:rsidRPr="000B5A8D">
        <w:rPr>
          <w:rFonts w:ascii="Arial" w:hAnsi="Arial" w:cs="Arial"/>
          <w:color w:val="0E101A"/>
        </w:rPr>
        <w:t>Preferential market access under various regional trade agreements (RTAs) for LDC such as SAFTA, APTA, BIMSTEC and other bilateral trade agreements.</w:t>
      </w:r>
    </w:p>
    <w:p w14:paraId="128857F6" w14:textId="77777777" w:rsidR="00127642" w:rsidRPr="000B5A8D" w:rsidRDefault="00127642" w:rsidP="00127642">
      <w:pPr>
        <w:jc w:val="both"/>
        <w:rPr>
          <w:rFonts w:ascii="Arial" w:hAnsi="Arial" w:cs="Arial"/>
          <w:b/>
        </w:rPr>
      </w:pPr>
    </w:p>
    <w:p w14:paraId="13A33CEE" w14:textId="77777777" w:rsidR="00350C5E" w:rsidRPr="000B5A8D" w:rsidRDefault="00F72E90" w:rsidP="00127642">
      <w:pPr>
        <w:jc w:val="both"/>
        <w:rPr>
          <w:rFonts w:ascii="Arial" w:hAnsi="Arial" w:cs="Arial"/>
        </w:rPr>
      </w:pPr>
      <w:r w:rsidRPr="000B5A8D">
        <w:rPr>
          <w:rFonts w:ascii="Arial" w:hAnsi="Arial" w:cs="Arial"/>
        </w:rPr>
        <w:t>Given the concern, researcher has used Trade Intelligence and Negotiation Adviser (TINA) simulation tools to assess the exploited benefits extracted by Bangladesh under WTO agreements and bilateral and multilateral trade agreements.</w:t>
      </w:r>
      <w:r w:rsidR="004E3D50" w:rsidRPr="000B5A8D">
        <w:rPr>
          <w:rFonts w:ascii="Arial" w:hAnsi="Arial" w:cs="Arial"/>
        </w:rPr>
        <w:t xml:space="preserve"> Here using UNESCAP suggested </w:t>
      </w:r>
    </w:p>
    <w:p w14:paraId="786531A7" w14:textId="77777777" w:rsidR="00350C5E" w:rsidRPr="000B5A8D" w:rsidRDefault="00350C5E" w:rsidP="00127642">
      <w:pPr>
        <w:jc w:val="both"/>
        <w:rPr>
          <w:rFonts w:ascii="Arial" w:hAnsi="Arial" w:cs="Arial"/>
          <w:b/>
        </w:rPr>
      </w:pPr>
    </w:p>
    <w:p w14:paraId="5D2EC08A" w14:textId="77777777" w:rsidR="007002DE" w:rsidRPr="000B5A8D" w:rsidRDefault="00127642" w:rsidP="007002DE">
      <w:pPr>
        <w:jc w:val="both"/>
        <w:rPr>
          <w:rFonts w:ascii="Arial" w:hAnsi="Arial" w:cs="Arial"/>
        </w:rPr>
      </w:pPr>
      <w:r w:rsidRPr="000B5A8D">
        <w:rPr>
          <w:rFonts w:ascii="Arial" w:hAnsi="Arial" w:cs="Arial"/>
          <w:b/>
        </w:rPr>
        <w:t>TINA Simulation Tools for LDC preference Loss</w:t>
      </w:r>
      <w:r w:rsidR="004E3D50" w:rsidRPr="000B5A8D">
        <w:rPr>
          <w:rFonts w:ascii="Arial" w:hAnsi="Arial" w:cs="Arial"/>
          <w:b/>
        </w:rPr>
        <w:t>, the researcher</w:t>
      </w:r>
      <w:r w:rsidRPr="000B5A8D">
        <w:rPr>
          <w:rFonts w:ascii="Arial" w:hAnsi="Arial" w:cs="Arial"/>
        </w:rPr>
        <w:t xml:space="preserve"> simulate the expected trade loss and trade diversion as a result of increased tariffs (the consequence of loss of preferential treatment, such as for example the case in LDC graduation). </w:t>
      </w:r>
      <w:r w:rsidR="007002DE" w:rsidRPr="000B5A8D">
        <w:rPr>
          <w:rFonts w:ascii="Arial" w:hAnsi="Arial" w:cs="Arial"/>
        </w:rPr>
        <w:t xml:space="preserve">Moreover, this is to inform that TINA also uses partial equilibrium modelling to determine the effects on trade of preference losses, such as through LDC graduation, GSP preference losses or withdrawal from a bilateral or multilateral trade agreement. To estimate the potential export loss for Bangladesh due to preferential tariff under WTO and different bilateral and regional trade agreement following its graduation from the least developed country (LDC) Category. </w:t>
      </w:r>
    </w:p>
    <w:p w14:paraId="659D451F" w14:textId="77777777" w:rsidR="008B7BA7" w:rsidRPr="000B5A8D" w:rsidRDefault="00B55588" w:rsidP="007002DE">
      <w:pPr>
        <w:rPr>
          <w:rFonts w:ascii="Arial" w:eastAsiaTheme="minorEastAsia" w:hAnsi="Arial" w:cs="Arial"/>
        </w:rPr>
      </w:pPr>
      <m:oMath>
        <m:sSub>
          <m:sSubPr>
            <m:ctrlPr>
              <w:rPr>
                <w:rFonts w:ascii="Cambria Math" w:eastAsiaTheme="minorHAnsi" w:hAnsi="Cambria Math" w:cs="Arial"/>
                <w:i/>
              </w:rPr>
            </m:ctrlPr>
          </m:sSubPr>
          <m:e>
            <m:r>
              <w:rPr>
                <w:rFonts w:ascii="Cambria Math" w:hAnsi="Cambria Math" w:cs="Arial"/>
              </w:rPr>
              <m:t>X</m:t>
            </m:r>
          </m:e>
          <m:sub>
            <m:r>
              <w:rPr>
                <w:rFonts w:ascii="Cambria Math" w:hAnsi="Cambria Math" w:cs="Arial"/>
              </w:rPr>
              <m:t>0</m:t>
            </m:r>
            <m:r>
              <w:rPr>
                <w:rFonts w:ascii="Cambria Math" w:hAnsi="Cambria Math" w:cs="Arial"/>
              </w:rPr>
              <m:t>ij</m:t>
            </m:r>
          </m:sub>
        </m:sSub>
      </m:oMath>
      <w:r w:rsidR="007002DE" w:rsidRPr="000B5A8D">
        <w:rPr>
          <w:rFonts w:ascii="Arial" w:eastAsiaTheme="minorEastAsia" w:hAnsi="Arial" w:cs="Arial"/>
        </w:rPr>
        <w:t xml:space="preserve">: Current export of product </w:t>
      </w:r>
      <w:proofErr w:type="spellStart"/>
      <w:r w:rsidR="007002DE" w:rsidRPr="000B5A8D">
        <w:rPr>
          <w:rFonts w:ascii="Arial" w:eastAsiaTheme="minorEastAsia" w:hAnsi="Arial" w:cs="Arial"/>
        </w:rPr>
        <w:t>i</w:t>
      </w:r>
      <w:proofErr w:type="spellEnd"/>
      <w:r w:rsidR="007002DE" w:rsidRPr="000B5A8D">
        <w:rPr>
          <w:rFonts w:ascii="Arial" w:eastAsiaTheme="minorEastAsia" w:hAnsi="Arial" w:cs="Arial"/>
        </w:rPr>
        <w:t xml:space="preserve"> to the world trade partner w (trade data sourced from </w:t>
      </w:r>
      <w:proofErr w:type="spellStart"/>
      <w:r w:rsidR="007002DE" w:rsidRPr="000B5A8D">
        <w:rPr>
          <w:rFonts w:ascii="Arial" w:eastAsiaTheme="minorEastAsia" w:hAnsi="Arial" w:cs="Arial"/>
        </w:rPr>
        <w:t>UNcomtrade</w:t>
      </w:r>
      <w:proofErr w:type="spellEnd"/>
      <w:r w:rsidR="007002DE" w:rsidRPr="000B5A8D">
        <w:rPr>
          <w:rFonts w:ascii="Arial" w:eastAsiaTheme="minorEastAsia" w:hAnsi="Arial" w:cs="Arial"/>
        </w:rPr>
        <w:t>)</w:t>
      </w:r>
    </w:p>
    <w:p w14:paraId="5D71B20B" w14:textId="77777777" w:rsidR="007002DE" w:rsidRPr="000B5A8D" w:rsidRDefault="007002DE" w:rsidP="007002DE">
      <w:pPr>
        <w:rPr>
          <w:rFonts w:ascii="Arial" w:eastAsiaTheme="minorEastAsia" w:hAnsi="Arial" w:cs="Arial"/>
        </w:rPr>
      </w:pPr>
      <w:r w:rsidRPr="000B5A8D">
        <w:rPr>
          <w:rFonts w:ascii="Arial" w:eastAsiaTheme="minorEastAsia" w:hAnsi="Arial" w:cs="Arial"/>
        </w:rPr>
        <w:t xml:space="preserve">Tariff Scenario Inputs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liw</m:t>
            </m:r>
          </m:sub>
        </m:sSub>
      </m:oMath>
      <w:r w:rsidRPr="000B5A8D">
        <w:rPr>
          <w:rFonts w:ascii="Arial" w:eastAsiaTheme="minorEastAsia" w:hAnsi="Arial" w:cs="Arial"/>
        </w:rPr>
        <w:t xml:space="preserve">: Post-graduation tariff (MFN or </w:t>
      </w:r>
      <w:proofErr w:type="spellStart"/>
      <w:r w:rsidRPr="000B5A8D">
        <w:rPr>
          <w:rFonts w:ascii="Arial" w:eastAsiaTheme="minorEastAsia" w:hAnsi="Arial" w:cs="Arial"/>
        </w:rPr>
        <w:t>GSP+rates</w:t>
      </w:r>
      <w:proofErr w:type="spellEnd"/>
      <w:r w:rsidRPr="000B5A8D">
        <w:rPr>
          <w:rFonts w:ascii="Arial" w:eastAsiaTheme="minorEastAsia" w:hAnsi="Arial" w:cs="Arial"/>
        </w:rPr>
        <w:t xml:space="preserve">) </w:t>
      </w:r>
    </w:p>
    <w:p w14:paraId="6DC82C88" w14:textId="77777777" w:rsidR="007002DE" w:rsidRPr="000B5A8D" w:rsidRDefault="007002DE" w:rsidP="007002DE">
      <w:pPr>
        <w:rPr>
          <w:rFonts w:ascii="Arial" w:eastAsiaTheme="minorEastAsia" w:hAnsi="Arial" w:cs="Arial"/>
        </w:rPr>
      </w:pPr>
      <w:r w:rsidRPr="000B5A8D">
        <w:rPr>
          <w:rFonts w:ascii="Arial" w:eastAsiaTheme="minorEastAsia" w:hAnsi="Arial" w:cs="Arial"/>
        </w:rPr>
        <w:t xml:space="preserve">Elasticizes= </w:t>
      </w:r>
      <m:oMath>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i=</m:t>
            </m:r>
          </m:sub>
        </m:sSub>
      </m:oMath>
      <w:r w:rsidRPr="000B5A8D">
        <w:rPr>
          <w:rFonts w:ascii="Arial" w:eastAsiaTheme="minorEastAsia" w:hAnsi="Arial" w:cs="Arial"/>
        </w:rPr>
        <w:t xml:space="preserve">Price Elasticity of demand for export product i. (Where higher elasticity= higher sensitivity to tariff changes. </w:t>
      </w:r>
    </w:p>
    <w:p w14:paraId="336143C2" w14:textId="77777777" w:rsidR="007002DE" w:rsidRPr="000B5A8D" w:rsidRDefault="007002DE" w:rsidP="007002DE">
      <w:pPr>
        <w:pStyle w:val="ListParagraph"/>
        <w:numPr>
          <w:ilvl w:val="0"/>
          <w:numId w:val="35"/>
        </w:numPr>
        <w:spacing w:after="160" w:line="259" w:lineRule="auto"/>
        <w:contextualSpacing/>
        <w:rPr>
          <w:rFonts w:ascii="Arial" w:eastAsiaTheme="minorEastAsia" w:hAnsi="Arial" w:cs="Arial"/>
          <w:sz w:val="20"/>
          <w:szCs w:val="20"/>
        </w:rPr>
      </w:pPr>
      <w:r w:rsidRPr="000B5A8D">
        <w:rPr>
          <w:rFonts w:ascii="Arial" w:eastAsiaTheme="minorEastAsia" w:hAnsi="Arial" w:cs="Arial"/>
          <w:b/>
          <w:sz w:val="20"/>
          <w:szCs w:val="20"/>
        </w:rPr>
        <w:lastRenderedPageBreak/>
        <w:t>Simulation Scenario A:</w:t>
      </w:r>
      <w:r w:rsidRPr="000B5A8D">
        <w:rPr>
          <w:rFonts w:ascii="Arial" w:eastAsiaTheme="minorEastAsia" w:hAnsi="Arial" w:cs="Arial"/>
          <w:sz w:val="20"/>
          <w:szCs w:val="20"/>
        </w:rPr>
        <w:t xml:space="preserve"> Graduation, no preferential access (MFN Tariff)</w:t>
      </w:r>
    </w:p>
    <w:p w14:paraId="3571481D" w14:textId="77777777" w:rsidR="007002DE" w:rsidRPr="000B5A8D" w:rsidRDefault="007002DE" w:rsidP="007002DE">
      <w:pPr>
        <w:pStyle w:val="ListParagraph"/>
        <w:numPr>
          <w:ilvl w:val="0"/>
          <w:numId w:val="35"/>
        </w:numPr>
        <w:spacing w:after="160" w:line="259" w:lineRule="auto"/>
        <w:contextualSpacing/>
        <w:rPr>
          <w:rFonts w:ascii="Arial" w:eastAsiaTheme="minorEastAsia" w:hAnsi="Arial" w:cs="Arial"/>
          <w:sz w:val="20"/>
          <w:szCs w:val="20"/>
        </w:rPr>
      </w:pPr>
      <w:r w:rsidRPr="000B5A8D">
        <w:rPr>
          <w:rFonts w:ascii="Arial" w:eastAsiaTheme="minorEastAsia" w:hAnsi="Arial" w:cs="Arial"/>
          <w:b/>
          <w:sz w:val="20"/>
          <w:szCs w:val="20"/>
        </w:rPr>
        <w:t>Scenario B:</w:t>
      </w:r>
      <w:r w:rsidRPr="000B5A8D">
        <w:rPr>
          <w:rFonts w:ascii="Arial" w:eastAsiaTheme="minorEastAsia" w:hAnsi="Arial" w:cs="Arial"/>
          <w:sz w:val="20"/>
          <w:szCs w:val="20"/>
        </w:rPr>
        <w:t xml:space="preserve"> Graduation with GSP+ benefits </w:t>
      </w:r>
    </w:p>
    <w:p w14:paraId="55E843D2" w14:textId="77777777" w:rsidR="007002DE" w:rsidRPr="000B5A8D" w:rsidRDefault="007002DE" w:rsidP="007002DE">
      <w:pPr>
        <w:rPr>
          <w:rFonts w:ascii="Arial" w:eastAsiaTheme="minorEastAsia" w:hAnsi="Arial" w:cs="Arial"/>
        </w:rPr>
      </w:pPr>
      <w:r w:rsidRPr="000B5A8D">
        <w:rPr>
          <w:rFonts w:ascii="Arial" w:eastAsiaTheme="minorEastAsia" w:hAnsi="Arial" w:cs="Arial"/>
        </w:rPr>
        <w:t>For each products country pair with world trade (</w:t>
      </w:r>
      <w:proofErr w:type="spellStart"/>
      <w:r w:rsidRPr="000B5A8D">
        <w:rPr>
          <w:rFonts w:ascii="Arial" w:eastAsiaTheme="minorEastAsia" w:hAnsi="Arial" w:cs="Arial"/>
        </w:rPr>
        <w:t>i</w:t>
      </w:r>
      <w:proofErr w:type="spellEnd"/>
      <w:r w:rsidRPr="000B5A8D">
        <w:rPr>
          <w:rFonts w:ascii="Arial" w:eastAsiaTheme="minorEastAsia" w:hAnsi="Arial" w:cs="Arial"/>
        </w:rPr>
        <w:t xml:space="preserve"> &amp; w) </w:t>
      </w:r>
    </w:p>
    <w:p w14:paraId="4A7EAD79" w14:textId="77777777" w:rsidR="007002DE" w:rsidRPr="000B5A8D" w:rsidRDefault="00B55588" w:rsidP="007002DE">
      <w:pPr>
        <w:rPr>
          <w:rFonts w:ascii="Arial" w:eastAsiaTheme="minorEastAsia" w:hAnsi="Arial" w:cs="Arial"/>
          <w:sz w:val="24"/>
        </w:rPr>
      </w:pPr>
      <m:oMath>
        <m:f>
          <m:fPr>
            <m:ctrlPr>
              <w:rPr>
                <w:rFonts w:ascii="Cambria Math" w:eastAsiaTheme="minorHAnsi" w:hAnsi="Cambria Math" w:cs="Arial"/>
                <w:i/>
                <w:sz w:val="26"/>
              </w:rPr>
            </m:ctrlPr>
          </m:fPr>
          <m:num>
            <m:sSub>
              <m:sSubPr>
                <m:ctrlPr>
                  <w:rPr>
                    <w:rFonts w:ascii="Cambria Math" w:eastAsiaTheme="minorHAnsi" w:hAnsi="Cambria Math" w:cs="Arial"/>
                    <w:i/>
                    <w:sz w:val="26"/>
                  </w:rPr>
                </m:ctrlPr>
              </m:sSubPr>
              <m:e>
                <m:r>
                  <w:rPr>
                    <w:rFonts w:ascii="Cambria Math" w:hAnsi="Cambria Math" w:cs="Arial"/>
                    <w:sz w:val="26"/>
                  </w:rPr>
                  <m:t>∆</m:t>
                </m:r>
                <m:r>
                  <w:rPr>
                    <w:rFonts w:ascii="Cambria Math" w:hAnsi="Cambria Math" w:cs="Arial"/>
                    <w:sz w:val="26"/>
                  </w:rPr>
                  <m:t>X</m:t>
                </m:r>
              </m:e>
              <m:sub>
                <m:r>
                  <w:rPr>
                    <w:rFonts w:ascii="Cambria Math" w:hAnsi="Cambria Math" w:cs="Arial"/>
                    <w:sz w:val="26"/>
                  </w:rPr>
                  <m:t>ij</m:t>
                </m:r>
              </m:sub>
            </m:sSub>
          </m:num>
          <m:den>
            <m:sSub>
              <m:sSubPr>
                <m:ctrlPr>
                  <w:rPr>
                    <w:rFonts w:ascii="Cambria Math" w:eastAsiaTheme="minorHAnsi" w:hAnsi="Cambria Math" w:cs="Arial"/>
                    <w:i/>
                    <w:sz w:val="26"/>
                  </w:rPr>
                </m:ctrlPr>
              </m:sSubPr>
              <m:e>
                <m:r>
                  <w:rPr>
                    <w:rFonts w:ascii="Cambria Math" w:hAnsi="Cambria Math" w:cs="Arial"/>
                    <w:sz w:val="26"/>
                  </w:rPr>
                  <m:t>X</m:t>
                </m:r>
              </m:e>
              <m:sub>
                <m:r>
                  <w:rPr>
                    <w:rFonts w:ascii="Cambria Math" w:hAnsi="Cambria Math" w:cs="Arial"/>
                    <w:sz w:val="26"/>
                  </w:rPr>
                  <m:t>0</m:t>
                </m:r>
                <m:r>
                  <w:rPr>
                    <w:rFonts w:ascii="Cambria Math" w:hAnsi="Cambria Math" w:cs="Arial"/>
                    <w:sz w:val="26"/>
                  </w:rPr>
                  <m:t>i</m:t>
                </m:r>
              </m:sub>
            </m:sSub>
          </m:den>
        </m:f>
      </m:oMath>
      <w:r w:rsidR="007002DE" w:rsidRPr="000B5A8D">
        <w:rPr>
          <w:rFonts w:ascii="Arial" w:eastAsiaTheme="minorEastAsia" w:hAnsi="Arial" w:cs="Arial"/>
          <w:sz w:val="24"/>
        </w:rPr>
        <w:t>=-</w:t>
      </w:r>
      <m:oMath>
        <m:r>
          <w:rPr>
            <w:rFonts w:ascii="Cambria Math" w:eastAsiaTheme="minorEastAsia" w:hAnsi="Cambria Math" w:cs="Arial"/>
            <w:sz w:val="26"/>
          </w:rPr>
          <m:t>∈</m:t>
        </m:r>
        <m:r>
          <w:rPr>
            <w:rFonts w:ascii="Cambria Math" w:eastAsiaTheme="minorEastAsia" w:hAnsi="Cambria Math" w:cs="Arial"/>
            <w:sz w:val="26"/>
          </w:rPr>
          <m:t>i</m:t>
        </m:r>
        <m:r>
          <w:rPr>
            <w:rFonts w:ascii="Cambria Math" w:eastAsiaTheme="minorEastAsia" w:hAnsi="Cambria Math" w:cs="Arial"/>
            <w:sz w:val="26"/>
          </w:rPr>
          <m:t xml:space="preserve">. </m:t>
        </m:r>
        <m:f>
          <m:fPr>
            <m:ctrlPr>
              <w:rPr>
                <w:rFonts w:ascii="Cambria Math" w:eastAsiaTheme="minorEastAsia" w:hAnsi="Cambria Math" w:cs="Arial"/>
                <w:i/>
                <w:sz w:val="26"/>
              </w:rPr>
            </m:ctrlPr>
          </m:fPr>
          <m:num>
            <m:sSub>
              <m:sSubPr>
                <m:ctrlPr>
                  <w:rPr>
                    <w:rFonts w:ascii="Cambria Math" w:eastAsiaTheme="minorEastAsia" w:hAnsi="Cambria Math" w:cs="Arial"/>
                    <w:i/>
                    <w:sz w:val="26"/>
                  </w:rPr>
                </m:ctrlPr>
              </m:sSubPr>
              <m:e>
                <m:r>
                  <w:rPr>
                    <w:rFonts w:ascii="Cambria Math" w:eastAsiaTheme="minorEastAsia" w:hAnsi="Cambria Math" w:cs="Arial"/>
                    <w:sz w:val="26"/>
                  </w:rPr>
                  <m:t>t</m:t>
                </m:r>
              </m:e>
              <m:sub>
                <m:r>
                  <w:rPr>
                    <w:rFonts w:ascii="Cambria Math" w:eastAsiaTheme="minorEastAsia" w:hAnsi="Cambria Math" w:cs="Arial"/>
                    <w:sz w:val="26"/>
                  </w:rPr>
                  <m:t>liw</m:t>
                </m:r>
                <m:r>
                  <w:rPr>
                    <w:rFonts w:ascii="Cambria Math" w:eastAsiaTheme="minorEastAsia" w:hAnsi="Cambria Math" w:cs="Arial"/>
                    <w:sz w:val="26"/>
                  </w:rPr>
                  <m:t>-</m:t>
                </m:r>
                <m:sSub>
                  <m:sSubPr>
                    <m:ctrlPr>
                      <w:rPr>
                        <w:rFonts w:ascii="Cambria Math" w:eastAsiaTheme="minorEastAsia" w:hAnsi="Cambria Math" w:cs="Arial"/>
                        <w:i/>
                        <w:sz w:val="26"/>
                      </w:rPr>
                    </m:ctrlPr>
                  </m:sSubPr>
                  <m:e>
                    <m:r>
                      <w:rPr>
                        <w:rFonts w:ascii="Cambria Math" w:eastAsiaTheme="minorEastAsia" w:hAnsi="Cambria Math" w:cs="Arial"/>
                        <w:sz w:val="26"/>
                      </w:rPr>
                      <m:t>t</m:t>
                    </m:r>
                  </m:e>
                  <m:sub>
                    <m:r>
                      <w:rPr>
                        <w:rFonts w:ascii="Cambria Math" w:eastAsiaTheme="minorEastAsia" w:hAnsi="Cambria Math" w:cs="Arial"/>
                        <w:sz w:val="26"/>
                      </w:rPr>
                      <m:t>0</m:t>
                    </m:r>
                    <m:r>
                      <w:rPr>
                        <w:rFonts w:ascii="Cambria Math" w:eastAsiaTheme="minorEastAsia" w:hAnsi="Cambria Math" w:cs="Arial"/>
                        <w:sz w:val="26"/>
                      </w:rPr>
                      <m:t>iw</m:t>
                    </m:r>
                  </m:sub>
                </m:sSub>
              </m:sub>
            </m:sSub>
          </m:num>
          <m:den>
            <m:r>
              <w:rPr>
                <w:rFonts w:ascii="Cambria Math" w:eastAsiaTheme="minorEastAsia" w:hAnsi="Cambria Math" w:cs="Arial"/>
                <w:sz w:val="26"/>
              </w:rPr>
              <m:t>1+</m:t>
            </m:r>
            <m:sSub>
              <m:sSubPr>
                <m:ctrlPr>
                  <w:rPr>
                    <w:rFonts w:ascii="Cambria Math" w:eastAsiaTheme="minorEastAsia" w:hAnsi="Cambria Math" w:cs="Arial"/>
                    <w:i/>
                    <w:sz w:val="26"/>
                  </w:rPr>
                </m:ctrlPr>
              </m:sSubPr>
              <m:e>
                <m:r>
                  <w:rPr>
                    <w:rFonts w:ascii="Cambria Math" w:eastAsiaTheme="minorEastAsia" w:hAnsi="Cambria Math" w:cs="Arial"/>
                    <w:sz w:val="26"/>
                  </w:rPr>
                  <m:t>t</m:t>
                </m:r>
              </m:e>
              <m:sub>
                <m:r>
                  <w:rPr>
                    <w:rFonts w:ascii="Cambria Math" w:eastAsiaTheme="minorEastAsia" w:hAnsi="Cambria Math" w:cs="Arial"/>
                    <w:sz w:val="26"/>
                  </w:rPr>
                  <m:t>0</m:t>
                </m:r>
                <m:r>
                  <w:rPr>
                    <w:rFonts w:ascii="Cambria Math" w:eastAsiaTheme="minorEastAsia" w:hAnsi="Cambria Math" w:cs="Arial"/>
                    <w:sz w:val="26"/>
                  </w:rPr>
                  <m:t>iw</m:t>
                </m:r>
              </m:sub>
            </m:sSub>
          </m:den>
        </m:f>
      </m:oMath>
    </w:p>
    <w:p w14:paraId="78D1E128" w14:textId="77777777" w:rsidR="007002DE" w:rsidRPr="000B5A8D" w:rsidRDefault="007002DE" w:rsidP="007002DE">
      <w:pPr>
        <w:rPr>
          <w:rFonts w:ascii="Arial" w:eastAsiaTheme="minorEastAsia" w:hAnsi="Arial" w:cs="Arial"/>
          <w:sz w:val="24"/>
        </w:rPr>
      </w:pPr>
      <m:oMathPara>
        <m:oMathParaPr>
          <m:jc m:val="left"/>
        </m:oMathParaPr>
        <m:oMath>
          <m:r>
            <w:rPr>
              <w:rFonts w:ascii="Cambria Math" w:hAnsi="Cambria Math" w:cs="Arial"/>
              <w:sz w:val="24"/>
            </w:rPr>
            <m:t>→∆</m:t>
          </m:r>
          <m:sSub>
            <m:sSubPr>
              <m:ctrlPr>
                <w:rPr>
                  <w:rFonts w:ascii="Cambria Math" w:eastAsiaTheme="minorHAnsi" w:hAnsi="Cambria Math" w:cs="Arial"/>
                  <w:i/>
                  <w:sz w:val="24"/>
                </w:rPr>
              </m:ctrlPr>
            </m:sSubPr>
            <m:e>
              <m:r>
                <w:rPr>
                  <w:rFonts w:ascii="Cambria Math" w:hAnsi="Cambria Math" w:cs="Arial"/>
                  <w:sz w:val="24"/>
                </w:rPr>
                <m:t>X</m:t>
              </m:r>
            </m:e>
            <m:sub>
              <m:r>
                <w:rPr>
                  <w:rFonts w:ascii="Cambria Math" w:hAnsi="Cambria Math" w:cs="Arial"/>
                  <w:sz w:val="24"/>
                </w:rPr>
                <m:t>iw</m:t>
              </m:r>
            </m:sub>
          </m:sSub>
          <m:r>
            <w:rPr>
              <w:rFonts w:ascii="Cambria Math" w:hAnsi="Cambria Math" w:cs="Arial"/>
              <w:sz w:val="24"/>
            </w:rPr>
            <m:t>=-</m:t>
          </m:r>
          <m:r>
            <w:rPr>
              <w:rFonts w:ascii="Cambria Math" w:eastAsiaTheme="minorEastAsia" w:hAnsi="Cambria Math" w:cs="Arial"/>
              <w:sz w:val="24"/>
            </w:rPr>
            <m:t xml:space="preserve">∈i. </m:t>
          </m:r>
          <m:f>
            <m:fPr>
              <m:ctrlPr>
                <w:rPr>
                  <w:rFonts w:ascii="Cambria Math" w:eastAsiaTheme="minorEastAsia" w:hAnsi="Cambria Math" w:cs="Arial"/>
                  <w:i/>
                  <w:sz w:val="24"/>
                </w:rPr>
              </m:ctrlPr>
            </m:fPr>
            <m:num>
              <m:sSub>
                <m:sSubPr>
                  <m:ctrlPr>
                    <w:rPr>
                      <w:rFonts w:ascii="Cambria Math" w:eastAsiaTheme="minorEastAsia" w:hAnsi="Cambria Math" w:cs="Arial"/>
                      <w:i/>
                      <w:sz w:val="24"/>
                    </w:rPr>
                  </m:ctrlPr>
                </m:sSubPr>
                <m:e>
                  <m:r>
                    <w:rPr>
                      <w:rFonts w:ascii="Cambria Math" w:eastAsiaTheme="minorEastAsia" w:hAnsi="Cambria Math" w:cs="Arial"/>
                      <w:sz w:val="24"/>
                    </w:rPr>
                    <m:t>t</m:t>
                  </m:r>
                </m:e>
                <m:sub>
                  <m:r>
                    <w:rPr>
                      <w:rFonts w:ascii="Cambria Math" w:eastAsiaTheme="minorEastAsia" w:hAnsi="Cambria Math" w:cs="Arial"/>
                      <w:sz w:val="24"/>
                    </w:rPr>
                    <m:t>lij</m:t>
                  </m:r>
                </m:sub>
              </m:sSub>
              <m:r>
                <w:rPr>
                  <w:rFonts w:ascii="Cambria Math" w:eastAsiaTheme="minorEastAsia" w:hAnsi="Cambria Math" w:cs="Arial"/>
                  <w:sz w:val="24"/>
                </w:rPr>
                <m:t>-</m:t>
              </m:r>
              <m:sSub>
                <m:sSubPr>
                  <m:ctrlPr>
                    <w:rPr>
                      <w:rFonts w:ascii="Cambria Math" w:eastAsiaTheme="minorEastAsia" w:hAnsi="Cambria Math" w:cs="Arial"/>
                      <w:i/>
                      <w:sz w:val="24"/>
                    </w:rPr>
                  </m:ctrlPr>
                </m:sSubPr>
                <m:e>
                  <m:r>
                    <w:rPr>
                      <w:rFonts w:ascii="Cambria Math" w:eastAsiaTheme="minorEastAsia" w:hAnsi="Cambria Math" w:cs="Arial"/>
                      <w:sz w:val="24"/>
                    </w:rPr>
                    <m:t>t</m:t>
                  </m:r>
                </m:e>
                <m:sub>
                  <m:r>
                    <w:rPr>
                      <w:rFonts w:ascii="Cambria Math" w:eastAsiaTheme="minorEastAsia" w:hAnsi="Cambria Math" w:cs="Arial"/>
                      <w:sz w:val="24"/>
                    </w:rPr>
                    <m:t>0iw</m:t>
                  </m:r>
                </m:sub>
              </m:sSub>
              <m:r>
                <w:rPr>
                  <w:rFonts w:ascii="Cambria Math" w:eastAsiaTheme="minorEastAsia" w:hAnsi="Cambria Math" w:cs="Arial"/>
                  <w:sz w:val="24"/>
                </w:rPr>
                <m:t xml:space="preserve"> </m:t>
              </m:r>
            </m:num>
            <m:den>
              <m:r>
                <w:rPr>
                  <w:rFonts w:ascii="Cambria Math" w:eastAsiaTheme="minorEastAsia" w:hAnsi="Cambria Math" w:cs="Arial"/>
                  <w:sz w:val="24"/>
                </w:rPr>
                <m:t>1+</m:t>
              </m:r>
              <m:sSub>
                <m:sSubPr>
                  <m:ctrlPr>
                    <w:rPr>
                      <w:rFonts w:ascii="Cambria Math" w:eastAsiaTheme="minorEastAsia" w:hAnsi="Cambria Math" w:cs="Arial"/>
                      <w:i/>
                      <w:sz w:val="24"/>
                    </w:rPr>
                  </m:ctrlPr>
                </m:sSubPr>
                <m:e>
                  <m:r>
                    <w:rPr>
                      <w:rFonts w:ascii="Cambria Math" w:eastAsiaTheme="minorEastAsia" w:hAnsi="Cambria Math" w:cs="Arial"/>
                      <w:sz w:val="24"/>
                    </w:rPr>
                    <m:t>t</m:t>
                  </m:r>
                </m:e>
                <m:sub>
                  <m:r>
                    <w:rPr>
                      <w:rFonts w:ascii="Cambria Math" w:eastAsiaTheme="minorEastAsia" w:hAnsi="Cambria Math" w:cs="Arial"/>
                      <w:sz w:val="24"/>
                    </w:rPr>
                    <m:t>0iw</m:t>
                  </m:r>
                </m:sub>
              </m:sSub>
            </m:den>
          </m:f>
          <m:r>
            <w:rPr>
              <w:rFonts w:ascii="Cambria Math" w:eastAsiaTheme="minorEastAsia" w:hAnsi="Cambria Math" w:cs="Arial"/>
              <w:sz w:val="24"/>
            </w:rPr>
            <m:t>.</m:t>
          </m:r>
          <m:sSub>
            <m:sSubPr>
              <m:ctrlPr>
                <w:rPr>
                  <w:rFonts w:ascii="Cambria Math" w:eastAsiaTheme="minorEastAsia" w:hAnsi="Cambria Math" w:cs="Arial"/>
                  <w:i/>
                  <w:sz w:val="24"/>
                </w:rPr>
              </m:ctrlPr>
            </m:sSubPr>
            <m:e>
              <m:r>
                <w:rPr>
                  <w:rFonts w:ascii="Cambria Math" w:eastAsiaTheme="minorEastAsia" w:hAnsi="Cambria Math" w:cs="Arial"/>
                  <w:sz w:val="24"/>
                </w:rPr>
                <m:t>X</m:t>
              </m:r>
            </m:e>
            <m:sub>
              <m:r>
                <w:rPr>
                  <w:rFonts w:ascii="Cambria Math" w:eastAsiaTheme="minorEastAsia" w:hAnsi="Cambria Math" w:cs="Arial"/>
                  <w:sz w:val="24"/>
                </w:rPr>
                <m:t>0iw</m:t>
              </m:r>
            </m:sub>
          </m:sSub>
        </m:oMath>
      </m:oMathPara>
    </w:p>
    <w:p w14:paraId="26B7B272" w14:textId="77777777" w:rsidR="007002DE" w:rsidRPr="000B5A8D" w:rsidRDefault="007002DE" w:rsidP="007002DE">
      <w:pPr>
        <w:rPr>
          <w:rFonts w:ascii="Arial" w:eastAsiaTheme="minorEastAsia" w:hAnsi="Arial" w:cs="Arial"/>
          <w:sz w:val="24"/>
        </w:rPr>
      </w:pPr>
      <m:oMathPara>
        <m:oMathParaPr>
          <m:jc m:val="left"/>
        </m:oMathParaPr>
        <m:oMath>
          <m:r>
            <w:rPr>
              <w:rFonts w:ascii="Cambria Math" w:hAnsi="Cambria Math" w:cs="Arial"/>
              <w:sz w:val="24"/>
            </w:rPr>
            <m:t>→</m:t>
          </m:r>
          <m:sSub>
            <m:sSubPr>
              <m:ctrlPr>
                <w:rPr>
                  <w:rFonts w:ascii="Cambria Math" w:eastAsiaTheme="minorHAnsi" w:hAnsi="Cambria Math" w:cs="Arial"/>
                  <w:i/>
                  <w:sz w:val="24"/>
                </w:rPr>
              </m:ctrlPr>
            </m:sSubPr>
            <m:e>
              <m:r>
                <w:rPr>
                  <w:rFonts w:ascii="Cambria Math" w:hAnsi="Cambria Math" w:cs="Arial"/>
                  <w:sz w:val="24"/>
                </w:rPr>
                <m:t>X</m:t>
              </m:r>
            </m:e>
            <m:sub>
              <m:r>
                <w:rPr>
                  <w:rFonts w:ascii="Cambria Math" w:hAnsi="Cambria Math" w:cs="Arial"/>
                  <w:sz w:val="24"/>
                </w:rPr>
                <m:t>iw</m:t>
              </m:r>
            </m:sub>
          </m:sSub>
          <m:r>
            <w:rPr>
              <w:rFonts w:ascii="Cambria Math" w:hAnsi="Cambria Math" w:cs="Arial"/>
              <w:sz w:val="24"/>
            </w:rPr>
            <m:t>=</m:t>
          </m:r>
          <m:sSub>
            <m:sSubPr>
              <m:ctrlPr>
                <w:rPr>
                  <w:rFonts w:ascii="Cambria Math" w:eastAsiaTheme="minorEastAsia" w:hAnsi="Cambria Math" w:cs="Arial"/>
                  <w:i/>
                  <w:sz w:val="24"/>
                </w:rPr>
              </m:ctrlPr>
            </m:sSubPr>
            <m:e>
              <m:r>
                <w:rPr>
                  <w:rFonts w:ascii="Cambria Math" w:eastAsiaTheme="minorEastAsia" w:hAnsi="Cambria Math" w:cs="Arial"/>
                  <w:sz w:val="24"/>
                </w:rPr>
                <m:t>X</m:t>
              </m:r>
            </m:e>
            <m:sub>
              <m:r>
                <w:rPr>
                  <w:rFonts w:ascii="Cambria Math" w:eastAsiaTheme="minorEastAsia" w:hAnsi="Cambria Math" w:cs="Arial"/>
                  <w:sz w:val="24"/>
                </w:rPr>
                <m:t>0iw+</m:t>
              </m:r>
            </m:sub>
          </m:sSub>
          <m:sSub>
            <m:sSubPr>
              <m:ctrlPr>
                <w:rPr>
                  <w:rFonts w:ascii="Cambria Math" w:eastAsiaTheme="minorEastAsia" w:hAnsi="Cambria Math" w:cs="Arial"/>
                  <w:i/>
                  <w:sz w:val="24"/>
                </w:rPr>
              </m:ctrlPr>
            </m:sSubPr>
            <m:e>
              <m:r>
                <w:rPr>
                  <w:rFonts w:ascii="Cambria Math" w:eastAsiaTheme="minorEastAsia" w:hAnsi="Cambria Math" w:cs="Arial"/>
                  <w:sz w:val="24"/>
                </w:rPr>
                <m:t>∆X</m:t>
              </m:r>
            </m:e>
            <m:sub>
              <m:r>
                <w:rPr>
                  <w:rFonts w:ascii="Cambria Math" w:eastAsiaTheme="minorEastAsia" w:hAnsi="Cambria Math" w:cs="Arial"/>
                  <w:sz w:val="24"/>
                </w:rPr>
                <m:t>iw</m:t>
              </m:r>
            </m:sub>
          </m:sSub>
        </m:oMath>
      </m:oMathPara>
    </w:p>
    <w:p w14:paraId="70457D14" w14:textId="77777777" w:rsidR="007002DE" w:rsidRPr="000B5A8D" w:rsidRDefault="007002DE" w:rsidP="00127642">
      <w:pPr>
        <w:jc w:val="both"/>
        <w:rPr>
          <w:rFonts w:ascii="Arial" w:hAnsi="Arial" w:cs="Arial"/>
        </w:rPr>
      </w:pPr>
    </w:p>
    <w:p w14:paraId="34DC54EA" w14:textId="77777777" w:rsidR="00127642" w:rsidRPr="000B5A8D" w:rsidRDefault="00127642" w:rsidP="00127642">
      <w:pPr>
        <w:jc w:val="both"/>
        <w:rPr>
          <w:rFonts w:ascii="Arial" w:hAnsi="Arial" w:cs="Arial"/>
        </w:rPr>
      </w:pPr>
      <w:r w:rsidRPr="000B5A8D">
        <w:rPr>
          <w:rFonts w:ascii="Arial" w:hAnsi="Arial" w:cs="Arial"/>
        </w:rPr>
        <w:t>Bangladesh gets preferences under 57 regional/bloc trade agreements and/or preference schemes (such as “GSP for LDC Beneficiaries”). LDCs often receive trade preferences (e.g., tariff reductions, quota-free access) from developed countries. The preference loss occurs when these benefits diminish due to policy changes, competition, or global trade shifts.</w:t>
      </w:r>
    </w:p>
    <w:p w14:paraId="03B2572C" w14:textId="77777777" w:rsidR="00127642" w:rsidRPr="000B5A8D" w:rsidRDefault="00127642" w:rsidP="00127642">
      <w:pPr>
        <w:jc w:val="both"/>
        <w:rPr>
          <w:rFonts w:ascii="Times New Roman" w:hAnsi="Times New Roman"/>
          <w:sz w:val="24"/>
        </w:rPr>
      </w:pPr>
      <w:r w:rsidRPr="000B5A8D">
        <w:rPr>
          <w:rFonts w:ascii="Times New Roman" w:hAnsi="Times New Roman"/>
          <w:sz w:val="24"/>
        </w:rPr>
        <w:t xml:space="preserve"> </w:t>
      </w:r>
    </w:p>
    <w:p w14:paraId="6BC6F55E" w14:textId="77777777" w:rsidR="00127642" w:rsidRPr="000B5A8D" w:rsidRDefault="00127642" w:rsidP="00127642">
      <w:pPr>
        <w:rPr>
          <w:rFonts w:ascii="Arial" w:hAnsi="Arial" w:cs="Arial"/>
          <w:b/>
          <w:color w:val="000000"/>
        </w:rPr>
      </w:pPr>
      <w:r w:rsidRPr="000B5A8D">
        <w:rPr>
          <w:rFonts w:ascii="Arial" w:hAnsi="Arial" w:cs="Arial"/>
          <w:b/>
          <w:color w:val="000000"/>
        </w:rPr>
        <w:t>Proposed Mathematical Explanation</w:t>
      </w:r>
      <w:r w:rsidR="004E3D50" w:rsidRPr="000B5A8D">
        <w:rPr>
          <w:rFonts w:ascii="Arial" w:hAnsi="Arial" w:cs="Arial"/>
          <w:b/>
          <w:color w:val="000000"/>
        </w:rPr>
        <w:t xml:space="preserve"> of TINA </w:t>
      </w:r>
    </w:p>
    <w:p w14:paraId="4AC014CE" w14:textId="77777777" w:rsidR="00127642" w:rsidRPr="000B5A8D" w:rsidRDefault="00127642" w:rsidP="00127642">
      <w:pPr>
        <w:numPr>
          <w:ilvl w:val="0"/>
          <w:numId w:val="33"/>
        </w:numPr>
        <w:spacing w:after="100" w:afterAutospacing="1"/>
        <w:rPr>
          <w:rFonts w:ascii="Arial" w:hAnsi="Arial" w:cs="Arial"/>
        </w:rPr>
      </w:pPr>
      <w:r w:rsidRPr="000B5A8D">
        <w:rPr>
          <w:rFonts w:ascii="Arial" w:hAnsi="Arial" w:cs="Arial"/>
        </w:rPr>
        <w:t xml:space="preserve">Let </w:t>
      </w:r>
      <m:oMath>
        <m:sSub>
          <m:sSubPr>
            <m:ctrlPr>
              <w:rPr>
                <w:rFonts w:ascii="Cambria Math" w:hAnsi="Cambria Math" w:cs="Arial"/>
                <w:i/>
              </w:rPr>
            </m:ctrlPr>
          </m:sSubPr>
          <m:e>
            <m:r>
              <w:rPr>
                <w:rFonts w:ascii="Cambria Math" w:hAnsi="Cambria Math" w:cs="Arial"/>
              </w:rPr>
              <m:t>T</m:t>
            </m:r>
          </m:e>
          <m:sub>
            <m:r>
              <w:rPr>
                <w:rFonts w:ascii="Cambria Math" w:hAnsi="Cambria Math" w:cs="Arial"/>
              </w:rPr>
              <m:t>LDC</m:t>
            </m:r>
          </m:sub>
        </m:sSub>
      </m:oMath>
      <w:r w:rsidRPr="000B5A8D">
        <w:rPr>
          <w:rFonts w:ascii="Arial" w:hAnsi="Arial" w:cs="Arial"/>
        </w:rPr>
        <w:t xml:space="preserve"> represent the trade volumes of LDCs with preferential treatment</w:t>
      </w:r>
    </w:p>
    <w:p w14:paraId="45EAEDD7" w14:textId="77777777" w:rsidR="00127642" w:rsidRPr="000B5A8D" w:rsidRDefault="00127642" w:rsidP="00127642">
      <w:pPr>
        <w:numPr>
          <w:ilvl w:val="0"/>
          <w:numId w:val="33"/>
        </w:numPr>
        <w:spacing w:before="100" w:beforeAutospacing="1" w:after="100" w:afterAutospacing="1"/>
        <w:rPr>
          <w:rFonts w:ascii="Arial" w:hAnsi="Arial" w:cs="Arial"/>
        </w:rPr>
      </w:pPr>
      <w:r w:rsidRPr="000B5A8D">
        <w:rPr>
          <w:rFonts w:ascii="Arial" w:hAnsi="Arial" w:cs="Arial"/>
        </w:rPr>
        <w:t xml:space="preserve">Let </w:t>
      </w:r>
      <m:oMath>
        <m:sSub>
          <m:sSubPr>
            <m:ctrlPr>
              <w:rPr>
                <w:rFonts w:ascii="Cambria Math" w:hAnsi="Cambria Math" w:cs="Arial"/>
                <w:i/>
              </w:rPr>
            </m:ctrlPr>
          </m:sSubPr>
          <m:e>
            <m:r>
              <w:rPr>
                <w:rFonts w:ascii="Cambria Math" w:hAnsi="Cambria Math" w:cs="Arial"/>
              </w:rPr>
              <m:t>T</m:t>
            </m:r>
          </m:e>
          <m:sub>
            <m:r>
              <w:rPr>
                <w:rFonts w:ascii="Cambria Math" w:hAnsi="Cambria Math" w:cs="Arial"/>
              </w:rPr>
              <m:t>NP</m:t>
            </m:r>
          </m:sub>
        </m:sSub>
      </m:oMath>
      <w:r w:rsidRPr="000B5A8D">
        <w:rPr>
          <w:rFonts w:ascii="Arial" w:hAnsi="Arial" w:cs="Arial"/>
        </w:rPr>
        <w:t xml:space="preserve"> represent the trade volumes of LDCs without preferential treatment</w:t>
      </w:r>
    </w:p>
    <w:p w14:paraId="60B32420" w14:textId="77777777" w:rsidR="00127642" w:rsidRPr="000B5A8D" w:rsidRDefault="00127642" w:rsidP="00127642">
      <w:pPr>
        <w:numPr>
          <w:ilvl w:val="0"/>
          <w:numId w:val="33"/>
        </w:numPr>
        <w:spacing w:before="100" w:beforeAutospacing="1" w:after="100" w:afterAutospacing="1"/>
        <w:rPr>
          <w:rFonts w:ascii="Arial" w:hAnsi="Arial" w:cs="Arial"/>
        </w:rPr>
      </w:pPr>
      <w:r w:rsidRPr="000B5A8D">
        <w:rPr>
          <w:rFonts w:ascii="Arial" w:hAnsi="Arial" w:cs="Arial"/>
        </w:rPr>
        <w:t xml:space="preserve">Let </w:t>
      </w:r>
      <m:oMath>
        <m:r>
          <w:rPr>
            <w:rFonts w:ascii="Cambria Math" w:hAnsi="Cambria Math" w:cs="Arial"/>
          </w:rPr>
          <m:t>PL</m:t>
        </m:r>
      </m:oMath>
      <w:r w:rsidRPr="000B5A8D">
        <w:rPr>
          <w:rFonts w:ascii="Arial" w:hAnsi="Arial" w:cs="Arial"/>
        </w:rPr>
        <w:t xml:space="preserve">  be the </w:t>
      </w:r>
      <w:r w:rsidRPr="000B5A8D">
        <w:rPr>
          <w:rFonts w:ascii="Arial" w:hAnsi="Arial" w:cs="Arial"/>
          <w:b/>
        </w:rPr>
        <w:t>preference loss</w:t>
      </w:r>
      <w:r w:rsidRPr="000B5A8D">
        <w:rPr>
          <w:rFonts w:ascii="Arial" w:hAnsi="Arial" w:cs="Arial"/>
        </w:rPr>
        <w:t xml:space="preserve">, defined as the </w:t>
      </w:r>
      <w:r w:rsidRPr="000B5A8D">
        <w:rPr>
          <w:rFonts w:ascii="Arial" w:hAnsi="Arial" w:cs="Arial"/>
          <w:b/>
          <w:bCs/>
        </w:rPr>
        <w:t>decline in trade value due to reduced preferences</w:t>
      </w:r>
      <w:r w:rsidRPr="000B5A8D">
        <w:rPr>
          <w:rFonts w:ascii="Arial" w:hAnsi="Arial" w:cs="Arial"/>
        </w:rPr>
        <w:t>.</w:t>
      </w:r>
    </w:p>
    <w:p w14:paraId="537DC35B" w14:textId="77777777" w:rsidR="00127642" w:rsidRPr="000B5A8D" w:rsidRDefault="00127642" w:rsidP="00127642">
      <w:pPr>
        <w:spacing w:before="100" w:beforeAutospacing="1"/>
        <w:rPr>
          <w:rFonts w:ascii="Arial" w:hAnsi="Arial" w:cs="Arial"/>
          <w:bCs/>
        </w:rPr>
      </w:pPr>
      <w:r w:rsidRPr="000B5A8D">
        <w:rPr>
          <w:rFonts w:ascii="Arial" w:hAnsi="Arial" w:cs="Arial"/>
          <w:bCs/>
        </w:rPr>
        <w:t xml:space="preserve">Hence the Formula for LDC preference Loss will be to measure the preference loss in the following way: </w:t>
      </w:r>
    </w:p>
    <w:p w14:paraId="1ABC4AD5" w14:textId="77777777" w:rsidR="00127642" w:rsidRPr="000B5A8D" w:rsidRDefault="00127642" w:rsidP="00127642">
      <w:pPr>
        <w:rPr>
          <w:rFonts w:ascii="Arial" w:hAnsi="Arial" w:cs="Arial"/>
          <w:bCs/>
        </w:rPr>
      </w:pPr>
      <m:oMathPara>
        <m:oMath>
          <m:r>
            <w:rPr>
              <w:rFonts w:ascii="Cambria Math" w:hAnsi="Cambria Math" w:cs="Arial"/>
            </w:rPr>
            <m:t>PL=</m:t>
          </m:r>
          <m:f>
            <m:fPr>
              <m:ctrlPr>
                <w:rPr>
                  <w:rFonts w:ascii="Cambria Math" w:hAnsi="Cambria Math" w:cs="Arial"/>
                  <w:bCs/>
                  <w:i/>
                </w:rPr>
              </m:ctrlPr>
            </m:fPr>
            <m:num>
              <m:sSub>
                <m:sSubPr>
                  <m:ctrlPr>
                    <w:rPr>
                      <w:rFonts w:ascii="Cambria Math" w:hAnsi="Cambria Math" w:cs="Arial"/>
                      <w:bCs/>
                      <w:i/>
                    </w:rPr>
                  </m:ctrlPr>
                </m:sSubPr>
                <m:e>
                  <m:r>
                    <w:rPr>
                      <w:rFonts w:ascii="Cambria Math" w:hAnsi="Cambria Math" w:cs="Arial"/>
                    </w:rPr>
                    <m:t>T</m:t>
                  </m:r>
                </m:e>
                <m:sub>
                  <m:r>
                    <w:rPr>
                      <w:rFonts w:ascii="Cambria Math" w:hAnsi="Cambria Math" w:cs="Arial"/>
                    </w:rPr>
                    <m:t>LDC</m:t>
                  </m:r>
                </m:sub>
              </m:sSub>
              <m:r>
                <w:rPr>
                  <w:rFonts w:ascii="Cambria Math" w:hAnsi="Cambria Math" w:cs="Arial"/>
                </w:rPr>
                <m:t>-</m:t>
              </m:r>
              <m:sSub>
                <m:sSubPr>
                  <m:ctrlPr>
                    <w:rPr>
                      <w:rFonts w:ascii="Cambria Math" w:hAnsi="Cambria Math" w:cs="Arial"/>
                      <w:bCs/>
                      <w:i/>
                    </w:rPr>
                  </m:ctrlPr>
                </m:sSubPr>
                <m:e>
                  <m:r>
                    <w:rPr>
                      <w:rFonts w:ascii="Cambria Math" w:hAnsi="Cambria Math" w:cs="Arial"/>
                    </w:rPr>
                    <m:t>T</m:t>
                  </m:r>
                </m:e>
                <m:sub>
                  <m:r>
                    <w:rPr>
                      <w:rFonts w:ascii="Cambria Math" w:hAnsi="Cambria Math" w:cs="Arial"/>
                    </w:rPr>
                    <m:t>NP</m:t>
                  </m:r>
                </m:sub>
              </m:sSub>
            </m:num>
            <m:den>
              <m:sSub>
                <m:sSubPr>
                  <m:ctrlPr>
                    <w:rPr>
                      <w:rFonts w:ascii="Cambria Math" w:hAnsi="Cambria Math" w:cs="Arial"/>
                      <w:bCs/>
                      <w:i/>
                    </w:rPr>
                  </m:ctrlPr>
                </m:sSubPr>
                <m:e>
                  <m:r>
                    <w:rPr>
                      <w:rFonts w:ascii="Cambria Math" w:hAnsi="Cambria Math" w:cs="Arial"/>
                    </w:rPr>
                    <m:t>T</m:t>
                  </m:r>
                </m:e>
                <m:sub>
                  <m:r>
                    <w:rPr>
                      <w:rFonts w:ascii="Cambria Math" w:hAnsi="Cambria Math" w:cs="Arial"/>
                    </w:rPr>
                    <m:t>LDC</m:t>
                  </m:r>
                </m:sub>
              </m:sSub>
            </m:den>
          </m:f>
          <m:r>
            <w:rPr>
              <w:rFonts w:ascii="Cambria Math" w:hAnsi="Cambria Math" w:cs="Arial"/>
            </w:rPr>
            <m:t>x100%</m:t>
          </m:r>
        </m:oMath>
      </m:oMathPara>
    </w:p>
    <w:p w14:paraId="448F9FE0" w14:textId="77777777" w:rsidR="00127642" w:rsidRPr="000B5A8D" w:rsidRDefault="00127642" w:rsidP="00127642">
      <w:pPr>
        <w:rPr>
          <w:rFonts w:ascii="Arial" w:hAnsi="Arial" w:cs="Arial"/>
        </w:rPr>
      </w:pPr>
      <m:oMath>
        <m:r>
          <w:rPr>
            <w:rFonts w:ascii="Cambria Math" w:hAnsi="Cambria Math" w:cs="Arial"/>
          </w:rPr>
          <m:t>PL</m:t>
        </m:r>
      </m:oMath>
      <w:r w:rsidRPr="000B5A8D">
        <w:rPr>
          <w:rFonts w:ascii="Arial" w:hAnsi="Arial" w:cs="Arial"/>
        </w:rPr>
        <w:t xml:space="preserve">  = Preference Loss Percentage</w:t>
      </w:r>
    </w:p>
    <w:p w14:paraId="54F52DB0" w14:textId="77777777" w:rsidR="00127642" w:rsidRPr="000B5A8D" w:rsidRDefault="00B55588" w:rsidP="00127642">
      <w:pPr>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LDC</m:t>
            </m:r>
          </m:sub>
        </m:sSub>
      </m:oMath>
      <w:r w:rsidR="00127642" w:rsidRPr="000B5A8D">
        <w:rPr>
          <w:rFonts w:ascii="Arial" w:hAnsi="Arial" w:cs="Arial"/>
        </w:rPr>
        <w:t xml:space="preserve">= Trade under preference schemes (before changes) </w:t>
      </w:r>
    </w:p>
    <w:p w14:paraId="5CE6A68E" w14:textId="77777777" w:rsidR="00127642" w:rsidRPr="000B5A8D" w:rsidRDefault="00127642" w:rsidP="00127642">
      <w:pPr>
        <w:rPr>
          <w:rFonts w:ascii="Arial" w:hAnsi="Arial" w:cs="Arial"/>
        </w:rPr>
      </w:pPr>
      <w:r w:rsidRPr="000B5A8D">
        <w:rPr>
          <w:rFonts w:ascii="Arial" w:hAnsi="Arial" w:cs="Arial"/>
        </w:rPr>
        <w:t xml:space="preserve">Let </w:t>
      </w:r>
      <m:oMath>
        <m:sSub>
          <m:sSubPr>
            <m:ctrlPr>
              <w:rPr>
                <w:rFonts w:ascii="Cambria Math" w:hAnsi="Cambria Math" w:cs="Arial"/>
                <w:i/>
              </w:rPr>
            </m:ctrlPr>
          </m:sSubPr>
          <m:e>
            <m:r>
              <w:rPr>
                <w:rFonts w:ascii="Cambria Math" w:hAnsi="Cambria Math" w:cs="Arial"/>
              </w:rPr>
              <m:t>T</m:t>
            </m:r>
          </m:e>
          <m:sub>
            <m:r>
              <w:rPr>
                <w:rFonts w:ascii="Cambria Math" w:hAnsi="Cambria Math" w:cs="Arial"/>
              </w:rPr>
              <m:t>NP</m:t>
            </m:r>
          </m:sub>
        </m:sSub>
      </m:oMath>
      <w:r w:rsidRPr="000B5A8D">
        <w:rPr>
          <w:rFonts w:ascii="Arial" w:hAnsi="Arial" w:cs="Arial"/>
        </w:rPr>
        <w:t>= Trade after loss of preference (or under non-preferential scheme)</w:t>
      </w:r>
    </w:p>
    <w:p w14:paraId="17908BD3" w14:textId="77777777" w:rsidR="00127642" w:rsidRPr="000B5A8D" w:rsidRDefault="00127642" w:rsidP="00127642">
      <w:pPr>
        <w:jc w:val="both"/>
        <w:rPr>
          <w:rFonts w:ascii="Arial" w:hAnsi="Arial" w:cs="Arial"/>
          <w:b/>
        </w:rPr>
      </w:pPr>
    </w:p>
    <w:p w14:paraId="1F50E942" w14:textId="77777777" w:rsidR="00127642" w:rsidRPr="000B5A8D" w:rsidRDefault="00127642" w:rsidP="00127642">
      <w:pPr>
        <w:jc w:val="both"/>
        <w:rPr>
          <w:rFonts w:ascii="Arial" w:hAnsi="Arial" w:cs="Arial"/>
        </w:rPr>
      </w:pPr>
      <w:r w:rsidRPr="000B5A8D">
        <w:rPr>
          <w:rFonts w:ascii="Arial" w:hAnsi="Arial" w:cs="Arial"/>
          <w:b/>
        </w:rPr>
        <w:t>Parameter for Simulation</w:t>
      </w:r>
      <w:r w:rsidR="007002DE" w:rsidRPr="000B5A8D">
        <w:rPr>
          <w:rFonts w:ascii="Arial" w:hAnsi="Arial" w:cs="Arial"/>
          <w:b/>
        </w:rPr>
        <w:t xml:space="preserve"> A</w:t>
      </w:r>
      <w:r w:rsidRPr="000B5A8D">
        <w:rPr>
          <w:rFonts w:ascii="Arial" w:hAnsi="Arial" w:cs="Arial"/>
          <w:b/>
        </w:rPr>
        <w:t>:</w:t>
      </w:r>
      <w:r w:rsidRPr="000B5A8D">
        <w:rPr>
          <w:rFonts w:ascii="Arial" w:hAnsi="Arial" w:cs="Arial"/>
        </w:rPr>
        <w:t xml:space="preserve"> The following are the parameter for TINA simulation on preference loss where </w:t>
      </w:r>
      <w:r w:rsidR="00A83450" w:rsidRPr="000B5A8D">
        <w:rPr>
          <w:rFonts w:ascii="Arial" w:hAnsi="Arial" w:cs="Arial"/>
        </w:rPr>
        <w:t>2</w:t>
      </w:r>
      <w:r w:rsidRPr="000B5A8D">
        <w:rPr>
          <w:rFonts w:ascii="Arial" w:hAnsi="Arial" w:cs="Arial"/>
        </w:rPr>
        <w:t xml:space="preserve"> bilateral agreements and 57 countries and major economic blocs under the </w:t>
      </w:r>
      <w:r w:rsidR="00620448" w:rsidRPr="000B5A8D">
        <w:rPr>
          <w:rFonts w:ascii="Arial" w:hAnsi="Arial" w:cs="Arial"/>
        </w:rPr>
        <w:t>following S</w:t>
      </w:r>
      <w:r w:rsidRPr="000B5A8D">
        <w:rPr>
          <w:rFonts w:ascii="Arial" w:hAnsi="Arial" w:cs="Arial"/>
        </w:rPr>
        <w:t xml:space="preserve">&amp;DT and regional trade agreement are considered: </w:t>
      </w:r>
    </w:p>
    <w:p w14:paraId="7E114704" w14:textId="77777777" w:rsidR="00A83450" w:rsidRPr="000B5A8D" w:rsidRDefault="00A83450" w:rsidP="00A83450">
      <w:pPr>
        <w:pStyle w:val="Caption"/>
        <w:keepNext/>
        <w:spacing w:after="0"/>
        <w:rPr>
          <w:rFonts w:ascii="Arial" w:hAnsi="Arial" w:cs="Arial"/>
          <w:sz w:val="20"/>
          <w:szCs w:val="20"/>
        </w:rPr>
      </w:pPr>
    </w:p>
    <w:p w14:paraId="77DE4D93" w14:textId="77777777" w:rsidR="00A83450" w:rsidRPr="000B5A8D" w:rsidRDefault="00A83450" w:rsidP="00A83450">
      <w:pPr>
        <w:pStyle w:val="Caption"/>
        <w:keepNext/>
        <w:spacing w:after="0"/>
        <w:rPr>
          <w:rFonts w:ascii="Arial" w:hAnsi="Arial" w:cs="Arial"/>
          <w:sz w:val="20"/>
          <w:szCs w:val="20"/>
        </w:rPr>
      </w:pPr>
      <w:r w:rsidRPr="000B5A8D">
        <w:rPr>
          <w:rFonts w:ascii="Arial" w:hAnsi="Arial" w:cs="Arial"/>
          <w:sz w:val="20"/>
          <w:szCs w:val="20"/>
        </w:rPr>
        <w:t>Table 2: Preference under 2 Bilateral Agreements and 57 Regional Agreements</w:t>
      </w:r>
    </w:p>
    <w:tbl>
      <w:tblPr>
        <w:tblStyle w:val="TableGrid"/>
        <w:tblW w:w="8725" w:type="dxa"/>
        <w:tblLayout w:type="fixed"/>
        <w:tblLook w:val="04A0" w:firstRow="1" w:lastRow="0" w:firstColumn="1" w:lastColumn="0" w:noHBand="0" w:noVBand="1"/>
      </w:tblPr>
      <w:tblGrid>
        <w:gridCol w:w="732"/>
        <w:gridCol w:w="4033"/>
        <w:gridCol w:w="3960"/>
      </w:tblGrid>
      <w:tr w:rsidR="00A87D4D" w:rsidRPr="000B5A8D" w14:paraId="1873B04D" w14:textId="77777777" w:rsidTr="00C457D0">
        <w:trPr>
          <w:tblHeader/>
        </w:trPr>
        <w:tc>
          <w:tcPr>
            <w:tcW w:w="732" w:type="dxa"/>
          </w:tcPr>
          <w:p w14:paraId="2652FA9D" w14:textId="77777777" w:rsidR="00A87D4D" w:rsidRPr="000B5A8D" w:rsidRDefault="00A87D4D" w:rsidP="00A87D4D">
            <w:pPr>
              <w:ind w:right="-111"/>
              <w:rPr>
                <w:rFonts w:ascii="Arial" w:hAnsi="Arial" w:cs="Arial"/>
                <w:b/>
                <w:sz w:val="18"/>
                <w:szCs w:val="18"/>
              </w:rPr>
            </w:pPr>
            <w:r w:rsidRPr="000B5A8D">
              <w:rPr>
                <w:rFonts w:ascii="Arial" w:hAnsi="Arial" w:cs="Arial"/>
                <w:b/>
                <w:sz w:val="18"/>
                <w:szCs w:val="18"/>
              </w:rPr>
              <w:t>Serial No</w:t>
            </w:r>
          </w:p>
        </w:tc>
        <w:tc>
          <w:tcPr>
            <w:tcW w:w="4033" w:type="dxa"/>
          </w:tcPr>
          <w:p w14:paraId="58651666" w14:textId="77777777" w:rsidR="00A87D4D" w:rsidRPr="000B5A8D" w:rsidRDefault="00A87D4D" w:rsidP="00A87D4D">
            <w:pPr>
              <w:rPr>
                <w:rFonts w:ascii="Arial" w:hAnsi="Arial" w:cs="Arial"/>
                <w:b/>
                <w:sz w:val="18"/>
                <w:szCs w:val="18"/>
              </w:rPr>
            </w:pPr>
            <w:r w:rsidRPr="000B5A8D">
              <w:rPr>
                <w:rFonts w:ascii="Arial" w:hAnsi="Arial" w:cs="Arial"/>
                <w:b/>
                <w:sz w:val="18"/>
                <w:szCs w:val="18"/>
              </w:rPr>
              <w:t>Agreement</w:t>
            </w:r>
          </w:p>
        </w:tc>
        <w:tc>
          <w:tcPr>
            <w:tcW w:w="3960" w:type="dxa"/>
          </w:tcPr>
          <w:p w14:paraId="39193E31" w14:textId="77777777" w:rsidR="00A87D4D" w:rsidRPr="000B5A8D" w:rsidRDefault="00A87D4D" w:rsidP="00A87D4D">
            <w:pPr>
              <w:rPr>
                <w:rFonts w:ascii="Arial" w:hAnsi="Arial" w:cs="Arial"/>
                <w:sz w:val="18"/>
                <w:szCs w:val="18"/>
              </w:rPr>
            </w:pPr>
            <w:r w:rsidRPr="000B5A8D">
              <w:rPr>
                <w:rFonts w:ascii="Arial" w:hAnsi="Arial" w:cs="Arial"/>
                <w:b/>
                <w:bCs/>
                <w:sz w:val="18"/>
                <w:szCs w:val="18"/>
                <w:shd w:val="clear" w:color="auto" w:fill="FFFFFF"/>
              </w:rPr>
              <w:t>Tariffs reported by</w:t>
            </w:r>
            <w:r w:rsidR="00C457D0" w:rsidRPr="000B5A8D">
              <w:rPr>
                <w:rFonts w:ascii="Arial" w:hAnsi="Arial" w:cs="Arial"/>
                <w:b/>
                <w:bCs/>
                <w:sz w:val="18"/>
                <w:szCs w:val="18"/>
                <w:shd w:val="clear" w:color="auto" w:fill="FFFFFF"/>
              </w:rPr>
              <w:t xml:space="preserve"> Countries and (Number of Commodities) </w:t>
            </w:r>
          </w:p>
        </w:tc>
      </w:tr>
      <w:tr w:rsidR="00A87D4D" w:rsidRPr="000B5A8D" w14:paraId="429DC594" w14:textId="77777777" w:rsidTr="00C457D0">
        <w:tc>
          <w:tcPr>
            <w:tcW w:w="732" w:type="dxa"/>
          </w:tcPr>
          <w:p w14:paraId="293F2CED" w14:textId="77777777" w:rsidR="00A87D4D" w:rsidRPr="000B5A8D" w:rsidRDefault="00A87D4D" w:rsidP="00A87D4D">
            <w:pPr>
              <w:pStyle w:val="ListParagraph"/>
              <w:numPr>
                <w:ilvl w:val="0"/>
                <w:numId w:val="38"/>
              </w:numPr>
              <w:spacing w:after="0" w:line="240" w:lineRule="auto"/>
              <w:contextualSpacing/>
              <w:rPr>
                <w:rStyle w:val="Emphasis"/>
                <w:rFonts w:ascii="Arial" w:hAnsi="Arial" w:cs="Arial"/>
                <w:sz w:val="18"/>
                <w:szCs w:val="18"/>
              </w:rPr>
            </w:pPr>
          </w:p>
        </w:tc>
        <w:tc>
          <w:tcPr>
            <w:tcW w:w="4033" w:type="dxa"/>
            <w:vAlign w:val="center"/>
          </w:tcPr>
          <w:p w14:paraId="77AB475A"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Sri Lanka (GSTP) Countries 2017</w:t>
            </w:r>
          </w:p>
        </w:tc>
        <w:tc>
          <w:tcPr>
            <w:tcW w:w="3960" w:type="dxa"/>
            <w:vAlign w:val="center"/>
          </w:tcPr>
          <w:p w14:paraId="00DD3DF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Sri Lanka </w:t>
            </w:r>
            <w:r w:rsidRPr="000B5A8D">
              <w:rPr>
                <w:rFonts w:ascii="Arial" w:hAnsi="Arial" w:cs="Arial"/>
                <w:sz w:val="18"/>
                <w:szCs w:val="18"/>
              </w:rPr>
              <w:t>(64 Commodities)</w:t>
            </w:r>
          </w:p>
        </w:tc>
      </w:tr>
      <w:tr w:rsidR="00A87D4D" w:rsidRPr="000B5A8D" w14:paraId="478EA276" w14:textId="77777777" w:rsidTr="00C457D0">
        <w:tc>
          <w:tcPr>
            <w:tcW w:w="732" w:type="dxa"/>
          </w:tcPr>
          <w:p w14:paraId="39B18AB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6B24875E"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South Asian Free Trade Area (SAFTA) LDCs</w:t>
            </w:r>
          </w:p>
        </w:tc>
        <w:tc>
          <w:tcPr>
            <w:tcW w:w="3960" w:type="dxa"/>
            <w:vAlign w:val="center"/>
          </w:tcPr>
          <w:p w14:paraId="736A1403"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India </w:t>
            </w:r>
            <w:r w:rsidRPr="000B5A8D">
              <w:rPr>
                <w:rFonts w:ascii="Arial" w:hAnsi="Arial" w:cs="Arial"/>
                <w:sz w:val="18"/>
                <w:szCs w:val="18"/>
              </w:rPr>
              <w:t>(10106); </w:t>
            </w:r>
            <w:r w:rsidRPr="000B5A8D">
              <w:rPr>
                <w:rStyle w:val="font-weight-600"/>
                <w:rFonts w:ascii="Arial" w:hAnsi="Arial" w:cs="Arial"/>
                <w:sz w:val="18"/>
                <w:szCs w:val="18"/>
              </w:rPr>
              <w:t>Sri Lanka </w:t>
            </w:r>
            <w:r w:rsidRPr="000B5A8D">
              <w:rPr>
                <w:rFonts w:ascii="Arial" w:hAnsi="Arial" w:cs="Arial"/>
                <w:sz w:val="18"/>
                <w:szCs w:val="18"/>
              </w:rPr>
              <w:t>(2430); </w:t>
            </w:r>
            <w:r w:rsidRPr="000B5A8D">
              <w:rPr>
                <w:rStyle w:val="font-weight-600"/>
                <w:rFonts w:ascii="Arial" w:hAnsi="Arial" w:cs="Arial"/>
                <w:sz w:val="18"/>
                <w:szCs w:val="18"/>
              </w:rPr>
              <w:t>Nepal </w:t>
            </w:r>
            <w:r w:rsidRPr="000B5A8D">
              <w:rPr>
                <w:rFonts w:ascii="Arial" w:hAnsi="Arial" w:cs="Arial"/>
                <w:sz w:val="18"/>
                <w:szCs w:val="18"/>
              </w:rPr>
              <w:t>(74)</w:t>
            </w:r>
          </w:p>
        </w:tc>
      </w:tr>
      <w:tr w:rsidR="00A87D4D" w:rsidRPr="000B5A8D" w14:paraId="5F198F8C" w14:textId="77777777" w:rsidTr="00C457D0">
        <w:tc>
          <w:tcPr>
            <w:tcW w:w="732" w:type="dxa"/>
          </w:tcPr>
          <w:p w14:paraId="45FB6DF2"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59B5B80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SAARC</w:t>
            </w:r>
          </w:p>
        </w:tc>
        <w:tc>
          <w:tcPr>
            <w:tcW w:w="3960" w:type="dxa"/>
            <w:vAlign w:val="center"/>
          </w:tcPr>
          <w:p w14:paraId="2B61B997"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Bangladesh </w:t>
            </w:r>
            <w:r w:rsidRPr="000B5A8D">
              <w:rPr>
                <w:rFonts w:ascii="Arial" w:hAnsi="Arial" w:cs="Arial"/>
                <w:sz w:val="18"/>
                <w:szCs w:val="18"/>
              </w:rPr>
              <w:t>(7428); </w:t>
            </w:r>
            <w:r w:rsidRPr="000B5A8D">
              <w:rPr>
                <w:rStyle w:val="font-weight-600"/>
                <w:rFonts w:ascii="Arial" w:hAnsi="Arial" w:cs="Arial"/>
                <w:sz w:val="18"/>
                <w:szCs w:val="18"/>
              </w:rPr>
              <w:t>India </w:t>
            </w:r>
            <w:r w:rsidRPr="000B5A8D">
              <w:rPr>
                <w:rFonts w:ascii="Arial" w:hAnsi="Arial" w:cs="Arial"/>
                <w:sz w:val="18"/>
                <w:szCs w:val="18"/>
              </w:rPr>
              <w:t>(1492); </w:t>
            </w:r>
            <w:r w:rsidRPr="000B5A8D">
              <w:rPr>
                <w:rStyle w:val="font-weight-600"/>
                <w:rFonts w:ascii="Arial" w:hAnsi="Arial" w:cs="Arial"/>
                <w:sz w:val="18"/>
                <w:szCs w:val="18"/>
              </w:rPr>
              <w:t>Sri Lanka </w:t>
            </w:r>
            <w:r w:rsidRPr="000B5A8D">
              <w:rPr>
                <w:rFonts w:ascii="Arial" w:hAnsi="Arial" w:cs="Arial"/>
                <w:sz w:val="18"/>
                <w:szCs w:val="18"/>
              </w:rPr>
              <w:t>(8)</w:t>
            </w:r>
          </w:p>
        </w:tc>
      </w:tr>
      <w:tr w:rsidR="00A87D4D" w:rsidRPr="000B5A8D" w14:paraId="7DB473B7" w14:textId="77777777" w:rsidTr="00C457D0">
        <w:tc>
          <w:tcPr>
            <w:tcW w:w="732" w:type="dxa"/>
          </w:tcPr>
          <w:p w14:paraId="72A4E8D0"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B84768A"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Preferential tariff for SAARC 2009</w:t>
            </w:r>
          </w:p>
        </w:tc>
        <w:tc>
          <w:tcPr>
            <w:tcW w:w="3960" w:type="dxa"/>
            <w:vAlign w:val="center"/>
          </w:tcPr>
          <w:p w14:paraId="63C45317"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Afghanistan </w:t>
            </w:r>
            <w:r w:rsidRPr="000B5A8D">
              <w:rPr>
                <w:rFonts w:ascii="Arial" w:hAnsi="Arial" w:cs="Arial"/>
                <w:sz w:val="18"/>
                <w:szCs w:val="18"/>
              </w:rPr>
              <w:t>(2480); </w:t>
            </w:r>
            <w:r w:rsidRPr="000B5A8D">
              <w:rPr>
                <w:rStyle w:val="font-weight-600"/>
                <w:rFonts w:ascii="Arial" w:hAnsi="Arial" w:cs="Arial"/>
                <w:sz w:val="18"/>
                <w:szCs w:val="18"/>
              </w:rPr>
              <w:t>India </w:t>
            </w:r>
            <w:r w:rsidRPr="000B5A8D">
              <w:rPr>
                <w:rFonts w:ascii="Arial" w:hAnsi="Arial" w:cs="Arial"/>
                <w:sz w:val="18"/>
                <w:szCs w:val="18"/>
              </w:rPr>
              <w:t>(8292); </w:t>
            </w:r>
            <w:r w:rsidRPr="000B5A8D">
              <w:rPr>
                <w:rStyle w:val="font-weight-600"/>
                <w:rFonts w:ascii="Arial" w:hAnsi="Arial" w:cs="Arial"/>
                <w:sz w:val="18"/>
                <w:szCs w:val="18"/>
              </w:rPr>
              <w:t>Sri Lanka </w:t>
            </w:r>
            <w:r w:rsidRPr="000B5A8D">
              <w:rPr>
                <w:rFonts w:ascii="Arial" w:hAnsi="Arial" w:cs="Arial"/>
                <w:sz w:val="18"/>
                <w:szCs w:val="18"/>
              </w:rPr>
              <w:t>(2228); </w:t>
            </w:r>
            <w:r w:rsidRPr="000B5A8D">
              <w:rPr>
                <w:rStyle w:val="font-weight-600"/>
                <w:rFonts w:ascii="Arial" w:hAnsi="Arial" w:cs="Arial"/>
                <w:sz w:val="18"/>
                <w:szCs w:val="18"/>
              </w:rPr>
              <w:t>Maldives </w:t>
            </w:r>
            <w:r w:rsidRPr="000B5A8D">
              <w:rPr>
                <w:rFonts w:ascii="Arial" w:hAnsi="Arial" w:cs="Arial"/>
                <w:sz w:val="18"/>
                <w:szCs w:val="18"/>
              </w:rPr>
              <w:t>(6960); </w:t>
            </w:r>
            <w:r w:rsidRPr="000B5A8D">
              <w:rPr>
                <w:rStyle w:val="font-weight-600"/>
                <w:rFonts w:ascii="Arial" w:hAnsi="Arial" w:cs="Arial"/>
                <w:sz w:val="18"/>
                <w:szCs w:val="18"/>
              </w:rPr>
              <w:t>Nepal </w:t>
            </w:r>
            <w:r w:rsidRPr="000B5A8D">
              <w:rPr>
                <w:rFonts w:ascii="Arial" w:hAnsi="Arial" w:cs="Arial"/>
                <w:sz w:val="18"/>
                <w:szCs w:val="18"/>
              </w:rPr>
              <w:t>(5358); </w:t>
            </w:r>
            <w:r w:rsidRPr="000B5A8D">
              <w:rPr>
                <w:rStyle w:val="font-weight-600"/>
                <w:rFonts w:ascii="Arial" w:hAnsi="Arial" w:cs="Arial"/>
                <w:sz w:val="18"/>
                <w:szCs w:val="18"/>
              </w:rPr>
              <w:t>Pakistan </w:t>
            </w:r>
            <w:r w:rsidRPr="000B5A8D">
              <w:rPr>
                <w:rFonts w:ascii="Arial" w:hAnsi="Arial" w:cs="Arial"/>
                <w:sz w:val="18"/>
                <w:szCs w:val="18"/>
              </w:rPr>
              <w:t>(4434)</w:t>
            </w:r>
          </w:p>
        </w:tc>
      </w:tr>
      <w:tr w:rsidR="00A87D4D" w:rsidRPr="000B5A8D" w14:paraId="26EBC5FE" w14:textId="77777777" w:rsidTr="00C457D0">
        <w:tc>
          <w:tcPr>
            <w:tcW w:w="732" w:type="dxa"/>
          </w:tcPr>
          <w:p w14:paraId="0EC835E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1C9CE71"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Preferential tariff for APTA(LDC)countries</w:t>
            </w:r>
          </w:p>
        </w:tc>
        <w:tc>
          <w:tcPr>
            <w:tcW w:w="3960" w:type="dxa"/>
            <w:vAlign w:val="center"/>
          </w:tcPr>
          <w:p w14:paraId="26019CDE"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Bangladesh </w:t>
            </w:r>
            <w:r w:rsidRPr="000B5A8D">
              <w:rPr>
                <w:rFonts w:ascii="Arial" w:hAnsi="Arial" w:cs="Arial"/>
                <w:sz w:val="18"/>
                <w:szCs w:val="18"/>
              </w:rPr>
              <w:t>(16); </w:t>
            </w:r>
            <w:r w:rsidRPr="000B5A8D">
              <w:rPr>
                <w:rStyle w:val="font-weight-600"/>
                <w:rFonts w:ascii="Arial" w:hAnsi="Arial" w:cs="Arial"/>
                <w:sz w:val="18"/>
                <w:szCs w:val="18"/>
              </w:rPr>
              <w:t>Sri Lanka </w:t>
            </w:r>
            <w:r w:rsidRPr="000B5A8D">
              <w:rPr>
                <w:rFonts w:ascii="Arial" w:hAnsi="Arial" w:cs="Arial"/>
                <w:sz w:val="18"/>
                <w:szCs w:val="18"/>
              </w:rPr>
              <w:t>(28)</w:t>
            </w:r>
          </w:p>
        </w:tc>
      </w:tr>
      <w:tr w:rsidR="00A87D4D" w:rsidRPr="000B5A8D" w14:paraId="7DBA6F9B" w14:textId="77777777" w:rsidTr="00C457D0">
        <w:tc>
          <w:tcPr>
            <w:tcW w:w="732" w:type="dxa"/>
          </w:tcPr>
          <w:p w14:paraId="3E1776D8"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537009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Preferential duty rate for the Trade Negotiations among Developing Countries in WTO</w:t>
            </w:r>
          </w:p>
        </w:tc>
        <w:tc>
          <w:tcPr>
            <w:tcW w:w="3960" w:type="dxa"/>
            <w:vAlign w:val="center"/>
          </w:tcPr>
          <w:p w14:paraId="4A1E0BE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Republic of Korea </w:t>
            </w:r>
            <w:r w:rsidRPr="000B5A8D">
              <w:rPr>
                <w:rFonts w:ascii="Arial" w:hAnsi="Arial" w:cs="Arial"/>
                <w:sz w:val="18"/>
                <w:szCs w:val="18"/>
              </w:rPr>
              <w:t>(84)</w:t>
            </w:r>
          </w:p>
        </w:tc>
      </w:tr>
      <w:tr w:rsidR="00A87D4D" w:rsidRPr="000B5A8D" w14:paraId="0A6D6CD3" w14:textId="77777777" w:rsidTr="00C457D0">
        <w:tc>
          <w:tcPr>
            <w:tcW w:w="732" w:type="dxa"/>
          </w:tcPr>
          <w:p w14:paraId="74588857"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373555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Preferential duty rate for the Asia-Pacific Trade Agreement</w:t>
            </w:r>
          </w:p>
        </w:tc>
        <w:tc>
          <w:tcPr>
            <w:tcW w:w="3960" w:type="dxa"/>
            <w:vAlign w:val="center"/>
          </w:tcPr>
          <w:p w14:paraId="7A9D951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Republic of Korea </w:t>
            </w:r>
            <w:r w:rsidRPr="000B5A8D">
              <w:rPr>
                <w:rFonts w:ascii="Arial" w:hAnsi="Arial" w:cs="Arial"/>
                <w:sz w:val="18"/>
                <w:szCs w:val="18"/>
              </w:rPr>
              <w:t>(3592)</w:t>
            </w:r>
          </w:p>
        </w:tc>
      </w:tr>
      <w:tr w:rsidR="00A87D4D" w:rsidRPr="000B5A8D" w14:paraId="7F4DFE13" w14:textId="77777777" w:rsidTr="00C457D0">
        <w:tc>
          <w:tcPr>
            <w:tcW w:w="732" w:type="dxa"/>
          </w:tcPr>
          <w:p w14:paraId="22F489A2"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1A50E16C"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Least-developed countries (LDC) duties for 41 countries</w:t>
            </w:r>
          </w:p>
        </w:tc>
        <w:tc>
          <w:tcPr>
            <w:tcW w:w="3960" w:type="dxa"/>
            <w:vAlign w:val="center"/>
          </w:tcPr>
          <w:p w14:paraId="2BE4B059"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China </w:t>
            </w:r>
            <w:r w:rsidRPr="000B5A8D">
              <w:rPr>
                <w:rFonts w:ascii="Arial" w:hAnsi="Arial" w:cs="Arial"/>
                <w:sz w:val="18"/>
                <w:szCs w:val="18"/>
              </w:rPr>
              <w:t>(9496)</w:t>
            </w:r>
          </w:p>
        </w:tc>
      </w:tr>
      <w:tr w:rsidR="00A87D4D" w:rsidRPr="000B5A8D" w14:paraId="5FF8C77D" w14:textId="77777777" w:rsidTr="00C457D0">
        <w:tc>
          <w:tcPr>
            <w:tcW w:w="732" w:type="dxa"/>
          </w:tcPr>
          <w:p w14:paraId="6E19247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559A173E"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Least Developed Country Framework (LDCF)</w:t>
            </w:r>
          </w:p>
        </w:tc>
        <w:tc>
          <w:tcPr>
            <w:tcW w:w="3960" w:type="dxa"/>
            <w:vAlign w:val="center"/>
          </w:tcPr>
          <w:p w14:paraId="137A902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United Kingdom </w:t>
            </w:r>
            <w:r w:rsidRPr="000B5A8D">
              <w:rPr>
                <w:rFonts w:ascii="Arial" w:hAnsi="Arial" w:cs="Arial"/>
                <w:sz w:val="18"/>
                <w:szCs w:val="18"/>
              </w:rPr>
              <w:t>(5058)</w:t>
            </w:r>
          </w:p>
        </w:tc>
      </w:tr>
      <w:tr w:rsidR="00A87D4D" w:rsidRPr="000B5A8D" w14:paraId="62FCB525" w14:textId="77777777" w:rsidTr="00C457D0">
        <w:tc>
          <w:tcPr>
            <w:tcW w:w="732" w:type="dxa"/>
          </w:tcPr>
          <w:p w14:paraId="6609DD6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restart"/>
            <w:vAlign w:val="center"/>
          </w:tcPr>
          <w:p w14:paraId="237F8DD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Least Developed Countries (LDC) duties</w:t>
            </w:r>
          </w:p>
        </w:tc>
        <w:tc>
          <w:tcPr>
            <w:tcW w:w="3960" w:type="dxa"/>
            <w:vAlign w:val="center"/>
          </w:tcPr>
          <w:p w14:paraId="6F712747"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Switzerland </w:t>
            </w:r>
            <w:r w:rsidRPr="000B5A8D">
              <w:rPr>
                <w:rFonts w:ascii="Arial" w:hAnsi="Arial" w:cs="Arial"/>
                <w:sz w:val="18"/>
                <w:szCs w:val="18"/>
              </w:rPr>
              <w:t>(7592)</w:t>
            </w:r>
          </w:p>
        </w:tc>
      </w:tr>
      <w:tr w:rsidR="00A87D4D" w:rsidRPr="000B5A8D" w14:paraId="073847FD" w14:textId="77777777" w:rsidTr="00C457D0">
        <w:tc>
          <w:tcPr>
            <w:tcW w:w="732" w:type="dxa"/>
          </w:tcPr>
          <w:p w14:paraId="13BE2B14"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0187618E" w14:textId="77777777" w:rsidR="00A87D4D" w:rsidRPr="000B5A8D" w:rsidRDefault="00A87D4D" w:rsidP="00A87D4D">
            <w:pPr>
              <w:rPr>
                <w:rFonts w:ascii="Arial" w:hAnsi="Arial" w:cs="Arial"/>
                <w:sz w:val="18"/>
                <w:szCs w:val="18"/>
              </w:rPr>
            </w:pPr>
          </w:p>
        </w:tc>
        <w:tc>
          <w:tcPr>
            <w:tcW w:w="3960" w:type="dxa"/>
            <w:vAlign w:val="center"/>
          </w:tcPr>
          <w:p w14:paraId="41B63C68"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Chile </w:t>
            </w:r>
            <w:r w:rsidRPr="000B5A8D">
              <w:rPr>
                <w:rFonts w:ascii="Arial" w:hAnsi="Arial" w:cs="Arial"/>
                <w:sz w:val="18"/>
                <w:szCs w:val="18"/>
              </w:rPr>
              <w:t>(10390)</w:t>
            </w:r>
          </w:p>
        </w:tc>
      </w:tr>
      <w:tr w:rsidR="00A87D4D" w:rsidRPr="000B5A8D" w14:paraId="0EE0B36B" w14:textId="77777777" w:rsidTr="00C457D0">
        <w:tc>
          <w:tcPr>
            <w:tcW w:w="732" w:type="dxa"/>
          </w:tcPr>
          <w:p w14:paraId="152E6A90"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30BACBE3" w14:textId="77777777" w:rsidR="00A87D4D" w:rsidRPr="000B5A8D" w:rsidRDefault="00A87D4D" w:rsidP="00A87D4D">
            <w:pPr>
              <w:rPr>
                <w:rFonts w:ascii="Arial" w:hAnsi="Arial" w:cs="Arial"/>
                <w:sz w:val="18"/>
                <w:szCs w:val="18"/>
              </w:rPr>
            </w:pPr>
          </w:p>
        </w:tc>
        <w:tc>
          <w:tcPr>
            <w:tcW w:w="3960" w:type="dxa"/>
            <w:vAlign w:val="center"/>
          </w:tcPr>
          <w:p w14:paraId="092C987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European Union (EU) </w:t>
            </w:r>
            <w:r w:rsidRPr="000B5A8D">
              <w:rPr>
                <w:rFonts w:ascii="Arial" w:hAnsi="Arial" w:cs="Arial"/>
                <w:sz w:val="18"/>
                <w:szCs w:val="18"/>
              </w:rPr>
              <w:t>(7690)</w:t>
            </w:r>
          </w:p>
        </w:tc>
      </w:tr>
      <w:tr w:rsidR="00A87D4D" w:rsidRPr="000B5A8D" w14:paraId="763BE14B" w14:textId="77777777" w:rsidTr="00C457D0">
        <w:tc>
          <w:tcPr>
            <w:tcW w:w="732" w:type="dxa"/>
          </w:tcPr>
          <w:p w14:paraId="5D4FC23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57DAE0F1" w14:textId="77777777" w:rsidR="00A87D4D" w:rsidRPr="000B5A8D" w:rsidRDefault="00A87D4D" w:rsidP="00A87D4D">
            <w:pPr>
              <w:rPr>
                <w:rFonts w:ascii="Arial" w:hAnsi="Arial" w:cs="Arial"/>
                <w:sz w:val="18"/>
                <w:szCs w:val="18"/>
              </w:rPr>
            </w:pPr>
          </w:p>
        </w:tc>
        <w:tc>
          <w:tcPr>
            <w:tcW w:w="3960" w:type="dxa"/>
            <w:vAlign w:val="center"/>
          </w:tcPr>
          <w:p w14:paraId="02F46E6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Japan </w:t>
            </w:r>
            <w:r w:rsidRPr="000B5A8D">
              <w:rPr>
                <w:rFonts w:ascii="Arial" w:hAnsi="Arial" w:cs="Arial"/>
                <w:sz w:val="18"/>
                <w:szCs w:val="18"/>
              </w:rPr>
              <w:t>(5226)</w:t>
            </w:r>
          </w:p>
        </w:tc>
      </w:tr>
      <w:tr w:rsidR="00A87D4D" w:rsidRPr="000B5A8D" w14:paraId="5312CF21" w14:textId="77777777" w:rsidTr="00C457D0">
        <w:tc>
          <w:tcPr>
            <w:tcW w:w="732" w:type="dxa"/>
          </w:tcPr>
          <w:p w14:paraId="723EFAD3"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752955E1" w14:textId="77777777" w:rsidR="00A87D4D" w:rsidRPr="000B5A8D" w:rsidRDefault="00A87D4D" w:rsidP="00A87D4D">
            <w:pPr>
              <w:rPr>
                <w:rFonts w:ascii="Arial" w:hAnsi="Arial" w:cs="Arial"/>
                <w:sz w:val="18"/>
                <w:szCs w:val="18"/>
              </w:rPr>
            </w:pPr>
          </w:p>
        </w:tc>
        <w:tc>
          <w:tcPr>
            <w:tcW w:w="3960" w:type="dxa"/>
            <w:vAlign w:val="center"/>
          </w:tcPr>
          <w:p w14:paraId="4DD081DD"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Republic of Korea </w:t>
            </w:r>
            <w:r w:rsidRPr="000B5A8D">
              <w:rPr>
                <w:rFonts w:ascii="Arial" w:hAnsi="Arial" w:cs="Arial"/>
                <w:sz w:val="18"/>
                <w:szCs w:val="18"/>
              </w:rPr>
              <w:t>(8100)</w:t>
            </w:r>
          </w:p>
        </w:tc>
      </w:tr>
      <w:tr w:rsidR="00A87D4D" w:rsidRPr="000B5A8D" w14:paraId="2830E04E" w14:textId="77777777" w:rsidTr="00C457D0">
        <w:tc>
          <w:tcPr>
            <w:tcW w:w="732" w:type="dxa"/>
          </w:tcPr>
          <w:p w14:paraId="13A108A5"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23D56BBF" w14:textId="77777777" w:rsidR="00A87D4D" w:rsidRPr="000B5A8D" w:rsidRDefault="00A87D4D" w:rsidP="00A87D4D">
            <w:pPr>
              <w:rPr>
                <w:rFonts w:ascii="Arial" w:hAnsi="Arial" w:cs="Arial"/>
                <w:sz w:val="18"/>
                <w:szCs w:val="18"/>
              </w:rPr>
            </w:pPr>
          </w:p>
        </w:tc>
        <w:tc>
          <w:tcPr>
            <w:tcW w:w="3960" w:type="dxa"/>
            <w:vAlign w:val="center"/>
          </w:tcPr>
          <w:p w14:paraId="4D935501"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Australia </w:t>
            </w:r>
            <w:r w:rsidRPr="000B5A8D">
              <w:rPr>
                <w:rFonts w:ascii="Arial" w:hAnsi="Arial" w:cs="Arial"/>
                <w:sz w:val="18"/>
                <w:szCs w:val="18"/>
              </w:rPr>
              <w:t>(5424)</w:t>
            </w:r>
          </w:p>
        </w:tc>
      </w:tr>
      <w:tr w:rsidR="00A87D4D" w:rsidRPr="000B5A8D" w14:paraId="6BD0DD97" w14:textId="77777777" w:rsidTr="00C457D0">
        <w:tc>
          <w:tcPr>
            <w:tcW w:w="732" w:type="dxa"/>
          </w:tcPr>
          <w:p w14:paraId="7619DB1D"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58F7CC03" w14:textId="77777777" w:rsidR="00A87D4D" w:rsidRPr="000B5A8D" w:rsidRDefault="00A87D4D" w:rsidP="00A87D4D">
            <w:pPr>
              <w:rPr>
                <w:rFonts w:ascii="Arial" w:hAnsi="Arial" w:cs="Arial"/>
                <w:sz w:val="18"/>
                <w:szCs w:val="18"/>
              </w:rPr>
            </w:pPr>
          </w:p>
        </w:tc>
        <w:tc>
          <w:tcPr>
            <w:tcW w:w="3960" w:type="dxa"/>
            <w:vAlign w:val="center"/>
          </w:tcPr>
          <w:p w14:paraId="355A7F42"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Montenegro </w:t>
            </w:r>
            <w:r w:rsidRPr="000B5A8D">
              <w:rPr>
                <w:rFonts w:ascii="Arial" w:hAnsi="Arial" w:cs="Arial"/>
                <w:sz w:val="18"/>
                <w:szCs w:val="18"/>
              </w:rPr>
              <w:t>(6712)</w:t>
            </w:r>
          </w:p>
        </w:tc>
      </w:tr>
      <w:tr w:rsidR="00A87D4D" w:rsidRPr="000B5A8D" w14:paraId="1C322D81" w14:textId="77777777" w:rsidTr="00C457D0">
        <w:tc>
          <w:tcPr>
            <w:tcW w:w="732" w:type="dxa"/>
          </w:tcPr>
          <w:p w14:paraId="46D1E92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7DEA94BF" w14:textId="77777777" w:rsidR="00A87D4D" w:rsidRPr="000B5A8D" w:rsidRDefault="00A87D4D" w:rsidP="00A87D4D">
            <w:pPr>
              <w:rPr>
                <w:rFonts w:ascii="Arial" w:hAnsi="Arial" w:cs="Arial"/>
                <w:sz w:val="18"/>
                <w:szCs w:val="18"/>
              </w:rPr>
            </w:pPr>
          </w:p>
        </w:tc>
        <w:tc>
          <w:tcPr>
            <w:tcW w:w="3960" w:type="dxa"/>
            <w:vAlign w:val="center"/>
          </w:tcPr>
          <w:p w14:paraId="2B594ED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Norway </w:t>
            </w:r>
            <w:r w:rsidRPr="000B5A8D">
              <w:rPr>
                <w:rFonts w:ascii="Arial" w:hAnsi="Arial" w:cs="Arial"/>
                <w:sz w:val="18"/>
                <w:szCs w:val="18"/>
              </w:rPr>
              <w:t>(1398)</w:t>
            </w:r>
          </w:p>
        </w:tc>
      </w:tr>
      <w:tr w:rsidR="00A87D4D" w:rsidRPr="000B5A8D" w14:paraId="627D5573" w14:textId="77777777" w:rsidTr="00C457D0">
        <w:tc>
          <w:tcPr>
            <w:tcW w:w="732" w:type="dxa"/>
          </w:tcPr>
          <w:p w14:paraId="4C08657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79293129" w14:textId="77777777" w:rsidR="00A87D4D" w:rsidRPr="000B5A8D" w:rsidRDefault="00A87D4D" w:rsidP="00A87D4D">
            <w:pPr>
              <w:rPr>
                <w:rFonts w:ascii="Arial" w:hAnsi="Arial" w:cs="Arial"/>
                <w:sz w:val="18"/>
                <w:szCs w:val="18"/>
              </w:rPr>
            </w:pPr>
          </w:p>
        </w:tc>
        <w:tc>
          <w:tcPr>
            <w:tcW w:w="3960" w:type="dxa"/>
            <w:vAlign w:val="center"/>
          </w:tcPr>
          <w:p w14:paraId="3C4FF52B"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New Zealand </w:t>
            </w:r>
            <w:r w:rsidRPr="000B5A8D">
              <w:rPr>
                <w:rFonts w:ascii="Arial" w:hAnsi="Arial" w:cs="Arial"/>
                <w:sz w:val="18"/>
                <w:szCs w:val="18"/>
              </w:rPr>
              <w:t>(4354)</w:t>
            </w:r>
          </w:p>
        </w:tc>
      </w:tr>
      <w:tr w:rsidR="00A87D4D" w:rsidRPr="000B5A8D" w14:paraId="678B092F" w14:textId="77777777" w:rsidTr="00C457D0">
        <w:tc>
          <w:tcPr>
            <w:tcW w:w="732" w:type="dxa"/>
          </w:tcPr>
          <w:p w14:paraId="7D440D04"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36B45667" w14:textId="77777777" w:rsidR="00A87D4D" w:rsidRPr="000B5A8D" w:rsidRDefault="00A87D4D" w:rsidP="00A87D4D">
            <w:pPr>
              <w:rPr>
                <w:rFonts w:ascii="Arial" w:hAnsi="Arial" w:cs="Arial"/>
                <w:sz w:val="18"/>
                <w:szCs w:val="18"/>
              </w:rPr>
            </w:pPr>
          </w:p>
        </w:tc>
        <w:tc>
          <w:tcPr>
            <w:tcW w:w="3960" w:type="dxa"/>
            <w:vAlign w:val="center"/>
          </w:tcPr>
          <w:p w14:paraId="3F63825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Thailand </w:t>
            </w:r>
            <w:r w:rsidRPr="000B5A8D">
              <w:rPr>
                <w:rFonts w:ascii="Arial" w:hAnsi="Arial" w:cs="Arial"/>
                <w:sz w:val="18"/>
                <w:szCs w:val="18"/>
              </w:rPr>
              <w:t>(5060)</w:t>
            </w:r>
          </w:p>
        </w:tc>
      </w:tr>
      <w:tr w:rsidR="00A87D4D" w:rsidRPr="000B5A8D" w14:paraId="2A536548" w14:textId="77777777" w:rsidTr="00C457D0">
        <w:tc>
          <w:tcPr>
            <w:tcW w:w="732" w:type="dxa"/>
          </w:tcPr>
          <w:p w14:paraId="5BEC2CE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0E83C283" w14:textId="77777777" w:rsidR="00A87D4D" w:rsidRPr="000B5A8D" w:rsidRDefault="00A87D4D" w:rsidP="00A87D4D">
            <w:pPr>
              <w:rPr>
                <w:rFonts w:ascii="Arial" w:hAnsi="Arial" w:cs="Arial"/>
                <w:sz w:val="18"/>
                <w:szCs w:val="18"/>
              </w:rPr>
            </w:pPr>
          </w:p>
        </w:tc>
        <w:tc>
          <w:tcPr>
            <w:tcW w:w="3960" w:type="dxa"/>
            <w:vAlign w:val="center"/>
          </w:tcPr>
          <w:p w14:paraId="6FC9C339"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 xml:space="preserve">Other Asia, </w:t>
            </w:r>
            <w:proofErr w:type="spellStart"/>
            <w:r w:rsidRPr="000B5A8D">
              <w:rPr>
                <w:rStyle w:val="font-weight-600"/>
                <w:rFonts w:ascii="Arial" w:hAnsi="Arial" w:cs="Arial"/>
                <w:sz w:val="18"/>
                <w:szCs w:val="18"/>
              </w:rPr>
              <w:t>nes</w:t>
            </w:r>
            <w:proofErr w:type="spellEnd"/>
            <w:r w:rsidRPr="000B5A8D">
              <w:rPr>
                <w:rStyle w:val="font-weight-600"/>
                <w:rFonts w:ascii="Arial" w:hAnsi="Arial" w:cs="Arial"/>
                <w:sz w:val="18"/>
                <w:szCs w:val="18"/>
              </w:rPr>
              <w:t> </w:t>
            </w:r>
            <w:r w:rsidRPr="000B5A8D">
              <w:rPr>
                <w:rFonts w:ascii="Arial" w:hAnsi="Arial" w:cs="Arial"/>
                <w:sz w:val="18"/>
                <w:szCs w:val="18"/>
              </w:rPr>
              <w:t>(476)</w:t>
            </w:r>
          </w:p>
        </w:tc>
      </w:tr>
      <w:tr w:rsidR="00A87D4D" w:rsidRPr="000B5A8D" w14:paraId="6EB1D886" w14:textId="77777777" w:rsidTr="00C457D0">
        <w:tc>
          <w:tcPr>
            <w:tcW w:w="732" w:type="dxa"/>
          </w:tcPr>
          <w:p w14:paraId="5C61537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1CCD0EE6" w14:textId="77777777" w:rsidR="00A87D4D" w:rsidRPr="000B5A8D" w:rsidRDefault="00A87D4D" w:rsidP="00A87D4D">
            <w:pPr>
              <w:rPr>
                <w:rFonts w:ascii="Arial" w:hAnsi="Arial" w:cs="Arial"/>
                <w:sz w:val="18"/>
                <w:szCs w:val="18"/>
              </w:rPr>
            </w:pPr>
          </w:p>
        </w:tc>
        <w:tc>
          <w:tcPr>
            <w:tcW w:w="3960" w:type="dxa"/>
            <w:vAlign w:val="center"/>
          </w:tcPr>
          <w:p w14:paraId="01C14648"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Canada </w:t>
            </w:r>
            <w:r w:rsidRPr="000B5A8D">
              <w:rPr>
                <w:rFonts w:ascii="Arial" w:hAnsi="Arial" w:cs="Arial"/>
                <w:sz w:val="18"/>
                <w:szCs w:val="18"/>
              </w:rPr>
              <w:t>(2848)</w:t>
            </w:r>
          </w:p>
        </w:tc>
      </w:tr>
      <w:tr w:rsidR="00A87D4D" w:rsidRPr="000B5A8D" w14:paraId="2EDE514C" w14:textId="77777777" w:rsidTr="00C457D0">
        <w:tc>
          <w:tcPr>
            <w:tcW w:w="732" w:type="dxa"/>
          </w:tcPr>
          <w:p w14:paraId="37CC7881"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A37C5F4"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duty rates</w:t>
            </w:r>
          </w:p>
        </w:tc>
        <w:tc>
          <w:tcPr>
            <w:tcW w:w="3960" w:type="dxa"/>
            <w:vAlign w:val="center"/>
          </w:tcPr>
          <w:p w14:paraId="08B1FA5C"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Russian Federation </w:t>
            </w:r>
            <w:r w:rsidRPr="000B5A8D">
              <w:rPr>
                <w:rFonts w:ascii="Arial" w:hAnsi="Arial" w:cs="Arial"/>
                <w:sz w:val="18"/>
                <w:szCs w:val="18"/>
              </w:rPr>
              <w:t>(6336)</w:t>
            </w:r>
          </w:p>
        </w:tc>
      </w:tr>
      <w:tr w:rsidR="00A87D4D" w:rsidRPr="000B5A8D" w14:paraId="096C2E48" w14:textId="77777777" w:rsidTr="00C457D0">
        <w:tc>
          <w:tcPr>
            <w:tcW w:w="732" w:type="dxa"/>
          </w:tcPr>
          <w:p w14:paraId="21E19B17"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670789F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Beneficiaries: Turkey 2019</w:t>
            </w:r>
          </w:p>
        </w:tc>
        <w:tc>
          <w:tcPr>
            <w:tcW w:w="3960" w:type="dxa"/>
            <w:vAlign w:val="center"/>
          </w:tcPr>
          <w:p w14:paraId="27447C95" w14:textId="77777777" w:rsidR="00A87D4D" w:rsidRPr="000B5A8D" w:rsidRDefault="00A87D4D" w:rsidP="00A87D4D">
            <w:pPr>
              <w:rPr>
                <w:rFonts w:ascii="Arial" w:hAnsi="Arial" w:cs="Arial"/>
                <w:sz w:val="18"/>
                <w:szCs w:val="18"/>
              </w:rPr>
            </w:pPr>
            <w:proofErr w:type="spellStart"/>
            <w:r w:rsidRPr="000B5A8D">
              <w:rPr>
                <w:rStyle w:val="font-weight-600"/>
                <w:rFonts w:ascii="Arial" w:hAnsi="Arial" w:cs="Arial"/>
                <w:sz w:val="18"/>
                <w:szCs w:val="18"/>
              </w:rPr>
              <w:t>Turkiye</w:t>
            </w:r>
            <w:proofErr w:type="spellEnd"/>
            <w:r w:rsidRPr="000B5A8D">
              <w:rPr>
                <w:rStyle w:val="font-weight-600"/>
                <w:rFonts w:ascii="Arial" w:hAnsi="Arial" w:cs="Arial"/>
                <w:sz w:val="18"/>
                <w:szCs w:val="18"/>
              </w:rPr>
              <w:t> </w:t>
            </w:r>
            <w:r w:rsidRPr="000B5A8D">
              <w:rPr>
                <w:rFonts w:ascii="Arial" w:hAnsi="Arial" w:cs="Arial"/>
                <w:sz w:val="18"/>
                <w:szCs w:val="18"/>
              </w:rPr>
              <w:t>(6588)</w:t>
            </w:r>
          </w:p>
        </w:tc>
      </w:tr>
      <w:tr w:rsidR="00A87D4D" w:rsidRPr="000B5A8D" w14:paraId="4DFF2C9A" w14:textId="77777777" w:rsidTr="00C457D0">
        <w:tc>
          <w:tcPr>
            <w:tcW w:w="732" w:type="dxa"/>
          </w:tcPr>
          <w:p w14:paraId="163844F1"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7B9A1A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Beneficiaries: Japan 2019</w:t>
            </w:r>
          </w:p>
        </w:tc>
        <w:tc>
          <w:tcPr>
            <w:tcW w:w="3960" w:type="dxa"/>
            <w:vAlign w:val="center"/>
          </w:tcPr>
          <w:p w14:paraId="777B3DCF"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Japan </w:t>
            </w:r>
            <w:r w:rsidRPr="000B5A8D">
              <w:rPr>
                <w:rFonts w:ascii="Arial" w:hAnsi="Arial" w:cs="Arial"/>
                <w:sz w:val="18"/>
                <w:szCs w:val="18"/>
              </w:rPr>
              <w:t>(310)</w:t>
            </w:r>
          </w:p>
        </w:tc>
      </w:tr>
      <w:tr w:rsidR="00A87D4D" w:rsidRPr="000B5A8D" w14:paraId="05ECC123" w14:textId="77777777" w:rsidTr="00C457D0">
        <w:tc>
          <w:tcPr>
            <w:tcW w:w="732" w:type="dxa"/>
          </w:tcPr>
          <w:p w14:paraId="515EFA45"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43B3F93D"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Beneficiaries: India 2018</w:t>
            </w:r>
          </w:p>
        </w:tc>
        <w:tc>
          <w:tcPr>
            <w:tcW w:w="3960" w:type="dxa"/>
            <w:vAlign w:val="center"/>
          </w:tcPr>
          <w:p w14:paraId="6A6D80A2"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India </w:t>
            </w:r>
            <w:r w:rsidRPr="000B5A8D">
              <w:rPr>
                <w:rFonts w:ascii="Arial" w:hAnsi="Arial" w:cs="Arial"/>
                <w:sz w:val="18"/>
                <w:szCs w:val="18"/>
              </w:rPr>
              <w:t>(9966)</w:t>
            </w:r>
          </w:p>
        </w:tc>
      </w:tr>
      <w:tr w:rsidR="00A87D4D" w:rsidRPr="000B5A8D" w14:paraId="67D6FCFA" w14:textId="77777777" w:rsidTr="00C457D0">
        <w:tc>
          <w:tcPr>
            <w:tcW w:w="732" w:type="dxa"/>
          </w:tcPr>
          <w:p w14:paraId="66BA1FF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D697F82"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Beneficiaries in 2015</w:t>
            </w:r>
          </w:p>
        </w:tc>
        <w:tc>
          <w:tcPr>
            <w:tcW w:w="3960" w:type="dxa"/>
            <w:vAlign w:val="center"/>
          </w:tcPr>
          <w:p w14:paraId="234D4EDB"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Thailand </w:t>
            </w:r>
            <w:r w:rsidRPr="000B5A8D">
              <w:rPr>
                <w:rFonts w:ascii="Arial" w:hAnsi="Arial" w:cs="Arial"/>
                <w:sz w:val="18"/>
                <w:szCs w:val="18"/>
              </w:rPr>
              <w:t>(9)</w:t>
            </w:r>
          </w:p>
        </w:tc>
      </w:tr>
      <w:tr w:rsidR="00A87D4D" w:rsidRPr="000B5A8D" w14:paraId="511ADA33" w14:textId="77777777" w:rsidTr="00C457D0">
        <w:tc>
          <w:tcPr>
            <w:tcW w:w="732" w:type="dxa"/>
          </w:tcPr>
          <w:p w14:paraId="3DB3DF5B"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88C8C69"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 Kyrgyz Republic</w:t>
            </w:r>
          </w:p>
        </w:tc>
        <w:tc>
          <w:tcPr>
            <w:tcW w:w="3960" w:type="dxa"/>
            <w:vAlign w:val="center"/>
          </w:tcPr>
          <w:p w14:paraId="02F376A2"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Kyrgyzstan </w:t>
            </w:r>
            <w:r w:rsidRPr="000B5A8D">
              <w:rPr>
                <w:rFonts w:ascii="Arial" w:hAnsi="Arial" w:cs="Arial"/>
                <w:sz w:val="18"/>
                <w:szCs w:val="18"/>
              </w:rPr>
              <w:t>(6332)</w:t>
            </w:r>
          </w:p>
        </w:tc>
      </w:tr>
      <w:tr w:rsidR="00A87D4D" w:rsidRPr="000B5A8D" w14:paraId="1CEEBBF0" w14:textId="77777777" w:rsidTr="00C457D0">
        <w:tc>
          <w:tcPr>
            <w:tcW w:w="732" w:type="dxa"/>
          </w:tcPr>
          <w:p w14:paraId="0E31BCF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52AD919"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India (GSTP) Countries 2017</w:t>
            </w:r>
          </w:p>
        </w:tc>
        <w:tc>
          <w:tcPr>
            <w:tcW w:w="3960" w:type="dxa"/>
            <w:vAlign w:val="center"/>
          </w:tcPr>
          <w:p w14:paraId="77D7629B"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India </w:t>
            </w:r>
            <w:r w:rsidRPr="000B5A8D">
              <w:rPr>
                <w:rFonts w:ascii="Arial" w:hAnsi="Arial" w:cs="Arial"/>
                <w:sz w:val="18"/>
                <w:szCs w:val="18"/>
              </w:rPr>
              <w:t>(44)</w:t>
            </w:r>
          </w:p>
        </w:tc>
      </w:tr>
      <w:tr w:rsidR="00A87D4D" w:rsidRPr="000B5A8D" w14:paraId="75E8E1D1" w14:textId="77777777" w:rsidTr="00C457D0">
        <w:tc>
          <w:tcPr>
            <w:tcW w:w="732" w:type="dxa"/>
          </w:tcPr>
          <w:p w14:paraId="0DACA1C2"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2C6527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GSP2: Australia 2018 (Code 'DC')</w:t>
            </w:r>
          </w:p>
        </w:tc>
        <w:tc>
          <w:tcPr>
            <w:tcW w:w="3960" w:type="dxa"/>
            <w:vAlign w:val="center"/>
          </w:tcPr>
          <w:p w14:paraId="7D56618A"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Australia </w:t>
            </w:r>
            <w:r w:rsidRPr="000B5A8D">
              <w:rPr>
                <w:rFonts w:ascii="Arial" w:hAnsi="Arial" w:cs="Arial"/>
                <w:sz w:val="18"/>
                <w:szCs w:val="18"/>
              </w:rPr>
              <w:t>(5)</w:t>
            </w:r>
          </w:p>
        </w:tc>
      </w:tr>
      <w:tr w:rsidR="00A87D4D" w:rsidRPr="000B5A8D" w14:paraId="6467B303" w14:textId="77777777" w:rsidTr="00C457D0">
        <w:tc>
          <w:tcPr>
            <w:tcW w:w="732" w:type="dxa"/>
          </w:tcPr>
          <w:p w14:paraId="022C0458"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6DAF495B"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Australia 2006 (Code 'LDC')</w:t>
            </w:r>
          </w:p>
        </w:tc>
        <w:tc>
          <w:tcPr>
            <w:tcW w:w="3960" w:type="dxa"/>
            <w:vAlign w:val="center"/>
          </w:tcPr>
          <w:p w14:paraId="789E1A6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Australia </w:t>
            </w:r>
            <w:r w:rsidRPr="000B5A8D">
              <w:rPr>
                <w:rFonts w:ascii="Arial" w:hAnsi="Arial" w:cs="Arial"/>
                <w:sz w:val="18"/>
                <w:szCs w:val="18"/>
              </w:rPr>
              <w:t>(5); </w:t>
            </w:r>
            <w:r w:rsidRPr="000B5A8D">
              <w:rPr>
                <w:rStyle w:val="font-weight-600"/>
                <w:rFonts w:ascii="Arial" w:hAnsi="Arial" w:cs="Arial"/>
                <w:sz w:val="18"/>
                <w:szCs w:val="18"/>
              </w:rPr>
              <w:t>New Zealand </w:t>
            </w:r>
            <w:r w:rsidRPr="000B5A8D">
              <w:rPr>
                <w:rFonts w:ascii="Arial" w:hAnsi="Arial" w:cs="Arial"/>
                <w:sz w:val="18"/>
                <w:szCs w:val="18"/>
              </w:rPr>
              <w:t>(110)</w:t>
            </w:r>
          </w:p>
        </w:tc>
      </w:tr>
      <w:tr w:rsidR="00A87D4D" w:rsidRPr="000B5A8D" w14:paraId="38CB8332" w14:textId="77777777" w:rsidTr="00C457D0">
        <w:tc>
          <w:tcPr>
            <w:tcW w:w="732" w:type="dxa"/>
          </w:tcPr>
          <w:p w14:paraId="794B72F2"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5E85AD9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Beneficiaries: Norway 2019</w:t>
            </w:r>
          </w:p>
        </w:tc>
        <w:tc>
          <w:tcPr>
            <w:tcW w:w="3960" w:type="dxa"/>
            <w:vAlign w:val="center"/>
          </w:tcPr>
          <w:p w14:paraId="4961677A"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Norway </w:t>
            </w:r>
            <w:r w:rsidRPr="000B5A8D">
              <w:rPr>
                <w:rFonts w:ascii="Arial" w:hAnsi="Arial" w:cs="Arial"/>
                <w:sz w:val="18"/>
                <w:szCs w:val="18"/>
              </w:rPr>
              <w:t>(400)</w:t>
            </w:r>
          </w:p>
        </w:tc>
      </w:tr>
      <w:tr w:rsidR="00A87D4D" w:rsidRPr="000B5A8D" w14:paraId="045E2819" w14:textId="77777777" w:rsidTr="00C457D0">
        <w:tc>
          <w:tcPr>
            <w:tcW w:w="732" w:type="dxa"/>
          </w:tcPr>
          <w:p w14:paraId="7274E0C4"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8DFA39C"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Beneficiaries: Iceland 2019</w:t>
            </w:r>
          </w:p>
        </w:tc>
        <w:tc>
          <w:tcPr>
            <w:tcW w:w="3960" w:type="dxa"/>
            <w:vAlign w:val="center"/>
          </w:tcPr>
          <w:p w14:paraId="06945A7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Iceland </w:t>
            </w:r>
            <w:r w:rsidRPr="000B5A8D">
              <w:rPr>
                <w:rFonts w:ascii="Arial" w:hAnsi="Arial" w:cs="Arial"/>
                <w:sz w:val="18"/>
                <w:szCs w:val="18"/>
              </w:rPr>
              <w:t>(194)</w:t>
            </w:r>
          </w:p>
        </w:tc>
      </w:tr>
      <w:tr w:rsidR="00A87D4D" w:rsidRPr="000B5A8D" w14:paraId="4726C019" w14:textId="77777777" w:rsidTr="00C457D0">
        <w:tc>
          <w:tcPr>
            <w:tcW w:w="732" w:type="dxa"/>
          </w:tcPr>
          <w:p w14:paraId="2B34FD68"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AEA4CB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Beneficiaries: Canada 2017</w:t>
            </w:r>
          </w:p>
        </w:tc>
        <w:tc>
          <w:tcPr>
            <w:tcW w:w="3960" w:type="dxa"/>
            <w:vAlign w:val="center"/>
          </w:tcPr>
          <w:p w14:paraId="798D91FE"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Canada </w:t>
            </w:r>
            <w:r w:rsidRPr="000B5A8D">
              <w:rPr>
                <w:rFonts w:ascii="Arial" w:hAnsi="Arial" w:cs="Arial"/>
                <w:sz w:val="18"/>
                <w:szCs w:val="18"/>
              </w:rPr>
              <w:t>(108)</w:t>
            </w:r>
          </w:p>
        </w:tc>
      </w:tr>
      <w:tr w:rsidR="0071554F" w:rsidRPr="000B5A8D" w14:paraId="1807279F" w14:textId="77777777" w:rsidTr="00C457D0">
        <w:tc>
          <w:tcPr>
            <w:tcW w:w="732" w:type="dxa"/>
          </w:tcPr>
          <w:p w14:paraId="34A45E9E" w14:textId="77777777" w:rsidR="0071554F" w:rsidRPr="000B5A8D" w:rsidRDefault="0071554F" w:rsidP="00A87D4D">
            <w:pPr>
              <w:pStyle w:val="ListParagraph"/>
              <w:numPr>
                <w:ilvl w:val="0"/>
                <w:numId w:val="38"/>
              </w:numPr>
              <w:spacing w:after="0" w:line="240" w:lineRule="auto"/>
              <w:contextualSpacing/>
              <w:rPr>
                <w:rFonts w:ascii="Arial" w:hAnsi="Arial" w:cs="Arial"/>
                <w:sz w:val="18"/>
                <w:szCs w:val="18"/>
              </w:rPr>
            </w:pPr>
          </w:p>
        </w:tc>
        <w:tc>
          <w:tcPr>
            <w:tcW w:w="4033" w:type="dxa"/>
            <w:vMerge w:val="restart"/>
            <w:vAlign w:val="center"/>
          </w:tcPr>
          <w:p w14:paraId="20CE9D94" w14:textId="77777777" w:rsidR="0071554F" w:rsidRPr="000B5A8D" w:rsidRDefault="0071554F" w:rsidP="00A87D4D">
            <w:pPr>
              <w:rPr>
                <w:rFonts w:ascii="Arial" w:hAnsi="Arial" w:cs="Arial"/>
                <w:sz w:val="18"/>
                <w:szCs w:val="18"/>
              </w:rPr>
            </w:pPr>
            <w:r w:rsidRPr="000B5A8D">
              <w:rPr>
                <w:rStyle w:val="Emphasis"/>
                <w:rFonts w:ascii="Arial" w:hAnsi="Arial" w:cs="Arial"/>
                <w:sz w:val="18"/>
                <w:szCs w:val="18"/>
              </w:rPr>
              <w:t>GSP for LDC Beneficiaries: 2018</w:t>
            </w:r>
          </w:p>
        </w:tc>
        <w:tc>
          <w:tcPr>
            <w:tcW w:w="3960" w:type="dxa"/>
            <w:vAlign w:val="center"/>
          </w:tcPr>
          <w:p w14:paraId="318009DD" w14:textId="77777777" w:rsidR="0071554F" w:rsidRPr="000B5A8D" w:rsidRDefault="0071554F" w:rsidP="00A87D4D">
            <w:pPr>
              <w:rPr>
                <w:rFonts w:ascii="Arial" w:hAnsi="Arial" w:cs="Arial"/>
                <w:sz w:val="18"/>
                <w:szCs w:val="18"/>
              </w:rPr>
            </w:pPr>
            <w:r w:rsidRPr="000B5A8D">
              <w:rPr>
                <w:rStyle w:val="font-weight-600"/>
                <w:rFonts w:ascii="Arial" w:hAnsi="Arial" w:cs="Arial"/>
                <w:sz w:val="18"/>
                <w:szCs w:val="18"/>
              </w:rPr>
              <w:t>Republic of Korea </w:t>
            </w:r>
            <w:r w:rsidRPr="000B5A8D">
              <w:rPr>
                <w:rFonts w:ascii="Arial" w:hAnsi="Arial" w:cs="Arial"/>
                <w:sz w:val="18"/>
                <w:szCs w:val="18"/>
              </w:rPr>
              <w:t>(18)</w:t>
            </w:r>
          </w:p>
        </w:tc>
      </w:tr>
      <w:tr w:rsidR="0071554F" w:rsidRPr="000B5A8D" w14:paraId="6D83A2EB" w14:textId="77777777" w:rsidTr="00C457D0">
        <w:tc>
          <w:tcPr>
            <w:tcW w:w="732" w:type="dxa"/>
          </w:tcPr>
          <w:p w14:paraId="6587CB69" w14:textId="77777777" w:rsidR="0071554F" w:rsidRPr="000B5A8D" w:rsidRDefault="0071554F"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25937461" w14:textId="77777777" w:rsidR="0071554F" w:rsidRPr="000B5A8D" w:rsidRDefault="0071554F" w:rsidP="00A87D4D">
            <w:pPr>
              <w:rPr>
                <w:rFonts w:ascii="Arial" w:hAnsi="Arial" w:cs="Arial"/>
                <w:sz w:val="18"/>
                <w:szCs w:val="18"/>
              </w:rPr>
            </w:pPr>
          </w:p>
        </w:tc>
        <w:tc>
          <w:tcPr>
            <w:tcW w:w="3960" w:type="dxa"/>
            <w:vAlign w:val="center"/>
          </w:tcPr>
          <w:p w14:paraId="24E48308" w14:textId="77777777" w:rsidR="0071554F" w:rsidRPr="000B5A8D" w:rsidRDefault="0071554F" w:rsidP="00A87D4D">
            <w:pPr>
              <w:rPr>
                <w:rFonts w:ascii="Arial" w:hAnsi="Arial" w:cs="Arial"/>
                <w:sz w:val="18"/>
                <w:szCs w:val="18"/>
              </w:rPr>
            </w:pPr>
            <w:r w:rsidRPr="000B5A8D">
              <w:rPr>
                <w:rStyle w:val="font-weight-600"/>
                <w:rFonts w:ascii="Arial" w:hAnsi="Arial" w:cs="Arial"/>
                <w:sz w:val="18"/>
                <w:szCs w:val="18"/>
              </w:rPr>
              <w:t>Chile </w:t>
            </w:r>
            <w:r w:rsidRPr="000B5A8D">
              <w:rPr>
                <w:rFonts w:ascii="Arial" w:hAnsi="Arial" w:cs="Arial"/>
                <w:sz w:val="18"/>
                <w:szCs w:val="18"/>
              </w:rPr>
              <w:t>(8)</w:t>
            </w:r>
          </w:p>
        </w:tc>
      </w:tr>
      <w:tr w:rsidR="00A87D4D" w:rsidRPr="000B5A8D" w14:paraId="646EDF55" w14:textId="77777777" w:rsidTr="00C457D0">
        <w:tc>
          <w:tcPr>
            <w:tcW w:w="732" w:type="dxa"/>
          </w:tcPr>
          <w:p w14:paraId="6E0E097B"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B8E941E"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Beneficiaries: 2017</w:t>
            </w:r>
          </w:p>
        </w:tc>
        <w:tc>
          <w:tcPr>
            <w:tcW w:w="3960" w:type="dxa"/>
            <w:vAlign w:val="center"/>
          </w:tcPr>
          <w:p w14:paraId="17D5140C"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Armenia </w:t>
            </w:r>
            <w:r w:rsidRPr="000B5A8D">
              <w:rPr>
                <w:rFonts w:ascii="Arial" w:hAnsi="Arial" w:cs="Arial"/>
                <w:sz w:val="18"/>
                <w:szCs w:val="18"/>
              </w:rPr>
              <w:t>(2048); </w:t>
            </w:r>
            <w:r w:rsidRPr="000B5A8D">
              <w:rPr>
                <w:rStyle w:val="font-weight-600"/>
                <w:rFonts w:ascii="Arial" w:hAnsi="Arial" w:cs="Arial"/>
                <w:sz w:val="18"/>
                <w:szCs w:val="18"/>
              </w:rPr>
              <w:t>Belarus </w:t>
            </w:r>
            <w:r w:rsidRPr="000B5A8D">
              <w:rPr>
                <w:rFonts w:ascii="Arial" w:hAnsi="Arial" w:cs="Arial"/>
                <w:sz w:val="18"/>
                <w:szCs w:val="18"/>
              </w:rPr>
              <w:t>(2054); </w:t>
            </w:r>
            <w:r w:rsidRPr="000B5A8D">
              <w:rPr>
                <w:rStyle w:val="font-weight-600"/>
                <w:rFonts w:ascii="Arial" w:hAnsi="Arial" w:cs="Arial"/>
                <w:sz w:val="18"/>
                <w:szCs w:val="18"/>
              </w:rPr>
              <w:t>Kazakhstan </w:t>
            </w:r>
            <w:r w:rsidRPr="000B5A8D">
              <w:rPr>
                <w:rFonts w:ascii="Arial" w:hAnsi="Arial" w:cs="Arial"/>
                <w:sz w:val="18"/>
                <w:szCs w:val="18"/>
              </w:rPr>
              <w:t>(2048); </w:t>
            </w:r>
            <w:r w:rsidRPr="000B5A8D">
              <w:rPr>
                <w:rStyle w:val="font-weight-600"/>
                <w:rFonts w:ascii="Arial" w:hAnsi="Arial" w:cs="Arial"/>
                <w:sz w:val="18"/>
                <w:szCs w:val="18"/>
              </w:rPr>
              <w:t>Kyrgyzstan </w:t>
            </w:r>
            <w:r w:rsidRPr="000B5A8D">
              <w:rPr>
                <w:rFonts w:ascii="Arial" w:hAnsi="Arial" w:cs="Arial"/>
                <w:sz w:val="18"/>
                <w:szCs w:val="18"/>
              </w:rPr>
              <w:t>(223); </w:t>
            </w:r>
            <w:r w:rsidRPr="000B5A8D">
              <w:rPr>
                <w:rStyle w:val="font-weight-600"/>
                <w:rFonts w:ascii="Arial" w:hAnsi="Arial" w:cs="Arial"/>
                <w:sz w:val="18"/>
                <w:szCs w:val="18"/>
              </w:rPr>
              <w:t>Russian Federation </w:t>
            </w:r>
            <w:r w:rsidRPr="000B5A8D">
              <w:rPr>
                <w:rFonts w:ascii="Arial" w:hAnsi="Arial" w:cs="Arial"/>
                <w:sz w:val="18"/>
                <w:szCs w:val="18"/>
              </w:rPr>
              <w:t>(223)</w:t>
            </w:r>
          </w:p>
        </w:tc>
      </w:tr>
      <w:tr w:rsidR="00A87D4D" w:rsidRPr="000B5A8D" w14:paraId="25E20AD5" w14:textId="77777777" w:rsidTr="00C457D0">
        <w:tc>
          <w:tcPr>
            <w:tcW w:w="732" w:type="dxa"/>
          </w:tcPr>
          <w:p w14:paraId="0C7AAAF4"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58FD1BC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Beneficiaries 2018</w:t>
            </w:r>
          </w:p>
        </w:tc>
        <w:tc>
          <w:tcPr>
            <w:tcW w:w="3960" w:type="dxa"/>
            <w:vAlign w:val="center"/>
          </w:tcPr>
          <w:p w14:paraId="011F3933"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 xml:space="preserve">Other Asia, </w:t>
            </w:r>
            <w:proofErr w:type="spellStart"/>
            <w:r w:rsidRPr="000B5A8D">
              <w:rPr>
                <w:rStyle w:val="font-weight-600"/>
                <w:rFonts w:ascii="Arial" w:hAnsi="Arial" w:cs="Arial"/>
                <w:sz w:val="18"/>
                <w:szCs w:val="18"/>
              </w:rPr>
              <w:t>nes</w:t>
            </w:r>
            <w:proofErr w:type="spellEnd"/>
            <w:r w:rsidRPr="000B5A8D">
              <w:rPr>
                <w:rStyle w:val="font-weight-600"/>
                <w:rFonts w:ascii="Arial" w:hAnsi="Arial" w:cs="Arial"/>
                <w:sz w:val="18"/>
                <w:szCs w:val="18"/>
              </w:rPr>
              <w:t> </w:t>
            </w:r>
            <w:r w:rsidRPr="000B5A8D">
              <w:rPr>
                <w:rFonts w:ascii="Arial" w:hAnsi="Arial" w:cs="Arial"/>
                <w:sz w:val="18"/>
                <w:szCs w:val="18"/>
              </w:rPr>
              <w:t>(3)</w:t>
            </w:r>
          </w:p>
        </w:tc>
      </w:tr>
      <w:tr w:rsidR="00A87D4D" w:rsidRPr="000B5A8D" w14:paraId="18BDDBF8" w14:textId="77777777" w:rsidTr="00C457D0">
        <w:tc>
          <w:tcPr>
            <w:tcW w:w="732" w:type="dxa"/>
          </w:tcPr>
          <w:p w14:paraId="6BC654C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2AF8C5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duty rates</w:t>
            </w:r>
          </w:p>
        </w:tc>
        <w:tc>
          <w:tcPr>
            <w:tcW w:w="3960" w:type="dxa"/>
            <w:vAlign w:val="center"/>
          </w:tcPr>
          <w:p w14:paraId="13A76AEE"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Russian Federation </w:t>
            </w:r>
            <w:r w:rsidRPr="000B5A8D">
              <w:rPr>
                <w:rFonts w:ascii="Arial" w:hAnsi="Arial" w:cs="Arial"/>
                <w:sz w:val="18"/>
                <w:szCs w:val="18"/>
              </w:rPr>
              <w:t>(2788)</w:t>
            </w:r>
          </w:p>
        </w:tc>
      </w:tr>
      <w:tr w:rsidR="00A87D4D" w:rsidRPr="000B5A8D" w14:paraId="4F251B14" w14:textId="77777777" w:rsidTr="00C457D0">
        <w:tc>
          <w:tcPr>
            <w:tcW w:w="732" w:type="dxa"/>
          </w:tcPr>
          <w:p w14:paraId="46AC72B7"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60B9A41B"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Beneficiaries: Liechtenstein &amp; Switzerland 2018</w:t>
            </w:r>
          </w:p>
        </w:tc>
        <w:tc>
          <w:tcPr>
            <w:tcW w:w="3960" w:type="dxa"/>
            <w:vAlign w:val="center"/>
          </w:tcPr>
          <w:p w14:paraId="4CD9808A"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Switzerland </w:t>
            </w:r>
            <w:r w:rsidRPr="000B5A8D">
              <w:rPr>
                <w:rFonts w:ascii="Arial" w:hAnsi="Arial" w:cs="Arial"/>
                <w:sz w:val="18"/>
                <w:szCs w:val="18"/>
              </w:rPr>
              <w:t>(700)</w:t>
            </w:r>
          </w:p>
        </w:tc>
      </w:tr>
      <w:tr w:rsidR="00A87D4D" w:rsidRPr="000B5A8D" w14:paraId="119B8728" w14:textId="77777777" w:rsidTr="00C457D0">
        <w:tc>
          <w:tcPr>
            <w:tcW w:w="732" w:type="dxa"/>
          </w:tcPr>
          <w:p w14:paraId="5D8CAC2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78B51E7E"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Beneficiaries: Japan 2019</w:t>
            </w:r>
          </w:p>
        </w:tc>
        <w:tc>
          <w:tcPr>
            <w:tcW w:w="3960" w:type="dxa"/>
            <w:vAlign w:val="center"/>
          </w:tcPr>
          <w:p w14:paraId="575FCF2B"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Japan </w:t>
            </w:r>
            <w:r w:rsidRPr="000B5A8D">
              <w:rPr>
                <w:rFonts w:ascii="Arial" w:hAnsi="Arial" w:cs="Arial"/>
                <w:sz w:val="18"/>
                <w:szCs w:val="18"/>
              </w:rPr>
              <w:t>(143)</w:t>
            </w:r>
          </w:p>
        </w:tc>
      </w:tr>
      <w:tr w:rsidR="00A87D4D" w:rsidRPr="000B5A8D" w14:paraId="2AC99DD7" w14:textId="77777777" w:rsidTr="00C457D0">
        <w:tc>
          <w:tcPr>
            <w:tcW w:w="732" w:type="dxa"/>
          </w:tcPr>
          <w:p w14:paraId="169CB78A"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1539F0D8"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Global System of Trade Preferences among Developing Countries (GSTP)</w:t>
            </w:r>
          </w:p>
        </w:tc>
        <w:tc>
          <w:tcPr>
            <w:tcW w:w="3960" w:type="dxa"/>
            <w:vAlign w:val="center"/>
          </w:tcPr>
          <w:p w14:paraId="6AD93B6C"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Republic of Korea </w:t>
            </w:r>
            <w:r w:rsidRPr="000B5A8D">
              <w:rPr>
                <w:rFonts w:ascii="Arial" w:hAnsi="Arial" w:cs="Arial"/>
                <w:sz w:val="18"/>
                <w:szCs w:val="18"/>
              </w:rPr>
              <w:t>(94)</w:t>
            </w:r>
          </w:p>
        </w:tc>
      </w:tr>
      <w:tr w:rsidR="00A87D4D" w:rsidRPr="000B5A8D" w14:paraId="01F34D64" w14:textId="77777777" w:rsidTr="00C457D0">
        <w:tc>
          <w:tcPr>
            <w:tcW w:w="732" w:type="dxa"/>
          </w:tcPr>
          <w:p w14:paraId="13B9017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B7A338F"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Generalized System of Preferences, GSP+ scheme</w:t>
            </w:r>
          </w:p>
        </w:tc>
        <w:tc>
          <w:tcPr>
            <w:tcW w:w="3960" w:type="dxa"/>
            <w:vAlign w:val="center"/>
          </w:tcPr>
          <w:p w14:paraId="5A18BC0E"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Norway </w:t>
            </w:r>
            <w:r w:rsidRPr="000B5A8D">
              <w:rPr>
                <w:rFonts w:ascii="Arial" w:hAnsi="Arial" w:cs="Arial"/>
                <w:sz w:val="18"/>
                <w:szCs w:val="18"/>
              </w:rPr>
              <w:t>(1374)</w:t>
            </w:r>
          </w:p>
        </w:tc>
      </w:tr>
      <w:tr w:rsidR="00A87D4D" w:rsidRPr="000B5A8D" w14:paraId="2513BF92" w14:textId="77777777" w:rsidTr="00C457D0">
        <w:tc>
          <w:tcPr>
            <w:tcW w:w="732" w:type="dxa"/>
          </w:tcPr>
          <w:p w14:paraId="6DECA2C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A2EC2DC"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scheme for developing countries in Part 3 of Schedule 1</w:t>
            </w:r>
          </w:p>
        </w:tc>
        <w:tc>
          <w:tcPr>
            <w:tcW w:w="3960" w:type="dxa"/>
            <w:vAlign w:val="center"/>
          </w:tcPr>
          <w:p w14:paraId="5EF62C7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Australia </w:t>
            </w:r>
            <w:r w:rsidRPr="000B5A8D">
              <w:rPr>
                <w:rFonts w:ascii="Arial" w:hAnsi="Arial" w:cs="Arial"/>
                <w:sz w:val="18"/>
                <w:szCs w:val="18"/>
              </w:rPr>
              <w:t>(5242)</w:t>
            </w:r>
          </w:p>
        </w:tc>
      </w:tr>
      <w:tr w:rsidR="00A87D4D" w:rsidRPr="000B5A8D" w14:paraId="5993E9F0" w14:textId="77777777" w:rsidTr="00C457D0">
        <w:tc>
          <w:tcPr>
            <w:tcW w:w="732" w:type="dxa"/>
          </w:tcPr>
          <w:p w14:paraId="01A919B0"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restart"/>
            <w:vAlign w:val="center"/>
          </w:tcPr>
          <w:p w14:paraId="4F4B19A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scheme</w:t>
            </w:r>
          </w:p>
          <w:p w14:paraId="0F23F5A9" w14:textId="77777777" w:rsidR="00A87D4D" w:rsidRPr="000B5A8D" w:rsidRDefault="00A87D4D" w:rsidP="00A87D4D">
            <w:pPr>
              <w:rPr>
                <w:rFonts w:ascii="Arial" w:hAnsi="Arial" w:cs="Arial"/>
                <w:sz w:val="18"/>
                <w:szCs w:val="18"/>
              </w:rPr>
            </w:pPr>
          </w:p>
        </w:tc>
        <w:tc>
          <w:tcPr>
            <w:tcW w:w="3960" w:type="dxa"/>
            <w:vAlign w:val="center"/>
          </w:tcPr>
          <w:p w14:paraId="7194191A"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Switzerland </w:t>
            </w:r>
            <w:r w:rsidRPr="000B5A8D">
              <w:rPr>
                <w:rFonts w:ascii="Arial" w:hAnsi="Arial" w:cs="Arial"/>
                <w:sz w:val="18"/>
                <w:szCs w:val="18"/>
              </w:rPr>
              <w:t>(7592)</w:t>
            </w:r>
          </w:p>
        </w:tc>
      </w:tr>
      <w:tr w:rsidR="00A87D4D" w:rsidRPr="000B5A8D" w14:paraId="3DA11EF0" w14:textId="77777777" w:rsidTr="00C457D0">
        <w:tc>
          <w:tcPr>
            <w:tcW w:w="732" w:type="dxa"/>
          </w:tcPr>
          <w:p w14:paraId="1A8280D2"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1B94A998" w14:textId="77777777" w:rsidR="00A87D4D" w:rsidRPr="000B5A8D" w:rsidRDefault="00A87D4D" w:rsidP="00A87D4D">
            <w:pPr>
              <w:rPr>
                <w:rFonts w:ascii="Arial" w:hAnsi="Arial" w:cs="Arial"/>
                <w:sz w:val="18"/>
                <w:szCs w:val="18"/>
              </w:rPr>
            </w:pPr>
          </w:p>
        </w:tc>
        <w:tc>
          <w:tcPr>
            <w:tcW w:w="3960" w:type="dxa"/>
            <w:vAlign w:val="center"/>
          </w:tcPr>
          <w:p w14:paraId="313AF3A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European Union (EU) </w:t>
            </w:r>
            <w:r w:rsidRPr="000B5A8D">
              <w:rPr>
                <w:rFonts w:ascii="Arial" w:hAnsi="Arial" w:cs="Arial"/>
                <w:sz w:val="18"/>
                <w:szCs w:val="18"/>
              </w:rPr>
              <w:t>(7584)</w:t>
            </w:r>
          </w:p>
        </w:tc>
      </w:tr>
      <w:tr w:rsidR="00A87D4D" w:rsidRPr="000B5A8D" w14:paraId="246149FC" w14:textId="77777777" w:rsidTr="00C457D0">
        <w:tc>
          <w:tcPr>
            <w:tcW w:w="732" w:type="dxa"/>
          </w:tcPr>
          <w:p w14:paraId="692CA08C"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70180003" w14:textId="77777777" w:rsidR="00A87D4D" w:rsidRPr="000B5A8D" w:rsidRDefault="00A87D4D" w:rsidP="00A87D4D">
            <w:pPr>
              <w:rPr>
                <w:rFonts w:ascii="Arial" w:hAnsi="Arial" w:cs="Arial"/>
                <w:sz w:val="18"/>
                <w:szCs w:val="18"/>
              </w:rPr>
            </w:pPr>
          </w:p>
        </w:tc>
        <w:tc>
          <w:tcPr>
            <w:tcW w:w="3960" w:type="dxa"/>
            <w:vAlign w:val="center"/>
          </w:tcPr>
          <w:p w14:paraId="63C5552B"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Japan </w:t>
            </w:r>
            <w:r w:rsidRPr="000B5A8D">
              <w:rPr>
                <w:rFonts w:ascii="Arial" w:hAnsi="Arial" w:cs="Arial"/>
                <w:sz w:val="18"/>
                <w:szCs w:val="18"/>
              </w:rPr>
              <w:t>(4066)</w:t>
            </w:r>
          </w:p>
        </w:tc>
      </w:tr>
      <w:tr w:rsidR="00A87D4D" w:rsidRPr="000B5A8D" w14:paraId="79D88C6A" w14:textId="77777777" w:rsidTr="00C457D0">
        <w:tc>
          <w:tcPr>
            <w:tcW w:w="732" w:type="dxa"/>
          </w:tcPr>
          <w:p w14:paraId="4360099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565C8C71" w14:textId="77777777" w:rsidR="00A87D4D" w:rsidRPr="000B5A8D" w:rsidRDefault="00A87D4D" w:rsidP="00A87D4D">
            <w:pPr>
              <w:rPr>
                <w:rFonts w:ascii="Arial" w:hAnsi="Arial" w:cs="Arial"/>
                <w:sz w:val="18"/>
                <w:szCs w:val="18"/>
              </w:rPr>
            </w:pPr>
          </w:p>
        </w:tc>
        <w:tc>
          <w:tcPr>
            <w:tcW w:w="3960" w:type="dxa"/>
            <w:vAlign w:val="center"/>
          </w:tcPr>
          <w:p w14:paraId="3784B9CC"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New Zealand </w:t>
            </w:r>
            <w:r w:rsidRPr="000B5A8D">
              <w:rPr>
                <w:rFonts w:ascii="Arial" w:hAnsi="Arial" w:cs="Arial"/>
                <w:sz w:val="18"/>
                <w:szCs w:val="18"/>
              </w:rPr>
              <w:t>(898)</w:t>
            </w:r>
          </w:p>
        </w:tc>
      </w:tr>
      <w:tr w:rsidR="00A87D4D" w:rsidRPr="000B5A8D" w14:paraId="0AAAF6FC" w14:textId="77777777" w:rsidTr="00C457D0">
        <w:tc>
          <w:tcPr>
            <w:tcW w:w="732" w:type="dxa"/>
          </w:tcPr>
          <w:p w14:paraId="038FBF63"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3CADFCA0" w14:textId="77777777" w:rsidR="00A87D4D" w:rsidRPr="000B5A8D" w:rsidRDefault="00A87D4D" w:rsidP="00A87D4D">
            <w:pPr>
              <w:rPr>
                <w:rFonts w:ascii="Arial" w:hAnsi="Arial" w:cs="Arial"/>
                <w:sz w:val="18"/>
                <w:szCs w:val="18"/>
              </w:rPr>
            </w:pPr>
          </w:p>
        </w:tc>
        <w:tc>
          <w:tcPr>
            <w:tcW w:w="3960" w:type="dxa"/>
            <w:vAlign w:val="center"/>
          </w:tcPr>
          <w:p w14:paraId="79C160C9"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Canada </w:t>
            </w:r>
            <w:r w:rsidRPr="000B5A8D">
              <w:rPr>
                <w:rFonts w:ascii="Arial" w:hAnsi="Arial" w:cs="Arial"/>
                <w:sz w:val="18"/>
                <w:szCs w:val="18"/>
              </w:rPr>
              <w:t>(2008)</w:t>
            </w:r>
          </w:p>
        </w:tc>
      </w:tr>
      <w:tr w:rsidR="00A87D4D" w:rsidRPr="000B5A8D" w14:paraId="286E60D9" w14:textId="77777777" w:rsidTr="00C457D0">
        <w:tc>
          <w:tcPr>
            <w:tcW w:w="732" w:type="dxa"/>
          </w:tcPr>
          <w:p w14:paraId="5BD1CDAE"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1ACC658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EU LDC Beneficiaries 2019</w:t>
            </w:r>
          </w:p>
        </w:tc>
        <w:tc>
          <w:tcPr>
            <w:tcW w:w="3960" w:type="dxa"/>
            <w:vAlign w:val="center"/>
          </w:tcPr>
          <w:p w14:paraId="2E5FB34D"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European Union (EU) </w:t>
            </w:r>
            <w:r w:rsidRPr="000B5A8D">
              <w:rPr>
                <w:rFonts w:ascii="Arial" w:hAnsi="Arial" w:cs="Arial"/>
                <w:sz w:val="18"/>
                <w:szCs w:val="18"/>
              </w:rPr>
              <w:t>(324)</w:t>
            </w:r>
          </w:p>
        </w:tc>
      </w:tr>
      <w:tr w:rsidR="00A87D4D" w:rsidRPr="000B5A8D" w14:paraId="5FE34E6F" w14:textId="77777777" w:rsidTr="00C457D0">
        <w:tc>
          <w:tcPr>
            <w:tcW w:w="732" w:type="dxa"/>
          </w:tcPr>
          <w:p w14:paraId="2D863070"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FFCF6BB"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EU - Country Specific Tariff Preferences for Bangladesh</w:t>
            </w:r>
          </w:p>
        </w:tc>
        <w:tc>
          <w:tcPr>
            <w:tcW w:w="3960" w:type="dxa"/>
            <w:vAlign w:val="center"/>
          </w:tcPr>
          <w:p w14:paraId="769226B1"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European Union (EU) </w:t>
            </w:r>
            <w:r w:rsidRPr="000B5A8D">
              <w:rPr>
                <w:rFonts w:ascii="Arial" w:hAnsi="Arial" w:cs="Arial"/>
                <w:sz w:val="18"/>
                <w:szCs w:val="18"/>
              </w:rPr>
              <w:t>(644)</w:t>
            </w:r>
          </w:p>
        </w:tc>
      </w:tr>
      <w:tr w:rsidR="00A87D4D" w:rsidRPr="000B5A8D" w14:paraId="3640AE88" w14:textId="77777777" w:rsidTr="00C457D0">
        <w:tc>
          <w:tcPr>
            <w:tcW w:w="732" w:type="dxa"/>
          </w:tcPr>
          <w:p w14:paraId="2E44D52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1B261C2"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Egypt (GSTP) Countries 2017</w:t>
            </w:r>
          </w:p>
        </w:tc>
        <w:tc>
          <w:tcPr>
            <w:tcW w:w="3960" w:type="dxa"/>
            <w:vAlign w:val="center"/>
          </w:tcPr>
          <w:p w14:paraId="535D1D7A"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Egypt </w:t>
            </w:r>
            <w:r w:rsidRPr="000B5A8D">
              <w:rPr>
                <w:rFonts w:ascii="Arial" w:hAnsi="Arial" w:cs="Arial"/>
                <w:sz w:val="18"/>
                <w:szCs w:val="18"/>
              </w:rPr>
              <w:t>(156)</w:t>
            </w:r>
          </w:p>
        </w:tc>
      </w:tr>
      <w:tr w:rsidR="00A87D4D" w:rsidRPr="000B5A8D" w14:paraId="6BE365C6" w14:textId="77777777" w:rsidTr="00C457D0">
        <w:tc>
          <w:tcPr>
            <w:tcW w:w="732" w:type="dxa"/>
          </w:tcPr>
          <w:p w14:paraId="6A746FB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FEFD226"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CHE &amp; LIE LDC beneficiary 2017</w:t>
            </w:r>
          </w:p>
        </w:tc>
        <w:tc>
          <w:tcPr>
            <w:tcW w:w="3960" w:type="dxa"/>
            <w:vAlign w:val="center"/>
          </w:tcPr>
          <w:p w14:paraId="7E5DB48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Switzerland </w:t>
            </w:r>
            <w:r w:rsidRPr="000B5A8D">
              <w:rPr>
                <w:rFonts w:ascii="Arial" w:hAnsi="Arial" w:cs="Arial"/>
                <w:sz w:val="18"/>
                <w:szCs w:val="18"/>
              </w:rPr>
              <w:t>(846)</w:t>
            </w:r>
          </w:p>
        </w:tc>
      </w:tr>
      <w:tr w:rsidR="00A87D4D" w:rsidRPr="000B5A8D" w14:paraId="4BFCD001" w14:textId="77777777" w:rsidTr="00C457D0">
        <w:tc>
          <w:tcPr>
            <w:tcW w:w="732" w:type="dxa"/>
          </w:tcPr>
          <w:p w14:paraId="0DC448C1"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E27D64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Bhutan, Maldives, Nepal, Bangladesh</w:t>
            </w:r>
          </w:p>
        </w:tc>
        <w:tc>
          <w:tcPr>
            <w:tcW w:w="3960" w:type="dxa"/>
            <w:vAlign w:val="center"/>
          </w:tcPr>
          <w:p w14:paraId="1954242F"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India </w:t>
            </w:r>
            <w:r w:rsidRPr="000B5A8D">
              <w:rPr>
                <w:rFonts w:ascii="Arial" w:hAnsi="Arial" w:cs="Arial"/>
                <w:sz w:val="18"/>
                <w:szCs w:val="18"/>
              </w:rPr>
              <w:t>(4436)</w:t>
            </w:r>
          </w:p>
        </w:tc>
      </w:tr>
      <w:tr w:rsidR="00A87D4D" w:rsidRPr="000B5A8D" w14:paraId="51365444" w14:textId="77777777" w:rsidTr="00C457D0">
        <w:tc>
          <w:tcPr>
            <w:tcW w:w="732" w:type="dxa"/>
          </w:tcPr>
          <w:p w14:paraId="3CC4814B"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59A0E64C"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Asia-Pacific Trade Agreement (APTA)</w:t>
            </w:r>
          </w:p>
        </w:tc>
        <w:tc>
          <w:tcPr>
            <w:tcW w:w="3960" w:type="dxa"/>
            <w:vAlign w:val="center"/>
          </w:tcPr>
          <w:p w14:paraId="0CAFD977"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Bangladesh </w:t>
            </w:r>
            <w:r w:rsidRPr="000B5A8D">
              <w:rPr>
                <w:rFonts w:ascii="Arial" w:hAnsi="Arial" w:cs="Arial"/>
                <w:sz w:val="18"/>
                <w:szCs w:val="18"/>
              </w:rPr>
              <w:t>(1048); </w:t>
            </w:r>
            <w:r w:rsidRPr="000B5A8D">
              <w:rPr>
                <w:rStyle w:val="font-weight-600"/>
                <w:rFonts w:ascii="Arial" w:hAnsi="Arial" w:cs="Arial"/>
                <w:sz w:val="18"/>
                <w:szCs w:val="18"/>
              </w:rPr>
              <w:t>India </w:t>
            </w:r>
            <w:r w:rsidRPr="000B5A8D">
              <w:rPr>
                <w:rFonts w:ascii="Arial" w:hAnsi="Arial" w:cs="Arial"/>
                <w:sz w:val="18"/>
                <w:szCs w:val="18"/>
              </w:rPr>
              <w:t>(3132); </w:t>
            </w:r>
            <w:r w:rsidRPr="000B5A8D">
              <w:rPr>
                <w:rStyle w:val="font-weight-600"/>
                <w:rFonts w:ascii="Arial" w:hAnsi="Arial" w:cs="Arial"/>
                <w:sz w:val="18"/>
                <w:szCs w:val="18"/>
              </w:rPr>
              <w:t>Republic of Korea </w:t>
            </w:r>
            <w:r w:rsidRPr="000B5A8D">
              <w:rPr>
                <w:rFonts w:ascii="Arial" w:hAnsi="Arial" w:cs="Arial"/>
                <w:sz w:val="18"/>
                <w:szCs w:val="18"/>
              </w:rPr>
              <w:t>(2); </w:t>
            </w:r>
            <w:r w:rsidRPr="000B5A8D">
              <w:rPr>
                <w:rStyle w:val="font-weight-600"/>
                <w:rFonts w:ascii="Arial" w:hAnsi="Arial" w:cs="Arial"/>
                <w:sz w:val="18"/>
                <w:szCs w:val="18"/>
              </w:rPr>
              <w:t>Sri Lanka </w:t>
            </w:r>
            <w:r w:rsidRPr="000B5A8D">
              <w:rPr>
                <w:rFonts w:ascii="Arial" w:hAnsi="Arial" w:cs="Arial"/>
                <w:sz w:val="18"/>
                <w:szCs w:val="18"/>
              </w:rPr>
              <w:t>(566)</w:t>
            </w:r>
          </w:p>
        </w:tc>
      </w:tr>
      <w:tr w:rsidR="00A87D4D" w:rsidRPr="000B5A8D" w14:paraId="1360A1FA" w14:textId="77777777" w:rsidTr="00C457D0">
        <w:tc>
          <w:tcPr>
            <w:tcW w:w="732" w:type="dxa"/>
          </w:tcPr>
          <w:p w14:paraId="2C4B8AB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6915A2C3"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Asia Pacific Trade Agreement (APTA)</w:t>
            </w:r>
          </w:p>
        </w:tc>
        <w:tc>
          <w:tcPr>
            <w:tcW w:w="3960" w:type="dxa"/>
            <w:vAlign w:val="center"/>
          </w:tcPr>
          <w:p w14:paraId="7E11FE95"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Lao People's Dem. Rep. </w:t>
            </w:r>
            <w:r w:rsidRPr="000B5A8D">
              <w:rPr>
                <w:rFonts w:ascii="Arial" w:hAnsi="Arial" w:cs="Arial"/>
                <w:sz w:val="18"/>
                <w:szCs w:val="18"/>
              </w:rPr>
              <w:t>(616)</w:t>
            </w:r>
          </w:p>
        </w:tc>
      </w:tr>
      <w:tr w:rsidR="00A87D4D" w:rsidRPr="000B5A8D" w14:paraId="64CCA0EE" w14:textId="77777777" w:rsidTr="00C457D0">
        <w:tc>
          <w:tcPr>
            <w:tcW w:w="732" w:type="dxa"/>
          </w:tcPr>
          <w:p w14:paraId="7D32B36E"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1D1A8B5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Algeria (GSTP) Countries 2018</w:t>
            </w:r>
          </w:p>
        </w:tc>
        <w:tc>
          <w:tcPr>
            <w:tcW w:w="3960" w:type="dxa"/>
            <w:vAlign w:val="center"/>
          </w:tcPr>
          <w:p w14:paraId="1E6005D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Brazil </w:t>
            </w:r>
            <w:r w:rsidRPr="000B5A8D">
              <w:rPr>
                <w:rFonts w:ascii="Arial" w:hAnsi="Arial" w:cs="Arial"/>
                <w:sz w:val="18"/>
                <w:szCs w:val="18"/>
              </w:rPr>
              <w:t>(110)</w:t>
            </w:r>
          </w:p>
        </w:tc>
      </w:tr>
      <w:tr w:rsidR="00A87D4D" w:rsidRPr="000B5A8D" w14:paraId="12A3C830" w14:textId="77777777" w:rsidTr="00C457D0">
        <w:tc>
          <w:tcPr>
            <w:tcW w:w="732" w:type="dxa"/>
          </w:tcPr>
          <w:p w14:paraId="1946C18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4A7AFD3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(GSTP) Countries 2017</w:t>
            </w:r>
          </w:p>
        </w:tc>
        <w:tc>
          <w:tcPr>
            <w:tcW w:w="3960" w:type="dxa"/>
            <w:vAlign w:val="center"/>
          </w:tcPr>
          <w:p w14:paraId="6B50B7B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Argentina </w:t>
            </w:r>
            <w:r w:rsidRPr="000B5A8D">
              <w:rPr>
                <w:rFonts w:ascii="Arial" w:hAnsi="Arial" w:cs="Arial"/>
                <w:sz w:val="18"/>
                <w:szCs w:val="18"/>
              </w:rPr>
              <w:t>(78)</w:t>
            </w:r>
          </w:p>
        </w:tc>
      </w:tr>
      <w:tr w:rsidR="00A87D4D" w:rsidRPr="000B5A8D" w14:paraId="15697B24" w14:textId="77777777" w:rsidTr="00C457D0">
        <w:tc>
          <w:tcPr>
            <w:tcW w:w="732" w:type="dxa"/>
          </w:tcPr>
          <w:p w14:paraId="3043869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990498B" w14:textId="77777777" w:rsidR="00A87D4D" w:rsidRPr="000B5A8D" w:rsidRDefault="00A87D4D" w:rsidP="00A87D4D">
            <w:pPr>
              <w:rPr>
                <w:rStyle w:val="Emphasis"/>
                <w:rFonts w:ascii="Arial" w:hAnsi="Arial" w:cs="Arial"/>
                <w:sz w:val="18"/>
                <w:szCs w:val="18"/>
              </w:rPr>
            </w:pPr>
            <w:r w:rsidRPr="000B5A8D">
              <w:rPr>
                <w:rStyle w:val="Emphasis"/>
                <w:rFonts w:ascii="Arial" w:hAnsi="Arial" w:cs="Arial"/>
                <w:sz w:val="18"/>
                <w:szCs w:val="18"/>
              </w:rPr>
              <w:t>Agreement with Sri Lanka</w:t>
            </w:r>
            <w:r w:rsidRPr="000B5A8D">
              <w:rPr>
                <w:rStyle w:val="Emphasis"/>
                <w:rFonts w:ascii="Arial" w:hAnsi="Arial" w:cs="Arial"/>
                <w:sz w:val="18"/>
                <w:szCs w:val="18"/>
              </w:rPr>
              <w:tab/>
            </w:r>
          </w:p>
        </w:tc>
        <w:tc>
          <w:tcPr>
            <w:tcW w:w="3960" w:type="dxa"/>
            <w:vAlign w:val="center"/>
          </w:tcPr>
          <w:p w14:paraId="1F6233C9" w14:textId="77777777" w:rsidR="00A87D4D" w:rsidRPr="000B5A8D" w:rsidRDefault="00A87D4D" w:rsidP="00A87D4D">
            <w:pPr>
              <w:rPr>
                <w:rStyle w:val="font-weight-600"/>
                <w:rFonts w:ascii="Arial" w:hAnsi="Arial" w:cs="Arial"/>
                <w:sz w:val="18"/>
                <w:szCs w:val="18"/>
              </w:rPr>
            </w:pPr>
            <w:r w:rsidRPr="000B5A8D">
              <w:rPr>
                <w:rStyle w:val="Emphasis"/>
                <w:rFonts w:ascii="Arial" w:hAnsi="Arial" w:cs="Arial"/>
                <w:sz w:val="18"/>
                <w:szCs w:val="18"/>
              </w:rPr>
              <w:t>20 Commodities</w:t>
            </w:r>
          </w:p>
        </w:tc>
      </w:tr>
      <w:tr w:rsidR="00A87D4D" w:rsidRPr="000B5A8D" w14:paraId="75D2350F" w14:textId="77777777" w:rsidTr="00C457D0">
        <w:tc>
          <w:tcPr>
            <w:tcW w:w="732" w:type="dxa"/>
          </w:tcPr>
          <w:p w14:paraId="0AA5D4B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16DF4D80" w14:textId="77777777" w:rsidR="00A87D4D" w:rsidRPr="000B5A8D" w:rsidRDefault="00A87D4D" w:rsidP="00A87D4D">
            <w:pPr>
              <w:rPr>
                <w:rStyle w:val="Emphasis"/>
                <w:rFonts w:ascii="Arial" w:hAnsi="Arial" w:cs="Arial"/>
                <w:sz w:val="18"/>
                <w:szCs w:val="18"/>
              </w:rPr>
            </w:pPr>
            <w:r w:rsidRPr="000B5A8D">
              <w:rPr>
                <w:rStyle w:val="Emphasis"/>
                <w:rFonts w:ascii="Arial" w:hAnsi="Arial" w:cs="Arial"/>
                <w:sz w:val="18"/>
                <w:szCs w:val="18"/>
              </w:rPr>
              <w:t>Agreement with India</w:t>
            </w:r>
            <w:r w:rsidRPr="000B5A8D">
              <w:rPr>
                <w:rStyle w:val="Emphasis"/>
                <w:rFonts w:ascii="Arial" w:hAnsi="Arial" w:cs="Arial"/>
                <w:sz w:val="18"/>
                <w:szCs w:val="18"/>
              </w:rPr>
              <w:tab/>
            </w:r>
          </w:p>
        </w:tc>
        <w:tc>
          <w:tcPr>
            <w:tcW w:w="3960" w:type="dxa"/>
            <w:vAlign w:val="center"/>
          </w:tcPr>
          <w:p w14:paraId="0FACDE20" w14:textId="77777777" w:rsidR="00A87D4D" w:rsidRPr="000B5A8D" w:rsidRDefault="00A87D4D" w:rsidP="00A87D4D">
            <w:pPr>
              <w:rPr>
                <w:rStyle w:val="Emphasis"/>
                <w:rFonts w:ascii="Arial" w:hAnsi="Arial" w:cs="Arial"/>
                <w:sz w:val="18"/>
                <w:szCs w:val="18"/>
              </w:rPr>
            </w:pPr>
            <w:r w:rsidRPr="000B5A8D">
              <w:rPr>
                <w:rStyle w:val="Emphasis"/>
                <w:rFonts w:ascii="Arial" w:hAnsi="Arial" w:cs="Arial"/>
                <w:sz w:val="18"/>
                <w:szCs w:val="18"/>
              </w:rPr>
              <w:t>98 Commodities</w:t>
            </w:r>
          </w:p>
        </w:tc>
      </w:tr>
    </w:tbl>
    <w:p w14:paraId="1C4A6C93" w14:textId="77777777" w:rsidR="00A87D4D" w:rsidRPr="000B5A8D" w:rsidRDefault="00A87D4D" w:rsidP="00127642">
      <w:pPr>
        <w:jc w:val="both"/>
        <w:rPr>
          <w:rFonts w:ascii="Arial" w:hAnsi="Arial" w:cs="Arial"/>
        </w:rPr>
      </w:pPr>
    </w:p>
    <w:p w14:paraId="6E33FB12" w14:textId="77777777" w:rsidR="00127642" w:rsidRPr="000B5A8D" w:rsidRDefault="00127642" w:rsidP="00127642">
      <w:pPr>
        <w:jc w:val="both"/>
        <w:rPr>
          <w:rFonts w:ascii="Arial" w:hAnsi="Arial" w:cs="Arial"/>
        </w:rPr>
      </w:pPr>
      <w:r w:rsidRPr="000B5A8D">
        <w:rPr>
          <w:rFonts w:ascii="Arial" w:hAnsi="Arial" w:cs="Arial"/>
        </w:rPr>
        <w:t xml:space="preserve">Here from TINA simulation it is found that consisting of a trade loss of US$ -17.72 </w:t>
      </w:r>
      <w:r w:rsidR="00A83450" w:rsidRPr="000B5A8D">
        <w:rPr>
          <w:rFonts w:ascii="Arial" w:hAnsi="Arial" w:cs="Arial"/>
        </w:rPr>
        <w:t>billion</w:t>
      </w:r>
      <w:r w:rsidRPr="000B5A8D">
        <w:rPr>
          <w:rFonts w:ascii="Arial" w:hAnsi="Arial" w:cs="Arial"/>
        </w:rPr>
        <w:t xml:space="preserve"> and trade diversion of US$ -4.74 </w:t>
      </w:r>
      <w:r w:rsidR="00A83450" w:rsidRPr="000B5A8D">
        <w:rPr>
          <w:rFonts w:ascii="Arial" w:hAnsi="Arial" w:cs="Arial"/>
        </w:rPr>
        <w:t xml:space="preserve">billion </w:t>
      </w:r>
      <w:r w:rsidRPr="000B5A8D">
        <w:rPr>
          <w:rFonts w:ascii="Arial" w:hAnsi="Arial" w:cs="Arial"/>
        </w:rPr>
        <w:t>and reduced exports to 23 economies with trade diverting to 176 economies.</w:t>
      </w:r>
    </w:p>
    <w:p w14:paraId="5B33E02B" w14:textId="77777777" w:rsidR="00127642" w:rsidRPr="000B5A8D" w:rsidRDefault="00127642" w:rsidP="00127642">
      <w:pPr>
        <w:jc w:val="both"/>
        <w:rPr>
          <w:rFonts w:ascii="Arial" w:hAnsi="Arial" w:cs="Arial"/>
        </w:rPr>
      </w:pPr>
    </w:p>
    <w:p w14:paraId="702BAA8F" w14:textId="39EB2499" w:rsidR="00127642" w:rsidRPr="000B5A8D" w:rsidRDefault="00127642" w:rsidP="00127642">
      <w:pPr>
        <w:pStyle w:val="Caption"/>
        <w:keepNext/>
        <w:spacing w:after="0"/>
        <w:jc w:val="both"/>
        <w:rPr>
          <w:rFonts w:ascii="Arial" w:hAnsi="Arial" w:cs="Arial"/>
          <w:sz w:val="20"/>
          <w:szCs w:val="20"/>
        </w:rPr>
      </w:pPr>
      <w:r w:rsidRPr="000B5A8D">
        <w:rPr>
          <w:rFonts w:ascii="Arial" w:hAnsi="Arial" w:cs="Arial"/>
          <w:sz w:val="20"/>
          <w:szCs w:val="20"/>
        </w:rPr>
        <w:t xml:space="preserve">Table </w:t>
      </w:r>
      <w:r w:rsidR="006E0185">
        <w:rPr>
          <w:rFonts w:ascii="Arial" w:hAnsi="Arial" w:cs="Arial"/>
          <w:sz w:val="20"/>
          <w:szCs w:val="20"/>
        </w:rPr>
        <w:t>3</w:t>
      </w:r>
      <w:r w:rsidRPr="000B5A8D">
        <w:rPr>
          <w:rFonts w:ascii="Arial" w:hAnsi="Arial" w:cs="Arial"/>
          <w:sz w:val="20"/>
          <w:szCs w:val="20"/>
        </w:rPr>
        <w:t>: Reduced Export form Potential Market and Affected Commodities</w:t>
      </w:r>
    </w:p>
    <w:tbl>
      <w:tblPr>
        <w:tblStyle w:val="TableGrid"/>
        <w:tblW w:w="8275" w:type="dxa"/>
        <w:tblLook w:val="04A0" w:firstRow="1" w:lastRow="0" w:firstColumn="1" w:lastColumn="0" w:noHBand="0" w:noVBand="1"/>
      </w:tblPr>
      <w:tblGrid>
        <w:gridCol w:w="1222"/>
        <w:gridCol w:w="2193"/>
        <w:gridCol w:w="2286"/>
        <w:gridCol w:w="2574"/>
      </w:tblGrid>
      <w:tr w:rsidR="0071554F" w:rsidRPr="000B5A8D" w14:paraId="69B5D6C6" w14:textId="77777777" w:rsidTr="0071554F">
        <w:trPr>
          <w:trHeight w:val="494"/>
          <w:tblHeader/>
        </w:trPr>
        <w:tc>
          <w:tcPr>
            <w:tcW w:w="1222" w:type="dxa"/>
          </w:tcPr>
          <w:p w14:paraId="563B2117" w14:textId="77777777" w:rsidR="0071554F" w:rsidRPr="000B5A8D" w:rsidRDefault="0071554F" w:rsidP="00127642">
            <w:pPr>
              <w:ind w:right="-105"/>
              <w:rPr>
                <w:rFonts w:ascii="Arial" w:hAnsi="Arial" w:cs="Arial"/>
                <w:b/>
                <w:sz w:val="20"/>
                <w:szCs w:val="20"/>
              </w:rPr>
            </w:pPr>
            <w:r w:rsidRPr="000B5A8D">
              <w:rPr>
                <w:rFonts w:ascii="Arial" w:hAnsi="Arial" w:cs="Arial"/>
                <w:b/>
                <w:sz w:val="20"/>
                <w:szCs w:val="20"/>
              </w:rPr>
              <w:t>Serial No</w:t>
            </w:r>
          </w:p>
        </w:tc>
        <w:tc>
          <w:tcPr>
            <w:tcW w:w="2193" w:type="dxa"/>
          </w:tcPr>
          <w:p w14:paraId="357153FC" w14:textId="77777777" w:rsidR="0071554F" w:rsidRPr="000B5A8D" w:rsidRDefault="0071554F" w:rsidP="00127642">
            <w:pPr>
              <w:rPr>
                <w:rFonts w:ascii="Arial" w:hAnsi="Arial" w:cs="Arial"/>
                <w:b/>
                <w:sz w:val="20"/>
                <w:szCs w:val="20"/>
              </w:rPr>
            </w:pPr>
            <w:r w:rsidRPr="000B5A8D">
              <w:rPr>
                <w:rFonts w:ascii="Arial" w:hAnsi="Arial" w:cs="Arial"/>
                <w:b/>
                <w:sz w:val="20"/>
                <w:szCs w:val="20"/>
              </w:rPr>
              <w:t>Economy</w:t>
            </w:r>
          </w:p>
        </w:tc>
        <w:tc>
          <w:tcPr>
            <w:tcW w:w="2286" w:type="dxa"/>
          </w:tcPr>
          <w:p w14:paraId="57AFC236" w14:textId="77777777" w:rsidR="0071554F" w:rsidRPr="000B5A8D" w:rsidRDefault="0071554F" w:rsidP="00127642">
            <w:pPr>
              <w:ind w:right="-105"/>
              <w:rPr>
                <w:rFonts w:ascii="Arial" w:hAnsi="Arial" w:cs="Arial"/>
                <w:b/>
                <w:sz w:val="20"/>
                <w:szCs w:val="20"/>
              </w:rPr>
            </w:pPr>
            <w:r w:rsidRPr="000B5A8D">
              <w:rPr>
                <w:rFonts w:ascii="Arial" w:hAnsi="Arial" w:cs="Arial"/>
                <w:b/>
                <w:sz w:val="20"/>
                <w:szCs w:val="20"/>
              </w:rPr>
              <w:t>Reduced Imports from BGD ($) in million</w:t>
            </w:r>
          </w:p>
        </w:tc>
        <w:tc>
          <w:tcPr>
            <w:tcW w:w="2574" w:type="dxa"/>
          </w:tcPr>
          <w:p w14:paraId="0CBA7F64" w14:textId="77777777" w:rsidR="0071554F" w:rsidRPr="000B5A8D" w:rsidRDefault="0071554F" w:rsidP="00127642">
            <w:pPr>
              <w:rPr>
                <w:rFonts w:ascii="Arial" w:hAnsi="Arial" w:cs="Arial"/>
                <w:b/>
                <w:sz w:val="20"/>
                <w:szCs w:val="20"/>
              </w:rPr>
            </w:pPr>
            <w:r w:rsidRPr="000B5A8D">
              <w:rPr>
                <w:rFonts w:ascii="Arial" w:hAnsi="Arial" w:cs="Arial"/>
                <w:b/>
                <w:sz w:val="20"/>
                <w:szCs w:val="20"/>
              </w:rPr>
              <w:t>Change as % of Current import value from BGD</w:t>
            </w:r>
          </w:p>
        </w:tc>
      </w:tr>
      <w:tr w:rsidR="0071554F" w:rsidRPr="000B5A8D" w14:paraId="313C138A" w14:textId="77777777" w:rsidTr="0071554F">
        <w:trPr>
          <w:trHeight w:val="460"/>
        </w:trPr>
        <w:tc>
          <w:tcPr>
            <w:tcW w:w="1222" w:type="dxa"/>
          </w:tcPr>
          <w:p w14:paraId="7FFD53A6" w14:textId="77777777" w:rsidR="0071554F" w:rsidRPr="000B5A8D" w:rsidRDefault="0071554F" w:rsidP="00127642">
            <w:pPr>
              <w:rPr>
                <w:rFonts w:ascii="Arial" w:hAnsi="Arial" w:cs="Arial"/>
                <w:sz w:val="20"/>
                <w:szCs w:val="20"/>
              </w:rPr>
            </w:pPr>
            <w:r w:rsidRPr="000B5A8D">
              <w:rPr>
                <w:rFonts w:ascii="Arial" w:hAnsi="Arial" w:cs="Arial"/>
                <w:sz w:val="20"/>
                <w:szCs w:val="20"/>
              </w:rPr>
              <w:t>1</w:t>
            </w:r>
          </w:p>
        </w:tc>
        <w:tc>
          <w:tcPr>
            <w:tcW w:w="2193" w:type="dxa"/>
          </w:tcPr>
          <w:p w14:paraId="347F12D2"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European Union (EU)</w:t>
            </w:r>
          </w:p>
        </w:tc>
        <w:tc>
          <w:tcPr>
            <w:tcW w:w="2286" w:type="dxa"/>
          </w:tcPr>
          <w:p w14:paraId="0A01E486" w14:textId="77777777" w:rsidR="0071554F" w:rsidRPr="000B5A8D" w:rsidRDefault="0071554F" w:rsidP="00127642">
            <w:pPr>
              <w:rPr>
                <w:rFonts w:ascii="Arial" w:hAnsi="Arial" w:cs="Arial"/>
                <w:sz w:val="20"/>
                <w:szCs w:val="20"/>
              </w:rPr>
            </w:pPr>
            <w:r w:rsidRPr="000B5A8D">
              <w:rPr>
                <w:rFonts w:ascii="Arial" w:hAnsi="Arial" w:cs="Arial"/>
                <w:sz w:val="20"/>
                <w:szCs w:val="20"/>
              </w:rPr>
              <w:t>16088.80</w:t>
            </w:r>
          </w:p>
        </w:tc>
        <w:tc>
          <w:tcPr>
            <w:tcW w:w="2574" w:type="dxa"/>
          </w:tcPr>
          <w:p w14:paraId="05A8A12E" w14:textId="77777777" w:rsidR="0071554F" w:rsidRPr="000B5A8D" w:rsidRDefault="0071554F" w:rsidP="00127642">
            <w:pPr>
              <w:rPr>
                <w:rFonts w:ascii="Arial" w:hAnsi="Arial" w:cs="Arial"/>
                <w:sz w:val="20"/>
                <w:szCs w:val="20"/>
              </w:rPr>
            </w:pPr>
            <w:r w:rsidRPr="000B5A8D">
              <w:rPr>
                <w:rFonts w:ascii="Arial" w:hAnsi="Arial" w:cs="Arial"/>
                <w:sz w:val="20"/>
                <w:szCs w:val="20"/>
              </w:rPr>
              <w:t>-0.60</w:t>
            </w:r>
          </w:p>
        </w:tc>
      </w:tr>
      <w:tr w:rsidR="0071554F" w:rsidRPr="000B5A8D" w14:paraId="6F61127F" w14:textId="77777777" w:rsidTr="0071554F">
        <w:trPr>
          <w:trHeight w:val="230"/>
        </w:trPr>
        <w:tc>
          <w:tcPr>
            <w:tcW w:w="1222" w:type="dxa"/>
          </w:tcPr>
          <w:p w14:paraId="68C666F4" w14:textId="77777777" w:rsidR="0071554F" w:rsidRPr="000B5A8D" w:rsidRDefault="0071554F" w:rsidP="00127642">
            <w:pPr>
              <w:rPr>
                <w:rFonts w:ascii="Arial" w:hAnsi="Arial" w:cs="Arial"/>
                <w:sz w:val="20"/>
                <w:szCs w:val="20"/>
              </w:rPr>
            </w:pPr>
            <w:r w:rsidRPr="000B5A8D">
              <w:rPr>
                <w:rFonts w:ascii="Arial" w:hAnsi="Arial" w:cs="Arial"/>
                <w:sz w:val="20"/>
                <w:szCs w:val="20"/>
              </w:rPr>
              <w:t>2</w:t>
            </w:r>
          </w:p>
        </w:tc>
        <w:tc>
          <w:tcPr>
            <w:tcW w:w="2193" w:type="dxa"/>
          </w:tcPr>
          <w:p w14:paraId="1E6885F8"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Canada</w:t>
            </w:r>
          </w:p>
        </w:tc>
        <w:tc>
          <w:tcPr>
            <w:tcW w:w="2286" w:type="dxa"/>
          </w:tcPr>
          <w:p w14:paraId="2AE84114" w14:textId="77777777" w:rsidR="0071554F" w:rsidRPr="000B5A8D" w:rsidRDefault="0071554F" w:rsidP="00127642">
            <w:pPr>
              <w:rPr>
                <w:rFonts w:ascii="Arial" w:hAnsi="Arial" w:cs="Arial"/>
                <w:sz w:val="20"/>
                <w:szCs w:val="20"/>
              </w:rPr>
            </w:pPr>
            <w:r w:rsidRPr="000B5A8D">
              <w:rPr>
                <w:rFonts w:ascii="Arial" w:hAnsi="Arial" w:cs="Arial"/>
                <w:sz w:val="20"/>
                <w:szCs w:val="20"/>
              </w:rPr>
              <w:t>1521.58</w:t>
            </w:r>
          </w:p>
        </w:tc>
        <w:tc>
          <w:tcPr>
            <w:tcW w:w="2574" w:type="dxa"/>
          </w:tcPr>
          <w:p w14:paraId="2B1568C5" w14:textId="77777777" w:rsidR="0071554F" w:rsidRPr="000B5A8D" w:rsidRDefault="0071554F" w:rsidP="00127642">
            <w:pPr>
              <w:rPr>
                <w:rFonts w:ascii="Arial" w:hAnsi="Arial" w:cs="Arial"/>
                <w:sz w:val="20"/>
                <w:szCs w:val="20"/>
              </w:rPr>
            </w:pPr>
            <w:r w:rsidRPr="000B5A8D">
              <w:rPr>
                <w:rFonts w:ascii="Arial" w:hAnsi="Arial" w:cs="Arial"/>
                <w:sz w:val="20"/>
                <w:szCs w:val="20"/>
              </w:rPr>
              <w:t>-0.92</w:t>
            </w:r>
          </w:p>
        </w:tc>
      </w:tr>
      <w:tr w:rsidR="0071554F" w:rsidRPr="000B5A8D" w14:paraId="0E0D9F7C" w14:textId="77777777" w:rsidTr="0071554F">
        <w:trPr>
          <w:trHeight w:val="230"/>
        </w:trPr>
        <w:tc>
          <w:tcPr>
            <w:tcW w:w="1222" w:type="dxa"/>
          </w:tcPr>
          <w:p w14:paraId="7A0F9688" w14:textId="77777777" w:rsidR="0071554F" w:rsidRPr="000B5A8D" w:rsidRDefault="0071554F" w:rsidP="00127642">
            <w:pPr>
              <w:rPr>
                <w:rFonts w:ascii="Arial" w:hAnsi="Arial" w:cs="Arial"/>
                <w:sz w:val="20"/>
                <w:szCs w:val="20"/>
              </w:rPr>
            </w:pPr>
            <w:r w:rsidRPr="000B5A8D">
              <w:rPr>
                <w:rFonts w:ascii="Arial" w:hAnsi="Arial" w:cs="Arial"/>
                <w:sz w:val="20"/>
                <w:szCs w:val="20"/>
              </w:rPr>
              <w:t>3</w:t>
            </w:r>
          </w:p>
        </w:tc>
        <w:tc>
          <w:tcPr>
            <w:tcW w:w="2193" w:type="dxa"/>
          </w:tcPr>
          <w:p w14:paraId="430EDE1C"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United Kingdom</w:t>
            </w:r>
          </w:p>
        </w:tc>
        <w:tc>
          <w:tcPr>
            <w:tcW w:w="2286" w:type="dxa"/>
          </w:tcPr>
          <w:p w14:paraId="2C6BB802" w14:textId="77777777" w:rsidR="0071554F" w:rsidRPr="000B5A8D" w:rsidRDefault="0071554F" w:rsidP="00127642">
            <w:pPr>
              <w:rPr>
                <w:rFonts w:ascii="Arial" w:hAnsi="Arial" w:cs="Arial"/>
                <w:sz w:val="20"/>
                <w:szCs w:val="20"/>
              </w:rPr>
            </w:pPr>
            <w:r w:rsidRPr="000B5A8D">
              <w:rPr>
                <w:rFonts w:ascii="Arial" w:hAnsi="Arial" w:cs="Arial"/>
                <w:sz w:val="20"/>
                <w:szCs w:val="20"/>
              </w:rPr>
              <w:t>1494.18</w:t>
            </w:r>
          </w:p>
        </w:tc>
        <w:tc>
          <w:tcPr>
            <w:tcW w:w="2574" w:type="dxa"/>
          </w:tcPr>
          <w:p w14:paraId="3B7EE46B" w14:textId="77777777" w:rsidR="0071554F" w:rsidRPr="000B5A8D" w:rsidRDefault="0071554F" w:rsidP="00127642">
            <w:pPr>
              <w:rPr>
                <w:rFonts w:ascii="Arial" w:hAnsi="Arial" w:cs="Arial"/>
                <w:sz w:val="20"/>
                <w:szCs w:val="20"/>
              </w:rPr>
            </w:pPr>
            <w:r w:rsidRPr="000B5A8D">
              <w:rPr>
                <w:rFonts w:ascii="Arial" w:hAnsi="Arial" w:cs="Arial"/>
                <w:sz w:val="20"/>
                <w:szCs w:val="20"/>
              </w:rPr>
              <w:t>-0.35</w:t>
            </w:r>
          </w:p>
        </w:tc>
      </w:tr>
      <w:tr w:rsidR="0071554F" w:rsidRPr="000B5A8D" w14:paraId="2C1ABE94" w14:textId="77777777" w:rsidTr="0071554F">
        <w:trPr>
          <w:trHeight w:val="230"/>
        </w:trPr>
        <w:tc>
          <w:tcPr>
            <w:tcW w:w="1222" w:type="dxa"/>
          </w:tcPr>
          <w:p w14:paraId="3BAC1DE1" w14:textId="77777777" w:rsidR="0071554F" w:rsidRPr="000B5A8D" w:rsidRDefault="0071554F" w:rsidP="00127642">
            <w:pPr>
              <w:rPr>
                <w:rFonts w:ascii="Arial" w:hAnsi="Arial" w:cs="Arial"/>
                <w:sz w:val="20"/>
                <w:szCs w:val="20"/>
              </w:rPr>
            </w:pPr>
            <w:r w:rsidRPr="000B5A8D">
              <w:rPr>
                <w:rFonts w:ascii="Arial" w:hAnsi="Arial" w:cs="Arial"/>
                <w:sz w:val="20"/>
                <w:szCs w:val="20"/>
              </w:rPr>
              <w:t>4</w:t>
            </w:r>
          </w:p>
        </w:tc>
        <w:tc>
          <w:tcPr>
            <w:tcW w:w="2193" w:type="dxa"/>
          </w:tcPr>
          <w:p w14:paraId="550325AA"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India</w:t>
            </w:r>
          </w:p>
        </w:tc>
        <w:tc>
          <w:tcPr>
            <w:tcW w:w="2286" w:type="dxa"/>
          </w:tcPr>
          <w:p w14:paraId="74C8DE4B" w14:textId="77777777" w:rsidR="0071554F" w:rsidRPr="000B5A8D" w:rsidRDefault="0071554F" w:rsidP="00127642">
            <w:pPr>
              <w:rPr>
                <w:rFonts w:ascii="Arial" w:hAnsi="Arial" w:cs="Arial"/>
                <w:sz w:val="20"/>
                <w:szCs w:val="20"/>
              </w:rPr>
            </w:pPr>
            <w:r w:rsidRPr="000B5A8D">
              <w:rPr>
                <w:rFonts w:ascii="Arial" w:hAnsi="Arial" w:cs="Arial"/>
                <w:sz w:val="20"/>
                <w:szCs w:val="20"/>
              </w:rPr>
              <w:t>1010.92</w:t>
            </w:r>
          </w:p>
        </w:tc>
        <w:tc>
          <w:tcPr>
            <w:tcW w:w="2574" w:type="dxa"/>
          </w:tcPr>
          <w:p w14:paraId="5904E6E5" w14:textId="77777777" w:rsidR="0071554F" w:rsidRPr="000B5A8D" w:rsidRDefault="0071554F" w:rsidP="00127642">
            <w:pPr>
              <w:rPr>
                <w:rFonts w:ascii="Arial" w:hAnsi="Arial" w:cs="Arial"/>
                <w:sz w:val="20"/>
                <w:szCs w:val="20"/>
              </w:rPr>
            </w:pPr>
            <w:r w:rsidRPr="000B5A8D">
              <w:rPr>
                <w:rFonts w:ascii="Arial" w:hAnsi="Arial" w:cs="Arial"/>
                <w:sz w:val="20"/>
                <w:szCs w:val="20"/>
              </w:rPr>
              <w:t>-0.53</w:t>
            </w:r>
          </w:p>
        </w:tc>
      </w:tr>
      <w:tr w:rsidR="0071554F" w:rsidRPr="000B5A8D" w14:paraId="0AFA787E" w14:textId="77777777" w:rsidTr="0071554F">
        <w:trPr>
          <w:trHeight w:val="230"/>
        </w:trPr>
        <w:tc>
          <w:tcPr>
            <w:tcW w:w="1222" w:type="dxa"/>
          </w:tcPr>
          <w:p w14:paraId="190DF003" w14:textId="77777777" w:rsidR="0071554F" w:rsidRPr="000B5A8D" w:rsidRDefault="0071554F" w:rsidP="00127642">
            <w:pPr>
              <w:rPr>
                <w:rFonts w:ascii="Arial" w:hAnsi="Arial" w:cs="Arial"/>
                <w:sz w:val="20"/>
                <w:szCs w:val="20"/>
              </w:rPr>
            </w:pPr>
            <w:r w:rsidRPr="000B5A8D">
              <w:rPr>
                <w:rFonts w:ascii="Arial" w:hAnsi="Arial" w:cs="Arial"/>
                <w:sz w:val="20"/>
                <w:szCs w:val="20"/>
              </w:rPr>
              <w:t>5</w:t>
            </w:r>
          </w:p>
        </w:tc>
        <w:tc>
          <w:tcPr>
            <w:tcW w:w="2193" w:type="dxa"/>
          </w:tcPr>
          <w:p w14:paraId="46BD5810"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Switzerland</w:t>
            </w:r>
          </w:p>
        </w:tc>
        <w:tc>
          <w:tcPr>
            <w:tcW w:w="2286" w:type="dxa"/>
          </w:tcPr>
          <w:p w14:paraId="68E847C2" w14:textId="77777777" w:rsidR="0071554F" w:rsidRPr="000B5A8D" w:rsidRDefault="0071554F" w:rsidP="00127642">
            <w:pPr>
              <w:rPr>
                <w:rFonts w:ascii="Arial" w:hAnsi="Arial" w:cs="Arial"/>
                <w:sz w:val="20"/>
                <w:szCs w:val="20"/>
              </w:rPr>
            </w:pPr>
            <w:r w:rsidRPr="000B5A8D">
              <w:rPr>
                <w:rFonts w:ascii="Arial" w:hAnsi="Arial" w:cs="Arial"/>
                <w:sz w:val="20"/>
                <w:szCs w:val="20"/>
              </w:rPr>
              <w:t>668.15</w:t>
            </w:r>
          </w:p>
        </w:tc>
        <w:tc>
          <w:tcPr>
            <w:tcW w:w="2574" w:type="dxa"/>
          </w:tcPr>
          <w:p w14:paraId="3215D789" w14:textId="77777777" w:rsidR="0071554F" w:rsidRPr="000B5A8D" w:rsidRDefault="0071554F" w:rsidP="00127642">
            <w:pPr>
              <w:rPr>
                <w:rFonts w:ascii="Arial" w:hAnsi="Arial" w:cs="Arial"/>
                <w:sz w:val="20"/>
                <w:szCs w:val="20"/>
              </w:rPr>
            </w:pPr>
            <w:r w:rsidRPr="000B5A8D">
              <w:rPr>
                <w:rFonts w:ascii="Arial" w:hAnsi="Arial" w:cs="Arial"/>
                <w:sz w:val="20"/>
                <w:szCs w:val="20"/>
              </w:rPr>
              <w:t>-0.60</w:t>
            </w:r>
          </w:p>
        </w:tc>
      </w:tr>
      <w:tr w:rsidR="0071554F" w:rsidRPr="000B5A8D" w14:paraId="3AD38193" w14:textId="77777777" w:rsidTr="0071554F">
        <w:trPr>
          <w:trHeight w:val="230"/>
        </w:trPr>
        <w:tc>
          <w:tcPr>
            <w:tcW w:w="1222" w:type="dxa"/>
          </w:tcPr>
          <w:p w14:paraId="45ED2575" w14:textId="77777777" w:rsidR="0071554F" w:rsidRPr="000B5A8D" w:rsidRDefault="0071554F" w:rsidP="00127642">
            <w:pPr>
              <w:rPr>
                <w:rFonts w:ascii="Arial" w:hAnsi="Arial" w:cs="Arial"/>
                <w:sz w:val="20"/>
                <w:szCs w:val="20"/>
              </w:rPr>
            </w:pPr>
            <w:r w:rsidRPr="000B5A8D">
              <w:rPr>
                <w:rFonts w:ascii="Arial" w:hAnsi="Arial" w:cs="Arial"/>
                <w:sz w:val="20"/>
                <w:szCs w:val="20"/>
              </w:rPr>
              <w:t>6</w:t>
            </w:r>
          </w:p>
        </w:tc>
        <w:tc>
          <w:tcPr>
            <w:tcW w:w="2193" w:type="dxa"/>
          </w:tcPr>
          <w:p w14:paraId="35C2CF5F"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Japan</w:t>
            </w:r>
          </w:p>
        </w:tc>
        <w:tc>
          <w:tcPr>
            <w:tcW w:w="2286" w:type="dxa"/>
          </w:tcPr>
          <w:p w14:paraId="0D9A4F80" w14:textId="77777777" w:rsidR="0071554F" w:rsidRPr="000B5A8D" w:rsidRDefault="0071554F" w:rsidP="00127642">
            <w:pPr>
              <w:rPr>
                <w:rFonts w:ascii="Arial" w:hAnsi="Arial" w:cs="Arial"/>
                <w:sz w:val="20"/>
                <w:szCs w:val="20"/>
              </w:rPr>
            </w:pPr>
            <w:r w:rsidRPr="000B5A8D">
              <w:rPr>
                <w:rFonts w:ascii="Arial" w:hAnsi="Arial" w:cs="Arial"/>
                <w:sz w:val="20"/>
                <w:szCs w:val="20"/>
              </w:rPr>
              <w:t>583.32</w:t>
            </w:r>
          </w:p>
        </w:tc>
        <w:tc>
          <w:tcPr>
            <w:tcW w:w="2574" w:type="dxa"/>
          </w:tcPr>
          <w:p w14:paraId="73E888C2" w14:textId="77777777" w:rsidR="0071554F" w:rsidRPr="000B5A8D" w:rsidRDefault="0071554F" w:rsidP="00127642">
            <w:pPr>
              <w:rPr>
                <w:rFonts w:ascii="Arial" w:hAnsi="Arial" w:cs="Arial"/>
                <w:sz w:val="20"/>
                <w:szCs w:val="20"/>
              </w:rPr>
            </w:pPr>
            <w:r w:rsidRPr="000B5A8D">
              <w:rPr>
                <w:rFonts w:ascii="Arial" w:hAnsi="Arial" w:cs="Arial"/>
                <w:sz w:val="20"/>
                <w:szCs w:val="20"/>
              </w:rPr>
              <w:t>-0.37</w:t>
            </w:r>
          </w:p>
        </w:tc>
      </w:tr>
      <w:tr w:rsidR="0071554F" w:rsidRPr="000B5A8D" w14:paraId="3CE132DA" w14:textId="77777777" w:rsidTr="0071554F">
        <w:trPr>
          <w:trHeight w:val="230"/>
        </w:trPr>
        <w:tc>
          <w:tcPr>
            <w:tcW w:w="1222" w:type="dxa"/>
          </w:tcPr>
          <w:p w14:paraId="5F1EAB0F" w14:textId="77777777" w:rsidR="0071554F" w:rsidRPr="000B5A8D" w:rsidRDefault="0071554F" w:rsidP="00127642">
            <w:pPr>
              <w:rPr>
                <w:rFonts w:ascii="Arial" w:hAnsi="Arial" w:cs="Arial"/>
                <w:sz w:val="20"/>
                <w:szCs w:val="20"/>
              </w:rPr>
            </w:pPr>
            <w:r w:rsidRPr="000B5A8D">
              <w:rPr>
                <w:rFonts w:ascii="Arial" w:hAnsi="Arial" w:cs="Arial"/>
                <w:sz w:val="20"/>
                <w:szCs w:val="20"/>
              </w:rPr>
              <w:t>7</w:t>
            </w:r>
          </w:p>
        </w:tc>
        <w:tc>
          <w:tcPr>
            <w:tcW w:w="2193" w:type="dxa"/>
          </w:tcPr>
          <w:p w14:paraId="3695434E"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China</w:t>
            </w:r>
          </w:p>
        </w:tc>
        <w:tc>
          <w:tcPr>
            <w:tcW w:w="2286" w:type="dxa"/>
          </w:tcPr>
          <w:p w14:paraId="1743CD8C" w14:textId="77777777" w:rsidR="0071554F" w:rsidRPr="000B5A8D" w:rsidRDefault="0071554F" w:rsidP="00127642">
            <w:pPr>
              <w:rPr>
                <w:rFonts w:ascii="Arial" w:hAnsi="Arial" w:cs="Arial"/>
                <w:sz w:val="20"/>
                <w:szCs w:val="20"/>
              </w:rPr>
            </w:pPr>
            <w:r w:rsidRPr="000B5A8D">
              <w:rPr>
                <w:rFonts w:ascii="Arial" w:hAnsi="Arial" w:cs="Arial"/>
                <w:sz w:val="20"/>
                <w:szCs w:val="20"/>
              </w:rPr>
              <w:t>301.80</w:t>
            </w:r>
          </w:p>
        </w:tc>
        <w:tc>
          <w:tcPr>
            <w:tcW w:w="2574" w:type="dxa"/>
          </w:tcPr>
          <w:p w14:paraId="1F312EE8" w14:textId="77777777" w:rsidR="0071554F" w:rsidRPr="000B5A8D" w:rsidRDefault="0071554F" w:rsidP="00127642">
            <w:pPr>
              <w:rPr>
                <w:rFonts w:ascii="Arial" w:hAnsi="Arial" w:cs="Arial"/>
                <w:sz w:val="20"/>
                <w:szCs w:val="20"/>
              </w:rPr>
            </w:pPr>
            <w:r w:rsidRPr="000B5A8D">
              <w:rPr>
                <w:rFonts w:ascii="Arial" w:hAnsi="Arial" w:cs="Arial"/>
                <w:sz w:val="20"/>
                <w:szCs w:val="20"/>
              </w:rPr>
              <w:t>-0.29</w:t>
            </w:r>
          </w:p>
        </w:tc>
      </w:tr>
      <w:tr w:rsidR="0071554F" w:rsidRPr="000B5A8D" w14:paraId="2E738F3F" w14:textId="77777777" w:rsidTr="0071554F">
        <w:trPr>
          <w:trHeight w:val="230"/>
        </w:trPr>
        <w:tc>
          <w:tcPr>
            <w:tcW w:w="1222" w:type="dxa"/>
          </w:tcPr>
          <w:p w14:paraId="2668B45B" w14:textId="77777777" w:rsidR="0071554F" w:rsidRPr="000B5A8D" w:rsidRDefault="0071554F" w:rsidP="00127642">
            <w:pPr>
              <w:rPr>
                <w:rFonts w:ascii="Arial" w:hAnsi="Arial" w:cs="Arial"/>
                <w:sz w:val="20"/>
                <w:szCs w:val="20"/>
              </w:rPr>
            </w:pPr>
            <w:r w:rsidRPr="000B5A8D">
              <w:rPr>
                <w:rFonts w:ascii="Arial" w:hAnsi="Arial" w:cs="Arial"/>
                <w:sz w:val="20"/>
                <w:szCs w:val="20"/>
              </w:rPr>
              <w:t>8</w:t>
            </w:r>
          </w:p>
        </w:tc>
        <w:tc>
          <w:tcPr>
            <w:tcW w:w="2193" w:type="dxa"/>
          </w:tcPr>
          <w:p w14:paraId="19DBD4C3"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w:t>
            </w:r>
            <w:proofErr w:type="spellStart"/>
            <w:r w:rsidRPr="000B5A8D">
              <w:rPr>
                <w:rFonts w:ascii="Arial" w:hAnsi="Arial" w:cs="Arial"/>
                <w:sz w:val="20"/>
                <w:szCs w:val="20"/>
              </w:rPr>
              <w:t>Turkiye</w:t>
            </w:r>
            <w:proofErr w:type="spellEnd"/>
          </w:p>
        </w:tc>
        <w:tc>
          <w:tcPr>
            <w:tcW w:w="2286" w:type="dxa"/>
          </w:tcPr>
          <w:p w14:paraId="217DFE2E" w14:textId="77777777" w:rsidR="0071554F" w:rsidRPr="000B5A8D" w:rsidRDefault="0071554F" w:rsidP="00127642">
            <w:pPr>
              <w:rPr>
                <w:rFonts w:ascii="Arial" w:hAnsi="Arial" w:cs="Arial"/>
                <w:sz w:val="20"/>
                <w:szCs w:val="20"/>
              </w:rPr>
            </w:pPr>
            <w:r w:rsidRPr="000B5A8D">
              <w:rPr>
                <w:rFonts w:ascii="Arial" w:hAnsi="Arial" w:cs="Arial"/>
                <w:sz w:val="20"/>
                <w:szCs w:val="20"/>
              </w:rPr>
              <w:t>282.91</w:t>
            </w:r>
          </w:p>
        </w:tc>
        <w:tc>
          <w:tcPr>
            <w:tcW w:w="2574" w:type="dxa"/>
          </w:tcPr>
          <w:p w14:paraId="798CED2B" w14:textId="77777777" w:rsidR="0071554F" w:rsidRPr="000B5A8D" w:rsidRDefault="0071554F" w:rsidP="00127642">
            <w:pPr>
              <w:rPr>
                <w:rFonts w:ascii="Arial" w:hAnsi="Arial" w:cs="Arial"/>
                <w:sz w:val="20"/>
                <w:szCs w:val="20"/>
              </w:rPr>
            </w:pPr>
            <w:r w:rsidRPr="000B5A8D">
              <w:rPr>
                <w:rFonts w:ascii="Arial" w:hAnsi="Arial" w:cs="Arial"/>
                <w:sz w:val="20"/>
                <w:szCs w:val="20"/>
              </w:rPr>
              <w:t>-0.43</w:t>
            </w:r>
          </w:p>
        </w:tc>
      </w:tr>
      <w:tr w:rsidR="0071554F" w:rsidRPr="000B5A8D" w14:paraId="63838890" w14:textId="77777777" w:rsidTr="0071554F">
        <w:trPr>
          <w:trHeight w:val="230"/>
        </w:trPr>
        <w:tc>
          <w:tcPr>
            <w:tcW w:w="1222" w:type="dxa"/>
          </w:tcPr>
          <w:p w14:paraId="224B2AD9" w14:textId="77777777" w:rsidR="0071554F" w:rsidRPr="000B5A8D" w:rsidRDefault="0071554F" w:rsidP="00127642">
            <w:pPr>
              <w:rPr>
                <w:rFonts w:ascii="Arial" w:hAnsi="Arial" w:cs="Arial"/>
                <w:sz w:val="20"/>
                <w:szCs w:val="20"/>
              </w:rPr>
            </w:pPr>
            <w:r w:rsidRPr="000B5A8D">
              <w:rPr>
                <w:rFonts w:ascii="Arial" w:hAnsi="Arial" w:cs="Arial"/>
                <w:sz w:val="20"/>
                <w:szCs w:val="20"/>
              </w:rPr>
              <w:lastRenderedPageBreak/>
              <w:t>9</w:t>
            </w:r>
          </w:p>
        </w:tc>
        <w:tc>
          <w:tcPr>
            <w:tcW w:w="2193" w:type="dxa"/>
          </w:tcPr>
          <w:p w14:paraId="38B77AD5"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Australia</w:t>
            </w:r>
          </w:p>
        </w:tc>
        <w:tc>
          <w:tcPr>
            <w:tcW w:w="2286" w:type="dxa"/>
          </w:tcPr>
          <w:p w14:paraId="71F01977" w14:textId="77777777" w:rsidR="0071554F" w:rsidRPr="000B5A8D" w:rsidRDefault="0071554F" w:rsidP="00127642">
            <w:pPr>
              <w:rPr>
                <w:rFonts w:ascii="Arial" w:hAnsi="Arial" w:cs="Arial"/>
                <w:sz w:val="20"/>
                <w:szCs w:val="20"/>
              </w:rPr>
            </w:pPr>
            <w:r w:rsidRPr="000B5A8D">
              <w:rPr>
                <w:rFonts w:ascii="Arial" w:hAnsi="Arial" w:cs="Arial"/>
                <w:sz w:val="20"/>
                <w:szCs w:val="20"/>
              </w:rPr>
              <w:t>230.55</w:t>
            </w:r>
          </w:p>
        </w:tc>
        <w:tc>
          <w:tcPr>
            <w:tcW w:w="2574" w:type="dxa"/>
          </w:tcPr>
          <w:p w14:paraId="230DCD23" w14:textId="77777777" w:rsidR="0071554F" w:rsidRPr="000B5A8D" w:rsidRDefault="0071554F" w:rsidP="00127642">
            <w:pPr>
              <w:rPr>
                <w:rFonts w:ascii="Arial" w:hAnsi="Arial" w:cs="Arial"/>
                <w:sz w:val="20"/>
                <w:szCs w:val="20"/>
              </w:rPr>
            </w:pPr>
            <w:r w:rsidRPr="000B5A8D">
              <w:rPr>
                <w:rFonts w:ascii="Arial" w:hAnsi="Arial" w:cs="Arial"/>
                <w:sz w:val="20"/>
                <w:szCs w:val="20"/>
              </w:rPr>
              <w:t>-0.24</w:t>
            </w:r>
          </w:p>
        </w:tc>
      </w:tr>
      <w:tr w:rsidR="0071554F" w:rsidRPr="000B5A8D" w14:paraId="29A2A0B2" w14:textId="77777777" w:rsidTr="0071554F">
        <w:trPr>
          <w:trHeight w:val="230"/>
        </w:trPr>
        <w:tc>
          <w:tcPr>
            <w:tcW w:w="1222" w:type="dxa"/>
          </w:tcPr>
          <w:p w14:paraId="481AD5C7" w14:textId="77777777" w:rsidR="0071554F" w:rsidRPr="000B5A8D" w:rsidRDefault="0071554F" w:rsidP="00127642">
            <w:pPr>
              <w:rPr>
                <w:rFonts w:ascii="Arial" w:hAnsi="Arial" w:cs="Arial"/>
                <w:sz w:val="20"/>
                <w:szCs w:val="20"/>
              </w:rPr>
            </w:pPr>
            <w:r w:rsidRPr="000B5A8D">
              <w:rPr>
                <w:rFonts w:ascii="Arial" w:hAnsi="Arial" w:cs="Arial"/>
                <w:sz w:val="20"/>
                <w:szCs w:val="20"/>
              </w:rPr>
              <w:t>10</w:t>
            </w:r>
          </w:p>
        </w:tc>
        <w:tc>
          <w:tcPr>
            <w:tcW w:w="2193" w:type="dxa"/>
          </w:tcPr>
          <w:p w14:paraId="4888087C"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Norway</w:t>
            </w:r>
          </w:p>
        </w:tc>
        <w:tc>
          <w:tcPr>
            <w:tcW w:w="2286" w:type="dxa"/>
          </w:tcPr>
          <w:p w14:paraId="25BA6B0B" w14:textId="77777777" w:rsidR="0071554F" w:rsidRPr="000B5A8D" w:rsidRDefault="0071554F" w:rsidP="00127642">
            <w:pPr>
              <w:rPr>
                <w:rFonts w:ascii="Arial" w:hAnsi="Arial" w:cs="Arial"/>
                <w:sz w:val="20"/>
                <w:szCs w:val="20"/>
              </w:rPr>
            </w:pPr>
            <w:r w:rsidRPr="000B5A8D">
              <w:rPr>
                <w:rFonts w:ascii="Arial" w:hAnsi="Arial" w:cs="Arial"/>
                <w:sz w:val="20"/>
                <w:szCs w:val="20"/>
              </w:rPr>
              <w:t>126.17</w:t>
            </w:r>
          </w:p>
        </w:tc>
        <w:tc>
          <w:tcPr>
            <w:tcW w:w="2574" w:type="dxa"/>
          </w:tcPr>
          <w:p w14:paraId="7BA95158" w14:textId="77777777" w:rsidR="0071554F" w:rsidRPr="000B5A8D" w:rsidRDefault="0071554F" w:rsidP="00127642">
            <w:pPr>
              <w:rPr>
                <w:rFonts w:ascii="Arial" w:hAnsi="Arial" w:cs="Arial"/>
                <w:sz w:val="20"/>
                <w:szCs w:val="20"/>
              </w:rPr>
            </w:pPr>
            <w:r w:rsidRPr="000B5A8D">
              <w:rPr>
                <w:rFonts w:ascii="Arial" w:hAnsi="Arial" w:cs="Arial"/>
                <w:sz w:val="20"/>
                <w:szCs w:val="20"/>
              </w:rPr>
              <w:t>-0.36</w:t>
            </w:r>
          </w:p>
        </w:tc>
      </w:tr>
      <w:tr w:rsidR="0071554F" w:rsidRPr="000B5A8D" w14:paraId="2C469DF4" w14:textId="77777777" w:rsidTr="0071554F">
        <w:trPr>
          <w:trHeight w:val="230"/>
        </w:trPr>
        <w:tc>
          <w:tcPr>
            <w:tcW w:w="1222" w:type="dxa"/>
          </w:tcPr>
          <w:p w14:paraId="5EFB8CBA" w14:textId="77777777" w:rsidR="0071554F" w:rsidRPr="000B5A8D" w:rsidRDefault="0071554F" w:rsidP="00127642">
            <w:pPr>
              <w:rPr>
                <w:rFonts w:ascii="Arial" w:hAnsi="Arial" w:cs="Arial"/>
                <w:sz w:val="20"/>
                <w:szCs w:val="20"/>
              </w:rPr>
            </w:pPr>
            <w:r w:rsidRPr="000B5A8D">
              <w:rPr>
                <w:rFonts w:ascii="Arial" w:hAnsi="Arial" w:cs="Arial"/>
                <w:sz w:val="20"/>
                <w:szCs w:val="20"/>
              </w:rPr>
              <w:t>11</w:t>
            </w:r>
          </w:p>
        </w:tc>
        <w:tc>
          <w:tcPr>
            <w:tcW w:w="2193" w:type="dxa"/>
          </w:tcPr>
          <w:p w14:paraId="7352A105"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Chile</w:t>
            </w:r>
          </w:p>
        </w:tc>
        <w:tc>
          <w:tcPr>
            <w:tcW w:w="2286" w:type="dxa"/>
          </w:tcPr>
          <w:p w14:paraId="43F83AC5" w14:textId="77777777" w:rsidR="0071554F" w:rsidRPr="000B5A8D" w:rsidRDefault="0071554F" w:rsidP="00127642">
            <w:pPr>
              <w:rPr>
                <w:rFonts w:ascii="Arial" w:hAnsi="Arial" w:cs="Arial"/>
                <w:sz w:val="20"/>
                <w:szCs w:val="20"/>
              </w:rPr>
            </w:pPr>
            <w:r w:rsidRPr="000B5A8D">
              <w:rPr>
                <w:rFonts w:ascii="Arial" w:hAnsi="Arial" w:cs="Arial"/>
                <w:sz w:val="20"/>
                <w:szCs w:val="20"/>
              </w:rPr>
              <w:t>63.81</w:t>
            </w:r>
          </w:p>
        </w:tc>
        <w:tc>
          <w:tcPr>
            <w:tcW w:w="2574" w:type="dxa"/>
          </w:tcPr>
          <w:p w14:paraId="24F37E72" w14:textId="77777777" w:rsidR="0071554F" w:rsidRPr="000B5A8D" w:rsidRDefault="0071554F" w:rsidP="00127642">
            <w:pPr>
              <w:rPr>
                <w:rFonts w:ascii="Arial" w:hAnsi="Arial" w:cs="Arial"/>
                <w:sz w:val="20"/>
                <w:szCs w:val="20"/>
              </w:rPr>
            </w:pPr>
            <w:r w:rsidRPr="000B5A8D">
              <w:rPr>
                <w:rFonts w:ascii="Arial" w:hAnsi="Arial" w:cs="Arial"/>
                <w:sz w:val="20"/>
                <w:szCs w:val="20"/>
              </w:rPr>
              <w:t>-0.33</w:t>
            </w:r>
          </w:p>
        </w:tc>
      </w:tr>
      <w:tr w:rsidR="0071554F" w:rsidRPr="000B5A8D" w14:paraId="06E03648" w14:textId="77777777" w:rsidTr="0071554F">
        <w:trPr>
          <w:trHeight w:val="230"/>
        </w:trPr>
        <w:tc>
          <w:tcPr>
            <w:tcW w:w="1222" w:type="dxa"/>
          </w:tcPr>
          <w:p w14:paraId="2C265882" w14:textId="77777777" w:rsidR="0071554F" w:rsidRPr="000B5A8D" w:rsidRDefault="0071554F" w:rsidP="00127642">
            <w:pPr>
              <w:rPr>
                <w:rFonts w:ascii="Arial" w:hAnsi="Arial" w:cs="Arial"/>
                <w:sz w:val="20"/>
                <w:szCs w:val="20"/>
              </w:rPr>
            </w:pPr>
            <w:r w:rsidRPr="000B5A8D">
              <w:rPr>
                <w:rFonts w:ascii="Arial" w:hAnsi="Arial" w:cs="Arial"/>
                <w:sz w:val="20"/>
                <w:szCs w:val="20"/>
              </w:rPr>
              <w:t>12</w:t>
            </w:r>
          </w:p>
        </w:tc>
        <w:tc>
          <w:tcPr>
            <w:tcW w:w="2193" w:type="dxa"/>
          </w:tcPr>
          <w:p w14:paraId="561E35E9"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New Zealand</w:t>
            </w:r>
          </w:p>
        </w:tc>
        <w:tc>
          <w:tcPr>
            <w:tcW w:w="2286" w:type="dxa"/>
          </w:tcPr>
          <w:p w14:paraId="60071ECF" w14:textId="77777777" w:rsidR="0071554F" w:rsidRPr="000B5A8D" w:rsidRDefault="0071554F" w:rsidP="00127642">
            <w:pPr>
              <w:rPr>
                <w:rFonts w:ascii="Arial" w:hAnsi="Arial" w:cs="Arial"/>
                <w:sz w:val="20"/>
                <w:szCs w:val="20"/>
              </w:rPr>
            </w:pPr>
            <w:r w:rsidRPr="000B5A8D">
              <w:rPr>
                <w:rFonts w:ascii="Arial" w:hAnsi="Arial" w:cs="Arial"/>
                <w:sz w:val="20"/>
                <w:szCs w:val="20"/>
              </w:rPr>
              <w:t>58.64</w:t>
            </w:r>
          </w:p>
        </w:tc>
        <w:tc>
          <w:tcPr>
            <w:tcW w:w="2574" w:type="dxa"/>
          </w:tcPr>
          <w:p w14:paraId="0C35CC03" w14:textId="77777777" w:rsidR="0071554F" w:rsidRPr="000B5A8D" w:rsidRDefault="0071554F" w:rsidP="00127642">
            <w:pPr>
              <w:rPr>
                <w:rFonts w:ascii="Arial" w:hAnsi="Arial" w:cs="Arial"/>
                <w:sz w:val="20"/>
                <w:szCs w:val="20"/>
              </w:rPr>
            </w:pPr>
            <w:r w:rsidRPr="000B5A8D">
              <w:rPr>
                <w:rFonts w:ascii="Arial" w:hAnsi="Arial" w:cs="Arial"/>
                <w:sz w:val="20"/>
                <w:szCs w:val="20"/>
              </w:rPr>
              <w:t>-0.39</w:t>
            </w:r>
          </w:p>
        </w:tc>
      </w:tr>
      <w:tr w:rsidR="0071554F" w:rsidRPr="000B5A8D" w14:paraId="19E73497" w14:textId="77777777" w:rsidTr="0071554F">
        <w:trPr>
          <w:trHeight w:val="230"/>
        </w:trPr>
        <w:tc>
          <w:tcPr>
            <w:tcW w:w="1222" w:type="dxa"/>
          </w:tcPr>
          <w:p w14:paraId="628F1B8E" w14:textId="77777777" w:rsidR="0071554F" w:rsidRPr="000B5A8D" w:rsidRDefault="0071554F" w:rsidP="00127642">
            <w:pPr>
              <w:rPr>
                <w:rFonts w:ascii="Arial" w:hAnsi="Arial" w:cs="Arial"/>
                <w:sz w:val="20"/>
                <w:szCs w:val="20"/>
              </w:rPr>
            </w:pPr>
            <w:r w:rsidRPr="000B5A8D">
              <w:rPr>
                <w:rFonts w:ascii="Arial" w:hAnsi="Arial" w:cs="Arial"/>
                <w:sz w:val="20"/>
                <w:szCs w:val="20"/>
              </w:rPr>
              <w:t>13</w:t>
            </w:r>
          </w:p>
        </w:tc>
        <w:tc>
          <w:tcPr>
            <w:tcW w:w="2193" w:type="dxa"/>
          </w:tcPr>
          <w:p w14:paraId="272107A8"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Thailand</w:t>
            </w:r>
          </w:p>
        </w:tc>
        <w:tc>
          <w:tcPr>
            <w:tcW w:w="2286" w:type="dxa"/>
          </w:tcPr>
          <w:p w14:paraId="392F6F2E" w14:textId="77777777" w:rsidR="0071554F" w:rsidRPr="000B5A8D" w:rsidRDefault="0071554F" w:rsidP="00127642">
            <w:pPr>
              <w:rPr>
                <w:rFonts w:ascii="Arial" w:hAnsi="Arial" w:cs="Arial"/>
                <w:sz w:val="20"/>
                <w:szCs w:val="20"/>
              </w:rPr>
            </w:pPr>
            <w:r w:rsidRPr="000B5A8D">
              <w:rPr>
                <w:rFonts w:ascii="Arial" w:hAnsi="Arial" w:cs="Arial"/>
                <w:sz w:val="20"/>
                <w:szCs w:val="20"/>
              </w:rPr>
              <w:t>10.86</w:t>
            </w:r>
          </w:p>
        </w:tc>
        <w:tc>
          <w:tcPr>
            <w:tcW w:w="2574" w:type="dxa"/>
          </w:tcPr>
          <w:p w14:paraId="6BC9058F" w14:textId="77777777" w:rsidR="0071554F" w:rsidRPr="000B5A8D" w:rsidRDefault="0071554F" w:rsidP="00127642">
            <w:pPr>
              <w:rPr>
                <w:rFonts w:ascii="Arial" w:hAnsi="Arial" w:cs="Arial"/>
                <w:sz w:val="20"/>
                <w:szCs w:val="20"/>
              </w:rPr>
            </w:pPr>
            <w:r w:rsidRPr="000B5A8D">
              <w:rPr>
                <w:rFonts w:ascii="Arial" w:hAnsi="Arial" w:cs="Arial"/>
                <w:sz w:val="20"/>
                <w:szCs w:val="20"/>
              </w:rPr>
              <w:t>-0.12</w:t>
            </w:r>
          </w:p>
        </w:tc>
      </w:tr>
      <w:tr w:rsidR="0071554F" w:rsidRPr="000B5A8D" w14:paraId="2B42E50B" w14:textId="77777777" w:rsidTr="0071554F">
        <w:trPr>
          <w:trHeight w:val="230"/>
        </w:trPr>
        <w:tc>
          <w:tcPr>
            <w:tcW w:w="1222" w:type="dxa"/>
          </w:tcPr>
          <w:p w14:paraId="55D93F39" w14:textId="77777777" w:rsidR="0071554F" w:rsidRPr="000B5A8D" w:rsidRDefault="0071554F" w:rsidP="00127642">
            <w:pPr>
              <w:rPr>
                <w:rFonts w:ascii="Arial" w:hAnsi="Arial" w:cs="Arial"/>
                <w:sz w:val="20"/>
                <w:szCs w:val="20"/>
              </w:rPr>
            </w:pPr>
            <w:r w:rsidRPr="000B5A8D">
              <w:rPr>
                <w:rFonts w:ascii="Arial" w:hAnsi="Arial" w:cs="Arial"/>
                <w:sz w:val="20"/>
                <w:szCs w:val="20"/>
              </w:rPr>
              <w:t>14</w:t>
            </w:r>
          </w:p>
        </w:tc>
        <w:tc>
          <w:tcPr>
            <w:tcW w:w="2193" w:type="dxa"/>
          </w:tcPr>
          <w:p w14:paraId="0A5B5AA8"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Montenegro</w:t>
            </w:r>
          </w:p>
        </w:tc>
        <w:tc>
          <w:tcPr>
            <w:tcW w:w="2286" w:type="dxa"/>
          </w:tcPr>
          <w:p w14:paraId="6DB1968D" w14:textId="77777777" w:rsidR="0071554F" w:rsidRPr="000B5A8D" w:rsidRDefault="0071554F" w:rsidP="00127642">
            <w:pPr>
              <w:rPr>
                <w:rFonts w:ascii="Arial" w:hAnsi="Arial" w:cs="Arial"/>
                <w:sz w:val="20"/>
                <w:szCs w:val="20"/>
              </w:rPr>
            </w:pPr>
            <w:r w:rsidRPr="000B5A8D">
              <w:rPr>
                <w:rFonts w:ascii="Arial" w:hAnsi="Arial" w:cs="Arial"/>
                <w:sz w:val="20"/>
                <w:szCs w:val="20"/>
              </w:rPr>
              <w:t>6.96</w:t>
            </w:r>
          </w:p>
        </w:tc>
        <w:tc>
          <w:tcPr>
            <w:tcW w:w="2574" w:type="dxa"/>
          </w:tcPr>
          <w:p w14:paraId="50E98FEA" w14:textId="77777777" w:rsidR="0071554F" w:rsidRPr="000B5A8D" w:rsidRDefault="0071554F" w:rsidP="00127642">
            <w:pPr>
              <w:rPr>
                <w:rFonts w:ascii="Arial" w:hAnsi="Arial" w:cs="Arial"/>
                <w:sz w:val="20"/>
                <w:szCs w:val="20"/>
              </w:rPr>
            </w:pPr>
            <w:r w:rsidRPr="000B5A8D">
              <w:rPr>
                <w:rFonts w:ascii="Arial" w:hAnsi="Arial" w:cs="Arial"/>
                <w:sz w:val="20"/>
                <w:szCs w:val="20"/>
              </w:rPr>
              <w:t>-0.61</w:t>
            </w:r>
          </w:p>
        </w:tc>
      </w:tr>
      <w:tr w:rsidR="0071554F" w:rsidRPr="000B5A8D" w14:paraId="0E05C9EC" w14:textId="77777777" w:rsidTr="0071554F">
        <w:trPr>
          <w:trHeight w:val="230"/>
        </w:trPr>
        <w:tc>
          <w:tcPr>
            <w:tcW w:w="1222" w:type="dxa"/>
          </w:tcPr>
          <w:p w14:paraId="40599317" w14:textId="77777777" w:rsidR="0071554F" w:rsidRPr="000B5A8D" w:rsidRDefault="0071554F" w:rsidP="00127642">
            <w:pPr>
              <w:rPr>
                <w:rFonts w:ascii="Arial" w:hAnsi="Arial" w:cs="Arial"/>
                <w:sz w:val="20"/>
                <w:szCs w:val="20"/>
              </w:rPr>
            </w:pPr>
            <w:r w:rsidRPr="000B5A8D">
              <w:rPr>
                <w:rFonts w:ascii="Arial" w:hAnsi="Arial" w:cs="Arial"/>
                <w:sz w:val="20"/>
                <w:szCs w:val="20"/>
              </w:rPr>
              <w:t>15</w:t>
            </w:r>
          </w:p>
        </w:tc>
        <w:tc>
          <w:tcPr>
            <w:tcW w:w="2193" w:type="dxa"/>
          </w:tcPr>
          <w:p w14:paraId="476CA6C2"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Pakistan</w:t>
            </w:r>
          </w:p>
        </w:tc>
        <w:tc>
          <w:tcPr>
            <w:tcW w:w="2286" w:type="dxa"/>
          </w:tcPr>
          <w:p w14:paraId="2E462C4E" w14:textId="77777777" w:rsidR="0071554F" w:rsidRPr="000B5A8D" w:rsidRDefault="0071554F" w:rsidP="00127642">
            <w:pPr>
              <w:rPr>
                <w:rFonts w:ascii="Arial" w:hAnsi="Arial" w:cs="Arial"/>
                <w:sz w:val="20"/>
                <w:szCs w:val="20"/>
              </w:rPr>
            </w:pPr>
            <w:r w:rsidRPr="000B5A8D">
              <w:rPr>
                <w:rFonts w:ascii="Arial" w:hAnsi="Arial" w:cs="Arial"/>
                <w:sz w:val="20"/>
                <w:szCs w:val="20"/>
              </w:rPr>
              <w:t>4.07</w:t>
            </w:r>
          </w:p>
        </w:tc>
        <w:tc>
          <w:tcPr>
            <w:tcW w:w="2574" w:type="dxa"/>
          </w:tcPr>
          <w:p w14:paraId="551E7F48" w14:textId="77777777" w:rsidR="0071554F" w:rsidRPr="000B5A8D" w:rsidRDefault="0071554F" w:rsidP="00127642">
            <w:pPr>
              <w:rPr>
                <w:rFonts w:ascii="Arial" w:hAnsi="Arial" w:cs="Arial"/>
                <w:sz w:val="20"/>
                <w:szCs w:val="20"/>
              </w:rPr>
            </w:pPr>
            <w:r w:rsidRPr="000B5A8D">
              <w:rPr>
                <w:rFonts w:ascii="Arial" w:hAnsi="Arial" w:cs="Arial"/>
                <w:sz w:val="20"/>
                <w:szCs w:val="20"/>
              </w:rPr>
              <w:t>-0.07</w:t>
            </w:r>
          </w:p>
        </w:tc>
      </w:tr>
      <w:tr w:rsidR="0071554F" w:rsidRPr="000B5A8D" w14:paraId="1EBEA46F" w14:textId="77777777" w:rsidTr="0071554F">
        <w:trPr>
          <w:trHeight w:val="230"/>
        </w:trPr>
        <w:tc>
          <w:tcPr>
            <w:tcW w:w="1222" w:type="dxa"/>
          </w:tcPr>
          <w:p w14:paraId="0F201145" w14:textId="77777777" w:rsidR="0071554F" w:rsidRPr="000B5A8D" w:rsidRDefault="0071554F" w:rsidP="00127642">
            <w:pPr>
              <w:rPr>
                <w:rFonts w:ascii="Arial" w:hAnsi="Arial" w:cs="Arial"/>
                <w:sz w:val="20"/>
                <w:szCs w:val="20"/>
              </w:rPr>
            </w:pPr>
            <w:r w:rsidRPr="000B5A8D">
              <w:rPr>
                <w:rFonts w:ascii="Arial" w:hAnsi="Arial" w:cs="Arial"/>
                <w:sz w:val="20"/>
                <w:szCs w:val="20"/>
              </w:rPr>
              <w:t>16</w:t>
            </w:r>
          </w:p>
        </w:tc>
        <w:tc>
          <w:tcPr>
            <w:tcW w:w="2193" w:type="dxa"/>
          </w:tcPr>
          <w:p w14:paraId="5C432FD3"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Other Asia, </w:t>
            </w:r>
            <w:proofErr w:type="spellStart"/>
            <w:r w:rsidRPr="000B5A8D">
              <w:rPr>
                <w:rFonts w:ascii="Arial" w:hAnsi="Arial" w:cs="Arial"/>
                <w:sz w:val="20"/>
                <w:szCs w:val="20"/>
              </w:rPr>
              <w:t>nes</w:t>
            </w:r>
            <w:proofErr w:type="spellEnd"/>
          </w:p>
        </w:tc>
        <w:tc>
          <w:tcPr>
            <w:tcW w:w="2286" w:type="dxa"/>
          </w:tcPr>
          <w:p w14:paraId="188E8E7E" w14:textId="77777777" w:rsidR="0071554F" w:rsidRPr="000B5A8D" w:rsidRDefault="0071554F" w:rsidP="00127642">
            <w:pPr>
              <w:rPr>
                <w:rFonts w:ascii="Arial" w:hAnsi="Arial" w:cs="Arial"/>
                <w:sz w:val="20"/>
                <w:szCs w:val="20"/>
              </w:rPr>
            </w:pPr>
            <w:r w:rsidRPr="000B5A8D">
              <w:rPr>
                <w:rFonts w:ascii="Arial" w:hAnsi="Arial" w:cs="Arial"/>
                <w:sz w:val="20"/>
                <w:szCs w:val="20"/>
              </w:rPr>
              <w:t>2.77</w:t>
            </w:r>
          </w:p>
        </w:tc>
        <w:tc>
          <w:tcPr>
            <w:tcW w:w="2574" w:type="dxa"/>
          </w:tcPr>
          <w:p w14:paraId="2FFD2D46" w14:textId="77777777" w:rsidR="0071554F" w:rsidRPr="000B5A8D" w:rsidRDefault="0071554F" w:rsidP="00127642">
            <w:pPr>
              <w:rPr>
                <w:rFonts w:ascii="Arial" w:hAnsi="Arial" w:cs="Arial"/>
                <w:sz w:val="20"/>
                <w:szCs w:val="20"/>
              </w:rPr>
            </w:pPr>
            <w:r w:rsidRPr="000B5A8D">
              <w:rPr>
                <w:rFonts w:ascii="Arial" w:hAnsi="Arial" w:cs="Arial"/>
                <w:sz w:val="20"/>
                <w:szCs w:val="20"/>
              </w:rPr>
              <w:t>-0.03</w:t>
            </w:r>
          </w:p>
        </w:tc>
      </w:tr>
      <w:tr w:rsidR="0071554F" w:rsidRPr="000B5A8D" w14:paraId="022085AC" w14:textId="77777777" w:rsidTr="0071554F">
        <w:trPr>
          <w:trHeight w:val="230"/>
        </w:trPr>
        <w:tc>
          <w:tcPr>
            <w:tcW w:w="1222" w:type="dxa"/>
          </w:tcPr>
          <w:p w14:paraId="12B6ED2D" w14:textId="77777777" w:rsidR="0071554F" w:rsidRPr="000B5A8D" w:rsidRDefault="0071554F" w:rsidP="00127642">
            <w:pPr>
              <w:rPr>
                <w:rFonts w:ascii="Arial" w:hAnsi="Arial" w:cs="Arial"/>
                <w:sz w:val="20"/>
                <w:szCs w:val="20"/>
              </w:rPr>
            </w:pPr>
            <w:r w:rsidRPr="000B5A8D">
              <w:rPr>
                <w:rFonts w:ascii="Arial" w:hAnsi="Arial" w:cs="Arial"/>
                <w:sz w:val="20"/>
                <w:szCs w:val="20"/>
              </w:rPr>
              <w:t>17</w:t>
            </w:r>
          </w:p>
        </w:tc>
        <w:tc>
          <w:tcPr>
            <w:tcW w:w="2193" w:type="dxa"/>
          </w:tcPr>
          <w:p w14:paraId="0EB58954"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Sri Lanka</w:t>
            </w:r>
          </w:p>
        </w:tc>
        <w:tc>
          <w:tcPr>
            <w:tcW w:w="2286" w:type="dxa"/>
          </w:tcPr>
          <w:p w14:paraId="656214E9" w14:textId="77777777" w:rsidR="0071554F" w:rsidRPr="000B5A8D" w:rsidRDefault="0071554F" w:rsidP="00127642">
            <w:pPr>
              <w:rPr>
                <w:rFonts w:ascii="Arial" w:hAnsi="Arial" w:cs="Arial"/>
                <w:sz w:val="20"/>
                <w:szCs w:val="20"/>
              </w:rPr>
            </w:pPr>
            <w:r w:rsidRPr="000B5A8D">
              <w:rPr>
                <w:rFonts w:ascii="Arial" w:hAnsi="Arial" w:cs="Arial"/>
                <w:sz w:val="20"/>
                <w:szCs w:val="20"/>
              </w:rPr>
              <w:t>1.45</w:t>
            </w:r>
          </w:p>
        </w:tc>
        <w:tc>
          <w:tcPr>
            <w:tcW w:w="2574" w:type="dxa"/>
          </w:tcPr>
          <w:p w14:paraId="7EC90DBA" w14:textId="77777777" w:rsidR="0071554F" w:rsidRPr="000B5A8D" w:rsidRDefault="0071554F" w:rsidP="00127642">
            <w:pPr>
              <w:rPr>
                <w:rFonts w:ascii="Arial" w:hAnsi="Arial" w:cs="Arial"/>
                <w:sz w:val="20"/>
                <w:szCs w:val="20"/>
              </w:rPr>
            </w:pPr>
            <w:r w:rsidRPr="000B5A8D">
              <w:rPr>
                <w:rFonts w:ascii="Arial" w:hAnsi="Arial" w:cs="Arial"/>
                <w:sz w:val="20"/>
                <w:szCs w:val="20"/>
              </w:rPr>
              <w:t>-0.02</w:t>
            </w:r>
          </w:p>
        </w:tc>
      </w:tr>
      <w:tr w:rsidR="0071554F" w:rsidRPr="000B5A8D" w14:paraId="02E3239B" w14:textId="77777777" w:rsidTr="0071554F">
        <w:trPr>
          <w:trHeight w:val="230"/>
        </w:trPr>
        <w:tc>
          <w:tcPr>
            <w:tcW w:w="1222" w:type="dxa"/>
          </w:tcPr>
          <w:p w14:paraId="34B4B695" w14:textId="77777777" w:rsidR="0071554F" w:rsidRPr="000B5A8D" w:rsidRDefault="0071554F" w:rsidP="00127642">
            <w:pPr>
              <w:rPr>
                <w:rFonts w:ascii="Arial" w:hAnsi="Arial" w:cs="Arial"/>
                <w:sz w:val="20"/>
                <w:szCs w:val="20"/>
              </w:rPr>
            </w:pPr>
            <w:r w:rsidRPr="000B5A8D">
              <w:rPr>
                <w:rFonts w:ascii="Arial" w:hAnsi="Arial" w:cs="Arial"/>
                <w:sz w:val="20"/>
                <w:szCs w:val="20"/>
              </w:rPr>
              <w:t>18</w:t>
            </w:r>
          </w:p>
        </w:tc>
        <w:tc>
          <w:tcPr>
            <w:tcW w:w="2193" w:type="dxa"/>
          </w:tcPr>
          <w:p w14:paraId="13CD3439"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Maldives</w:t>
            </w:r>
          </w:p>
        </w:tc>
        <w:tc>
          <w:tcPr>
            <w:tcW w:w="2286" w:type="dxa"/>
          </w:tcPr>
          <w:p w14:paraId="42591AC4" w14:textId="77777777" w:rsidR="0071554F" w:rsidRPr="000B5A8D" w:rsidRDefault="0071554F" w:rsidP="00127642">
            <w:pPr>
              <w:rPr>
                <w:rFonts w:ascii="Arial" w:hAnsi="Arial" w:cs="Arial"/>
                <w:sz w:val="20"/>
                <w:szCs w:val="20"/>
              </w:rPr>
            </w:pPr>
            <w:r w:rsidRPr="000B5A8D">
              <w:rPr>
                <w:rFonts w:ascii="Arial" w:hAnsi="Arial" w:cs="Arial"/>
                <w:sz w:val="20"/>
                <w:szCs w:val="20"/>
              </w:rPr>
              <w:t>0.35</w:t>
            </w:r>
          </w:p>
        </w:tc>
        <w:tc>
          <w:tcPr>
            <w:tcW w:w="2574" w:type="dxa"/>
          </w:tcPr>
          <w:p w14:paraId="6F64A38C" w14:textId="77777777" w:rsidR="0071554F" w:rsidRPr="000B5A8D" w:rsidRDefault="0071554F" w:rsidP="00127642">
            <w:pPr>
              <w:rPr>
                <w:rFonts w:ascii="Arial" w:hAnsi="Arial" w:cs="Arial"/>
                <w:sz w:val="20"/>
                <w:szCs w:val="20"/>
              </w:rPr>
            </w:pPr>
            <w:r w:rsidRPr="000B5A8D">
              <w:rPr>
                <w:rFonts w:ascii="Arial" w:hAnsi="Arial" w:cs="Arial"/>
                <w:sz w:val="20"/>
                <w:szCs w:val="20"/>
              </w:rPr>
              <w:t>-0.06</w:t>
            </w:r>
          </w:p>
        </w:tc>
      </w:tr>
      <w:tr w:rsidR="0071554F" w:rsidRPr="000B5A8D" w14:paraId="2FEF480C" w14:textId="77777777" w:rsidTr="0071554F">
        <w:trPr>
          <w:trHeight w:val="230"/>
        </w:trPr>
        <w:tc>
          <w:tcPr>
            <w:tcW w:w="1222" w:type="dxa"/>
          </w:tcPr>
          <w:p w14:paraId="5ED99A98" w14:textId="77777777" w:rsidR="0071554F" w:rsidRPr="000B5A8D" w:rsidRDefault="0071554F" w:rsidP="00127642">
            <w:pPr>
              <w:rPr>
                <w:rFonts w:ascii="Arial" w:hAnsi="Arial" w:cs="Arial"/>
                <w:sz w:val="20"/>
                <w:szCs w:val="20"/>
              </w:rPr>
            </w:pPr>
            <w:r w:rsidRPr="000B5A8D">
              <w:rPr>
                <w:rFonts w:ascii="Arial" w:hAnsi="Arial" w:cs="Arial"/>
                <w:sz w:val="20"/>
                <w:szCs w:val="20"/>
              </w:rPr>
              <w:t>19</w:t>
            </w:r>
          </w:p>
        </w:tc>
        <w:tc>
          <w:tcPr>
            <w:tcW w:w="2193" w:type="dxa"/>
          </w:tcPr>
          <w:p w14:paraId="5D0C9648"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Kazakhstan</w:t>
            </w:r>
          </w:p>
        </w:tc>
        <w:tc>
          <w:tcPr>
            <w:tcW w:w="2286" w:type="dxa"/>
          </w:tcPr>
          <w:p w14:paraId="46EE2990" w14:textId="77777777" w:rsidR="0071554F" w:rsidRPr="000B5A8D" w:rsidRDefault="0071554F" w:rsidP="00127642">
            <w:pPr>
              <w:rPr>
                <w:rFonts w:ascii="Arial" w:hAnsi="Arial" w:cs="Arial"/>
                <w:sz w:val="20"/>
                <w:szCs w:val="20"/>
              </w:rPr>
            </w:pPr>
            <w:r w:rsidRPr="000B5A8D">
              <w:rPr>
                <w:rFonts w:ascii="Arial" w:hAnsi="Arial" w:cs="Arial"/>
                <w:sz w:val="20"/>
                <w:szCs w:val="20"/>
              </w:rPr>
              <w:t>0.25</w:t>
            </w:r>
          </w:p>
        </w:tc>
        <w:tc>
          <w:tcPr>
            <w:tcW w:w="2574" w:type="dxa"/>
          </w:tcPr>
          <w:p w14:paraId="39BD583F" w14:textId="77777777" w:rsidR="0071554F" w:rsidRPr="000B5A8D" w:rsidRDefault="0071554F" w:rsidP="00127642">
            <w:pPr>
              <w:rPr>
                <w:rFonts w:ascii="Arial" w:hAnsi="Arial" w:cs="Arial"/>
                <w:sz w:val="20"/>
                <w:szCs w:val="20"/>
              </w:rPr>
            </w:pPr>
            <w:r w:rsidRPr="000B5A8D">
              <w:rPr>
                <w:rFonts w:ascii="Arial" w:hAnsi="Arial" w:cs="Arial"/>
                <w:sz w:val="20"/>
                <w:szCs w:val="20"/>
              </w:rPr>
              <w:t>0.00</w:t>
            </w:r>
          </w:p>
        </w:tc>
      </w:tr>
      <w:tr w:rsidR="0071554F" w:rsidRPr="000B5A8D" w14:paraId="1BA5E18F" w14:textId="77777777" w:rsidTr="0071554F">
        <w:trPr>
          <w:trHeight w:val="230"/>
        </w:trPr>
        <w:tc>
          <w:tcPr>
            <w:tcW w:w="1222" w:type="dxa"/>
          </w:tcPr>
          <w:p w14:paraId="09ABC210" w14:textId="77777777" w:rsidR="0071554F" w:rsidRPr="000B5A8D" w:rsidRDefault="0071554F" w:rsidP="00127642">
            <w:pPr>
              <w:rPr>
                <w:rFonts w:ascii="Arial" w:hAnsi="Arial" w:cs="Arial"/>
                <w:sz w:val="20"/>
                <w:szCs w:val="20"/>
              </w:rPr>
            </w:pPr>
            <w:r w:rsidRPr="000B5A8D">
              <w:rPr>
                <w:rFonts w:ascii="Arial" w:hAnsi="Arial" w:cs="Arial"/>
                <w:sz w:val="20"/>
                <w:szCs w:val="20"/>
              </w:rPr>
              <w:t>20</w:t>
            </w:r>
          </w:p>
        </w:tc>
        <w:tc>
          <w:tcPr>
            <w:tcW w:w="2193" w:type="dxa"/>
          </w:tcPr>
          <w:p w14:paraId="1D40A127"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Armenia</w:t>
            </w:r>
          </w:p>
        </w:tc>
        <w:tc>
          <w:tcPr>
            <w:tcW w:w="2286" w:type="dxa"/>
          </w:tcPr>
          <w:p w14:paraId="537317A1" w14:textId="77777777" w:rsidR="0071554F" w:rsidRPr="000B5A8D" w:rsidRDefault="0071554F" w:rsidP="00127642">
            <w:pPr>
              <w:rPr>
                <w:rFonts w:ascii="Arial" w:hAnsi="Arial" w:cs="Arial"/>
                <w:sz w:val="20"/>
                <w:szCs w:val="20"/>
              </w:rPr>
            </w:pPr>
            <w:r w:rsidRPr="000B5A8D">
              <w:rPr>
                <w:rFonts w:ascii="Arial" w:hAnsi="Arial" w:cs="Arial"/>
                <w:sz w:val="20"/>
                <w:szCs w:val="20"/>
              </w:rPr>
              <w:t>0.24</w:t>
            </w:r>
          </w:p>
        </w:tc>
        <w:tc>
          <w:tcPr>
            <w:tcW w:w="2574" w:type="dxa"/>
          </w:tcPr>
          <w:p w14:paraId="015E59C1" w14:textId="77777777" w:rsidR="0071554F" w:rsidRPr="000B5A8D" w:rsidRDefault="0071554F" w:rsidP="00127642">
            <w:pPr>
              <w:rPr>
                <w:rFonts w:ascii="Arial" w:hAnsi="Arial" w:cs="Arial"/>
                <w:sz w:val="20"/>
                <w:szCs w:val="20"/>
              </w:rPr>
            </w:pPr>
            <w:r w:rsidRPr="000B5A8D">
              <w:rPr>
                <w:rFonts w:ascii="Arial" w:hAnsi="Arial" w:cs="Arial"/>
                <w:sz w:val="20"/>
                <w:szCs w:val="20"/>
              </w:rPr>
              <w:t>-0.01</w:t>
            </w:r>
          </w:p>
        </w:tc>
      </w:tr>
      <w:tr w:rsidR="0071554F" w:rsidRPr="000B5A8D" w14:paraId="072F32B6" w14:textId="77777777" w:rsidTr="0071554F">
        <w:trPr>
          <w:trHeight w:val="230"/>
        </w:trPr>
        <w:tc>
          <w:tcPr>
            <w:tcW w:w="1222" w:type="dxa"/>
          </w:tcPr>
          <w:p w14:paraId="45CAF761" w14:textId="77777777" w:rsidR="0071554F" w:rsidRPr="000B5A8D" w:rsidRDefault="0071554F" w:rsidP="00127642">
            <w:pPr>
              <w:rPr>
                <w:rFonts w:ascii="Arial" w:hAnsi="Arial" w:cs="Arial"/>
                <w:sz w:val="20"/>
                <w:szCs w:val="20"/>
              </w:rPr>
            </w:pPr>
            <w:r w:rsidRPr="000B5A8D">
              <w:rPr>
                <w:rFonts w:ascii="Arial" w:hAnsi="Arial" w:cs="Arial"/>
                <w:sz w:val="20"/>
                <w:szCs w:val="20"/>
              </w:rPr>
              <w:t>21</w:t>
            </w:r>
          </w:p>
        </w:tc>
        <w:tc>
          <w:tcPr>
            <w:tcW w:w="2193" w:type="dxa"/>
          </w:tcPr>
          <w:p w14:paraId="16810DB5"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Kyrgyzstan</w:t>
            </w:r>
          </w:p>
        </w:tc>
        <w:tc>
          <w:tcPr>
            <w:tcW w:w="2286" w:type="dxa"/>
          </w:tcPr>
          <w:p w14:paraId="6FF7A33B" w14:textId="77777777" w:rsidR="0071554F" w:rsidRPr="000B5A8D" w:rsidRDefault="0071554F" w:rsidP="00127642">
            <w:pPr>
              <w:rPr>
                <w:rFonts w:ascii="Arial" w:hAnsi="Arial" w:cs="Arial"/>
                <w:sz w:val="20"/>
                <w:szCs w:val="20"/>
              </w:rPr>
            </w:pPr>
            <w:r w:rsidRPr="000B5A8D">
              <w:rPr>
                <w:rFonts w:ascii="Arial" w:hAnsi="Arial" w:cs="Arial"/>
                <w:sz w:val="20"/>
                <w:szCs w:val="20"/>
              </w:rPr>
              <w:t>0.23</w:t>
            </w:r>
          </w:p>
        </w:tc>
        <w:tc>
          <w:tcPr>
            <w:tcW w:w="2574" w:type="dxa"/>
          </w:tcPr>
          <w:p w14:paraId="0A3DFD68" w14:textId="77777777" w:rsidR="0071554F" w:rsidRPr="000B5A8D" w:rsidRDefault="0071554F" w:rsidP="00127642">
            <w:pPr>
              <w:rPr>
                <w:rFonts w:ascii="Arial" w:hAnsi="Arial" w:cs="Arial"/>
                <w:sz w:val="20"/>
                <w:szCs w:val="20"/>
              </w:rPr>
            </w:pPr>
            <w:r w:rsidRPr="000B5A8D">
              <w:rPr>
                <w:rFonts w:ascii="Arial" w:hAnsi="Arial" w:cs="Arial"/>
                <w:sz w:val="20"/>
                <w:szCs w:val="20"/>
              </w:rPr>
              <w:t>-0.10</w:t>
            </w:r>
          </w:p>
        </w:tc>
      </w:tr>
      <w:tr w:rsidR="0071554F" w:rsidRPr="000B5A8D" w14:paraId="4A37859F" w14:textId="77777777" w:rsidTr="0071554F">
        <w:trPr>
          <w:trHeight w:val="230"/>
        </w:trPr>
        <w:tc>
          <w:tcPr>
            <w:tcW w:w="1222" w:type="dxa"/>
          </w:tcPr>
          <w:p w14:paraId="38B91EE0" w14:textId="77777777" w:rsidR="0071554F" w:rsidRPr="000B5A8D" w:rsidRDefault="0071554F" w:rsidP="00127642">
            <w:pPr>
              <w:rPr>
                <w:rFonts w:ascii="Arial" w:hAnsi="Arial" w:cs="Arial"/>
                <w:sz w:val="20"/>
                <w:szCs w:val="20"/>
              </w:rPr>
            </w:pPr>
            <w:r w:rsidRPr="000B5A8D">
              <w:rPr>
                <w:rFonts w:ascii="Arial" w:hAnsi="Arial" w:cs="Arial"/>
                <w:sz w:val="20"/>
                <w:szCs w:val="20"/>
              </w:rPr>
              <w:t>22</w:t>
            </w:r>
          </w:p>
        </w:tc>
        <w:tc>
          <w:tcPr>
            <w:tcW w:w="2193" w:type="dxa"/>
          </w:tcPr>
          <w:p w14:paraId="30E2380A"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Iceland</w:t>
            </w:r>
          </w:p>
        </w:tc>
        <w:tc>
          <w:tcPr>
            <w:tcW w:w="2286" w:type="dxa"/>
          </w:tcPr>
          <w:p w14:paraId="718CA81A" w14:textId="77777777" w:rsidR="0071554F" w:rsidRPr="000B5A8D" w:rsidRDefault="0071554F" w:rsidP="00127642">
            <w:pPr>
              <w:rPr>
                <w:rFonts w:ascii="Arial" w:hAnsi="Arial" w:cs="Arial"/>
                <w:sz w:val="20"/>
                <w:szCs w:val="20"/>
              </w:rPr>
            </w:pPr>
            <w:r w:rsidRPr="000B5A8D">
              <w:rPr>
                <w:rFonts w:ascii="Arial" w:hAnsi="Arial" w:cs="Arial"/>
                <w:sz w:val="20"/>
                <w:szCs w:val="20"/>
              </w:rPr>
              <w:t>0.02</w:t>
            </w:r>
          </w:p>
        </w:tc>
        <w:tc>
          <w:tcPr>
            <w:tcW w:w="2574" w:type="dxa"/>
          </w:tcPr>
          <w:p w14:paraId="3C19F0CC" w14:textId="77777777" w:rsidR="0071554F" w:rsidRPr="000B5A8D" w:rsidRDefault="0071554F" w:rsidP="00127642">
            <w:pPr>
              <w:rPr>
                <w:rFonts w:ascii="Arial" w:hAnsi="Arial" w:cs="Arial"/>
                <w:sz w:val="20"/>
                <w:szCs w:val="20"/>
              </w:rPr>
            </w:pPr>
            <w:r w:rsidRPr="000B5A8D">
              <w:rPr>
                <w:rFonts w:ascii="Arial" w:hAnsi="Arial" w:cs="Arial"/>
                <w:sz w:val="20"/>
                <w:szCs w:val="20"/>
              </w:rPr>
              <w:t>0.00</w:t>
            </w:r>
          </w:p>
        </w:tc>
      </w:tr>
      <w:tr w:rsidR="0071554F" w:rsidRPr="000B5A8D" w14:paraId="547DE6D9" w14:textId="77777777" w:rsidTr="0071554F">
        <w:trPr>
          <w:trHeight w:val="230"/>
        </w:trPr>
        <w:tc>
          <w:tcPr>
            <w:tcW w:w="1222" w:type="dxa"/>
          </w:tcPr>
          <w:p w14:paraId="4F0DF17D" w14:textId="77777777" w:rsidR="0071554F" w:rsidRPr="000B5A8D" w:rsidRDefault="0071554F" w:rsidP="00127642">
            <w:pPr>
              <w:rPr>
                <w:rFonts w:ascii="Arial" w:hAnsi="Arial" w:cs="Arial"/>
                <w:sz w:val="20"/>
                <w:szCs w:val="20"/>
              </w:rPr>
            </w:pPr>
            <w:r w:rsidRPr="000B5A8D">
              <w:rPr>
                <w:rFonts w:ascii="Arial" w:hAnsi="Arial" w:cs="Arial"/>
                <w:sz w:val="20"/>
                <w:szCs w:val="20"/>
              </w:rPr>
              <w:t>23</w:t>
            </w:r>
          </w:p>
        </w:tc>
        <w:tc>
          <w:tcPr>
            <w:tcW w:w="2193" w:type="dxa"/>
          </w:tcPr>
          <w:p w14:paraId="64F6223F"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Egypt</w:t>
            </w:r>
          </w:p>
        </w:tc>
        <w:tc>
          <w:tcPr>
            <w:tcW w:w="2286" w:type="dxa"/>
          </w:tcPr>
          <w:p w14:paraId="518CC2EC" w14:textId="77777777" w:rsidR="0071554F" w:rsidRPr="000B5A8D" w:rsidRDefault="0071554F" w:rsidP="00127642">
            <w:pPr>
              <w:rPr>
                <w:rFonts w:ascii="Arial" w:hAnsi="Arial" w:cs="Arial"/>
                <w:sz w:val="20"/>
                <w:szCs w:val="20"/>
              </w:rPr>
            </w:pPr>
            <w:r w:rsidRPr="000B5A8D">
              <w:rPr>
                <w:rFonts w:ascii="Arial" w:hAnsi="Arial" w:cs="Arial"/>
                <w:sz w:val="20"/>
                <w:szCs w:val="20"/>
              </w:rPr>
              <w:t>0.00</w:t>
            </w:r>
          </w:p>
        </w:tc>
        <w:tc>
          <w:tcPr>
            <w:tcW w:w="2574" w:type="dxa"/>
          </w:tcPr>
          <w:p w14:paraId="201EB120" w14:textId="77777777" w:rsidR="0071554F" w:rsidRPr="000B5A8D" w:rsidRDefault="0071554F" w:rsidP="00127642">
            <w:pPr>
              <w:rPr>
                <w:rFonts w:ascii="Arial" w:hAnsi="Arial" w:cs="Arial"/>
                <w:sz w:val="20"/>
                <w:szCs w:val="20"/>
              </w:rPr>
            </w:pPr>
            <w:r w:rsidRPr="000B5A8D">
              <w:rPr>
                <w:rFonts w:ascii="Arial" w:hAnsi="Arial" w:cs="Arial"/>
                <w:sz w:val="20"/>
                <w:szCs w:val="20"/>
              </w:rPr>
              <w:t>&lt;-0.01%</w:t>
            </w:r>
          </w:p>
        </w:tc>
      </w:tr>
    </w:tbl>
    <w:p w14:paraId="7D0E04F2" w14:textId="77777777" w:rsidR="00127642" w:rsidRPr="000B5A8D" w:rsidRDefault="00127642" w:rsidP="00127642">
      <w:pPr>
        <w:rPr>
          <w:rFonts w:ascii="Arial" w:hAnsi="Arial" w:cs="Arial"/>
          <w:b/>
        </w:rPr>
      </w:pPr>
      <w:r w:rsidRPr="000B5A8D">
        <w:rPr>
          <w:rFonts w:ascii="Arial" w:hAnsi="Arial" w:cs="Arial"/>
          <w:b/>
        </w:rPr>
        <w:t xml:space="preserve">Source: Author own calculation from TINA Simulation Tools </w:t>
      </w:r>
    </w:p>
    <w:p w14:paraId="1DE0AA42" w14:textId="77777777" w:rsidR="007002DE" w:rsidRPr="000B5A8D" w:rsidRDefault="007002DE" w:rsidP="00127642">
      <w:pPr>
        <w:rPr>
          <w:rFonts w:ascii="Arial" w:hAnsi="Arial" w:cs="Arial"/>
          <w:b/>
        </w:rPr>
      </w:pPr>
    </w:p>
    <w:p w14:paraId="4EF060A5" w14:textId="77777777" w:rsidR="004D6B7B" w:rsidRDefault="007002DE" w:rsidP="00A83450">
      <w:pPr>
        <w:jc w:val="both"/>
        <w:rPr>
          <w:rFonts w:ascii="Arial" w:hAnsi="Arial" w:cs="Arial"/>
        </w:rPr>
      </w:pPr>
      <w:r w:rsidRPr="000B5A8D">
        <w:rPr>
          <w:rFonts w:ascii="Arial" w:hAnsi="Arial" w:cs="Arial"/>
          <w:b/>
        </w:rPr>
        <w:t>Parameter for Simulation B:</w:t>
      </w:r>
      <w:r w:rsidRPr="000B5A8D">
        <w:rPr>
          <w:rFonts w:ascii="Arial" w:hAnsi="Arial" w:cs="Arial"/>
        </w:rPr>
        <w:t xml:space="preserve"> The following are the parameter for TINA simulation on preference loss where two bilateral agreements and 5</w:t>
      </w:r>
      <w:r w:rsidR="000C3AD1" w:rsidRPr="000B5A8D">
        <w:rPr>
          <w:rFonts w:ascii="Arial" w:hAnsi="Arial" w:cs="Arial"/>
        </w:rPr>
        <w:t xml:space="preserve">3 preferential Trade </w:t>
      </w:r>
      <w:r w:rsidR="00E926EF" w:rsidRPr="000B5A8D">
        <w:rPr>
          <w:rFonts w:ascii="Arial" w:hAnsi="Arial" w:cs="Arial"/>
        </w:rPr>
        <w:t>Agreements</w:t>
      </w:r>
      <w:r w:rsidR="00A83450" w:rsidRPr="000B5A8D">
        <w:rPr>
          <w:rFonts w:ascii="Arial" w:hAnsi="Arial" w:cs="Arial"/>
        </w:rPr>
        <w:t xml:space="preserve"> </w:t>
      </w:r>
      <w:r w:rsidRPr="000B5A8D">
        <w:rPr>
          <w:rFonts w:ascii="Arial" w:hAnsi="Arial" w:cs="Arial"/>
        </w:rPr>
        <w:t>are considered</w:t>
      </w:r>
      <w:r w:rsidR="00A83450" w:rsidRPr="000B5A8D">
        <w:rPr>
          <w:rFonts w:ascii="Arial" w:hAnsi="Arial" w:cs="Arial"/>
        </w:rPr>
        <w:t xml:space="preserve"> except the European Union Trade Preferential Scheme. Here from TINA simulation it is found that consisting of a trade loss of US$ -4.26 billion and trade diversion of US$ -1.10 billion and reduced exports to 23 economies.</w:t>
      </w:r>
    </w:p>
    <w:p w14:paraId="4F5D41F4" w14:textId="3346D3A9" w:rsidR="006E0185" w:rsidRPr="00DA753A" w:rsidRDefault="00E32F20" w:rsidP="00DA753A">
      <w:pPr>
        <w:jc w:val="both"/>
        <w:rPr>
          <w:rFonts w:ascii="Arial" w:hAnsi="Arial" w:cs="Arial"/>
        </w:rPr>
      </w:pPr>
      <w:r>
        <w:rPr>
          <w:rFonts w:ascii="Arial" w:hAnsi="Arial" w:cs="Arial"/>
        </w:rPr>
        <w:t>Table 4</w:t>
      </w:r>
      <w:r w:rsidR="006E0185">
        <w:rPr>
          <w:rFonts w:ascii="Arial" w:hAnsi="Arial" w:cs="Arial"/>
        </w:rPr>
        <w:t>-</w:t>
      </w:r>
      <w:r w:rsidR="007471DC">
        <w:rPr>
          <w:rFonts w:ascii="Arial" w:hAnsi="Arial" w:cs="Arial"/>
        </w:rPr>
        <w:t xml:space="preserve"> </w:t>
      </w:r>
      <w:r w:rsidR="006C423C" w:rsidRPr="00DA753A">
        <w:rPr>
          <w:rFonts w:ascii="Arial" w:hAnsi="Arial" w:cs="Arial"/>
        </w:rPr>
        <w:t xml:space="preserve">Preference </w:t>
      </w:r>
      <w:r w:rsidR="00DA753A">
        <w:rPr>
          <w:rFonts w:ascii="Arial" w:hAnsi="Arial" w:cs="Arial"/>
        </w:rPr>
        <w:t xml:space="preserve">under </w:t>
      </w:r>
      <w:r w:rsidR="00DA753A" w:rsidRPr="00DA753A">
        <w:rPr>
          <w:rFonts w:ascii="Arial" w:hAnsi="Arial" w:cs="Arial"/>
        </w:rPr>
        <w:t>two bilateral agreements and 5</w:t>
      </w:r>
      <w:r w:rsidR="003F0478">
        <w:rPr>
          <w:rFonts w:ascii="Arial" w:hAnsi="Arial" w:cs="Arial"/>
        </w:rPr>
        <w:t xml:space="preserve">3 preferential Trade Agreements </w:t>
      </w:r>
      <w:r w:rsidR="00DA753A" w:rsidRPr="00DA753A">
        <w:rPr>
          <w:rFonts w:ascii="Arial" w:hAnsi="Arial" w:cs="Arial"/>
        </w:rPr>
        <w:t>except the European Union Trade Preferential Scheme</w:t>
      </w:r>
    </w:p>
    <w:p w14:paraId="76B87C65" w14:textId="77777777" w:rsidR="00790ADA" w:rsidRPr="000B5A8D" w:rsidRDefault="00790ADA" w:rsidP="00441B6F">
      <w:pPr>
        <w:pStyle w:val="Body"/>
        <w:spacing w:after="0"/>
        <w:rPr>
          <w:rFonts w:ascii="Arial" w:hAnsi="Arial" w:cs="Arial"/>
        </w:rPr>
      </w:pPr>
    </w:p>
    <w:tbl>
      <w:tblPr>
        <w:tblStyle w:val="TableGrid"/>
        <w:tblW w:w="0" w:type="auto"/>
        <w:jc w:val="center"/>
        <w:tblLook w:val="04A0" w:firstRow="1" w:lastRow="0" w:firstColumn="1" w:lastColumn="0" w:noHBand="0" w:noVBand="1"/>
      </w:tblPr>
      <w:tblGrid>
        <w:gridCol w:w="1075"/>
        <w:gridCol w:w="2160"/>
        <w:gridCol w:w="2340"/>
        <w:gridCol w:w="2568"/>
      </w:tblGrid>
      <w:tr w:rsidR="0071554F" w:rsidRPr="000B5A8D" w14:paraId="3E52639B" w14:textId="77777777" w:rsidTr="000B5A8D">
        <w:trPr>
          <w:trHeight w:val="557"/>
          <w:tblHeader/>
          <w:jc w:val="center"/>
        </w:trPr>
        <w:tc>
          <w:tcPr>
            <w:tcW w:w="1075" w:type="dxa"/>
          </w:tcPr>
          <w:p w14:paraId="1E892275" w14:textId="77777777" w:rsidR="0071554F" w:rsidRPr="000B5A8D" w:rsidRDefault="0071554F" w:rsidP="00A87D4D">
            <w:pPr>
              <w:ind w:right="-105"/>
              <w:rPr>
                <w:rFonts w:ascii="Arial" w:hAnsi="Arial" w:cs="Arial"/>
                <w:b/>
                <w:sz w:val="20"/>
                <w:szCs w:val="20"/>
              </w:rPr>
            </w:pPr>
            <w:r w:rsidRPr="000B5A8D">
              <w:rPr>
                <w:rFonts w:ascii="Arial" w:hAnsi="Arial" w:cs="Arial"/>
                <w:b/>
                <w:sz w:val="20"/>
                <w:szCs w:val="20"/>
              </w:rPr>
              <w:t>Serial No</w:t>
            </w:r>
          </w:p>
        </w:tc>
        <w:tc>
          <w:tcPr>
            <w:tcW w:w="2160" w:type="dxa"/>
          </w:tcPr>
          <w:p w14:paraId="0DFBAE69" w14:textId="77777777" w:rsidR="0071554F" w:rsidRPr="000B5A8D" w:rsidRDefault="0071554F" w:rsidP="00A87D4D">
            <w:pPr>
              <w:rPr>
                <w:rFonts w:ascii="Arial" w:hAnsi="Arial" w:cs="Arial"/>
                <w:b/>
                <w:sz w:val="20"/>
                <w:szCs w:val="20"/>
              </w:rPr>
            </w:pPr>
            <w:r w:rsidRPr="000B5A8D">
              <w:rPr>
                <w:rFonts w:ascii="Arial" w:hAnsi="Arial" w:cs="Arial"/>
                <w:b/>
                <w:sz w:val="20"/>
                <w:szCs w:val="20"/>
              </w:rPr>
              <w:t>Economy</w:t>
            </w:r>
          </w:p>
        </w:tc>
        <w:tc>
          <w:tcPr>
            <w:tcW w:w="2340" w:type="dxa"/>
          </w:tcPr>
          <w:p w14:paraId="0B5EA5B3" w14:textId="77777777" w:rsidR="0071554F" w:rsidRPr="000B5A8D" w:rsidRDefault="0071554F" w:rsidP="00A87D4D">
            <w:pPr>
              <w:ind w:right="-105"/>
              <w:rPr>
                <w:rFonts w:ascii="Arial" w:hAnsi="Arial" w:cs="Arial"/>
                <w:b/>
                <w:sz w:val="20"/>
                <w:szCs w:val="20"/>
              </w:rPr>
            </w:pPr>
            <w:r w:rsidRPr="000B5A8D">
              <w:rPr>
                <w:rFonts w:ascii="Arial" w:hAnsi="Arial" w:cs="Arial"/>
                <w:b/>
                <w:sz w:val="20"/>
                <w:szCs w:val="20"/>
              </w:rPr>
              <w:t>Reduced Imports from BGD ($) in million</w:t>
            </w:r>
          </w:p>
        </w:tc>
        <w:tc>
          <w:tcPr>
            <w:tcW w:w="2568" w:type="dxa"/>
          </w:tcPr>
          <w:p w14:paraId="4907764E" w14:textId="77777777" w:rsidR="0071554F" w:rsidRPr="000B5A8D" w:rsidRDefault="0071554F" w:rsidP="00A87D4D">
            <w:pPr>
              <w:rPr>
                <w:rFonts w:ascii="Arial" w:hAnsi="Arial" w:cs="Arial"/>
                <w:b/>
                <w:sz w:val="20"/>
                <w:szCs w:val="20"/>
              </w:rPr>
            </w:pPr>
            <w:r w:rsidRPr="000B5A8D">
              <w:rPr>
                <w:rFonts w:ascii="Arial" w:hAnsi="Arial" w:cs="Arial"/>
                <w:b/>
                <w:sz w:val="20"/>
                <w:szCs w:val="20"/>
              </w:rPr>
              <w:t>Change as % of Current import value from BGD</w:t>
            </w:r>
          </w:p>
        </w:tc>
      </w:tr>
      <w:tr w:rsidR="0071554F" w:rsidRPr="000B5A8D" w14:paraId="0F62613F" w14:textId="77777777" w:rsidTr="000B5A8D">
        <w:trPr>
          <w:trHeight w:val="270"/>
          <w:jc w:val="center"/>
        </w:trPr>
        <w:tc>
          <w:tcPr>
            <w:tcW w:w="1075" w:type="dxa"/>
          </w:tcPr>
          <w:p w14:paraId="79C3FFE8" w14:textId="77777777" w:rsidR="0071554F" w:rsidRPr="000B5A8D" w:rsidRDefault="0071554F" w:rsidP="00E926EF">
            <w:pPr>
              <w:rPr>
                <w:rFonts w:ascii="Arial" w:hAnsi="Arial" w:cs="Arial"/>
                <w:sz w:val="20"/>
                <w:szCs w:val="20"/>
              </w:rPr>
            </w:pPr>
            <w:r w:rsidRPr="000B5A8D">
              <w:rPr>
                <w:rFonts w:ascii="Arial" w:hAnsi="Arial" w:cs="Arial"/>
                <w:sz w:val="20"/>
                <w:szCs w:val="20"/>
              </w:rPr>
              <w:t>1</w:t>
            </w:r>
          </w:p>
        </w:tc>
        <w:tc>
          <w:tcPr>
            <w:tcW w:w="2160" w:type="dxa"/>
            <w:vAlign w:val="bottom"/>
          </w:tcPr>
          <w:p w14:paraId="6F3D55DF" w14:textId="77777777" w:rsidR="0071554F" w:rsidRPr="000B5A8D" w:rsidRDefault="0071554F" w:rsidP="00E926EF">
            <w:pPr>
              <w:rPr>
                <w:rFonts w:ascii="Calibri" w:hAnsi="Calibri" w:cs="Calibri"/>
                <w:color w:val="000000"/>
              </w:rPr>
            </w:pPr>
            <w:r w:rsidRPr="000B5A8D">
              <w:rPr>
                <w:rFonts w:ascii="Calibri" w:hAnsi="Calibri" w:cs="Calibri"/>
                <w:color w:val="000000"/>
              </w:rPr>
              <w:t>Canada</w:t>
            </w:r>
          </w:p>
        </w:tc>
        <w:tc>
          <w:tcPr>
            <w:tcW w:w="2340" w:type="dxa"/>
            <w:vAlign w:val="bottom"/>
          </w:tcPr>
          <w:p w14:paraId="1F14501D"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-18,663.0</w:t>
            </w:r>
          </w:p>
        </w:tc>
        <w:tc>
          <w:tcPr>
            <w:tcW w:w="2568" w:type="dxa"/>
            <w:vAlign w:val="bottom"/>
          </w:tcPr>
          <w:p w14:paraId="69522500"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-92.28%</w:t>
            </w:r>
          </w:p>
        </w:tc>
      </w:tr>
      <w:tr w:rsidR="0071554F" w:rsidRPr="000B5A8D" w14:paraId="4EE34713" w14:textId="77777777" w:rsidTr="000B5A8D">
        <w:trPr>
          <w:trHeight w:val="270"/>
          <w:jc w:val="center"/>
        </w:trPr>
        <w:tc>
          <w:tcPr>
            <w:tcW w:w="1075" w:type="dxa"/>
          </w:tcPr>
          <w:p w14:paraId="4C39651C" w14:textId="77777777" w:rsidR="0071554F" w:rsidRPr="000B5A8D" w:rsidRDefault="0071554F" w:rsidP="00E926EF">
            <w:pPr>
              <w:rPr>
                <w:rFonts w:ascii="Arial" w:hAnsi="Arial" w:cs="Arial"/>
                <w:sz w:val="20"/>
                <w:szCs w:val="20"/>
              </w:rPr>
            </w:pPr>
            <w:r w:rsidRPr="000B5A8D">
              <w:rPr>
                <w:rFonts w:ascii="Arial" w:hAnsi="Arial" w:cs="Arial"/>
                <w:sz w:val="20"/>
                <w:szCs w:val="20"/>
              </w:rPr>
              <w:t>2</w:t>
            </w:r>
          </w:p>
        </w:tc>
        <w:tc>
          <w:tcPr>
            <w:tcW w:w="2160" w:type="dxa"/>
            <w:vAlign w:val="bottom"/>
          </w:tcPr>
          <w:p w14:paraId="50E8B7FD" w14:textId="77777777" w:rsidR="0071554F" w:rsidRPr="000B5A8D" w:rsidRDefault="0071554F" w:rsidP="00E926EF">
            <w:pPr>
              <w:rPr>
                <w:rFonts w:ascii="Calibri" w:hAnsi="Calibri" w:cs="Calibri"/>
                <w:color w:val="000000"/>
              </w:rPr>
            </w:pPr>
            <w:r w:rsidRPr="000B5A8D">
              <w:rPr>
                <w:rFonts w:ascii="Calibri" w:hAnsi="Calibri" w:cs="Calibri"/>
                <w:color w:val="000000"/>
              </w:rPr>
              <w:t>India</w:t>
            </w:r>
          </w:p>
        </w:tc>
        <w:tc>
          <w:tcPr>
            <w:tcW w:w="2340" w:type="dxa"/>
            <w:vAlign w:val="bottom"/>
          </w:tcPr>
          <w:p w14:paraId="0AE7566E"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-11,708.8</w:t>
            </w:r>
          </w:p>
        </w:tc>
        <w:tc>
          <w:tcPr>
            <w:tcW w:w="2568" w:type="dxa"/>
            <w:vAlign w:val="bottom"/>
          </w:tcPr>
          <w:p w14:paraId="67EB748E"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-58.50%</w:t>
            </w:r>
          </w:p>
        </w:tc>
      </w:tr>
      <w:tr w:rsidR="0071554F" w:rsidRPr="000B5A8D" w14:paraId="64C6EE06" w14:textId="77777777" w:rsidTr="000B5A8D">
        <w:trPr>
          <w:trHeight w:val="270"/>
          <w:jc w:val="center"/>
        </w:trPr>
        <w:tc>
          <w:tcPr>
            <w:tcW w:w="1075" w:type="dxa"/>
          </w:tcPr>
          <w:p w14:paraId="002A756E" w14:textId="77777777" w:rsidR="0071554F" w:rsidRPr="000B5A8D" w:rsidRDefault="0071554F" w:rsidP="00E926EF">
            <w:pPr>
              <w:rPr>
                <w:rFonts w:ascii="Arial" w:hAnsi="Arial" w:cs="Arial"/>
                <w:sz w:val="20"/>
                <w:szCs w:val="20"/>
              </w:rPr>
            </w:pPr>
            <w:r w:rsidRPr="000B5A8D">
              <w:rPr>
                <w:rFonts w:ascii="Arial" w:hAnsi="Arial" w:cs="Arial"/>
                <w:sz w:val="20"/>
                <w:szCs w:val="20"/>
              </w:rPr>
              <w:t>3</w:t>
            </w:r>
          </w:p>
        </w:tc>
        <w:tc>
          <w:tcPr>
            <w:tcW w:w="2160" w:type="dxa"/>
            <w:vAlign w:val="bottom"/>
          </w:tcPr>
          <w:p w14:paraId="77E7A20C" w14:textId="77777777" w:rsidR="0071554F" w:rsidRPr="000B5A8D" w:rsidRDefault="0071554F" w:rsidP="00E926EF">
            <w:pPr>
              <w:rPr>
                <w:rFonts w:ascii="Calibri" w:hAnsi="Calibri" w:cs="Calibri"/>
                <w:color w:val="000000"/>
              </w:rPr>
            </w:pPr>
            <w:r w:rsidRPr="000B5A8D">
              <w:rPr>
                <w:rFonts w:ascii="Calibri" w:hAnsi="Calibri" w:cs="Calibri"/>
                <w:color w:val="000000"/>
              </w:rPr>
              <w:t>Japan</w:t>
            </w:r>
          </w:p>
        </w:tc>
        <w:tc>
          <w:tcPr>
            <w:tcW w:w="2340" w:type="dxa"/>
            <w:vAlign w:val="bottom"/>
          </w:tcPr>
          <w:p w14:paraId="0C40A332"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-6,421.2</w:t>
            </w:r>
          </w:p>
        </w:tc>
        <w:tc>
          <w:tcPr>
            <w:tcW w:w="2568" w:type="dxa"/>
            <w:vAlign w:val="bottom"/>
          </w:tcPr>
          <w:p w14:paraId="26C1683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-37.66%</w:t>
            </w:r>
          </w:p>
        </w:tc>
      </w:tr>
      <w:tr w:rsidR="0071554F" w:rsidRPr="000B5A8D" w14:paraId="4472FF56" w14:textId="77777777" w:rsidTr="000B5A8D">
        <w:trPr>
          <w:trHeight w:val="260"/>
          <w:jc w:val="center"/>
        </w:trPr>
        <w:tc>
          <w:tcPr>
            <w:tcW w:w="1075" w:type="dxa"/>
          </w:tcPr>
          <w:p w14:paraId="3EA64E4C" w14:textId="77777777" w:rsidR="0071554F" w:rsidRPr="000B5A8D" w:rsidRDefault="0071554F" w:rsidP="00E926EF">
            <w:pPr>
              <w:rPr>
                <w:rFonts w:ascii="Arial" w:hAnsi="Arial" w:cs="Arial"/>
                <w:sz w:val="20"/>
                <w:szCs w:val="20"/>
              </w:rPr>
            </w:pPr>
            <w:r w:rsidRPr="000B5A8D">
              <w:rPr>
                <w:rFonts w:ascii="Arial" w:hAnsi="Arial" w:cs="Arial"/>
                <w:sz w:val="20"/>
                <w:szCs w:val="20"/>
              </w:rPr>
              <w:t>4</w:t>
            </w:r>
          </w:p>
        </w:tc>
        <w:tc>
          <w:tcPr>
            <w:tcW w:w="2160" w:type="dxa"/>
            <w:vAlign w:val="bottom"/>
          </w:tcPr>
          <w:p w14:paraId="0D168597" w14:textId="77777777" w:rsidR="0071554F" w:rsidRPr="000B5A8D" w:rsidRDefault="0071554F" w:rsidP="00E926EF">
            <w:pPr>
              <w:rPr>
                <w:rFonts w:ascii="Calibri" w:hAnsi="Calibri" w:cs="Calibri"/>
                <w:color w:val="000000"/>
              </w:rPr>
            </w:pPr>
            <w:r w:rsidRPr="000B5A8D">
              <w:rPr>
                <w:rFonts w:ascii="Calibri" w:hAnsi="Calibri" w:cs="Calibri"/>
                <w:color w:val="000000"/>
              </w:rPr>
              <w:t>Republic of Korea</w:t>
            </w:r>
          </w:p>
        </w:tc>
        <w:tc>
          <w:tcPr>
            <w:tcW w:w="2340" w:type="dxa"/>
            <w:vAlign w:val="bottom"/>
          </w:tcPr>
          <w:p w14:paraId="340FAC60"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-5,582.0</w:t>
            </w:r>
          </w:p>
        </w:tc>
        <w:tc>
          <w:tcPr>
            <w:tcW w:w="2568" w:type="dxa"/>
            <w:vAlign w:val="bottom"/>
          </w:tcPr>
          <w:p w14:paraId="5854B365"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-82.42%</w:t>
            </w:r>
          </w:p>
        </w:tc>
      </w:tr>
      <w:tr w:rsidR="0071554F" w:rsidRPr="000B5A8D" w14:paraId="4A7F7726" w14:textId="77777777" w:rsidTr="000B5A8D">
        <w:trPr>
          <w:trHeight w:val="270"/>
          <w:jc w:val="center"/>
        </w:trPr>
        <w:tc>
          <w:tcPr>
            <w:tcW w:w="1075" w:type="dxa"/>
          </w:tcPr>
          <w:p w14:paraId="0ABA5153" w14:textId="77777777" w:rsidR="0071554F" w:rsidRPr="000B5A8D" w:rsidRDefault="0071554F" w:rsidP="00E926EF">
            <w:pPr>
              <w:rPr>
                <w:rFonts w:ascii="Arial" w:hAnsi="Arial" w:cs="Arial"/>
                <w:sz w:val="20"/>
                <w:szCs w:val="20"/>
              </w:rPr>
            </w:pPr>
            <w:r w:rsidRPr="000B5A8D">
              <w:rPr>
                <w:rFonts w:ascii="Arial" w:hAnsi="Arial" w:cs="Arial"/>
                <w:sz w:val="20"/>
                <w:szCs w:val="20"/>
              </w:rPr>
              <w:t>5</w:t>
            </w:r>
          </w:p>
        </w:tc>
        <w:tc>
          <w:tcPr>
            <w:tcW w:w="2160" w:type="dxa"/>
            <w:vAlign w:val="bottom"/>
          </w:tcPr>
          <w:p w14:paraId="28CE90C8" w14:textId="77777777" w:rsidR="0071554F" w:rsidRPr="000B5A8D" w:rsidRDefault="0071554F" w:rsidP="00E926EF">
            <w:pPr>
              <w:rPr>
                <w:rFonts w:ascii="Calibri" w:hAnsi="Calibri" w:cs="Calibri"/>
                <w:color w:val="000000"/>
              </w:rPr>
            </w:pPr>
            <w:r w:rsidRPr="000B5A8D">
              <w:rPr>
                <w:rFonts w:ascii="Calibri" w:hAnsi="Calibri" w:cs="Calibri"/>
                <w:color w:val="000000"/>
              </w:rPr>
              <w:t>China</w:t>
            </w:r>
          </w:p>
        </w:tc>
        <w:tc>
          <w:tcPr>
            <w:tcW w:w="2340" w:type="dxa"/>
            <w:vAlign w:val="bottom"/>
          </w:tcPr>
          <w:p w14:paraId="179501E7"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-3,022.4</w:t>
            </w:r>
          </w:p>
        </w:tc>
        <w:tc>
          <w:tcPr>
            <w:tcW w:w="2568" w:type="dxa"/>
            <w:vAlign w:val="bottom"/>
          </w:tcPr>
          <w:p w14:paraId="4A76CC1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-30.79%</w:t>
            </w:r>
          </w:p>
        </w:tc>
      </w:tr>
      <w:tr w:rsidR="0071554F" w:rsidRPr="000B5A8D" w14:paraId="59AE5D46" w14:textId="77777777" w:rsidTr="000B5A8D">
        <w:trPr>
          <w:trHeight w:val="270"/>
          <w:jc w:val="center"/>
        </w:trPr>
        <w:tc>
          <w:tcPr>
            <w:tcW w:w="1075" w:type="dxa"/>
          </w:tcPr>
          <w:p w14:paraId="170AD7E1" w14:textId="77777777" w:rsidR="0071554F" w:rsidRPr="000B5A8D" w:rsidRDefault="0071554F" w:rsidP="00E926EF">
            <w:pPr>
              <w:rPr>
                <w:rFonts w:ascii="Arial" w:hAnsi="Arial" w:cs="Arial"/>
                <w:sz w:val="20"/>
                <w:szCs w:val="20"/>
              </w:rPr>
            </w:pPr>
            <w:r w:rsidRPr="000B5A8D">
              <w:rPr>
                <w:rFonts w:ascii="Arial" w:hAnsi="Arial" w:cs="Arial"/>
                <w:sz w:val="20"/>
                <w:szCs w:val="20"/>
              </w:rPr>
              <w:t>6</w:t>
            </w:r>
          </w:p>
        </w:tc>
        <w:tc>
          <w:tcPr>
            <w:tcW w:w="2160" w:type="dxa"/>
            <w:vAlign w:val="bottom"/>
          </w:tcPr>
          <w:p w14:paraId="16089BDF" w14:textId="77777777" w:rsidR="0071554F" w:rsidRPr="000B5A8D" w:rsidRDefault="0071554F" w:rsidP="00E926EF">
            <w:pPr>
              <w:rPr>
                <w:rFonts w:ascii="Calibri" w:hAnsi="Calibri" w:cs="Calibri"/>
                <w:color w:val="000000"/>
              </w:rPr>
            </w:pPr>
            <w:r w:rsidRPr="000B5A8D">
              <w:rPr>
                <w:rFonts w:ascii="Calibri" w:hAnsi="Calibri" w:cs="Calibri"/>
                <w:color w:val="000000"/>
              </w:rPr>
              <w:t>Australia</w:t>
            </w:r>
          </w:p>
        </w:tc>
        <w:tc>
          <w:tcPr>
            <w:tcW w:w="2340" w:type="dxa"/>
            <w:vAlign w:val="bottom"/>
          </w:tcPr>
          <w:p w14:paraId="63507846"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-2,603.9</w:t>
            </w:r>
          </w:p>
        </w:tc>
        <w:tc>
          <w:tcPr>
            <w:tcW w:w="2568" w:type="dxa"/>
            <w:vAlign w:val="bottom"/>
          </w:tcPr>
          <w:p w14:paraId="21231376"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-24.39%</w:t>
            </w:r>
          </w:p>
        </w:tc>
      </w:tr>
      <w:tr w:rsidR="0071554F" w:rsidRPr="000B5A8D" w14:paraId="4DA9C054" w14:textId="77777777" w:rsidTr="000B5A8D">
        <w:trPr>
          <w:trHeight w:val="270"/>
          <w:jc w:val="center"/>
        </w:trPr>
        <w:tc>
          <w:tcPr>
            <w:tcW w:w="1075" w:type="dxa"/>
          </w:tcPr>
          <w:p w14:paraId="113D243E" w14:textId="77777777" w:rsidR="0071554F" w:rsidRPr="000B5A8D" w:rsidRDefault="0071554F" w:rsidP="00E926EF">
            <w:pPr>
              <w:rPr>
                <w:rFonts w:ascii="Arial" w:hAnsi="Arial" w:cs="Arial"/>
                <w:sz w:val="20"/>
                <w:szCs w:val="20"/>
              </w:rPr>
            </w:pPr>
            <w:r w:rsidRPr="000B5A8D">
              <w:rPr>
                <w:rFonts w:ascii="Arial" w:hAnsi="Arial" w:cs="Arial"/>
                <w:sz w:val="20"/>
                <w:szCs w:val="20"/>
              </w:rPr>
              <w:t>7</w:t>
            </w:r>
          </w:p>
        </w:tc>
        <w:tc>
          <w:tcPr>
            <w:tcW w:w="2160" w:type="dxa"/>
            <w:vAlign w:val="bottom"/>
          </w:tcPr>
          <w:p w14:paraId="71A421E2" w14:textId="77777777" w:rsidR="0071554F" w:rsidRPr="000B5A8D" w:rsidRDefault="0071554F" w:rsidP="00E926EF">
            <w:pPr>
              <w:rPr>
                <w:rFonts w:ascii="Calibri" w:hAnsi="Calibri" w:cs="Calibri"/>
                <w:color w:val="000000"/>
              </w:rPr>
            </w:pPr>
            <w:proofErr w:type="spellStart"/>
            <w:r w:rsidRPr="000B5A8D">
              <w:rPr>
                <w:rFonts w:ascii="Calibri" w:hAnsi="Calibri" w:cs="Calibri"/>
                <w:color w:val="000000"/>
              </w:rPr>
              <w:t>Turkiye</w:t>
            </w:r>
            <w:proofErr w:type="spellEnd"/>
          </w:p>
        </w:tc>
        <w:tc>
          <w:tcPr>
            <w:tcW w:w="2340" w:type="dxa"/>
            <w:vAlign w:val="bottom"/>
          </w:tcPr>
          <w:p w14:paraId="40B4C04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-2,410.7</w:t>
            </w:r>
          </w:p>
        </w:tc>
        <w:tc>
          <w:tcPr>
            <w:tcW w:w="2568" w:type="dxa"/>
            <w:vAlign w:val="bottom"/>
          </w:tcPr>
          <w:p w14:paraId="71405FD7"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-36.32%</w:t>
            </w:r>
          </w:p>
        </w:tc>
      </w:tr>
      <w:tr w:rsidR="0071554F" w:rsidRPr="000B5A8D" w14:paraId="47C3929C" w14:textId="77777777" w:rsidTr="000B5A8D">
        <w:trPr>
          <w:trHeight w:val="270"/>
          <w:jc w:val="center"/>
        </w:trPr>
        <w:tc>
          <w:tcPr>
            <w:tcW w:w="1075" w:type="dxa"/>
          </w:tcPr>
          <w:p w14:paraId="04442EDC" w14:textId="77777777" w:rsidR="0071554F" w:rsidRPr="000B5A8D" w:rsidRDefault="0071554F" w:rsidP="00E926EF">
            <w:pPr>
              <w:rPr>
                <w:rFonts w:ascii="Arial" w:hAnsi="Arial" w:cs="Arial"/>
                <w:sz w:val="20"/>
                <w:szCs w:val="20"/>
              </w:rPr>
            </w:pPr>
            <w:r w:rsidRPr="000B5A8D">
              <w:rPr>
                <w:rFonts w:ascii="Arial" w:hAnsi="Arial" w:cs="Arial"/>
                <w:sz w:val="20"/>
                <w:szCs w:val="20"/>
              </w:rPr>
              <w:t>8</w:t>
            </w:r>
          </w:p>
        </w:tc>
        <w:tc>
          <w:tcPr>
            <w:tcW w:w="2160" w:type="dxa"/>
            <w:vAlign w:val="bottom"/>
          </w:tcPr>
          <w:p w14:paraId="46C66751" w14:textId="77777777" w:rsidR="0071554F" w:rsidRPr="000B5A8D" w:rsidRDefault="0071554F" w:rsidP="00E926EF">
            <w:pPr>
              <w:rPr>
                <w:rFonts w:ascii="Calibri" w:hAnsi="Calibri" w:cs="Calibri"/>
                <w:color w:val="000000"/>
              </w:rPr>
            </w:pPr>
            <w:r w:rsidRPr="000B5A8D">
              <w:rPr>
                <w:rFonts w:ascii="Calibri" w:hAnsi="Calibri" w:cs="Calibri"/>
                <w:color w:val="000000"/>
              </w:rPr>
              <w:t>Norway</w:t>
            </w:r>
          </w:p>
        </w:tc>
        <w:tc>
          <w:tcPr>
            <w:tcW w:w="2340" w:type="dxa"/>
            <w:vAlign w:val="bottom"/>
          </w:tcPr>
          <w:p w14:paraId="44766D8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-1,366.6</w:t>
            </w:r>
          </w:p>
        </w:tc>
        <w:tc>
          <w:tcPr>
            <w:tcW w:w="2568" w:type="dxa"/>
            <w:vAlign w:val="bottom"/>
          </w:tcPr>
          <w:p w14:paraId="0E54015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-33.84%</w:t>
            </w:r>
          </w:p>
        </w:tc>
      </w:tr>
      <w:tr w:rsidR="0071554F" w:rsidRPr="000B5A8D" w14:paraId="0E1CFF9B" w14:textId="77777777" w:rsidTr="000B5A8D">
        <w:trPr>
          <w:trHeight w:val="270"/>
          <w:jc w:val="center"/>
        </w:trPr>
        <w:tc>
          <w:tcPr>
            <w:tcW w:w="1075" w:type="dxa"/>
          </w:tcPr>
          <w:p w14:paraId="34DC531F" w14:textId="77777777" w:rsidR="0071554F" w:rsidRPr="000B5A8D" w:rsidRDefault="0071554F" w:rsidP="00E926EF">
            <w:pPr>
              <w:rPr>
                <w:rFonts w:ascii="Arial" w:hAnsi="Arial" w:cs="Arial"/>
                <w:sz w:val="20"/>
                <w:szCs w:val="20"/>
              </w:rPr>
            </w:pPr>
            <w:r w:rsidRPr="000B5A8D">
              <w:rPr>
                <w:rFonts w:ascii="Arial" w:hAnsi="Arial" w:cs="Arial"/>
                <w:sz w:val="20"/>
                <w:szCs w:val="20"/>
              </w:rPr>
              <w:t>9</w:t>
            </w:r>
          </w:p>
        </w:tc>
        <w:tc>
          <w:tcPr>
            <w:tcW w:w="2160" w:type="dxa"/>
            <w:vAlign w:val="bottom"/>
          </w:tcPr>
          <w:p w14:paraId="036DAE0C" w14:textId="77777777" w:rsidR="0071554F" w:rsidRPr="000B5A8D" w:rsidRDefault="0071554F" w:rsidP="00E926EF">
            <w:pPr>
              <w:rPr>
                <w:rFonts w:ascii="Calibri" w:hAnsi="Calibri" w:cs="Calibri"/>
                <w:color w:val="000000"/>
              </w:rPr>
            </w:pPr>
            <w:r w:rsidRPr="000B5A8D">
              <w:rPr>
                <w:rFonts w:ascii="Calibri" w:hAnsi="Calibri" w:cs="Calibri"/>
                <w:color w:val="000000"/>
              </w:rPr>
              <w:t>Chile</w:t>
            </w:r>
          </w:p>
        </w:tc>
        <w:tc>
          <w:tcPr>
            <w:tcW w:w="2340" w:type="dxa"/>
            <w:vAlign w:val="bottom"/>
          </w:tcPr>
          <w:p w14:paraId="21BAB769"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-888.5</w:t>
            </w:r>
          </w:p>
        </w:tc>
        <w:tc>
          <w:tcPr>
            <w:tcW w:w="2568" w:type="dxa"/>
            <w:vAlign w:val="bottom"/>
          </w:tcPr>
          <w:p w14:paraId="131B01B4"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-34.75%</w:t>
            </w:r>
          </w:p>
        </w:tc>
      </w:tr>
      <w:tr w:rsidR="0071554F" w:rsidRPr="000B5A8D" w14:paraId="15A75159" w14:textId="77777777" w:rsidTr="000B5A8D">
        <w:trPr>
          <w:trHeight w:val="270"/>
          <w:jc w:val="center"/>
        </w:trPr>
        <w:tc>
          <w:tcPr>
            <w:tcW w:w="1075" w:type="dxa"/>
          </w:tcPr>
          <w:p w14:paraId="09868D0B" w14:textId="77777777" w:rsidR="0071554F" w:rsidRPr="000B5A8D" w:rsidRDefault="0071554F" w:rsidP="00E926EF">
            <w:pPr>
              <w:rPr>
                <w:rFonts w:ascii="Arial" w:hAnsi="Arial" w:cs="Arial"/>
                <w:sz w:val="20"/>
                <w:szCs w:val="20"/>
              </w:rPr>
            </w:pPr>
            <w:r w:rsidRPr="000B5A8D">
              <w:rPr>
                <w:rFonts w:ascii="Arial" w:hAnsi="Arial" w:cs="Arial"/>
                <w:sz w:val="20"/>
                <w:szCs w:val="20"/>
              </w:rPr>
              <w:t>10</w:t>
            </w:r>
          </w:p>
        </w:tc>
        <w:tc>
          <w:tcPr>
            <w:tcW w:w="2160" w:type="dxa"/>
            <w:vAlign w:val="bottom"/>
          </w:tcPr>
          <w:p w14:paraId="09DD8729" w14:textId="77777777" w:rsidR="0071554F" w:rsidRPr="000B5A8D" w:rsidRDefault="0071554F" w:rsidP="00E926EF">
            <w:pPr>
              <w:rPr>
                <w:rFonts w:ascii="Calibri" w:hAnsi="Calibri" w:cs="Calibri"/>
                <w:color w:val="000000"/>
              </w:rPr>
            </w:pPr>
            <w:r w:rsidRPr="000B5A8D">
              <w:rPr>
                <w:rFonts w:ascii="Calibri" w:hAnsi="Calibri" w:cs="Calibri"/>
                <w:color w:val="000000"/>
              </w:rPr>
              <w:t>New Zealand</w:t>
            </w:r>
          </w:p>
        </w:tc>
        <w:tc>
          <w:tcPr>
            <w:tcW w:w="2340" w:type="dxa"/>
            <w:vAlign w:val="bottom"/>
          </w:tcPr>
          <w:p w14:paraId="1296F129"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-573.1</w:t>
            </w:r>
          </w:p>
        </w:tc>
        <w:tc>
          <w:tcPr>
            <w:tcW w:w="2568" w:type="dxa"/>
            <w:vAlign w:val="bottom"/>
          </w:tcPr>
          <w:p w14:paraId="43AE6D6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-38.38%</w:t>
            </w:r>
          </w:p>
        </w:tc>
      </w:tr>
      <w:tr w:rsidR="0071554F" w:rsidRPr="000B5A8D" w14:paraId="4A3F6F0D" w14:textId="77777777" w:rsidTr="000B5A8D">
        <w:trPr>
          <w:trHeight w:val="260"/>
          <w:jc w:val="center"/>
        </w:trPr>
        <w:tc>
          <w:tcPr>
            <w:tcW w:w="1075" w:type="dxa"/>
          </w:tcPr>
          <w:p w14:paraId="4EE889C4" w14:textId="77777777" w:rsidR="0071554F" w:rsidRPr="000B5A8D" w:rsidRDefault="0071554F" w:rsidP="00E926EF">
            <w:pPr>
              <w:rPr>
                <w:rFonts w:ascii="Arial" w:hAnsi="Arial" w:cs="Arial"/>
                <w:sz w:val="20"/>
                <w:szCs w:val="20"/>
              </w:rPr>
            </w:pPr>
            <w:r w:rsidRPr="000B5A8D">
              <w:rPr>
                <w:rFonts w:ascii="Arial" w:hAnsi="Arial" w:cs="Arial"/>
                <w:sz w:val="20"/>
                <w:szCs w:val="20"/>
              </w:rPr>
              <w:t>11</w:t>
            </w:r>
          </w:p>
        </w:tc>
        <w:tc>
          <w:tcPr>
            <w:tcW w:w="2160" w:type="dxa"/>
            <w:vAlign w:val="bottom"/>
          </w:tcPr>
          <w:p w14:paraId="49F9F427" w14:textId="77777777" w:rsidR="0071554F" w:rsidRPr="000B5A8D" w:rsidRDefault="0071554F" w:rsidP="00E926EF">
            <w:pPr>
              <w:rPr>
                <w:rFonts w:ascii="Calibri" w:hAnsi="Calibri" w:cs="Calibri"/>
                <w:color w:val="000000"/>
              </w:rPr>
            </w:pPr>
            <w:r w:rsidRPr="000B5A8D">
              <w:rPr>
                <w:rFonts w:ascii="Calibri" w:hAnsi="Calibri" w:cs="Calibri"/>
                <w:color w:val="000000"/>
              </w:rPr>
              <w:t>Thailand</w:t>
            </w:r>
          </w:p>
        </w:tc>
        <w:tc>
          <w:tcPr>
            <w:tcW w:w="2340" w:type="dxa"/>
            <w:vAlign w:val="bottom"/>
          </w:tcPr>
          <w:p w14:paraId="15184EBE"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-85.1</w:t>
            </w:r>
          </w:p>
        </w:tc>
        <w:tc>
          <w:tcPr>
            <w:tcW w:w="2568" w:type="dxa"/>
            <w:vAlign w:val="bottom"/>
          </w:tcPr>
          <w:p w14:paraId="609188F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-10.06%</w:t>
            </w:r>
          </w:p>
        </w:tc>
      </w:tr>
      <w:tr w:rsidR="0071554F" w:rsidRPr="000B5A8D" w14:paraId="561627CF" w14:textId="77777777" w:rsidTr="000B5A8D">
        <w:trPr>
          <w:trHeight w:val="270"/>
          <w:jc w:val="center"/>
        </w:trPr>
        <w:tc>
          <w:tcPr>
            <w:tcW w:w="1075" w:type="dxa"/>
          </w:tcPr>
          <w:p w14:paraId="7E9415F8" w14:textId="77777777" w:rsidR="0071554F" w:rsidRPr="000B5A8D" w:rsidRDefault="0071554F" w:rsidP="00E926EF">
            <w:pPr>
              <w:rPr>
                <w:rFonts w:ascii="Arial" w:hAnsi="Arial" w:cs="Arial"/>
                <w:sz w:val="20"/>
                <w:szCs w:val="20"/>
              </w:rPr>
            </w:pPr>
            <w:r w:rsidRPr="000B5A8D">
              <w:rPr>
                <w:rFonts w:ascii="Arial" w:hAnsi="Arial" w:cs="Arial"/>
                <w:sz w:val="20"/>
                <w:szCs w:val="20"/>
              </w:rPr>
              <w:t>12</w:t>
            </w:r>
          </w:p>
        </w:tc>
        <w:tc>
          <w:tcPr>
            <w:tcW w:w="2160" w:type="dxa"/>
            <w:vAlign w:val="bottom"/>
          </w:tcPr>
          <w:p w14:paraId="121BB98B" w14:textId="77777777" w:rsidR="0071554F" w:rsidRPr="000B5A8D" w:rsidRDefault="0071554F" w:rsidP="00E926EF">
            <w:pPr>
              <w:rPr>
                <w:rFonts w:ascii="Calibri" w:hAnsi="Calibri" w:cs="Calibri"/>
                <w:color w:val="000000"/>
              </w:rPr>
            </w:pPr>
            <w:r w:rsidRPr="000B5A8D">
              <w:rPr>
                <w:rFonts w:ascii="Calibri" w:hAnsi="Calibri" w:cs="Calibri"/>
                <w:color w:val="000000"/>
              </w:rPr>
              <w:t>Nepal</w:t>
            </w:r>
          </w:p>
        </w:tc>
        <w:tc>
          <w:tcPr>
            <w:tcW w:w="2340" w:type="dxa"/>
            <w:vAlign w:val="bottom"/>
          </w:tcPr>
          <w:p w14:paraId="4CA9B315"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-83.6</w:t>
            </w:r>
          </w:p>
        </w:tc>
        <w:tc>
          <w:tcPr>
            <w:tcW w:w="2568" w:type="dxa"/>
            <w:vAlign w:val="bottom"/>
          </w:tcPr>
          <w:p w14:paraId="2547FF34"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-14.02%</w:t>
            </w:r>
          </w:p>
        </w:tc>
      </w:tr>
      <w:tr w:rsidR="0071554F" w:rsidRPr="000B5A8D" w14:paraId="2E985AFC" w14:textId="77777777" w:rsidTr="000B5A8D">
        <w:trPr>
          <w:trHeight w:val="270"/>
          <w:jc w:val="center"/>
        </w:trPr>
        <w:tc>
          <w:tcPr>
            <w:tcW w:w="1075" w:type="dxa"/>
          </w:tcPr>
          <w:p w14:paraId="2B0219B3" w14:textId="77777777" w:rsidR="0071554F" w:rsidRPr="000B5A8D" w:rsidRDefault="0071554F" w:rsidP="00E926EF">
            <w:pPr>
              <w:rPr>
                <w:rFonts w:ascii="Arial" w:hAnsi="Arial" w:cs="Arial"/>
                <w:sz w:val="20"/>
                <w:szCs w:val="20"/>
              </w:rPr>
            </w:pPr>
            <w:r w:rsidRPr="000B5A8D">
              <w:rPr>
                <w:rFonts w:ascii="Arial" w:hAnsi="Arial" w:cs="Arial"/>
                <w:sz w:val="20"/>
                <w:szCs w:val="20"/>
              </w:rPr>
              <w:t>13</w:t>
            </w:r>
          </w:p>
        </w:tc>
        <w:tc>
          <w:tcPr>
            <w:tcW w:w="2160" w:type="dxa"/>
            <w:vAlign w:val="bottom"/>
          </w:tcPr>
          <w:p w14:paraId="0AA0B847" w14:textId="77777777" w:rsidR="0071554F" w:rsidRPr="000B5A8D" w:rsidRDefault="0071554F" w:rsidP="00E926EF">
            <w:pPr>
              <w:rPr>
                <w:rFonts w:ascii="Calibri" w:hAnsi="Calibri" w:cs="Calibri"/>
                <w:color w:val="000000"/>
              </w:rPr>
            </w:pPr>
            <w:r w:rsidRPr="000B5A8D">
              <w:rPr>
                <w:rFonts w:ascii="Calibri" w:hAnsi="Calibri" w:cs="Calibri"/>
                <w:color w:val="000000"/>
              </w:rPr>
              <w:t>Pakistan</w:t>
            </w:r>
          </w:p>
        </w:tc>
        <w:tc>
          <w:tcPr>
            <w:tcW w:w="2340" w:type="dxa"/>
            <w:vAlign w:val="bottom"/>
          </w:tcPr>
          <w:p w14:paraId="52CA43E0"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-63.9</w:t>
            </w:r>
          </w:p>
        </w:tc>
        <w:tc>
          <w:tcPr>
            <w:tcW w:w="2568" w:type="dxa"/>
            <w:vAlign w:val="bottom"/>
          </w:tcPr>
          <w:p w14:paraId="349AB82D"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-7.93%</w:t>
            </w:r>
          </w:p>
        </w:tc>
      </w:tr>
      <w:tr w:rsidR="0071554F" w:rsidRPr="000B5A8D" w14:paraId="5A731AEB" w14:textId="77777777" w:rsidTr="000B5A8D">
        <w:trPr>
          <w:trHeight w:val="270"/>
          <w:jc w:val="center"/>
        </w:trPr>
        <w:tc>
          <w:tcPr>
            <w:tcW w:w="1075" w:type="dxa"/>
          </w:tcPr>
          <w:p w14:paraId="25E737B6" w14:textId="77777777" w:rsidR="0071554F" w:rsidRPr="000B5A8D" w:rsidRDefault="0071554F" w:rsidP="00E926EF">
            <w:pPr>
              <w:rPr>
                <w:rFonts w:ascii="Arial" w:hAnsi="Arial" w:cs="Arial"/>
                <w:sz w:val="20"/>
                <w:szCs w:val="20"/>
              </w:rPr>
            </w:pPr>
            <w:r w:rsidRPr="000B5A8D">
              <w:rPr>
                <w:rFonts w:ascii="Arial" w:hAnsi="Arial" w:cs="Arial"/>
                <w:sz w:val="20"/>
                <w:szCs w:val="20"/>
              </w:rPr>
              <w:t>14</w:t>
            </w:r>
          </w:p>
        </w:tc>
        <w:tc>
          <w:tcPr>
            <w:tcW w:w="2160" w:type="dxa"/>
            <w:vAlign w:val="bottom"/>
          </w:tcPr>
          <w:p w14:paraId="32510381" w14:textId="77777777" w:rsidR="0071554F" w:rsidRPr="000B5A8D" w:rsidRDefault="0071554F" w:rsidP="00E926EF">
            <w:pPr>
              <w:rPr>
                <w:rFonts w:ascii="Calibri" w:hAnsi="Calibri" w:cs="Calibri"/>
                <w:color w:val="000000"/>
              </w:rPr>
            </w:pPr>
            <w:r w:rsidRPr="000B5A8D">
              <w:rPr>
                <w:rFonts w:ascii="Calibri" w:hAnsi="Calibri" w:cs="Calibri"/>
                <w:color w:val="000000"/>
              </w:rPr>
              <w:t>Montenegro</w:t>
            </w:r>
          </w:p>
        </w:tc>
        <w:tc>
          <w:tcPr>
            <w:tcW w:w="2340" w:type="dxa"/>
            <w:vAlign w:val="bottom"/>
          </w:tcPr>
          <w:p w14:paraId="69004327"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-57.9</w:t>
            </w:r>
          </w:p>
        </w:tc>
        <w:tc>
          <w:tcPr>
            <w:tcW w:w="2568" w:type="dxa"/>
            <w:vAlign w:val="bottom"/>
          </w:tcPr>
          <w:p w14:paraId="4A1D2076"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-60.70%</w:t>
            </w:r>
          </w:p>
        </w:tc>
      </w:tr>
      <w:tr w:rsidR="0071554F" w:rsidRPr="000B5A8D" w14:paraId="426379C9" w14:textId="77777777" w:rsidTr="000B5A8D">
        <w:trPr>
          <w:trHeight w:val="270"/>
          <w:jc w:val="center"/>
        </w:trPr>
        <w:tc>
          <w:tcPr>
            <w:tcW w:w="1075" w:type="dxa"/>
          </w:tcPr>
          <w:p w14:paraId="0CDC913A" w14:textId="77777777" w:rsidR="0071554F" w:rsidRPr="000B5A8D" w:rsidRDefault="0071554F" w:rsidP="00E926EF">
            <w:pPr>
              <w:rPr>
                <w:rFonts w:ascii="Arial" w:hAnsi="Arial" w:cs="Arial"/>
                <w:sz w:val="20"/>
                <w:szCs w:val="20"/>
              </w:rPr>
            </w:pPr>
            <w:r w:rsidRPr="000B5A8D">
              <w:rPr>
                <w:rFonts w:ascii="Arial" w:hAnsi="Arial" w:cs="Arial"/>
                <w:sz w:val="20"/>
                <w:szCs w:val="20"/>
              </w:rPr>
              <w:t>15</w:t>
            </w:r>
          </w:p>
        </w:tc>
        <w:tc>
          <w:tcPr>
            <w:tcW w:w="2160" w:type="dxa"/>
            <w:vAlign w:val="bottom"/>
          </w:tcPr>
          <w:p w14:paraId="04BC081C" w14:textId="77777777" w:rsidR="0071554F" w:rsidRPr="000B5A8D" w:rsidRDefault="0071554F" w:rsidP="00E926EF">
            <w:pPr>
              <w:rPr>
                <w:rFonts w:ascii="Calibri" w:hAnsi="Calibri" w:cs="Calibri"/>
                <w:color w:val="000000"/>
              </w:rPr>
            </w:pPr>
            <w:r w:rsidRPr="000B5A8D">
              <w:rPr>
                <w:rFonts w:ascii="Calibri" w:hAnsi="Calibri" w:cs="Calibri"/>
                <w:color w:val="000000"/>
              </w:rPr>
              <w:t>Sri Lanka</w:t>
            </w:r>
          </w:p>
        </w:tc>
        <w:tc>
          <w:tcPr>
            <w:tcW w:w="2340" w:type="dxa"/>
            <w:vAlign w:val="bottom"/>
          </w:tcPr>
          <w:p w14:paraId="3C8FC9D4"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-33.0</w:t>
            </w:r>
          </w:p>
        </w:tc>
        <w:tc>
          <w:tcPr>
            <w:tcW w:w="2568" w:type="dxa"/>
            <w:vAlign w:val="bottom"/>
          </w:tcPr>
          <w:p w14:paraId="733E9192"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-3.83%</w:t>
            </w:r>
          </w:p>
        </w:tc>
      </w:tr>
      <w:tr w:rsidR="0071554F" w:rsidRPr="000B5A8D" w14:paraId="10E15578" w14:textId="77777777" w:rsidTr="000B5A8D">
        <w:trPr>
          <w:trHeight w:val="270"/>
          <w:jc w:val="center"/>
        </w:trPr>
        <w:tc>
          <w:tcPr>
            <w:tcW w:w="1075" w:type="dxa"/>
          </w:tcPr>
          <w:p w14:paraId="7D43F5A6" w14:textId="77777777" w:rsidR="0071554F" w:rsidRPr="000B5A8D" w:rsidRDefault="0071554F" w:rsidP="00E926EF">
            <w:pPr>
              <w:rPr>
                <w:rFonts w:ascii="Arial" w:hAnsi="Arial" w:cs="Arial"/>
                <w:sz w:val="20"/>
                <w:szCs w:val="20"/>
              </w:rPr>
            </w:pPr>
            <w:r w:rsidRPr="000B5A8D">
              <w:rPr>
                <w:rFonts w:ascii="Arial" w:hAnsi="Arial" w:cs="Arial"/>
                <w:sz w:val="20"/>
                <w:szCs w:val="20"/>
              </w:rPr>
              <w:t>16</w:t>
            </w:r>
          </w:p>
        </w:tc>
        <w:tc>
          <w:tcPr>
            <w:tcW w:w="2160" w:type="dxa"/>
            <w:vAlign w:val="bottom"/>
          </w:tcPr>
          <w:p w14:paraId="3333D525" w14:textId="77777777" w:rsidR="0071554F" w:rsidRPr="000B5A8D" w:rsidRDefault="0071554F" w:rsidP="00E926EF">
            <w:pPr>
              <w:rPr>
                <w:rFonts w:ascii="Calibri" w:hAnsi="Calibri" w:cs="Calibri"/>
                <w:color w:val="000000"/>
              </w:rPr>
            </w:pPr>
            <w:r w:rsidRPr="000B5A8D">
              <w:rPr>
                <w:rFonts w:ascii="Calibri" w:hAnsi="Calibri" w:cs="Calibri"/>
                <w:color w:val="000000"/>
              </w:rPr>
              <w:t xml:space="preserve">Other Asia, </w:t>
            </w:r>
            <w:proofErr w:type="spellStart"/>
            <w:r w:rsidRPr="000B5A8D">
              <w:rPr>
                <w:rFonts w:ascii="Calibri" w:hAnsi="Calibri" w:cs="Calibri"/>
                <w:color w:val="000000"/>
              </w:rPr>
              <w:t>nes</w:t>
            </w:r>
            <w:proofErr w:type="spellEnd"/>
          </w:p>
        </w:tc>
        <w:tc>
          <w:tcPr>
            <w:tcW w:w="2340" w:type="dxa"/>
            <w:vAlign w:val="bottom"/>
          </w:tcPr>
          <w:p w14:paraId="6684BF6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-25.5</w:t>
            </w:r>
          </w:p>
        </w:tc>
        <w:tc>
          <w:tcPr>
            <w:tcW w:w="2568" w:type="dxa"/>
            <w:vAlign w:val="bottom"/>
          </w:tcPr>
          <w:p w14:paraId="0DAF15BB"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-2.13%</w:t>
            </w:r>
          </w:p>
        </w:tc>
      </w:tr>
      <w:tr w:rsidR="0071554F" w:rsidRPr="000B5A8D" w14:paraId="6E628462" w14:textId="77777777" w:rsidTr="000B5A8D">
        <w:trPr>
          <w:trHeight w:val="270"/>
          <w:jc w:val="center"/>
        </w:trPr>
        <w:tc>
          <w:tcPr>
            <w:tcW w:w="1075" w:type="dxa"/>
          </w:tcPr>
          <w:p w14:paraId="2F98885A" w14:textId="77777777" w:rsidR="0071554F" w:rsidRPr="000B5A8D" w:rsidRDefault="0071554F" w:rsidP="00E926EF">
            <w:pPr>
              <w:rPr>
                <w:rFonts w:ascii="Arial" w:hAnsi="Arial" w:cs="Arial"/>
                <w:sz w:val="20"/>
                <w:szCs w:val="20"/>
              </w:rPr>
            </w:pPr>
            <w:r w:rsidRPr="000B5A8D">
              <w:rPr>
                <w:rFonts w:ascii="Arial" w:hAnsi="Arial" w:cs="Arial"/>
                <w:sz w:val="20"/>
                <w:szCs w:val="20"/>
              </w:rPr>
              <w:t>17</w:t>
            </w:r>
          </w:p>
        </w:tc>
        <w:tc>
          <w:tcPr>
            <w:tcW w:w="2160" w:type="dxa"/>
            <w:vAlign w:val="bottom"/>
          </w:tcPr>
          <w:p w14:paraId="09B3C189" w14:textId="77777777" w:rsidR="0071554F" w:rsidRPr="000B5A8D" w:rsidRDefault="0071554F" w:rsidP="00E926EF">
            <w:pPr>
              <w:rPr>
                <w:rFonts w:ascii="Calibri" w:hAnsi="Calibri" w:cs="Calibri"/>
                <w:color w:val="000000"/>
              </w:rPr>
            </w:pPr>
            <w:r w:rsidRPr="000B5A8D">
              <w:rPr>
                <w:rFonts w:ascii="Calibri" w:hAnsi="Calibri" w:cs="Calibri"/>
                <w:color w:val="000000"/>
              </w:rPr>
              <w:t>Maldives</w:t>
            </w:r>
          </w:p>
        </w:tc>
        <w:tc>
          <w:tcPr>
            <w:tcW w:w="2340" w:type="dxa"/>
            <w:vAlign w:val="bottom"/>
          </w:tcPr>
          <w:p w14:paraId="50145A45"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-4.3</w:t>
            </w:r>
          </w:p>
        </w:tc>
        <w:tc>
          <w:tcPr>
            <w:tcW w:w="2568" w:type="dxa"/>
            <w:vAlign w:val="bottom"/>
          </w:tcPr>
          <w:p w14:paraId="37D7D71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-5.54%</w:t>
            </w:r>
          </w:p>
        </w:tc>
      </w:tr>
      <w:tr w:rsidR="0071554F" w:rsidRPr="000B5A8D" w14:paraId="57502871" w14:textId="77777777" w:rsidTr="000B5A8D">
        <w:trPr>
          <w:trHeight w:val="260"/>
          <w:jc w:val="center"/>
        </w:trPr>
        <w:tc>
          <w:tcPr>
            <w:tcW w:w="1075" w:type="dxa"/>
          </w:tcPr>
          <w:p w14:paraId="547DA24E" w14:textId="77777777" w:rsidR="0071554F" w:rsidRPr="000B5A8D" w:rsidRDefault="0071554F" w:rsidP="00E926EF">
            <w:pPr>
              <w:rPr>
                <w:rFonts w:ascii="Arial" w:hAnsi="Arial" w:cs="Arial"/>
                <w:sz w:val="20"/>
                <w:szCs w:val="20"/>
              </w:rPr>
            </w:pPr>
            <w:r w:rsidRPr="000B5A8D">
              <w:rPr>
                <w:rFonts w:ascii="Arial" w:hAnsi="Arial" w:cs="Arial"/>
                <w:sz w:val="20"/>
                <w:szCs w:val="20"/>
              </w:rPr>
              <w:t>18</w:t>
            </w:r>
          </w:p>
        </w:tc>
        <w:tc>
          <w:tcPr>
            <w:tcW w:w="2160" w:type="dxa"/>
            <w:vAlign w:val="bottom"/>
          </w:tcPr>
          <w:p w14:paraId="72C86A2B" w14:textId="77777777" w:rsidR="0071554F" w:rsidRPr="000B5A8D" w:rsidRDefault="0071554F" w:rsidP="00E926EF">
            <w:pPr>
              <w:rPr>
                <w:rFonts w:ascii="Calibri" w:hAnsi="Calibri" w:cs="Calibri"/>
                <w:color w:val="000000"/>
              </w:rPr>
            </w:pPr>
            <w:r w:rsidRPr="000B5A8D">
              <w:rPr>
                <w:rFonts w:ascii="Calibri" w:hAnsi="Calibri" w:cs="Calibri"/>
                <w:color w:val="000000"/>
              </w:rPr>
              <w:t>Kazakhstan</w:t>
            </w:r>
          </w:p>
        </w:tc>
        <w:tc>
          <w:tcPr>
            <w:tcW w:w="2340" w:type="dxa"/>
            <w:vAlign w:val="bottom"/>
          </w:tcPr>
          <w:p w14:paraId="0D9DD9AD"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-4.3</w:t>
            </w:r>
          </w:p>
        </w:tc>
        <w:tc>
          <w:tcPr>
            <w:tcW w:w="2568" w:type="dxa"/>
            <w:vAlign w:val="bottom"/>
          </w:tcPr>
          <w:p w14:paraId="7BB4849B"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-0.87%</w:t>
            </w:r>
          </w:p>
        </w:tc>
      </w:tr>
      <w:tr w:rsidR="0071554F" w:rsidRPr="000B5A8D" w14:paraId="19B29B8C" w14:textId="77777777" w:rsidTr="000B5A8D">
        <w:trPr>
          <w:trHeight w:val="270"/>
          <w:jc w:val="center"/>
        </w:trPr>
        <w:tc>
          <w:tcPr>
            <w:tcW w:w="1075" w:type="dxa"/>
          </w:tcPr>
          <w:p w14:paraId="392C53E3" w14:textId="77777777" w:rsidR="0071554F" w:rsidRPr="000B5A8D" w:rsidRDefault="0071554F" w:rsidP="00E926EF">
            <w:pPr>
              <w:rPr>
                <w:rFonts w:ascii="Arial" w:hAnsi="Arial" w:cs="Arial"/>
                <w:sz w:val="20"/>
                <w:szCs w:val="20"/>
              </w:rPr>
            </w:pPr>
            <w:r w:rsidRPr="000B5A8D">
              <w:rPr>
                <w:rFonts w:ascii="Arial" w:hAnsi="Arial" w:cs="Arial"/>
                <w:sz w:val="20"/>
                <w:szCs w:val="20"/>
              </w:rPr>
              <w:t>19</w:t>
            </w:r>
          </w:p>
        </w:tc>
        <w:tc>
          <w:tcPr>
            <w:tcW w:w="2160" w:type="dxa"/>
            <w:vAlign w:val="bottom"/>
          </w:tcPr>
          <w:p w14:paraId="749B0753" w14:textId="77777777" w:rsidR="0071554F" w:rsidRPr="000B5A8D" w:rsidRDefault="0071554F" w:rsidP="00E926EF">
            <w:pPr>
              <w:rPr>
                <w:rFonts w:ascii="Calibri" w:hAnsi="Calibri" w:cs="Calibri"/>
                <w:color w:val="000000"/>
              </w:rPr>
            </w:pPr>
            <w:r w:rsidRPr="000B5A8D">
              <w:rPr>
                <w:rFonts w:ascii="Calibri" w:hAnsi="Calibri" w:cs="Calibri"/>
                <w:color w:val="000000"/>
              </w:rPr>
              <w:t>Kyrgyzstan</w:t>
            </w:r>
          </w:p>
        </w:tc>
        <w:tc>
          <w:tcPr>
            <w:tcW w:w="2340" w:type="dxa"/>
            <w:vAlign w:val="bottom"/>
          </w:tcPr>
          <w:p w14:paraId="7A74EF8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-1.6</w:t>
            </w:r>
          </w:p>
        </w:tc>
        <w:tc>
          <w:tcPr>
            <w:tcW w:w="2568" w:type="dxa"/>
            <w:vAlign w:val="bottom"/>
          </w:tcPr>
          <w:p w14:paraId="7315783C"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-9.17%</w:t>
            </w:r>
          </w:p>
        </w:tc>
      </w:tr>
      <w:tr w:rsidR="0071554F" w:rsidRPr="000B5A8D" w14:paraId="36090174" w14:textId="77777777" w:rsidTr="000B5A8D">
        <w:trPr>
          <w:trHeight w:val="270"/>
          <w:jc w:val="center"/>
        </w:trPr>
        <w:tc>
          <w:tcPr>
            <w:tcW w:w="1075" w:type="dxa"/>
          </w:tcPr>
          <w:p w14:paraId="7406062C" w14:textId="77777777" w:rsidR="0071554F" w:rsidRPr="000B5A8D" w:rsidRDefault="0071554F" w:rsidP="00E926EF">
            <w:pPr>
              <w:rPr>
                <w:rFonts w:ascii="Arial" w:hAnsi="Arial" w:cs="Arial"/>
                <w:sz w:val="20"/>
                <w:szCs w:val="20"/>
              </w:rPr>
            </w:pPr>
            <w:r w:rsidRPr="000B5A8D">
              <w:rPr>
                <w:rFonts w:ascii="Arial" w:hAnsi="Arial" w:cs="Arial"/>
                <w:sz w:val="20"/>
                <w:szCs w:val="20"/>
              </w:rPr>
              <w:t>20</w:t>
            </w:r>
          </w:p>
        </w:tc>
        <w:tc>
          <w:tcPr>
            <w:tcW w:w="2160" w:type="dxa"/>
            <w:vAlign w:val="bottom"/>
          </w:tcPr>
          <w:p w14:paraId="2627CEA8" w14:textId="77777777" w:rsidR="0071554F" w:rsidRPr="000B5A8D" w:rsidRDefault="0071554F" w:rsidP="00E926EF">
            <w:pPr>
              <w:rPr>
                <w:rFonts w:ascii="Calibri" w:hAnsi="Calibri" w:cs="Calibri"/>
                <w:color w:val="000000"/>
              </w:rPr>
            </w:pPr>
            <w:r w:rsidRPr="000B5A8D">
              <w:rPr>
                <w:rFonts w:ascii="Calibri" w:hAnsi="Calibri" w:cs="Calibri"/>
                <w:color w:val="000000"/>
              </w:rPr>
              <w:t>Armenia</w:t>
            </w:r>
          </w:p>
        </w:tc>
        <w:tc>
          <w:tcPr>
            <w:tcW w:w="2340" w:type="dxa"/>
            <w:vAlign w:val="bottom"/>
          </w:tcPr>
          <w:p w14:paraId="602FC27E"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-0.3</w:t>
            </w:r>
          </w:p>
        </w:tc>
        <w:tc>
          <w:tcPr>
            <w:tcW w:w="2568" w:type="dxa"/>
            <w:vAlign w:val="bottom"/>
          </w:tcPr>
          <w:p w14:paraId="23455635"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-0.17%</w:t>
            </w:r>
          </w:p>
        </w:tc>
      </w:tr>
      <w:tr w:rsidR="0071554F" w:rsidRPr="000B5A8D" w14:paraId="73F857C3" w14:textId="77777777" w:rsidTr="000B5A8D">
        <w:trPr>
          <w:trHeight w:val="270"/>
          <w:jc w:val="center"/>
        </w:trPr>
        <w:tc>
          <w:tcPr>
            <w:tcW w:w="1075" w:type="dxa"/>
          </w:tcPr>
          <w:p w14:paraId="12897C96" w14:textId="77777777" w:rsidR="0071554F" w:rsidRPr="000B5A8D" w:rsidRDefault="0071554F" w:rsidP="00E926EF">
            <w:pPr>
              <w:rPr>
                <w:rFonts w:ascii="Arial" w:hAnsi="Arial" w:cs="Arial"/>
                <w:sz w:val="20"/>
                <w:szCs w:val="20"/>
              </w:rPr>
            </w:pPr>
            <w:r w:rsidRPr="000B5A8D">
              <w:rPr>
                <w:rFonts w:ascii="Arial" w:hAnsi="Arial" w:cs="Arial"/>
                <w:sz w:val="20"/>
                <w:szCs w:val="20"/>
              </w:rPr>
              <w:t>21</w:t>
            </w:r>
          </w:p>
        </w:tc>
        <w:tc>
          <w:tcPr>
            <w:tcW w:w="2160" w:type="dxa"/>
            <w:vAlign w:val="bottom"/>
          </w:tcPr>
          <w:p w14:paraId="3F7D37DF" w14:textId="77777777" w:rsidR="0071554F" w:rsidRPr="000B5A8D" w:rsidRDefault="0071554F" w:rsidP="00E926EF">
            <w:pPr>
              <w:rPr>
                <w:rFonts w:ascii="Calibri" w:hAnsi="Calibri" w:cs="Calibri"/>
                <w:color w:val="000000"/>
              </w:rPr>
            </w:pPr>
            <w:r w:rsidRPr="000B5A8D">
              <w:rPr>
                <w:rFonts w:ascii="Calibri" w:hAnsi="Calibri" w:cs="Calibri"/>
                <w:color w:val="000000"/>
              </w:rPr>
              <w:t>Iceland</w:t>
            </w:r>
          </w:p>
        </w:tc>
        <w:tc>
          <w:tcPr>
            <w:tcW w:w="2340" w:type="dxa"/>
            <w:vAlign w:val="bottom"/>
          </w:tcPr>
          <w:p w14:paraId="41D5346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-0.1</w:t>
            </w:r>
          </w:p>
        </w:tc>
        <w:tc>
          <w:tcPr>
            <w:tcW w:w="2568" w:type="dxa"/>
            <w:vAlign w:val="bottom"/>
          </w:tcPr>
          <w:p w14:paraId="2B4793A8"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-0.05%</w:t>
            </w:r>
          </w:p>
        </w:tc>
      </w:tr>
      <w:tr w:rsidR="0071554F" w:rsidRPr="000B5A8D" w14:paraId="0D10A743" w14:textId="77777777" w:rsidTr="000B5A8D">
        <w:trPr>
          <w:trHeight w:val="270"/>
          <w:jc w:val="center"/>
        </w:trPr>
        <w:tc>
          <w:tcPr>
            <w:tcW w:w="1075" w:type="dxa"/>
          </w:tcPr>
          <w:p w14:paraId="194BDBD6" w14:textId="77777777" w:rsidR="0071554F" w:rsidRPr="000B5A8D" w:rsidRDefault="0071554F" w:rsidP="00E926EF">
            <w:pPr>
              <w:rPr>
                <w:rFonts w:ascii="Arial" w:hAnsi="Arial" w:cs="Arial"/>
                <w:sz w:val="20"/>
                <w:szCs w:val="20"/>
              </w:rPr>
            </w:pPr>
            <w:r w:rsidRPr="000B5A8D">
              <w:rPr>
                <w:rFonts w:ascii="Arial" w:hAnsi="Arial" w:cs="Arial"/>
                <w:sz w:val="20"/>
                <w:szCs w:val="20"/>
              </w:rPr>
              <w:t>22</w:t>
            </w:r>
          </w:p>
        </w:tc>
        <w:tc>
          <w:tcPr>
            <w:tcW w:w="2160" w:type="dxa"/>
            <w:vAlign w:val="bottom"/>
          </w:tcPr>
          <w:p w14:paraId="0E3D6E4C" w14:textId="77777777" w:rsidR="0071554F" w:rsidRPr="000B5A8D" w:rsidRDefault="0071554F" w:rsidP="00E926EF">
            <w:pPr>
              <w:rPr>
                <w:rFonts w:ascii="Calibri" w:hAnsi="Calibri" w:cs="Calibri"/>
                <w:color w:val="000000"/>
              </w:rPr>
            </w:pPr>
            <w:r w:rsidRPr="000B5A8D">
              <w:rPr>
                <w:rFonts w:ascii="Calibri" w:hAnsi="Calibri" w:cs="Calibri"/>
                <w:color w:val="000000"/>
              </w:rPr>
              <w:t>Egypt</w:t>
            </w:r>
          </w:p>
        </w:tc>
        <w:tc>
          <w:tcPr>
            <w:tcW w:w="2340" w:type="dxa"/>
            <w:vAlign w:val="bottom"/>
          </w:tcPr>
          <w:p w14:paraId="65BD0D02"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0.0</w:t>
            </w:r>
          </w:p>
        </w:tc>
        <w:tc>
          <w:tcPr>
            <w:tcW w:w="2568" w:type="dxa"/>
            <w:vAlign w:val="bottom"/>
          </w:tcPr>
          <w:p w14:paraId="20A8F6CC"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-0.05%</w:t>
            </w:r>
          </w:p>
        </w:tc>
      </w:tr>
      <w:tr w:rsidR="0071554F" w:rsidRPr="000B5A8D" w14:paraId="4F6F3D28" w14:textId="77777777" w:rsidTr="000B5A8D">
        <w:trPr>
          <w:trHeight w:val="270"/>
          <w:jc w:val="center"/>
        </w:trPr>
        <w:tc>
          <w:tcPr>
            <w:tcW w:w="1075" w:type="dxa"/>
          </w:tcPr>
          <w:p w14:paraId="52ED5CD4" w14:textId="77777777" w:rsidR="0071554F" w:rsidRPr="000B5A8D" w:rsidRDefault="0071554F" w:rsidP="00E926EF">
            <w:pPr>
              <w:rPr>
                <w:rFonts w:ascii="Arial" w:hAnsi="Arial" w:cs="Arial"/>
                <w:sz w:val="20"/>
                <w:szCs w:val="20"/>
              </w:rPr>
            </w:pPr>
            <w:r w:rsidRPr="000B5A8D">
              <w:rPr>
                <w:rFonts w:ascii="Arial" w:hAnsi="Arial" w:cs="Arial"/>
                <w:sz w:val="20"/>
                <w:szCs w:val="20"/>
              </w:rPr>
              <w:t>23</w:t>
            </w:r>
          </w:p>
        </w:tc>
        <w:tc>
          <w:tcPr>
            <w:tcW w:w="2160" w:type="dxa"/>
            <w:vAlign w:val="bottom"/>
          </w:tcPr>
          <w:p w14:paraId="770F0049" w14:textId="77777777" w:rsidR="0071554F" w:rsidRPr="000B5A8D" w:rsidRDefault="0071554F" w:rsidP="00E926EF">
            <w:pPr>
              <w:rPr>
                <w:rFonts w:ascii="Calibri" w:hAnsi="Calibri" w:cs="Calibri"/>
                <w:color w:val="000000"/>
              </w:rPr>
            </w:pPr>
            <w:r w:rsidRPr="000B5A8D">
              <w:rPr>
                <w:rFonts w:ascii="Calibri" w:hAnsi="Calibri" w:cs="Calibri"/>
                <w:color w:val="000000"/>
              </w:rPr>
              <w:t>Canada</w:t>
            </w:r>
          </w:p>
        </w:tc>
        <w:tc>
          <w:tcPr>
            <w:tcW w:w="2340" w:type="dxa"/>
            <w:vAlign w:val="bottom"/>
          </w:tcPr>
          <w:p w14:paraId="158AF778"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-18,663.0</w:t>
            </w:r>
          </w:p>
        </w:tc>
        <w:tc>
          <w:tcPr>
            <w:tcW w:w="2568" w:type="dxa"/>
            <w:vAlign w:val="bottom"/>
          </w:tcPr>
          <w:p w14:paraId="0F446F5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-92.28%</w:t>
            </w:r>
          </w:p>
        </w:tc>
      </w:tr>
    </w:tbl>
    <w:p w14:paraId="798A135A" w14:textId="77777777" w:rsidR="00116A73" w:rsidRPr="000B5A8D" w:rsidRDefault="00116A73" w:rsidP="00116A73">
      <w:pPr>
        <w:rPr>
          <w:rFonts w:ascii="Arial" w:hAnsi="Arial" w:cs="Arial"/>
          <w:b/>
        </w:rPr>
      </w:pPr>
      <w:r w:rsidRPr="000B5A8D">
        <w:rPr>
          <w:rFonts w:ascii="Arial" w:hAnsi="Arial" w:cs="Arial"/>
          <w:b/>
        </w:rPr>
        <w:t xml:space="preserve">Source: Author own calculation from TINA Simulation Tools </w:t>
      </w:r>
    </w:p>
    <w:p w14:paraId="41154C25" w14:textId="77777777" w:rsidR="00E926EF" w:rsidRPr="000B5A8D" w:rsidRDefault="00E926EF" w:rsidP="00441B6F">
      <w:pPr>
        <w:pStyle w:val="Head1"/>
        <w:spacing w:after="0"/>
        <w:jc w:val="both"/>
        <w:rPr>
          <w:rFonts w:ascii="Arial" w:hAnsi="Arial" w:cs="Arial"/>
        </w:rPr>
      </w:pPr>
    </w:p>
    <w:p w14:paraId="6917095F" w14:textId="77777777" w:rsidR="00902823" w:rsidRPr="000B5A8D" w:rsidRDefault="00206583" w:rsidP="00441B6F">
      <w:pPr>
        <w:pStyle w:val="Head1"/>
        <w:spacing w:after="0"/>
        <w:jc w:val="both"/>
        <w:rPr>
          <w:rFonts w:ascii="Arial" w:hAnsi="Arial" w:cs="Arial"/>
        </w:rPr>
      </w:pPr>
      <w:r w:rsidRPr="000B5A8D">
        <w:rPr>
          <w:rFonts w:ascii="Arial" w:hAnsi="Arial" w:cs="Arial"/>
        </w:rPr>
        <w:t>4</w:t>
      </w:r>
      <w:r w:rsidR="00902823" w:rsidRPr="000B5A8D">
        <w:rPr>
          <w:rFonts w:ascii="Arial" w:hAnsi="Arial" w:cs="Arial"/>
        </w:rPr>
        <w:t xml:space="preserve">. </w:t>
      </w:r>
      <w:r w:rsidR="00000F8F" w:rsidRPr="000B5A8D">
        <w:rPr>
          <w:rFonts w:ascii="Arial" w:hAnsi="Arial" w:cs="Arial"/>
        </w:rPr>
        <w:t>results and discussion</w:t>
      </w:r>
    </w:p>
    <w:p w14:paraId="33CF6ADD" w14:textId="77777777" w:rsidR="00620448" w:rsidRPr="000B5A8D" w:rsidRDefault="00116A73" w:rsidP="004B2E36">
      <w:pPr>
        <w:jc w:val="both"/>
        <w:rPr>
          <w:rFonts w:ascii="Arial" w:hAnsi="Arial" w:cs="Arial"/>
        </w:rPr>
      </w:pPr>
      <w:r w:rsidRPr="000B5A8D">
        <w:rPr>
          <w:rFonts w:ascii="Arial" w:hAnsi="Arial" w:cs="Arial"/>
        </w:rPr>
        <w:t>From TINA simulation analysis it was found that if Bangladesh trade preference affected under 2 bilateral and 57 trade agreements, the trade loss of Bangladesh will be US$ -17.72 billion. On the contrary to it, if we assume Bangladesh can adopts GSP plus conditions and secures preferential market access in European union</w:t>
      </w:r>
      <w:r w:rsidR="00535730" w:rsidRPr="000B5A8D">
        <w:rPr>
          <w:rFonts w:ascii="Arial" w:hAnsi="Arial" w:cs="Arial"/>
        </w:rPr>
        <w:t xml:space="preserve">, direct trade loss will be for </w:t>
      </w:r>
      <w:r w:rsidR="00155F6D" w:rsidRPr="000B5A8D">
        <w:rPr>
          <w:rFonts w:ascii="Arial" w:hAnsi="Arial" w:cs="Arial"/>
        </w:rPr>
        <w:t>Bangladesh amounting to US$ -4.26 billion. As we know that u</w:t>
      </w:r>
      <w:r w:rsidR="00620448" w:rsidRPr="000B5A8D">
        <w:rPr>
          <w:rFonts w:ascii="Arial" w:hAnsi="Arial" w:cs="Arial"/>
        </w:rPr>
        <w:t>nder the WTO's purview, those classified as least developed countries (LDCs) are entitled to special and distinctive international assistance programs.</w:t>
      </w:r>
      <w:r w:rsidR="00155F6D" w:rsidRPr="000B5A8D">
        <w:rPr>
          <w:rFonts w:ascii="Arial" w:hAnsi="Arial" w:cs="Arial"/>
        </w:rPr>
        <w:t xml:space="preserve"> For which, countries like Bangladesh becomes able to expand its export potentials titled as </w:t>
      </w:r>
      <w:r w:rsidR="00620448" w:rsidRPr="000B5A8D">
        <w:rPr>
          <w:rFonts w:ascii="Arial" w:hAnsi="Arial" w:cs="Arial"/>
        </w:rPr>
        <w:t xml:space="preserve">trade-related international support measures (ISMs) that LDCs can use are referred to as "Special and Differential Treatments" (S&amp;DT). It is beneficial to include S&amp;D provisions in WTO agreements and decisions that consider the particular needs and interests of LDCs and developing countries. </w:t>
      </w:r>
      <w:r w:rsidR="004B2E36" w:rsidRPr="000B5A8D">
        <w:rPr>
          <w:rFonts w:ascii="Arial" w:hAnsi="Arial" w:cs="Arial"/>
        </w:rPr>
        <w:t>After graduation, Bangladesh will lose preference under the following major WTO Agreements:</w:t>
      </w:r>
    </w:p>
    <w:p w14:paraId="37436299" w14:textId="77777777" w:rsidR="00620448" w:rsidRPr="000B5A8D" w:rsidRDefault="00620448" w:rsidP="00620448">
      <w:pPr>
        <w:jc w:val="both"/>
        <w:rPr>
          <w:rFonts w:ascii="Arial" w:hAnsi="Arial" w:cs="Arial"/>
        </w:rPr>
      </w:pPr>
    </w:p>
    <w:p w14:paraId="2F2A57E8" w14:textId="7777777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4E3D50" w:rsidRPr="000B5A8D">
        <w:rPr>
          <w:rFonts w:ascii="Arial" w:hAnsi="Arial" w:cs="Arial"/>
          <w:b/>
          <w:color w:val="000000"/>
          <w:sz w:val="22"/>
          <w:szCs w:val="22"/>
        </w:rPr>
        <w:t>.</w:t>
      </w:r>
      <w:r w:rsidR="00620448" w:rsidRPr="000B5A8D">
        <w:rPr>
          <w:rFonts w:ascii="Arial" w:hAnsi="Arial" w:cs="Arial"/>
          <w:b/>
          <w:color w:val="000000"/>
          <w:sz w:val="22"/>
          <w:szCs w:val="22"/>
        </w:rPr>
        <w:t xml:space="preserve">1 </w:t>
      </w:r>
      <w:r w:rsidR="004E3D50" w:rsidRPr="000B5A8D">
        <w:rPr>
          <w:rFonts w:ascii="Arial" w:hAnsi="Arial" w:cs="Arial"/>
          <w:b/>
          <w:color w:val="000000"/>
          <w:sz w:val="22"/>
          <w:szCs w:val="22"/>
        </w:rPr>
        <w:t xml:space="preserve">Preference Loss under </w:t>
      </w:r>
      <w:r w:rsidR="00620448" w:rsidRPr="000B5A8D">
        <w:rPr>
          <w:rFonts w:ascii="Arial" w:hAnsi="Arial" w:cs="Arial"/>
          <w:b/>
          <w:color w:val="000000"/>
          <w:sz w:val="22"/>
          <w:szCs w:val="22"/>
        </w:rPr>
        <w:t>Agreement on Agriculture (</w:t>
      </w:r>
      <w:proofErr w:type="spellStart"/>
      <w:r w:rsidR="00620448" w:rsidRPr="000B5A8D">
        <w:rPr>
          <w:rFonts w:ascii="Arial" w:hAnsi="Arial" w:cs="Arial"/>
          <w:b/>
          <w:color w:val="000000"/>
          <w:sz w:val="22"/>
          <w:szCs w:val="22"/>
        </w:rPr>
        <w:t>AoA</w:t>
      </w:r>
      <w:proofErr w:type="spellEnd"/>
      <w:r w:rsidR="00620448" w:rsidRPr="000B5A8D">
        <w:rPr>
          <w:rFonts w:ascii="Arial" w:hAnsi="Arial" w:cs="Arial"/>
          <w:b/>
          <w:color w:val="000000"/>
          <w:sz w:val="22"/>
          <w:szCs w:val="22"/>
        </w:rPr>
        <w:t>)</w:t>
      </w:r>
    </w:p>
    <w:p w14:paraId="067B2E56" w14:textId="77777777" w:rsidR="00AA04F7" w:rsidRPr="000B5A8D" w:rsidRDefault="00620448" w:rsidP="00620448">
      <w:pPr>
        <w:jc w:val="both"/>
        <w:rPr>
          <w:rFonts w:ascii="Arial" w:hAnsi="Arial" w:cs="Arial"/>
        </w:rPr>
      </w:pPr>
      <w:r w:rsidRPr="000B5A8D">
        <w:rPr>
          <w:rFonts w:ascii="Arial" w:hAnsi="Arial" w:cs="Arial"/>
        </w:rPr>
        <w:t>By creating legally enforceable obligations in three key areas—market access, domestic assistance, and export competition—the agriculture agreement has three S&amp;DT provisions for LDCs (Article 15.2, Article 16.1, and Article 16.2) which offer a framework for reducing agricultural support and protection. The objective was to reduce tariffs by 36% by developed nations and for developing countries to reduce them by 24%. LDCs were not required to commit to any tariff reductions</w:t>
      </w:r>
      <w:r w:rsidR="004E3D50" w:rsidRPr="000B5A8D">
        <w:rPr>
          <w:rFonts w:ascii="Arial" w:hAnsi="Arial" w:cs="Arial"/>
        </w:rPr>
        <w:t xml:space="preserve"> (WTO Agreement on Agriculture)</w:t>
      </w:r>
      <w:r w:rsidRPr="000B5A8D">
        <w:rPr>
          <w:rFonts w:ascii="Arial" w:hAnsi="Arial" w:cs="Arial"/>
        </w:rPr>
        <w:t>.</w:t>
      </w:r>
      <w:r w:rsidR="00AA04F7" w:rsidRPr="000B5A8D">
        <w:rPr>
          <w:rFonts w:ascii="Arial" w:hAnsi="Arial" w:cs="Arial"/>
        </w:rPr>
        <w:t xml:space="preserve"> Product specific and non-product specific in agriculture sector support are exempted from reduction of subsidies under this agreement if they do not exceed 5% of the value of production for developed countries. </w:t>
      </w:r>
      <w:r w:rsidR="00AA04F7" w:rsidRPr="000B5A8D">
        <w:t>For developing countries, the de minimis ceiling is set at 10%.</w:t>
      </w:r>
    </w:p>
    <w:p w14:paraId="3EAD3E8F" w14:textId="77777777" w:rsidR="00620448" w:rsidRPr="000B5A8D" w:rsidRDefault="00620448" w:rsidP="00620448">
      <w:pPr>
        <w:jc w:val="both"/>
        <w:rPr>
          <w:rFonts w:ascii="Arial" w:hAnsi="Arial" w:cs="Arial"/>
        </w:rPr>
      </w:pPr>
    </w:p>
    <w:p w14:paraId="1745B8F6" w14:textId="77777777" w:rsidR="00620448" w:rsidRPr="000B5A8D" w:rsidRDefault="00206583" w:rsidP="00620448">
      <w:pPr>
        <w:pStyle w:val="Heading3"/>
        <w:ind w:left="720" w:hanging="720"/>
        <w:rPr>
          <w:rFonts w:ascii="Arial" w:hAnsi="Arial" w:cs="Arial"/>
          <w:color w:val="000000"/>
          <w:sz w:val="20"/>
          <w:szCs w:val="20"/>
        </w:rPr>
      </w:pPr>
      <w:r w:rsidRPr="000B5A8D">
        <w:rPr>
          <w:rFonts w:ascii="Arial" w:hAnsi="Arial" w:cs="Arial"/>
          <w:b/>
          <w:color w:val="000000"/>
          <w:sz w:val="20"/>
          <w:szCs w:val="20"/>
        </w:rPr>
        <w:t>4</w:t>
      </w:r>
      <w:r w:rsidR="004E3D50" w:rsidRPr="000B5A8D">
        <w:rPr>
          <w:rFonts w:ascii="Arial" w:hAnsi="Arial" w:cs="Arial"/>
          <w:b/>
          <w:color w:val="000000"/>
          <w:sz w:val="20"/>
          <w:szCs w:val="20"/>
        </w:rPr>
        <w:t>.2</w:t>
      </w:r>
      <w:r w:rsidR="00620448" w:rsidRPr="000B5A8D">
        <w:rPr>
          <w:rFonts w:ascii="Arial" w:hAnsi="Arial" w:cs="Arial"/>
          <w:color w:val="000000"/>
          <w:sz w:val="20"/>
          <w:szCs w:val="20"/>
        </w:rPr>
        <w:t xml:space="preserve"> </w:t>
      </w:r>
      <w:r w:rsidR="004E3D50" w:rsidRPr="000B5A8D">
        <w:rPr>
          <w:rFonts w:ascii="Arial" w:hAnsi="Arial" w:cs="Arial"/>
          <w:b/>
          <w:color w:val="000000"/>
          <w:sz w:val="22"/>
          <w:szCs w:val="22"/>
        </w:rPr>
        <w:t xml:space="preserve">Preference Loss under </w:t>
      </w:r>
      <w:r w:rsidR="00620448" w:rsidRPr="000B5A8D">
        <w:rPr>
          <w:rFonts w:ascii="Arial" w:hAnsi="Arial" w:cs="Arial"/>
          <w:b/>
          <w:color w:val="000000"/>
          <w:sz w:val="22"/>
          <w:szCs w:val="22"/>
        </w:rPr>
        <w:t>WTO Agreement on Subsidies and Countervailing Measures (SCM)</w:t>
      </w:r>
    </w:p>
    <w:p w14:paraId="68D57401" w14:textId="77777777" w:rsidR="00620448" w:rsidRPr="000B5A8D" w:rsidRDefault="00620448" w:rsidP="00620448">
      <w:pPr>
        <w:jc w:val="both"/>
        <w:rPr>
          <w:rFonts w:ascii="Arial" w:hAnsi="Arial" w:cs="Arial"/>
        </w:rPr>
      </w:pPr>
      <w:r w:rsidRPr="000B5A8D">
        <w:rPr>
          <w:rFonts w:ascii="Arial" w:hAnsi="Arial" w:cs="Arial"/>
        </w:rPr>
        <w:t>While export subsidies for non-agricultural goods are forbidden by the SCM Agreement, LDC members are granted S&amp;DT under Article 27</w:t>
      </w:r>
      <w:r w:rsidR="004B2E36" w:rsidRPr="000B5A8D">
        <w:rPr>
          <w:rFonts w:ascii="Arial" w:hAnsi="Arial" w:cs="Arial"/>
        </w:rPr>
        <w:t xml:space="preserve"> of SCM</w:t>
      </w:r>
      <w:r w:rsidRPr="000B5A8D">
        <w:rPr>
          <w:rFonts w:ascii="Arial" w:hAnsi="Arial" w:cs="Arial"/>
        </w:rPr>
        <w:t>. LDC members are immune from the SCM Agreement's ban on export subsidies, as stated in Article 27.2 and Annex VII(a). This section of the agreement recognizes that subsidies, particularly those focused on exports, may be extremely important for the growth of economies and trade in developing nations. Until their GNI per capita hits $1,000 in constant 1990 dollars, developing nation members specified in Annex VII(b) are likewise immune from this limitation, in addition to the LDCs. Although the nations specified in Annex VII (b) are permitted to offer export subsidies, they are subject to an annual review. However, this exemption no longer applies if a product becomes globally competitive, meaning it holds a 3.25% share of global exports</w:t>
      </w:r>
      <w:r w:rsidR="004E3D50" w:rsidRPr="000B5A8D">
        <w:rPr>
          <w:rFonts w:ascii="Arial" w:hAnsi="Arial" w:cs="Arial"/>
        </w:rPr>
        <w:t xml:space="preserve"> (WTO Agreement on SCM, 2017)</w:t>
      </w:r>
      <w:r w:rsidRPr="000B5A8D">
        <w:rPr>
          <w:rFonts w:ascii="Arial" w:hAnsi="Arial" w:cs="Arial"/>
        </w:rPr>
        <w:t>.</w:t>
      </w:r>
    </w:p>
    <w:p w14:paraId="5FD044DF" w14:textId="77777777" w:rsidR="004E3D50" w:rsidRPr="000B5A8D" w:rsidRDefault="004E3D50" w:rsidP="00620448">
      <w:pPr>
        <w:jc w:val="both"/>
        <w:rPr>
          <w:rFonts w:ascii="Arial" w:hAnsi="Arial" w:cs="Arial"/>
        </w:rPr>
      </w:pPr>
    </w:p>
    <w:p w14:paraId="53EEF82D" w14:textId="7777777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185EA6" w:rsidRPr="000B5A8D">
        <w:rPr>
          <w:rFonts w:ascii="Arial" w:hAnsi="Arial" w:cs="Arial"/>
          <w:b/>
          <w:color w:val="000000"/>
          <w:sz w:val="22"/>
          <w:szCs w:val="22"/>
        </w:rPr>
        <w:t>.3</w:t>
      </w:r>
      <w:r w:rsidR="00620448" w:rsidRPr="000B5A8D">
        <w:rPr>
          <w:rFonts w:ascii="Arial" w:hAnsi="Arial" w:cs="Arial"/>
          <w:b/>
          <w:color w:val="000000"/>
          <w:sz w:val="22"/>
          <w:szCs w:val="22"/>
        </w:rPr>
        <w:t xml:space="preserve"> </w:t>
      </w:r>
      <w:r w:rsidR="004E3D50" w:rsidRPr="000B5A8D">
        <w:rPr>
          <w:rFonts w:ascii="Arial" w:hAnsi="Arial" w:cs="Arial"/>
          <w:b/>
          <w:color w:val="000000"/>
          <w:sz w:val="22"/>
          <w:szCs w:val="22"/>
        </w:rPr>
        <w:t xml:space="preserve">Preference Loss </w:t>
      </w:r>
      <w:r w:rsidR="00620448" w:rsidRPr="000B5A8D">
        <w:rPr>
          <w:rFonts w:ascii="Arial" w:hAnsi="Arial" w:cs="Arial"/>
          <w:b/>
          <w:color w:val="000000"/>
          <w:sz w:val="22"/>
          <w:szCs w:val="22"/>
        </w:rPr>
        <w:t>Under TRIPS Agreement</w:t>
      </w:r>
    </w:p>
    <w:p w14:paraId="11B3B609" w14:textId="77777777" w:rsidR="00620448" w:rsidRPr="000B5A8D" w:rsidRDefault="00620448" w:rsidP="00620448">
      <w:pPr>
        <w:jc w:val="both"/>
        <w:rPr>
          <w:rFonts w:ascii="Arial" w:hAnsi="Arial" w:cs="Arial"/>
        </w:rPr>
      </w:pPr>
      <w:r w:rsidRPr="000B5A8D">
        <w:rPr>
          <w:rFonts w:ascii="Arial" w:hAnsi="Arial" w:cs="Arial"/>
        </w:rPr>
        <w:t xml:space="preserve">The TRIPS Agreement gives LDCs special flexibility as LDCs were initially granted an 11-year transition period under the TRIPS Agreement, which allowed them to postpone implementing the Agreement's terms until 2005. The transition period later was extended three times (in 2005, 2013, and 2021). This transition time was further extended until January 1, 2033, or until a member's LDC status expires, whichever comes first. Bangladesh would be immune from pharmaceutical patents until 2026 as a least developed nation under the WTO's TRIPS agreement. Due to the WTO TRIPS agreement's flexibilities and the assistance provided by the National Drug Control Ordinance (1982), Bangladeshi companies have benefited from favorable provisions that have increased domestic pharmaceutical production through import substitution and reduced foreign exchange costs associated with pharmaceutical imports. </w:t>
      </w:r>
    </w:p>
    <w:p w14:paraId="365B2906" w14:textId="77777777" w:rsidR="00620448" w:rsidRPr="000B5A8D" w:rsidRDefault="00620448" w:rsidP="00620448">
      <w:pPr>
        <w:jc w:val="both"/>
        <w:rPr>
          <w:rFonts w:ascii="Arial" w:hAnsi="Arial" w:cs="Arial"/>
        </w:rPr>
      </w:pPr>
    </w:p>
    <w:p w14:paraId="62419608" w14:textId="7777777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185EA6" w:rsidRPr="000B5A8D">
        <w:rPr>
          <w:rFonts w:ascii="Arial" w:hAnsi="Arial" w:cs="Arial"/>
          <w:b/>
          <w:color w:val="000000"/>
          <w:sz w:val="22"/>
          <w:szCs w:val="22"/>
        </w:rPr>
        <w:t>.4</w:t>
      </w:r>
      <w:r w:rsidR="00620448" w:rsidRPr="000B5A8D">
        <w:rPr>
          <w:rFonts w:ascii="Arial" w:hAnsi="Arial" w:cs="Arial"/>
          <w:b/>
          <w:color w:val="000000"/>
          <w:sz w:val="22"/>
          <w:szCs w:val="22"/>
        </w:rPr>
        <w:t xml:space="preserve"> </w:t>
      </w:r>
      <w:r w:rsidR="004E3D50" w:rsidRPr="000B5A8D">
        <w:rPr>
          <w:rFonts w:ascii="Arial" w:hAnsi="Arial" w:cs="Arial"/>
          <w:b/>
          <w:color w:val="000000"/>
          <w:sz w:val="22"/>
          <w:szCs w:val="22"/>
        </w:rPr>
        <w:t xml:space="preserve">Obligation under </w:t>
      </w:r>
      <w:r w:rsidR="00620448" w:rsidRPr="000B5A8D">
        <w:rPr>
          <w:rFonts w:ascii="Arial" w:hAnsi="Arial" w:cs="Arial"/>
          <w:b/>
          <w:color w:val="000000"/>
          <w:sz w:val="22"/>
          <w:szCs w:val="22"/>
        </w:rPr>
        <w:t xml:space="preserve">Trade Facilitation Agreement (TFA) </w:t>
      </w:r>
    </w:p>
    <w:p w14:paraId="09259C5B" w14:textId="77777777" w:rsidR="00620448" w:rsidRPr="000B5A8D" w:rsidRDefault="00620448" w:rsidP="00620448">
      <w:pPr>
        <w:jc w:val="both"/>
        <w:rPr>
          <w:rFonts w:ascii="Arial" w:hAnsi="Arial" w:cs="Arial"/>
        </w:rPr>
      </w:pPr>
      <w:r w:rsidRPr="000B5A8D">
        <w:rPr>
          <w:rFonts w:ascii="Arial" w:hAnsi="Arial" w:cs="Arial"/>
        </w:rPr>
        <w:t>Regarding the notification under TFA, LDCs have been granted more time than developing nations to implement different types of obligations. Longer notice periods for both indicative and definite implementation dates for category B and C commitments are advantageous to LDCs. Longer dispute resolution grace periods—six years for category A obligations and eight years for category B and C commitments—are also advantageous to LDCs.  Under the Early Warning Mechanism, LDCs are also given greater flexibility in extending the dates on which category B or C commitments must be implemented</w:t>
      </w:r>
      <w:r w:rsidR="004E3D50" w:rsidRPr="000B5A8D">
        <w:rPr>
          <w:rFonts w:ascii="Arial" w:hAnsi="Arial" w:cs="Arial"/>
        </w:rPr>
        <w:t xml:space="preserve"> flexibility (WTO Agreement on TFA, 2017)</w:t>
      </w:r>
      <w:r w:rsidRPr="000B5A8D">
        <w:rPr>
          <w:rFonts w:ascii="Arial" w:hAnsi="Arial" w:cs="Arial"/>
        </w:rPr>
        <w:t xml:space="preserve">. </w:t>
      </w:r>
    </w:p>
    <w:p w14:paraId="02EC14AC" w14:textId="77777777" w:rsidR="00620448" w:rsidRPr="000B5A8D" w:rsidRDefault="00620448" w:rsidP="00620448">
      <w:pPr>
        <w:jc w:val="both"/>
        <w:rPr>
          <w:rFonts w:ascii="Arial" w:hAnsi="Arial" w:cs="Arial"/>
        </w:rPr>
      </w:pPr>
    </w:p>
    <w:p w14:paraId="35E1B425" w14:textId="7777777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185EA6" w:rsidRPr="000B5A8D">
        <w:rPr>
          <w:rFonts w:ascii="Arial" w:hAnsi="Arial" w:cs="Arial"/>
          <w:b/>
          <w:color w:val="000000"/>
          <w:sz w:val="22"/>
          <w:szCs w:val="22"/>
        </w:rPr>
        <w:t>.5</w:t>
      </w:r>
      <w:r w:rsidR="00620448" w:rsidRPr="000B5A8D">
        <w:rPr>
          <w:rFonts w:ascii="Arial" w:hAnsi="Arial" w:cs="Arial"/>
          <w:b/>
          <w:color w:val="000000"/>
          <w:sz w:val="22"/>
          <w:szCs w:val="22"/>
        </w:rPr>
        <w:t xml:space="preserve"> Compliance with WTO SPS agreement</w:t>
      </w:r>
    </w:p>
    <w:p w14:paraId="2EC8C8FC" w14:textId="77777777" w:rsidR="00620448" w:rsidRPr="000B5A8D" w:rsidRDefault="00620448" w:rsidP="00620448">
      <w:pPr>
        <w:jc w:val="both"/>
        <w:rPr>
          <w:rFonts w:ascii="Arial" w:eastAsia="Book Antiqua" w:hAnsi="Arial" w:cs="Arial"/>
        </w:rPr>
      </w:pPr>
      <w:r w:rsidRPr="000B5A8D">
        <w:rPr>
          <w:rFonts w:ascii="Arial" w:eastAsia="Book Antiqua" w:hAnsi="Arial" w:cs="Arial"/>
        </w:rPr>
        <w:t>LDC members are given extended periods for having compliance with SPS on the product in which developing nations have an interest as per SPS Article 10(2). Members of the least-developed countries may postpone the implementation of this Agreement's provisions for a maximum of five years, whereas developing nations (apart from LDCs) may postpone for two years. Similar to this, the Committee may grant developing country members, upon request, specific, time-limited exemptions in whole or in part from obligations under this Agreement, considering their technical, trade, and development needs as per SPS Article 10(3).</w:t>
      </w:r>
      <w:r w:rsidR="00AA04F7" w:rsidRPr="000B5A8D">
        <w:rPr>
          <w:rFonts w:ascii="Arial" w:eastAsia="Book Antiqua" w:hAnsi="Arial" w:cs="Arial"/>
        </w:rPr>
        <w:t xml:space="preserve"> </w:t>
      </w:r>
      <w:r w:rsidRPr="000B5A8D">
        <w:rPr>
          <w:rFonts w:ascii="Arial" w:eastAsia="Book Antiqua" w:hAnsi="Arial" w:cs="Arial"/>
        </w:rPr>
        <w:t>Bangladesh exporters cannot follow the Codex Alimentarius Standard for food, IPPC for Plant and Plant related products and the World Organization of Animal Health (WOAH) for animal-origin products properly.</w:t>
      </w:r>
    </w:p>
    <w:p w14:paraId="67D33859" w14:textId="77777777" w:rsidR="0071554F" w:rsidRPr="000B5A8D" w:rsidRDefault="0071554F" w:rsidP="00620448">
      <w:pPr>
        <w:jc w:val="both"/>
        <w:rPr>
          <w:rFonts w:ascii="Arial" w:eastAsia="Book Antiqua" w:hAnsi="Arial" w:cs="Arial"/>
        </w:rPr>
      </w:pPr>
    </w:p>
    <w:p w14:paraId="2D258F24" w14:textId="7777777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lastRenderedPageBreak/>
        <w:t>4</w:t>
      </w:r>
      <w:r w:rsidR="00185EA6" w:rsidRPr="000B5A8D">
        <w:rPr>
          <w:rFonts w:ascii="Arial" w:hAnsi="Arial" w:cs="Arial"/>
          <w:b/>
          <w:color w:val="000000"/>
          <w:sz w:val="22"/>
          <w:szCs w:val="22"/>
        </w:rPr>
        <w:t>.6</w:t>
      </w:r>
      <w:r w:rsidR="00620448" w:rsidRPr="000B5A8D">
        <w:rPr>
          <w:rFonts w:ascii="Arial" w:hAnsi="Arial" w:cs="Arial"/>
          <w:b/>
          <w:color w:val="000000"/>
          <w:sz w:val="22"/>
          <w:szCs w:val="22"/>
        </w:rPr>
        <w:t xml:space="preserve"> Compliance with WTO TBT Agreement</w:t>
      </w:r>
    </w:p>
    <w:p w14:paraId="14F125A2" w14:textId="77777777" w:rsidR="00620448" w:rsidRPr="000B5A8D" w:rsidRDefault="00620448" w:rsidP="00620448">
      <w:pPr>
        <w:widowControl w:val="0"/>
        <w:autoSpaceDE w:val="0"/>
        <w:autoSpaceDN w:val="0"/>
        <w:jc w:val="both"/>
        <w:rPr>
          <w:rFonts w:ascii="Arial" w:eastAsia="Book Antiqua" w:hAnsi="Arial" w:cs="Arial"/>
        </w:rPr>
      </w:pPr>
      <w:r w:rsidRPr="000B5A8D">
        <w:rPr>
          <w:rFonts w:ascii="Arial" w:eastAsia="Book Antiqua" w:hAnsi="Arial" w:cs="Arial"/>
        </w:rPr>
        <w:t xml:space="preserve">However, under Article 12(7)-TBT, members should pay special attention to the provisions of this Agreement about the rights and duties of developing country Members. TBT Article 12(4) called on members to acknowledge that, despite the existence of international standards, guidelines, or recommendations, developing country members adopt specific technical regulations, standards, or conformity assessment procedures to preserve indigenous technology and production methods and processes that are compatible with their development needs, given their unique technological and socioeconomic circumstances. Similarly, as per Article 12(3) TBT, members must consider the unique development, financial, and trade requirements of developing country members when drafting and implementing technical regulations, standards, and conformity assessment procedures. This is done to make sure that these measures do not unnecessarily impede exports from developing country Members. This is to inform you, that Bangladesh Standard and Testing Authorities have accredited testing procedures for 35 products with 125 parameters and around 4500 Bangladeshi-developed standards and only 75 products are under Compulsory Marking Systems (CMS) of BSTI. It implies standard compliance of a product is not properly both in export and domestic market. As a result, Bangladesh is probably facing more non-tariff barriers than tariff barriers after graduation, creating a critical barrier to market access after graduation.  </w:t>
      </w:r>
    </w:p>
    <w:p w14:paraId="023D6B42" w14:textId="77777777" w:rsidR="00620448" w:rsidRPr="000B5A8D" w:rsidRDefault="00620448" w:rsidP="00620448">
      <w:pPr>
        <w:widowControl w:val="0"/>
        <w:autoSpaceDE w:val="0"/>
        <w:autoSpaceDN w:val="0"/>
        <w:jc w:val="both"/>
        <w:rPr>
          <w:rFonts w:ascii="Arial" w:eastAsia="Book Antiqua" w:hAnsi="Arial" w:cs="Arial"/>
        </w:rPr>
      </w:pPr>
    </w:p>
    <w:p w14:paraId="09486752" w14:textId="7777777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185EA6" w:rsidRPr="000B5A8D">
        <w:rPr>
          <w:rFonts w:ascii="Arial" w:hAnsi="Arial" w:cs="Arial"/>
          <w:b/>
          <w:color w:val="000000"/>
          <w:sz w:val="22"/>
          <w:szCs w:val="22"/>
        </w:rPr>
        <w:t>.7</w:t>
      </w:r>
      <w:r w:rsidR="00620448" w:rsidRPr="000B5A8D">
        <w:rPr>
          <w:rFonts w:ascii="Arial" w:hAnsi="Arial" w:cs="Arial"/>
          <w:b/>
          <w:color w:val="000000"/>
          <w:sz w:val="22"/>
          <w:szCs w:val="22"/>
        </w:rPr>
        <w:t xml:space="preserve"> Balance-of-Payments provisions of General Agreements on Tariffs and Trade (GATT) under Articles XII and XVIII</w:t>
      </w:r>
    </w:p>
    <w:p w14:paraId="39B06BF0" w14:textId="77777777" w:rsidR="00620448" w:rsidRPr="000B5A8D" w:rsidRDefault="00620448" w:rsidP="00620448">
      <w:pPr>
        <w:jc w:val="both"/>
        <w:rPr>
          <w:rFonts w:ascii="Arial" w:hAnsi="Arial" w:cs="Arial"/>
        </w:rPr>
      </w:pPr>
      <w:r w:rsidRPr="000B5A8D">
        <w:rPr>
          <w:rFonts w:ascii="Arial" w:hAnsi="Arial" w:cs="Arial"/>
        </w:rPr>
        <w:t>According to paragraph 1 of Articles XII and XVIII: B of the GATT 1994 and the adopted Declaration on Trade Measures Taken for Balance-of-Payments Purposes, WTO members must reaffirm their commitment to publicly announce time-schedules for the removal of restrictive import measures taken for balance-of-payments purposes. As an LDC, Bangladesh notifies the General Council of the potential timeline for lifting import restrictions in order to address the balance of payments issue, without providing a rationale. According to paragraph 3 of the same article, members must refrain from imposing new quantitative restrictions for Balance-of-Payments purposes after graduation unless price-based measures are unable to stop a significant decline in the external payments position due to a critical Balance-of-Payments situation.</w:t>
      </w:r>
    </w:p>
    <w:p w14:paraId="4029BB08" w14:textId="77777777" w:rsidR="00620448" w:rsidRPr="000B5A8D" w:rsidRDefault="00620448" w:rsidP="00620448">
      <w:pPr>
        <w:jc w:val="both"/>
        <w:rPr>
          <w:rFonts w:ascii="Arial" w:hAnsi="Arial" w:cs="Arial"/>
          <w:b/>
        </w:rPr>
      </w:pPr>
    </w:p>
    <w:p w14:paraId="1BF8FF32" w14:textId="77777777" w:rsidR="00620448" w:rsidRPr="000B5A8D" w:rsidRDefault="00620448" w:rsidP="00620448">
      <w:pPr>
        <w:jc w:val="both"/>
        <w:rPr>
          <w:rFonts w:ascii="Arial" w:hAnsi="Arial" w:cs="Arial"/>
        </w:rPr>
      </w:pPr>
      <w:r w:rsidRPr="000B5A8D">
        <w:rPr>
          <w:rFonts w:ascii="Arial" w:hAnsi="Arial" w:cs="Arial"/>
          <w:b/>
        </w:rPr>
        <w:t xml:space="preserve">Valuation of Goods at Customs Article VII of General Agreement on Tariffs and Trade (GATT) 1994: </w:t>
      </w:r>
      <w:r w:rsidRPr="000B5A8D">
        <w:rPr>
          <w:rFonts w:ascii="Arial" w:hAnsi="Arial" w:cs="Arial"/>
        </w:rPr>
        <w:t>Article VII of the General Agreement on Tariffs and Trade (GATT) 1994 states that the customs value of imported goods will be the transaction value, or the price actually paid or payable for the goods when they are sold for export to the country of importation —will be the customs value of imported goods, adjusted in line with the terms of Article 7, Paragraph (2) b of the agreement. As a World Trade Organization member, Bangladesh ratified the Agreement on Customs Valuation and, as a result, Bangladesh bases its customs valuation on the transaction value idea. However, Bangladesh also adheres to the Customs Act 2023's minimum tariff value regulations for some products till now.</w:t>
      </w:r>
    </w:p>
    <w:p w14:paraId="3A62DA1C" w14:textId="77777777" w:rsidR="00620448" w:rsidRPr="000B5A8D" w:rsidRDefault="00620448" w:rsidP="00620448">
      <w:pPr>
        <w:jc w:val="both"/>
        <w:rPr>
          <w:rFonts w:ascii="Arial" w:hAnsi="Arial" w:cs="Arial"/>
        </w:rPr>
      </w:pPr>
    </w:p>
    <w:p w14:paraId="7D563FCE" w14:textId="77777777" w:rsidR="00620448" w:rsidRPr="000B5A8D" w:rsidRDefault="00206583" w:rsidP="00185EA6">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185EA6" w:rsidRPr="000B5A8D">
        <w:rPr>
          <w:rFonts w:ascii="Arial" w:hAnsi="Arial" w:cs="Arial"/>
          <w:b/>
          <w:color w:val="000000"/>
          <w:sz w:val="22"/>
          <w:szCs w:val="22"/>
        </w:rPr>
        <w:t>.8</w:t>
      </w:r>
      <w:r w:rsidR="00620448" w:rsidRPr="000B5A8D">
        <w:rPr>
          <w:rFonts w:ascii="Arial" w:hAnsi="Arial" w:cs="Arial"/>
          <w:b/>
          <w:color w:val="000000"/>
          <w:sz w:val="22"/>
          <w:szCs w:val="22"/>
        </w:rPr>
        <w:t xml:space="preserve"> Preferential Rules of Origin (</w:t>
      </w:r>
      <w:proofErr w:type="spellStart"/>
      <w:r w:rsidR="00620448" w:rsidRPr="000B5A8D">
        <w:rPr>
          <w:rFonts w:ascii="Arial" w:hAnsi="Arial" w:cs="Arial"/>
          <w:b/>
          <w:color w:val="000000"/>
          <w:sz w:val="22"/>
          <w:szCs w:val="22"/>
        </w:rPr>
        <w:t>RoO</w:t>
      </w:r>
      <w:proofErr w:type="spellEnd"/>
      <w:r w:rsidR="00620448" w:rsidRPr="000B5A8D">
        <w:rPr>
          <w:rFonts w:ascii="Arial" w:hAnsi="Arial" w:cs="Arial"/>
          <w:b/>
          <w:color w:val="000000"/>
          <w:sz w:val="22"/>
          <w:szCs w:val="22"/>
        </w:rPr>
        <w:t>) for goods</w:t>
      </w:r>
    </w:p>
    <w:p w14:paraId="70DAC7A8" w14:textId="77777777" w:rsidR="00620448" w:rsidRPr="000B5A8D" w:rsidRDefault="00620448" w:rsidP="00620448">
      <w:pPr>
        <w:jc w:val="both"/>
        <w:rPr>
          <w:rFonts w:ascii="Arial" w:hAnsi="Arial" w:cs="Arial"/>
        </w:rPr>
      </w:pPr>
      <w:r w:rsidRPr="000B5A8D">
        <w:rPr>
          <w:rFonts w:ascii="Arial" w:hAnsi="Arial" w:cs="Arial"/>
        </w:rPr>
        <w:t>The loss of beneficial Rules of Origin (</w:t>
      </w:r>
      <w:proofErr w:type="spellStart"/>
      <w:r w:rsidRPr="000B5A8D">
        <w:rPr>
          <w:rFonts w:ascii="Arial" w:hAnsi="Arial" w:cs="Arial"/>
        </w:rPr>
        <w:t>RoO</w:t>
      </w:r>
      <w:proofErr w:type="spellEnd"/>
      <w:r w:rsidRPr="000B5A8D">
        <w:rPr>
          <w:rFonts w:ascii="Arial" w:hAnsi="Arial" w:cs="Arial"/>
        </w:rPr>
        <w:t>) for privileged access would have a major effect on Bangladesh's exports of clothing. The EU only requires a single stage of transformation for RMG exports from Bangladesh, and other poor nations enjoy comparable benefits. These regulations will become much stricter after graduation, increasing costs and eventually weakening Bangladesh RMG's competitive edge. Under the EBA system, LDC companies are only obliged to carry out a "single-stage transformation" from fabrics to garments when exporting apparel to the EU but double-stage transformation of HS Code from fiber to fabric to clothing would be required under the standard GSP. </w:t>
      </w:r>
    </w:p>
    <w:p w14:paraId="142A61C2" w14:textId="77777777" w:rsidR="00620448" w:rsidRPr="000B5A8D" w:rsidRDefault="00620448" w:rsidP="00620448">
      <w:pPr>
        <w:pStyle w:val="Caption"/>
        <w:spacing w:after="0"/>
        <w:rPr>
          <w:rFonts w:ascii="Arial" w:hAnsi="Arial" w:cs="Arial"/>
          <w:i w:val="0"/>
          <w:color w:val="auto"/>
          <w:sz w:val="20"/>
          <w:szCs w:val="20"/>
        </w:rPr>
      </w:pPr>
    </w:p>
    <w:p w14:paraId="38F50E58" w14:textId="4A64BA16" w:rsidR="00620448" w:rsidRPr="000B5A8D" w:rsidRDefault="00620448" w:rsidP="00620448">
      <w:pPr>
        <w:pStyle w:val="Caption"/>
        <w:spacing w:after="0"/>
        <w:rPr>
          <w:rFonts w:ascii="Arial" w:hAnsi="Arial" w:cs="Arial"/>
          <w:i w:val="0"/>
          <w:color w:val="auto"/>
          <w:sz w:val="20"/>
          <w:szCs w:val="20"/>
        </w:rPr>
      </w:pPr>
      <w:r w:rsidRPr="000B5A8D">
        <w:rPr>
          <w:rFonts w:ascii="Arial" w:hAnsi="Arial" w:cs="Arial"/>
          <w:i w:val="0"/>
          <w:color w:val="auto"/>
          <w:sz w:val="20"/>
          <w:szCs w:val="20"/>
        </w:rPr>
        <w:t xml:space="preserve">Table </w:t>
      </w:r>
      <w:r w:rsidR="003674E0">
        <w:rPr>
          <w:rFonts w:ascii="Arial" w:hAnsi="Arial" w:cs="Arial"/>
          <w:i w:val="0"/>
          <w:color w:val="auto"/>
          <w:sz w:val="20"/>
          <w:szCs w:val="20"/>
        </w:rPr>
        <w:t>5</w:t>
      </w:r>
      <w:r w:rsidRPr="000B5A8D">
        <w:rPr>
          <w:rFonts w:ascii="Arial" w:hAnsi="Arial" w:cs="Arial"/>
          <w:i w:val="0"/>
          <w:color w:val="auto"/>
          <w:sz w:val="20"/>
          <w:szCs w:val="20"/>
        </w:rPr>
        <w:t>: Preferential Rules of Origin in Major Market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1"/>
        <w:gridCol w:w="4304"/>
        <w:gridCol w:w="3505"/>
      </w:tblGrid>
      <w:tr w:rsidR="00620448" w:rsidRPr="000B5A8D" w14:paraId="5C8BC3FD" w14:textId="77777777" w:rsidTr="00F72E90">
        <w:tc>
          <w:tcPr>
            <w:tcW w:w="1991" w:type="dxa"/>
            <w:shd w:val="clear" w:color="auto" w:fill="auto"/>
          </w:tcPr>
          <w:p w14:paraId="2C3408A8" w14:textId="77777777" w:rsidR="00620448" w:rsidRPr="000B5A8D" w:rsidRDefault="00620448" w:rsidP="00F72E90">
            <w:pPr>
              <w:jc w:val="both"/>
              <w:rPr>
                <w:rFonts w:ascii="Arial" w:hAnsi="Arial" w:cs="Arial"/>
                <w:b/>
                <w:bCs/>
              </w:rPr>
            </w:pPr>
            <w:r w:rsidRPr="000B5A8D">
              <w:rPr>
                <w:rFonts w:ascii="Arial" w:hAnsi="Arial" w:cs="Arial"/>
                <w:b/>
                <w:bCs/>
              </w:rPr>
              <w:t>Countries/Blocs</w:t>
            </w:r>
          </w:p>
        </w:tc>
        <w:tc>
          <w:tcPr>
            <w:tcW w:w="4304" w:type="dxa"/>
            <w:shd w:val="clear" w:color="auto" w:fill="auto"/>
          </w:tcPr>
          <w:p w14:paraId="633CE1D5" w14:textId="77777777" w:rsidR="00620448" w:rsidRPr="000B5A8D" w:rsidRDefault="00620448" w:rsidP="00F72E90">
            <w:pPr>
              <w:jc w:val="both"/>
              <w:rPr>
                <w:rFonts w:ascii="Arial" w:hAnsi="Arial" w:cs="Arial"/>
                <w:b/>
                <w:bCs/>
              </w:rPr>
            </w:pPr>
            <w:proofErr w:type="spellStart"/>
            <w:r w:rsidRPr="000B5A8D">
              <w:rPr>
                <w:rFonts w:ascii="Arial" w:hAnsi="Arial" w:cs="Arial"/>
                <w:b/>
                <w:bCs/>
              </w:rPr>
              <w:t>RoO</w:t>
            </w:r>
            <w:proofErr w:type="spellEnd"/>
            <w:r w:rsidRPr="000B5A8D">
              <w:rPr>
                <w:rFonts w:ascii="Arial" w:hAnsi="Arial" w:cs="Arial"/>
                <w:b/>
                <w:bCs/>
              </w:rPr>
              <w:t xml:space="preserve"> for LDCs</w:t>
            </w:r>
          </w:p>
        </w:tc>
        <w:tc>
          <w:tcPr>
            <w:tcW w:w="3505" w:type="dxa"/>
            <w:shd w:val="clear" w:color="auto" w:fill="auto"/>
          </w:tcPr>
          <w:p w14:paraId="31B08930" w14:textId="77777777" w:rsidR="00620448" w:rsidRPr="000B5A8D" w:rsidRDefault="00620448" w:rsidP="00F72E90">
            <w:pPr>
              <w:jc w:val="both"/>
              <w:rPr>
                <w:rFonts w:ascii="Arial" w:hAnsi="Arial" w:cs="Arial"/>
                <w:b/>
                <w:bCs/>
              </w:rPr>
            </w:pPr>
            <w:proofErr w:type="spellStart"/>
            <w:r w:rsidRPr="000B5A8D">
              <w:rPr>
                <w:rFonts w:ascii="Arial" w:hAnsi="Arial" w:cs="Arial"/>
                <w:b/>
                <w:bCs/>
              </w:rPr>
              <w:t>RoO</w:t>
            </w:r>
            <w:proofErr w:type="spellEnd"/>
            <w:r w:rsidRPr="000B5A8D">
              <w:rPr>
                <w:rFonts w:ascii="Arial" w:hAnsi="Arial" w:cs="Arial"/>
                <w:b/>
                <w:bCs/>
              </w:rPr>
              <w:t xml:space="preserve"> for developing countries</w:t>
            </w:r>
          </w:p>
        </w:tc>
      </w:tr>
      <w:tr w:rsidR="00620448" w:rsidRPr="000B5A8D" w14:paraId="09C43C37" w14:textId="77777777" w:rsidTr="00F72E90">
        <w:tc>
          <w:tcPr>
            <w:tcW w:w="1991" w:type="dxa"/>
            <w:vMerge w:val="restart"/>
            <w:shd w:val="clear" w:color="auto" w:fill="auto"/>
          </w:tcPr>
          <w:p w14:paraId="78EA9AAC" w14:textId="77777777" w:rsidR="00620448" w:rsidRPr="000B5A8D" w:rsidRDefault="00620448" w:rsidP="00F72E90">
            <w:pPr>
              <w:jc w:val="both"/>
              <w:rPr>
                <w:rFonts w:ascii="Arial" w:hAnsi="Arial" w:cs="Arial"/>
                <w:b/>
                <w:bCs/>
              </w:rPr>
            </w:pPr>
            <w:r w:rsidRPr="000B5A8D">
              <w:rPr>
                <w:rFonts w:ascii="Arial" w:hAnsi="Arial" w:cs="Arial"/>
                <w:b/>
                <w:bCs/>
              </w:rPr>
              <w:t>European Union</w:t>
            </w:r>
          </w:p>
          <w:p w14:paraId="5B3CA98D" w14:textId="77777777" w:rsidR="00620448" w:rsidRPr="000B5A8D" w:rsidRDefault="00620448" w:rsidP="00F72E90">
            <w:pPr>
              <w:jc w:val="both"/>
              <w:rPr>
                <w:rFonts w:ascii="Arial" w:hAnsi="Arial" w:cs="Arial"/>
              </w:rPr>
            </w:pPr>
          </w:p>
        </w:tc>
        <w:tc>
          <w:tcPr>
            <w:tcW w:w="4304" w:type="dxa"/>
            <w:shd w:val="clear" w:color="auto" w:fill="auto"/>
          </w:tcPr>
          <w:p w14:paraId="414163CF" w14:textId="77777777" w:rsidR="00620448" w:rsidRPr="000B5A8D" w:rsidRDefault="00620448" w:rsidP="00F72E90">
            <w:pPr>
              <w:jc w:val="both"/>
              <w:rPr>
                <w:rFonts w:ascii="Arial" w:hAnsi="Arial" w:cs="Arial"/>
              </w:rPr>
            </w:pPr>
            <w:r w:rsidRPr="000B5A8D">
              <w:rPr>
                <w:rFonts w:ascii="Arial" w:hAnsi="Arial" w:cs="Arial"/>
              </w:rPr>
              <w:t xml:space="preserve">For textile and apparel products: </w:t>
            </w:r>
          </w:p>
          <w:p w14:paraId="049ED106" w14:textId="77777777" w:rsidR="00620448" w:rsidRPr="000B5A8D" w:rsidRDefault="00620448" w:rsidP="00F72E90">
            <w:pPr>
              <w:jc w:val="both"/>
              <w:rPr>
                <w:rFonts w:ascii="Arial" w:hAnsi="Arial" w:cs="Arial"/>
              </w:rPr>
            </w:pPr>
            <w:r w:rsidRPr="000B5A8D">
              <w:rPr>
                <w:rFonts w:ascii="Arial" w:hAnsi="Arial" w:cs="Arial"/>
              </w:rPr>
              <w:t>single-stage transformation</w:t>
            </w:r>
          </w:p>
        </w:tc>
        <w:tc>
          <w:tcPr>
            <w:tcW w:w="3505" w:type="dxa"/>
            <w:shd w:val="clear" w:color="auto" w:fill="auto"/>
          </w:tcPr>
          <w:p w14:paraId="5BC577F8" w14:textId="77777777" w:rsidR="00620448" w:rsidRPr="000B5A8D" w:rsidRDefault="00620448" w:rsidP="00F72E90">
            <w:pPr>
              <w:jc w:val="both"/>
              <w:rPr>
                <w:rFonts w:ascii="Arial" w:hAnsi="Arial" w:cs="Arial"/>
              </w:rPr>
            </w:pPr>
            <w:r w:rsidRPr="000B5A8D">
              <w:rPr>
                <w:rFonts w:ascii="Arial" w:hAnsi="Arial" w:cs="Arial"/>
              </w:rPr>
              <w:t xml:space="preserve">For textile and apparel products: </w:t>
            </w:r>
          </w:p>
          <w:p w14:paraId="4198460D" w14:textId="77777777" w:rsidR="00620448" w:rsidRPr="000B5A8D" w:rsidRDefault="00620448" w:rsidP="00F72E90">
            <w:pPr>
              <w:jc w:val="both"/>
              <w:rPr>
                <w:rFonts w:ascii="Arial" w:hAnsi="Arial" w:cs="Arial"/>
              </w:rPr>
            </w:pPr>
            <w:r w:rsidRPr="000B5A8D">
              <w:rPr>
                <w:rFonts w:ascii="Arial" w:hAnsi="Arial" w:cs="Arial"/>
              </w:rPr>
              <w:t>double-stage transformation</w:t>
            </w:r>
          </w:p>
        </w:tc>
      </w:tr>
      <w:tr w:rsidR="00620448" w:rsidRPr="000B5A8D" w14:paraId="38EA9061" w14:textId="77777777" w:rsidTr="00F72E90">
        <w:tc>
          <w:tcPr>
            <w:tcW w:w="1991" w:type="dxa"/>
            <w:vMerge/>
            <w:shd w:val="clear" w:color="auto" w:fill="auto"/>
          </w:tcPr>
          <w:p w14:paraId="4846B524" w14:textId="77777777" w:rsidR="00620448" w:rsidRPr="000B5A8D" w:rsidRDefault="00620448" w:rsidP="00F72E90">
            <w:pPr>
              <w:jc w:val="both"/>
              <w:rPr>
                <w:rFonts w:ascii="Arial" w:hAnsi="Arial" w:cs="Arial"/>
              </w:rPr>
            </w:pPr>
          </w:p>
        </w:tc>
        <w:tc>
          <w:tcPr>
            <w:tcW w:w="4304" w:type="dxa"/>
            <w:shd w:val="clear" w:color="auto" w:fill="auto"/>
          </w:tcPr>
          <w:p w14:paraId="5B9FF188" w14:textId="77777777" w:rsidR="00620448" w:rsidRPr="000B5A8D" w:rsidRDefault="00620448" w:rsidP="00F72E90">
            <w:pPr>
              <w:jc w:val="both"/>
              <w:rPr>
                <w:rFonts w:ascii="Arial" w:hAnsi="Arial" w:cs="Arial"/>
              </w:rPr>
            </w:pPr>
            <w:r w:rsidRPr="000B5A8D">
              <w:rPr>
                <w:rFonts w:ascii="Arial" w:hAnsi="Arial" w:cs="Arial"/>
              </w:rPr>
              <w:t>30%</w:t>
            </w:r>
          </w:p>
        </w:tc>
        <w:tc>
          <w:tcPr>
            <w:tcW w:w="3505" w:type="dxa"/>
            <w:shd w:val="clear" w:color="auto" w:fill="auto"/>
          </w:tcPr>
          <w:p w14:paraId="2201C4E0" w14:textId="77777777" w:rsidR="00620448" w:rsidRPr="000B5A8D" w:rsidRDefault="00620448" w:rsidP="00F72E90">
            <w:pPr>
              <w:jc w:val="both"/>
              <w:rPr>
                <w:rFonts w:ascii="Arial" w:hAnsi="Arial" w:cs="Arial"/>
              </w:rPr>
            </w:pPr>
            <w:r w:rsidRPr="000B5A8D">
              <w:rPr>
                <w:rFonts w:ascii="Arial" w:hAnsi="Arial" w:cs="Arial"/>
              </w:rPr>
              <w:t>50%</w:t>
            </w:r>
          </w:p>
        </w:tc>
      </w:tr>
      <w:tr w:rsidR="00620448" w:rsidRPr="000B5A8D" w14:paraId="07E8D88B" w14:textId="77777777" w:rsidTr="00F72E90">
        <w:tc>
          <w:tcPr>
            <w:tcW w:w="1991" w:type="dxa"/>
            <w:shd w:val="clear" w:color="auto" w:fill="auto"/>
          </w:tcPr>
          <w:p w14:paraId="19B1AC43" w14:textId="77777777" w:rsidR="00620448" w:rsidRPr="000B5A8D" w:rsidRDefault="00620448" w:rsidP="00F72E90">
            <w:pPr>
              <w:jc w:val="both"/>
              <w:rPr>
                <w:rFonts w:ascii="Arial" w:hAnsi="Arial" w:cs="Arial"/>
              </w:rPr>
            </w:pPr>
            <w:r w:rsidRPr="000B5A8D">
              <w:rPr>
                <w:rFonts w:ascii="Arial" w:hAnsi="Arial" w:cs="Arial"/>
              </w:rPr>
              <w:t>USA</w:t>
            </w:r>
          </w:p>
        </w:tc>
        <w:tc>
          <w:tcPr>
            <w:tcW w:w="4304" w:type="dxa"/>
            <w:shd w:val="clear" w:color="auto" w:fill="auto"/>
          </w:tcPr>
          <w:p w14:paraId="502A43B5" w14:textId="77777777" w:rsidR="00620448" w:rsidRPr="000B5A8D" w:rsidRDefault="00620448" w:rsidP="00F72E90">
            <w:pPr>
              <w:jc w:val="both"/>
              <w:rPr>
                <w:rFonts w:ascii="Arial" w:hAnsi="Arial" w:cs="Arial"/>
              </w:rPr>
            </w:pPr>
            <w:r w:rsidRPr="000B5A8D">
              <w:rPr>
                <w:rFonts w:ascii="Arial" w:hAnsi="Arial" w:cs="Arial"/>
              </w:rPr>
              <w:t>35%</w:t>
            </w:r>
          </w:p>
        </w:tc>
        <w:tc>
          <w:tcPr>
            <w:tcW w:w="3505" w:type="dxa"/>
            <w:shd w:val="clear" w:color="auto" w:fill="auto"/>
          </w:tcPr>
          <w:p w14:paraId="00744788" w14:textId="77777777" w:rsidR="00620448" w:rsidRPr="000B5A8D" w:rsidRDefault="00620448" w:rsidP="00F72E90">
            <w:pPr>
              <w:jc w:val="both"/>
              <w:rPr>
                <w:rFonts w:ascii="Arial" w:hAnsi="Arial" w:cs="Arial"/>
              </w:rPr>
            </w:pPr>
            <w:r w:rsidRPr="000B5A8D">
              <w:rPr>
                <w:rFonts w:ascii="Arial" w:hAnsi="Arial" w:cs="Arial"/>
              </w:rPr>
              <w:t>35%</w:t>
            </w:r>
          </w:p>
        </w:tc>
      </w:tr>
      <w:tr w:rsidR="00620448" w:rsidRPr="000B5A8D" w14:paraId="7A6D1038" w14:textId="77777777" w:rsidTr="00F72E90">
        <w:tc>
          <w:tcPr>
            <w:tcW w:w="1991" w:type="dxa"/>
            <w:shd w:val="clear" w:color="auto" w:fill="auto"/>
          </w:tcPr>
          <w:p w14:paraId="0AC7FF74" w14:textId="77777777" w:rsidR="00620448" w:rsidRPr="000B5A8D" w:rsidRDefault="00620448" w:rsidP="00F72E90">
            <w:pPr>
              <w:jc w:val="both"/>
              <w:rPr>
                <w:rFonts w:ascii="Arial" w:hAnsi="Arial" w:cs="Arial"/>
              </w:rPr>
            </w:pPr>
            <w:r w:rsidRPr="000B5A8D">
              <w:rPr>
                <w:rFonts w:ascii="Arial" w:hAnsi="Arial" w:cs="Arial"/>
              </w:rPr>
              <w:t>Canada</w:t>
            </w:r>
          </w:p>
        </w:tc>
        <w:tc>
          <w:tcPr>
            <w:tcW w:w="4304" w:type="dxa"/>
            <w:shd w:val="clear" w:color="auto" w:fill="auto"/>
          </w:tcPr>
          <w:p w14:paraId="359FB189" w14:textId="77777777" w:rsidR="00620448" w:rsidRPr="000B5A8D" w:rsidRDefault="00620448" w:rsidP="00F72E90">
            <w:pPr>
              <w:jc w:val="both"/>
              <w:rPr>
                <w:rFonts w:ascii="Arial" w:hAnsi="Arial" w:cs="Arial"/>
              </w:rPr>
            </w:pPr>
            <w:r w:rsidRPr="000B5A8D">
              <w:rPr>
                <w:rFonts w:ascii="Arial" w:hAnsi="Arial" w:cs="Arial"/>
              </w:rPr>
              <w:t>40%</w:t>
            </w:r>
          </w:p>
        </w:tc>
        <w:tc>
          <w:tcPr>
            <w:tcW w:w="3505" w:type="dxa"/>
            <w:shd w:val="clear" w:color="auto" w:fill="auto"/>
          </w:tcPr>
          <w:p w14:paraId="4A6AB34B" w14:textId="77777777" w:rsidR="00620448" w:rsidRPr="000B5A8D" w:rsidRDefault="00620448" w:rsidP="00F72E90">
            <w:pPr>
              <w:jc w:val="both"/>
              <w:rPr>
                <w:rFonts w:ascii="Arial" w:hAnsi="Arial" w:cs="Arial"/>
              </w:rPr>
            </w:pPr>
            <w:r w:rsidRPr="000B5A8D">
              <w:rPr>
                <w:rFonts w:ascii="Arial" w:hAnsi="Arial" w:cs="Arial"/>
              </w:rPr>
              <w:t>60%</w:t>
            </w:r>
          </w:p>
        </w:tc>
      </w:tr>
      <w:tr w:rsidR="00620448" w:rsidRPr="000B5A8D" w14:paraId="10D2EDF6" w14:textId="77777777" w:rsidTr="00F72E90">
        <w:tc>
          <w:tcPr>
            <w:tcW w:w="1991" w:type="dxa"/>
            <w:vMerge w:val="restart"/>
            <w:shd w:val="clear" w:color="auto" w:fill="auto"/>
          </w:tcPr>
          <w:p w14:paraId="45143B97" w14:textId="77777777" w:rsidR="00620448" w:rsidRPr="000B5A8D" w:rsidRDefault="00620448" w:rsidP="00F72E90">
            <w:pPr>
              <w:jc w:val="both"/>
              <w:rPr>
                <w:rFonts w:ascii="Arial" w:hAnsi="Arial" w:cs="Arial"/>
                <w:b/>
                <w:bCs/>
              </w:rPr>
            </w:pPr>
            <w:r w:rsidRPr="000B5A8D">
              <w:rPr>
                <w:rFonts w:ascii="Arial" w:hAnsi="Arial" w:cs="Arial"/>
                <w:b/>
                <w:bCs/>
              </w:rPr>
              <w:t xml:space="preserve">United Kingdom </w:t>
            </w:r>
          </w:p>
          <w:p w14:paraId="343EE473" w14:textId="77777777" w:rsidR="00620448" w:rsidRPr="000B5A8D" w:rsidRDefault="00620448" w:rsidP="00F72E90">
            <w:pPr>
              <w:jc w:val="both"/>
              <w:rPr>
                <w:rFonts w:ascii="Arial" w:hAnsi="Arial" w:cs="Arial"/>
              </w:rPr>
            </w:pPr>
          </w:p>
        </w:tc>
        <w:tc>
          <w:tcPr>
            <w:tcW w:w="4304" w:type="dxa"/>
            <w:shd w:val="clear" w:color="auto" w:fill="auto"/>
          </w:tcPr>
          <w:p w14:paraId="6BCEEC63" w14:textId="77777777" w:rsidR="00620448" w:rsidRPr="000B5A8D" w:rsidRDefault="00620448" w:rsidP="00F72E90">
            <w:pPr>
              <w:jc w:val="both"/>
              <w:rPr>
                <w:rFonts w:ascii="Arial" w:hAnsi="Arial" w:cs="Arial"/>
              </w:rPr>
            </w:pPr>
            <w:r w:rsidRPr="000B5A8D">
              <w:rPr>
                <w:rFonts w:ascii="Arial" w:hAnsi="Arial" w:cs="Arial"/>
              </w:rPr>
              <w:t>For textile and apparel products: single-stage transformation</w:t>
            </w:r>
          </w:p>
        </w:tc>
        <w:tc>
          <w:tcPr>
            <w:tcW w:w="3505" w:type="dxa"/>
            <w:shd w:val="clear" w:color="auto" w:fill="auto"/>
          </w:tcPr>
          <w:p w14:paraId="7C4F7F48" w14:textId="77777777" w:rsidR="00620448" w:rsidRPr="000B5A8D" w:rsidRDefault="00620448" w:rsidP="00F72E90">
            <w:pPr>
              <w:jc w:val="both"/>
              <w:rPr>
                <w:rFonts w:ascii="Arial" w:hAnsi="Arial" w:cs="Arial"/>
              </w:rPr>
            </w:pPr>
            <w:r w:rsidRPr="000B5A8D">
              <w:rPr>
                <w:rFonts w:ascii="Arial" w:hAnsi="Arial" w:cs="Arial"/>
              </w:rPr>
              <w:t>For textile and apparel products: double-stage transformation</w:t>
            </w:r>
          </w:p>
        </w:tc>
      </w:tr>
      <w:tr w:rsidR="00620448" w:rsidRPr="000B5A8D" w14:paraId="6BDB25F6" w14:textId="77777777" w:rsidTr="00F72E90">
        <w:tc>
          <w:tcPr>
            <w:tcW w:w="1991" w:type="dxa"/>
            <w:vMerge/>
            <w:shd w:val="clear" w:color="auto" w:fill="auto"/>
          </w:tcPr>
          <w:p w14:paraId="06FFB323" w14:textId="77777777" w:rsidR="00620448" w:rsidRPr="000B5A8D" w:rsidRDefault="00620448" w:rsidP="00F72E90">
            <w:pPr>
              <w:jc w:val="both"/>
              <w:rPr>
                <w:rFonts w:ascii="Arial" w:hAnsi="Arial" w:cs="Arial"/>
              </w:rPr>
            </w:pPr>
          </w:p>
        </w:tc>
        <w:tc>
          <w:tcPr>
            <w:tcW w:w="4304" w:type="dxa"/>
            <w:shd w:val="clear" w:color="auto" w:fill="auto"/>
          </w:tcPr>
          <w:p w14:paraId="1A88051B" w14:textId="77777777" w:rsidR="00620448" w:rsidRPr="000B5A8D" w:rsidRDefault="00620448" w:rsidP="00F72E90">
            <w:pPr>
              <w:jc w:val="both"/>
              <w:rPr>
                <w:rFonts w:ascii="Arial" w:hAnsi="Arial" w:cs="Arial"/>
              </w:rPr>
            </w:pPr>
            <w:r w:rsidRPr="000B5A8D">
              <w:rPr>
                <w:rFonts w:ascii="Arial" w:hAnsi="Arial" w:cs="Arial"/>
              </w:rPr>
              <w:t xml:space="preserve">25% under new GSP scheme “Developing Countries Trading Scheme (DCTS) </w:t>
            </w:r>
          </w:p>
        </w:tc>
        <w:tc>
          <w:tcPr>
            <w:tcW w:w="3505" w:type="dxa"/>
            <w:shd w:val="clear" w:color="auto" w:fill="auto"/>
          </w:tcPr>
          <w:p w14:paraId="6F38A9E8" w14:textId="77777777" w:rsidR="00620448" w:rsidRPr="000B5A8D" w:rsidRDefault="00620448" w:rsidP="00F72E90">
            <w:pPr>
              <w:jc w:val="both"/>
              <w:rPr>
                <w:rFonts w:ascii="Arial" w:hAnsi="Arial" w:cs="Arial"/>
              </w:rPr>
            </w:pPr>
            <w:r w:rsidRPr="000B5A8D">
              <w:rPr>
                <w:rFonts w:ascii="Arial" w:hAnsi="Arial" w:cs="Arial"/>
              </w:rPr>
              <w:t xml:space="preserve">50% for all other products </w:t>
            </w:r>
          </w:p>
        </w:tc>
      </w:tr>
      <w:tr w:rsidR="00620448" w:rsidRPr="000B5A8D" w14:paraId="2030F0A2" w14:textId="77777777" w:rsidTr="00F72E90">
        <w:tc>
          <w:tcPr>
            <w:tcW w:w="1991" w:type="dxa"/>
            <w:shd w:val="clear" w:color="auto" w:fill="auto"/>
          </w:tcPr>
          <w:p w14:paraId="514C31CC" w14:textId="77777777" w:rsidR="00620448" w:rsidRPr="000B5A8D" w:rsidRDefault="00620448" w:rsidP="00F72E90">
            <w:pPr>
              <w:jc w:val="both"/>
              <w:rPr>
                <w:rFonts w:ascii="Arial" w:hAnsi="Arial" w:cs="Arial"/>
              </w:rPr>
            </w:pPr>
            <w:r w:rsidRPr="000B5A8D">
              <w:rPr>
                <w:rFonts w:ascii="Arial" w:hAnsi="Arial" w:cs="Arial"/>
              </w:rPr>
              <w:t>SAFTA</w:t>
            </w:r>
          </w:p>
        </w:tc>
        <w:tc>
          <w:tcPr>
            <w:tcW w:w="4304" w:type="dxa"/>
            <w:shd w:val="clear" w:color="auto" w:fill="auto"/>
          </w:tcPr>
          <w:p w14:paraId="731F3A72" w14:textId="77777777" w:rsidR="00620448" w:rsidRPr="000B5A8D" w:rsidRDefault="00620448" w:rsidP="00F72E90">
            <w:pPr>
              <w:jc w:val="both"/>
              <w:rPr>
                <w:rFonts w:ascii="Arial" w:hAnsi="Arial" w:cs="Arial"/>
              </w:rPr>
            </w:pPr>
            <w:r w:rsidRPr="000B5A8D">
              <w:rPr>
                <w:rFonts w:ascii="Arial" w:hAnsi="Arial" w:cs="Arial"/>
              </w:rPr>
              <w:t>30</w:t>
            </w:r>
          </w:p>
        </w:tc>
        <w:tc>
          <w:tcPr>
            <w:tcW w:w="3505" w:type="dxa"/>
            <w:shd w:val="clear" w:color="auto" w:fill="auto"/>
          </w:tcPr>
          <w:p w14:paraId="1012115E" w14:textId="77777777" w:rsidR="00620448" w:rsidRPr="000B5A8D" w:rsidRDefault="00620448" w:rsidP="00F72E90">
            <w:pPr>
              <w:jc w:val="both"/>
              <w:rPr>
                <w:rFonts w:ascii="Arial" w:hAnsi="Arial" w:cs="Arial"/>
              </w:rPr>
            </w:pPr>
            <w:r w:rsidRPr="000B5A8D">
              <w:rPr>
                <w:rFonts w:ascii="Arial" w:hAnsi="Arial" w:cs="Arial"/>
              </w:rPr>
              <w:t>40</w:t>
            </w:r>
          </w:p>
        </w:tc>
      </w:tr>
      <w:tr w:rsidR="00620448" w:rsidRPr="000B5A8D" w14:paraId="2D44B9CE" w14:textId="77777777" w:rsidTr="00F72E90">
        <w:tc>
          <w:tcPr>
            <w:tcW w:w="1991" w:type="dxa"/>
            <w:shd w:val="clear" w:color="auto" w:fill="auto"/>
          </w:tcPr>
          <w:p w14:paraId="108C3425" w14:textId="77777777" w:rsidR="00620448" w:rsidRPr="000B5A8D" w:rsidRDefault="00620448" w:rsidP="00F72E90">
            <w:pPr>
              <w:jc w:val="both"/>
              <w:rPr>
                <w:rFonts w:ascii="Arial" w:hAnsi="Arial" w:cs="Arial"/>
              </w:rPr>
            </w:pPr>
            <w:r w:rsidRPr="000B5A8D">
              <w:rPr>
                <w:rFonts w:ascii="Arial" w:hAnsi="Arial" w:cs="Arial"/>
              </w:rPr>
              <w:t>APTA</w:t>
            </w:r>
          </w:p>
        </w:tc>
        <w:tc>
          <w:tcPr>
            <w:tcW w:w="4304" w:type="dxa"/>
            <w:shd w:val="clear" w:color="auto" w:fill="auto"/>
          </w:tcPr>
          <w:p w14:paraId="6DB9393E" w14:textId="77777777" w:rsidR="00620448" w:rsidRPr="000B5A8D" w:rsidRDefault="00620448" w:rsidP="00F72E90">
            <w:pPr>
              <w:jc w:val="both"/>
              <w:rPr>
                <w:rFonts w:ascii="Arial" w:hAnsi="Arial" w:cs="Arial"/>
              </w:rPr>
            </w:pPr>
            <w:r w:rsidRPr="000B5A8D">
              <w:rPr>
                <w:rFonts w:ascii="Arial" w:hAnsi="Arial" w:cs="Arial"/>
              </w:rPr>
              <w:t>35</w:t>
            </w:r>
          </w:p>
        </w:tc>
        <w:tc>
          <w:tcPr>
            <w:tcW w:w="3505" w:type="dxa"/>
            <w:shd w:val="clear" w:color="auto" w:fill="auto"/>
          </w:tcPr>
          <w:p w14:paraId="75D5FC80" w14:textId="77777777" w:rsidR="00620448" w:rsidRPr="000B5A8D" w:rsidRDefault="00620448" w:rsidP="00F72E90">
            <w:pPr>
              <w:jc w:val="both"/>
              <w:rPr>
                <w:rFonts w:ascii="Arial" w:hAnsi="Arial" w:cs="Arial"/>
              </w:rPr>
            </w:pPr>
            <w:r w:rsidRPr="000B5A8D">
              <w:rPr>
                <w:rFonts w:ascii="Arial" w:hAnsi="Arial" w:cs="Arial"/>
              </w:rPr>
              <w:t>45</w:t>
            </w:r>
          </w:p>
        </w:tc>
      </w:tr>
    </w:tbl>
    <w:p w14:paraId="4098DEB1" w14:textId="77777777" w:rsidR="004E3D50" w:rsidRPr="000B5A8D" w:rsidRDefault="00620448" w:rsidP="002F66C5">
      <w:pPr>
        <w:jc w:val="both"/>
        <w:rPr>
          <w:rFonts w:ascii="Arial" w:hAnsi="Arial" w:cs="Arial"/>
        </w:rPr>
      </w:pPr>
      <w:r w:rsidRPr="000B5A8D">
        <w:rPr>
          <w:rFonts w:ascii="Arial" w:hAnsi="Arial" w:cs="Arial"/>
        </w:rPr>
        <w:t>Source: BFTI, 2023</w:t>
      </w:r>
      <w:bookmarkStart w:id="3" w:name="_Toc135305836"/>
    </w:p>
    <w:p w14:paraId="43A3F163" w14:textId="77777777" w:rsidR="002F66C5" w:rsidRPr="000B5A8D" w:rsidRDefault="002F66C5" w:rsidP="002F66C5">
      <w:pPr>
        <w:jc w:val="both"/>
        <w:rPr>
          <w:rFonts w:ascii="Arial" w:hAnsi="Arial" w:cs="Arial"/>
        </w:rPr>
      </w:pPr>
    </w:p>
    <w:bookmarkEnd w:id="3"/>
    <w:p w14:paraId="03702894" w14:textId="77777777" w:rsidR="00620448" w:rsidRPr="000B5A8D" w:rsidRDefault="00206583" w:rsidP="00620448">
      <w:pPr>
        <w:pStyle w:val="Heading2"/>
        <w:rPr>
          <w:rFonts w:ascii="Arial" w:hAnsi="Arial" w:cs="Arial"/>
          <w:b/>
          <w:color w:val="000000"/>
          <w:sz w:val="22"/>
          <w:szCs w:val="22"/>
        </w:rPr>
      </w:pPr>
      <w:r w:rsidRPr="000B5A8D">
        <w:rPr>
          <w:rFonts w:ascii="Arial" w:hAnsi="Arial" w:cs="Arial"/>
          <w:b/>
          <w:color w:val="000000"/>
          <w:sz w:val="22"/>
          <w:szCs w:val="22"/>
        </w:rPr>
        <w:t>4</w:t>
      </w:r>
      <w:r w:rsidR="00620448" w:rsidRPr="000B5A8D">
        <w:rPr>
          <w:rFonts w:ascii="Arial" w:hAnsi="Arial" w:cs="Arial"/>
          <w:b/>
          <w:color w:val="000000"/>
          <w:sz w:val="22"/>
          <w:szCs w:val="22"/>
        </w:rPr>
        <w:t>.</w:t>
      </w:r>
      <w:r w:rsidR="00574A05" w:rsidRPr="000B5A8D">
        <w:rPr>
          <w:rFonts w:ascii="Arial" w:hAnsi="Arial" w:cs="Arial"/>
          <w:b/>
          <w:color w:val="000000"/>
          <w:sz w:val="22"/>
          <w:szCs w:val="22"/>
        </w:rPr>
        <w:t>9</w:t>
      </w:r>
      <w:r w:rsidR="00620448" w:rsidRPr="000B5A8D">
        <w:rPr>
          <w:rFonts w:ascii="Arial" w:hAnsi="Arial" w:cs="Arial"/>
          <w:b/>
          <w:color w:val="000000"/>
          <w:sz w:val="22"/>
          <w:szCs w:val="22"/>
        </w:rPr>
        <w:t xml:space="preserve"> Export </w:t>
      </w:r>
      <w:r w:rsidR="006D5191" w:rsidRPr="000B5A8D">
        <w:rPr>
          <w:rFonts w:ascii="Arial" w:hAnsi="Arial" w:cs="Arial"/>
          <w:b/>
          <w:color w:val="000000"/>
          <w:sz w:val="22"/>
          <w:szCs w:val="22"/>
        </w:rPr>
        <w:t>C</w:t>
      </w:r>
      <w:r w:rsidR="00620448" w:rsidRPr="000B5A8D">
        <w:rPr>
          <w:rFonts w:ascii="Arial" w:hAnsi="Arial" w:cs="Arial"/>
          <w:b/>
          <w:color w:val="000000"/>
          <w:sz w:val="22"/>
          <w:szCs w:val="22"/>
        </w:rPr>
        <w:t>oncentration</w:t>
      </w:r>
      <w:r w:rsidR="00FA15B5" w:rsidRPr="000B5A8D">
        <w:rPr>
          <w:rFonts w:ascii="Arial" w:hAnsi="Arial" w:cs="Arial"/>
          <w:b/>
          <w:color w:val="000000"/>
          <w:sz w:val="22"/>
          <w:szCs w:val="22"/>
        </w:rPr>
        <w:t xml:space="preserve"> and lower tax GDP ratio</w:t>
      </w:r>
    </w:p>
    <w:p w14:paraId="00D15F6E" w14:textId="77777777" w:rsidR="00620448" w:rsidRPr="000B5A8D" w:rsidRDefault="00620448" w:rsidP="00620448">
      <w:pPr>
        <w:jc w:val="both"/>
        <w:rPr>
          <w:rFonts w:ascii="Arial" w:hAnsi="Arial" w:cs="Arial"/>
          <w:bCs/>
          <w:color w:val="222222"/>
        </w:rPr>
      </w:pPr>
      <w:r w:rsidRPr="000B5A8D">
        <w:rPr>
          <w:rFonts w:ascii="Arial" w:hAnsi="Arial" w:cs="Arial"/>
          <w:shd w:val="clear" w:color="auto" w:fill="FFFFFF"/>
        </w:rPr>
        <w:t>Bangladesh has experienced export concentration, as EPB (2023-24) data explored that 81.29</w:t>
      </w:r>
      <w:r w:rsidR="00A83450" w:rsidRPr="000B5A8D">
        <w:rPr>
          <w:rFonts w:ascii="Arial" w:hAnsi="Arial" w:cs="Arial"/>
          <w:shd w:val="clear" w:color="auto" w:fill="FFFFFF"/>
        </w:rPr>
        <w:t>% of</w:t>
      </w:r>
      <w:r w:rsidRPr="000B5A8D">
        <w:rPr>
          <w:rFonts w:ascii="Arial" w:hAnsi="Arial" w:cs="Arial"/>
          <w:shd w:val="clear" w:color="auto" w:fill="FFFFFF"/>
        </w:rPr>
        <w:t xml:space="preserve"> total merchandise export earnings come from the Garments industry</w:t>
      </w:r>
      <w:r w:rsidR="00764B62" w:rsidRPr="000B5A8D">
        <w:rPr>
          <w:rFonts w:ascii="Arial" w:hAnsi="Arial" w:cs="Arial"/>
          <w:shd w:val="clear" w:color="auto" w:fill="FFFFFF"/>
        </w:rPr>
        <w:t xml:space="preserve"> (EPB, 2024)</w:t>
      </w:r>
      <w:r w:rsidRPr="000B5A8D">
        <w:rPr>
          <w:rFonts w:ascii="Arial" w:hAnsi="Arial" w:cs="Arial"/>
          <w:shd w:val="clear" w:color="auto" w:fill="FFFFFF"/>
        </w:rPr>
        <w:t>.</w:t>
      </w:r>
      <w:r w:rsidR="00FA15B5" w:rsidRPr="000B5A8D">
        <w:rPr>
          <w:rFonts w:ascii="Arial" w:hAnsi="Arial" w:cs="Arial"/>
          <w:shd w:val="clear" w:color="auto" w:fill="FFFFFF"/>
        </w:rPr>
        <w:t xml:space="preserve"> </w:t>
      </w:r>
      <w:r w:rsidRPr="000B5A8D">
        <w:rPr>
          <w:rFonts w:ascii="Arial" w:hAnsi="Arial" w:cs="Arial"/>
          <w:shd w:val="clear" w:color="auto" w:fill="FFFFFF"/>
        </w:rPr>
        <w:t xml:space="preserve">Besides, compared to the apparel export price of the world, the </w:t>
      </w:r>
      <w:r w:rsidRPr="000B5A8D">
        <w:rPr>
          <w:rFonts w:ascii="Arial" w:hAnsi="Arial" w:cs="Arial"/>
          <w:shd w:val="clear" w:color="auto" w:fill="FFFFFF"/>
        </w:rPr>
        <w:lastRenderedPageBreak/>
        <w:t xml:space="preserve">price of Bangladeshi apparel in the USA is below the world average market price. </w:t>
      </w:r>
      <w:r w:rsidR="00FA15B5" w:rsidRPr="000B5A8D">
        <w:rPr>
          <w:rFonts w:ascii="Arial" w:hAnsi="Arial" w:cs="Arial"/>
          <w:bCs/>
          <w:color w:val="222222"/>
        </w:rPr>
        <w:t>Similarly, i</w:t>
      </w:r>
      <w:r w:rsidRPr="000B5A8D">
        <w:rPr>
          <w:rFonts w:ascii="Arial" w:hAnsi="Arial" w:cs="Arial"/>
          <w:bCs/>
          <w:color w:val="222222"/>
        </w:rPr>
        <w:t>nternal resource mobilization becomes a major concern for LDCs like Bangladesh, as the government in LDC countries cannot enhance its spending in education, skilling and reskilling of the workforce, health, and economic infrastructure due to lower tax GDP ratio. Bangladesh's Tax GDP ratio is the lowest in the South Asian region due to the high tax rate, complex tax structure, the complexity of income tax ACT, VAT &amp; SD Act 2012 and fully automated payment system. Along with these, the inefficiency of the tax authority causes incremental evasion compared to the other parts of the world. Hence, NBR (2021) revealed, that only 45,000 companies submit returns from the registered 213,505 companies who got registration from the Registrar of Joint Stock Companies and Firms. There is inconsistency in tax collection compared to the targeted collection shown in the graph and NBR cannot achieve both the initial and revised target of tax collection:</w:t>
      </w:r>
    </w:p>
    <w:p w14:paraId="7B46B222" w14:textId="77777777" w:rsidR="00620448" w:rsidRPr="000B5A8D" w:rsidRDefault="00620448" w:rsidP="00620448">
      <w:pPr>
        <w:shd w:val="clear" w:color="auto" w:fill="FFFFFF"/>
        <w:ind w:left="360"/>
        <w:jc w:val="center"/>
        <w:rPr>
          <w:rFonts w:ascii="Times New Roman" w:hAnsi="Times New Roman"/>
          <w:b/>
          <w:bCs/>
          <w:noProof/>
          <w:color w:val="222222"/>
          <w:sz w:val="10"/>
          <w:szCs w:val="10"/>
        </w:rPr>
      </w:pPr>
    </w:p>
    <w:p w14:paraId="622CC4E0" w14:textId="77777777" w:rsidR="00620448" w:rsidRPr="000B5A8D" w:rsidRDefault="00620448" w:rsidP="00620448">
      <w:pPr>
        <w:pStyle w:val="Caption"/>
        <w:spacing w:after="0"/>
        <w:jc w:val="center"/>
        <w:rPr>
          <w:rFonts w:ascii="Times New Roman" w:eastAsia="Times New Roman" w:hAnsi="Times New Roman"/>
          <w:b/>
          <w:bCs/>
          <w:noProof/>
          <w:color w:val="222222"/>
          <w:sz w:val="24"/>
          <w:szCs w:val="24"/>
        </w:rPr>
      </w:pPr>
      <w:r w:rsidRPr="000B5A8D">
        <w:rPr>
          <w:rFonts w:ascii="Times New Roman" w:hAnsi="Times New Roman"/>
          <w:sz w:val="24"/>
          <w:szCs w:val="24"/>
        </w:rPr>
        <w:t xml:space="preserve">Figure </w:t>
      </w:r>
      <w:r w:rsidRPr="000B5A8D">
        <w:rPr>
          <w:rFonts w:ascii="Times New Roman" w:hAnsi="Times New Roman"/>
          <w:sz w:val="24"/>
          <w:szCs w:val="24"/>
        </w:rPr>
        <w:fldChar w:fldCharType="begin"/>
      </w:r>
      <w:r w:rsidRPr="000B5A8D">
        <w:rPr>
          <w:rFonts w:ascii="Times New Roman" w:hAnsi="Times New Roman"/>
          <w:sz w:val="24"/>
          <w:szCs w:val="24"/>
        </w:rPr>
        <w:instrText xml:space="preserve"> SEQ Figure \* ARABIC </w:instrText>
      </w:r>
      <w:r w:rsidRPr="000B5A8D">
        <w:rPr>
          <w:rFonts w:ascii="Times New Roman" w:hAnsi="Times New Roman"/>
          <w:sz w:val="24"/>
          <w:szCs w:val="24"/>
        </w:rPr>
        <w:fldChar w:fldCharType="separate"/>
      </w:r>
      <w:r w:rsidRPr="000B5A8D">
        <w:rPr>
          <w:rFonts w:ascii="Times New Roman" w:hAnsi="Times New Roman"/>
          <w:noProof/>
          <w:sz w:val="24"/>
          <w:szCs w:val="24"/>
        </w:rPr>
        <w:t>1</w:t>
      </w:r>
      <w:r w:rsidRPr="000B5A8D">
        <w:rPr>
          <w:rFonts w:ascii="Times New Roman" w:hAnsi="Times New Roman"/>
          <w:sz w:val="24"/>
          <w:szCs w:val="24"/>
        </w:rPr>
        <w:fldChar w:fldCharType="end"/>
      </w:r>
      <w:r w:rsidRPr="000B5A8D">
        <w:rPr>
          <w:rFonts w:ascii="Times New Roman" w:hAnsi="Times New Roman"/>
          <w:sz w:val="24"/>
          <w:szCs w:val="24"/>
        </w:rPr>
        <w:t>: NBR Revenue Earning in BDT Year wise</w:t>
      </w:r>
    </w:p>
    <w:p w14:paraId="30708B16" w14:textId="77777777" w:rsidR="00AD2F1B" w:rsidRDefault="00620448" w:rsidP="00620448">
      <w:pPr>
        <w:jc w:val="center"/>
        <w:rPr>
          <w:rFonts w:ascii="Times New Roman" w:hAnsi="Times New Roman"/>
          <w:b/>
          <w:bCs/>
          <w:color w:val="222222"/>
        </w:rPr>
      </w:pPr>
      <w:r w:rsidRPr="000B5A8D">
        <w:rPr>
          <w:rFonts w:ascii="Times New Roman" w:hAnsi="Times New Roman"/>
          <w:noProof/>
          <w:color w:val="222222"/>
          <w:sz w:val="24"/>
        </w:rPr>
        <w:drawing>
          <wp:inline distT="0" distB="0" distL="0" distR="0" wp14:anchorId="618373CB" wp14:editId="0AFE25C4">
            <wp:extent cx="5905500" cy="2331720"/>
            <wp:effectExtent l="0" t="0" r="0" b="11430"/>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89BAC9" w14:textId="5F829A91" w:rsidR="00620448" w:rsidRPr="000B5A8D" w:rsidRDefault="00620448" w:rsidP="00620448">
      <w:pPr>
        <w:jc w:val="center"/>
        <w:rPr>
          <w:rFonts w:ascii="Times New Roman" w:hAnsi="Times New Roman"/>
          <w:color w:val="222222"/>
          <w:sz w:val="24"/>
        </w:rPr>
      </w:pPr>
      <w:r w:rsidRPr="000B5A8D">
        <w:rPr>
          <w:rFonts w:ascii="Times New Roman" w:hAnsi="Times New Roman"/>
          <w:b/>
          <w:bCs/>
          <w:color w:val="222222"/>
        </w:rPr>
        <w:t>Source: Adapted by the author from NBR Revenue Data 2022</w:t>
      </w:r>
    </w:p>
    <w:p w14:paraId="40CFA310" w14:textId="77777777" w:rsidR="00E053D0" w:rsidRPr="000B5A8D" w:rsidRDefault="00E053D0" w:rsidP="00441B6F">
      <w:pPr>
        <w:pStyle w:val="Body"/>
        <w:spacing w:after="0"/>
        <w:rPr>
          <w:rFonts w:ascii="Arial" w:hAnsi="Arial" w:cs="Arial"/>
        </w:rPr>
      </w:pPr>
    </w:p>
    <w:p w14:paraId="78AF61D1" w14:textId="77777777" w:rsidR="00F72E90" w:rsidRPr="000B5A8D" w:rsidRDefault="00206583" w:rsidP="006D5191">
      <w:pPr>
        <w:pStyle w:val="Heading2"/>
        <w:rPr>
          <w:rFonts w:ascii="Arial" w:hAnsi="Arial" w:cs="Arial"/>
          <w:b/>
          <w:color w:val="000000"/>
          <w:sz w:val="22"/>
          <w:szCs w:val="22"/>
        </w:rPr>
      </w:pPr>
      <w:bookmarkStart w:id="4" w:name="_Toc121393375"/>
      <w:bookmarkStart w:id="5" w:name="_Toc138242048"/>
      <w:r w:rsidRPr="000B5A8D">
        <w:rPr>
          <w:rFonts w:ascii="Arial" w:hAnsi="Arial" w:cs="Arial"/>
          <w:b/>
          <w:color w:val="000000"/>
          <w:sz w:val="22"/>
          <w:szCs w:val="22"/>
        </w:rPr>
        <w:t>4</w:t>
      </w:r>
      <w:r w:rsidR="00642AA4" w:rsidRPr="000B5A8D">
        <w:rPr>
          <w:rFonts w:ascii="Arial" w:hAnsi="Arial" w:cs="Arial"/>
          <w:b/>
          <w:color w:val="000000"/>
          <w:sz w:val="22"/>
          <w:szCs w:val="22"/>
        </w:rPr>
        <w:t>.1</w:t>
      </w:r>
      <w:r w:rsidRPr="000B5A8D">
        <w:rPr>
          <w:rFonts w:ascii="Arial" w:hAnsi="Arial" w:cs="Arial"/>
          <w:b/>
          <w:color w:val="000000"/>
          <w:sz w:val="22"/>
          <w:szCs w:val="22"/>
        </w:rPr>
        <w:t>0</w:t>
      </w:r>
      <w:r w:rsidR="00642AA4" w:rsidRPr="000B5A8D">
        <w:rPr>
          <w:rFonts w:ascii="Arial" w:hAnsi="Arial" w:cs="Arial"/>
          <w:b/>
          <w:color w:val="000000"/>
          <w:sz w:val="22"/>
          <w:szCs w:val="22"/>
        </w:rPr>
        <w:t xml:space="preserve"> </w:t>
      </w:r>
      <w:r w:rsidR="00F72E90" w:rsidRPr="000B5A8D">
        <w:rPr>
          <w:rFonts w:ascii="Arial" w:hAnsi="Arial" w:cs="Arial"/>
          <w:b/>
          <w:color w:val="000000"/>
          <w:sz w:val="22"/>
          <w:szCs w:val="22"/>
        </w:rPr>
        <w:t>Smooth Transition Strategy (STS) Approach and Process</w:t>
      </w:r>
      <w:bookmarkEnd w:id="4"/>
      <w:bookmarkEnd w:id="5"/>
    </w:p>
    <w:p w14:paraId="7B489A4A" w14:textId="77777777" w:rsidR="00F72E90" w:rsidRPr="000B5A8D" w:rsidRDefault="00F72E90" w:rsidP="00F72E90">
      <w:pPr>
        <w:jc w:val="both"/>
        <w:rPr>
          <w:rFonts w:ascii="Arial" w:hAnsi="Arial" w:cs="Arial"/>
        </w:rPr>
      </w:pPr>
      <w:r w:rsidRPr="000B5A8D">
        <w:rPr>
          <w:rFonts w:ascii="Arial" w:hAnsi="Arial" w:cs="Arial"/>
        </w:rPr>
        <w:t>Bangladesh must give considerable thought to the strategy and procedure to reshape its STS. There are some important factors to consider. The nation might use its graduation assessment, which was created by the United Nations Department of Economic and Social Affairs (DESA), as well as other UN bodies that may already have identified potential STS components, such as a UNCTAD vulnerability profile and a DESA impact assessment. The UN DESA's STS process consists of nine phases that are based on two main ideas: 1) Country-led, country-owned, and, to the greatest degree feasible, utilizing existing country processes; 2) International community support is timely, high-quality, and driven by national needs</w:t>
      </w:r>
      <w:r w:rsidR="00642AA4" w:rsidRPr="000B5A8D">
        <w:t xml:space="preserve"> (</w:t>
      </w:r>
      <w:r w:rsidR="00642AA4" w:rsidRPr="000B5A8D">
        <w:rPr>
          <w:rFonts w:ascii="Arial" w:hAnsi="Arial" w:cs="Arial"/>
        </w:rPr>
        <w:t>UNDESA, 2021)</w:t>
      </w:r>
      <w:r w:rsidRPr="000B5A8D">
        <w:rPr>
          <w:rFonts w:ascii="Arial" w:hAnsi="Arial" w:cs="Arial"/>
        </w:rPr>
        <w:t>. The steps of STS process are described below:</w:t>
      </w:r>
    </w:p>
    <w:p w14:paraId="2B540364" w14:textId="77777777" w:rsidR="00F72E90" w:rsidRPr="000B5A8D" w:rsidRDefault="00F72E90" w:rsidP="00F72E90">
      <w:pPr>
        <w:rPr>
          <w:rFonts w:ascii="Arial" w:hAnsi="Arial" w:cs="Arial"/>
        </w:rPr>
      </w:pPr>
    </w:p>
    <w:p w14:paraId="5112EC91" w14:textId="77777777" w:rsidR="00F72E90" w:rsidRPr="000B5A8D" w:rsidRDefault="00F72E90" w:rsidP="00F72E90">
      <w:pPr>
        <w:pStyle w:val="Caption"/>
        <w:spacing w:after="0"/>
        <w:jc w:val="center"/>
        <w:rPr>
          <w:rFonts w:ascii="Arial" w:hAnsi="Arial" w:cs="Arial"/>
          <w:b/>
          <w:i w:val="0"/>
          <w:iCs w:val="0"/>
          <w:sz w:val="20"/>
          <w:szCs w:val="20"/>
        </w:rPr>
      </w:pPr>
      <w:r w:rsidRPr="000B5A8D">
        <w:rPr>
          <w:rFonts w:ascii="Arial" w:hAnsi="Arial" w:cs="Arial"/>
          <w:sz w:val="20"/>
          <w:szCs w:val="20"/>
        </w:rPr>
        <w:t xml:space="preserve">Figure </w:t>
      </w:r>
      <w:r w:rsidRPr="000B5A8D">
        <w:rPr>
          <w:rFonts w:ascii="Arial" w:hAnsi="Arial" w:cs="Arial"/>
          <w:sz w:val="20"/>
          <w:szCs w:val="20"/>
        </w:rPr>
        <w:fldChar w:fldCharType="begin"/>
      </w:r>
      <w:r w:rsidRPr="000B5A8D">
        <w:rPr>
          <w:rFonts w:ascii="Arial" w:hAnsi="Arial" w:cs="Arial"/>
          <w:sz w:val="20"/>
          <w:szCs w:val="20"/>
        </w:rPr>
        <w:instrText xml:space="preserve"> SEQ Figure \* ARABIC </w:instrText>
      </w:r>
      <w:r w:rsidRPr="000B5A8D">
        <w:rPr>
          <w:rFonts w:ascii="Arial" w:hAnsi="Arial" w:cs="Arial"/>
          <w:sz w:val="20"/>
          <w:szCs w:val="20"/>
        </w:rPr>
        <w:fldChar w:fldCharType="separate"/>
      </w:r>
      <w:r w:rsidRPr="000B5A8D">
        <w:rPr>
          <w:rFonts w:ascii="Arial" w:hAnsi="Arial" w:cs="Arial"/>
          <w:noProof/>
          <w:sz w:val="20"/>
          <w:szCs w:val="20"/>
        </w:rPr>
        <w:t>2</w:t>
      </w:r>
      <w:r w:rsidRPr="000B5A8D">
        <w:rPr>
          <w:rFonts w:ascii="Arial" w:hAnsi="Arial" w:cs="Arial"/>
          <w:sz w:val="20"/>
          <w:szCs w:val="20"/>
        </w:rPr>
        <w:fldChar w:fldCharType="end"/>
      </w:r>
      <w:r w:rsidRPr="000B5A8D">
        <w:rPr>
          <w:rFonts w:ascii="Arial" w:hAnsi="Arial" w:cs="Arial"/>
          <w:sz w:val="20"/>
          <w:szCs w:val="20"/>
        </w:rPr>
        <w:t>: Steps of STS process</w:t>
      </w:r>
    </w:p>
    <w:p w14:paraId="5E0A5D53" w14:textId="77777777" w:rsidR="00F72E90" w:rsidRPr="000B5A8D" w:rsidRDefault="00F72E90" w:rsidP="00F72E90">
      <w:pPr>
        <w:jc w:val="center"/>
        <w:rPr>
          <w:rFonts w:ascii="Arial" w:hAnsi="Arial" w:cs="Arial"/>
        </w:rPr>
      </w:pPr>
      <w:r w:rsidRPr="000B5A8D">
        <w:rPr>
          <w:rFonts w:ascii="Arial" w:hAnsi="Arial" w:cs="Arial"/>
          <w:noProof/>
        </w:rPr>
        <w:drawing>
          <wp:inline distT="0" distB="0" distL="0" distR="0" wp14:anchorId="52FB7CB6" wp14:editId="14EC27EA">
            <wp:extent cx="3961298" cy="1883228"/>
            <wp:effectExtent l="0" t="0" r="1270" b="3175"/>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822" cy="1892985"/>
                    </a:xfrm>
                    <a:prstGeom prst="rect">
                      <a:avLst/>
                    </a:prstGeom>
                    <a:noFill/>
                    <a:ln>
                      <a:noFill/>
                    </a:ln>
                  </pic:spPr>
                </pic:pic>
              </a:graphicData>
            </a:graphic>
          </wp:inline>
        </w:drawing>
      </w:r>
    </w:p>
    <w:p w14:paraId="4EAB3382" w14:textId="77777777" w:rsidR="00F72E90" w:rsidRPr="000B5A8D" w:rsidRDefault="00F72E90" w:rsidP="00F72E90">
      <w:pPr>
        <w:jc w:val="both"/>
        <w:rPr>
          <w:rFonts w:ascii="Arial" w:hAnsi="Arial" w:cs="Arial"/>
          <w:i/>
          <w:iCs/>
        </w:rPr>
      </w:pPr>
      <w:r w:rsidRPr="000B5A8D">
        <w:rPr>
          <w:rFonts w:ascii="Arial" w:hAnsi="Arial" w:cs="Arial"/>
          <w:i/>
          <w:iCs/>
        </w:rPr>
        <w:t>Source: Smooth transition strategy guidance note, UN DESA</w:t>
      </w:r>
    </w:p>
    <w:p w14:paraId="18E3F3D2" w14:textId="77777777" w:rsidR="00642AA4" w:rsidRPr="000B5A8D" w:rsidRDefault="00642AA4" w:rsidP="00E62AF4">
      <w:pPr>
        <w:jc w:val="both"/>
        <w:rPr>
          <w:rFonts w:ascii="Arial" w:hAnsi="Arial" w:cs="Arial"/>
          <w:iCs/>
        </w:rPr>
      </w:pPr>
    </w:p>
    <w:p w14:paraId="7C0D80D9" w14:textId="77777777" w:rsidR="00F72E90" w:rsidRPr="000B5A8D" w:rsidRDefault="00F72E90" w:rsidP="00E62AF4">
      <w:pPr>
        <w:jc w:val="both"/>
        <w:rPr>
          <w:rFonts w:ascii="Arial" w:hAnsi="Arial" w:cs="Arial"/>
          <w:iCs/>
        </w:rPr>
      </w:pPr>
      <w:r w:rsidRPr="000B5A8D">
        <w:rPr>
          <w:rFonts w:ascii="Arial" w:hAnsi="Arial" w:cs="Arial"/>
          <w:iCs/>
        </w:rPr>
        <w:t xml:space="preserve">The author conducted </w:t>
      </w:r>
      <w:r w:rsidR="006D5191" w:rsidRPr="000B5A8D">
        <w:rPr>
          <w:rFonts w:ascii="Arial" w:hAnsi="Arial" w:cs="Arial"/>
          <w:iCs/>
        </w:rPr>
        <w:t>20 Key informant interviews with</w:t>
      </w:r>
      <w:r w:rsidRPr="000B5A8D">
        <w:rPr>
          <w:rFonts w:ascii="Arial" w:hAnsi="Arial" w:cs="Arial"/>
          <w:iCs/>
        </w:rPr>
        <w:t xml:space="preserve"> purposive</w:t>
      </w:r>
      <w:r w:rsidR="006D5191" w:rsidRPr="000B5A8D">
        <w:rPr>
          <w:rFonts w:ascii="Arial" w:hAnsi="Arial" w:cs="Arial"/>
          <w:iCs/>
        </w:rPr>
        <w:t xml:space="preserve"> sampling a</w:t>
      </w:r>
      <w:r w:rsidRPr="000B5A8D">
        <w:rPr>
          <w:rFonts w:ascii="Arial" w:hAnsi="Arial" w:cs="Arial"/>
          <w:iCs/>
        </w:rPr>
        <w:t xml:space="preserve">mong policymakers, businessmen and representatives from various chambers and associations to learn about the perspective of STS and its effective implementation. Most respondents have emphasized strategies for overcoming graduation challenges so that Bangladesh can reap the benefit of graduation. To overcome the Graduation Momentum, stakeholders responded that Bangladesh may continue negotiating with its trading partners to sign PTAs, FTAs, and CEPAs while bolstering its economic diplomacy. At the same time, they proposed to develop methods for breaking into new markets in regions such as the Middle East and </w:t>
      </w:r>
      <w:r w:rsidRPr="000B5A8D">
        <w:rPr>
          <w:rFonts w:ascii="Arial" w:hAnsi="Arial" w:cs="Arial"/>
          <w:iCs/>
        </w:rPr>
        <w:lastRenderedPageBreak/>
        <w:t xml:space="preserve">Latin America. They also identified that diversifying the export basket is crucial, which can be achieved by encouraging the export of new products like frozen meals, leather goods, and plastic items. Hence, respondents suggested that executing an LDC-specific strategic plan will further strengthen economic resilience. Finally, they </w:t>
      </w:r>
      <w:r w:rsidR="0062477A" w:rsidRPr="000B5A8D">
        <w:rPr>
          <w:rFonts w:ascii="Arial" w:hAnsi="Arial" w:cs="Arial"/>
          <w:iCs/>
        </w:rPr>
        <w:t xml:space="preserve">stressed for </w:t>
      </w:r>
      <w:r w:rsidRPr="000B5A8D">
        <w:rPr>
          <w:rFonts w:ascii="Arial" w:hAnsi="Arial" w:cs="Arial"/>
          <w:iCs/>
        </w:rPr>
        <w:t>public and private sectors</w:t>
      </w:r>
      <w:r w:rsidR="0062477A" w:rsidRPr="000B5A8D">
        <w:rPr>
          <w:rFonts w:ascii="Arial" w:hAnsi="Arial" w:cs="Arial"/>
          <w:iCs/>
        </w:rPr>
        <w:t>’ collaboration</w:t>
      </w:r>
      <w:r w:rsidRPr="000B5A8D">
        <w:rPr>
          <w:rFonts w:ascii="Arial" w:hAnsi="Arial" w:cs="Arial"/>
          <w:iCs/>
        </w:rPr>
        <w:t xml:space="preserve"> to focus more on research and development, new technology development, and investment. </w:t>
      </w:r>
      <w:r w:rsidR="0062477A" w:rsidRPr="000B5A8D">
        <w:rPr>
          <w:rFonts w:ascii="Arial" w:hAnsi="Arial" w:cs="Arial"/>
          <w:iCs/>
        </w:rPr>
        <w:t>As</w:t>
      </w:r>
      <w:r w:rsidRPr="000B5A8D">
        <w:rPr>
          <w:rFonts w:ascii="Arial" w:hAnsi="Arial" w:cs="Arial"/>
          <w:iCs/>
        </w:rPr>
        <w:t xml:space="preserve"> collaboration between the public and private sectors is essential to enhance product and market diversification, ensuring sustainable economic growth. The respondents further informed that after LDC graduation, the loss of GSP facilities may lead to a significant decline in exports to EU markets. In particular, RMG exporters are expected to miss out on approximately </w:t>
      </w:r>
      <w:r w:rsidRPr="000B5A8D">
        <w:rPr>
          <w:rFonts w:ascii="Arial" w:hAnsi="Arial" w:cs="Arial"/>
          <w:bCs/>
          <w:iCs/>
        </w:rPr>
        <w:t>US$4 billion</w:t>
      </w:r>
      <w:r w:rsidRPr="000B5A8D">
        <w:rPr>
          <w:rFonts w:ascii="Arial" w:hAnsi="Arial" w:cs="Arial"/>
          <w:iCs/>
        </w:rPr>
        <w:t xml:space="preserve"> in the EU. This decline in exports will harm employment, potentially affecting a large workforce dependent on the sector. Bangladesh can implement the Smooth Transition Strategy (STS) in consultation with the UN RCO, the UN System, the private sector, and other relevant stakeholders. Additionally, the government can initiate a country-led preparatory process to ensure a smooth and sustainable transition before LDC graduation. In November 2024, a Validation Workshop on Bangladesh's National Smooth Transition Strategy was held. It is expected this validated STS will facilitate the smoother transition process of Bangladesh.  </w:t>
      </w:r>
    </w:p>
    <w:p w14:paraId="2D150290" w14:textId="77777777" w:rsidR="0062477A" w:rsidRPr="000B5A8D" w:rsidRDefault="0062477A" w:rsidP="00E62AF4">
      <w:pPr>
        <w:jc w:val="both"/>
        <w:rPr>
          <w:rFonts w:ascii="Arial" w:hAnsi="Arial" w:cs="Arial"/>
          <w:iCs/>
        </w:rPr>
      </w:pPr>
    </w:p>
    <w:p w14:paraId="1A10205D" w14:textId="77777777" w:rsidR="0062477A" w:rsidRPr="000B5A8D" w:rsidRDefault="0062477A" w:rsidP="0062477A">
      <w:pPr>
        <w:jc w:val="both"/>
        <w:rPr>
          <w:rFonts w:ascii="Arial" w:hAnsi="Arial" w:cs="Arial"/>
        </w:rPr>
      </w:pPr>
      <w:r w:rsidRPr="000B5A8D">
        <w:rPr>
          <w:rFonts w:ascii="Arial" w:hAnsi="Arial" w:cs="Arial"/>
          <w:color w:val="000000"/>
        </w:rPr>
        <w:t xml:space="preserve">On November 24, 2026, Bangladesh is expected to leave the Least Developed Country (LDC) category. To guarantee a smooth transition to developing nation status, the government has been actively constructing a National Smooth Transition Strategy (STS) in anticipation of this change. Seven thematic subcommittees have been established to explore different fundamental topics about LDC graduation under the direction of the NCG. Development researchers and stakeholders from the business sector make up each subcommittee. These subcommittees' adopted actions center on graduation obstacles and STS measures for S&amp;DT benefits (PMO,2023). </w:t>
      </w:r>
      <w:r w:rsidRPr="000B5A8D">
        <w:rPr>
          <w:rFonts w:ascii="Arial" w:hAnsi="Arial" w:cs="Arial"/>
        </w:rPr>
        <w:t xml:space="preserve">An action plan with a deadline has been created to carry out the required changes to achieve sustainable graduation. Increasing productivity, making investments in skill development, encouraging innovation, implementing sustainable business practices, and attaining equitable growth are the main goals of this strategy. It also urges levelling the playing field for all exporters, simplifying the present tariff framework, and negotiating extended trade preferences with key trading partners. To get the nation ready for LDC graduation, they emphasized the significance of boosting productivity, guaranteeing respectable working conditions, using cutting-edge technology, and encouraging innovation. </w:t>
      </w:r>
    </w:p>
    <w:p w14:paraId="77B63F49" w14:textId="77777777" w:rsidR="0062477A" w:rsidRPr="000B5A8D" w:rsidRDefault="00C457D0" w:rsidP="00F72E90">
      <w:pPr>
        <w:pStyle w:val="Caption"/>
        <w:spacing w:after="0"/>
        <w:rPr>
          <w:rFonts w:ascii="Arial" w:hAnsi="Arial" w:cs="Arial"/>
          <w:i w:val="0"/>
          <w:sz w:val="20"/>
          <w:szCs w:val="20"/>
        </w:rPr>
      </w:pPr>
      <w:r w:rsidRPr="000B5A8D">
        <w:rPr>
          <w:rFonts w:ascii="Arial" w:hAnsi="Arial" w:cs="Arial"/>
          <w:noProof/>
        </w:rPr>
        <w:drawing>
          <wp:inline distT="0" distB="0" distL="0" distR="0" wp14:anchorId="42C3EEA9" wp14:editId="7FA3264D">
            <wp:extent cx="5098415" cy="1779905"/>
            <wp:effectExtent l="0" t="0" r="6985" b="10795"/>
            <wp:docPr id="6" name="Chart 6">
              <a:extLst xmlns:a="http://schemas.openxmlformats.org/drawingml/2006/main">
                <a:ext uri="{FF2B5EF4-FFF2-40B4-BE49-F238E27FC236}">
                  <a16:creationId xmlns:a16="http://schemas.microsoft.com/office/drawing/2014/main" id="{C2E66DE8-2D1F-46C7-BD02-3D717176D7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416EE1" w14:textId="77777777" w:rsidR="001D3767" w:rsidRDefault="001D3767" w:rsidP="00F72E90">
      <w:pPr>
        <w:pStyle w:val="Caption"/>
        <w:spacing w:after="0"/>
        <w:rPr>
          <w:rFonts w:ascii="Arial" w:hAnsi="Arial" w:cs="Arial"/>
          <w:i w:val="0"/>
          <w:sz w:val="20"/>
          <w:szCs w:val="20"/>
        </w:rPr>
      </w:pPr>
    </w:p>
    <w:p w14:paraId="25A6D9DE" w14:textId="3A6FF61C" w:rsidR="00F72E90" w:rsidRPr="000B5A8D" w:rsidRDefault="00F72E90" w:rsidP="00F72E90">
      <w:pPr>
        <w:pStyle w:val="Caption"/>
        <w:spacing w:after="0"/>
        <w:rPr>
          <w:rFonts w:ascii="Arial" w:hAnsi="Arial" w:cs="Arial"/>
          <w:i w:val="0"/>
          <w:sz w:val="20"/>
          <w:szCs w:val="20"/>
        </w:rPr>
      </w:pPr>
      <w:r w:rsidRPr="000B5A8D">
        <w:rPr>
          <w:rFonts w:ascii="Arial" w:hAnsi="Arial" w:cs="Arial"/>
          <w:i w:val="0"/>
          <w:sz w:val="20"/>
          <w:szCs w:val="20"/>
        </w:rPr>
        <w:t xml:space="preserve">Figure </w:t>
      </w:r>
      <w:r w:rsidRPr="000B5A8D">
        <w:rPr>
          <w:rFonts w:ascii="Arial" w:hAnsi="Arial" w:cs="Arial"/>
          <w:i w:val="0"/>
          <w:sz w:val="20"/>
          <w:szCs w:val="20"/>
        </w:rPr>
        <w:fldChar w:fldCharType="begin"/>
      </w:r>
      <w:r w:rsidRPr="000B5A8D">
        <w:rPr>
          <w:rFonts w:ascii="Arial" w:hAnsi="Arial" w:cs="Arial"/>
          <w:i w:val="0"/>
          <w:sz w:val="20"/>
          <w:szCs w:val="20"/>
        </w:rPr>
        <w:instrText xml:space="preserve"> SEQ Figure \* ARABIC </w:instrText>
      </w:r>
      <w:r w:rsidRPr="000B5A8D">
        <w:rPr>
          <w:rFonts w:ascii="Arial" w:hAnsi="Arial" w:cs="Arial"/>
          <w:i w:val="0"/>
          <w:sz w:val="20"/>
          <w:szCs w:val="20"/>
        </w:rPr>
        <w:fldChar w:fldCharType="separate"/>
      </w:r>
      <w:r w:rsidRPr="000B5A8D">
        <w:rPr>
          <w:rFonts w:ascii="Arial" w:hAnsi="Arial" w:cs="Arial"/>
          <w:i w:val="0"/>
          <w:noProof/>
          <w:sz w:val="20"/>
          <w:szCs w:val="20"/>
        </w:rPr>
        <w:t>3</w:t>
      </w:r>
      <w:r w:rsidRPr="000B5A8D">
        <w:rPr>
          <w:rFonts w:ascii="Arial" w:hAnsi="Arial" w:cs="Arial"/>
          <w:i w:val="0"/>
          <w:sz w:val="20"/>
          <w:szCs w:val="20"/>
        </w:rPr>
        <w:fldChar w:fldCharType="end"/>
      </w:r>
      <w:r w:rsidRPr="000B5A8D">
        <w:rPr>
          <w:rFonts w:ascii="Arial" w:hAnsi="Arial" w:cs="Arial"/>
          <w:i w:val="0"/>
          <w:sz w:val="20"/>
          <w:szCs w:val="20"/>
        </w:rPr>
        <w:t>: Response on STS in %</w:t>
      </w:r>
    </w:p>
    <w:p w14:paraId="0D00E75A" w14:textId="77777777" w:rsidR="00F72E90" w:rsidRPr="000B5A8D" w:rsidRDefault="0062477A" w:rsidP="00F72E90">
      <w:pPr>
        <w:rPr>
          <w:rFonts w:ascii="Arial" w:hAnsi="Arial" w:cs="Arial"/>
        </w:rPr>
      </w:pPr>
      <w:r w:rsidRPr="000B5A8D">
        <w:rPr>
          <w:rFonts w:ascii="Arial" w:hAnsi="Arial" w:cs="Arial"/>
        </w:rPr>
        <w:br w:type="textWrapping" w:clear="all"/>
      </w:r>
      <w:r w:rsidR="00642AA4" w:rsidRPr="000B5A8D">
        <w:rPr>
          <w:rFonts w:ascii="Arial" w:hAnsi="Arial" w:cs="Arial"/>
        </w:rPr>
        <w:t>S</w:t>
      </w:r>
      <w:r w:rsidR="00F72E90" w:rsidRPr="000B5A8D">
        <w:rPr>
          <w:rFonts w:ascii="Arial" w:hAnsi="Arial" w:cs="Arial"/>
        </w:rPr>
        <w:t>ource: Author own interview</w:t>
      </w:r>
    </w:p>
    <w:p w14:paraId="76B82908" w14:textId="77777777" w:rsidR="002F66C5" w:rsidRPr="000B5A8D" w:rsidRDefault="002F66C5" w:rsidP="00F72E90">
      <w:pPr>
        <w:rPr>
          <w:rFonts w:ascii="Arial" w:hAnsi="Arial" w:cs="Arial"/>
        </w:rPr>
      </w:pPr>
    </w:p>
    <w:p w14:paraId="120B00BC" w14:textId="77777777" w:rsidR="00B01FCD" w:rsidRPr="000B5A8D" w:rsidRDefault="00206583" w:rsidP="00441B6F">
      <w:pPr>
        <w:pStyle w:val="ConcHead"/>
        <w:spacing w:after="0"/>
        <w:jc w:val="both"/>
        <w:rPr>
          <w:rFonts w:ascii="Arial" w:hAnsi="Arial" w:cs="Arial"/>
        </w:rPr>
      </w:pPr>
      <w:r w:rsidRPr="000B5A8D">
        <w:rPr>
          <w:rFonts w:ascii="Arial" w:hAnsi="Arial" w:cs="Arial"/>
        </w:rPr>
        <w:t>5</w:t>
      </w:r>
      <w:r w:rsidR="00000F8F" w:rsidRPr="000B5A8D">
        <w:rPr>
          <w:rFonts w:ascii="Arial" w:hAnsi="Arial" w:cs="Arial"/>
        </w:rPr>
        <w:t xml:space="preserve">. </w:t>
      </w:r>
      <w:r w:rsidR="00B01FCD" w:rsidRPr="000B5A8D">
        <w:rPr>
          <w:rFonts w:ascii="Arial" w:hAnsi="Arial" w:cs="Arial"/>
        </w:rPr>
        <w:t>Conclusion</w:t>
      </w:r>
    </w:p>
    <w:p w14:paraId="4B27E445" w14:textId="77777777" w:rsidR="00F72E90" w:rsidRPr="000B5A8D" w:rsidRDefault="00F72E90" w:rsidP="00441B6F">
      <w:pPr>
        <w:pStyle w:val="Body"/>
        <w:spacing w:after="0"/>
        <w:rPr>
          <w:rFonts w:ascii="Arial" w:hAnsi="Arial" w:cs="Arial"/>
        </w:rPr>
      </w:pPr>
      <w:r w:rsidRPr="000B5A8D">
        <w:rPr>
          <w:rFonts w:ascii="Arial" w:hAnsi="Arial" w:cs="Arial"/>
        </w:rPr>
        <w:t xml:space="preserve">Bangladesh needs increased private investment for export diversification to articulate aspired growth momentum in the graduation process. Here, diversification includes both products and market diversification, as the minimum of 40% value addition conditions have prevailed to export in most of the Free and Preferential Trade Agreements. Stronger backward linkages and industry-oriented policy support along with a re-skilled workforce can mitigate the hurdles of graduation and the Middle-Income trap. Similarly, managing the transition requires investment in the adoption of new technology, developing infrastructure, research and innovation and trade facilitation programs to integrate Bangladeshi exporters into the global value chain. The contemporary global issues of conservatism, protectionism, extremism, and economic polarization may significantly challenge the journey towards graduation and beyond. These may also create another opportunity for a country to leap forward for a further stage of development. Moreover, multilateral-private, public and civil society consensus within the country needs to prepare a policy framework or strategic roadmap to ease this transition process and ensure the betterment of the nation shortly through a participatory and integrated strategic approach to development. Given the situation, it will be crucial for Bangladesh to include trade concerns at each level of the development planning cycle. To guarantee a seamless transition process for Bangladesh, this has to be supported by robust inter-ministerial coordination and consultation procedures involving a variety of stakeholders. With a participatory approach and implementation of pragmatic STS, Bangladesh can go through the process of a smooth transition to becoming a middle-income country in the near future.  </w:t>
      </w:r>
    </w:p>
    <w:p w14:paraId="546CF8D7" w14:textId="77777777" w:rsidR="00642AA4" w:rsidRPr="000B5A8D" w:rsidRDefault="00642AA4" w:rsidP="00441B6F">
      <w:pPr>
        <w:pStyle w:val="ReferHead"/>
        <w:spacing w:after="0"/>
        <w:jc w:val="both"/>
        <w:rPr>
          <w:rFonts w:ascii="Arial" w:hAnsi="Arial" w:cs="Arial"/>
          <w:bCs/>
        </w:rPr>
      </w:pPr>
    </w:p>
    <w:p w14:paraId="1CD974D4" w14:textId="77777777" w:rsidR="00790ADA" w:rsidRPr="000B5A8D" w:rsidRDefault="00790ADA" w:rsidP="00441B6F">
      <w:pPr>
        <w:pStyle w:val="Body"/>
        <w:spacing w:after="0"/>
        <w:rPr>
          <w:rFonts w:ascii="Arial" w:hAnsi="Arial" w:cs="Arial"/>
        </w:rPr>
      </w:pPr>
    </w:p>
    <w:p w14:paraId="5D63B18B" w14:textId="04FFB075" w:rsidR="008246A0" w:rsidRPr="000B5A8D" w:rsidRDefault="002C57D2" w:rsidP="008246A0">
      <w:pPr>
        <w:pStyle w:val="Body"/>
        <w:spacing w:after="0"/>
        <w:rPr>
          <w:rFonts w:ascii="Arial" w:hAnsi="Arial" w:cs="Arial"/>
        </w:rPr>
      </w:pPr>
      <w:r w:rsidRPr="000B5A8D">
        <w:rPr>
          <w:rFonts w:ascii="Arial" w:hAnsi="Arial" w:cs="Arial"/>
          <w:b/>
        </w:rPr>
        <w:t xml:space="preserve">Reference </w:t>
      </w:r>
    </w:p>
    <w:p w14:paraId="549F1B1B" w14:textId="77777777" w:rsidR="008246A0" w:rsidRPr="000B5A8D" w:rsidRDefault="001F602D" w:rsidP="008246A0">
      <w:pPr>
        <w:spacing w:before="100" w:beforeAutospacing="1" w:after="100" w:afterAutospacing="1"/>
        <w:ind w:left="480" w:hanging="480"/>
        <w:rPr>
          <w:rFonts w:ascii="Arial" w:hAnsi="Arial" w:cs="Arial"/>
          <w:noProof/>
        </w:rPr>
      </w:pPr>
      <w:r w:rsidRPr="000B5A8D">
        <w:rPr>
          <w:rFonts w:ascii="Arial" w:hAnsi="Arial" w:cs="Arial"/>
        </w:rPr>
        <w:t>Ahmed</w:t>
      </w:r>
      <w:r w:rsidRPr="000B5A8D">
        <w:rPr>
          <w:rFonts w:ascii="Arial" w:hAnsi="Arial" w:cs="Arial"/>
          <w:noProof/>
        </w:rPr>
        <w:t xml:space="preserve">, T. N. (2018, March 28). </w:t>
      </w:r>
      <w:r w:rsidRPr="000B5A8D">
        <w:rPr>
          <w:rFonts w:ascii="Arial" w:hAnsi="Arial" w:cs="Arial"/>
          <w:i/>
          <w:iCs/>
          <w:noProof/>
        </w:rPr>
        <w:t>LDC graduation: scopes and challenges</w:t>
      </w:r>
      <w:r w:rsidRPr="000B5A8D">
        <w:rPr>
          <w:rFonts w:ascii="Arial" w:hAnsi="Arial" w:cs="Arial"/>
          <w:noProof/>
        </w:rPr>
        <w:t xml:space="preserve">. Retrieved October 11, 2018, from The Daily New Age : </w:t>
      </w:r>
      <w:hyperlink r:id="rId11" w:history="1">
        <w:r w:rsidRPr="000B5A8D">
          <w:rPr>
            <w:rFonts w:ascii="Arial" w:hAnsi="Arial" w:cs="Arial"/>
            <w:noProof/>
            <w:color w:val="0000FF"/>
            <w:u w:val="single"/>
          </w:rPr>
          <w:t>http://www.newagebd.net/article/37523/ldc-graduation-scopes-and-challenges</w:t>
        </w:r>
      </w:hyperlink>
      <w:r w:rsidRPr="000B5A8D">
        <w:rPr>
          <w:rFonts w:ascii="Arial" w:hAnsi="Arial" w:cs="Arial"/>
          <w:noProof/>
        </w:rPr>
        <w:t>.</w:t>
      </w:r>
    </w:p>
    <w:p w14:paraId="76DFAD14" w14:textId="77777777" w:rsidR="00B2798E" w:rsidRPr="000B5A8D" w:rsidRDefault="00B2798E" w:rsidP="008246A0">
      <w:pPr>
        <w:spacing w:before="100" w:beforeAutospacing="1" w:after="100" w:afterAutospacing="1"/>
        <w:ind w:left="480" w:hanging="480"/>
        <w:rPr>
          <w:rStyle w:val="Hyperlink"/>
          <w:rFonts w:ascii="Arial" w:hAnsi="Arial" w:cs="Arial"/>
          <w:noProof/>
          <w:color w:val="auto"/>
          <w:u w:val="none"/>
        </w:rPr>
      </w:pPr>
      <w:r w:rsidRPr="000B5A8D">
        <w:rPr>
          <w:rFonts w:ascii="Arial" w:hAnsi="Arial" w:cs="Arial"/>
        </w:rPr>
        <w:t xml:space="preserve">Bhattacharya, D., &amp; Borgatti, L. (2012). An Atypical Approach to Graduation from the LDC Category: The Case of Bangladesh. </w:t>
      </w:r>
      <w:r w:rsidRPr="000B5A8D">
        <w:rPr>
          <w:rFonts w:ascii="Arial" w:hAnsi="Arial" w:cs="Arial"/>
          <w:i/>
          <w:iCs/>
        </w:rPr>
        <w:t>South Asia Economic Journal</w:t>
      </w:r>
      <w:r w:rsidRPr="000B5A8D">
        <w:rPr>
          <w:rFonts w:ascii="Arial" w:hAnsi="Arial" w:cs="Arial"/>
        </w:rPr>
        <w:t xml:space="preserve">, </w:t>
      </w:r>
      <w:r w:rsidRPr="000B5A8D">
        <w:rPr>
          <w:rFonts w:ascii="Arial" w:hAnsi="Arial" w:cs="Arial"/>
          <w:i/>
          <w:iCs/>
        </w:rPr>
        <w:t>13</w:t>
      </w:r>
      <w:r w:rsidRPr="000B5A8D">
        <w:rPr>
          <w:rFonts w:ascii="Arial" w:hAnsi="Arial" w:cs="Arial"/>
        </w:rPr>
        <w:t xml:space="preserve">(1), 1–25. </w:t>
      </w:r>
      <w:hyperlink r:id="rId12" w:history="1">
        <w:r w:rsidRPr="000B5A8D">
          <w:rPr>
            <w:rStyle w:val="Hyperlink"/>
            <w:rFonts w:ascii="Arial" w:hAnsi="Arial" w:cs="Arial"/>
          </w:rPr>
          <w:t>https://doi.org/10.1177/139156141101300101</w:t>
        </w:r>
      </w:hyperlink>
    </w:p>
    <w:p w14:paraId="7DFFC309" w14:textId="77777777" w:rsidR="001F602D" w:rsidRPr="000B5A8D" w:rsidRDefault="001F602D" w:rsidP="001F602D">
      <w:pPr>
        <w:spacing w:before="100" w:beforeAutospacing="1" w:after="100" w:afterAutospacing="1"/>
        <w:ind w:left="480" w:hanging="480"/>
        <w:rPr>
          <w:rFonts w:ascii="Arial" w:hAnsi="Arial" w:cs="Arial"/>
          <w:noProof/>
        </w:rPr>
      </w:pPr>
      <w:r w:rsidRPr="000B5A8D">
        <w:rPr>
          <w:rFonts w:ascii="Arial" w:hAnsi="Arial" w:cs="Arial"/>
        </w:rPr>
        <w:t xml:space="preserve">Bhattacharya, D. and Khan, S. S. (2018). The LDC Paradigm, Graduation and Bangladesh: Concepts, Comparison and Policy. In: D. Bhattacharya (Ed.), </w:t>
      </w:r>
      <w:r w:rsidRPr="000B5A8D">
        <w:rPr>
          <w:rFonts w:ascii="Arial" w:hAnsi="Arial" w:cs="Arial"/>
          <w:i/>
        </w:rPr>
        <w:t>Bangladesh’s Graduation from the Least Developed Countries Group: Pitfalls and Promises.</w:t>
      </w:r>
      <w:r w:rsidRPr="000B5A8D">
        <w:rPr>
          <w:rFonts w:ascii="Arial" w:hAnsi="Arial" w:cs="Arial"/>
        </w:rPr>
        <w:t xml:space="preserve"> London: Routledge.</w:t>
      </w:r>
    </w:p>
    <w:p w14:paraId="57EA2A54" w14:textId="77777777" w:rsidR="001F602D" w:rsidRPr="000B5A8D" w:rsidRDefault="001F602D"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Bank, W. (2016, April 7). </w:t>
      </w:r>
      <w:r w:rsidRPr="000B5A8D">
        <w:rPr>
          <w:rFonts w:ascii="Arial" w:hAnsi="Arial" w:cs="Arial"/>
          <w:i/>
          <w:iCs/>
          <w:noProof/>
        </w:rPr>
        <w:t>Helping Bangladesh Reach Middle Income Country Status</w:t>
      </w:r>
      <w:r w:rsidRPr="000B5A8D">
        <w:rPr>
          <w:rFonts w:ascii="Arial" w:hAnsi="Arial" w:cs="Arial"/>
          <w:noProof/>
        </w:rPr>
        <w:t xml:space="preserve">. Retrieved January 26, 2020, from The World Bank IBRD IDA: </w:t>
      </w:r>
      <w:hyperlink r:id="rId13" w:history="1">
        <w:r w:rsidRPr="000B5A8D">
          <w:rPr>
            <w:rStyle w:val="Hyperlink"/>
            <w:rFonts w:ascii="Arial" w:hAnsi="Arial" w:cs="Arial"/>
            <w:noProof/>
          </w:rPr>
          <w:t>https://www.worldbank.org/en/news/feature/2016/04/07/World_Bank_Group_s_New_Country_Partnership_Framework_helps_Bangladesh_Reach_Middle_Income_Country_Status</w:t>
        </w:r>
      </w:hyperlink>
    </w:p>
    <w:p w14:paraId="4D66AE4F" w14:textId="77777777" w:rsidR="001F602D" w:rsidRPr="000B5A8D" w:rsidRDefault="001F602D" w:rsidP="001F602D">
      <w:pPr>
        <w:spacing w:before="100" w:beforeAutospacing="1" w:after="100" w:afterAutospacing="1"/>
        <w:ind w:left="480" w:hanging="480"/>
        <w:rPr>
          <w:rFonts w:ascii="Arial" w:hAnsi="Arial" w:cs="Arial"/>
        </w:rPr>
      </w:pPr>
      <w:r w:rsidRPr="000B5A8D">
        <w:rPr>
          <w:rFonts w:ascii="Arial" w:hAnsi="Arial" w:cs="Arial"/>
        </w:rPr>
        <w:t xml:space="preserve">Brian, D. (2019). </w:t>
      </w:r>
      <w:r w:rsidRPr="000B5A8D">
        <w:rPr>
          <w:rFonts w:ascii="Arial" w:hAnsi="Arial" w:cs="Arial"/>
          <w:i/>
          <w:iCs/>
        </w:rPr>
        <w:t>LDC Graduation: Challenges and Opportunities for Vanuatu</w:t>
      </w:r>
      <w:r w:rsidRPr="000B5A8D">
        <w:rPr>
          <w:rFonts w:ascii="Arial" w:hAnsi="Arial" w:cs="Arial"/>
        </w:rPr>
        <w:t xml:space="preserve">. </w:t>
      </w:r>
      <w:r w:rsidRPr="000B5A8D">
        <w:rPr>
          <w:rFonts w:ascii="Arial" w:hAnsi="Arial" w:cs="Arial"/>
          <w:i/>
          <w:iCs/>
        </w:rPr>
        <w:t>April</w:t>
      </w:r>
      <w:r w:rsidRPr="000B5A8D">
        <w:rPr>
          <w:rFonts w:ascii="Arial" w:hAnsi="Arial" w:cs="Arial"/>
        </w:rPr>
        <w:t xml:space="preserve">, 34. https://www.unescap.org/sites/default/files/publications/WP-19-04 LDC </w:t>
      </w:r>
      <w:proofErr w:type="spellStart"/>
      <w:r w:rsidRPr="000B5A8D">
        <w:rPr>
          <w:rFonts w:ascii="Arial" w:hAnsi="Arial" w:cs="Arial"/>
        </w:rPr>
        <w:t>Graduation_Challenges</w:t>
      </w:r>
      <w:proofErr w:type="spellEnd"/>
      <w:r w:rsidRPr="000B5A8D">
        <w:rPr>
          <w:rFonts w:ascii="Arial" w:hAnsi="Arial" w:cs="Arial"/>
        </w:rPr>
        <w:t xml:space="preserve"> and Opportunities for Vanuatu.pdf</w:t>
      </w:r>
    </w:p>
    <w:p w14:paraId="7739E5B6" w14:textId="77777777" w:rsidR="001F602D" w:rsidRPr="000B5A8D" w:rsidRDefault="001F602D" w:rsidP="001F602D">
      <w:pPr>
        <w:spacing w:before="100" w:beforeAutospacing="1" w:after="100" w:afterAutospacing="1"/>
        <w:ind w:left="480" w:hanging="480"/>
        <w:rPr>
          <w:rStyle w:val="Hyperlink"/>
          <w:rFonts w:ascii="Arial" w:hAnsi="Arial" w:cs="Arial"/>
          <w:noProof/>
        </w:rPr>
      </w:pPr>
      <w:r w:rsidRPr="000B5A8D">
        <w:rPr>
          <w:rFonts w:ascii="Arial" w:hAnsi="Arial" w:cs="Arial"/>
          <w:noProof/>
        </w:rPr>
        <w:t xml:space="preserve">Bruckner, M. (2018, January). </w:t>
      </w:r>
      <w:r w:rsidRPr="000B5A8D">
        <w:rPr>
          <w:rFonts w:ascii="Arial" w:hAnsi="Arial" w:cs="Arial"/>
          <w:i/>
          <w:iCs/>
          <w:noProof/>
        </w:rPr>
        <w:t>Managing graduation from the LDC category: The case of the Maldives’ fish exports.</w:t>
      </w:r>
      <w:r w:rsidRPr="000B5A8D">
        <w:rPr>
          <w:rFonts w:ascii="Arial" w:hAnsi="Arial" w:cs="Arial"/>
          <w:noProof/>
        </w:rPr>
        <w:t xml:space="preserve"> Retrieved January 4, 2020, from United Nation LDC Potral: </w:t>
      </w:r>
      <w:hyperlink r:id="rId14" w:history="1">
        <w:r w:rsidRPr="000B5A8D">
          <w:rPr>
            <w:rStyle w:val="Hyperlink"/>
            <w:rFonts w:ascii="Arial" w:hAnsi="Arial" w:cs="Arial"/>
            <w:noProof/>
          </w:rPr>
          <w:t>https://www.un.org/ldcportal/managing-graduation-from-the-ldc-category-the-case-of-the-maldives-fish-exports/</w:t>
        </w:r>
      </w:hyperlink>
    </w:p>
    <w:p w14:paraId="032E6F3B" w14:textId="77777777" w:rsidR="00A135C4" w:rsidRPr="000B5A8D" w:rsidRDefault="00A135C4" w:rsidP="00A135C4">
      <w:pPr>
        <w:spacing w:before="100" w:beforeAutospacing="1" w:after="100" w:afterAutospacing="1"/>
        <w:ind w:left="480" w:hanging="480"/>
        <w:rPr>
          <w:rFonts w:ascii="Arial" w:hAnsi="Arial" w:cs="Arial"/>
        </w:rPr>
      </w:pPr>
      <w:r w:rsidRPr="000B5A8D">
        <w:rPr>
          <w:rFonts w:ascii="Arial" w:hAnsi="Arial" w:cs="Arial"/>
        </w:rPr>
        <w:t xml:space="preserve">BSTI Standards Catalogue 2021(Till August 2021), Accessed on 25 July, 2023, </w:t>
      </w:r>
      <w:hyperlink r:id="rId15" w:history="1">
        <w:r w:rsidRPr="000B5A8D">
          <w:rPr>
            <w:rStyle w:val="Hyperlink"/>
            <w:rFonts w:ascii="Arial" w:hAnsi="Arial" w:cs="Arial"/>
          </w:rPr>
          <w:t>https://bsti.portal.gov.bd/sites/default/files/files/bsti.portal.gov.bd/page/c82bd863_c051_46ce_af11_eb5bec479d5b/2021-08-31-11-36-54b7b1099157fbe275580fb4511a00bf.pdf</w:t>
        </w:r>
      </w:hyperlink>
    </w:p>
    <w:p w14:paraId="276DE481" w14:textId="77777777" w:rsidR="001F602D" w:rsidRPr="000B5A8D" w:rsidRDefault="001F602D" w:rsidP="001F602D">
      <w:pPr>
        <w:spacing w:before="100" w:beforeAutospacing="1" w:after="100" w:afterAutospacing="1"/>
        <w:ind w:left="480" w:hanging="480"/>
        <w:rPr>
          <w:rStyle w:val="Hyperlink"/>
          <w:rFonts w:ascii="Arial" w:hAnsi="Arial" w:cs="Arial"/>
        </w:rPr>
      </w:pPr>
      <w:r w:rsidRPr="000B5A8D">
        <w:rPr>
          <w:rFonts w:ascii="Arial" w:hAnsi="Arial" w:cs="Arial"/>
        </w:rPr>
        <w:t xml:space="preserve">Economic Analysis &amp; Policy Division, D. of E. &amp; S. A. (2018). </w:t>
      </w:r>
      <w:r w:rsidRPr="000B5A8D">
        <w:rPr>
          <w:rFonts w:ascii="Arial" w:hAnsi="Arial" w:cs="Arial"/>
          <w:i/>
          <w:iCs/>
        </w:rPr>
        <w:t>Bangladesh LDC status</w:t>
      </w:r>
      <w:r w:rsidRPr="000B5A8D">
        <w:rPr>
          <w:rFonts w:ascii="Arial" w:hAnsi="Arial" w:cs="Arial"/>
        </w:rPr>
        <w:t xml:space="preserve">. 1–2. </w:t>
      </w:r>
      <w:hyperlink r:id="rId16" w:history="1">
        <w:r w:rsidRPr="000B5A8D">
          <w:rPr>
            <w:rStyle w:val="Hyperlink"/>
            <w:rFonts w:ascii="Arial" w:hAnsi="Arial" w:cs="Arial"/>
          </w:rPr>
          <w:t>https://www.un.org/development/desa/dpad/wp-content/uploads/sites/45/LDC_profile_Bangladesh.pdf</w:t>
        </w:r>
      </w:hyperlink>
    </w:p>
    <w:p w14:paraId="3DE3F9F0" w14:textId="77777777" w:rsidR="0071554F" w:rsidRPr="000B5A8D" w:rsidRDefault="0071554F" w:rsidP="001F602D">
      <w:pPr>
        <w:spacing w:before="100" w:beforeAutospacing="1" w:after="100" w:afterAutospacing="1"/>
        <w:ind w:left="480" w:hanging="480"/>
        <w:rPr>
          <w:rFonts w:ascii="Arial" w:hAnsi="Arial" w:cs="Arial"/>
        </w:rPr>
      </w:pPr>
      <w:r w:rsidRPr="000B5A8D">
        <w:rPr>
          <w:rFonts w:ascii="Arial" w:hAnsi="Arial" w:cs="Arial"/>
        </w:rPr>
        <w:t xml:space="preserve">Francois, J., &amp; Hoekman, B. (2010). Trade Policy and Preference Erosion: Measurement and Impacts. </w:t>
      </w:r>
      <w:r w:rsidRPr="000B5A8D">
        <w:rPr>
          <w:rFonts w:ascii="Arial" w:hAnsi="Arial" w:cs="Arial"/>
          <w:i/>
        </w:rPr>
        <w:t>The World Bank Economic Review</w:t>
      </w:r>
      <w:r w:rsidRPr="000B5A8D">
        <w:rPr>
          <w:rFonts w:ascii="Arial" w:hAnsi="Arial" w:cs="Arial"/>
        </w:rPr>
        <w:t>, 24(2), 189-213.</w:t>
      </w:r>
    </w:p>
    <w:p w14:paraId="6DF84B32" w14:textId="77777777" w:rsidR="001F602D" w:rsidRPr="000B5A8D" w:rsidRDefault="001F602D" w:rsidP="001F602D">
      <w:pPr>
        <w:spacing w:before="100" w:beforeAutospacing="1" w:after="100" w:afterAutospacing="1"/>
        <w:ind w:left="480" w:hanging="480"/>
        <w:rPr>
          <w:rFonts w:ascii="Arial" w:hAnsi="Arial" w:cs="Arial"/>
        </w:rPr>
      </w:pPr>
      <w:r w:rsidRPr="000B5A8D">
        <w:rPr>
          <w:rFonts w:ascii="Arial" w:hAnsi="Arial" w:cs="Arial"/>
          <w:noProof/>
        </w:rPr>
        <w:t xml:space="preserve">Gay, D. (2017, December 18). </w:t>
      </w:r>
      <w:r w:rsidRPr="000B5A8D">
        <w:rPr>
          <w:rFonts w:ascii="Arial" w:hAnsi="Arial" w:cs="Arial"/>
          <w:i/>
          <w:iCs/>
          <w:noProof/>
        </w:rPr>
        <w:t>What LDC graduation will mean for Bangladesh’s drugs industry.</w:t>
      </w:r>
      <w:r w:rsidRPr="000B5A8D">
        <w:rPr>
          <w:rFonts w:ascii="Arial" w:hAnsi="Arial" w:cs="Arial"/>
          <w:noProof/>
        </w:rPr>
        <w:t xml:space="preserve"> Retrieved October 9, 2018, from UN : </w:t>
      </w:r>
      <w:hyperlink r:id="rId17" w:history="1">
        <w:r w:rsidRPr="000B5A8D">
          <w:rPr>
            <w:rFonts w:ascii="Arial" w:hAnsi="Arial" w:cs="Arial"/>
            <w:noProof/>
            <w:color w:val="0000FF"/>
            <w:u w:val="single"/>
          </w:rPr>
          <w:t>https://www.un.org/ldcportal/what-ldc-graduation-will-mean-for-bangladeshs-drugs-industry/</w:t>
        </w:r>
      </w:hyperlink>
    </w:p>
    <w:p w14:paraId="6969A34A" w14:textId="77777777" w:rsidR="001F602D" w:rsidRPr="000B5A8D" w:rsidRDefault="001F602D" w:rsidP="001F602D">
      <w:pPr>
        <w:spacing w:before="100" w:beforeAutospacing="1" w:after="100" w:afterAutospacing="1"/>
        <w:ind w:left="480" w:hanging="480"/>
        <w:rPr>
          <w:rFonts w:ascii="Arial" w:hAnsi="Arial" w:cs="Arial"/>
          <w:noProof/>
          <w:color w:val="0000FF"/>
          <w:u w:val="single"/>
        </w:rPr>
      </w:pPr>
      <w:r w:rsidRPr="000B5A8D">
        <w:rPr>
          <w:rFonts w:ascii="Arial" w:hAnsi="Arial" w:cs="Arial"/>
          <w:noProof/>
        </w:rPr>
        <w:t xml:space="preserve">Gay, D. (2017, October 30). </w:t>
      </w:r>
      <w:r w:rsidRPr="000B5A8D">
        <w:rPr>
          <w:rFonts w:ascii="Arial" w:hAnsi="Arial" w:cs="Arial"/>
          <w:i/>
          <w:noProof/>
        </w:rPr>
        <w:t>Booming Bangladesh Looks forward to LDC Graduation</w:t>
      </w:r>
      <w:r w:rsidRPr="000B5A8D">
        <w:rPr>
          <w:rFonts w:ascii="Arial" w:hAnsi="Arial" w:cs="Arial"/>
          <w:noProof/>
        </w:rPr>
        <w:t xml:space="preserve">. Retrieved October 9, 2018, from UN : </w:t>
      </w:r>
      <w:hyperlink r:id="rId18" w:history="1">
        <w:r w:rsidRPr="000B5A8D">
          <w:rPr>
            <w:rFonts w:ascii="Arial" w:hAnsi="Arial" w:cs="Arial"/>
            <w:noProof/>
            <w:color w:val="0000FF"/>
            <w:u w:val="single"/>
          </w:rPr>
          <w:t>https://www.un.org/ldcportal/what-ldc-graduation-will-mean-for-bangladeshs-drugs-industry/</w:t>
        </w:r>
      </w:hyperlink>
    </w:p>
    <w:p w14:paraId="14AA3DE7" w14:textId="77777777" w:rsidR="00A135C4" w:rsidRPr="000B5A8D" w:rsidRDefault="00A135C4" w:rsidP="00A135C4">
      <w:pPr>
        <w:spacing w:before="100" w:beforeAutospacing="1" w:after="100" w:afterAutospacing="1"/>
        <w:ind w:left="480" w:hanging="480"/>
        <w:rPr>
          <w:rFonts w:ascii="Arial" w:hAnsi="Arial" w:cs="Arial"/>
          <w:noProof/>
        </w:rPr>
      </w:pPr>
      <w:r w:rsidRPr="000B5A8D">
        <w:rPr>
          <w:rFonts w:ascii="Arial" w:hAnsi="Arial" w:cs="Arial"/>
          <w:noProof/>
        </w:rPr>
        <w:t xml:space="preserve">IMF. (2018). </w:t>
      </w:r>
      <w:r w:rsidRPr="000B5A8D">
        <w:rPr>
          <w:rFonts w:ascii="Arial" w:hAnsi="Arial" w:cs="Arial"/>
          <w:i/>
          <w:iCs/>
          <w:noProof/>
        </w:rPr>
        <w:t>World Economic Outlook April 2018: Cyclical Upswing, Structural Change.</w:t>
      </w:r>
      <w:r w:rsidRPr="000B5A8D">
        <w:rPr>
          <w:rFonts w:ascii="Arial" w:hAnsi="Arial" w:cs="Arial"/>
          <w:noProof/>
        </w:rPr>
        <w:t xml:space="preserve"> Washington, DC: International Monetary Fund.</w:t>
      </w:r>
    </w:p>
    <w:p w14:paraId="62158F99" w14:textId="77777777" w:rsidR="00B2798E" w:rsidRPr="000B5A8D" w:rsidRDefault="00B2798E" w:rsidP="00B2798E">
      <w:pPr>
        <w:spacing w:before="100" w:beforeAutospacing="1" w:after="100" w:afterAutospacing="1"/>
        <w:ind w:left="480" w:hanging="480"/>
        <w:rPr>
          <w:rFonts w:ascii="Arial" w:hAnsi="Arial" w:cs="Arial"/>
        </w:rPr>
      </w:pPr>
      <w:r w:rsidRPr="000B5A8D">
        <w:rPr>
          <w:rFonts w:ascii="Arial" w:hAnsi="Arial" w:cs="Arial"/>
          <w:color w:val="000000"/>
        </w:rPr>
        <w:t>Khan, M.S. &amp; Kumar, M.S. (1997). Public and Private Investment and the Growth Process in Developing Countries, Oxford Bulletin of Economics and Statistics, 59(1), pp.69-88.</w:t>
      </w:r>
      <w:r w:rsidRPr="000B5A8D">
        <w:rPr>
          <w:rFonts w:ascii="Arial" w:hAnsi="Arial" w:cs="Arial"/>
        </w:rPr>
        <w:t xml:space="preserve"> </w:t>
      </w:r>
    </w:p>
    <w:p w14:paraId="7032C1C3" w14:textId="77777777" w:rsidR="001F602D" w:rsidRPr="000B5A8D" w:rsidRDefault="001F602D"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Khan, D. B. (2018). </w:t>
      </w:r>
      <w:r w:rsidRPr="000B5A8D">
        <w:rPr>
          <w:rFonts w:ascii="Arial" w:hAnsi="Arial" w:cs="Arial"/>
          <w:i/>
          <w:iCs/>
          <w:noProof/>
        </w:rPr>
        <w:t>Bangladesh Becoming a Middle-Income Country, Ceasing to be.</w:t>
      </w:r>
      <w:r w:rsidRPr="000B5A8D">
        <w:rPr>
          <w:rFonts w:ascii="Arial" w:hAnsi="Arial" w:cs="Arial"/>
          <w:noProof/>
        </w:rPr>
        <w:t xml:space="preserve"> Dhaka : CPD .</w:t>
      </w:r>
    </w:p>
    <w:p w14:paraId="6640463B" w14:textId="77777777" w:rsidR="001F602D" w:rsidRPr="000B5A8D" w:rsidRDefault="001F602D" w:rsidP="001F602D">
      <w:pPr>
        <w:spacing w:before="100" w:beforeAutospacing="1" w:after="100" w:afterAutospacing="1"/>
        <w:ind w:left="480" w:hanging="480"/>
        <w:rPr>
          <w:rFonts w:ascii="Arial" w:hAnsi="Arial" w:cs="Arial"/>
        </w:rPr>
      </w:pPr>
      <w:r w:rsidRPr="000B5A8D">
        <w:rPr>
          <w:rFonts w:ascii="Arial" w:hAnsi="Arial" w:cs="Arial"/>
          <w:noProof/>
        </w:rPr>
        <w:t xml:space="preserve">Khatun, F. (2018, March 20). LDC GRADUATION: What it means for Bangladesh. </w:t>
      </w:r>
      <w:r w:rsidRPr="000B5A8D">
        <w:rPr>
          <w:rFonts w:ascii="Arial" w:hAnsi="Arial" w:cs="Arial"/>
          <w:i/>
          <w:iCs/>
          <w:noProof/>
        </w:rPr>
        <w:t xml:space="preserve">The Daily Star </w:t>
      </w:r>
      <w:r w:rsidRPr="000B5A8D">
        <w:rPr>
          <w:rFonts w:ascii="Arial" w:hAnsi="Arial" w:cs="Arial"/>
          <w:noProof/>
        </w:rPr>
        <w:t>. from</w:t>
      </w:r>
      <w:r w:rsidRPr="000B5A8D">
        <w:rPr>
          <w:rFonts w:ascii="Arial" w:hAnsi="Arial" w:cs="Arial"/>
        </w:rPr>
        <w:t xml:space="preserve"> </w:t>
      </w:r>
      <w:hyperlink r:id="rId19" w:history="1">
        <w:r w:rsidRPr="000B5A8D">
          <w:rPr>
            <w:rStyle w:val="Hyperlink"/>
            <w:rFonts w:ascii="Arial" w:hAnsi="Arial" w:cs="Arial"/>
          </w:rPr>
          <w:t>https://www.thedailystar.net/opinion/macro-mirror/ldc-graduation-what-it-means-bangladesh-1550542</w:t>
        </w:r>
      </w:hyperlink>
    </w:p>
    <w:p w14:paraId="4AD330F5" w14:textId="77777777" w:rsidR="001F602D" w:rsidRPr="000B5A8D" w:rsidRDefault="00B2798E"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Makoni, P. L. (2015). Foreign Direct Investment – The Case of Botswana. </w:t>
      </w:r>
      <w:r w:rsidRPr="000B5A8D">
        <w:rPr>
          <w:rFonts w:ascii="Arial" w:hAnsi="Arial" w:cs="Arial"/>
          <w:i/>
          <w:iCs/>
          <w:noProof/>
        </w:rPr>
        <w:t>Acta Universitatis Danubius</w:t>
      </w:r>
      <w:r w:rsidRPr="000B5A8D">
        <w:rPr>
          <w:rFonts w:ascii="Arial" w:hAnsi="Arial" w:cs="Arial"/>
          <w:noProof/>
        </w:rPr>
        <w:t xml:space="preserve"> </w:t>
      </w:r>
      <w:r w:rsidRPr="000B5A8D">
        <w:rPr>
          <w:rFonts w:ascii="Arial" w:hAnsi="Arial" w:cs="Arial"/>
          <w:i/>
          <w:iCs/>
          <w:noProof/>
        </w:rPr>
        <w:t>, 11</w:t>
      </w:r>
      <w:r w:rsidRPr="000B5A8D">
        <w:rPr>
          <w:rFonts w:ascii="Arial" w:hAnsi="Arial" w:cs="Arial"/>
          <w:noProof/>
        </w:rPr>
        <w:t>, 160-173.</w:t>
      </w:r>
    </w:p>
    <w:p w14:paraId="2309F395" w14:textId="77777777" w:rsidR="00A135C4" w:rsidRPr="000B5A8D" w:rsidRDefault="00A135C4" w:rsidP="00A135C4">
      <w:pPr>
        <w:spacing w:before="100" w:beforeAutospacing="1" w:after="100" w:afterAutospacing="1"/>
        <w:ind w:left="480" w:hanging="480"/>
        <w:rPr>
          <w:rFonts w:ascii="Arial" w:hAnsi="Arial" w:cs="Arial"/>
        </w:rPr>
      </w:pPr>
      <w:r w:rsidRPr="000B5A8D">
        <w:rPr>
          <w:rFonts w:ascii="Arial" w:hAnsi="Arial" w:cs="Arial"/>
        </w:rPr>
        <w:lastRenderedPageBreak/>
        <w:t>Ministry of Finance, B. (2018). Budget Speech 2018-19. Dhaka: Ministry of Finance.</w:t>
      </w:r>
    </w:p>
    <w:p w14:paraId="4FD26708" w14:textId="77777777" w:rsidR="00A135C4" w:rsidRPr="000B5A8D" w:rsidRDefault="00A135C4" w:rsidP="00A135C4">
      <w:pPr>
        <w:spacing w:before="100" w:beforeAutospacing="1" w:after="100" w:afterAutospacing="1"/>
        <w:ind w:left="480" w:hanging="480"/>
        <w:rPr>
          <w:rFonts w:ascii="Arial" w:hAnsi="Arial" w:cs="Arial"/>
          <w:noProof/>
        </w:rPr>
      </w:pPr>
      <w:r w:rsidRPr="000B5A8D">
        <w:rPr>
          <w:rFonts w:ascii="Arial" w:hAnsi="Arial" w:cs="Arial"/>
          <w:noProof/>
        </w:rPr>
        <w:t xml:space="preserve">Mujeri, M. K. (2014). Vision 2030: What Lies Ahead for Bangladesh in a Post-MDGs Period? </w:t>
      </w:r>
      <w:r w:rsidRPr="000B5A8D">
        <w:rPr>
          <w:rFonts w:ascii="Arial" w:hAnsi="Arial" w:cs="Arial"/>
          <w:i/>
          <w:iCs/>
          <w:noProof/>
        </w:rPr>
        <w:t>The First BEF Conference</w:t>
      </w:r>
      <w:r w:rsidRPr="000B5A8D">
        <w:rPr>
          <w:rFonts w:ascii="Arial" w:hAnsi="Arial" w:cs="Arial"/>
          <w:noProof/>
        </w:rPr>
        <w:t xml:space="preserve"> (pp. 1-25). Dhaka: Bangladesh Economist Forum.</w:t>
      </w:r>
    </w:p>
    <w:p w14:paraId="55C777D2" w14:textId="77777777" w:rsidR="00A135C4" w:rsidRPr="000B5A8D" w:rsidRDefault="00A135C4" w:rsidP="00A135C4">
      <w:pPr>
        <w:spacing w:before="100" w:beforeAutospacing="1" w:after="100" w:afterAutospacing="1"/>
        <w:ind w:left="480" w:hanging="480"/>
        <w:rPr>
          <w:rFonts w:ascii="Arial" w:hAnsi="Arial" w:cs="Arial"/>
          <w:noProof/>
        </w:rPr>
      </w:pPr>
      <w:r w:rsidRPr="000B5A8D">
        <w:rPr>
          <w:rFonts w:ascii="Arial" w:hAnsi="Arial" w:cs="Arial"/>
          <w:noProof/>
        </w:rPr>
        <w:t>Odusola, A. (2016). Challenges and opportunities of LDCs Graduation: . New York: UNDP Regional Bureau for Africa.</w:t>
      </w:r>
    </w:p>
    <w:p w14:paraId="604C8BED" w14:textId="77777777" w:rsidR="001F602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color w:val="000000"/>
        </w:rPr>
        <w:t>Ramirez, M.D. &amp; Nazmi, N. (2003). Public Investment and Economic Growth in Latin America: An Empirical Test, Review of Development Economics, 7(1), pp.115-126.</w:t>
      </w:r>
    </w:p>
    <w:p w14:paraId="73A0FEBA" w14:textId="77777777" w:rsidR="001F602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Rahman, M. (2016). LDC Graduation in the context of SDGs Achievements. </w:t>
      </w:r>
      <w:r w:rsidRPr="000B5A8D">
        <w:rPr>
          <w:rFonts w:ascii="Arial" w:hAnsi="Arial" w:cs="Arial"/>
          <w:i/>
          <w:iCs/>
          <w:noProof/>
        </w:rPr>
        <w:t>CPD-IRBD Appreciation Course for the Journalists on LDC Graduation.</w:t>
      </w:r>
      <w:r w:rsidRPr="000B5A8D">
        <w:rPr>
          <w:rFonts w:ascii="Arial" w:hAnsi="Arial" w:cs="Arial"/>
          <w:noProof/>
        </w:rPr>
        <w:t xml:space="preserve"> Dhaka : CPD.</w:t>
      </w:r>
    </w:p>
    <w:p w14:paraId="02591A8A" w14:textId="77777777" w:rsidR="00A135C4" w:rsidRPr="000B5A8D" w:rsidRDefault="00A135C4" w:rsidP="00A135C4">
      <w:pPr>
        <w:spacing w:before="100" w:beforeAutospacing="1" w:after="100" w:afterAutospacing="1"/>
        <w:ind w:left="480" w:hanging="480"/>
        <w:rPr>
          <w:rFonts w:ascii="Arial" w:hAnsi="Arial" w:cs="Arial"/>
        </w:rPr>
      </w:pPr>
      <w:r w:rsidRPr="000B5A8D">
        <w:rPr>
          <w:rFonts w:ascii="Arial" w:hAnsi="Arial" w:cs="Arial"/>
        </w:rPr>
        <w:t xml:space="preserve">Social Affair. (2020). </w:t>
      </w:r>
      <w:r w:rsidRPr="000B5A8D">
        <w:rPr>
          <w:rFonts w:ascii="Arial" w:hAnsi="Arial" w:cs="Arial"/>
          <w:i/>
          <w:iCs/>
        </w:rPr>
        <w:t xml:space="preserve">Ex ante assessment of the possible impacts of the graduation of Bangladesh from the category of Least Developed Countries </w:t>
      </w:r>
      <w:proofErr w:type="gramStart"/>
      <w:r w:rsidRPr="000B5A8D">
        <w:rPr>
          <w:rFonts w:ascii="Arial" w:hAnsi="Arial" w:cs="Arial"/>
          <w:i/>
          <w:iCs/>
        </w:rPr>
        <w:t>( LDCs</w:t>
      </w:r>
      <w:proofErr w:type="gramEnd"/>
      <w:r w:rsidRPr="000B5A8D">
        <w:rPr>
          <w:rFonts w:ascii="Arial" w:hAnsi="Arial" w:cs="Arial"/>
          <w:i/>
          <w:iCs/>
        </w:rPr>
        <w:t xml:space="preserve"> ) Revised draft .</w:t>
      </w:r>
      <w:r w:rsidRPr="000B5A8D">
        <w:rPr>
          <w:rFonts w:ascii="Arial" w:hAnsi="Arial" w:cs="Arial"/>
        </w:rPr>
        <w:t xml:space="preserve"> </w:t>
      </w:r>
      <w:r w:rsidRPr="000B5A8D">
        <w:rPr>
          <w:rFonts w:ascii="Arial" w:hAnsi="Arial" w:cs="Arial"/>
          <w:i/>
          <w:iCs/>
        </w:rPr>
        <w:t>2019</w:t>
      </w:r>
      <w:r w:rsidRPr="000B5A8D">
        <w:rPr>
          <w:rFonts w:ascii="Arial" w:hAnsi="Arial" w:cs="Arial"/>
        </w:rPr>
        <w:t>, 1–56. https://www.un.org/development/desa/dpad/wp-content/uploads/sites/45/IA-Bangladesh-2019.pdf</w:t>
      </w:r>
    </w:p>
    <w:p w14:paraId="2F5BC214" w14:textId="77777777" w:rsidR="001F602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Shah, S. A.-M. (2009). </w:t>
      </w:r>
      <w:r w:rsidRPr="000B5A8D">
        <w:rPr>
          <w:rFonts w:ascii="Arial" w:hAnsi="Arial" w:cs="Arial"/>
          <w:i/>
          <w:iCs/>
          <w:noProof/>
        </w:rPr>
        <w:t>Bangladesh Financial Sector : An Agenda For Further Reforms.</w:t>
      </w:r>
      <w:r w:rsidRPr="000B5A8D">
        <w:rPr>
          <w:rFonts w:ascii="Arial" w:hAnsi="Arial" w:cs="Arial"/>
          <w:noProof/>
        </w:rPr>
        <w:t xml:space="preserve"> Manila: Asian Development Bank.</w:t>
      </w:r>
    </w:p>
    <w:p w14:paraId="6E31379B" w14:textId="77777777" w:rsidR="001F602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UN. (2017). </w:t>
      </w:r>
      <w:r w:rsidRPr="000B5A8D">
        <w:rPr>
          <w:rFonts w:ascii="Arial" w:hAnsi="Arial" w:cs="Arial"/>
          <w:i/>
          <w:iCs/>
          <w:noProof/>
        </w:rPr>
        <w:t>A Guide To Least Developed Country Graduation.</w:t>
      </w:r>
      <w:r w:rsidRPr="000B5A8D">
        <w:rPr>
          <w:rFonts w:ascii="Arial" w:hAnsi="Arial" w:cs="Arial"/>
          <w:noProof/>
        </w:rPr>
        <w:t xml:space="preserve"> Switzerland: UN-OHRLLS.</w:t>
      </w:r>
    </w:p>
    <w:p w14:paraId="712F2AF1" w14:textId="77777777" w:rsidR="001F602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noProof/>
        </w:rPr>
        <w:t>UNCTAD. (2017). UNCTAD Handbook of Statistics . New York: United Nations Publications.</w:t>
      </w:r>
    </w:p>
    <w:p w14:paraId="398F66A6" w14:textId="77777777" w:rsidR="006707E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UNDP. (2017). </w:t>
      </w:r>
      <w:r w:rsidRPr="000B5A8D">
        <w:rPr>
          <w:rFonts w:ascii="Arial" w:hAnsi="Arial" w:cs="Arial"/>
          <w:i/>
          <w:iCs/>
          <w:noProof/>
        </w:rPr>
        <w:t>Bangladesh Quarterly Development Update.</w:t>
      </w:r>
      <w:r w:rsidRPr="000B5A8D">
        <w:rPr>
          <w:rFonts w:ascii="Arial" w:hAnsi="Arial" w:cs="Arial"/>
          <w:noProof/>
        </w:rPr>
        <w:t xml:space="preserve"> Dhaka: United Nations Development Programme, Bangladesh Country Office, IDB.</w:t>
      </w:r>
    </w:p>
    <w:p w14:paraId="4D61B4F6" w14:textId="77777777" w:rsidR="001F602D" w:rsidRPr="000B5A8D" w:rsidRDefault="006707ED" w:rsidP="001F602D">
      <w:pPr>
        <w:spacing w:before="100" w:beforeAutospacing="1" w:after="100" w:afterAutospacing="1"/>
        <w:ind w:left="480" w:hanging="480"/>
        <w:rPr>
          <w:rFonts w:ascii="Arial" w:hAnsi="Arial" w:cs="Arial"/>
        </w:rPr>
      </w:pPr>
      <w:r w:rsidRPr="000B5A8D">
        <w:rPr>
          <w:rFonts w:ascii="Arial" w:hAnsi="Arial" w:cs="Arial"/>
          <w:noProof/>
        </w:rPr>
        <w:t xml:space="preserve">UN-OHRLLS. (2017, November 29-30). </w:t>
      </w:r>
      <w:r w:rsidRPr="000B5A8D">
        <w:rPr>
          <w:rFonts w:ascii="Arial" w:hAnsi="Arial" w:cs="Arial"/>
          <w:i/>
          <w:iCs/>
          <w:noProof/>
        </w:rPr>
        <w:t>High-Level Meeting: AchievingSustainable Graduation for Least Developed Countries.</w:t>
      </w:r>
      <w:r w:rsidRPr="000B5A8D">
        <w:rPr>
          <w:rFonts w:ascii="Arial" w:hAnsi="Arial" w:cs="Arial"/>
          <w:noProof/>
        </w:rPr>
        <w:t xml:space="preserve"> Retrieved October 10, 2018, from unohrlls.org: </w:t>
      </w:r>
      <w:hyperlink r:id="rId20" w:history="1">
        <w:r w:rsidRPr="000B5A8D">
          <w:rPr>
            <w:rFonts w:ascii="Arial" w:hAnsi="Arial" w:cs="Arial"/>
            <w:noProof/>
            <w:color w:val="0000FF"/>
            <w:u w:val="single"/>
          </w:rPr>
          <w:t>http://unohrlls.org/custom-content/uploads/2018/01/Summary-Report-High-Level-Meeting-Dhaka_12Jan.pdf</w:t>
        </w:r>
      </w:hyperlink>
    </w:p>
    <w:p w14:paraId="38682639" w14:textId="77777777" w:rsidR="006707ED" w:rsidRPr="000B5A8D" w:rsidRDefault="006707ED" w:rsidP="006707ED">
      <w:pPr>
        <w:spacing w:before="100" w:beforeAutospacing="1" w:after="100" w:afterAutospacing="1"/>
        <w:ind w:left="480" w:hanging="480"/>
        <w:rPr>
          <w:rFonts w:ascii="Arial" w:hAnsi="Arial" w:cs="Arial"/>
        </w:rPr>
      </w:pPr>
      <w:r w:rsidRPr="000B5A8D">
        <w:rPr>
          <w:rFonts w:ascii="Arial" w:hAnsi="Arial" w:cs="Arial"/>
        </w:rPr>
        <w:t xml:space="preserve">UNCTAD. (2016). </w:t>
      </w:r>
      <w:r w:rsidRPr="000B5A8D">
        <w:rPr>
          <w:rFonts w:ascii="Arial" w:hAnsi="Arial" w:cs="Arial"/>
          <w:i/>
          <w:iCs/>
        </w:rPr>
        <w:t>The Least Developed Countries Report 2016: The path to graduation and beyond: Making the most of the process</w:t>
      </w:r>
      <w:r w:rsidRPr="000B5A8D">
        <w:rPr>
          <w:rFonts w:ascii="Arial" w:hAnsi="Arial" w:cs="Arial"/>
        </w:rPr>
        <w:t xml:space="preserve"> (Issue December). http://unctad.org/en/PublicationsLibrary/ldc2016_en.pdf</w:t>
      </w:r>
    </w:p>
    <w:p w14:paraId="0E8F1EEB" w14:textId="77777777" w:rsidR="006707ED" w:rsidRPr="000B5A8D" w:rsidRDefault="006707ED" w:rsidP="006707ED">
      <w:pPr>
        <w:spacing w:before="100" w:beforeAutospacing="1" w:after="100" w:afterAutospacing="1"/>
        <w:ind w:left="480" w:hanging="480"/>
        <w:rPr>
          <w:rFonts w:ascii="Arial" w:hAnsi="Arial" w:cs="Arial"/>
        </w:rPr>
      </w:pPr>
      <w:r w:rsidRPr="000B5A8D">
        <w:rPr>
          <w:rFonts w:ascii="Arial" w:hAnsi="Arial" w:cs="Arial"/>
        </w:rPr>
        <w:t xml:space="preserve">United Nations conference on trade and development. (2018). Handbook of statistics 2017. In </w:t>
      </w:r>
      <w:r w:rsidRPr="000B5A8D">
        <w:rPr>
          <w:rFonts w:ascii="Arial" w:hAnsi="Arial" w:cs="Arial"/>
          <w:i/>
          <w:iCs/>
        </w:rPr>
        <w:t>Handbook of adhesive technology</w:t>
      </w:r>
      <w:r w:rsidRPr="000B5A8D">
        <w:rPr>
          <w:rFonts w:ascii="Arial" w:hAnsi="Arial" w:cs="Arial"/>
        </w:rPr>
        <w:t xml:space="preserve">. </w:t>
      </w:r>
      <w:hyperlink r:id="rId21" w:history="1">
        <w:r w:rsidRPr="000B5A8D">
          <w:rPr>
            <w:rStyle w:val="Hyperlink"/>
            <w:rFonts w:ascii="Arial" w:hAnsi="Arial" w:cs="Arial"/>
          </w:rPr>
          <w:t>http://unctad.org/en/PublicationsLibrary/tdstat42_en.pdf</w:t>
        </w:r>
      </w:hyperlink>
    </w:p>
    <w:p w14:paraId="23A1D86B" w14:textId="77777777" w:rsidR="006707ED" w:rsidRPr="000B5A8D" w:rsidRDefault="006707ED" w:rsidP="006707ED">
      <w:pPr>
        <w:spacing w:before="100" w:beforeAutospacing="1" w:after="100" w:afterAutospacing="1"/>
        <w:ind w:left="480" w:hanging="480"/>
        <w:rPr>
          <w:rFonts w:ascii="Arial" w:hAnsi="Arial" w:cs="Arial"/>
        </w:rPr>
      </w:pPr>
      <w:r w:rsidRPr="000B5A8D">
        <w:rPr>
          <w:rFonts w:ascii="Arial" w:hAnsi="Arial" w:cs="Arial"/>
        </w:rPr>
        <w:t xml:space="preserve">Verde, C. (2020). </w:t>
      </w:r>
      <w:r w:rsidRPr="000B5A8D">
        <w:rPr>
          <w:rFonts w:ascii="Arial" w:hAnsi="Arial" w:cs="Arial"/>
          <w:i/>
          <w:iCs/>
        </w:rPr>
        <w:t>Bangladesh on the path towards LDC Graduation</w:t>
      </w:r>
      <w:r w:rsidRPr="000B5A8D">
        <w:rPr>
          <w:rFonts w:ascii="Arial" w:hAnsi="Arial" w:cs="Arial"/>
        </w:rPr>
        <w:t xml:space="preserve">. </w:t>
      </w:r>
      <w:r w:rsidRPr="000B5A8D">
        <w:rPr>
          <w:rFonts w:ascii="Arial" w:hAnsi="Arial" w:cs="Arial"/>
          <w:i/>
          <w:iCs/>
        </w:rPr>
        <w:t>2768</w:t>
      </w:r>
      <w:r w:rsidRPr="000B5A8D">
        <w:rPr>
          <w:rFonts w:ascii="Arial" w:hAnsi="Arial" w:cs="Arial"/>
        </w:rPr>
        <w:t>(November 1971), 2017–2019.</w:t>
      </w:r>
    </w:p>
    <w:p w14:paraId="12F83972" w14:textId="77777777" w:rsidR="00A135C4" w:rsidRPr="000B5A8D" w:rsidRDefault="006707ED" w:rsidP="00A135C4">
      <w:pPr>
        <w:spacing w:before="100" w:beforeAutospacing="1" w:after="100" w:afterAutospacing="1"/>
        <w:ind w:left="480" w:hanging="480"/>
        <w:rPr>
          <w:rStyle w:val="Hyperlink"/>
          <w:rFonts w:ascii="Arial" w:hAnsi="Arial" w:cs="Arial"/>
        </w:rPr>
      </w:pPr>
      <w:r w:rsidRPr="000B5A8D">
        <w:rPr>
          <w:rFonts w:ascii="Arial" w:hAnsi="Arial" w:cs="Arial"/>
        </w:rPr>
        <w:t xml:space="preserve">World Trade </w:t>
      </w:r>
      <w:proofErr w:type="spellStart"/>
      <w:r w:rsidRPr="000B5A8D">
        <w:rPr>
          <w:rFonts w:ascii="Arial" w:hAnsi="Arial" w:cs="Arial"/>
        </w:rPr>
        <w:t>Oganization</w:t>
      </w:r>
      <w:proofErr w:type="spellEnd"/>
      <w:r w:rsidRPr="000B5A8D">
        <w:rPr>
          <w:rFonts w:ascii="Arial" w:hAnsi="Arial" w:cs="Arial"/>
        </w:rPr>
        <w:t xml:space="preserve">. (2018). World Trade Statistical Review 2018. </w:t>
      </w:r>
      <w:r w:rsidRPr="000B5A8D">
        <w:rPr>
          <w:rFonts w:ascii="Arial" w:hAnsi="Arial" w:cs="Arial"/>
          <w:i/>
          <w:iCs/>
        </w:rPr>
        <w:t>World Trade Statistical Review 2016</w:t>
      </w:r>
      <w:r w:rsidRPr="000B5A8D">
        <w:rPr>
          <w:rFonts w:ascii="Arial" w:hAnsi="Arial" w:cs="Arial"/>
        </w:rPr>
        <w:t xml:space="preserve">, 144. </w:t>
      </w:r>
      <w:hyperlink r:id="rId22" w:history="1">
        <w:r w:rsidRPr="000B5A8D">
          <w:rPr>
            <w:rStyle w:val="Hyperlink"/>
            <w:rFonts w:ascii="Arial" w:hAnsi="Arial" w:cs="Arial"/>
          </w:rPr>
          <w:t>https://www.wto.org/english/res_e/statis_e/wts2018_e/wts2018_e.pdf</w:t>
        </w:r>
      </w:hyperlink>
    </w:p>
    <w:p w14:paraId="57C08335" w14:textId="77777777" w:rsidR="0062477A" w:rsidRPr="000B5A8D" w:rsidRDefault="00A135C4" w:rsidP="0062477A">
      <w:pPr>
        <w:spacing w:before="100" w:beforeAutospacing="1" w:after="100" w:afterAutospacing="1"/>
        <w:ind w:left="480" w:hanging="480"/>
        <w:rPr>
          <w:rFonts w:ascii="Arial" w:hAnsi="Arial" w:cs="Arial"/>
          <w:color w:val="FF0080"/>
          <w:u w:val="single"/>
        </w:rPr>
      </w:pPr>
      <w:r w:rsidRPr="000B5A8D">
        <w:rPr>
          <w:rFonts w:ascii="Arial" w:hAnsi="Arial" w:cs="Arial"/>
        </w:rPr>
        <w:t xml:space="preserve">WTO, </w:t>
      </w:r>
      <w:r w:rsidRPr="000B5A8D">
        <w:rPr>
          <w:rFonts w:ascii="Arial" w:hAnsi="Arial" w:cs="Arial"/>
          <w:i/>
        </w:rPr>
        <w:t>The WTO Agreement</w:t>
      </w:r>
      <w:r w:rsidRPr="000B5A8D">
        <w:rPr>
          <w:rFonts w:ascii="Arial" w:hAnsi="Arial" w:cs="Arial"/>
        </w:rPr>
        <w:t xml:space="preserve">: </w:t>
      </w:r>
      <w:r w:rsidRPr="000B5A8D">
        <w:rPr>
          <w:rFonts w:ascii="Arial" w:hAnsi="Arial" w:cs="Arial"/>
          <w:i/>
        </w:rPr>
        <w:t xml:space="preserve">The WTO Agreement on Technical Barriers to Trade, </w:t>
      </w:r>
      <w:r w:rsidRPr="000B5A8D">
        <w:rPr>
          <w:rFonts w:ascii="Arial" w:hAnsi="Arial" w:cs="Arial"/>
        </w:rPr>
        <w:t>150-171.</w:t>
      </w:r>
    </w:p>
    <w:p w14:paraId="0F767C52" w14:textId="77777777" w:rsidR="00A135C4" w:rsidRPr="000B5A8D" w:rsidRDefault="00A135C4" w:rsidP="0062477A">
      <w:pPr>
        <w:spacing w:before="100" w:beforeAutospacing="1" w:after="100" w:afterAutospacing="1"/>
        <w:ind w:left="480" w:hanging="480"/>
        <w:rPr>
          <w:rFonts w:ascii="Arial" w:hAnsi="Arial" w:cs="Arial"/>
        </w:rPr>
      </w:pPr>
      <w:r w:rsidRPr="000B5A8D">
        <w:rPr>
          <w:rFonts w:ascii="Arial" w:hAnsi="Arial" w:cs="Arial"/>
        </w:rPr>
        <w:t xml:space="preserve">WTO, </w:t>
      </w:r>
      <w:r w:rsidRPr="000B5A8D">
        <w:rPr>
          <w:rFonts w:ascii="Arial" w:hAnsi="Arial" w:cs="Arial"/>
          <w:i/>
        </w:rPr>
        <w:t>The WTO Agreement</w:t>
      </w:r>
      <w:r w:rsidRPr="000B5A8D">
        <w:rPr>
          <w:rFonts w:ascii="Arial" w:hAnsi="Arial" w:cs="Arial"/>
        </w:rPr>
        <w:t xml:space="preserve">: </w:t>
      </w:r>
      <w:r w:rsidRPr="000B5A8D">
        <w:rPr>
          <w:rFonts w:ascii="Arial" w:hAnsi="Arial" w:cs="Arial"/>
          <w:i/>
        </w:rPr>
        <w:t xml:space="preserve">General Agreements on Tariffs and Trade, </w:t>
      </w:r>
      <w:r w:rsidRPr="000B5A8D">
        <w:rPr>
          <w:rFonts w:ascii="Arial" w:hAnsi="Arial" w:cs="Arial"/>
        </w:rPr>
        <w:t>19-88.</w:t>
      </w:r>
    </w:p>
    <w:p w14:paraId="3AECD2A7" w14:textId="77777777" w:rsidR="00B01FCD" w:rsidRPr="00FB3A86" w:rsidRDefault="00B01FCD" w:rsidP="00441B6F">
      <w:pPr>
        <w:pStyle w:val="Appendix"/>
        <w:spacing w:after="0"/>
        <w:jc w:val="both"/>
        <w:rPr>
          <w:rFonts w:ascii="Arial" w:hAnsi="Arial" w:cs="Arial"/>
          <w:b w:val="0"/>
        </w:rPr>
      </w:pPr>
    </w:p>
    <w:sectPr w:rsidR="00B01FCD" w:rsidRPr="00FB3A86" w:rsidSect="000013BB">
      <w:headerReference w:type="even" r:id="rId23"/>
      <w:headerReference w:type="default" r:id="rId24"/>
      <w:footerReference w:type="even" r:id="rId25"/>
      <w:footerReference w:type="default" r:id="rId26"/>
      <w:headerReference w:type="first" r:id="rId27"/>
      <w:foot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EA2DF" w14:textId="77777777" w:rsidR="00B55588" w:rsidRDefault="00B55588" w:rsidP="00C37E61">
      <w:r>
        <w:separator/>
      </w:r>
    </w:p>
  </w:endnote>
  <w:endnote w:type="continuationSeparator" w:id="0">
    <w:p w14:paraId="62B8B4A8" w14:textId="77777777" w:rsidR="00B55588" w:rsidRDefault="00B5558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A4FA" w14:textId="77777777" w:rsidR="00082AF6" w:rsidRDefault="00082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787B" w14:textId="77777777" w:rsidR="007471DC" w:rsidRPr="00C37E61" w:rsidRDefault="007471DC"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4F29" w14:textId="77777777" w:rsidR="00082AF6" w:rsidRDefault="00082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13ADE" w14:textId="77777777" w:rsidR="00B55588" w:rsidRDefault="00B55588" w:rsidP="00C37E61">
      <w:r>
        <w:separator/>
      </w:r>
    </w:p>
  </w:footnote>
  <w:footnote w:type="continuationSeparator" w:id="0">
    <w:p w14:paraId="6B152677" w14:textId="77777777" w:rsidR="00B55588" w:rsidRDefault="00B5558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B826" w14:textId="3744C57E" w:rsidR="00082AF6" w:rsidRDefault="00082AF6">
    <w:pPr>
      <w:pStyle w:val="Header"/>
    </w:pPr>
    <w:r>
      <w:rPr>
        <w:noProof/>
      </w:rPr>
      <w:pict w14:anchorId="7F56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3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7F8CA" w14:textId="518496DE" w:rsidR="00082AF6" w:rsidRDefault="00082AF6">
    <w:pPr>
      <w:pStyle w:val="Header"/>
    </w:pPr>
    <w:r>
      <w:rPr>
        <w:noProof/>
      </w:rPr>
      <w:pict w14:anchorId="5CCD7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3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565A" w14:textId="00EA8089" w:rsidR="00082AF6" w:rsidRDefault="00082AF6">
    <w:pPr>
      <w:pStyle w:val="Header"/>
    </w:pPr>
    <w:r>
      <w:rPr>
        <w:noProof/>
      </w:rPr>
      <w:pict w14:anchorId="23D01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3796"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DF2AB8"/>
    <w:multiLevelType w:val="hybridMultilevel"/>
    <w:tmpl w:val="D83E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FD6B18"/>
    <w:multiLevelType w:val="hybridMultilevel"/>
    <w:tmpl w:val="A2E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E118C"/>
    <w:multiLevelType w:val="multilevel"/>
    <w:tmpl w:val="C816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C0B3B"/>
    <w:multiLevelType w:val="hybridMultilevel"/>
    <w:tmpl w:val="139ED4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7515581"/>
    <w:multiLevelType w:val="hybridMultilevel"/>
    <w:tmpl w:val="1D12A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525B6"/>
    <w:multiLevelType w:val="hybridMultilevel"/>
    <w:tmpl w:val="D83E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34A84"/>
    <w:multiLevelType w:val="multilevel"/>
    <w:tmpl w:val="D8EA3ED2"/>
    <w:lvl w:ilvl="0">
      <w:start w:val="1"/>
      <w:numFmt w:val="lowerLetter"/>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1"/>
  </w:num>
  <w:num w:numId="10">
    <w:abstractNumId w:val="2"/>
  </w:num>
  <w:num w:numId="11">
    <w:abstractNumId w:val="24"/>
  </w:num>
  <w:num w:numId="12">
    <w:abstractNumId w:val="3"/>
  </w:num>
  <w:num w:numId="13">
    <w:abstractNumId w:val="21"/>
  </w:num>
  <w:num w:numId="14">
    <w:abstractNumId w:val="9"/>
  </w:num>
  <w:num w:numId="15">
    <w:abstractNumId w:val="27"/>
  </w:num>
  <w:num w:numId="16">
    <w:abstractNumId w:val="5"/>
  </w:num>
  <w:num w:numId="17">
    <w:abstractNumId w:val="28"/>
  </w:num>
  <w:num w:numId="18">
    <w:abstractNumId w:val="15"/>
  </w:num>
  <w:num w:numId="19">
    <w:abstractNumId w:val="35"/>
  </w:num>
  <w:num w:numId="20">
    <w:abstractNumId w:val="12"/>
  </w:num>
  <w:num w:numId="21">
    <w:abstractNumId w:val="10"/>
  </w:num>
  <w:num w:numId="22">
    <w:abstractNumId w:val="14"/>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7"/>
  </w:num>
  <w:num w:numId="34">
    <w:abstractNumId w:val="34"/>
  </w:num>
  <w:num w:numId="35">
    <w:abstractNumId w:val="16"/>
  </w:num>
  <w:num w:numId="36">
    <w:abstractNumId w:val="18"/>
  </w:num>
  <w:num w:numId="37">
    <w:abstractNumId w:val="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BB"/>
    <w:rsid w:val="00030174"/>
    <w:rsid w:val="0004579C"/>
    <w:rsid w:val="000610A1"/>
    <w:rsid w:val="0007333C"/>
    <w:rsid w:val="00082AF6"/>
    <w:rsid w:val="000A47FA"/>
    <w:rsid w:val="000A65D3"/>
    <w:rsid w:val="000B1E33"/>
    <w:rsid w:val="000B5A8D"/>
    <w:rsid w:val="000C3AD1"/>
    <w:rsid w:val="000D689F"/>
    <w:rsid w:val="000E7B7B"/>
    <w:rsid w:val="000E7D62"/>
    <w:rsid w:val="00103357"/>
    <w:rsid w:val="00116A73"/>
    <w:rsid w:val="00123C9F"/>
    <w:rsid w:val="00126190"/>
    <w:rsid w:val="00127642"/>
    <w:rsid w:val="00130F17"/>
    <w:rsid w:val="001320BF"/>
    <w:rsid w:val="00154BD4"/>
    <w:rsid w:val="00155F6D"/>
    <w:rsid w:val="00163BC4"/>
    <w:rsid w:val="00185EA6"/>
    <w:rsid w:val="00191062"/>
    <w:rsid w:val="00192B72"/>
    <w:rsid w:val="001A0142"/>
    <w:rsid w:val="001A29D8"/>
    <w:rsid w:val="001A5CAA"/>
    <w:rsid w:val="001B0427"/>
    <w:rsid w:val="001C09BC"/>
    <w:rsid w:val="001D3767"/>
    <w:rsid w:val="001D3A51"/>
    <w:rsid w:val="001E10D2"/>
    <w:rsid w:val="001E25B4"/>
    <w:rsid w:val="001E3898"/>
    <w:rsid w:val="001E44FE"/>
    <w:rsid w:val="001F4BC3"/>
    <w:rsid w:val="001F602D"/>
    <w:rsid w:val="00200595"/>
    <w:rsid w:val="00204835"/>
    <w:rsid w:val="00206583"/>
    <w:rsid w:val="00212B4A"/>
    <w:rsid w:val="002147C3"/>
    <w:rsid w:val="00231920"/>
    <w:rsid w:val="0023195C"/>
    <w:rsid w:val="0024282C"/>
    <w:rsid w:val="002460DC"/>
    <w:rsid w:val="0024757F"/>
    <w:rsid w:val="00250985"/>
    <w:rsid w:val="002556F6"/>
    <w:rsid w:val="002830B7"/>
    <w:rsid w:val="00283105"/>
    <w:rsid w:val="00284C4C"/>
    <w:rsid w:val="00287E68"/>
    <w:rsid w:val="00296529"/>
    <w:rsid w:val="002B27FB"/>
    <w:rsid w:val="002B685A"/>
    <w:rsid w:val="002C57D2"/>
    <w:rsid w:val="002D5B43"/>
    <w:rsid w:val="002E0D56"/>
    <w:rsid w:val="002F66C5"/>
    <w:rsid w:val="003004A5"/>
    <w:rsid w:val="00315186"/>
    <w:rsid w:val="0033343E"/>
    <w:rsid w:val="00350C5E"/>
    <w:rsid w:val="003512C2"/>
    <w:rsid w:val="0036026D"/>
    <w:rsid w:val="00366D30"/>
    <w:rsid w:val="003674E0"/>
    <w:rsid w:val="00371FB6"/>
    <w:rsid w:val="003763C1"/>
    <w:rsid w:val="00376BBE"/>
    <w:rsid w:val="00385D5A"/>
    <w:rsid w:val="0039224F"/>
    <w:rsid w:val="003A43A4"/>
    <w:rsid w:val="003A754A"/>
    <w:rsid w:val="003A7E18"/>
    <w:rsid w:val="003C4C86"/>
    <w:rsid w:val="003C6258"/>
    <w:rsid w:val="003D2B4A"/>
    <w:rsid w:val="003E2904"/>
    <w:rsid w:val="003F0478"/>
    <w:rsid w:val="00401927"/>
    <w:rsid w:val="004069AD"/>
    <w:rsid w:val="0041027F"/>
    <w:rsid w:val="00412475"/>
    <w:rsid w:val="00423789"/>
    <w:rsid w:val="00440F43"/>
    <w:rsid w:val="00441B6F"/>
    <w:rsid w:val="00441BF0"/>
    <w:rsid w:val="00446221"/>
    <w:rsid w:val="00447FAD"/>
    <w:rsid w:val="00450E62"/>
    <w:rsid w:val="004539DB"/>
    <w:rsid w:val="00471A80"/>
    <w:rsid w:val="004725BF"/>
    <w:rsid w:val="004B2E36"/>
    <w:rsid w:val="004D305E"/>
    <w:rsid w:val="004D4277"/>
    <w:rsid w:val="004D6B7B"/>
    <w:rsid w:val="004E1592"/>
    <w:rsid w:val="004E3D50"/>
    <w:rsid w:val="00502516"/>
    <w:rsid w:val="00505F06"/>
    <w:rsid w:val="00506828"/>
    <w:rsid w:val="0051713D"/>
    <w:rsid w:val="0053056E"/>
    <w:rsid w:val="00535730"/>
    <w:rsid w:val="00546677"/>
    <w:rsid w:val="00554FDA"/>
    <w:rsid w:val="00574A05"/>
    <w:rsid w:val="005C08B0"/>
    <w:rsid w:val="005C784C"/>
    <w:rsid w:val="005D17F6"/>
    <w:rsid w:val="005E5539"/>
    <w:rsid w:val="00602BF5"/>
    <w:rsid w:val="00617FDD"/>
    <w:rsid w:val="00620448"/>
    <w:rsid w:val="0062477A"/>
    <w:rsid w:val="00632E74"/>
    <w:rsid w:val="00633614"/>
    <w:rsid w:val="00633F68"/>
    <w:rsid w:val="00636EB2"/>
    <w:rsid w:val="006375B8"/>
    <w:rsid w:val="00642AA4"/>
    <w:rsid w:val="0066510A"/>
    <w:rsid w:val="006707ED"/>
    <w:rsid w:val="00673F9F"/>
    <w:rsid w:val="00674C1D"/>
    <w:rsid w:val="00686953"/>
    <w:rsid w:val="00687DEA"/>
    <w:rsid w:val="00687E67"/>
    <w:rsid w:val="006967F7"/>
    <w:rsid w:val="006A250C"/>
    <w:rsid w:val="006B0A44"/>
    <w:rsid w:val="006B21D3"/>
    <w:rsid w:val="006B57D0"/>
    <w:rsid w:val="006C423C"/>
    <w:rsid w:val="006D30FF"/>
    <w:rsid w:val="006D5191"/>
    <w:rsid w:val="006D6940"/>
    <w:rsid w:val="006E0185"/>
    <w:rsid w:val="006E5B74"/>
    <w:rsid w:val="006F11EC"/>
    <w:rsid w:val="007002DE"/>
    <w:rsid w:val="0070082C"/>
    <w:rsid w:val="0071554F"/>
    <w:rsid w:val="00733FB0"/>
    <w:rsid w:val="00735564"/>
    <w:rsid w:val="007369E6"/>
    <w:rsid w:val="007423C6"/>
    <w:rsid w:val="00746E59"/>
    <w:rsid w:val="007471DC"/>
    <w:rsid w:val="00754C9A"/>
    <w:rsid w:val="00754D5A"/>
    <w:rsid w:val="0075599A"/>
    <w:rsid w:val="00761D52"/>
    <w:rsid w:val="00764B62"/>
    <w:rsid w:val="00773A58"/>
    <w:rsid w:val="0077749E"/>
    <w:rsid w:val="00790ADA"/>
    <w:rsid w:val="007D2288"/>
    <w:rsid w:val="007E088F"/>
    <w:rsid w:val="007F7B32"/>
    <w:rsid w:val="00802AA7"/>
    <w:rsid w:val="00804BC2"/>
    <w:rsid w:val="0081431A"/>
    <w:rsid w:val="008246A0"/>
    <w:rsid w:val="0083216F"/>
    <w:rsid w:val="00860000"/>
    <w:rsid w:val="00863BD3"/>
    <w:rsid w:val="008641ED"/>
    <w:rsid w:val="00866D66"/>
    <w:rsid w:val="008671C6"/>
    <w:rsid w:val="00875803"/>
    <w:rsid w:val="0088681F"/>
    <w:rsid w:val="008B459E"/>
    <w:rsid w:val="008B7BA7"/>
    <w:rsid w:val="008E13AE"/>
    <w:rsid w:val="008E1506"/>
    <w:rsid w:val="008E710C"/>
    <w:rsid w:val="008F3ECA"/>
    <w:rsid w:val="008F69D6"/>
    <w:rsid w:val="00902823"/>
    <w:rsid w:val="00915CA6"/>
    <w:rsid w:val="00927834"/>
    <w:rsid w:val="009500A6"/>
    <w:rsid w:val="00957C18"/>
    <w:rsid w:val="009659BA"/>
    <w:rsid w:val="00983040"/>
    <w:rsid w:val="00984018"/>
    <w:rsid w:val="009B3FB9"/>
    <w:rsid w:val="009B55BF"/>
    <w:rsid w:val="009C2465"/>
    <w:rsid w:val="009D35A0"/>
    <w:rsid w:val="009D7EB7"/>
    <w:rsid w:val="009E048A"/>
    <w:rsid w:val="009E08E9"/>
    <w:rsid w:val="009E3DB9"/>
    <w:rsid w:val="009E6E35"/>
    <w:rsid w:val="009F0EDA"/>
    <w:rsid w:val="009F183B"/>
    <w:rsid w:val="00A03B96"/>
    <w:rsid w:val="00A05B19"/>
    <w:rsid w:val="00A1134E"/>
    <w:rsid w:val="00A135C4"/>
    <w:rsid w:val="00A24E7E"/>
    <w:rsid w:val="00A258C3"/>
    <w:rsid w:val="00A347C0"/>
    <w:rsid w:val="00A51431"/>
    <w:rsid w:val="00A539AD"/>
    <w:rsid w:val="00A704A3"/>
    <w:rsid w:val="00A83450"/>
    <w:rsid w:val="00A87D4D"/>
    <w:rsid w:val="00A94063"/>
    <w:rsid w:val="00AA04F7"/>
    <w:rsid w:val="00AA6219"/>
    <w:rsid w:val="00AA7454"/>
    <w:rsid w:val="00AA74E0"/>
    <w:rsid w:val="00AB703F"/>
    <w:rsid w:val="00AC6BB8"/>
    <w:rsid w:val="00AD2F1B"/>
    <w:rsid w:val="00AE008F"/>
    <w:rsid w:val="00AE38CA"/>
    <w:rsid w:val="00B01FCD"/>
    <w:rsid w:val="00B1776C"/>
    <w:rsid w:val="00B2798E"/>
    <w:rsid w:val="00B52583"/>
    <w:rsid w:val="00B52896"/>
    <w:rsid w:val="00B55588"/>
    <w:rsid w:val="00B95236"/>
    <w:rsid w:val="00B96BD9"/>
    <w:rsid w:val="00BA1B01"/>
    <w:rsid w:val="00BA2641"/>
    <w:rsid w:val="00BB37AA"/>
    <w:rsid w:val="00BC16DE"/>
    <w:rsid w:val="00BC53A0"/>
    <w:rsid w:val="00BE62AD"/>
    <w:rsid w:val="00BF121F"/>
    <w:rsid w:val="00BF1F80"/>
    <w:rsid w:val="00C1064B"/>
    <w:rsid w:val="00C166EF"/>
    <w:rsid w:val="00C17EB0"/>
    <w:rsid w:val="00C27F5F"/>
    <w:rsid w:val="00C30A0F"/>
    <w:rsid w:val="00C37E61"/>
    <w:rsid w:val="00C457D0"/>
    <w:rsid w:val="00C63A28"/>
    <w:rsid w:val="00C70F1B"/>
    <w:rsid w:val="00C71A47"/>
    <w:rsid w:val="00C7464C"/>
    <w:rsid w:val="00C85588"/>
    <w:rsid w:val="00CA56B3"/>
    <w:rsid w:val="00CC126D"/>
    <w:rsid w:val="00CD6755"/>
    <w:rsid w:val="00CD6856"/>
    <w:rsid w:val="00CE0089"/>
    <w:rsid w:val="00CE793C"/>
    <w:rsid w:val="00CF193C"/>
    <w:rsid w:val="00D0245C"/>
    <w:rsid w:val="00D173F1"/>
    <w:rsid w:val="00D26085"/>
    <w:rsid w:val="00D74CB0"/>
    <w:rsid w:val="00D8295D"/>
    <w:rsid w:val="00D941AD"/>
    <w:rsid w:val="00DA753A"/>
    <w:rsid w:val="00DC216A"/>
    <w:rsid w:val="00DC2A65"/>
    <w:rsid w:val="00DE15F0"/>
    <w:rsid w:val="00DE5663"/>
    <w:rsid w:val="00DE78AA"/>
    <w:rsid w:val="00E053D0"/>
    <w:rsid w:val="00E15994"/>
    <w:rsid w:val="00E176DE"/>
    <w:rsid w:val="00E3114E"/>
    <w:rsid w:val="00E31A70"/>
    <w:rsid w:val="00E32F20"/>
    <w:rsid w:val="00E35B02"/>
    <w:rsid w:val="00E50B03"/>
    <w:rsid w:val="00E62AF4"/>
    <w:rsid w:val="00E66496"/>
    <w:rsid w:val="00E66B35"/>
    <w:rsid w:val="00E66E10"/>
    <w:rsid w:val="00E769F6"/>
    <w:rsid w:val="00E8407C"/>
    <w:rsid w:val="00E84F3C"/>
    <w:rsid w:val="00E926EF"/>
    <w:rsid w:val="00EA012C"/>
    <w:rsid w:val="00EC6A55"/>
    <w:rsid w:val="00ED0288"/>
    <w:rsid w:val="00ED28D4"/>
    <w:rsid w:val="00EE52CB"/>
    <w:rsid w:val="00EF581D"/>
    <w:rsid w:val="00EF7FD8"/>
    <w:rsid w:val="00F06F59"/>
    <w:rsid w:val="00F17988"/>
    <w:rsid w:val="00F469F0"/>
    <w:rsid w:val="00F53273"/>
    <w:rsid w:val="00F56808"/>
    <w:rsid w:val="00F72E90"/>
    <w:rsid w:val="00F755E4"/>
    <w:rsid w:val="00F77D02"/>
    <w:rsid w:val="00FA15B5"/>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3DB7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276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204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FootnoteText">
    <w:name w:val="footnote text"/>
    <w:aliases w:val=" Char,single space,footnote text,fn,FOOTNOTES,Footnote Text Char Char Char Char Char Char,Footnote Text Char Char Char Char1,Footnote Text Char Char Char Char Char1,Footnote Text Char Char Char Char Char,Footnote Text Char Char Char,FN,f"/>
    <w:basedOn w:val="Normal"/>
    <w:link w:val="FootnoteTextChar"/>
    <w:uiPriority w:val="99"/>
    <w:unhideWhenUsed/>
    <w:qFormat/>
    <w:rsid w:val="001A0142"/>
    <w:rPr>
      <w:rFonts w:ascii="Calibri" w:eastAsia="Calibri" w:hAnsi="Calibri"/>
    </w:rPr>
  </w:style>
  <w:style w:type="character" w:customStyle="1" w:styleId="FootnoteTextChar">
    <w:name w:val="Footnote Text Char"/>
    <w:aliases w:val=" Char Char,single space Char,footnote text Char,fn Char,FOOTNOTES Char,Footnote Text Char Char Char Char Char Char Char,Footnote Text Char Char Char Char1 Char,Footnote Text Char Char Char Char Char1 Char,FN Char,f Char"/>
    <w:basedOn w:val="DefaultParagraphFont"/>
    <w:link w:val="FootnoteText"/>
    <w:uiPriority w:val="99"/>
    <w:qFormat/>
    <w:rsid w:val="001A0142"/>
    <w:rPr>
      <w:rFonts w:ascii="Calibri" w:eastAsia="Calibri" w:hAnsi="Calibri"/>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
    <w:link w:val="ftrefChar1"/>
    <w:uiPriority w:val="99"/>
    <w:unhideWhenUsed/>
    <w:qFormat/>
    <w:rsid w:val="001A0142"/>
    <w:rPr>
      <w:vertAlign w:val="superscript"/>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
    <w:basedOn w:val="Normal"/>
    <w:link w:val="FootnoteReference"/>
    <w:uiPriority w:val="99"/>
    <w:rsid w:val="001A0142"/>
    <w:pPr>
      <w:spacing w:after="120" w:line="240" w:lineRule="exact"/>
      <w:jc w:val="both"/>
    </w:pPr>
    <w:rPr>
      <w:rFonts w:ascii="Times New Roman" w:hAnsi="Times New Roman"/>
      <w:vertAlign w:val="superscript"/>
    </w:rPr>
  </w:style>
  <w:style w:type="paragraph" w:styleId="NormalWeb">
    <w:name w:val="Normal (Web)"/>
    <w:basedOn w:val="Normal"/>
    <w:uiPriority w:val="99"/>
    <w:unhideWhenUsed/>
    <w:rsid w:val="009B55BF"/>
    <w:pPr>
      <w:spacing w:before="100" w:beforeAutospacing="1" w:after="100" w:afterAutospacing="1"/>
    </w:pPr>
    <w:rPr>
      <w:rFonts w:ascii="Times New Roman" w:hAnsi="Times New Roman"/>
      <w:sz w:val="24"/>
      <w:szCs w:val="24"/>
    </w:rPr>
  </w:style>
  <w:style w:type="paragraph" w:styleId="Caption">
    <w:name w:val="caption"/>
    <w:basedOn w:val="Normal"/>
    <w:next w:val="Normal"/>
    <w:uiPriority w:val="35"/>
    <w:unhideWhenUsed/>
    <w:qFormat/>
    <w:rsid w:val="009B55BF"/>
    <w:pPr>
      <w:spacing w:after="200"/>
    </w:pPr>
    <w:rPr>
      <w:rFonts w:ascii="Calibri" w:eastAsia="Calibri" w:hAnsi="Calibri"/>
      <w:i/>
      <w:iCs/>
      <w:color w:val="44546A"/>
      <w:sz w:val="18"/>
      <w:szCs w:val="18"/>
    </w:rPr>
  </w:style>
  <w:style w:type="paragraph" w:styleId="Bibliography">
    <w:name w:val="Bibliography"/>
    <w:basedOn w:val="Normal"/>
    <w:next w:val="Normal"/>
    <w:uiPriority w:val="37"/>
    <w:unhideWhenUsed/>
    <w:rsid w:val="00154BD4"/>
    <w:pPr>
      <w:spacing w:after="200" w:line="276" w:lineRule="auto"/>
    </w:pPr>
    <w:rPr>
      <w:rFonts w:ascii="Calibri" w:hAnsi="Calibri" w:cs="Vrinda"/>
      <w:sz w:val="22"/>
      <w:szCs w:val="22"/>
    </w:rPr>
  </w:style>
  <w:style w:type="character" w:customStyle="1" w:styleId="accordion-tabbedtab-mobile">
    <w:name w:val="accordion-tabbed__tab-mobile"/>
    <w:basedOn w:val="DefaultParagraphFont"/>
    <w:rsid w:val="00154BD4"/>
  </w:style>
  <w:style w:type="character" w:customStyle="1" w:styleId="comma-separator">
    <w:name w:val="comma-separator"/>
    <w:basedOn w:val="DefaultParagraphFont"/>
    <w:rsid w:val="00154BD4"/>
  </w:style>
  <w:style w:type="character" w:customStyle="1" w:styleId="Heading2Char">
    <w:name w:val="Heading 2 Char"/>
    <w:basedOn w:val="DefaultParagraphFont"/>
    <w:link w:val="Heading2"/>
    <w:uiPriority w:val="9"/>
    <w:rsid w:val="001276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620448"/>
    <w:rPr>
      <w:rFonts w:asciiTheme="majorHAnsi" w:eastAsiaTheme="majorEastAsia" w:hAnsiTheme="majorHAnsi" w:cstheme="majorBidi"/>
      <w:color w:val="243F60" w:themeColor="accent1" w:themeShade="7F"/>
      <w:sz w:val="24"/>
      <w:szCs w:val="24"/>
    </w:rPr>
  </w:style>
  <w:style w:type="paragraph" w:styleId="ListParagraph">
    <w:name w:val="List Paragraph"/>
    <w:aliases w:val="Table format,Figure 4,Resume Title,Citation List,heading 4,Heading 31,Graphic,List Paragraph1,Table of contents numbered,List Paragraph Char Char,Ha,ADB paragraph numbering,Bullets1,Bullets,bullets,Heading 41,Bullet List,FooterText,Dot pt"/>
    <w:basedOn w:val="Normal"/>
    <w:link w:val="ListParagraphChar"/>
    <w:uiPriority w:val="34"/>
    <w:qFormat/>
    <w:rsid w:val="00F72E90"/>
    <w:pPr>
      <w:spacing w:after="200" w:line="276" w:lineRule="auto"/>
      <w:ind w:left="720"/>
    </w:pPr>
    <w:rPr>
      <w:rFonts w:ascii="Calibri" w:eastAsia="Calibri" w:hAnsi="Calibri"/>
      <w:sz w:val="22"/>
      <w:szCs w:val="22"/>
    </w:rPr>
  </w:style>
  <w:style w:type="character" w:customStyle="1" w:styleId="ListParagraphChar">
    <w:name w:val="List Paragraph Char"/>
    <w:aliases w:val="Table format Char,Figure 4 Char,Resume Title Char,Citation List Char,heading 4 Char,Heading 31 Char,Graphic Char,List Paragraph1 Char,Table of contents numbered Char,List Paragraph Char Char Char,Ha Char,ADB paragraph numbering Char"/>
    <w:link w:val="ListParagraph"/>
    <w:uiPriority w:val="34"/>
    <w:qFormat/>
    <w:locked/>
    <w:rsid w:val="00F72E90"/>
    <w:rPr>
      <w:rFonts w:ascii="Calibri" w:eastAsia="Calibri" w:hAnsi="Calibri"/>
      <w:sz w:val="22"/>
      <w:szCs w:val="22"/>
    </w:rPr>
  </w:style>
  <w:style w:type="character" w:customStyle="1" w:styleId="font-weight-600">
    <w:name w:val="font-weight-600"/>
    <w:basedOn w:val="DefaultParagraphFont"/>
    <w:rsid w:val="00A8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79900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worldbank.org/en/news/feature/2016/04/07/World_Bank_Group_s_New_Country_Partnership_Framework_helps_Bangladesh_Reach_Middle_Income_Country_Status" TargetMode="External"/><Relationship Id="rId18" Type="http://schemas.openxmlformats.org/officeDocument/2006/relationships/hyperlink" Target="https://www.un.org/ldcportal/what-ldc-graduation-will-mean-for-bangladeshs-drugs-industr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unctad.org/en/PublicationsLibrary/tdstat42_en.pdf" TargetMode="External"/><Relationship Id="rId7" Type="http://schemas.openxmlformats.org/officeDocument/2006/relationships/endnotes" Target="endnotes.xml"/><Relationship Id="rId12" Type="http://schemas.openxmlformats.org/officeDocument/2006/relationships/hyperlink" Target="https://doi.org/10.1177/139156141101300101" TargetMode="External"/><Relationship Id="rId17" Type="http://schemas.openxmlformats.org/officeDocument/2006/relationships/hyperlink" Target="https://www.un.org/ldcportal/what-ldc-graduation-will-mean-for-bangladeshs-drugs-industr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org/development/desa/dpad/wp-content/uploads/sites/45/LDC_profile_Bangladesh.pdf" TargetMode="External"/><Relationship Id="rId20" Type="http://schemas.openxmlformats.org/officeDocument/2006/relationships/hyperlink" Target="http://unohrlls.org/custom-content/uploads/2018/01/Summary-Report-High-Level-Meeting-Dhaka_12Ja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agebd.net/article/37523/ldc-graduation-scopes-and-challeng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sti.portal.gov.bd/sites/default/files/files/bsti.portal.gov.bd/page/c82bd863_c051_46ce_af11_eb5bec479d5b/2021-08-31-11-36-54b7b1099157fbe275580fb4511a00bf.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yperlink" Target="https://www.thedailystar.net/opinion/macro-mirror/ldc-graduation-what-it-means-bangladesh-155054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n.org/ldcportal/managing-graduation-from-the-ldc-category-the-case-of-the-maldives-fish-exports/" TargetMode="External"/><Relationship Id="rId22" Type="http://schemas.openxmlformats.org/officeDocument/2006/relationships/hyperlink" Target="https://www.wto.org/english/res_e/statis_e/wts2018_e/wts2018_e.pdf"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E:\Arefin%20Shams\National%20Budget%20Writing\yearwise%20NBR%20BUDGE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Arefin%20Shams\Folder%20for%20Journal\Final%20File%20for%20Journal%20Publication\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6182022265286837E-2"/>
          <c:y val="8.3477690288713907E-2"/>
          <c:w val="0.92508686298207099"/>
          <c:h val="0.69501003551026697"/>
        </c:manualLayout>
      </c:layout>
      <c:barChart>
        <c:barDir val="col"/>
        <c:grouping val="clustered"/>
        <c:varyColors val="0"/>
        <c:ser>
          <c:idx val="0"/>
          <c:order val="0"/>
          <c:tx>
            <c:strRef>
              <c:f>Sheet1!$C$4</c:f>
              <c:strCache>
                <c:ptCount val="1"/>
                <c:pt idx="0">
                  <c:v>Initial Budget </c:v>
                </c:pt>
              </c:strCache>
            </c:strRef>
          </c:tx>
          <c:spPr>
            <a:solidFill>
              <a:schemeClr val="accent1"/>
            </a:solidFill>
            <a:ln>
              <a:noFill/>
            </a:ln>
            <a:effectLst/>
          </c:spPr>
          <c:invertIfNegative val="0"/>
          <c:dLbls>
            <c:dLbl>
              <c:idx val="3"/>
              <c:layout>
                <c:manualLayout>
                  <c:x val="-9.0199860012540169E-17"/>
                  <c:y val="1.32013201320131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AB-4954-BE97-B8B8FED2BB93}"/>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Sheet1!$B$5:$B$10</c:f>
              <c:strCache>
                <c:ptCount val="6"/>
                <c:pt idx="0">
                  <c:v>2016-17</c:v>
                </c:pt>
                <c:pt idx="1">
                  <c:v>2017-18</c:v>
                </c:pt>
                <c:pt idx="2">
                  <c:v>2018-19</c:v>
                </c:pt>
                <c:pt idx="3">
                  <c:v>2019-20</c:v>
                </c:pt>
                <c:pt idx="4">
                  <c:v>2020-21</c:v>
                </c:pt>
                <c:pt idx="5">
                  <c:v>2021-22</c:v>
                </c:pt>
              </c:strCache>
            </c:strRef>
          </c:cat>
          <c:val>
            <c:numRef>
              <c:f>Sheet1!$C$5:$C$10</c:f>
              <c:numCache>
                <c:formatCode>General</c:formatCode>
                <c:ptCount val="6"/>
                <c:pt idx="2" formatCode="#,##0">
                  <c:v>296201</c:v>
                </c:pt>
                <c:pt idx="3" formatCode="#,##0">
                  <c:v>325600</c:v>
                </c:pt>
                <c:pt idx="4" formatCode="#,##0">
                  <c:v>330000</c:v>
                </c:pt>
                <c:pt idx="5" formatCode="#,##0">
                  <c:v>330000</c:v>
                </c:pt>
              </c:numCache>
            </c:numRef>
          </c:val>
          <c:extLst>
            <c:ext xmlns:c16="http://schemas.microsoft.com/office/drawing/2014/chart" uri="{C3380CC4-5D6E-409C-BE32-E72D297353CC}">
              <c16:uniqueId val="{00000001-B8AB-4954-BE97-B8B8FED2BB93}"/>
            </c:ext>
          </c:extLst>
        </c:ser>
        <c:ser>
          <c:idx val="1"/>
          <c:order val="1"/>
          <c:tx>
            <c:strRef>
              <c:f>Sheet1!$D$4</c:f>
              <c:strCache>
                <c:ptCount val="1"/>
                <c:pt idx="0">
                  <c:v>Revised Budget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Sheet1!$B$5:$B$10</c:f>
              <c:strCache>
                <c:ptCount val="6"/>
                <c:pt idx="0">
                  <c:v>2016-17</c:v>
                </c:pt>
                <c:pt idx="1">
                  <c:v>2017-18</c:v>
                </c:pt>
                <c:pt idx="2">
                  <c:v>2018-19</c:v>
                </c:pt>
                <c:pt idx="3">
                  <c:v>2019-20</c:v>
                </c:pt>
                <c:pt idx="4">
                  <c:v>2020-21</c:v>
                </c:pt>
                <c:pt idx="5">
                  <c:v>2021-22</c:v>
                </c:pt>
              </c:strCache>
            </c:strRef>
          </c:cat>
          <c:val>
            <c:numRef>
              <c:f>Sheet1!$D$5:$D$10</c:f>
              <c:numCache>
                <c:formatCode>General</c:formatCode>
                <c:ptCount val="6"/>
                <c:pt idx="2" formatCode="#,##0">
                  <c:v>280063</c:v>
                </c:pt>
                <c:pt idx="3" formatCode="#,##0">
                  <c:v>300500</c:v>
                </c:pt>
                <c:pt idx="4" formatCode="#,##0">
                  <c:v>301000</c:v>
                </c:pt>
              </c:numCache>
            </c:numRef>
          </c:val>
          <c:extLst>
            <c:ext xmlns:c16="http://schemas.microsoft.com/office/drawing/2014/chart" uri="{C3380CC4-5D6E-409C-BE32-E72D297353CC}">
              <c16:uniqueId val="{00000002-B8AB-4954-BE97-B8B8FED2BB93}"/>
            </c:ext>
          </c:extLst>
        </c:ser>
        <c:ser>
          <c:idx val="2"/>
          <c:order val="2"/>
          <c:tx>
            <c:strRef>
              <c:f>Sheet1!$E$4</c:f>
              <c:strCache>
                <c:ptCount val="1"/>
                <c:pt idx="0">
                  <c:v>Revenue Collected </c:v>
                </c:pt>
              </c:strCache>
            </c:strRef>
          </c:tx>
          <c:spPr>
            <a:solidFill>
              <a:schemeClr val="accent3"/>
            </a:solidFill>
            <a:ln>
              <a:noFill/>
            </a:ln>
            <a:effectLst/>
          </c:spPr>
          <c:invertIfNegative val="0"/>
          <c:dLbls>
            <c:dLbl>
              <c:idx val="4"/>
              <c:layout>
                <c:manualLayout>
                  <c:x val="0"/>
                  <c:y val="-3.55708036739405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AB-4954-BE97-B8B8FED2BB93}"/>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3"/>
                </a:solidFill>
                <a:prstDash val="sysDash"/>
              </a:ln>
              <a:effectLst/>
            </c:spPr>
            <c:trendlineType val="linear"/>
            <c:dispRSqr val="0"/>
            <c:dispEq val="0"/>
          </c:trendline>
          <c:cat>
            <c:strRef>
              <c:f>Sheet1!$B$5:$B$10</c:f>
              <c:strCache>
                <c:ptCount val="6"/>
                <c:pt idx="0">
                  <c:v>2016-17</c:v>
                </c:pt>
                <c:pt idx="1">
                  <c:v>2017-18</c:v>
                </c:pt>
                <c:pt idx="2">
                  <c:v>2018-19</c:v>
                </c:pt>
                <c:pt idx="3">
                  <c:v>2019-20</c:v>
                </c:pt>
                <c:pt idx="4">
                  <c:v>2020-21</c:v>
                </c:pt>
                <c:pt idx="5">
                  <c:v>2021-22</c:v>
                </c:pt>
              </c:strCache>
            </c:strRef>
          </c:cat>
          <c:val>
            <c:numRef>
              <c:f>Sheet1!$E$5:$E$10</c:f>
              <c:numCache>
                <c:formatCode>#,##0</c:formatCode>
                <c:ptCount val="6"/>
                <c:pt idx="0">
                  <c:v>185000</c:v>
                </c:pt>
                <c:pt idx="1">
                  <c:v>225000</c:v>
                </c:pt>
                <c:pt idx="2">
                  <c:v>218616</c:v>
                </c:pt>
                <c:pt idx="3">
                  <c:v>215400</c:v>
                </c:pt>
                <c:pt idx="4">
                  <c:v>197583</c:v>
                </c:pt>
              </c:numCache>
            </c:numRef>
          </c:val>
          <c:extLst>
            <c:ext xmlns:c16="http://schemas.microsoft.com/office/drawing/2014/chart" uri="{C3380CC4-5D6E-409C-BE32-E72D297353CC}">
              <c16:uniqueId val="{00000005-B8AB-4954-BE97-B8B8FED2BB93}"/>
            </c:ext>
          </c:extLst>
        </c:ser>
        <c:dLbls>
          <c:dLblPos val="outEnd"/>
          <c:showLegendKey val="0"/>
          <c:showVal val="1"/>
          <c:showCatName val="0"/>
          <c:showSerName val="0"/>
          <c:showPercent val="0"/>
          <c:showBubbleSize val="0"/>
        </c:dLbls>
        <c:gapWidth val="444"/>
        <c:overlap val="-90"/>
        <c:axId val="1984482768"/>
        <c:axId val="1984486096"/>
      </c:barChart>
      <c:catAx>
        <c:axId val="1984482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4486096"/>
        <c:crosses val="autoZero"/>
        <c:auto val="1"/>
        <c:lblAlgn val="ctr"/>
        <c:lblOffset val="100"/>
        <c:noMultiLvlLbl val="0"/>
      </c:catAx>
      <c:valAx>
        <c:axId val="1984486096"/>
        <c:scaling>
          <c:orientation val="minMax"/>
        </c:scaling>
        <c:delete val="1"/>
        <c:axPos val="l"/>
        <c:numFmt formatCode="General" sourceLinked="1"/>
        <c:majorTickMark val="none"/>
        <c:minorTickMark val="none"/>
        <c:tickLblPos val="nextTo"/>
        <c:crossAx val="1984482768"/>
        <c:crosses val="autoZero"/>
        <c:crossBetween val="between"/>
      </c:valAx>
      <c:spPr>
        <a:noFill/>
        <a:ln>
          <a:noFill/>
        </a:ln>
        <a:effectLst/>
      </c:spPr>
    </c:plotArea>
    <c:legend>
      <c:legendPos val="t"/>
      <c:layout>
        <c:manualLayout>
          <c:xMode val="edge"/>
          <c:yMode val="edge"/>
          <c:x val="4.44467022267378E-2"/>
          <c:y val="0.87517484946734603"/>
          <c:w val="0.93687477774955552"/>
          <c:h val="0.1232773660645360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
          <c:y val="5.5555555555555552E-2"/>
          <c:w val="0.5"/>
          <c:h val="0.93113371245261012"/>
        </c:manualLayout>
      </c:layout>
      <c:barChart>
        <c:barDir val="bar"/>
        <c:grouping val="clustered"/>
        <c:varyColors val="0"/>
        <c:ser>
          <c:idx val="0"/>
          <c:order val="0"/>
          <c:tx>
            <c:strRef>
              <c:f>'Survey Information'!$F$3</c:f>
              <c:strCache>
                <c:ptCount val="1"/>
                <c:pt idx="0">
                  <c:v>Responses about STS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'Survey Information'!$E$4:$E$8</c:f>
              <c:strCache>
                <c:ptCount val="5"/>
                <c:pt idx="0">
                  <c:v>STS needs to be oriented with pragmatic steps </c:v>
                </c:pt>
                <c:pt idx="1">
                  <c:v>Revise STS in line with International Guideline</c:v>
                </c:pt>
                <c:pt idx="2">
                  <c:v>Diversify product and market</c:v>
                </c:pt>
                <c:pt idx="3">
                  <c:v>Diversification before FTA, PTA and RTA</c:v>
                </c:pt>
                <c:pt idx="4">
                  <c:v>FTA, PTA and PTA before Diversification</c:v>
                </c:pt>
              </c:strCache>
            </c:strRef>
          </c:cat>
          <c:val>
            <c:numRef>
              <c:f>'Survey Information'!$F$4:$F$8</c:f>
              <c:numCache>
                <c:formatCode>0%</c:formatCode>
                <c:ptCount val="5"/>
                <c:pt idx="0">
                  <c:v>0.85</c:v>
                </c:pt>
                <c:pt idx="1">
                  <c:v>0.8</c:v>
                </c:pt>
                <c:pt idx="2">
                  <c:v>0.75</c:v>
                </c:pt>
                <c:pt idx="3">
                  <c:v>0.65</c:v>
                </c:pt>
                <c:pt idx="4">
                  <c:v>0.35</c:v>
                </c:pt>
              </c:numCache>
            </c:numRef>
          </c:val>
          <c:extLst>
            <c:ext xmlns:c16="http://schemas.microsoft.com/office/drawing/2014/chart" uri="{C3380CC4-5D6E-409C-BE32-E72D297353CC}">
              <c16:uniqueId val="{00000000-D398-43E8-9C25-A8FB676127EB}"/>
            </c:ext>
          </c:extLst>
        </c:ser>
        <c:dLbls>
          <c:showLegendKey val="0"/>
          <c:showVal val="1"/>
          <c:showCatName val="0"/>
          <c:showSerName val="0"/>
          <c:showPercent val="0"/>
          <c:showBubbleSize val="0"/>
        </c:dLbls>
        <c:gapWidth val="75"/>
        <c:axId val="507367663"/>
        <c:axId val="498291647"/>
      </c:barChart>
      <c:catAx>
        <c:axId val="5073676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8291647"/>
        <c:crosses val="autoZero"/>
        <c:auto val="1"/>
        <c:lblAlgn val="ctr"/>
        <c:lblOffset val="100"/>
        <c:noMultiLvlLbl val="0"/>
      </c:catAx>
      <c:valAx>
        <c:axId val="498291647"/>
        <c:scaling>
          <c:orientation val="minMax"/>
        </c:scaling>
        <c:delete val="1"/>
        <c:axPos val="b"/>
        <c:numFmt formatCode="0%" sourceLinked="1"/>
        <c:majorTickMark val="none"/>
        <c:minorTickMark val="none"/>
        <c:tickLblPos val="nextTo"/>
        <c:crossAx val="507367663"/>
        <c:crosses val="autoZero"/>
        <c:crossBetween val="between"/>
      </c:valAx>
      <c:spPr>
        <a:noFill/>
        <a:ln>
          <a:noFill/>
        </a:ln>
        <a:effectLst/>
      </c:spPr>
    </c:plotArea>
    <c:legend>
      <c:legendPos val="b"/>
      <c:layout>
        <c:manualLayout>
          <c:xMode val="edge"/>
          <c:yMode val="edge"/>
          <c:x val="0.27702187226596675"/>
          <c:y val="5.7815689705449278E-4"/>
          <c:w val="0.29595625546806648"/>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0.72083</cdr:x>
      <cdr:y>0.30556</cdr:y>
    </cdr:from>
    <cdr:to>
      <cdr:x>0.76458</cdr:x>
      <cdr:y>0.53472</cdr:y>
    </cdr:to>
    <cdr:sp macro="" textlink="">
      <cdr:nvSpPr>
        <cdr:cNvPr id="3" name="TextBox 2"/>
        <cdr:cNvSpPr txBox="1"/>
      </cdr:nvSpPr>
      <cdr:spPr>
        <a:xfrm xmlns:a="http://schemas.openxmlformats.org/drawingml/2006/main">
          <a:off x="3295650" y="838200"/>
          <a:ext cx="200025" cy="628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CC80-8939-4676-A957-AD582B10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149</TotalTime>
  <Pages>12</Pages>
  <Words>7096</Words>
  <Characters>40451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47453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33</cp:revision>
  <cp:lastPrinted>1999-07-06T11:00:00Z</cp:lastPrinted>
  <dcterms:created xsi:type="dcterms:W3CDTF">2025-06-12T02:44:00Z</dcterms:created>
  <dcterms:modified xsi:type="dcterms:W3CDTF">2025-06-13T10:01:00Z</dcterms:modified>
</cp:coreProperties>
</file>