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8D054" w14:textId="532C7FC7" w:rsidR="003C4813" w:rsidRDefault="003C4813" w:rsidP="00156C23">
      <w:pPr>
        <w:pBdr>
          <w:top w:val="nil"/>
          <w:left w:val="nil"/>
          <w:bottom w:val="nil"/>
          <w:right w:val="nil"/>
          <w:between w:val="nil"/>
        </w:pBdr>
        <w:spacing w:line="360" w:lineRule="auto"/>
        <w:jc w:val="center"/>
        <w:rPr>
          <w:b/>
          <w:bCs/>
          <w:sz w:val="28"/>
          <w:szCs w:val="28"/>
        </w:rPr>
      </w:pPr>
      <w:r w:rsidRPr="003C4813">
        <w:rPr>
          <w:b/>
          <w:bCs/>
          <w:i/>
          <w:iCs/>
          <w:sz w:val="28"/>
          <w:szCs w:val="28"/>
          <w:u w:val="single"/>
          <w:lang w:val="en-US"/>
        </w:rPr>
        <w:t>Original Research Article</w:t>
      </w:r>
    </w:p>
    <w:p w14:paraId="17BB9196" w14:textId="72D22CAD" w:rsidR="00786663" w:rsidRDefault="008721B2" w:rsidP="00156C23">
      <w:pPr>
        <w:pBdr>
          <w:top w:val="nil"/>
          <w:left w:val="nil"/>
          <w:bottom w:val="nil"/>
          <w:right w:val="nil"/>
          <w:between w:val="nil"/>
        </w:pBdr>
        <w:spacing w:line="360" w:lineRule="auto"/>
        <w:jc w:val="center"/>
        <w:rPr>
          <w:b/>
          <w:bCs/>
          <w:sz w:val="28"/>
          <w:szCs w:val="28"/>
        </w:rPr>
      </w:pPr>
      <w:r w:rsidRPr="008721B2">
        <w:rPr>
          <w:b/>
          <w:bCs/>
          <w:sz w:val="28"/>
          <w:szCs w:val="28"/>
        </w:rPr>
        <w:t>AN OBSERVATIONAL STUDY ON NT pro-BNP LEVELS IN PATIENTS ADMITTED TO A TERTIARY CARE HOSPITAL</w:t>
      </w:r>
    </w:p>
    <w:p w14:paraId="6094DABF" w14:textId="77777777" w:rsidR="00893875" w:rsidRDefault="00893875" w:rsidP="00156C23">
      <w:pPr>
        <w:pBdr>
          <w:top w:val="nil"/>
          <w:left w:val="nil"/>
          <w:bottom w:val="nil"/>
          <w:right w:val="nil"/>
          <w:between w:val="nil"/>
        </w:pBdr>
        <w:spacing w:line="360" w:lineRule="auto"/>
        <w:jc w:val="center"/>
        <w:rPr>
          <w:b/>
          <w:bCs/>
          <w:sz w:val="28"/>
          <w:szCs w:val="28"/>
        </w:rPr>
      </w:pPr>
    </w:p>
    <w:p w14:paraId="16B8E3D7" w14:textId="77777777" w:rsidR="00827F92" w:rsidRDefault="00827F92" w:rsidP="00156C23">
      <w:pPr>
        <w:spacing w:after="0" w:line="360" w:lineRule="auto"/>
        <w:ind w:left="0" w:firstLine="0"/>
        <w:jc w:val="left"/>
        <w:rPr>
          <w:rFonts w:eastAsia="Calibri"/>
          <w:b/>
          <w:bCs/>
          <w:szCs w:val="24"/>
          <w:lang w:val="en-US"/>
        </w:rPr>
      </w:pPr>
    </w:p>
    <w:p w14:paraId="4011F0CE" w14:textId="4566E055" w:rsidR="00786663" w:rsidRDefault="00786663" w:rsidP="00156C23">
      <w:pPr>
        <w:spacing w:after="0" w:line="360" w:lineRule="auto"/>
        <w:ind w:left="0" w:firstLine="0"/>
        <w:jc w:val="left"/>
        <w:rPr>
          <w:rFonts w:eastAsia="Calibri"/>
          <w:b/>
          <w:bCs/>
          <w:szCs w:val="24"/>
          <w:lang w:val="en-US"/>
        </w:rPr>
      </w:pPr>
      <w:r>
        <w:rPr>
          <w:rFonts w:eastAsia="Calibri"/>
          <w:b/>
          <w:bCs/>
          <w:szCs w:val="24"/>
          <w:lang w:val="en-US"/>
        </w:rPr>
        <w:t>ABSTRACT:</w:t>
      </w:r>
    </w:p>
    <w:p w14:paraId="64250CF6" w14:textId="77777777" w:rsidR="006A605A" w:rsidRDefault="006A605A" w:rsidP="00156C23">
      <w:pPr>
        <w:spacing w:after="0" w:line="360" w:lineRule="auto"/>
        <w:ind w:left="0" w:firstLine="0"/>
        <w:jc w:val="left"/>
        <w:rPr>
          <w:rFonts w:eastAsia="Calibri"/>
          <w:b/>
          <w:bCs/>
          <w:szCs w:val="24"/>
        </w:rPr>
      </w:pPr>
      <w:r w:rsidRPr="006A605A">
        <w:rPr>
          <w:rFonts w:eastAsia="Calibri"/>
          <w:b/>
          <w:bCs/>
          <w:szCs w:val="24"/>
        </w:rPr>
        <w:t>Background:</w:t>
      </w:r>
    </w:p>
    <w:p w14:paraId="5F560DF0" w14:textId="2371E9DA" w:rsidR="006A605A" w:rsidRPr="006A605A" w:rsidRDefault="006A605A" w:rsidP="00156C23">
      <w:pPr>
        <w:spacing w:after="0" w:line="360" w:lineRule="auto"/>
        <w:ind w:left="0" w:firstLine="720"/>
        <w:jc w:val="left"/>
        <w:rPr>
          <w:rFonts w:eastAsia="Calibri"/>
          <w:b/>
          <w:bCs/>
          <w:szCs w:val="24"/>
        </w:rPr>
      </w:pPr>
      <w:r w:rsidRPr="006A605A">
        <w:rPr>
          <w:rFonts w:eastAsia="Calibri"/>
          <w:szCs w:val="24"/>
        </w:rPr>
        <w:t>N-terminal pro b-type natriuretic peptide (NT-</w:t>
      </w:r>
      <w:proofErr w:type="spellStart"/>
      <w:r w:rsidRPr="006A605A">
        <w:rPr>
          <w:rFonts w:eastAsia="Calibri"/>
          <w:szCs w:val="24"/>
        </w:rPr>
        <w:t>proBNP</w:t>
      </w:r>
      <w:proofErr w:type="spellEnd"/>
      <w:r w:rsidRPr="006A605A">
        <w:rPr>
          <w:rFonts w:eastAsia="Calibri"/>
          <w:szCs w:val="24"/>
        </w:rPr>
        <w:t>) is a well-established biomarker used for diagnosing and evaluating cardiac function, particularly in heart failure, and for assessing the prognosis of cardiovascular diseases. This observational study aimed to evaluate elevated NT-</w:t>
      </w:r>
      <w:proofErr w:type="spellStart"/>
      <w:r w:rsidRPr="006A605A">
        <w:rPr>
          <w:rFonts w:eastAsia="Calibri"/>
          <w:szCs w:val="24"/>
        </w:rPr>
        <w:t>proBNP</w:t>
      </w:r>
      <w:proofErr w:type="spellEnd"/>
      <w:r w:rsidRPr="006A605A">
        <w:rPr>
          <w:rFonts w:eastAsia="Calibri"/>
          <w:szCs w:val="24"/>
        </w:rPr>
        <w:t xml:space="preserve"> levels in patients admitted to a tertiary care hospital and explore their association with clinical outcomes.</w:t>
      </w:r>
    </w:p>
    <w:p w14:paraId="71E7201E" w14:textId="77777777" w:rsidR="006A605A" w:rsidRDefault="006A605A" w:rsidP="00156C23">
      <w:pPr>
        <w:spacing w:after="0" w:line="360" w:lineRule="auto"/>
        <w:ind w:left="0" w:firstLine="0"/>
        <w:jc w:val="left"/>
        <w:rPr>
          <w:rFonts w:eastAsia="Calibri"/>
          <w:b/>
          <w:bCs/>
          <w:szCs w:val="24"/>
        </w:rPr>
      </w:pPr>
      <w:r w:rsidRPr="006A605A">
        <w:rPr>
          <w:rFonts w:eastAsia="Calibri"/>
          <w:b/>
          <w:bCs/>
          <w:szCs w:val="24"/>
        </w:rPr>
        <w:t>Methods:</w:t>
      </w:r>
    </w:p>
    <w:p w14:paraId="036198F1" w14:textId="2DD57B47" w:rsidR="006A605A" w:rsidRPr="006A605A" w:rsidRDefault="006A605A" w:rsidP="00156C23">
      <w:pPr>
        <w:spacing w:after="0" w:line="360" w:lineRule="auto"/>
        <w:ind w:left="0" w:firstLine="720"/>
        <w:jc w:val="left"/>
        <w:rPr>
          <w:rFonts w:eastAsia="Calibri"/>
          <w:b/>
          <w:bCs/>
          <w:szCs w:val="24"/>
        </w:rPr>
      </w:pPr>
      <w:r w:rsidRPr="006A605A">
        <w:rPr>
          <w:rFonts w:eastAsia="Calibri"/>
          <w:szCs w:val="24"/>
        </w:rPr>
        <w:t>An observational study was conducted over six months by reviewing medical records of patients admitted to the pulmonology, cardiology, and internal medicine departments of a tertiary care hospital. Data on demographics, clinical characteristics, laboratory findings, and NT-</w:t>
      </w:r>
      <w:proofErr w:type="spellStart"/>
      <w:r w:rsidRPr="006A605A">
        <w:rPr>
          <w:rFonts w:eastAsia="Calibri"/>
          <w:szCs w:val="24"/>
        </w:rPr>
        <w:t>proBNP</w:t>
      </w:r>
      <w:proofErr w:type="spellEnd"/>
      <w:r w:rsidRPr="006A605A">
        <w:rPr>
          <w:rFonts w:eastAsia="Calibri"/>
          <w:szCs w:val="24"/>
        </w:rPr>
        <w:t xml:space="preserve"> levels were extracted from electronic health records. The relationship between NT-</w:t>
      </w:r>
      <w:proofErr w:type="spellStart"/>
      <w:r w:rsidRPr="006A605A">
        <w:rPr>
          <w:rFonts w:eastAsia="Calibri"/>
          <w:szCs w:val="24"/>
        </w:rPr>
        <w:t>proBNP</w:t>
      </w:r>
      <w:proofErr w:type="spellEnd"/>
      <w:r w:rsidRPr="006A605A">
        <w:rPr>
          <w:rFonts w:eastAsia="Calibri"/>
          <w:szCs w:val="24"/>
        </w:rPr>
        <w:t xml:space="preserve"> levels and clinical outcomes, including mortality and cardiac events, was </w:t>
      </w:r>
      <w:proofErr w:type="spellStart"/>
      <w:r w:rsidRPr="006A605A">
        <w:rPr>
          <w:rFonts w:eastAsia="Calibri"/>
          <w:szCs w:val="24"/>
        </w:rPr>
        <w:t>analyzed</w:t>
      </w:r>
      <w:proofErr w:type="spellEnd"/>
      <w:r w:rsidRPr="006A605A">
        <w:rPr>
          <w:rFonts w:eastAsia="Calibri"/>
          <w:szCs w:val="24"/>
        </w:rPr>
        <w:t>.</w:t>
      </w:r>
    </w:p>
    <w:p w14:paraId="73D91034" w14:textId="77777777" w:rsidR="006A605A" w:rsidRDefault="006A605A" w:rsidP="00156C23">
      <w:pPr>
        <w:spacing w:after="0" w:line="360" w:lineRule="auto"/>
        <w:ind w:left="0" w:firstLine="0"/>
        <w:jc w:val="left"/>
        <w:rPr>
          <w:rFonts w:eastAsia="Calibri"/>
          <w:b/>
          <w:bCs/>
          <w:szCs w:val="24"/>
        </w:rPr>
      </w:pPr>
      <w:r w:rsidRPr="006A605A">
        <w:rPr>
          <w:rFonts w:eastAsia="Calibri"/>
          <w:b/>
          <w:bCs/>
          <w:szCs w:val="24"/>
        </w:rPr>
        <w:t>Results:</w:t>
      </w:r>
    </w:p>
    <w:p w14:paraId="5235067A" w14:textId="7263A5B5" w:rsidR="006A605A" w:rsidRPr="006A605A" w:rsidRDefault="006A605A" w:rsidP="00156C23">
      <w:pPr>
        <w:spacing w:after="0" w:line="360" w:lineRule="auto"/>
        <w:ind w:left="0" w:firstLine="720"/>
        <w:jc w:val="left"/>
        <w:rPr>
          <w:rFonts w:eastAsia="Calibri"/>
          <w:szCs w:val="24"/>
        </w:rPr>
      </w:pPr>
      <w:r w:rsidRPr="006A605A">
        <w:rPr>
          <w:rFonts w:eastAsia="Calibri"/>
          <w:szCs w:val="24"/>
        </w:rPr>
        <w:t>A total of 200 patients were included, with a mean age of 60.5 years and a predominance of males (61%). Elevated NT-</w:t>
      </w:r>
      <w:proofErr w:type="spellStart"/>
      <w:r w:rsidRPr="006A605A">
        <w:rPr>
          <w:rFonts w:eastAsia="Calibri"/>
          <w:szCs w:val="24"/>
        </w:rPr>
        <w:t>proBNP</w:t>
      </w:r>
      <w:proofErr w:type="spellEnd"/>
      <w:r w:rsidRPr="006A605A">
        <w:rPr>
          <w:rFonts w:eastAsia="Calibri"/>
          <w:szCs w:val="24"/>
        </w:rPr>
        <w:t xml:space="preserve"> levels were significantly associated with older age, male gender, and the presence of comorbidities such as hypertension, diabetes, and chronic kidney disease. </w:t>
      </w:r>
      <w:proofErr w:type="spellStart"/>
      <w:r w:rsidRPr="006A605A">
        <w:rPr>
          <w:rFonts w:eastAsia="Calibri"/>
          <w:szCs w:val="24"/>
        </w:rPr>
        <w:t>Dyspnea</w:t>
      </w:r>
      <w:proofErr w:type="spellEnd"/>
      <w:r w:rsidRPr="006A605A">
        <w:rPr>
          <w:rFonts w:eastAsia="Calibri"/>
          <w:szCs w:val="24"/>
        </w:rPr>
        <w:t xml:space="preserve"> was reported in 138 patients, of whom 121 had elevated NT-</w:t>
      </w:r>
      <w:proofErr w:type="spellStart"/>
      <w:r w:rsidRPr="006A605A">
        <w:rPr>
          <w:rFonts w:eastAsia="Calibri"/>
          <w:szCs w:val="24"/>
        </w:rPr>
        <w:t>proBNP</w:t>
      </w:r>
      <w:proofErr w:type="spellEnd"/>
      <w:r w:rsidRPr="006A605A">
        <w:rPr>
          <w:rFonts w:eastAsia="Calibri"/>
          <w:szCs w:val="24"/>
        </w:rPr>
        <w:t xml:space="preserve"> levels. Among 62 patients without </w:t>
      </w:r>
      <w:proofErr w:type="spellStart"/>
      <w:r w:rsidRPr="006A605A">
        <w:rPr>
          <w:rFonts w:eastAsia="Calibri"/>
          <w:szCs w:val="24"/>
        </w:rPr>
        <w:t>dyspnea</w:t>
      </w:r>
      <w:proofErr w:type="spellEnd"/>
      <w:r w:rsidRPr="006A605A">
        <w:rPr>
          <w:rFonts w:eastAsia="Calibri"/>
          <w:szCs w:val="24"/>
        </w:rPr>
        <w:t>, 56 also had elevated levels. Higher NT-</w:t>
      </w:r>
      <w:proofErr w:type="spellStart"/>
      <w:r w:rsidRPr="006A605A">
        <w:rPr>
          <w:rFonts w:eastAsia="Calibri"/>
          <w:szCs w:val="24"/>
        </w:rPr>
        <w:t>proBNP</w:t>
      </w:r>
      <w:proofErr w:type="spellEnd"/>
      <w:r w:rsidRPr="006A605A">
        <w:rPr>
          <w:rFonts w:eastAsia="Calibri"/>
          <w:szCs w:val="24"/>
        </w:rPr>
        <w:t xml:space="preserve"> concentrations were associated with an increased risk of mortality and adverse cardiac events.</w:t>
      </w:r>
    </w:p>
    <w:p w14:paraId="1AA7251F" w14:textId="77777777" w:rsidR="006A605A" w:rsidRDefault="006A605A" w:rsidP="00156C23">
      <w:pPr>
        <w:spacing w:after="0" w:line="360" w:lineRule="auto"/>
        <w:ind w:left="0" w:firstLine="0"/>
        <w:jc w:val="left"/>
        <w:rPr>
          <w:rFonts w:eastAsia="Calibri"/>
          <w:b/>
          <w:bCs/>
          <w:szCs w:val="24"/>
        </w:rPr>
      </w:pPr>
      <w:r w:rsidRPr="006A605A">
        <w:rPr>
          <w:rFonts w:eastAsia="Calibri"/>
          <w:b/>
          <w:bCs/>
          <w:szCs w:val="24"/>
        </w:rPr>
        <w:t>Conclusion:</w:t>
      </w:r>
    </w:p>
    <w:p w14:paraId="5746679C" w14:textId="517F45D7" w:rsidR="006A605A" w:rsidRPr="006A605A" w:rsidRDefault="006A605A" w:rsidP="00156C23">
      <w:pPr>
        <w:spacing w:after="0" w:line="360" w:lineRule="auto"/>
        <w:ind w:left="0" w:firstLine="720"/>
        <w:jc w:val="left"/>
        <w:rPr>
          <w:rFonts w:eastAsia="Calibri"/>
          <w:b/>
          <w:bCs/>
          <w:szCs w:val="24"/>
        </w:rPr>
      </w:pPr>
      <w:r w:rsidRPr="006A605A">
        <w:rPr>
          <w:rFonts w:eastAsia="Calibri"/>
          <w:szCs w:val="24"/>
        </w:rPr>
        <w:t>This study highlights the diagnostic value of NT-</w:t>
      </w:r>
      <w:proofErr w:type="spellStart"/>
      <w:r w:rsidRPr="006A605A">
        <w:rPr>
          <w:rFonts w:eastAsia="Calibri"/>
          <w:szCs w:val="24"/>
        </w:rPr>
        <w:t>proBNP</w:t>
      </w:r>
      <w:proofErr w:type="spellEnd"/>
      <w:r w:rsidRPr="006A605A">
        <w:rPr>
          <w:rFonts w:eastAsia="Calibri"/>
          <w:szCs w:val="24"/>
        </w:rPr>
        <w:t xml:space="preserve"> across various age groups, genders, and clinical conditions, particularly in differentiating between </w:t>
      </w:r>
      <w:proofErr w:type="spellStart"/>
      <w:r w:rsidRPr="006A605A">
        <w:rPr>
          <w:rFonts w:eastAsia="Calibri"/>
          <w:szCs w:val="24"/>
        </w:rPr>
        <w:t>dyspneic</w:t>
      </w:r>
      <w:proofErr w:type="spellEnd"/>
      <w:r w:rsidRPr="006A605A">
        <w:rPr>
          <w:rFonts w:eastAsia="Calibri"/>
          <w:szCs w:val="24"/>
        </w:rPr>
        <w:t xml:space="preserve"> and non-</w:t>
      </w:r>
      <w:proofErr w:type="spellStart"/>
      <w:r w:rsidRPr="006A605A">
        <w:rPr>
          <w:rFonts w:eastAsia="Calibri"/>
          <w:szCs w:val="24"/>
        </w:rPr>
        <w:t>dyspneic</w:t>
      </w:r>
      <w:proofErr w:type="spellEnd"/>
      <w:r w:rsidRPr="006A605A">
        <w:rPr>
          <w:rFonts w:eastAsia="Calibri"/>
          <w:szCs w:val="24"/>
        </w:rPr>
        <w:t xml:space="preserve"> patients. Elevated NT-</w:t>
      </w:r>
      <w:proofErr w:type="spellStart"/>
      <w:r w:rsidRPr="006A605A">
        <w:rPr>
          <w:rFonts w:eastAsia="Calibri"/>
          <w:szCs w:val="24"/>
        </w:rPr>
        <w:t>proBNP</w:t>
      </w:r>
      <w:proofErr w:type="spellEnd"/>
      <w:r w:rsidRPr="006A605A">
        <w:rPr>
          <w:rFonts w:eastAsia="Calibri"/>
          <w:szCs w:val="24"/>
        </w:rPr>
        <w:t xml:space="preserve"> levels were more common among patients with </w:t>
      </w:r>
      <w:proofErr w:type="spellStart"/>
      <w:r w:rsidRPr="006A605A">
        <w:rPr>
          <w:rFonts w:eastAsia="Calibri"/>
          <w:szCs w:val="24"/>
        </w:rPr>
        <w:t>dyspnea</w:t>
      </w:r>
      <w:proofErr w:type="spellEnd"/>
      <w:r w:rsidRPr="006A605A">
        <w:rPr>
          <w:rFonts w:eastAsia="Calibri"/>
          <w:szCs w:val="24"/>
        </w:rPr>
        <w:t>, suggesting a strong correlation with respiratory distress. These findings underscore the importance of incorporating NT-</w:t>
      </w:r>
      <w:proofErr w:type="spellStart"/>
      <w:r w:rsidRPr="006A605A">
        <w:rPr>
          <w:rFonts w:eastAsia="Calibri"/>
          <w:szCs w:val="24"/>
        </w:rPr>
        <w:t>proBNP</w:t>
      </w:r>
      <w:proofErr w:type="spellEnd"/>
      <w:r w:rsidRPr="006A605A">
        <w:rPr>
          <w:rFonts w:eastAsia="Calibri"/>
          <w:szCs w:val="24"/>
        </w:rPr>
        <w:t xml:space="preserve"> testing into the routine assessment of patients presenting with </w:t>
      </w:r>
      <w:proofErr w:type="spellStart"/>
      <w:r w:rsidRPr="006A605A">
        <w:rPr>
          <w:rFonts w:eastAsia="Calibri"/>
          <w:szCs w:val="24"/>
        </w:rPr>
        <w:t>dyspnea</w:t>
      </w:r>
      <w:proofErr w:type="spellEnd"/>
      <w:r w:rsidRPr="006A605A">
        <w:rPr>
          <w:rFonts w:eastAsia="Calibri"/>
          <w:szCs w:val="24"/>
        </w:rPr>
        <w:t>, facilitating early diagnosis and intervention.</w:t>
      </w:r>
    </w:p>
    <w:p w14:paraId="4301BE16" w14:textId="519C37D3" w:rsidR="006A605A" w:rsidRPr="006A605A" w:rsidRDefault="006A605A" w:rsidP="00156C23">
      <w:pPr>
        <w:spacing w:after="0" w:line="360" w:lineRule="auto"/>
        <w:ind w:left="0" w:firstLine="0"/>
        <w:jc w:val="left"/>
        <w:rPr>
          <w:rFonts w:eastAsia="Calibri"/>
          <w:b/>
          <w:bCs/>
          <w:szCs w:val="24"/>
        </w:rPr>
      </w:pPr>
      <w:r w:rsidRPr="006A605A">
        <w:rPr>
          <w:rFonts w:eastAsia="Calibri"/>
          <w:b/>
          <w:bCs/>
          <w:szCs w:val="24"/>
        </w:rPr>
        <w:t xml:space="preserve">Keywords: </w:t>
      </w:r>
      <w:r w:rsidRPr="006A605A">
        <w:rPr>
          <w:rFonts w:eastAsia="Calibri"/>
          <w:szCs w:val="24"/>
        </w:rPr>
        <w:t>NT-</w:t>
      </w:r>
      <w:proofErr w:type="spellStart"/>
      <w:r w:rsidRPr="006A605A">
        <w:rPr>
          <w:rFonts w:eastAsia="Calibri"/>
          <w:szCs w:val="24"/>
        </w:rPr>
        <w:t>proBNP</w:t>
      </w:r>
      <w:proofErr w:type="spellEnd"/>
      <w:r w:rsidRPr="006A605A">
        <w:rPr>
          <w:rFonts w:eastAsia="Calibri"/>
          <w:szCs w:val="24"/>
        </w:rPr>
        <w:t xml:space="preserve">, </w:t>
      </w:r>
      <w:r>
        <w:rPr>
          <w:rFonts w:eastAsia="Calibri"/>
          <w:szCs w:val="24"/>
        </w:rPr>
        <w:t>D</w:t>
      </w:r>
      <w:r w:rsidRPr="006A605A">
        <w:rPr>
          <w:rFonts w:eastAsia="Calibri"/>
          <w:szCs w:val="24"/>
        </w:rPr>
        <w:t>yspn</w:t>
      </w:r>
      <w:r>
        <w:rPr>
          <w:rFonts w:eastAsia="Calibri"/>
          <w:szCs w:val="24"/>
        </w:rPr>
        <w:t>o</w:t>
      </w:r>
      <w:r w:rsidRPr="006A605A">
        <w:rPr>
          <w:rFonts w:eastAsia="Calibri"/>
          <w:szCs w:val="24"/>
        </w:rPr>
        <w:t xml:space="preserve">ea, </w:t>
      </w:r>
      <w:r>
        <w:rPr>
          <w:rFonts w:eastAsia="Calibri"/>
          <w:szCs w:val="24"/>
        </w:rPr>
        <w:t>H</w:t>
      </w:r>
      <w:r w:rsidRPr="006A605A">
        <w:rPr>
          <w:rFonts w:eastAsia="Calibri"/>
          <w:szCs w:val="24"/>
        </w:rPr>
        <w:t xml:space="preserve">ypertension, </w:t>
      </w:r>
      <w:r>
        <w:rPr>
          <w:rFonts w:eastAsia="Calibri"/>
          <w:szCs w:val="24"/>
        </w:rPr>
        <w:t>D</w:t>
      </w:r>
      <w:r w:rsidRPr="006A605A">
        <w:rPr>
          <w:rFonts w:eastAsia="Calibri"/>
          <w:szCs w:val="24"/>
        </w:rPr>
        <w:t xml:space="preserve">iabetes, </w:t>
      </w:r>
      <w:r>
        <w:rPr>
          <w:rFonts w:eastAsia="Calibri"/>
          <w:szCs w:val="24"/>
        </w:rPr>
        <w:t>C</w:t>
      </w:r>
      <w:r w:rsidRPr="006A605A">
        <w:rPr>
          <w:rFonts w:eastAsia="Calibri"/>
          <w:szCs w:val="24"/>
        </w:rPr>
        <w:t>hronic kidney disease.</w:t>
      </w:r>
    </w:p>
    <w:p w14:paraId="7BE2706C" w14:textId="77777777" w:rsidR="00820B62" w:rsidRDefault="00820B62" w:rsidP="00156C23">
      <w:pPr>
        <w:spacing w:after="0" w:line="360" w:lineRule="auto"/>
        <w:ind w:left="0" w:firstLine="0"/>
        <w:jc w:val="left"/>
        <w:rPr>
          <w:rFonts w:eastAsia="Calibri"/>
          <w:b/>
          <w:bCs/>
          <w:szCs w:val="24"/>
          <w:lang w:val="en-US"/>
        </w:rPr>
      </w:pPr>
    </w:p>
    <w:p w14:paraId="7DD3585A" w14:textId="4E966D0D" w:rsidR="00786663" w:rsidRDefault="00786663" w:rsidP="00156C23">
      <w:pPr>
        <w:spacing w:after="0" w:line="360" w:lineRule="auto"/>
        <w:ind w:left="0" w:firstLine="0"/>
        <w:jc w:val="left"/>
        <w:rPr>
          <w:rFonts w:eastAsia="Calibri"/>
          <w:b/>
          <w:bCs/>
          <w:szCs w:val="24"/>
          <w:lang w:val="en-US"/>
        </w:rPr>
      </w:pPr>
      <w:r>
        <w:rPr>
          <w:rFonts w:eastAsia="Calibri"/>
          <w:b/>
          <w:bCs/>
          <w:szCs w:val="24"/>
          <w:lang w:val="en-US"/>
        </w:rPr>
        <w:t>INTRODUCTION:</w:t>
      </w:r>
    </w:p>
    <w:p w14:paraId="06B6B658" w14:textId="6C4CD1D4" w:rsidR="00786663" w:rsidRPr="00820B62" w:rsidRDefault="00720A7D" w:rsidP="00156C23">
      <w:pPr>
        <w:spacing w:after="0" w:line="360" w:lineRule="auto"/>
        <w:ind w:left="0" w:firstLine="720"/>
        <w:rPr>
          <w:rFonts w:eastAsia="Calibri"/>
          <w:b/>
          <w:bCs/>
          <w:szCs w:val="24"/>
          <w:lang w:val="en-US"/>
        </w:rPr>
      </w:pPr>
      <w:r w:rsidRPr="00720A7D">
        <w:rPr>
          <w:rFonts w:eastAsia="Calibri"/>
          <w:szCs w:val="24"/>
          <w:lang w:val="en-US"/>
        </w:rPr>
        <w:t>N-terminal pro-brain natriuretic peptide (NT-</w:t>
      </w:r>
      <w:proofErr w:type="spellStart"/>
      <w:r w:rsidRPr="00720A7D">
        <w:rPr>
          <w:rFonts w:eastAsia="Calibri"/>
          <w:szCs w:val="24"/>
          <w:lang w:val="en-US"/>
        </w:rPr>
        <w:t>proBNP</w:t>
      </w:r>
      <w:proofErr w:type="spellEnd"/>
      <w:r w:rsidRPr="00720A7D">
        <w:rPr>
          <w:rFonts w:eastAsia="Calibri"/>
          <w:szCs w:val="24"/>
          <w:lang w:val="en-US"/>
        </w:rPr>
        <w:t xml:space="preserve">) is a 76-amino acid peptide derived from the cleavage of the prohormone brain natriuretic peptide (BNP), which also yields the active 32-amino acid BNP. </w:t>
      </w:r>
      <w:r w:rsidRPr="00720A7D">
        <w:rPr>
          <w:rFonts w:eastAsia="Calibri"/>
          <w:szCs w:val="24"/>
          <w:lang w:val="en-US"/>
        </w:rPr>
        <w:lastRenderedPageBreak/>
        <w:t>These peptides are primarily secreted by cardiac myocytes in response to myocardial stretch or injury. Compared to BNP, NT-</w:t>
      </w:r>
      <w:proofErr w:type="spellStart"/>
      <w:r w:rsidRPr="00720A7D">
        <w:rPr>
          <w:rFonts w:eastAsia="Calibri"/>
          <w:szCs w:val="24"/>
          <w:lang w:val="en-US"/>
        </w:rPr>
        <w:t>proBNP</w:t>
      </w:r>
      <w:proofErr w:type="spellEnd"/>
      <w:r w:rsidRPr="00720A7D">
        <w:rPr>
          <w:rFonts w:eastAsia="Calibri"/>
          <w:szCs w:val="24"/>
          <w:lang w:val="en-US"/>
        </w:rPr>
        <w:t xml:space="preserve"> has a longer half-life (1–2 hours), resulting in lower inter- and intraindividual variability, making it a more stable biomarker for clinical use</w:t>
      </w:r>
      <w:r w:rsidR="00F94C18">
        <w:rPr>
          <w:rFonts w:eastAsia="Calibri"/>
          <w:szCs w:val="24"/>
          <w:lang w:val="en-US"/>
        </w:rPr>
        <w:t xml:space="preserve"> </w:t>
      </w:r>
      <w:r w:rsidR="00F94C18">
        <w:rPr>
          <w:rFonts w:eastAsia="Calibri"/>
          <w:szCs w:val="24"/>
          <w:vertAlign w:val="superscript"/>
          <w:lang w:val="en-US"/>
        </w:rPr>
        <w:t>1-3</w:t>
      </w:r>
      <w:r w:rsidRPr="00720A7D">
        <w:rPr>
          <w:rFonts w:eastAsia="Calibri"/>
          <w:szCs w:val="24"/>
          <w:lang w:val="en-US"/>
        </w:rPr>
        <w:t>. NT-</w:t>
      </w:r>
      <w:proofErr w:type="spellStart"/>
      <w:r w:rsidRPr="00720A7D">
        <w:rPr>
          <w:rFonts w:eastAsia="Calibri"/>
          <w:szCs w:val="24"/>
          <w:lang w:val="en-US"/>
        </w:rPr>
        <w:t>proBNP</w:t>
      </w:r>
      <w:proofErr w:type="spellEnd"/>
      <w:r w:rsidRPr="00720A7D">
        <w:rPr>
          <w:rFonts w:eastAsia="Calibri"/>
          <w:szCs w:val="24"/>
          <w:lang w:val="en-US"/>
        </w:rPr>
        <w:t xml:space="preserve"> levels are influenced by several physiological factors: they tend to be lower in males and obese individuals and are elevated in patients with renal dysfunction due to reduced clearance</w:t>
      </w:r>
      <w:r w:rsidR="00F94C18">
        <w:rPr>
          <w:rFonts w:eastAsia="Calibri"/>
          <w:szCs w:val="24"/>
          <w:lang w:val="en-US"/>
        </w:rPr>
        <w:t xml:space="preserve"> </w:t>
      </w:r>
      <w:r w:rsidR="00F94C18">
        <w:rPr>
          <w:rFonts w:eastAsia="Calibri"/>
          <w:szCs w:val="24"/>
          <w:vertAlign w:val="superscript"/>
          <w:lang w:val="en-US"/>
        </w:rPr>
        <w:t>4</w:t>
      </w:r>
      <w:r w:rsidRPr="00720A7D">
        <w:rPr>
          <w:rFonts w:eastAsia="Calibri"/>
          <w:szCs w:val="24"/>
          <w:lang w:val="en-US"/>
        </w:rPr>
        <w:t>. Levels also increase with advancing age. NT-</w:t>
      </w:r>
      <w:proofErr w:type="spellStart"/>
      <w:r w:rsidRPr="00720A7D">
        <w:rPr>
          <w:rFonts w:eastAsia="Calibri"/>
          <w:szCs w:val="24"/>
          <w:lang w:val="en-US"/>
        </w:rPr>
        <w:t>proBNP</w:t>
      </w:r>
      <w:proofErr w:type="spellEnd"/>
      <w:r w:rsidRPr="00720A7D">
        <w:rPr>
          <w:rFonts w:eastAsia="Calibri"/>
          <w:szCs w:val="24"/>
          <w:lang w:val="en-US"/>
        </w:rPr>
        <w:t xml:space="preserve"> and BNP have well-established roles in the diagnosis and prognosis of heart failure (HF), a complex clinical syndrome characterized by impaired ventricular filling or ejection, leading to symptoms such as dyspnea and fatigue</w:t>
      </w:r>
      <w:r w:rsidR="00F94C18">
        <w:rPr>
          <w:rFonts w:eastAsia="Calibri"/>
          <w:szCs w:val="24"/>
          <w:lang w:val="en-US"/>
        </w:rPr>
        <w:t xml:space="preserve"> </w:t>
      </w:r>
      <w:r w:rsidR="00F94C18">
        <w:rPr>
          <w:rFonts w:eastAsia="Calibri"/>
          <w:szCs w:val="24"/>
          <w:vertAlign w:val="superscript"/>
          <w:lang w:val="en-US"/>
        </w:rPr>
        <w:t>5</w:t>
      </w:r>
      <w:r w:rsidRPr="00720A7D">
        <w:rPr>
          <w:rFonts w:eastAsia="Calibri"/>
          <w:szCs w:val="24"/>
          <w:lang w:val="en-US"/>
        </w:rPr>
        <w:t>. Acute heart failure may present as either new-onset (de novo) or acutely decompensated chronic heart failure, often associated with systemic congestion. Common precipitants of acute HF include myocardial ischemia, arrhythmias, infections, non-adherence to medication, uncontrolled hypertension, anemia, and renal impairment</w:t>
      </w:r>
      <w:r w:rsidR="00F94C18">
        <w:rPr>
          <w:rFonts w:eastAsia="Calibri"/>
          <w:szCs w:val="24"/>
          <w:lang w:val="en-US"/>
        </w:rPr>
        <w:t xml:space="preserve"> </w:t>
      </w:r>
      <w:r w:rsidR="00F94C18">
        <w:rPr>
          <w:rFonts w:eastAsia="Calibri"/>
          <w:szCs w:val="24"/>
          <w:vertAlign w:val="superscript"/>
          <w:lang w:val="en-US"/>
        </w:rPr>
        <w:t>6-7</w:t>
      </w:r>
      <w:r w:rsidRPr="00720A7D">
        <w:rPr>
          <w:rFonts w:eastAsia="Calibri"/>
          <w:szCs w:val="24"/>
          <w:lang w:val="en-US"/>
        </w:rPr>
        <w:t>. While natriuretic peptides are reliable markers in HF, their levels may also be elevated in critically ill patients due to non-cardiac causes such as sepsis, pulmonary embolism, multiorgan failure, and various therapeutic interventions like vasopressors or fluid resuscitation</w:t>
      </w:r>
      <w:r w:rsidR="00F94C18">
        <w:rPr>
          <w:rFonts w:eastAsia="Calibri"/>
          <w:szCs w:val="24"/>
          <w:lang w:val="en-US"/>
        </w:rPr>
        <w:t xml:space="preserve"> </w:t>
      </w:r>
      <w:r w:rsidR="00F94C18">
        <w:rPr>
          <w:rFonts w:eastAsia="Calibri"/>
          <w:szCs w:val="24"/>
          <w:vertAlign w:val="superscript"/>
          <w:lang w:val="en-US"/>
        </w:rPr>
        <w:t>8</w:t>
      </w:r>
      <w:r w:rsidRPr="00720A7D">
        <w:rPr>
          <w:rFonts w:eastAsia="Calibri"/>
          <w:szCs w:val="24"/>
          <w:lang w:val="en-US"/>
        </w:rPr>
        <w:t>. Given these factors, there is growing interest in comparing NT-</w:t>
      </w:r>
      <w:proofErr w:type="spellStart"/>
      <w:r w:rsidRPr="00720A7D">
        <w:rPr>
          <w:rFonts w:eastAsia="Calibri"/>
          <w:szCs w:val="24"/>
          <w:lang w:val="en-US"/>
        </w:rPr>
        <w:t>proBNP</w:t>
      </w:r>
      <w:proofErr w:type="spellEnd"/>
      <w:r w:rsidRPr="00720A7D">
        <w:rPr>
          <w:rFonts w:eastAsia="Calibri"/>
          <w:szCs w:val="24"/>
          <w:lang w:val="en-US"/>
        </w:rPr>
        <w:t xml:space="preserve"> with other commonly used cardiac biomarkers such as D-Dimer and Troponin-I. This observational study aimed to assess the screening patterns of NT-</w:t>
      </w:r>
      <w:proofErr w:type="spellStart"/>
      <w:r w:rsidRPr="00720A7D">
        <w:rPr>
          <w:rFonts w:eastAsia="Calibri"/>
          <w:szCs w:val="24"/>
          <w:lang w:val="en-US"/>
        </w:rPr>
        <w:t>proBNP</w:t>
      </w:r>
      <w:proofErr w:type="spellEnd"/>
      <w:r w:rsidRPr="00720A7D">
        <w:rPr>
          <w:rFonts w:eastAsia="Calibri"/>
          <w:szCs w:val="24"/>
          <w:lang w:val="en-US"/>
        </w:rPr>
        <w:t>, D-Dimer, and Troponin-I in patients admitted to a tertiary care hospital and to explore the clinical relevance of elevated NT-</w:t>
      </w:r>
      <w:proofErr w:type="spellStart"/>
      <w:r w:rsidRPr="00720A7D">
        <w:rPr>
          <w:rFonts w:eastAsia="Calibri"/>
          <w:szCs w:val="24"/>
          <w:lang w:val="en-US"/>
        </w:rPr>
        <w:t>proBNP</w:t>
      </w:r>
      <w:proofErr w:type="spellEnd"/>
      <w:r w:rsidRPr="00720A7D">
        <w:rPr>
          <w:rFonts w:eastAsia="Calibri"/>
          <w:szCs w:val="24"/>
          <w:lang w:val="en-US"/>
        </w:rPr>
        <w:t xml:space="preserve"> levels, particularly in relation to patient outcomes such as mortality and cardiovascular events</w:t>
      </w:r>
      <w:r>
        <w:rPr>
          <w:rFonts w:eastAsia="Calibri"/>
          <w:szCs w:val="24"/>
          <w:lang w:val="en-US"/>
        </w:rPr>
        <w:t xml:space="preserve">. </w:t>
      </w:r>
    </w:p>
    <w:p w14:paraId="401E37AC" w14:textId="21A911DD" w:rsidR="00786663" w:rsidRDefault="00786663" w:rsidP="00156C23">
      <w:pPr>
        <w:spacing w:after="0" w:line="360" w:lineRule="auto"/>
        <w:ind w:left="0" w:firstLine="0"/>
        <w:jc w:val="left"/>
        <w:rPr>
          <w:rFonts w:eastAsia="Calibri"/>
          <w:b/>
          <w:bCs/>
          <w:szCs w:val="24"/>
          <w:lang w:val="en-US"/>
        </w:rPr>
      </w:pPr>
      <w:r>
        <w:rPr>
          <w:rFonts w:eastAsia="Calibri"/>
          <w:b/>
          <w:bCs/>
          <w:szCs w:val="24"/>
          <w:lang w:val="en-US"/>
        </w:rPr>
        <w:t>OBJECTIVES:</w:t>
      </w:r>
    </w:p>
    <w:p w14:paraId="3ACC4B76" w14:textId="77777777" w:rsidR="008721B2" w:rsidRPr="008721B2" w:rsidRDefault="008721B2" w:rsidP="00156C23">
      <w:pPr>
        <w:pStyle w:val="ListParagraph"/>
        <w:numPr>
          <w:ilvl w:val="0"/>
          <w:numId w:val="5"/>
        </w:numPr>
        <w:spacing w:after="0" w:line="360" w:lineRule="auto"/>
        <w:jc w:val="left"/>
        <w:rPr>
          <w:rFonts w:eastAsia="Calibri"/>
          <w:szCs w:val="28"/>
          <w:lang w:val="en-US"/>
        </w:rPr>
      </w:pPr>
      <w:r w:rsidRPr="008721B2">
        <w:rPr>
          <w:rFonts w:eastAsia="Calibri"/>
          <w:szCs w:val="28"/>
          <w:lang w:val="en-US"/>
        </w:rPr>
        <w:t xml:space="preserve">To evaluate the frequency and distribution of NT-pro BNP screening across various age groups and genders. </w:t>
      </w:r>
    </w:p>
    <w:p w14:paraId="721DE670" w14:textId="613AE9C3" w:rsidR="008721B2" w:rsidRPr="008721B2" w:rsidRDefault="008721B2" w:rsidP="00156C23">
      <w:pPr>
        <w:pStyle w:val="ListParagraph"/>
        <w:numPr>
          <w:ilvl w:val="0"/>
          <w:numId w:val="5"/>
        </w:numPr>
        <w:spacing w:after="0" w:line="360" w:lineRule="auto"/>
        <w:jc w:val="left"/>
        <w:rPr>
          <w:rFonts w:eastAsia="Calibri"/>
          <w:szCs w:val="28"/>
          <w:lang w:val="en-US"/>
        </w:rPr>
      </w:pPr>
      <w:r w:rsidRPr="008721B2">
        <w:rPr>
          <w:rFonts w:eastAsia="Calibri"/>
          <w:szCs w:val="28"/>
          <w:lang w:val="en-US"/>
        </w:rPr>
        <w:t xml:space="preserve">To conduct a comparative assessment of D-Dimer, Troponin-I, and NT-pro BNP screening patterns. </w:t>
      </w:r>
    </w:p>
    <w:p w14:paraId="4D6A1111" w14:textId="77777777" w:rsidR="008721B2" w:rsidRPr="008721B2" w:rsidRDefault="008721B2" w:rsidP="00156C23">
      <w:pPr>
        <w:pStyle w:val="ListParagraph"/>
        <w:numPr>
          <w:ilvl w:val="0"/>
          <w:numId w:val="5"/>
        </w:numPr>
        <w:spacing w:after="0" w:line="360" w:lineRule="auto"/>
        <w:jc w:val="left"/>
        <w:rPr>
          <w:rFonts w:eastAsia="Calibri"/>
          <w:szCs w:val="28"/>
          <w:lang w:val="en-US"/>
        </w:rPr>
      </w:pPr>
      <w:r w:rsidRPr="008721B2">
        <w:rPr>
          <w:rFonts w:eastAsia="Calibri"/>
          <w:szCs w:val="28"/>
          <w:lang w:val="en-US"/>
        </w:rPr>
        <w:t xml:space="preserve">To validate the diagnostic utility of NT-pro BNP for the early detection of heart failure </w:t>
      </w:r>
    </w:p>
    <w:p w14:paraId="020D6A8E" w14:textId="77777777" w:rsidR="008721B2" w:rsidRPr="008721B2" w:rsidRDefault="008721B2" w:rsidP="00156C23">
      <w:pPr>
        <w:pStyle w:val="ListParagraph"/>
        <w:numPr>
          <w:ilvl w:val="0"/>
          <w:numId w:val="5"/>
        </w:numPr>
        <w:spacing w:after="0" w:line="360" w:lineRule="auto"/>
        <w:jc w:val="left"/>
        <w:rPr>
          <w:rFonts w:eastAsia="Calibri"/>
          <w:szCs w:val="28"/>
          <w:lang w:val="en-US"/>
        </w:rPr>
      </w:pPr>
      <w:r w:rsidRPr="008721B2">
        <w:rPr>
          <w:rFonts w:eastAsia="Calibri"/>
          <w:szCs w:val="28"/>
          <w:lang w:val="en-US"/>
        </w:rPr>
        <w:t xml:space="preserve">To determine the overall prevalence of NT-pro BNP screening among admitted patients. </w:t>
      </w:r>
    </w:p>
    <w:p w14:paraId="1C2018BB" w14:textId="77777777" w:rsidR="008721B2" w:rsidRPr="008721B2" w:rsidRDefault="008721B2" w:rsidP="00156C23">
      <w:pPr>
        <w:pStyle w:val="ListParagraph"/>
        <w:numPr>
          <w:ilvl w:val="0"/>
          <w:numId w:val="5"/>
        </w:numPr>
        <w:spacing w:after="0" w:line="360" w:lineRule="auto"/>
        <w:jc w:val="left"/>
        <w:rPr>
          <w:rFonts w:eastAsia="Calibri"/>
          <w:szCs w:val="28"/>
          <w:lang w:val="en-US"/>
        </w:rPr>
      </w:pPr>
      <w:r w:rsidRPr="008721B2">
        <w:rPr>
          <w:rFonts w:eastAsia="Calibri"/>
          <w:szCs w:val="28"/>
          <w:lang w:val="en-US"/>
        </w:rPr>
        <w:t xml:space="preserve">To compare NT-pro BNP levels between patients presenting with dyspnea and those without. </w:t>
      </w:r>
    </w:p>
    <w:p w14:paraId="341A7160" w14:textId="77777777" w:rsidR="008721B2" w:rsidRPr="008721B2" w:rsidRDefault="008721B2" w:rsidP="00156C23">
      <w:pPr>
        <w:pStyle w:val="ListParagraph"/>
        <w:numPr>
          <w:ilvl w:val="0"/>
          <w:numId w:val="5"/>
        </w:numPr>
        <w:spacing w:after="0" w:line="360" w:lineRule="auto"/>
        <w:jc w:val="left"/>
        <w:rPr>
          <w:rFonts w:eastAsia="Calibri"/>
          <w:szCs w:val="28"/>
          <w:lang w:val="en-US"/>
        </w:rPr>
      </w:pPr>
      <w:r w:rsidRPr="008721B2">
        <w:rPr>
          <w:rFonts w:eastAsia="Calibri"/>
          <w:szCs w:val="28"/>
          <w:lang w:val="en-US"/>
        </w:rPr>
        <w:t xml:space="preserve">To explore the association between NT-pro BNP levels and underlying medical conditions in dyspneic patients. </w:t>
      </w:r>
    </w:p>
    <w:p w14:paraId="0869F402" w14:textId="166176E2" w:rsidR="008721B2" w:rsidRPr="008721B2" w:rsidRDefault="008721B2" w:rsidP="00156C23">
      <w:pPr>
        <w:pStyle w:val="ListParagraph"/>
        <w:numPr>
          <w:ilvl w:val="0"/>
          <w:numId w:val="5"/>
        </w:numPr>
        <w:spacing w:after="0" w:line="360" w:lineRule="auto"/>
        <w:jc w:val="left"/>
        <w:rPr>
          <w:rFonts w:eastAsia="Calibri"/>
          <w:szCs w:val="28"/>
          <w:lang w:val="en-US"/>
        </w:rPr>
      </w:pPr>
      <w:r w:rsidRPr="008721B2">
        <w:rPr>
          <w:rFonts w:eastAsia="Calibri"/>
          <w:szCs w:val="28"/>
          <w:lang w:val="en-US"/>
        </w:rPr>
        <w:t>To analyze the correlation between NT-pro BNP levels and coexisting medical conditions in non-dyspneic patients.</w:t>
      </w:r>
    </w:p>
    <w:p w14:paraId="57192D4C" w14:textId="0D621FC8" w:rsidR="00786663" w:rsidRDefault="00786663" w:rsidP="00156C23">
      <w:pPr>
        <w:spacing w:after="0" w:line="360" w:lineRule="auto"/>
        <w:ind w:left="0" w:firstLine="0"/>
        <w:jc w:val="left"/>
        <w:rPr>
          <w:rFonts w:eastAsia="Calibri"/>
          <w:b/>
          <w:bCs/>
          <w:szCs w:val="24"/>
          <w:lang w:val="en-US"/>
        </w:rPr>
      </w:pPr>
      <w:r>
        <w:rPr>
          <w:rFonts w:eastAsia="Calibri"/>
          <w:b/>
          <w:bCs/>
          <w:szCs w:val="24"/>
          <w:lang w:val="en-US"/>
        </w:rPr>
        <w:t>METHODOLOGY:</w:t>
      </w:r>
    </w:p>
    <w:p w14:paraId="7C3C0DE7" w14:textId="04F0F982" w:rsidR="00786663" w:rsidRDefault="00786663" w:rsidP="00156C23">
      <w:pPr>
        <w:spacing w:after="0" w:line="360" w:lineRule="auto"/>
        <w:ind w:left="0" w:firstLine="0"/>
        <w:jc w:val="left"/>
        <w:rPr>
          <w:rFonts w:eastAsia="Calibri"/>
          <w:szCs w:val="24"/>
        </w:rPr>
      </w:pPr>
      <w:r w:rsidRPr="00786663">
        <w:rPr>
          <w:rFonts w:eastAsia="Calibri"/>
          <w:b/>
          <w:bCs/>
          <w:szCs w:val="24"/>
        </w:rPr>
        <w:t>Study Design</w:t>
      </w:r>
      <w:r>
        <w:rPr>
          <w:rFonts w:eastAsia="Calibri"/>
          <w:b/>
          <w:bCs/>
          <w:szCs w:val="24"/>
        </w:rPr>
        <w:t xml:space="preserve">: </w:t>
      </w:r>
      <w:r w:rsidR="007276D8">
        <w:rPr>
          <w:rFonts w:eastAsia="Calibri"/>
          <w:szCs w:val="24"/>
        </w:rPr>
        <w:t>O</w:t>
      </w:r>
      <w:r w:rsidRPr="00786663">
        <w:rPr>
          <w:rFonts w:eastAsia="Calibri"/>
          <w:szCs w:val="24"/>
        </w:rPr>
        <w:t>bservational study.</w:t>
      </w:r>
    </w:p>
    <w:p w14:paraId="26EE52B4" w14:textId="0A59EDC4" w:rsidR="00786663" w:rsidRPr="00786663" w:rsidRDefault="00786663" w:rsidP="00156C23">
      <w:pPr>
        <w:spacing w:after="0" w:line="360" w:lineRule="auto"/>
        <w:ind w:left="0" w:firstLine="0"/>
        <w:jc w:val="left"/>
        <w:rPr>
          <w:rFonts w:eastAsia="Calibri"/>
          <w:szCs w:val="24"/>
        </w:rPr>
      </w:pPr>
      <w:r w:rsidRPr="00786663">
        <w:rPr>
          <w:rFonts w:eastAsia="Calibri"/>
          <w:b/>
          <w:bCs/>
          <w:szCs w:val="24"/>
        </w:rPr>
        <w:t>Sample Size</w:t>
      </w:r>
      <w:r>
        <w:rPr>
          <w:rFonts w:eastAsia="Calibri"/>
          <w:b/>
          <w:bCs/>
          <w:szCs w:val="24"/>
        </w:rPr>
        <w:t xml:space="preserve">: </w:t>
      </w:r>
      <w:r w:rsidRPr="00786663">
        <w:rPr>
          <w:rFonts w:eastAsia="Calibri"/>
          <w:szCs w:val="24"/>
        </w:rPr>
        <w:t xml:space="preserve">A total of </w:t>
      </w:r>
      <w:r w:rsidR="008721B2">
        <w:rPr>
          <w:rFonts w:eastAsia="Calibri"/>
          <w:szCs w:val="24"/>
        </w:rPr>
        <w:t>200</w:t>
      </w:r>
      <w:r w:rsidRPr="00786663">
        <w:rPr>
          <w:rFonts w:eastAsia="Calibri"/>
          <w:szCs w:val="24"/>
        </w:rPr>
        <w:t xml:space="preserve"> subjects were included in the study.</w:t>
      </w:r>
    </w:p>
    <w:p w14:paraId="7F37CE22" w14:textId="740EE6A6" w:rsidR="00786663" w:rsidRPr="00786663" w:rsidRDefault="00786663" w:rsidP="00156C23">
      <w:pPr>
        <w:spacing w:after="0" w:line="360" w:lineRule="auto"/>
        <w:ind w:left="0" w:firstLine="0"/>
        <w:jc w:val="left"/>
        <w:rPr>
          <w:rFonts w:eastAsia="Calibri"/>
          <w:b/>
          <w:bCs/>
          <w:szCs w:val="24"/>
        </w:rPr>
      </w:pPr>
      <w:r w:rsidRPr="00786663">
        <w:rPr>
          <w:rFonts w:eastAsia="Calibri"/>
          <w:b/>
          <w:bCs/>
          <w:szCs w:val="24"/>
        </w:rPr>
        <w:t>Place of Study</w:t>
      </w:r>
      <w:r>
        <w:rPr>
          <w:rFonts w:eastAsia="Calibri"/>
          <w:b/>
          <w:bCs/>
          <w:szCs w:val="24"/>
        </w:rPr>
        <w:t xml:space="preserve">: </w:t>
      </w:r>
      <w:r w:rsidRPr="00786663">
        <w:rPr>
          <w:rFonts w:eastAsia="Calibri"/>
          <w:szCs w:val="24"/>
        </w:rPr>
        <w:t xml:space="preserve">The study was conducted at Continental Hospitals, located in </w:t>
      </w:r>
      <w:proofErr w:type="spellStart"/>
      <w:r w:rsidRPr="00786663">
        <w:rPr>
          <w:rFonts w:eastAsia="Calibri"/>
          <w:szCs w:val="24"/>
        </w:rPr>
        <w:t>Nanakramguda</w:t>
      </w:r>
      <w:proofErr w:type="spellEnd"/>
      <w:r w:rsidRPr="00786663">
        <w:rPr>
          <w:rFonts w:eastAsia="Calibri"/>
          <w:szCs w:val="24"/>
        </w:rPr>
        <w:t>, Gachibowli, Hyderabad, Telangana, India.</w:t>
      </w:r>
    </w:p>
    <w:p w14:paraId="67D55336" w14:textId="76A665CE" w:rsidR="00786663" w:rsidRPr="00786663" w:rsidRDefault="00786663" w:rsidP="00156C23">
      <w:pPr>
        <w:spacing w:after="0" w:line="360" w:lineRule="auto"/>
        <w:ind w:left="0" w:firstLine="0"/>
        <w:jc w:val="left"/>
        <w:rPr>
          <w:rFonts w:eastAsia="Calibri"/>
          <w:szCs w:val="24"/>
        </w:rPr>
      </w:pPr>
      <w:r w:rsidRPr="00786663">
        <w:rPr>
          <w:rFonts w:eastAsia="Calibri"/>
          <w:b/>
          <w:bCs/>
          <w:szCs w:val="24"/>
        </w:rPr>
        <w:t>Duration of the Study</w:t>
      </w:r>
      <w:r>
        <w:rPr>
          <w:rFonts w:eastAsia="Calibri"/>
          <w:b/>
          <w:bCs/>
          <w:szCs w:val="24"/>
        </w:rPr>
        <w:t xml:space="preserve">: </w:t>
      </w:r>
      <w:r w:rsidRPr="00786663">
        <w:rPr>
          <w:rFonts w:eastAsia="Calibri"/>
          <w:szCs w:val="24"/>
        </w:rPr>
        <w:t>Data was collected from patient records of individuals admitted over a period of six months.</w:t>
      </w:r>
    </w:p>
    <w:p w14:paraId="2D2045D6" w14:textId="588C7DE3" w:rsidR="00786663" w:rsidRPr="00786663" w:rsidRDefault="00786663" w:rsidP="00156C23">
      <w:pPr>
        <w:spacing w:after="0" w:line="360" w:lineRule="auto"/>
        <w:ind w:left="0" w:firstLine="0"/>
        <w:jc w:val="left"/>
        <w:rPr>
          <w:rFonts w:eastAsia="Calibri"/>
          <w:b/>
          <w:bCs/>
          <w:szCs w:val="24"/>
        </w:rPr>
      </w:pPr>
      <w:r w:rsidRPr="00786663">
        <w:rPr>
          <w:rFonts w:eastAsia="Calibri"/>
          <w:b/>
          <w:bCs/>
          <w:szCs w:val="24"/>
        </w:rPr>
        <w:lastRenderedPageBreak/>
        <w:t>Inclusion Criteria</w:t>
      </w:r>
      <w:r w:rsidR="008721B2">
        <w:rPr>
          <w:rFonts w:eastAsia="Calibri"/>
          <w:b/>
          <w:bCs/>
          <w:szCs w:val="24"/>
        </w:rPr>
        <w:t>:</w:t>
      </w:r>
    </w:p>
    <w:p w14:paraId="38DE9D96" w14:textId="4F5059A9" w:rsidR="008721B2" w:rsidRDefault="008721B2" w:rsidP="00156C23">
      <w:pPr>
        <w:spacing w:after="0" w:line="360" w:lineRule="auto"/>
        <w:ind w:left="0" w:firstLine="720"/>
        <w:rPr>
          <w:rFonts w:eastAsia="Calibri"/>
          <w:szCs w:val="24"/>
        </w:rPr>
      </w:pPr>
      <w:r w:rsidRPr="008721B2">
        <w:rPr>
          <w:rFonts w:eastAsia="Calibri"/>
          <w:szCs w:val="24"/>
        </w:rPr>
        <w:t>The study included patients aged 18 years and above who had a documented history of cardiovascular disease and other comorbid conditions. Individuals who presented with clinical symptoms such as chest pain, shortness of breath (SOB), or syncope were also considered. Additionally, critically ill patients admitted to intensive care units (ICUs), as well as those with a history of percutaneous coronary intervention (PCI) or surgical myocardial revascularization, were included in the study.</w:t>
      </w:r>
    </w:p>
    <w:p w14:paraId="4FF69E86" w14:textId="556FB0CD" w:rsidR="00786663" w:rsidRPr="00786663" w:rsidRDefault="00786663" w:rsidP="00156C23">
      <w:pPr>
        <w:spacing w:after="0" w:line="360" w:lineRule="auto"/>
        <w:ind w:left="0" w:firstLine="0"/>
        <w:jc w:val="left"/>
        <w:rPr>
          <w:rFonts w:eastAsia="Calibri"/>
          <w:b/>
          <w:bCs/>
          <w:szCs w:val="24"/>
        </w:rPr>
      </w:pPr>
      <w:r w:rsidRPr="00786663">
        <w:rPr>
          <w:rFonts w:eastAsia="Calibri"/>
          <w:b/>
          <w:bCs/>
          <w:szCs w:val="24"/>
        </w:rPr>
        <w:t>Exclusion Criteria</w:t>
      </w:r>
      <w:r>
        <w:rPr>
          <w:rFonts w:eastAsia="Calibri"/>
          <w:b/>
          <w:bCs/>
          <w:szCs w:val="24"/>
        </w:rPr>
        <w:t>:</w:t>
      </w:r>
    </w:p>
    <w:p w14:paraId="2DE4A179" w14:textId="77777777" w:rsidR="008721B2" w:rsidRDefault="008721B2" w:rsidP="00156C23">
      <w:pPr>
        <w:spacing w:after="0" w:line="360" w:lineRule="auto"/>
        <w:ind w:firstLine="652"/>
        <w:jc w:val="left"/>
        <w:rPr>
          <w:rFonts w:eastAsia="Calibri"/>
          <w:szCs w:val="24"/>
        </w:rPr>
      </w:pPr>
      <w:r w:rsidRPr="008721B2">
        <w:rPr>
          <w:rFonts w:eastAsia="Calibri"/>
          <w:szCs w:val="24"/>
        </w:rPr>
        <w:t>Patients with active cancer, a recent history of surgery or trauma, or those undergoing dialysis were excluded from the study. Individuals with known hepatic diseases and pregnant women were also not considered for inclusion. Additionally, patients who had signed a Do Not Resuscitate (DNR) form were excluded from participation.</w:t>
      </w:r>
    </w:p>
    <w:p w14:paraId="1C3CE86D" w14:textId="159FC8BC" w:rsidR="00BA706E" w:rsidRDefault="00BA706E" w:rsidP="00156C23">
      <w:pPr>
        <w:spacing w:after="0" w:line="360" w:lineRule="auto"/>
        <w:jc w:val="left"/>
        <w:rPr>
          <w:rFonts w:eastAsia="Calibri"/>
          <w:szCs w:val="24"/>
        </w:rPr>
      </w:pPr>
      <w:r w:rsidRPr="00BA706E">
        <w:rPr>
          <w:rFonts w:eastAsia="Calibri"/>
          <w:b/>
          <w:bCs/>
          <w:szCs w:val="24"/>
        </w:rPr>
        <w:t>Data collection:</w:t>
      </w:r>
      <w:r w:rsidRPr="00BA706E">
        <w:rPr>
          <w:rFonts w:eastAsia="Calibri"/>
          <w:szCs w:val="24"/>
        </w:rPr>
        <w:t xml:space="preserve"> </w:t>
      </w:r>
    </w:p>
    <w:p w14:paraId="301A61EC" w14:textId="77777777" w:rsidR="008721B2" w:rsidRDefault="008721B2" w:rsidP="00156C23">
      <w:pPr>
        <w:spacing w:after="0" w:line="360" w:lineRule="auto"/>
        <w:ind w:firstLine="652"/>
        <w:rPr>
          <w:rFonts w:eastAsia="Calibri"/>
          <w:szCs w:val="24"/>
        </w:rPr>
      </w:pPr>
      <w:r w:rsidRPr="008721B2">
        <w:rPr>
          <w:rFonts w:eastAsia="Calibri"/>
          <w:szCs w:val="24"/>
        </w:rPr>
        <w:t xml:space="preserve">A structured data collection form was specifically developed for the study to capture essential information, including demographic details, medical and medication history, laboratory investigations, and clinical diagnoses of the study participants. Relevant data were systematically collected and documented. Patients were enrolled based on the predefined inclusion and exclusion criteria. The gathered data were subsequently compiled and </w:t>
      </w:r>
      <w:proofErr w:type="spellStart"/>
      <w:r w:rsidRPr="008721B2">
        <w:rPr>
          <w:rFonts w:eastAsia="Calibri"/>
          <w:szCs w:val="24"/>
        </w:rPr>
        <w:t>analyzed</w:t>
      </w:r>
      <w:proofErr w:type="spellEnd"/>
      <w:r w:rsidRPr="008721B2">
        <w:rPr>
          <w:rFonts w:eastAsia="Calibri"/>
          <w:szCs w:val="24"/>
        </w:rPr>
        <w:t xml:space="preserve"> using appropriate statistical methods.</w:t>
      </w:r>
    </w:p>
    <w:p w14:paraId="42E7FC38" w14:textId="77777777" w:rsidR="00BA706E" w:rsidRDefault="00BA706E" w:rsidP="00156C23">
      <w:pPr>
        <w:spacing w:after="0" w:line="360" w:lineRule="auto"/>
        <w:jc w:val="left"/>
        <w:rPr>
          <w:rFonts w:eastAsia="Calibri"/>
          <w:szCs w:val="24"/>
        </w:rPr>
      </w:pPr>
      <w:r>
        <w:rPr>
          <w:rFonts w:eastAsia="Calibri"/>
          <w:b/>
          <w:bCs/>
          <w:szCs w:val="24"/>
        </w:rPr>
        <w:t>Statistical</w:t>
      </w:r>
      <w:r w:rsidRPr="00BA706E">
        <w:rPr>
          <w:rFonts w:eastAsia="Calibri"/>
          <w:b/>
          <w:bCs/>
          <w:szCs w:val="24"/>
        </w:rPr>
        <w:t xml:space="preserve"> Analysis:</w:t>
      </w:r>
      <w:r w:rsidRPr="00BA706E">
        <w:rPr>
          <w:rFonts w:eastAsia="Calibri"/>
          <w:szCs w:val="24"/>
        </w:rPr>
        <w:t xml:space="preserve"> </w:t>
      </w:r>
    </w:p>
    <w:p w14:paraId="600FF6E3" w14:textId="77777777" w:rsidR="00575C94" w:rsidRDefault="00575C94" w:rsidP="00156C23">
      <w:pPr>
        <w:spacing w:after="0" w:line="360" w:lineRule="auto"/>
        <w:ind w:left="0" w:firstLine="720"/>
        <w:jc w:val="left"/>
        <w:rPr>
          <w:rFonts w:eastAsia="Calibri"/>
          <w:szCs w:val="24"/>
        </w:rPr>
      </w:pPr>
      <w:r w:rsidRPr="00575C94">
        <w:rPr>
          <w:rFonts w:eastAsia="Calibri"/>
          <w:szCs w:val="24"/>
        </w:rPr>
        <w:t>Statistical analysis was performed using specialized software, and the t-test was applied to assess NT-</w:t>
      </w:r>
      <w:proofErr w:type="spellStart"/>
      <w:r w:rsidRPr="00575C94">
        <w:rPr>
          <w:rFonts w:eastAsia="Calibri"/>
          <w:szCs w:val="24"/>
        </w:rPr>
        <w:t>proBNP</w:t>
      </w:r>
      <w:proofErr w:type="spellEnd"/>
      <w:r w:rsidRPr="00575C94">
        <w:rPr>
          <w:rFonts w:eastAsia="Calibri"/>
          <w:szCs w:val="24"/>
        </w:rPr>
        <w:t xml:space="preserve"> levels.</w:t>
      </w:r>
    </w:p>
    <w:p w14:paraId="44C89163" w14:textId="4EA66225" w:rsidR="00786663" w:rsidRDefault="00786663" w:rsidP="00156C23">
      <w:pPr>
        <w:spacing w:after="0" w:line="360" w:lineRule="auto"/>
        <w:ind w:left="0" w:firstLine="0"/>
        <w:jc w:val="left"/>
        <w:rPr>
          <w:rFonts w:eastAsia="Calibri"/>
          <w:b/>
          <w:bCs/>
          <w:szCs w:val="24"/>
          <w:lang w:val="en-US"/>
        </w:rPr>
      </w:pPr>
      <w:r>
        <w:rPr>
          <w:rFonts w:eastAsia="Calibri"/>
          <w:b/>
          <w:bCs/>
          <w:szCs w:val="24"/>
          <w:lang w:val="en-US"/>
        </w:rPr>
        <w:t>RESULTS &amp; DISCUSSION:</w:t>
      </w:r>
    </w:p>
    <w:p w14:paraId="45EEB421" w14:textId="5F691588" w:rsidR="00575C94" w:rsidRDefault="00D30A81" w:rsidP="00156C23">
      <w:pPr>
        <w:spacing w:after="0" w:line="360" w:lineRule="auto"/>
        <w:ind w:left="0" w:firstLine="0"/>
        <w:rPr>
          <w:rFonts w:eastAsia="Calibri"/>
          <w:szCs w:val="24"/>
          <w:lang w:val="en-US"/>
        </w:rPr>
      </w:pPr>
      <w:r>
        <w:rPr>
          <w:rFonts w:eastAsia="Calibri"/>
          <w:szCs w:val="24"/>
          <w:lang w:val="en-US"/>
        </w:rPr>
        <w:tab/>
      </w:r>
      <w:r w:rsidR="00575C94" w:rsidRPr="00575C94">
        <w:rPr>
          <w:rFonts w:eastAsia="Calibri"/>
          <w:szCs w:val="24"/>
          <w:lang w:val="en-US"/>
        </w:rPr>
        <w:t>Out of the total 200 patients, 122 were male and 78 were female, representing approximately 61.0% and 39.0% respectively. This indicates a male predominance in the study population. Similarly, a study conducted by Daniels LB, Clopton P, et al. reported higher NT-</w:t>
      </w:r>
      <w:proofErr w:type="spellStart"/>
      <w:r w:rsidR="00575C94" w:rsidRPr="00575C94">
        <w:rPr>
          <w:rFonts w:eastAsia="Calibri"/>
          <w:szCs w:val="24"/>
          <w:lang w:val="en-US"/>
        </w:rPr>
        <w:t>proBNP</w:t>
      </w:r>
      <w:proofErr w:type="spellEnd"/>
      <w:r w:rsidR="00575C94" w:rsidRPr="00575C94">
        <w:rPr>
          <w:rFonts w:eastAsia="Calibri"/>
          <w:szCs w:val="24"/>
          <w:lang w:val="en-US"/>
        </w:rPr>
        <w:t xml:space="preserve"> levels in males compared to females, attributing this difference to hormonal variations, particularly the lower estrogen levels observed in men</w:t>
      </w:r>
      <w:r w:rsidR="00F94C18">
        <w:rPr>
          <w:rFonts w:eastAsia="Calibri"/>
          <w:szCs w:val="24"/>
          <w:lang w:val="en-US"/>
        </w:rPr>
        <w:t xml:space="preserve"> </w:t>
      </w:r>
      <w:r w:rsidR="00F94C18">
        <w:rPr>
          <w:rFonts w:eastAsia="Calibri"/>
          <w:szCs w:val="24"/>
          <w:vertAlign w:val="superscript"/>
          <w:lang w:val="en-US"/>
        </w:rPr>
        <w:t>9</w:t>
      </w:r>
      <w:r w:rsidR="00575C94" w:rsidRPr="00575C94">
        <w:rPr>
          <w:rFonts w:eastAsia="Calibri"/>
          <w:szCs w:val="24"/>
          <w:lang w:val="en-US"/>
        </w:rPr>
        <w:t>.</w:t>
      </w:r>
      <w:r w:rsidR="00575C94">
        <w:rPr>
          <w:rFonts w:eastAsia="Calibri"/>
          <w:szCs w:val="24"/>
          <w:lang w:val="en-US"/>
        </w:rPr>
        <w:t xml:space="preserve"> </w:t>
      </w:r>
      <w:r w:rsidR="00575C94" w:rsidRPr="00575C94">
        <w:rPr>
          <w:rFonts w:eastAsia="Calibri"/>
          <w:szCs w:val="24"/>
          <w:lang w:val="en-US"/>
        </w:rPr>
        <w:t>NT-</w:t>
      </w:r>
      <w:proofErr w:type="spellStart"/>
      <w:r w:rsidR="00575C94" w:rsidRPr="00575C94">
        <w:rPr>
          <w:rFonts w:eastAsia="Calibri"/>
          <w:szCs w:val="24"/>
          <w:lang w:val="en-US"/>
        </w:rPr>
        <w:t>proBNP</w:t>
      </w:r>
      <w:proofErr w:type="spellEnd"/>
      <w:r w:rsidR="00575C94" w:rsidRPr="00575C94">
        <w:rPr>
          <w:rFonts w:eastAsia="Calibri"/>
          <w:szCs w:val="24"/>
          <w:lang w:val="en-US"/>
        </w:rPr>
        <w:t xml:space="preserve"> screening was most frequent in the 61–70 age group (30.5%), followed by the 71–80 age group (24.0%). The mean age of the study population was 60.5 years.</w:t>
      </w:r>
      <w:r w:rsidR="00575C94">
        <w:rPr>
          <w:rFonts w:eastAsia="Calibri"/>
          <w:szCs w:val="24"/>
          <w:lang w:val="en-US"/>
        </w:rPr>
        <w:t xml:space="preserve"> </w:t>
      </w:r>
    </w:p>
    <w:p w14:paraId="317AAAA1" w14:textId="084D0FDD" w:rsidR="00575C94" w:rsidRDefault="00575C94" w:rsidP="00156C23">
      <w:pPr>
        <w:spacing w:after="0" w:line="360" w:lineRule="auto"/>
        <w:ind w:left="0" w:firstLine="720"/>
        <w:rPr>
          <w:rFonts w:eastAsia="Calibri"/>
          <w:szCs w:val="24"/>
          <w:lang w:val="en-US"/>
        </w:rPr>
      </w:pPr>
      <w:r w:rsidRPr="00575C94">
        <w:rPr>
          <w:rFonts w:eastAsia="Calibri"/>
          <w:szCs w:val="24"/>
          <w:lang w:val="en-US"/>
        </w:rPr>
        <w:t>Among the clinical symptoms assessed—dyspnea, cough, swelling, chest pain, and sweating—dyspnea was the most common, observed in 138 patients (35.7%) out of 200. This was followed by cough in 113 patients (29.2%), swelling in 61 patients (15.8%), chest pain in 58 patients (15%), and sweating in 17 patients (4.4%).</w:t>
      </w:r>
      <w:r>
        <w:rPr>
          <w:rFonts w:eastAsia="Calibri"/>
          <w:szCs w:val="24"/>
          <w:lang w:val="en-US"/>
        </w:rPr>
        <w:t xml:space="preserve"> </w:t>
      </w:r>
      <w:r w:rsidRPr="00575C94">
        <w:rPr>
          <w:rFonts w:eastAsia="Calibri"/>
          <w:szCs w:val="24"/>
          <w:lang w:val="en-US"/>
        </w:rPr>
        <w:t>A study by Martinez-</w:t>
      </w:r>
      <w:proofErr w:type="spellStart"/>
      <w:r w:rsidRPr="00575C94">
        <w:rPr>
          <w:rFonts w:eastAsia="Calibri"/>
          <w:szCs w:val="24"/>
          <w:lang w:val="en-US"/>
        </w:rPr>
        <w:t>Rumayor</w:t>
      </w:r>
      <w:proofErr w:type="spellEnd"/>
      <w:r w:rsidRPr="00575C94">
        <w:rPr>
          <w:rFonts w:eastAsia="Calibri"/>
          <w:szCs w:val="24"/>
          <w:lang w:val="en-US"/>
        </w:rPr>
        <w:t xml:space="preserve"> et al. reported a 65% prevalence of dyspnea among patients with congestive heart failure (CHF), underscoring its importance as a key clinical manifestation in heart failure cases.</w:t>
      </w:r>
      <w:r w:rsidR="00F94C18">
        <w:rPr>
          <w:rFonts w:eastAsia="Calibri"/>
          <w:szCs w:val="24"/>
          <w:lang w:val="en-US"/>
        </w:rPr>
        <w:t xml:space="preserve"> </w:t>
      </w:r>
    </w:p>
    <w:p w14:paraId="621A0ED1" w14:textId="70DE4AE1" w:rsidR="00786663" w:rsidRDefault="00D30A81" w:rsidP="00156C23">
      <w:pPr>
        <w:spacing w:after="0" w:line="360" w:lineRule="auto"/>
        <w:ind w:left="0" w:firstLine="720"/>
        <w:rPr>
          <w:rFonts w:eastAsia="Calibri"/>
          <w:szCs w:val="24"/>
          <w:lang w:val="en-US"/>
        </w:rPr>
      </w:pPr>
      <w:r w:rsidRPr="006A605A">
        <w:rPr>
          <w:rFonts w:eastAsia="Calibri"/>
          <w:b/>
          <w:bCs/>
          <w:szCs w:val="24"/>
          <w:lang w:val="en-US"/>
        </w:rPr>
        <w:t>Table 1</w:t>
      </w:r>
      <w:r w:rsidRPr="00D30A81">
        <w:rPr>
          <w:rFonts w:eastAsia="Calibri"/>
          <w:szCs w:val="24"/>
          <w:lang w:val="en-US"/>
        </w:rPr>
        <w:t xml:space="preserve"> indicates that </w:t>
      </w:r>
      <w:r w:rsidR="00055A36" w:rsidRPr="00055A36">
        <w:rPr>
          <w:rFonts w:eastAsia="Calibri"/>
          <w:szCs w:val="24"/>
          <w:lang w:val="en-US"/>
        </w:rPr>
        <w:t xml:space="preserve">Troponin-I (Trop-I) was elevated in 64.3% of patients (n = 142), while D-Dimer levels were elevated in </w:t>
      </w:r>
      <w:r w:rsidR="007276D8">
        <w:rPr>
          <w:rFonts w:eastAsia="Calibri"/>
          <w:szCs w:val="24"/>
          <w:lang w:val="en-US"/>
        </w:rPr>
        <w:t>79</w:t>
      </w:r>
      <w:r w:rsidR="00055A36" w:rsidRPr="00055A36">
        <w:rPr>
          <w:rFonts w:eastAsia="Calibri"/>
          <w:szCs w:val="24"/>
          <w:lang w:val="en-US"/>
        </w:rPr>
        <w:t xml:space="preserve"> patients (</w:t>
      </w:r>
      <w:r w:rsidR="007276D8" w:rsidRPr="00055A36">
        <w:rPr>
          <w:rFonts w:eastAsia="Calibri"/>
          <w:szCs w:val="24"/>
          <w:lang w:val="en-US"/>
        </w:rPr>
        <w:t>35.7%</w:t>
      </w:r>
      <w:r w:rsidR="00055A36" w:rsidRPr="00055A36">
        <w:rPr>
          <w:rFonts w:eastAsia="Calibri"/>
          <w:szCs w:val="24"/>
          <w:lang w:val="en-US"/>
        </w:rPr>
        <w:t>).</w:t>
      </w:r>
      <w:r w:rsidR="00055A36">
        <w:rPr>
          <w:rFonts w:eastAsia="Calibri"/>
          <w:szCs w:val="24"/>
          <w:lang w:val="en-US"/>
        </w:rPr>
        <w:t xml:space="preserve"> </w:t>
      </w:r>
      <w:r w:rsidR="00055A36" w:rsidRPr="00055A36">
        <w:rPr>
          <w:rFonts w:eastAsia="Calibri"/>
          <w:szCs w:val="24"/>
          <w:lang w:val="en-US"/>
        </w:rPr>
        <w:t>All three biomarkers—NT-</w:t>
      </w:r>
      <w:proofErr w:type="spellStart"/>
      <w:r w:rsidR="00055A36" w:rsidRPr="00055A36">
        <w:rPr>
          <w:rFonts w:eastAsia="Calibri"/>
          <w:szCs w:val="24"/>
          <w:lang w:val="en-US"/>
        </w:rPr>
        <w:t>proBNP</w:t>
      </w:r>
      <w:proofErr w:type="spellEnd"/>
      <w:r w:rsidR="00055A36" w:rsidRPr="00055A36">
        <w:rPr>
          <w:rFonts w:eastAsia="Calibri"/>
          <w:szCs w:val="24"/>
          <w:lang w:val="en-US"/>
        </w:rPr>
        <w:t>, Troponin-I, and D-Dimer—were screened in 61 out of the 200 subjects included in the study.</w:t>
      </w:r>
      <w:r w:rsidR="00055A36">
        <w:rPr>
          <w:rFonts w:eastAsia="Calibri"/>
          <w:szCs w:val="24"/>
          <w:lang w:val="en-US"/>
        </w:rPr>
        <w:t xml:space="preserve"> </w:t>
      </w:r>
      <w:r w:rsidR="004463DF">
        <w:rPr>
          <w:rFonts w:eastAsia="Calibri"/>
          <w:szCs w:val="24"/>
          <w:lang w:val="en-US"/>
        </w:rPr>
        <w:t>Table 2 shows that</w:t>
      </w:r>
      <w:r w:rsidR="004463DF" w:rsidRPr="004463DF">
        <w:rPr>
          <w:rFonts w:eastAsia="Calibri"/>
          <w:szCs w:val="24"/>
          <w:lang w:val="en-US"/>
        </w:rPr>
        <w:t xml:space="preserve"> 200 patients evaluated, </w:t>
      </w:r>
      <w:r w:rsidR="004463DF" w:rsidRPr="004463DF">
        <w:rPr>
          <w:rFonts w:eastAsia="Calibri"/>
          <w:szCs w:val="24"/>
          <w:lang w:val="en-US"/>
        </w:rPr>
        <w:lastRenderedPageBreak/>
        <w:t>NT-</w:t>
      </w:r>
      <w:proofErr w:type="spellStart"/>
      <w:r w:rsidR="004463DF" w:rsidRPr="004463DF">
        <w:rPr>
          <w:rFonts w:eastAsia="Calibri"/>
          <w:szCs w:val="24"/>
          <w:lang w:val="en-US"/>
        </w:rPr>
        <w:t>proBNP</w:t>
      </w:r>
      <w:proofErr w:type="spellEnd"/>
      <w:r w:rsidR="004463DF" w:rsidRPr="004463DF">
        <w:rPr>
          <w:rFonts w:eastAsia="Calibri"/>
          <w:szCs w:val="24"/>
          <w:lang w:val="en-US"/>
        </w:rPr>
        <w:t xml:space="preserve"> levels were assessed in all cases, with 182 patients (78.5%) showing abnormal levels and 18 patients (21.5%) falling within the normal range. Troponin-I (Trop-I) was screened in 142 patients, of which 99 (44.83%) had abnormal values and 43 (19.47%) had normal levels. D-Dimer was tested in 79 patients, revealing abnormal levels in 62 patients (28.01%) and normal levels in 17 patients (7.68%).</w:t>
      </w:r>
      <w:r w:rsidR="004463DF">
        <w:rPr>
          <w:rFonts w:eastAsia="Calibri"/>
          <w:szCs w:val="24"/>
          <w:lang w:val="en-US"/>
        </w:rPr>
        <w:t xml:space="preserve"> </w:t>
      </w:r>
      <w:r w:rsidR="004463DF" w:rsidRPr="004463DF">
        <w:rPr>
          <w:rFonts w:eastAsia="Calibri"/>
          <w:szCs w:val="24"/>
          <w:lang w:val="en-US"/>
        </w:rPr>
        <w:t>In a study by Celia Maria Cassaro Strunz et al., elevated Troponin-I levels were linked to increased risk of death and heart failure hospitalization in 53.3% of stable CAD patients. Byung Sik Kim et al. reported abnormal D-Dimer levels in 63.3% of screened patients, associating it with higher risks of heart disease, stroke, and kidney disease. Hendricks et al. found that elevated NT-</w:t>
      </w:r>
      <w:proofErr w:type="spellStart"/>
      <w:r w:rsidR="004463DF" w:rsidRPr="004463DF">
        <w:rPr>
          <w:rFonts w:eastAsia="Calibri"/>
          <w:szCs w:val="24"/>
          <w:lang w:val="en-US"/>
        </w:rPr>
        <w:t>proBNP</w:t>
      </w:r>
      <w:proofErr w:type="spellEnd"/>
      <w:r w:rsidR="004463DF" w:rsidRPr="004463DF">
        <w:rPr>
          <w:rFonts w:eastAsia="Calibri"/>
          <w:szCs w:val="24"/>
          <w:lang w:val="en-US"/>
        </w:rPr>
        <w:t xml:space="preserve"> levels were significantly associated with increased cardiovascular events and mortality, highlighting its vital role in clinical assessment.</w:t>
      </w:r>
      <w:r w:rsidR="00F94C18">
        <w:rPr>
          <w:rFonts w:eastAsia="Calibri"/>
          <w:szCs w:val="24"/>
          <w:lang w:val="en-US"/>
        </w:rPr>
        <w:t xml:space="preserve"> </w:t>
      </w:r>
    </w:p>
    <w:p w14:paraId="0C19896A" w14:textId="7F86D9A8" w:rsidR="00055A36" w:rsidRDefault="0065184B" w:rsidP="00156C23">
      <w:pPr>
        <w:spacing w:after="0" w:line="360" w:lineRule="auto"/>
        <w:ind w:left="0" w:firstLine="720"/>
        <w:rPr>
          <w:rFonts w:eastAsia="Calibri"/>
          <w:szCs w:val="24"/>
          <w:lang w:val="en-US"/>
        </w:rPr>
      </w:pPr>
      <w:r w:rsidRPr="0065184B">
        <w:rPr>
          <w:rFonts w:eastAsia="Calibri"/>
          <w:szCs w:val="24"/>
          <w:lang w:val="en-US"/>
        </w:rPr>
        <w:t>Out of the 200 patients (100%) screened for NT-</w:t>
      </w:r>
      <w:proofErr w:type="spellStart"/>
      <w:r w:rsidRPr="0065184B">
        <w:rPr>
          <w:rFonts w:eastAsia="Calibri"/>
          <w:szCs w:val="24"/>
          <w:lang w:val="en-US"/>
        </w:rPr>
        <w:t>proBNP</w:t>
      </w:r>
      <w:proofErr w:type="spellEnd"/>
      <w:r w:rsidRPr="0065184B">
        <w:rPr>
          <w:rFonts w:eastAsia="Calibri"/>
          <w:szCs w:val="24"/>
          <w:lang w:val="en-US"/>
        </w:rPr>
        <w:t>, the test was performed only once in the majority of cases, accounting for 153 patients (77%). Among these 200 patients, 138 (69%) presented with dyspnea, while the remaining 62 (31%) did not report any symptoms of dyspnea.</w:t>
      </w:r>
      <w:r w:rsidR="00EC77E4">
        <w:rPr>
          <w:rFonts w:eastAsia="Calibri"/>
          <w:szCs w:val="24"/>
          <w:lang w:val="en-US"/>
        </w:rPr>
        <w:t xml:space="preserve"> Table 3 shows that </w:t>
      </w:r>
      <w:r w:rsidR="00EC77E4" w:rsidRPr="00EC77E4">
        <w:rPr>
          <w:rFonts w:eastAsia="Calibri"/>
          <w:szCs w:val="24"/>
          <w:lang w:val="en-US"/>
        </w:rPr>
        <w:t>the 138 patients with dyspnea, 121 (87.7%) had abnormal NT-</w:t>
      </w:r>
      <w:proofErr w:type="spellStart"/>
      <w:r w:rsidR="00EC77E4" w:rsidRPr="00EC77E4">
        <w:rPr>
          <w:rFonts w:eastAsia="Calibri"/>
          <w:szCs w:val="24"/>
          <w:lang w:val="en-US"/>
        </w:rPr>
        <w:t>proBNP</w:t>
      </w:r>
      <w:proofErr w:type="spellEnd"/>
      <w:r w:rsidR="00EC77E4" w:rsidRPr="00EC77E4">
        <w:rPr>
          <w:rFonts w:eastAsia="Calibri"/>
          <w:szCs w:val="24"/>
          <w:lang w:val="en-US"/>
        </w:rPr>
        <w:t xml:space="preserve"> levels (&gt;400 </w:t>
      </w:r>
      <w:proofErr w:type="spellStart"/>
      <w:r w:rsidR="00EC77E4" w:rsidRPr="00EC77E4">
        <w:rPr>
          <w:rFonts w:eastAsia="Calibri"/>
          <w:szCs w:val="24"/>
          <w:lang w:val="en-US"/>
        </w:rPr>
        <w:t>pg</w:t>
      </w:r>
      <w:proofErr w:type="spellEnd"/>
      <w:r w:rsidR="00EC77E4" w:rsidRPr="00EC77E4">
        <w:rPr>
          <w:rFonts w:eastAsia="Calibri"/>
          <w:szCs w:val="24"/>
          <w:lang w:val="en-US"/>
        </w:rPr>
        <w:t xml:space="preserve">/ml), while 17 (12.3%) had normal levels (&lt;400 </w:t>
      </w:r>
      <w:proofErr w:type="spellStart"/>
      <w:r w:rsidR="00EC77E4" w:rsidRPr="00EC77E4">
        <w:rPr>
          <w:rFonts w:eastAsia="Calibri"/>
          <w:szCs w:val="24"/>
          <w:lang w:val="en-US"/>
        </w:rPr>
        <w:t>pg</w:t>
      </w:r>
      <w:proofErr w:type="spellEnd"/>
      <w:r w:rsidR="00EC77E4" w:rsidRPr="00EC77E4">
        <w:rPr>
          <w:rFonts w:eastAsia="Calibri"/>
          <w:szCs w:val="24"/>
          <w:lang w:val="en-US"/>
        </w:rPr>
        <w:t>/ml). In comparison, among the 62 patients without dyspnea, 56 (90.3%) had abnormal NT-</w:t>
      </w:r>
      <w:proofErr w:type="spellStart"/>
      <w:r w:rsidR="00EC77E4" w:rsidRPr="00EC77E4">
        <w:rPr>
          <w:rFonts w:eastAsia="Calibri"/>
          <w:szCs w:val="24"/>
          <w:lang w:val="en-US"/>
        </w:rPr>
        <w:t>proBNP</w:t>
      </w:r>
      <w:proofErr w:type="spellEnd"/>
      <w:r w:rsidR="00EC77E4" w:rsidRPr="00EC77E4">
        <w:rPr>
          <w:rFonts w:eastAsia="Calibri"/>
          <w:szCs w:val="24"/>
          <w:lang w:val="en-US"/>
        </w:rPr>
        <w:t xml:space="preserve"> levels and 6 (9.7%) had normal levels. This indicates a high prevalence of elevated NT-</w:t>
      </w:r>
      <w:proofErr w:type="spellStart"/>
      <w:r w:rsidR="00EC77E4" w:rsidRPr="00EC77E4">
        <w:rPr>
          <w:rFonts w:eastAsia="Calibri"/>
          <w:szCs w:val="24"/>
          <w:lang w:val="en-US"/>
        </w:rPr>
        <w:t>proBNP</w:t>
      </w:r>
      <w:proofErr w:type="spellEnd"/>
      <w:r w:rsidR="00EC77E4" w:rsidRPr="00EC77E4">
        <w:rPr>
          <w:rFonts w:eastAsia="Calibri"/>
          <w:szCs w:val="24"/>
          <w:lang w:val="en-US"/>
        </w:rPr>
        <w:t xml:space="preserve"> levels in both dyspneic and non-dyspneic patients.</w:t>
      </w:r>
    </w:p>
    <w:p w14:paraId="11F13BC4" w14:textId="45FA5043" w:rsidR="00EC77E4" w:rsidRDefault="005E7C01" w:rsidP="00156C23">
      <w:pPr>
        <w:spacing w:after="0" w:line="360" w:lineRule="auto"/>
        <w:ind w:left="0" w:firstLine="720"/>
        <w:rPr>
          <w:rFonts w:eastAsia="Calibri"/>
          <w:szCs w:val="24"/>
          <w:lang w:val="en-US"/>
        </w:rPr>
      </w:pPr>
      <w:r>
        <w:rPr>
          <w:rFonts w:eastAsia="Calibri"/>
          <w:szCs w:val="24"/>
          <w:lang w:val="en-US"/>
        </w:rPr>
        <w:t>Table 4 indicated that o</w:t>
      </w:r>
      <w:r w:rsidR="00EC77E4" w:rsidRPr="00EC77E4">
        <w:rPr>
          <w:rFonts w:eastAsia="Calibri"/>
          <w:szCs w:val="24"/>
          <w:lang w:val="en-US"/>
        </w:rPr>
        <w:t>ut of the 138 patients (69%) presenting with dyspnea, the majority (n=64) with abnormal NT-</w:t>
      </w:r>
      <w:proofErr w:type="spellStart"/>
      <w:r w:rsidR="00EC77E4" w:rsidRPr="00EC77E4">
        <w:rPr>
          <w:rFonts w:eastAsia="Calibri"/>
          <w:szCs w:val="24"/>
          <w:lang w:val="en-US"/>
        </w:rPr>
        <w:t>proBNP</w:t>
      </w:r>
      <w:proofErr w:type="spellEnd"/>
      <w:r w:rsidR="00EC77E4" w:rsidRPr="00EC77E4">
        <w:rPr>
          <w:rFonts w:eastAsia="Calibri"/>
          <w:szCs w:val="24"/>
          <w:lang w:val="en-US"/>
        </w:rPr>
        <w:t xml:space="preserve"> levels were diagnosed primarily with respiratory conditions, followed by 44 patients with cardiovascular conditions as the primary diagnosis. Among the 64 dyspneic patients with respiratory illnesses, 40 had lower respiratory tract infections (LRTI) and 14 had chronic obstructive pulmonary disease (COPD), all showing elevated NT-</w:t>
      </w:r>
      <w:proofErr w:type="spellStart"/>
      <w:r w:rsidR="00EC77E4" w:rsidRPr="00EC77E4">
        <w:rPr>
          <w:rFonts w:eastAsia="Calibri"/>
          <w:szCs w:val="24"/>
          <w:lang w:val="en-US"/>
        </w:rPr>
        <w:t>proBNP</w:t>
      </w:r>
      <w:proofErr w:type="spellEnd"/>
      <w:r w:rsidR="00EC77E4" w:rsidRPr="00EC77E4">
        <w:rPr>
          <w:rFonts w:eastAsia="Calibri"/>
          <w:szCs w:val="24"/>
          <w:lang w:val="en-US"/>
        </w:rPr>
        <w:t xml:space="preserve"> levels. In a study by </w:t>
      </w:r>
      <w:proofErr w:type="spellStart"/>
      <w:r w:rsidR="00EC77E4" w:rsidRPr="00EC77E4">
        <w:rPr>
          <w:rFonts w:eastAsia="Calibri"/>
          <w:szCs w:val="24"/>
          <w:lang w:val="en-US"/>
        </w:rPr>
        <w:t>Fengming</w:t>
      </w:r>
      <w:proofErr w:type="spellEnd"/>
      <w:r w:rsidR="00EC77E4" w:rsidRPr="00EC77E4">
        <w:rPr>
          <w:rFonts w:eastAsia="Calibri"/>
          <w:szCs w:val="24"/>
          <w:lang w:val="en-US"/>
        </w:rPr>
        <w:t xml:space="preserve"> Tian et al., NT-</w:t>
      </w:r>
      <w:proofErr w:type="spellStart"/>
      <w:r w:rsidR="00EC77E4" w:rsidRPr="00EC77E4">
        <w:rPr>
          <w:rFonts w:eastAsia="Calibri"/>
          <w:szCs w:val="24"/>
          <w:lang w:val="en-US"/>
        </w:rPr>
        <w:t>proBNP</w:t>
      </w:r>
      <w:proofErr w:type="spellEnd"/>
      <w:r w:rsidR="00EC77E4" w:rsidRPr="00EC77E4">
        <w:rPr>
          <w:rFonts w:eastAsia="Calibri"/>
          <w:szCs w:val="24"/>
          <w:lang w:val="en-US"/>
        </w:rPr>
        <w:t xml:space="preserve"> levels &gt;400 </w:t>
      </w:r>
      <w:proofErr w:type="spellStart"/>
      <w:r w:rsidR="00EC77E4" w:rsidRPr="00EC77E4">
        <w:rPr>
          <w:rFonts w:eastAsia="Calibri"/>
          <w:szCs w:val="24"/>
          <w:lang w:val="en-US"/>
        </w:rPr>
        <w:t>pg</w:t>
      </w:r>
      <w:proofErr w:type="spellEnd"/>
      <w:r w:rsidR="00EC77E4" w:rsidRPr="00EC77E4">
        <w:rPr>
          <w:rFonts w:eastAsia="Calibri"/>
          <w:szCs w:val="24"/>
          <w:lang w:val="en-US"/>
        </w:rPr>
        <w:t>/ml were found to be elevated in COPD patients with dyspnea. However, in our study, higher NT-</w:t>
      </w:r>
      <w:proofErr w:type="spellStart"/>
      <w:r w:rsidR="00EC77E4" w:rsidRPr="00EC77E4">
        <w:rPr>
          <w:rFonts w:eastAsia="Calibri"/>
          <w:szCs w:val="24"/>
          <w:lang w:val="en-US"/>
        </w:rPr>
        <w:t>proBNP</w:t>
      </w:r>
      <w:proofErr w:type="spellEnd"/>
      <w:r w:rsidR="00EC77E4" w:rsidRPr="00EC77E4">
        <w:rPr>
          <w:rFonts w:eastAsia="Calibri"/>
          <w:szCs w:val="24"/>
          <w:lang w:val="en-US"/>
        </w:rPr>
        <w:t xml:space="preserve"> levels were observed more frequently in patients with LRTI, followed by COPD, highlighting the importance of cardiac monitoring in respiratory illnesses.</w:t>
      </w:r>
    </w:p>
    <w:p w14:paraId="1DE592B9" w14:textId="30141C31" w:rsidR="00EC77E4" w:rsidRDefault="00EC77E4" w:rsidP="00156C23">
      <w:pPr>
        <w:spacing w:after="0" w:line="360" w:lineRule="auto"/>
        <w:ind w:left="0" w:firstLine="720"/>
        <w:rPr>
          <w:rFonts w:eastAsia="Calibri"/>
          <w:szCs w:val="24"/>
          <w:lang w:val="en-US"/>
        </w:rPr>
      </w:pPr>
      <w:r w:rsidRPr="00EC77E4">
        <w:rPr>
          <w:rFonts w:eastAsia="Calibri"/>
          <w:szCs w:val="24"/>
          <w:lang w:val="en-US"/>
        </w:rPr>
        <w:t>The overall dataset included 99 patients with respiratory conditions as the primary diagnosis, of whom 74 (74.7%) also had cardiovascular comorbidities, while 25 (25.3%) did not. These findings highlight the significant overlap between respiratory and cardiovascular conditions, emphasizing the interconnected nature of these systems in clinical practice</w:t>
      </w:r>
      <w:r>
        <w:rPr>
          <w:rFonts w:eastAsia="Calibri"/>
          <w:szCs w:val="24"/>
          <w:lang w:val="en-US"/>
        </w:rPr>
        <w:t xml:space="preserve">. </w:t>
      </w:r>
      <w:r w:rsidRPr="00EC77E4">
        <w:rPr>
          <w:rFonts w:eastAsia="Calibri"/>
          <w:szCs w:val="24"/>
          <w:lang w:val="en-US"/>
        </w:rPr>
        <w:t xml:space="preserve">Among 58 dyspneic patients with respiratory conditions and coexisting cardiovascular (CVS) comorbidities, LRTI was the most common primary diagnosis, accounting for 36 cases. </w:t>
      </w:r>
      <w:r w:rsidR="005E7C01">
        <w:rPr>
          <w:rFonts w:eastAsia="Calibri"/>
          <w:szCs w:val="24"/>
          <w:lang w:val="en-US"/>
        </w:rPr>
        <w:t>Figure 1 indicated that</w:t>
      </w:r>
      <w:r w:rsidRPr="00EC77E4">
        <w:rPr>
          <w:rFonts w:eastAsia="Calibri"/>
          <w:szCs w:val="24"/>
          <w:lang w:val="en-US"/>
        </w:rPr>
        <w:t xml:space="preserve"> among 19 dyspneic patients with respiratory conditions but without CVS comorbidities, LRTI also predominated, with 13 cases, indicating it as a major contributor to dyspnea regardless of cardiovascular involvement. Additionally, out of 44 patients with abnormal NT-</w:t>
      </w:r>
      <w:proofErr w:type="spellStart"/>
      <w:r w:rsidRPr="00EC77E4">
        <w:rPr>
          <w:rFonts w:eastAsia="Calibri"/>
          <w:szCs w:val="24"/>
          <w:lang w:val="en-US"/>
        </w:rPr>
        <w:t>proBNP</w:t>
      </w:r>
      <w:proofErr w:type="spellEnd"/>
      <w:r w:rsidRPr="00EC77E4">
        <w:rPr>
          <w:rFonts w:eastAsia="Calibri"/>
          <w:szCs w:val="24"/>
          <w:lang w:val="en-US"/>
        </w:rPr>
        <w:t xml:space="preserve"> levels and cardiovascular diagnoses, heart failure (HF) was observed in 17 patients (38.6%) and coronary artery disease (CAD) in 14 patients (31.8%), reflecting the strong association between elevated NT-</w:t>
      </w:r>
      <w:proofErr w:type="spellStart"/>
      <w:r w:rsidRPr="00EC77E4">
        <w:rPr>
          <w:rFonts w:eastAsia="Calibri"/>
          <w:szCs w:val="24"/>
          <w:lang w:val="en-US"/>
        </w:rPr>
        <w:t>proBNP</w:t>
      </w:r>
      <w:proofErr w:type="spellEnd"/>
      <w:r w:rsidRPr="00EC77E4">
        <w:rPr>
          <w:rFonts w:eastAsia="Calibri"/>
          <w:szCs w:val="24"/>
          <w:lang w:val="en-US"/>
        </w:rPr>
        <w:t xml:space="preserve"> and these conditions.</w:t>
      </w:r>
    </w:p>
    <w:p w14:paraId="3768F348" w14:textId="77777777" w:rsidR="006A605A" w:rsidRPr="006A605A" w:rsidRDefault="006A605A" w:rsidP="00156C23">
      <w:pPr>
        <w:spacing w:after="0" w:line="360" w:lineRule="auto"/>
        <w:ind w:left="0" w:firstLine="720"/>
        <w:rPr>
          <w:rFonts w:eastAsia="Calibri"/>
          <w:szCs w:val="24"/>
        </w:rPr>
      </w:pPr>
      <w:r w:rsidRPr="006A605A">
        <w:rPr>
          <w:rFonts w:eastAsia="Calibri"/>
          <w:szCs w:val="24"/>
        </w:rPr>
        <w:lastRenderedPageBreak/>
        <w:t>Among patients with abnormal NT-</w:t>
      </w:r>
      <w:proofErr w:type="spellStart"/>
      <w:r w:rsidRPr="006A605A">
        <w:rPr>
          <w:rFonts w:eastAsia="Calibri"/>
          <w:szCs w:val="24"/>
        </w:rPr>
        <w:t>proBNP</w:t>
      </w:r>
      <w:proofErr w:type="spellEnd"/>
      <w:r w:rsidRPr="006A605A">
        <w:rPr>
          <w:rFonts w:eastAsia="Calibri"/>
          <w:szCs w:val="24"/>
        </w:rPr>
        <w:t xml:space="preserve"> levels and neuro-endocrine conditions, 6 cases were identified, with acute febrile illness (AFI) and shock each accounting for 2 cases (40% each). Elevated NT-</w:t>
      </w:r>
      <w:proofErr w:type="spellStart"/>
      <w:r w:rsidRPr="006A605A">
        <w:rPr>
          <w:rFonts w:eastAsia="Calibri"/>
          <w:szCs w:val="24"/>
        </w:rPr>
        <w:t>proBNP</w:t>
      </w:r>
      <w:proofErr w:type="spellEnd"/>
      <w:r w:rsidRPr="006A605A">
        <w:rPr>
          <w:rFonts w:eastAsia="Calibri"/>
          <w:szCs w:val="24"/>
        </w:rPr>
        <w:t xml:space="preserve"> in AFI is linked to systemic inflammation affecting cardiac function, while in shock, myocardial strain due to hypotension and poor perfusion contributes to elevated levels.</w:t>
      </w:r>
    </w:p>
    <w:p w14:paraId="5049DEEF" w14:textId="77777777" w:rsidR="006A605A" w:rsidRPr="006A605A" w:rsidRDefault="006A605A" w:rsidP="00156C23">
      <w:pPr>
        <w:spacing w:after="0" w:line="360" w:lineRule="auto"/>
        <w:ind w:left="0" w:firstLine="720"/>
        <w:rPr>
          <w:rFonts w:eastAsia="Calibri"/>
          <w:szCs w:val="24"/>
        </w:rPr>
      </w:pPr>
      <w:r w:rsidRPr="006A605A">
        <w:rPr>
          <w:rFonts w:eastAsia="Calibri"/>
          <w:szCs w:val="24"/>
        </w:rPr>
        <w:t>In the gastro/metabolic category, 3 patients showed abnormal NT-</w:t>
      </w:r>
      <w:proofErr w:type="spellStart"/>
      <w:r w:rsidRPr="006A605A">
        <w:rPr>
          <w:rFonts w:eastAsia="Calibri"/>
          <w:szCs w:val="24"/>
        </w:rPr>
        <w:t>proBNP</w:t>
      </w:r>
      <w:proofErr w:type="spellEnd"/>
      <w:r w:rsidRPr="006A605A">
        <w:rPr>
          <w:rFonts w:eastAsia="Calibri"/>
          <w:szCs w:val="24"/>
        </w:rPr>
        <w:t xml:space="preserve"> levels, with 2 cases of gastritis (66.7%). One </w:t>
      </w:r>
      <w:proofErr w:type="spellStart"/>
      <w:r w:rsidRPr="006A605A">
        <w:rPr>
          <w:rFonts w:eastAsia="Calibri"/>
          <w:szCs w:val="24"/>
        </w:rPr>
        <w:t>dyspneic</w:t>
      </w:r>
      <w:proofErr w:type="spellEnd"/>
      <w:r w:rsidRPr="006A605A">
        <w:rPr>
          <w:rFonts w:eastAsia="Calibri"/>
          <w:szCs w:val="24"/>
        </w:rPr>
        <w:t xml:space="preserve"> patient diagnosed with urinary tract infection (UTI) also showed elevated NT-</w:t>
      </w:r>
      <w:proofErr w:type="spellStart"/>
      <w:r w:rsidRPr="006A605A">
        <w:rPr>
          <w:rFonts w:eastAsia="Calibri"/>
          <w:szCs w:val="24"/>
        </w:rPr>
        <w:t>proBNP</w:t>
      </w:r>
      <w:proofErr w:type="spellEnd"/>
      <w:r w:rsidRPr="006A605A">
        <w:rPr>
          <w:rFonts w:eastAsia="Calibri"/>
          <w:szCs w:val="24"/>
        </w:rPr>
        <w:t>, representing 100% of nephrology-related cases in this context. Additionally, among 3 patients with skin-related conditions, 2 with cellulitis had abnormal NT-</w:t>
      </w:r>
      <w:proofErr w:type="spellStart"/>
      <w:r w:rsidRPr="006A605A">
        <w:rPr>
          <w:rFonts w:eastAsia="Calibri"/>
          <w:szCs w:val="24"/>
        </w:rPr>
        <w:t>proBNP</w:t>
      </w:r>
      <w:proofErr w:type="spellEnd"/>
      <w:r w:rsidRPr="006A605A">
        <w:rPr>
          <w:rFonts w:eastAsia="Calibri"/>
          <w:szCs w:val="24"/>
        </w:rPr>
        <w:t xml:space="preserve"> levels (66.7%).</w:t>
      </w:r>
    </w:p>
    <w:p w14:paraId="3CFA4A98" w14:textId="3B7128F6" w:rsidR="006A605A" w:rsidRPr="006A605A" w:rsidRDefault="005E7C01" w:rsidP="00156C23">
      <w:pPr>
        <w:spacing w:after="0" w:line="360" w:lineRule="auto"/>
        <w:ind w:left="0" w:firstLine="720"/>
        <w:rPr>
          <w:rFonts w:eastAsia="Calibri"/>
          <w:szCs w:val="24"/>
        </w:rPr>
      </w:pPr>
      <w:r>
        <w:rPr>
          <w:rFonts w:eastAsia="Calibri"/>
          <w:szCs w:val="24"/>
        </w:rPr>
        <w:t>Table 5 indicated that a</w:t>
      </w:r>
      <w:r w:rsidR="006A605A" w:rsidRPr="006A605A">
        <w:rPr>
          <w:rFonts w:eastAsia="Calibri"/>
          <w:szCs w:val="24"/>
        </w:rPr>
        <w:t>mong the 62 non-</w:t>
      </w:r>
      <w:proofErr w:type="spellStart"/>
      <w:r w:rsidR="006A605A" w:rsidRPr="006A605A">
        <w:rPr>
          <w:rFonts w:eastAsia="Calibri"/>
          <w:szCs w:val="24"/>
        </w:rPr>
        <w:t>dyspneic</w:t>
      </w:r>
      <w:proofErr w:type="spellEnd"/>
      <w:r w:rsidR="006A605A" w:rsidRPr="006A605A">
        <w:rPr>
          <w:rFonts w:eastAsia="Calibri"/>
          <w:szCs w:val="24"/>
        </w:rPr>
        <w:t xml:space="preserve"> patients, the majority with abnormal NT-</w:t>
      </w:r>
      <w:proofErr w:type="spellStart"/>
      <w:r w:rsidR="006A605A" w:rsidRPr="006A605A">
        <w:rPr>
          <w:rFonts w:eastAsia="Calibri"/>
          <w:szCs w:val="24"/>
        </w:rPr>
        <w:t>proBNP</w:t>
      </w:r>
      <w:proofErr w:type="spellEnd"/>
      <w:r w:rsidR="006A605A" w:rsidRPr="006A605A">
        <w:rPr>
          <w:rFonts w:eastAsia="Calibri"/>
          <w:szCs w:val="24"/>
        </w:rPr>
        <w:t xml:space="preserve"> levels had respiratory conditions (n=18), primarily LRTI (n=12) and COPD (n=3), followed by neuro-endocrine conditions (n=9), equally distributed among AFI, shock, and stroke (33.3% each). Cardiovascular causes accounted for 7 cases, with heart failure present in 4 patients (57.1%).</w:t>
      </w:r>
    </w:p>
    <w:p w14:paraId="690C85E7" w14:textId="77777777" w:rsidR="006A605A" w:rsidRPr="006A605A" w:rsidRDefault="006A605A" w:rsidP="00156C23">
      <w:pPr>
        <w:spacing w:after="0" w:line="360" w:lineRule="auto"/>
        <w:ind w:left="0" w:firstLine="720"/>
        <w:rPr>
          <w:rFonts w:eastAsia="Calibri"/>
          <w:szCs w:val="24"/>
        </w:rPr>
      </w:pPr>
      <w:r w:rsidRPr="006A605A">
        <w:rPr>
          <w:rFonts w:eastAsia="Calibri"/>
          <w:szCs w:val="24"/>
        </w:rPr>
        <w:t>In the gastro/metabolic group of non-</w:t>
      </w:r>
      <w:proofErr w:type="spellStart"/>
      <w:r w:rsidRPr="006A605A">
        <w:rPr>
          <w:rFonts w:eastAsia="Calibri"/>
          <w:szCs w:val="24"/>
        </w:rPr>
        <w:t>dyspneic</w:t>
      </w:r>
      <w:proofErr w:type="spellEnd"/>
      <w:r w:rsidRPr="006A605A">
        <w:rPr>
          <w:rFonts w:eastAsia="Calibri"/>
          <w:szCs w:val="24"/>
        </w:rPr>
        <w:t xml:space="preserve"> patients, 6 had abnormal NT-</w:t>
      </w:r>
      <w:proofErr w:type="spellStart"/>
      <w:r w:rsidRPr="006A605A">
        <w:rPr>
          <w:rFonts w:eastAsia="Calibri"/>
          <w:szCs w:val="24"/>
        </w:rPr>
        <w:t>proBNP</w:t>
      </w:r>
      <w:proofErr w:type="spellEnd"/>
      <w:r w:rsidRPr="006A605A">
        <w:rPr>
          <w:rFonts w:eastAsia="Calibri"/>
          <w:szCs w:val="24"/>
        </w:rPr>
        <w:t xml:space="preserve"> levels, with fatty liver observed in 3 (50%). Among nephrology cases, 3 of 5 patients with abnormal NT-</w:t>
      </w:r>
      <w:proofErr w:type="spellStart"/>
      <w:r w:rsidRPr="006A605A">
        <w:rPr>
          <w:rFonts w:eastAsia="Calibri"/>
          <w:szCs w:val="24"/>
        </w:rPr>
        <w:t>proBNP</w:t>
      </w:r>
      <w:proofErr w:type="spellEnd"/>
      <w:r w:rsidRPr="006A605A">
        <w:rPr>
          <w:rFonts w:eastAsia="Calibri"/>
          <w:szCs w:val="24"/>
        </w:rPr>
        <w:t xml:space="preserve"> were diagnosed with UTI (60%). Lastly, 3 of 11 non-</w:t>
      </w:r>
      <w:proofErr w:type="spellStart"/>
      <w:r w:rsidRPr="006A605A">
        <w:rPr>
          <w:rFonts w:eastAsia="Calibri"/>
          <w:szCs w:val="24"/>
        </w:rPr>
        <w:t>dyspneic</w:t>
      </w:r>
      <w:proofErr w:type="spellEnd"/>
      <w:r w:rsidRPr="006A605A">
        <w:rPr>
          <w:rFonts w:eastAsia="Calibri"/>
          <w:szCs w:val="24"/>
        </w:rPr>
        <w:t xml:space="preserve"> patients with elevated NT-</w:t>
      </w:r>
      <w:proofErr w:type="spellStart"/>
      <w:r w:rsidRPr="006A605A">
        <w:rPr>
          <w:rFonts w:eastAsia="Calibri"/>
          <w:szCs w:val="24"/>
        </w:rPr>
        <w:t>proBNP</w:t>
      </w:r>
      <w:proofErr w:type="spellEnd"/>
      <w:r w:rsidRPr="006A605A">
        <w:rPr>
          <w:rFonts w:eastAsia="Calibri"/>
          <w:szCs w:val="24"/>
        </w:rPr>
        <w:t xml:space="preserve"> had sepsis as the primary diagnosis, contributing to 27.3%.</w:t>
      </w:r>
    </w:p>
    <w:p w14:paraId="2079E335" w14:textId="6B1C0C85" w:rsidR="006A605A" w:rsidRPr="006A605A" w:rsidRDefault="006A605A" w:rsidP="00156C23">
      <w:pPr>
        <w:spacing w:after="0" w:line="360" w:lineRule="auto"/>
        <w:ind w:left="0" w:firstLine="720"/>
        <w:rPr>
          <w:rFonts w:eastAsia="Calibri"/>
          <w:szCs w:val="24"/>
        </w:rPr>
      </w:pPr>
      <w:r w:rsidRPr="006A605A">
        <w:rPr>
          <w:rFonts w:eastAsia="Calibri"/>
          <w:szCs w:val="24"/>
        </w:rPr>
        <w:t>These findings highlight the diverse range of conditions associated with elevated NT-</w:t>
      </w:r>
      <w:proofErr w:type="spellStart"/>
      <w:r w:rsidRPr="006A605A">
        <w:rPr>
          <w:rFonts w:eastAsia="Calibri"/>
          <w:szCs w:val="24"/>
        </w:rPr>
        <w:t>proBNP</w:t>
      </w:r>
      <w:proofErr w:type="spellEnd"/>
      <w:r w:rsidRPr="006A605A">
        <w:rPr>
          <w:rFonts w:eastAsia="Calibri"/>
          <w:szCs w:val="24"/>
        </w:rPr>
        <w:t xml:space="preserve"> levels, reinforcing its role in identifying cardiac strain across various clinical presentations, both with and without </w:t>
      </w:r>
      <w:proofErr w:type="spellStart"/>
      <w:r w:rsidRPr="006A605A">
        <w:rPr>
          <w:rFonts w:eastAsia="Calibri"/>
          <w:szCs w:val="24"/>
        </w:rPr>
        <w:t>dyspnea</w:t>
      </w:r>
      <w:proofErr w:type="spellEnd"/>
      <w:r w:rsidRPr="006A605A">
        <w:rPr>
          <w:rFonts w:eastAsia="Calibri"/>
          <w:szCs w:val="24"/>
        </w:rPr>
        <w:t>.</w:t>
      </w:r>
      <w:r w:rsidR="00720A7D">
        <w:rPr>
          <w:rFonts w:eastAsia="Calibri"/>
          <w:szCs w:val="24"/>
        </w:rPr>
        <w:t xml:space="preserve"> Table </w:t>
      </w:r>
      <w:r w:rsidR="005E7C01">
        <w:rPr>
          <w:rFonts w:eastAsia="Calibri"/>
          <w:szCs w:val="24"/>
        </w:rPr>
        <w:t>6</w:t>
      </w:r>
      <w:r w:rsidR="00F94C18">
        <w:rPr>
          <w:rFonts w:eastAsia="Calibri"/>
          <w:szCs w:val="24"/>
        </w:rPr>
        <w:t xml:space="preserve"> shows that o</w:t>
      </w:r>
      <w:r w:rsidR="00F94C18" w:rsidRPr="00F94C18">
        <w:rPr>
          <w:rFonts w:eastAsia="Calibri"/>
          <w:szCs w:val="24"/>
        </w:rPr>
        <w:t>ut of 22 heart failure (HF) patients screened for NT-</w:t>
      </w:r>
      <w:proofErr w:type="spellStart"/>
      <w:r w:rsidR="00F94C18" w:rsidRPr="00F94C18">
        <w:rPr>
          <w:rFonts w:eastAsia="Calibri"/>
          <w:szCs w:val="24"/>
        </w:rPr>
        <w:t>proBNP</w:t>
      </w:r>
      <w:proofErr w:type="spellEnd"/>
      <w:r w:rsidR="00F94C18" w:rsidRPr="00F94C18">
        <w:rPr>
          <w:rFonts w:eastAsia="Calibri"/>
          <w:szCs w:val="24"/>
        </w:rPr>
        <w:t xml:space="preserve"> levels, the median value was found to be 5041 </w:t>
      </w:r>
      <w:proofErr w:type="spellStart"/>
      <w:r w:rsidR="00F94C18" w:rsidRPr="00F94C18">
        <w:rPr>
          <w:rFonts w:eastAsia="Calibri"/>
          <w:szCs w:val="24"/>
        </w:rPr>
        <w:t>pg</w:t>
      </w:r>
      <w:proofErr w:type="spellEnd"/>
      <w:r w:rsidR="00F94C18" w:rsidRPr="00F94C18">
        <w:rPr>
          <w:rFonts w:eastAsia="Calibri"/>
          <w:szCs w:val="24"/>
        </w:rPr>
        <w:t>/ml. A t-test was performed to assess the variation in NT-</w:t>
      </w:r>
      <w:proofErr w:type="spellStart"/>
      <w:r w:rsidR="00F94C18" w:rsidRPr="00F94C18">
        <w:rPr>
          <w:rFonts w:eastAsia="Calibri"/>
          <w:szCs w:val="24"/>
        </w:rPr>
        <w:t>proBNP</w:t>
      </w:r>
      <w:proofErr w:type="spellEnd"/>
      <w:r w:rsidR="00F94C18" w:rsidRPr="00F94C18">
        <w:rPr>
          <w:rFonts w:eastAsia="Calibri"/>
          <w:szCs w:val="24"/>
        </w:rPr>
        <w:t xml:space="preserve"> levels; although a notable difference was observed, the results were not statistically significant.</w:t>
      </w:r>
    </w:p>
    <w:p w14:paraId="1EA3ED9C" w14:textId="39E972DD" w:rsidR="00EC77E4" w:rsidRDefault="007276D8" w:rsidP="00156C23">
      <w:pPr>
        <w:spacing w:after="0" w:line="360" w:lineRule="auto"/>
        <w:ind w:left="0" w:firstLine="720"/>
        <w:rPr>
          <w:rFonts w:eastAsia="Calibri"/>
          <w:szCs w:val="24"/>
          <w:lang w:val="en-US"/>
        </w:rPr>
      </w:pPr>
      <w:r w:rsidRPr="007276D8">
        <w:rPr>
          <w:rFonts w:eastAsia="Calibri"/>
          <w:szCs w:val="24"/>
          <w:lang w:val="en-US"/>
        </w:rPr>
        <w:t>Extensive research supports the utility of NT-</w:t>
      </w:r>
      <w:proofErr w:type="spellStart"/>
      <w:r w:rsidRPr="007276D8">
        <w:rPr>
          <w:rFonts w:eastAsia="Calibri"/>
          <w:szCs w:val="24"/>
          <w:lang w:val="en-US"/>
        </w:rPr>
        <w:t>proBNP</w:t>
      </w:r>
      <w:proofErr w:type="spellEnd"/>
      <w:r w:rsidRPr="007276D8">
        <w:rPr>
          <w:rFonts w:eastAsia="Calibri"/>
          <w:szCs w:val="24"/>
          <w:lang w:val="en-US"/>
        </w:rPr>
        <w:t xml:space="preserve"> in identifying left ventricular dysfunction and forecasting outcomes in both cardiac and systemic diseases. Kim et al. have reported its effectiveness in predicting hospital admissions due to heart failure, while Maisel et al. emphasized its early rise in systemic inflammatory responses. Building upon such literature, our study evaluates NT-</w:t>
      </w:r>
      <w:proofErr w:type="spellStart"/>
      <w:r w:rsidRPr="007276D8">
        <w:rPr>
          <w:rFonts w:eastAsia="Calibri"/>
          <w:szCs w:val="24"/>
          <w:lang w:val="en-US"/>
        </w:rPr>
        <w:t>proBNP</w:t>
      </w:r>
      <w:proofErr w:type="spellEnd"/>
      <w:r w:rsidRPr="007276D8">
        <w:rPr>
          <w:rFonts w:eastAsia="Calibri"/>
          <w:szCs w:val="24"/>
          <w:lang w:val="en-US"/>
        </w:rPr>
        <w:t xml:space="preserve"> not just in cardiac cases but also in system-specific and symptom-specific contexts, including dyspnea-related presentations</w:t>
      </w:r>
      <w:r>
        <w:rPr>
          <w:rFonts w:eastAsia="Calibri"/>
          <w:szCs w:val="24"/>
          <w:lang w:val="en-US"/>
        </w:rPr>
        <w:t xml:space="preserve"> </w:t>
      </w:r>
      <w:r>
        <w:rPr>
          <w:rFonts w:eastAsia="Calibri"/>
          <w:szCs w:val="24"/>
          <w:vertAlign w:val="superscript"/>
          <w:lang w:val="en-US"/>
        </w:rPr>
        <w:t>9</w:t>
      </w:r>
      <w:r w:rsidRPr="007276D8">
        <w:rPr>
          <w:rFonts w:eastAsia="Calibri"/>
          <w:szCs w:val="24"/>
          <w:lang w:val="en-US"/>
        </w:rPr>
        <w:t>.</w:t>
      </w:r>
    </w:p>
    <w:p w14:paraId="3BB10702" w14:textId="77777777" w:rsidR="00EC77E4" w:rsidRDefault="00EC77E4" w:rsidP="005E7C01">
      <w:pPr>
        <w:spacing w:after="0" w:line="360" w:lineRule="auto"/>
        <w:rPr>
          <w:rFonts w:eastAsia="Calibri"/>
          <w:szCs w:val="24"/>
          <w:lang w:val="en-US"/>
        </w:rPr>
      </w:pPr>
    </w:p>
    <w:p w14:paraId="183EC53E" w14:textId="443748C2" w:rsidR="005E7C01" w:rsidRDefault="005E7C01" w:rsidP="005E7C01">
      <w:pPr>
        <w:spacing w:after="0" w:line="360" w:lineRule="auto"/>
        <w:rPr>
          <w:rFonts w:eastAsia="Calibri"/>
          <w:szCs w:val="24"/>
          <w:lang w:val="en-US"/>
        </w:rPr>
      </w:pPr>
      <w:r w:rsidRPr="005E7C01">
        <w:rPr>
          <w:rFonts w:eastAsia="Calibri"/>
          <w:b/>
          <w:bCs/>
          <w:szCs w:val="24"/>
          <w:lang w:val="en-US"/>
        </w:rPr>
        <w:t>Figure 1: Percentage</w:t>
      </w:r>
      <w:r>
        <w:rPr>
          <w:rFonts w:eastAsia="Calibri"/>
          <w:b/>
          <w:bCs/>
          <w:szCs w:val="24"/>
          <w:lang w:val="en-US"/>
        </w:rPr>
        <w:t xml:space="preserve"> </w:t>
      </w:r>
      <w:r w:rsidRPr="005E7C01">
        <w:rPr>
          <w:rFonts w:eastAsia="Calibri"/>
          <w:b/>
          <w:bCs/>
          <w:szCs w:val="24"/>
          <w:lang w:val="en-US"/>
        </w:rPr>
        <w:t>distribution of respiratory cases having dyspnea with &amp; without CVS comorbidities</w:t>
      </w:r>
    </w:p>
    <w:p w14:paraId="48810964" w14:textId="257E387F" w:rsidR="005E7C01" w:rsidRPr="005E7C01" w:rsidRDefault="005E7C01" w:rsidP="005E7C01">
      <w:pPr>
        <w:spacing w:after="0" w:line="360" w:lineRule="auto"/>
        <w:rPr>
          <w:rFonts w:eastAsia="Calibri"/>
          <w:szCs w:val="24"/>
          <w:lang w:val="en-US"/>
        </w:rPr>
      </w:pPr>
      <w:r>
        <w:rPr>
          <w:b/>
          <w:noProof/>
          <w:szCs w:val="24"/>
        </w:rPr>
        <w:lastRenderedPageBreak/>
        <w:drawing>
          <wp:inline distT="114300" distB="114300" distL="114300" distR="114300" wp14:anchorId="764A224C" wp14:editId="6224E431">
            <wp:extent cx="6149340" cy="2811780"/>
            <wp:effectExtent l="0" t="0" r="3810" b="7620"/>
            <wp:docPr id="11" name="image2.png" descr="Chart"/>
            <wp:cNvGraphicFramePr/>
            <a:graphic xmlns:a="http://schemas.openxmlformats.org/drawingml/2006/main">
              <a:graphicData uri="http://schemas.openxmlformats.org/drawingml/2006/picture">
                <pic:pic xmlns:pic="http://schemas.openxmlformats.org/drawingml/2006/picture">
                  <pic:nvPicPr>
                    <pic:cNvPr id="0" name="image2.png" descr="Chart"/>
                    <pic:cNvPicPr preferRelativeResize="0"/>
                  </pic:nvPicPr>
                  <pic:blipFill>
                    <a:blip r:embed="rId7"/>
                    <a:srcRect/>
                    <a:stretch>
                      <a:fillRect/>
                    </a:stretch>
                  </pic:blipFill>
                  <pic:spPr>
                    <a:xfrm>
                      <a:off x="0" y="0"/>
                      <a:ext cx="6150349" cy="2812241"/>
                    </a:xfrm>
                    <a:prstGeom prst="rect">
                      <a:avLst/>
                    </a:prstGeom>
                    <a:ln/>
                  </pic:spPr>
                </pic:pic>
              </a:graphicData>
            </a:graphic>
          </wp:inline>
        </w:drawing>
      </w:r>
    </w:p>
    <w:p w14:paraId="13B3CAF0" w14:textId="77777777" w:rsidR="005E7C01" w:rsidRPr="00D30A81" w:rsidRDefault="005E7C01" w:rsidP="005E7C01">
      <w:pPr>
        <w:spacing w:after="0" w:line="360" w:lineRule="auto"/>
        <w:rPr>
          <w:rFonts w:eastAsia="Calibri"/>
          <w:szCs w:val="24"/>
          <w:lang w:val="en-US"/>
        </w:rPr>
      </w:pPr>
    </w:p>
    <w:p w14:paraId="240C92FD" w14:textId="2DCACCD2" w:rsidR="00462466" w:rsidRPr="00462466" w:rsidRDefault="00462466" w:rsidP="00156C23">
      <w:pPr>
        <w:spacing w:line="360" w:lineRule="auto"/>
        <w:ind w:left="0" w:firstLine="0"/>
        <w:rPr>
          <w:b/>
          <w:szCs w:val="24"/>
          <w:lang w:val="en-US"/>
        </w:rPr>
      </w:pPr>
      <w:r>
        <w:rPr>
          <w:b/>
          <w:szCs w:val="24"/>
          <w:lang w:val="en-US"/>
        </w:rPr>
        <w:t xml:space="preserve">Table 1: </w:t>
      </w:r>
      <w:r w:rsidR="00055A36">
        <w:rPr>
          <w:b/>
          <w:szCs w:val="24"/>
          <w:lang w:val="en-US"/>
        </w:rPr>
        <w:t>Comparison of biomarkers</w:t>
      </w:r>
    </w:p>
    <w:tbl>
      <w:tblPr>
        <w:tblStyle w:val="GridTable4-Accent5"/>
        <w:tblW w:w="6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3109"/>
      </w:tblGrid>
      <w:tr w:rsidR="00575C94" w14:paraId="12E0F839" w14:textId="77777777" w:rsidTr="00055A36">
        <w:trPr>
          <w:cnfStyle w:val="100000000000" w:firstRow="1" w:lastRow="0" w:firstColumn="0" w:lastColumn="0" w:oddVBand="0" w:evenVBand="0" w:oddHBand="0" w:evenHBand="0" w:firstRowFirstColumn="0" w:firstRowLastColumn="0" w:lastRowFirstColumn="0" w:lastRowLastColumn="0"/>
          <w:trHeight w:val="722"/>
          <w:jc w:val="center"/>
        </w:trPr>
        <w:tc>
          <w:tcPr>
            <w:cnfStyle w:val="001000000000" w:firstRow="0" w:lastRow="0" w:firstColumn="1" w:lastColumn="0" w:oddVBand="0" w:evenVBand="0" w:oddHBand="0" w:evenHBand="0" w:firstRowFirstColumn="0" w:firstRowLastColumn="0" w:lastRowFirstColumn="0" w:lastRowLastColumn="0"/>
            <w:tcW w:w="3108" w:type="dxa"/>
            <w:tcBorders>
              <w:top w:val="none" w:sz="0" w:space="0" w:color="auto"/>
              <w:left w:val="none" w:sz="0" w:space="0" w:color="auto"/>
              <w:bottom w:val="none" w:sz="0" w:space="0" w:color="auto"/>
              <w:right w:val="none" w:sz="0" w:space="0" w:color="auto"/>
            </w:tcBorders>
            <w:vAlign w:val="center"/>
          </w:tcPr>
          <w:p w14:paraId="76777C85" w14:textId="7CBC5F46" w:rsidR="00575C94" w:rsidRPr="004463DF" w:rsidRDefault="00575C94" w:rsidP="00156C23">
            <w:pPr>
              <w:spacing w:line="360" w:lineRule="auto"/>
              <w:ind w:left="0" w:firstLine="0"/>
              <w:jc w:val="center"/>
              <w:rPr>
                <w:color w:val="FFFFFF" w:themeColor="background1"/>
              </w:rPr>
            </w:pPr>
            <w:r w:rsidRPr="004463DF">
              <w:rPr>
                <w:color w:val="FFFFFF" w:themeColor="background1"/>
                <w:szCs w:val="24"/>
              </w:rPr>
              <w:t>BIOMARKERS</w:t>
            </w:r>
          </w:p>
        </w:tc>
        <w:tc>
          <w:tcPr>
            <w:tcW w:w="3109" w:type="dxa"/>
            <w:tcBorders>
              <w:top w:val="none" w:sz="0" w:space="0" w:color="auto"/>
              <w:left w:val="none" w:sz="0" w:space="0" w:color="auto"/>
              <w:bottom w:val="none" w:sz="0" w:space="0" w:color="auto"/>
              <w:right w:val="none" w:sz="0" w:space="0" w:color="auto"/>
            </w:tcBorders>
            <w:vAlign w:val="center"/>
          </w:tcPr>
          <w:p w14:paraId="60F0FD84" w14:textId="61A00D98" w:rsidR="00575C94" w:rsidRPr="004463DF" w:rsidRDefault="00575C94" w:rsidP="00156C23">
            <w:pPr>
              <w:spacing w:line="360" w:lineRule="auto"/>
              <w:ind w:left="0" w:firstLine="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4463DF">
              <w:rPr>
                <w:color w:val="FFFFFF" w:themeColor="background1"/>
                <w:szCs w:val="24"/>
              </w:rPr>
              <w:t>PERCENTAGE% (N)</w:t>
            </w:r>
          </w:p>
        </w:tc>
      </w:tr>
      <w:tr w:rsidR="00575C94" w14:paraId="0450EC4F" w14:textId="77777777" w:rsidTr="00055A36">
        <w:trPr>
          <w:cnfStyle w:val="000000100000" w:firstRow="0" w:lastRow="0" w:firstColumn="0" w:lastColumn="0" w:oddVBand="0" w:evenVBand="0" w:oddHBand="1"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3108" w:type="dxa"/>
            <w:vAlign w:val="center"/>
          </w:tcPr>
          <w:p w14:paraId="193BDBCD" w14:textId="54366226" w:rsidR="00575C94" w:rsidRDefault="00575C94" w:rsidP="00156C23">
            <w:pPr>
              <w:spacing w:line="360" w:lineRule="auto"/>
              <w:ind w:left="0" w:firstLine="0"/>
              <w:jc w:val="center"/>
              <w:rPr>
                <w:color w:val="auto"/>
              </w:rPr>
            </w:pPr>
            <w:r>
              <w:rPr>
                <w:szCs w:val="24"/>
              </w:rPr>
              <w:t>TROP-I</w:t>
            </w:r>
          </w:p>
        </w:tc>
        <w:tc>
          <w:tcPr>
            <w:tcW w:w="3109" w:type="dxa"/>
            <w:vAlign w:val="center"/>
          </w:tcPr>
          <w:p w14:paraId="286BFA33" w14:textId="45603527" w:rsidR="00575C94" w:rsidRDefault="00575C94" w:rsidP="00156C23">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color w:val="auto"/>
              </w:rPr>
            </w:pPr>
            <w:r>
              <w:rPr>
                <w:szCs w:val="24"/>
              </w:rPr>
              <w:t>64.3% (142)</w:t>
            </w:r>
          </w:p>
        </w:tc>
      </w:tr>
      <w:tr w:rsidR="00575C94" w14:paraId="388E4359" w14:textId="77777777" w:rsidTr="00055A36">
        <w:trPr>
          <w:trHeight w:val="359"/>
          <w:jc w:val="center"/>
        </w:trPr>
        <w:tc>
          <w:tcPr>
            <w:cnfStyle w:val="001000000000" w:firstRow="0" w:lastRow="0" w:firstColumn="1" w:lastColumn="0" w:oddVBand="0" w:evenVBand="0" w:oddHBand="0" w:evenHBand="0" w:firstRowFirstColumn="0" w:firstRowLastColumn="0" w:lastRowFirstColumn="0" w:lastRowLastColumn="0"/>
            <w:tcW w:w="3108" w:type="dxa"/>
            <w:vAlign w:val="center"/>
          </w:tcPr>
          <w:p w14:paraId="766ED9C2" w14:textId="16E401D8" w:rsidR="00575C94" w:rsidRDefault="00575C94" w:rsidP="00156C23">
            <w:pPr>
              <w:spacing w:line="360" w:lineRule="auto"/>
              <w:ind w:left="0" w:firstLine="0"/>
              <w:jc w:val="center"/>
              <w:rPr>
                <w:color w:val="auto"/>
              </w:rPr>
            </w:pPr>
            <w:r>
              <w:rPr>
                <w:szCs w:val="24"/>
              </w:rPr>
              <w:t>D - DIMER</w:t>
            </w:r>
          </w:p>
        </w:tc>
        <w:tc>
          <w:tcPr>
            <w:tcW w:w="3109" w:type="dxa"/>
            <w:vAlign w:val="center"/>
          </w:tcPr>
          <w:p w14:paraId="15A4D852" w14:textId="44278BCB" w:rsidR="00575C94" w:rsidRDefault="00575C94" w:rsidP="00156C23">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color w:val="auto"/>
              </w:rPr>
            </w:pPr>
            <w:r>
              <w:rPr>
                <w:szCs w:val="24"/>
              </w:rPr>
              <w:t>35.7% (79)</w:t>
            </w:r>
          </w:p>
        </w:tc>
      </w:tr>
    </w:tbl>
    <w:p w14:paraId="789D97D7" w14:textId="77777777" w:rsidR="00462466" w:rsidRDefault="00462466" w:rsidP="00156C23">
      <w:pPr>
        <w:spacing w:line="360" w:lineRule="auto"/>
        <w:ind w:left="0" w:firstLine="0"/>
        <w:rPr>
          <w:b/>
          <w:sz w:val="18"/>
          <w:lang w:val="en-US"/>
        </w:rPr>
      </w:pPr>
    </w:p>
    <w:p w14:paraId="50D6F9D5" w14:textId="3CDBF73A" w:rsidR="00462466" w:rsidRPr="004463DF" w:rsidRDefault="00D30A81" w:rsidP="00156C23">
      <w:pPr>
        <w:spacing w:line="360" w:lineRule="auto"/>
        <w:rPr>
          <w:b/>
          <w:color w:val="auto"/>
          <w:szCs w:val="24"/>
        </w:rPr>
      </w:pPr>
      <w:r w:rsidRPr="004463DF">
        <w:rPr>
          <w:b/>
          <w:color w:val="auto"/>
          <w:szCs w:val="24"/>
          <w:lang w:val="en-US"/>
        </w:rPr>
        <w:t xml:space="preserve">Table 2: </w:t>
      </w:r>
      <w:r w:rsidR="004463DF" w:rsidRPr="004463DF">
        <w:rPr>
          <w:b/>
          <w:color w:val="auto"/>
          <w:szCs w:val="24"/>
        </w:rPr>
        <w:t xml:space="preserve">Screening Assessment </w:t>
      </w:r>
      <w:r w:rsidR="004463DF">
        <w:rPr>
          <w:b/>
          <w:color w:val="auto"/>
          <w:szCs w:val="24"/>
        </w:rPr>
        <w:t>of Trop-I levels, D-dimer levels and NT-pro BNP levels</w:t>
      </w:r>
    </w:p>
    <w:tbl>
      <w:tblPr>
        <w:tblStyle w:val="GridTable4-Accent5"/>
        <w:tblW w:w="8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494"/>
        <w:gridCol w:w="2196"/>
        <w:gridCol w:w="2196"/>
      </w:tblGrid>
      <w:tr w:rsidR="00055A36" w14:paraId="1911B002" w14:textId="77777777" w:rsidTr="004463DF">
        <w:trPr>
          <w:cnfStyle w:val="100000000000" w:firstRow="1" w:lastRow="0" w:firstColumn="0" w:lastColumn="0" w:oddVBand="0" w:evenVBand="0" w:oddHBand="0" w:evenHBand="0" w:firstRowFirstColumn="0" w:firstRowLastColumn="0" w:lastRowFirstColumn="0" w:lastRowLastColumn="0"/>
          <w:trHeight w:val="676"/>
          <w:jc w:val="center"/>
        </w:trPr>
        <w:tc>
          <w:tcPr>
            <w:cnfStyle w:val="001000000000" w:firstRow="0" w:lastRow="0" w:firstColumn="1" w:lastColumn="0" w:oddVBand="0" w:evenVBand="0" w:oddHBand="0" w:evenHBand="0" w:firstRowFirstColumn="0" w:firstRowLastColumn="0" w:lastRowFirstColumn="0" w:lastRowLastColumn="0"/>
            <w:tcW w:w="1672" w:type="dxa"/>
            <w:vMerge w:val="restart"/>
            <w:tcBorders>
              <w:top w:val="none" w:sz="0" w:space="0" w:color="auto"/>
              <w:left w:val="none" w:sz="0" w:space="0" w:color="auto"/>
              <w:bottom w:val="none" w:sz="0" w:space="0" w:color="auto"/>
              <w:right w:val="none" w:sz="0" w:space="0" w:color="auto"/>
            </w:tcBorders>
            <w:vAlign w:val="center"/>
          </w:tcPr>
          <w:p w14:paraId="5408A98D" w14:textId="54DC14C3" w:rsidR="00055A36" w:rsidRPr="00055A36" w:rsidRDefault="00055A36" w:rsidP="00156C23">
            <w:pPr>
              <w:spacing w:line="360" w:lineRule="auto"/>
              <w:ind w:left="0"/>
              <w:jc w:val="center"/>
              <w:rPr>
                <w:color w:val="FFFFFF" w:themeColor="background1"/>
              </w:rPr>
            </w:pPr>
            <w:r w:rsidRPr="00055A36">
              <w:rPr>
                <w:color w:val="FFFFFF" w:themeColor="background1"/>
              </w:rPr>
              <w:t>Range</w:t>
            </w:r>
          </w:p>
        </w:tc>
        <w:tc>
          <w:tcPr>
            <w:tcW w:w="6886" w:type="dxa"/>
            <w:gridSpan w:val="3"/>
            <w:tcBorders>
              <w:top w:val="none" w:sz="0" w:space="0" w:color="auto"/>
              <w:left w:val="none" w:sz="0" w:space="0" w:color="auto"/>
              <w:bottom w:val="none" w:sz="0" w:space="0" w:color="auto"/>
              <w:right w:val="none" w:sz="0" w:space="0" w:color="auto"/>
            </w:tcBorders>
            <w:vAlign w:val="center"/>
          </w:tcPr>
          <w:p w14:paraId="218226A8" w14:textId="46CDAFD8" w:rsidR="00055A36" w:rsidRPr="00055A36" w:rsidRDefault="00055A36" w:rsidP="00156C23">
            <w:pPr>
              <w:spacing w:line="360" w:lineRule="auto"/>
              <w:ind w:left="0" w:firstLine="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055A36">
              <w:rPr>
                <w:color w:val="FFFFFF" w:themeColor="background1"/>
              </w:rPr>
              <w:t>Number of patients (% patients)</w:t>
            </w:r>
          </w:p>
        </w:tc>
      </w:tr>
      <w:tr w:rsidR="00055A36" w14:paraId="57BE21F0" w14:textId="279B8506" w:rsidTr="00055A36">
        <w:trPr>
          <w:cnfStyle w:val="000000100000" w:firstRow="0" w:lastRow="0" w:firstColumn="0" w:lastColumn="0" w:oddVBand="0" w:evenVBand="0" w:oddHBand="1" w:evenHBand="0" w:firstRowFirstColumn="0" w:firstRowLastColumn="0" w:lastRowFirstColumn="0" w:lastRowLastColumn="0"/>
          <w:trHeight w:val="676"/>
          <w:jc w:val="center"/>
        </w:trPr>
        <w:tc>
          <w:tcPr>
            <w:cnfStyle w:val="001000000000" w:firstRow="0" w:lastRow="0" w:firstColumn="1" w:lastColumn="0" w:oddVBand="0" w:evenVBand="0" w:oddHBand="0" w:evenHBand="0" w:firstRowFirstColumn="0" w:firstRowLastColumn="0" w:lastRowFirstColumn="0" w:lastRowLastColumn="0"/>
            <w:tcW w:w="1672" w:type="dxa"/>
            <w:vMerge/>
            <w:vAlign w:val="center"/>
          </w:tcPr>
          <w:p w14:paraId="623B3B6A" w14:textId="4A67FBEB" w:rsidR="00055A36" w:rsidRPr="00055A36" w:rsidRDefault="00055A36" w:rsidP="00156C23">
            <w:pPr>
              <w:spacing w:line="360" w:lineRule="auto"/>
              <w:ind w:left="0" w:firstLine="0"/>
              <w:jc w:val="center"/>
              <w:rPr>
                <w:color w:val="FFFFFF" w:themeColor="background1"/>
              </w:rPr>
            </w:pPr>
          </w:p>
        </w:tc>
        <w:tc>
          <w:tcPr>
            <w:tcW w:w="2494" w:type="dxa"/>
            <w:shd w:val="clear" w:color="auto" w:fill="5B9BD5" w:themeFill="accent5"/>
            <w:vAlign w:val="center"/>
          </w:tcPr>
          <w:p w14:paraId="156345F3" w14:textId="7DE1C4F1" w:rsidR="00055A36" w:rsidRPr="00055A36" w:rsidRDefault="00055A36" w:rsidP="00156C23">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055A36">
              <w:rPr>
                <w:b/>
                <w:bCs/>
                <w:color w:val="FFFFFF" w:themeColor="background1"/>
                <w:szCs w:val="24"/>
              </w:rPr>
              <w:t>Trop-I levels</w:t>
            </w:r>
          </w:p>
        </w:tc>
        <w:tc>
          <w:tcPr>
            <w:tcW w:w="2196" w:type="dxa"/>
            <w:shd w:val="clear" w:color="auto" w:fill="5B9BD5" w:themeFill="accent5"/>
            <w:vAlign w:val="center"/>
          </w:tcPr>
          <w:p w14:paraId="79920B19" w14:textId="7B8246A3" w:rsidR="00055A36" w:rsidRPr="00055A36" w:rsidRDefault="00055A36" w:rsidP="00156C23">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055A36">
              <w:rPr>
                <w:b/>
                <w:bCs/>
                <w:color w:val="FFFFFF" w:themeColor="background1"/>
                <w:szCs w:val="24"/>
              </w:rPr>
              <w:t>D-dimer levels</w:t>
            </w:r>
          </w:p>
        </w:tc>
        <w:tc>
          <w:tcPr>
            <w:tcW w:w="2196" w:type="dxa"/>
            <w:shd w:val="clear" w:color="auto" w:fill="5B9BD5" w:themeFill="accent5"/>
            <w:vAlign w:val="center"/>
          </w:tcPr>
          <w:p w14:paraId="144AF141" w14:textId="506B5A8E" w:rsidR="00055A36" w:rsidRPr="00055A36" w:rsidRDefault="00055A36" w:rsidP="00156C23">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055A36">
              <w:rPr>
                <w:b/>
                <w:bCs/>
                <w:color w:val="FFFFFF" w:themeColor="background1"/>
                <w:szCs w:val="24"/>
              </w:rPr>
              <w:t>NT-pro BNP levels</w:t>
            </w:r>
          </w:p>
        </w:tc>
      </w:tr>
      <w:tr w:rsidR="00055A36" w14:paraId="74BE0AC4" w14:textId="1A15F553" w:rsidTr="00055A36">
        <w:trPr>
          <w:trHeight w:val="337"/>
          <w:jc w:val="center"/>
        </w:trPr>
        <w:tc>
          <w:tcPr>
            <w:cnfStyle w:val="001000000000" w:firstRow="0" w:lastRow="0" w:firstColumn="1" w:lastColumn="0" w:oddVBand="0" w:evenVBand="0" w:oddHBand="0" w:evenHBand="0" w:firstRowFirstColumn="0" w:firstRowLastColumn="0" w:lastRowFirstColumn="0" w:lastRowLastColumn="0"/>
            <w:tcW w:w="1672" w:type="dxa"/>
            <w:vAlign w:val="center"/>
          </w:tcPr>
          <w:p w14:paraId="3428D452" w14:textId="417FADCE" w:rsidR="00055A36" w:rsidRDefault="00055A36" w:rsidP="00156C23">
            <w:pPr>
              <w:spacing w:line="360" w:lineRule="auto"/>
              <w:ind w:left="0" w:firstLine="0"/>
              <w:jc w:val="center"/>
              <w:rPr>
                <w:b w:val="0"/>
                <w:bCs w:val="0"/>
                <w:color w:val="auto"/>
              </w:rPr>
            </w:pPr>
            <w:r>
              <w:rPr>
                <w:szCs w:val="24"/>
              </w:rPr>
              <w:t>NORMAL</w:t>
            </w:r>
          </w:p>
        </w:tc>
        <w:tc>
          <w:tcPr>
            <w:tcW w:w="2494" w:type="dxa"/>
            <w:vAlign w:val="center"/>
          </w:tcPr>
          <w:p w14:paraId="1D66295B" w14:textId="3ED222E1" w:rsidR="00055A36" w:rsidRDefault="00055A36" w:rsidP="00156C23">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color w:val="auto"/>
              </w:rPr>
            </w:pPr>
            <w:r>
              <w:rPr>
                <w:szCs w:val="24"/>
              </w:rPr>
              <w:t>19.47% (43)</w:t>
            </w:r>
          </w:p>
        </w:tc>
        <w:tc>
          <w:tcPr>
            <w:tcW w:w="2196" w:type="dxa"/>
            <w:vAlign w:val="center"/>
          </w:tcPr>
          <w:p w14:paraId="654E3F57" w14:textId="7DC50A0F" w:rsidR="00055A36" w:rsidRDefault="00055A36" w:rsidP="00156C23">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szCs w:val="24"/>
              </w:rPr>
              <w:t>17 (7.68%)</w:t>
            </w:r>
          </w:p>
        </w:tc>
        <w:tc>
          <w:tcPr>
            <w:tcW w:w="2196" w:type="dxa"/>
            <w:vAlign w:val="center"/>
          </w:tcPr>
          <w:p w14:paraId="57713928" w14:textId="25CC9AE2" w:rsidR="00055A36" w:rsidRDefault="004463DF" w:rsidP="00156C23">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szCs w:val="24"/>
              </w:rPr>
              <w:t>18 (</w:t>
            </w:r>
            <w:r w:rsidR="00055A36">
              <w:rPr>
                <w:szCs w:val="24"/>
              </w:rPr>
              <w:t>21.5%</w:t>
            </w:r>
            <w:r>
              <w:rPr>
                <w:szCs w:val="24"/>
              </w:rPr>
              <w:t>)</w:t>
            </w:r>
          </w:p>
        </w:tc>
      </w:tr>
      <w:tr w:rsidR="00055A36" w14:paraId="6AC86469" w14:textId="2DAAA2BA" w:rsidTr="00055A36">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1672" w:type="dxa"/>
            <w:vAlign w:val="center"/>
          </w:tcPr>
          <w:p w14:paraId="39AFFE69" w14:textId="3750EE0D" w:rsidR="00055A36" w:rsidRDefault="00055A36" w:rsidP="00156C23">
            <w:pPr>
              <w:spacing w:line="360" w:lineRule="auto"/>
              <w:ind w:left="0" w:firstLine="0"/>
              <w:jc w:val="center"/>
              <w:rPr>
                <w:b w:val="0"/>
                <w:bCs w:val="0"/>
                <w:color w:val="auto"/>
              </w:rPr>
            </w:pPr>
            <w:r>
              <w:rPr>
                <w:szCs w:val="24"/>
              </w:rPr>
              <w:t>ABNORMAL</w:t>
            </w:r>
          </w:p>
        </w:tc>
        <w:tc>
          <w:tcPr>
            <w:tcW w:w="2494" w:type="dxa"/>
            <w:vAlign w:val="center"/>
          </w:tcPr>
          <w:p w14:paraId="2FBFC9B4" w14:textId="3643DD29" w:rsidR="00055A36" w:rsidRDefault="00055A36" w:rsidP="00156C23">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auto"/>
              </w:rPr>
            </w:pPr>
            <w:r>
              <w:rPr>
                <w:szCs w:val="24"/>
              </w:rPr>
              <w:t>44.83% (99)</w:t>
            </w:r>
          </w:p>
        </w:tc>
        <w:tc>
          <w:tcPr>
            <w:tcW w:w="2196" w:type="dxa"/>
            <w:vAlign w:val="center"/>
          </w:tcPr>
          <w:p w14:paraId="1C6BC69B" w14:textId="0B1FE600" w:rsidR="00055A36" w:rsidRDefault="00055A36" w:rsidP="00156C23">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rPr>
            </w:pPr>
            <w:r>
              <w:rPr>
                <w:szCs w:val="24"/>
              </w:rPr>
              <w:t>62 (28.01%)</w:t>
            </w:r>
          </w:p>
        </w:tc>
        <w:tc>
          <w:tcPr>
            <w:tcW w:w="2196" w:type="dxa"/>
            <w:vAlign w:val="center"/>
          </w:tcPr>
          <w:p w14:paraId="06318254" w14:textId="76F67D0E" w:rsidR="00055A36" w:rsidRDefault="004463DF" w:rsidP="00156C23">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rPr>
            </w:pPr>
            <w:r>
              <w:rPr>
                <w:szCs w:val="24"/>
              </w:rPr>
              <w:t>182 (</w:t>
            </w:r>
            <w:r w:rsidR="00055A36">
              <w:rPr>
                <w:szCs w:val="24"/>
              </w:rPr>
              <w:t>78.5%</w:t>
            </w:r>
            <w:r>
              <w:rPr>
                <w:szCs w:val="24"/>
              </w:rPr>
              <w:t>)</w:t>
            </w:r>
          </w:p>
        </w:tc>
      </w:tr>
      <w:tr w:rsidR="00055A36" w14:paraId="178524B5" w14:textId="3461924E" w:rsidTr="00055A36">
        <w:trPr>
          <w:trHeight w:val="337"/>
          <w:jc w:val="center"/>
        </w:trPr>
        <w:tc>
          <w:tcPr>
            <w:cnfStyle w:val="001000000000" w:firstRow="0" w:lastRow="0" w:firstColumn="1" w:lastColumn="0" w:oddVBand="0" w:evenVBand="0" w:oddHBand="0" w:evenHBand="0" w:firstRowFirstColumn="0" w:firstRowLastColumn="0" w:lastRowFirstColumn="0" w:lastRowLastColumn="0"/>
            <w:tcW w:w="1672" w:type="dxa"/>
            <w:vAlign w:val="center"/>
          </w:tcPr>
          <w:p w14:paraId="528C5369" w14:textId="592F603F" w:rsidR="00055A36" w:rsidRDefault="00055A36" w:rsidP="00156C23">
            <w:pPr>
              <w:spacing w:line="360" w:lineRule="auto"/>
              <w:ind w:left="0" w:firstLine="0"/>
              <w:jc w:val="center"/>
              <w:rPr>
                <w:b w:val="0"/>
                <w:bCs w:val="0"/>
                <w:color w:val="auto"/>
              </w:rPr>
            </w:pPr>
            <w:r>
              <w:rPr>
                <w:szCs w:val="24"/>
              </w:rPr>
              <w:t>TOTAL</w:t>
            </w:r>
          </w:p>
        </w:tc>
        <w:tc>
          <w:tcPr>
            <w:tcW w:w="2494" w:type="dxa"/>
            <w:vAlign w:val="center"/>
          </w:tcPr>
          <w:p w14:paraId="6C68D1A9" w14:textId="632D1DC6" w:rsidR="00055A36" w:rsidRDefault="00055A36" w:rsidP="00156C23">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color w:val="auto"/>
              </w:rPr>
            </w:pPr>
            <w:r>
              <w:rPr>
                <w:b/>
                <w:szCs w:val="24"/>
              </w:rPr>
              <w:t>64.3% (142)</w:t>
            </w:r>
          </w:p>
        </w:tc>
        <w:tc>
          <w:tcPr>
            <w:tcW w:w="2196" w:type="dxa"/>
            <w:vAlign w:val="center"/>
          </w:tcPr>
          <w:p w14:paraId="67F34289" w14:textId="61C74DE9" w:rsidR="00055A36" w:rsidRDefault="00055A36" w:rsidP="00156C23">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b/>
                <w:szCs w:val="24"/>
              </w:rPr>
              <w:t>79 (35.7%)</w:t>
            </w:r>
          </w:p>
        </w:tc>
        <w:tc>
          <w:tcPr>
            <w:tcW w:w="2196" w:type="dxa"/>
            <w:vAlign w:val="center"/>
          </w:tcPr>
          <w:p w14:paraId="1E36803F" w14:textId="70C52A5F" w:rsidR="00055A36" w:rsidRDefault="00055A36" w:rsidP="00156C23">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b/>
                <w:szCs w:val="24"/>
              </w:rPr>
              <w:t>100% (200)</w:t>
            </w:r>
          </w:p>
        </w:tc>
      </w:tr>
    </w:tbl>
    <w:p w14:paraId="7BEEEFCD" w14:textId="77777777" w:rsidR="00092150" w:rsidRDefault="00092150" w:rsidP="00156C23">
      <w:pPr>
        <w:spacing w:after="0" w:line="360" w:lineRule="auto"/>
        <w:ind w:left="0" w:firstLine="0"/>
        <w:jc w:val="left"/>
        <w:rPr>
          <w:rFonts w:eastAsia="Calibri"/>
          <w:b/>
          <w:bCs/>
          <w:szCs w:val="24"/>
          <w:lang w:val="en-US"/>
        </w:rPr>
      </w:pPr>
    </w:p>
    <w:p w14:paraId="407E280A" w14:textId="2F13ECDE" w:rsidR="00462466" w:rsidRPr="00D30A81" w:rsidRDefault="00D30A81" w:rsidP="00156C23">
      <w:pPr>
        <w:spacing w:line="360" w:lineRule="auto"/>
        <w:ind w:left="0" w:firstLine="0"/>
        <w:rPr>
          <w:b/>
          <w:szCs w:val="24"/>
          <w:lang w:val="en-US"/>
        </w:rPr>
      </w:pPr>
      <w:r>
        <w:rPr>
          <w:b/>
          <w:szCs w:val="24"/>
          <w:lang w:val="en-US"/>
        </w:rPr>
        <w:t xml:space="preserve">Table 3: </w:t>
      </w:r>
      <w:r w:rsidR="0065184B">
        <w:rPr>
          <w:b/>
          <w:szCs w:val="24"/>
          <w:lang w:val="en-US"/>
        </w:rPr>
        <w:t xml:space="preserve">NT pro-BNP </w:t>
      </w:r>
      <w:r w:rsidR="00720A7D">
        <w:rPr>
          <w:b/>
          <w:szCs w:val="24"/>
          <w:lang w:val="en-US"/>
        </w:rPr>
        <w:t>range-based</w:t>
      </w:r>
      <w:r w:rsidR="0065184B">
        <w:rPr>
          <w:b/>
          <w:szCs w:val="24"/>
          <w:lang w:val="en-US"/>
        </w:rPr>
        <w:t xml:space="preserve"> distribution</w:t>
      </w:r>
    </w:p>
    <w:tbl>
      <w:tblPr>
        <w:tblStyle w:val="GridTable4-Accent5"/>
        <w:tblW w:w="7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984"/>
        <w:gridCol w:w="2211"/>
      </w:tblGrid>
      <w:tr w:rsidR="0065184B" w:rsidRPr="00055A36" w14:paraId="3FCEF91E" w14:textId="77777777" w:rsidTr="0065184B">
        <w:trPr>
          <w:cnfStyle w:val="100000000000" w:firstRow="1" w:lastRow="0" w:firstColumn="0" w:lastColumn="0" w:oddVBand="0" w:evenVBand="0" w:oddHBand="0" w:evenHBand="0" w:firstRowFirstColumn="0" w:firstRowLastColumn="0" w:lastRowFirstColumn="0" w:lastRowLastColumn="0"/>
          <w:trHeight w:val="631"/>
          <w:jc w:val="center"/>
        </w:trPr>
        <w:tc>
          <w:tcPr>
            <w:cnfStyle w:val="001000000000" w:firstRow="0" w:lastRow="0" w:firstColumn="1" w:lastColumn="0" w:oddVBand="0" w:evenVBand="0" w:oddHBand="0" w:evenHBand="0" w:firstRowFirstColumn="0" w:firstRowLastColumn="0" w:lastRowFirstColumn="0" w:lastRowLastColumn="0"/>
            <w:tcW w:w="3256" w:type="dxa"/>
            <w:vMerge w:val="restart"/>
            <w:tcBorders>
              <w:top w:val="none" w:sz="0" w:space="0" w:color="auto"/>
              <w:left w:val="none" w:sz="0" w:space="0" w:color="auto"/>
              <w:bottom w:val="none" w:sz="0" w:space="0" w:color="auto"/>
              <w:right w:val="none" w:sz="0" w:space="0" w:color="auto"/>
            </w:tcBorders>
            <w:vAlign w:val="center"/>
          </w:tcPr>
          <w:p w14:paraId="61FFF099" w14:textId="6468232D" w:rsidR="0065184B" w:rsidRPr="00055A36" w:rsidRDefault="0065184B" w:rsidP="00156C23">
            <w:pPr>
              <w:spacing w:line="360" w:lineRule="auto"/>
              <w:ind w:left="0"/>
              <w:jc w:val="center"/>
              <w:rPr>
                <w:color w:val="FFFFFF" w:themeColor="background1"/>
              </w:rPr>
            </w:pPr>
            <w:r w:rsidRPr="0065184B">
              <w:rPr>
                <w:color w:val="FFFFFF" w:themeColor="background1"/>
                <w:szCs w:val="24"/>
              </w:rPr>
              <w:t xml:space="preserve">NT pro-BNP </w:t>
            </w:r>
            <w:r w:rsidRPr="0065184B">
              <w:rPr>
                <w:color w:val="FFFFFF" w:themeColor="background1"/>
              </w:rPr>
              <w:t>Range</w:t>
            </w:r>
          </w:p>
        </w:tc>
        <w:tc>
          <w:tcPr>
            <w:tcW w:w="4195" w:type="dxa"/>
            <w:gridSpan w:val="2"/>
            <w:tcBorders>
              <w:top w:val="none" w:sz="0" w:space="0" w:color="auto"/>
              <w:left w:val="none" w:sz="0" w:space="0" w:color="auto"/>
              <w:bottom w:val="none" w:sz="0" w:space="0" w:color="auto"/>
              <w:right w:val="none" w:sz="0" w:space="0" w:color="auto"/>
            </w:tcBorders>
            <w:vAlign w:val="center"/>
          </w:tcPr>
          <w:p w14:paraId="7D4BB44D" w14:textId="1632D014" w:rsidR="0065184B" w:rsidRPr="00055A36" w:rsidRDefault="00D53710" w:rsidP="00156C23">
            <w:pPr>
              <w:spacing w:line="360" w:lineRule="auto"/>
              <w:ind w:left="0" w:firstLine="0"/>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Pr>
                <w:color w:val="FFFFFF" w:themeColor="background1"/>
              </w:rPr>
              <w:t>Number</w:t>
            </w:r>
            <w:r w:rsidR="0065184B" w:rsidRPr="00055A36">
              <w:rPr>
                <w:color w:val="FFFFFF" w:themeColor="background1"/>
              </w:rPr>
              <w:t xml:space="preserve"> of patients (</w:t>
            </w:r>
            <w:r w:rsidR="00D06BA0">
              <w:rPr>
                <w:color w:val="FFFFFF" w:themeColor="background1"/>
              </w:rPr>
              <w:t>%</w:t>
            </w:r>
            <w:r w:rsidR="0065184B" w:rsidRPr="00055A36">
              <w:rPr>
                <w:color w:val="FFFFFF" w:themeColor="background1"/>
              </w:rPr>
              <w:t>)</w:t>
            </w:r>
          </w:p>
        </w:tc>
      </w:tr>
      <w:tr w:rsidR="0065184B" w:rsidRPr="00055A36" w14:paraId="6CC453A3" w14:textId="77777777" w:rsidTr="0065184B">
        <w:trPr>
          <w:cnfStyle w:val="000000100000" w:firstRow="0" w:lastRow="0" w:firstColumn="0" w:lastColumn="0" w:oddVBand="0" w:evenVBand="0" w:oddHBand="1" w:evenHBand="0" w:firstRowFirstColumn="0" w:firstRowLastColumn="0" w:lastRowFirstColumn="0" w:lastRowLastColumn="0"/>
          <w:trHeight w:val="631"/>
          <w:jc w:val="center"/>
        </w:trPr>
        <w:tc>
          <w:tcPr>
            <w:cnfStyle w:val="001000000000" w:firstRow="0" w:lastRow="0" w:firstColumn="1" w:lastColumn="0" w:oddVBand="0" w:evenVBand="0" w:oddHBand="0" w:evenHBand="0" w:firstRowFirstColumn="0" w:firstRowLastColumn="0" w:lastRowFirstColumn="0" w:lastRowLastColumn="0"/>
            <w:tcW w:w="3256" w:type="dxa"/>
            <w:vMerge/>
            <w:vAlign w:val="center"/>
          </w:tcPr>
          <w:p w14:paraId="0237D143" w14:textId="3BC06FB1" w:rsidR="0065184B" w:rsidRPr="00055A36" w:rsidRDefault="0065184B" w:rsidP="00156C23">
            <w:pPr>
              <w:spacing w:line="360" w:lineRule="auto"/>
              <w:ind w:left="0" w:firstLine="0"/>
              <w:jc w:val="center"/>
              <w:rPr>
                <w:color w:val="FFFFFF" w:themeColor="background1"/>
              </w:rPr>
            </w:pPr>
          </w:p>
        </w:tc>
        <w:tc>
          <w:tcPr>
            <w:tcW w:w="1984" w:type="dxa"/>
            <w:shd w:val="clear" w:color="auto" w:fill="5B9BD5" w:themeFill="accent5"/>
            <w:vAlign w:val="center"/>
          </w:tcPr>
          <w:p w14:paraId="3263B741" w14:textId="4F52E0C8" w:rsidR="0065184B" w:rsidRPr="00055A36" w:rsidRDefault="0065184B" w:rsidP="00156C23">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Pr>
                <w:b/>
                <w:bCs/>
                <w:color w:val="FFFFFF" w:themeColor="background1"/>
                <w:szCs w:val="24"/>
              </w:rPr>
              <w:t>Dyspnoea</w:t>
            </w:r>
          </w:p>
        </w:tc>
        <w:tc>
          <w:tcPr>
            <w:tcW w:w="2211" w:type="dxa"/>
            <w:shd w:val="clear" w:color="auto" w:fill="5B9BD5" w:themeFill="accent5"/>
            <w:vAlign w:val="center"/>
          </w:tcPr>
          <w:p w14:paraId="367A1022" w14:textId="19DE6B54" w:rsidR="0065184B" w:rsidRPr="00055A36" w:rsidRDefault="0065184B" w:rsidP="00156C23">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Pr>
                <w:b/>
                <w:bCs/>
                <w:color w:val="FFFFFF" w:themeColor="background1"/>
              </w:rPr>
              <w:t>Non-</w:t>
            </w:r>
            <w:r>
              <w:rPr>
                <w:b/>
                <w:bCs/>
                <w:color w:val="FFFFFF" w:themeColor="background1"/>
                <w:szCs w:val="24"/>
              </w:rPr>
              <w:t>Dyspnoea</w:t>
            </w:r>
          </w:p>
        </w:tc>
      </w:tr>
      <w:tr w:rsidR="0065184B" w14:paraId="4EA1FBB9" w14:textId="77777777" w:rsidTr="00C67E72">
        <w:trPr>
          <w:trHeight w:val="314"/>
          <w:jc w:val="center"/>
        </w:trPr>
        <w:tc>
          <w:tcPr>
            <w:cnfStyle w:val="001000000000" w:firstRow="0" w:lastRow="0" w:firstColumn="1" w:lastColumn="0" w:oddVBand="0" w:evenVBand="0" w:oddHBand="0" w:evenHBand="0" w:firstRowFirstColumn="0" w:firstRowLastColumn="0" w:lastRowFirstColumn="0" w:lastRowLastColumn="0"/>
            <w:tcW w:w="3256" w:type="dxa"/>
          </w:tcPr>
          <w:p w14:paraId="42C97E04" w14:textId="3B789A72" w:rsidR="0065184B" w:rsidRDefault="0065184B" w:rsidP="00156C23">
            <w:pPr>
              <w:spacing w:line="360" w:lineRule="auto"/>
              <w:ind w:left="0" w:firstLine="0"/>
              <w:jc w:val="center"/>
              <w:rPr>
                <w:b w:val="0"/>
                <w:bCs w:val="0"/>
                <w:color w:val="auto"/>
              </w:rPr>
            </w:pPr>
            <w:r>
              <w:rPr>
                <w:szCs w:val="24"/>
              </w:rPr>
              <w:t xml:space="preserve">NORMAL (&lt;400 </w:t>
            </w:r>
            <w:proofErr w:type="spellStart"/>
            <w:r>
              <w:rPr>
                <w:szCs w:val="24"/>
              </w:rPr>
              <w:t>pg</w:t>
            </w:r>
            <w:proofErr w:type="spellEnd"/>
            <w:r>
              <w:rPr>
                <w:szCs w:val="24"/>
              </w:rPr>
              <w:t>/ml)</w:t>
            </w:r>
          </w:p>
        </w:tc>
        <w:tc>
          <w:tcPr>
            <w:tcW w:w="1984" w:type="dxa"/>
          </w:tcPr>
          <w:p w14:paraId="46F42536" w14:textId="07912406" w:rsidR="0065184B" w:rsidRDefault="0065184B" w:rsidP="00156C23">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color w:val="auto"/>
              </w:rPr>
            </w:pPr>
            <w:r>
              <w:rPr>
                <w:szCs w:val="24"/>
              </w:rPr>
              <w:t>17</w:t>
            </w:r>
            <w:r w:rsidR="00D06BA0">
              <w:rPr>
                <w:szCs w:val="24"/>
              </w:rPr>
              <w:t xml:space="preserve"> (12.3%)</w:t>
            </w:r>
          </w:p>
        </w:tc>
        <w:tc>
          <w:tcPr>
            <w:tcW w:w="2211" w:type="dxa"/>
          </w:tcPr>
          <w:p w14:paraId="1F446694" w14:textId="1A2528F6" w:rsidR="0065184B" w:rsidRDefault="0065184B" w:rsidP="00156C23">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szCs w:val="24"/>
              </w:rPr>
              <w:t>6</w:t>
            </w:r>
            <w:r w:rsidR="007322D9">
              <w:rPr>
                <w:szCs w:val="24"/>
              </w:rPr>
              <w:t xml:space="preserve"> (9.7</w:t>
            </w:r>
            <w:r w:rsidR="0064124B">
              <w:rPr>
                <w:szCs w:val="24"/>
              </w:rPr>
              <w:t>%)</w:t>
            </w:r>
          </w:p>
        </w:tc>
      </w:tr>
      <w:tr w:rsidR="0065184B" w14:paraId="1CCC82C7" w14:textId="77777777" w:rsidTr="00C67E72">
        <w:trPr>
          <w:cnfStyle w:val="000000100000" w:firstRow="0" w:lastRow="0" w:firstColumn="0" w:lastColumn="0" w:oddVBand="0" w:evenVBand="0" w:oddHBand="1" w:evenHBand="0" w:firstRowFirstColumn="0" w:firstRowLastColumn="0" w:lastRowFirstColumn="0" w:lastRowLastColumn="0"/>
          <w:trHeight w:val="314"/>
          <w:jc w:val="center"/>
        </w:trPr>
        <w:tc>
          <w:tcPr>
            <w:cnfStyle w:val="001000000000" w:firstRow="0" w:lastRow="0" w:firstColumn="1" w:lastColumn="0" w:oddVBand="0" w:evenVBand="0" w:oddHBand="0" w:evenHBand="0" w:firstRowFirstColumn="0" w:firstRowLastColumn="0" w:lastRowFirstColumn="0" w:lastRowLastColumn="0"/>
            <w:tcW w:w="3256" w:type="dxa"/>
          </w:tcPr>
          <w:p w14:paraId="3742CB0A" w14:textId="08AAE297" w:rsidR="0065184B" w:rsidRDefault="0065184B" w:rsidP="00156C23">
            <w:pPr>
              <w:spacing w:line="360" w:lineRule="auto"/>
              <w:ind w:left="0" w:firstLine="0"/>
              <w:jc w:val="center"/>
              <w:rPr>
                <w:b w:val="0"/>
                <w:bCs w:val="0"/>
                <w:color w:val="auto"/>
              </w:rPr>
            </w:pPr>
            <w:r>
              <w:rPr>
                <w:szCs w:val="24"/>
              </w:rPr>
              <w:t xml:space="preserve">ABNORMAL (&gt;400 </w:t>
            </w:r>
            <w:proofErr w:type="spellStart"/>
            <w:r>
              <w:rPr>
                <w:szCs w:val="24"/>
              </w:rPr>
              <w:t>pg</w:t>
            </w:r>
            <w:proofErr w:type="spellEnd"/>
            <w:r>
              <w:rPr>
                <w:szCs w:val="24"/>
              </w:rPr>
              <w:t>/ml)</w:t>
            </w:r>
          </w:p>
        </w:tc>
        <w:tc>
          <w:tcPr>
            <w:tcW w:w="1984" w:type="dxa"/>
          </w:tcPr>
          <w:p w14:paraId="18740884" w14:textId="225D021A" w:rsidR="0065184B" w:rsidRDefault="007322D9" w:rsidP="007322D9">
            <w:pPr>
              <w:spacing w:line="360" w:lineRule="auto"/>
              <w:ind w:left="0" w:firstLine="0"/>
              <w:cnfStyle w:val="000000100000" w:firstRow="0" w:lastRow="0" w:firstColumn="0" w:lastColumn="0" w:oddVBand="0" w:evenVBand="0" w:oddHBand="1" w:evenHBand="0" w:firstRowFirstColumn="0" w:firstRowLastColumn="0" w:lastRowFirstColumn="0" w:lastRowLastColumn="0"/>
              <w:rPr>
                <w:b/>
                <w:bCs/>
                <w:color w:val="auto"/>
              </w:rPr>
            </w:pPr>
            <w:r>
              <w:rPr>
                <w:szCs w:val="24"/>
              </w:rPr>
              <w:t xml:space="preserve">    </w:t>
            </w:r>
            <w:r w:rsidR="0065184B">
              <w:rPr>
                <w:szCs w:val="24"/>
              </w:rPr>
              <w:t>121</w:t>
            </w:r>
            <w:r w:rsidR="00D06BA0">
              <w:rPr>
                <w:szCs w:val="24"/>
              </w:rPr>
              <w:t xml:space="preserve"> (87.7%)</w:t>
            </w:r>
          </w:p>
        </w:tc>
        <w:tc>
          <w:tcPr>
            <w:tcW w:w="2211" w:type="dxa"/>
          </w:tcPr>
          <w:p w14:paraId="3677672D" w14:textId="379AECE1" w:rsidR="0065184B" w:rsidRDefault="0065184B" w:rsidP="00156C23">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rPr>
            </w:pPr>
            <w:r>
              <w:rPr>
                <w:szCs w:val="24"/>
              </w:rPr>
              <w:t>56</w:t>
            </w:r>
            <w:r w:rsidR="0064124B">
              <w:rPr>
                <w:szCs w:val="24"/>
              </w:rPr>
              <w:t xml:space="preserve"> (90.3%)</w:t>
            </w:r>
          </w:p>
        </w:tc>
      </w:tr>
      <w:tr w:rsidR="0065184B" w14:paraId="15C0777A" w14:textId="77777777" w:rsidTr="00C67E72">
        <w:trPr>
          <w:trHeight w:val="314"/>
          <w:jc w:val="center"/>
        </w:trPr>
        <w:tc>
          <w:tcPr>
            <w:cnfStyle w:val="001000000000" w:firstRow="0" w:lastRow="0" w:firstColumn="1" w:lastColumn="0" w:oddVBand="0" w:evenVBand="0" w:oddHBand="0" w:evenHBand="0" w:firstRowFirstColumn="0" w:firstRowLastColumn="0" w:lastRowFirstColumn="0" w:lastRowLastColumn="0"/>
            <w:tcW w:w="3256" w:type="dxa"/>
          </w:tcPr>
          <w:p w14:paraId="6CC1C6E2" w14:textId="4A07E914" w:rsidR="0065184B" w:rsidRDefault="0065184B" w:rsidP="00156C23">
            <w:pPr>
              <w:spacing w:line="360" w:lineRule="auto"/>
              <w:ind w:left="0" w:firstLine="0"/>
              <w:jc w:val="center"/>
              <w:rPr>
                <w:b w:val="0"/>
                <w:bCs w:val="0"/>
                <w:color w:val="auto"/>
              </w:rPr>
            </w:pPr>
            <w:r>
              <w:rPr>
                <w:szCs w:val="24"/>
              </w:rPr>
              <w:t>TOTAL</w:t>
            </w:r>
          </w:p>
        </w:tc>
        <w:tc>
          <w:tcPr>
            <w:tcW w:w="1984" w:type="dxa"/>
          </w:tcPr>
          <w:p w14:paraId="60F7CDF3" w14:textId="6BCA978A" w:rsidR="0065184B" w:rsidRDefault="0065184B" w:rsidP="00156C23">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color w:val="auto"/>
              </w:rPr>
            </w:pPr>
            <w:r>
              <w:rPr>
                <w:b/>
                <w:szCs w:val="24"/>
              </w:rPr>
              <w:t>138</w:t>
            </w:r>
            <w:r w:rsidR="00D06BA0">
              <w:rPr>
                <w:b/>
                <w:szCs w:val="24"/>
              </w:rPr>
              <w:t xml:space="preserve"> </w:t>
            </w:r>
            <w:r w:rsidR="007322D9">
              <w:rPr>
                <w:b/>
                <w:szCs w:val="24"/>
              </w:rPr>
              <w:t>(100%)</w:t>
            </w:r>
          </w:p>
        </w:tc>
        <w:tc>
          <w:tcPr>
            <w:tcW w:w="2211" w:type="dxa"/>
          </w:tcPr>
          <w:p w14:paraId="1DA4DB3D" w14:textId="3FF9C36A" w:rsidR="0065184B" w:rsidRDefault="007322D9" w:rsidP="00156C23">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b/>
                <w:szCs w:val="24"/>
              </w:rPr>
              <w:t>62 (</w:t>
            </w:r>
            <w:r w:rsidR="0065184B">
              <w:rPr>
                <w:b/>
                <w:szCs w:val="24"/>
              </w:rPr>
              <w:t>100%</w:t>
            </w:r>
            <w:r>
              <w:rPr>
                <w:b/>
                <w:szCs w:val="24"/>
              </w:rPr>
              <w:t>)</w:t>
            </w:r>
          </w:p>
        </w:tc>
      </w:tr>
    </w:tbl>
    <w:p w14:paraId="0113FA7F" w14:textId="77777777" w:rsidR="00462466" w:rsidRDefault="00462466" w:rsidP="00156C23">
      <w:pPr>
        <w:spacing w:after="200" w:line="360" w:lineRule="auto"/>
        <w:ind w:left="0" w:firstLine="0"/>
        <w:rPr>
          <w:rFonts w:eastAsia="SimSun"/>
          <w:b/>
          <w:bCs/>
          <w:color w:val="auto"/>
          <w:sz w:val="18"/>
          <w:szCs w:val="18"/>
          <w:lang w:val="en-US" w:eastAsia="zh-CN"/>
        </w:rPr>
      </w:pPr>
    </w:p>
    <w:p w14:paraId="6581B9BD" w14:textId="62EF3298" w:rsidR="007276D8" w:rsidRPr="007276D8" w:rsidRDefault="007276D8" w:rsidP="007276D8">
      <w:pPr>
        <w:spacing w:line="360" w:lineRule="auto"/>
        <w:ind w:left="0" w:firstLine="0"/>
        <w:rPr>
          <w:b/>
          <w:szCs w:val="24"/>
          <w:lang w:val="en"/>
        </w:rPr>
      </w:pPr>
      <w:r w:rsidRPr="007276D8">
        <w:rPr>
          <w:b/>
          <w:szCs w:val="24"/>
          <w:lang w:val="en"/>
        </w:rPr>
        <w:t xml:space="preserve">Table </w:t>
      </w:r>
      <w:r>
        <w:rPr>
          <w:b/>
          <w:szCs w:val="24"/>
          <w:lang w:val="en"/>
        </w:rPr>
        <w:t>4</w:t>
      </w:r>
      <w:r w:rsidRPr="007276D8">
        <w:rPr>
          <w:b/>
          <w:szCs w:val="24"/>
          <w:lang w:val="en"/>
        </w:rPr>
        <w:t>: Frequency distribution of dyspnea cases in various systems</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7276D8" w:rsidRPr="007276D8" w14:paraId="3ABF673B" w14:textId="77777777" w:rsidTr="007276D8">
        <w:trPr>
          <w:tblHeader/>
          <w:jc w:val="center"/>
        </w:trPr>
        <w:tc>
          <w:tcPr>
            <w:tcW w:w="3120" w:type="dxa"/>
            <w:tcBorders>
              <w:top w:val="single" w:sz="8" w:space="0" w:color="000000"/>
              <w:left w:val="single" w:sz="8" w:space="0" w:color="000000"/>
              <w:bottom w:val="single" w:sz="8" w:space="0" w:color="000000"/>
              <w:right w:val="single" w:sz="8" w:space="0" w:color="000000"/>
            </w:tcBorders>
            <w:shd w:val="clear" w:color="auto" w:fill="D5A6BD"/>
            <w:tcMar>
              <w:top w:w="100" w:type="dxa"/>
              <w:left w:w="100" w:type="dxa"/>
              <w:bottom w:w="100" w:type="dxa"/>
              <w:right w:w="100" w:type="dxa"/>
            </w:tcMar>
            <w:vAlign w:val="center"/>
            <w:hideMark/>
          </w:tcPr>
          <w:p w14:paraId="3CBF7AAD" w14:textId="77777777" w:rsidR="007276D8" w:rsidRPr="007276D8" w:rsidRDefault="007276D8" w:rsidP="007276D8">
            <w:pPr>
              <w:spacing w:line="360" w:lineRule="auto"/>
              <w:ind w:left="0" w:firstLine="0"/>
              <w:jc w:val="center"/>
              <w:rPr>
                <w:b/>
                <w:szCs w:val="24"/>
                <w:lang w:val="en"/>
              </w:rPr>
            </w:pPr>
            <w:r w:rsidRPr="007276D8">
              <w:rPr>
                <w:b/>
                <w:szCs w:val="24"/>
                <w:lang w:val="en"/>
              </w:rPr>
              <w:lastRenderedPageBreak/>
              <w:t>SYSTEMS</w:t>
            </w:r>
          </w:p>
        </w:tc>
        <w:tc>
          <w:tcPr>
            <w:tcW w:w="3120" w:type="dxa"/>
            <w:tcBorders>
              <w:top w:val="single" w:sz="8" w:space="0" w:color="000000"/>
              <w:left w:val="single" w:sz="8" w:space="0" w:color="000000"/>
              <w:bottom w:val="single" w:sz="8" w:space="0" w:color="000000"/>
              <w:right w:val="single" w:sz="8" w:space="0" w:color="000000"/>
            </w:tcBorders>
            <w:shd w:val="clear" w:color="auto" w:fill="D5A6BD"/>
            <w:tcMar>
              <w:top w:w="100" w:type="dxa"/>
              <w:left w:w="100" w:type="dxa"/>
              <w:bottom w:w="100" w:type="dxa"/>
              <w:right w:w="100" w:type="dxa"/>
            </w:tcMar>
            <w:vAlign w:val="center"/>
            <w:hideMark/>
          </w:tcPr>
          <w:p w14:paraId="18D211B9" w14:textId="77777777" w:rsidR="007276D8" w:rsidRPr="007276D8" w:rsidRDefault="007276D8" w:rsidP="007276D8">
            <w:pPr>
              <w:spacing w:line="360" w:lineRule="auto"/>
              <w:ind w:left="0" w:firstLine="0"/>
              <w:jc w:val="center"/>
              <w:rPr>
                <w:b/>
                <w:szCs w:val="24"/>
                <w:lang w:val="en"/>
              </w:rPr>
            </w:pPr>
            <w:r w:rsidRPr="007276D8">
              <w:rPr>
                <w:b/>
                <w:szCs w:val="24"/>
                <w:lang w:val="en"/>
              </w:rPr>
              <w:t>NORMAL (n=17)</w:t>
            </w:r>
          </w:p>
        </w:tc>
        <w:tc>
          <w:tcPr>
            <w:tcW w:w="3120" w:type="dxa"/>
            <w:tcBorders>
              <w:top w:val="single" w:sz="8" w:space="0" w:color="000000"/>
              <w:left w:val="single" w:sz="8" w:space="0" w:color="000000"/>
              <w:bottom w:val="single" w:sz="8" w:space="0" w:color="000000"/>
              <w:right w:val="single" w:sz="8" w:space="0" w:color="000000"/>
            </w:tcBorders>
            <w:shd w:val="clear" w:color="auto" w:fill="D5A6BD"/>
            <w:tcMar>
              <w:top w:w="100" w:type="dxa"/>
              <w:left w:w="100" w:type="dxa"/>
              <w:bottom w:w="100" w:type="dxa"/>
              <w:right w:w="100" w:type="dxa"/>
            </w:tcMar>
            <w:vAlign w:val="center"/>
            <w:hideMark/>
          </w:tcPr>
          <w:p w14:paraId="4DFE95A3" w14:textId="77777777" w:rsidR="007276D8" w:rsidRPr="007276D8" w:rsidRDefault="007276D8" w:rsidP="007276D8">
            <w:pPr>
              <w:spacing w:line="360" w:lineRule="auto"/>
              <w:ind w:left="0" w:firstLine="0"/>
              <w:jc w:val="center"/>
              <w:rPr>
                <w:b/>
                <w:szCs w:val="24"/>
                <w:lang w:val="en"/>
              </w:rPr>
            </w:pPr>
            <w:r w:rsidRPr="007276D8">
              <w:rPr>
                <w:b/>
                <w:szCs w:val="24"/>
                <w:lang w:val="en"/>
              </w:rPr>
              <w:t>ABNORMAL (n=121)</w:t>
            </w:r>
          </w:p>
        </w:tc>
      </w:tr>
      <w:tr w:rsidR="007276D8" w:rsidRPr="007276D8" w14:paraId="294CA325" w14:textId="77777777" w:rsidTr="007276D8">
        <w:trPr>
          <w:tblHeader/>
          <w:jc w:val="center"/>
        </w:trPr>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5BE8142E" w14:textId="77777777" w:rsidR="007276D8" w:rsidRPr="007276D8" w:rsidRDefault="007276D8" w:rsidP="007276D8">
            <w:pPr>
              <w:spacing w:line="360" w:lineRule="auto"/>
              <w:ind w:left="0" w:firstLine="0"/>
              <w:jc w:val="center"/>
              <w:rPr>
                <w:b/>
                <w:szCs w:val="24"/>
                <w:lang w:val="en"/>
              </w:rPr>
            </w:pPr>
            <w:r w:rsidRPr="007276D8">
              <w:rPr>
                <w:b/>
                <w:szCs w:val="24"/>
                <w:lang w:val="en"/>
              </w:rPr>
              <w:t>RESPIRATORY</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715B0911" w14:textId="77777777" w:rsidR="007276D8" w:rsidRPr="007276D8" w:rsidRDefault="007276D8" w:rsidP="007276D8">
            <w:pPr>
              <w:spacing w:line="360" w:lineRule="auto"/>
              <w:ind w:left="0" w:firstLine="0"/>
              <w:jc w:val="center"/>
              <w:rPr>
                <w:b/>
                <w:szCs w:val="24"/>
                <w:lang w:val="en"/>
              </w:rPr>
            </w:pPr>
            <w:r w:rsidRPr="007276D8">
              <w:rPr>
                <w:b/>
                <w:szCs w:val="24"/>
                <w:lang w:val="en"/>
              </w:rPr>
              <w:t>13</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4C77C1A5" w14:textId="77777777" w:rsidR="007276D8" w:rsidRPr="007276D8" w:rsidRDefault="007276D8" w:rsidP="007276D8">
            <w:pPr>
              <w:spacing w:line="360" w:lineRule="auto"/>
              <w:ind w:left="0" w:firstLine="0"/>
              <w:jc w:val="center"/>
              <w:rPr>
                <w:b/>
                <w:szCs w:val="24"/>
                <w:lang w:val="en"/>
              </w:rPr>
            </w:pPr>
            <w:r w:rsidRPr="007276D8">
              <w:rPr>
                <w:b/>
                <w:szCs w:val="24"/>
                <w:lang w:val="en"/>
              </w:rPr>
              <w:t>64</w:t>
            </w:r>
          </w:p>
        </w:tc>
      </w:tr>
      <w:tr w:rsidR="007276D8" w:rsidRPr="007276D8" w14:paraId="39BADCB1" w14:textId="77777777" w:rsidTr="007276D8">
        <w:trPr>
          <w:tblHeader/>
          <w:jc w:val="center"/>
        </w:trPr>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7C1B91DD" w14:textId="77777777" w:rsidR="007276D8" w:rsidRPr="007276D8" w:rsidRDefault="007276D8" w:rsidP="007276D8">
            <w:pPr>
              <w:spacing w:line="360" w:lineRule="auto"/>
              <w:ind w:left="0" w:firstLine="0"/>
              <w:jc w:val="center"/>
              <w:rPr>
                <w:b/>
                <w:szCs w:val="24"/>
                <w:lang w:val="en"/>
              </w:rPr>
            </w:pPr>
            <w:r w:rsidRPr="007276D8">
              <w:rPr>
                <w:b/>
                <w:szCs w:val="24"/>
                <w:lang w:val="en"/>
              </w:rPr>
              <w:t>CVS</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48B7B9CE" w14:textId="77777777" w:rsidR="007276D8" w:rsidRPr="007276D8" w:rsidRDefault="007276D8" w:rsidP="007276D8">
            <w:pPr>
              <w:spacing w:line="360" w:lineRule="auto"/>
              <w:ind w:left="0" w:firstLine="0"/>
              <w:jc w:val="center"/>
              <w:rPr>
                <w:b/>
                <w:szCs w:val="24"/>
                <w:lang w:val="en"/>
              </w:rPr>
            </w:pPr>
            <w:r w:rsidRPr="007276D8">
              <w:rPr>
                <w:b/>
                <w:szCs w:val="24"/>
                <w:lang w:val="en"/>
              </w:rPr>
              <w:t>2</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4B5FEAAD" w14:textId="77777777" w:rsidR="007276D8" w:rsidRPr="007276D8" w:rsidRDefault="007276D8" w:rsidP="007276D8">
            <w:pPr>
              <w:spacing w:line="360" w:lineRule="auto"/>
              <w:ind w:left="0" w:firstLine="0"/>
              <w:jc w:val="center"/>
              <w:rPr>
                <w:b/>
                <w:szCs w:val="24"/>
                <w:lang w:val="en"/>
              </w:rPr>
            </w:pPr>
            <w:r w:rsidRPr="007276D8">
              <w:rPr>
                <w:b/>
                <w:szCs w:val="24"/>
                <w:lang w:val="en"/>
              </w:rPr>
              <w:t>44</w:t>
            </w:r>
          </w:p>
        </w:tc>
      </w:tr>
      <w:tr w:rsidR="007276D8" w:rsidRPr="007276D8" w14:paraId="405195E8" w14:textId="77777777" w:rsidTr="007276D8">
        <w:trPr>
          <w:tblHeader/>
          <w:jc w:val="center"/>
        </w:trPr>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50B15714" w14:textId="77777777" w:rsidR="007276D8" w:rsidRPr="007276D8" w:rsidRDefault="007276D8" w:rsidP="007276D8">
            <w:pPr>
              <w:spacing w:line="360" w:lineRule="auto"/>
              <w:ind w:left="0" w:firstLine="0"/>
              <w:jc w:val="center"/>
              <w:rPr>
                <w:b/>
                <w:szCs w:val="24"/>
                <w:lang w:val="en"/>
              </w:rPr>
            </w:pPr>
            <w:r w:rsidRPr="007276D8">
              <w:rPr>
                <w:b/>
                <w:szCs w:val="24"/>
                <w:lang w:val="en"/>
              </w:rPr>
              <w:t>NEURO-ENDO</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3E667FDE" w14:textId="77777777" w:rsidR="007276D8" w:rsidRPr="007276D8" w:rsidRDefault="007276D8" w:rsidP="007276D8">
            <w:pPr>
              <w:spacing w:line="360" w:lineRule="auto"/>
              <w:ind w:left="0" w:firstLine="0"/>
              <w:jc w:val="center"/>
              <w:rPr>
                <w:b/>
                <w:szCs w:val="24"/>
                <w:lang w:val="en"/>
              </w:rPr>
            </w:pPr>
            <w:r w:rsidRPr="007276D8">
              <w:rPr>
                <w:b/>
                <w:szCs w:val="24"/>
                <w:lang w:val="en"/>
              </w:rPr>
              <w:t>1</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7D444D2C" w14:textId="77777777" w:rsidR="007276D8" w:rsidRPr="007276D8" w:rsidRDefault="007276D8" w:rsidP="007276D8">
            <w:pPr>
              <w:spacing w:line="360" w:lineRule="auto"/>
              <w:ind w:left="0" w:firstLine="0"/>
              <w:jc w:val="center"/>
              <w:rPr>
                <w:b/>
                <w:szCs w:val="24"/>
                <w:lang w:val="en"/>
              </w:rPr>
            </w:pPr>
            <w:r w:rsidRPr="007276D8">
              <w:rPr>
                <w:b/>
                <w:szCs w:val="24"/>
                <w:lang w:val="en"/>
              </w:rPr>
              <w:t>6</w:t>
            </w:r>
          </w:p>
        </w:tc>
      </w:tr>
      <w:tr w:rsidR="007276D8" w:rsidRPr="007276D8" w14:paraId="5A83C79C" w14:textId="77777777" w:rsidTr="007276D8">
        <w:trPr>
          <w:tblHeader/>
          <w:jc w:val="center"/>
        </w:trPr>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14F0C81D" w14:textId="77777777" w:rsidR="007276D8" w:rsidRPr="007276D8" w:rsidRDefault="007276D8" w:rsidP="007276D8">
            <w:pPr>
              <w:spacing w:line="360" w:lineRule="auto"/>
              <w:ind w:left="0" w:firstLine="0"/>
              <w:jc w:val="center"/>
              <w:rPr>
                <w:b/>
                <w:szCs w:val="24"/>
                <w:lang w:val="en"/>
              </w:rPr>
            </w:pPr>
            <w:r w:rsidRPr="007276D8">
              <w:rPr>
                <w:b/>
                <w:szCs w:val="24"/>
                <w:lang w:val="en"/>
              </w:rPr>
              <w:t>GASTRO/METABOLIC</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7439CA69" w14:textId="77777777" w:rsidR="007276D8" w:rsidRPr="007276D8" w:rsidRDefault="007276D8" w:rsidP="007276D8">
            <w:pPr>
              <w:spacing w:line="360" w:lineRule="auto"/>
              <w:ind w:left="0" w:firstLine="0"/>
              <w:jc w:val="center"/>
              <w:rPr>
                <w:b/>
                <w:szCs w:val="24"/>
                <w:lang w:val="en"/>
              </w:rPr>
            </w:pPr>
            <w:r w:rsidRPr="007276D8">
              <w:rPr>
                <w:b/>
                <w:szCs w:val="24"/>
                <w:lang w:val="en"/>
              </w:rPr>
              <w:t>1</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68172217" w14:textId="77777777" w:rsidR="007276D8" w:rsidRPr="007276D8" w:rsidRDefault="007276D8" w:rsidP="007276D8">
            <w:pPr>
              <w:spacing w:line="360" w:lineRule="auto"/>
              <w:ind w:left="0" w:firstLine="0"/>
              <w:jc w:val="center"/>
              <w:rPr>
                <w:b/>
                <w:szCs w:val="24"/>
                <w:lang w:val="en"/>
              </w:rPr>
            </w:pPr>
            <w:r w:rsidRPr="007276D8">
              <w:rPr>
                <w:b/>
                <w:szCs w:val="24"/>
                <w:lang w:val="en"/>
              </w:rPr>
              <w:t>3</w:t>
            </w:r>
          </w:p>
        </w:tc>
      </w:tr>
      <w:tr w:rsidR="007276D8" w:rsidRPr="007276D8" w14:paraId="19245218" w14:textId="77777777" w:rsidTr="007276D8">
        <w:trPr>
          <w:tblHeader/>
          <w:jc w:val="center"/>
        </w:trPr>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0C8DA429" w14:textId="77777777" w:rsidR="007276D8" w:rsidRPr="007276D8" w:rsidRDefault="007276D8" w:rsidP="007276D8">
            <w:pPr>
              <w:spacing w:line="360" w:lineRule="auto"/>
              <w:ind w:left="0" w:firstLine="0"/>
              <w:jc w:val="center"/>
              <w:rPr>
                <w:b/>
                <w:szCs w:val="24"/>
                <w:lang w:val="en"/>
              </w:rPr>
            </w:pPr>
            <w:r w:rsidRPr="007276D8">
              <w:rPr>
                <w:b/>
                <w:szCs w:val="24"/>
                <w:lang w:val="en"/>
              </w:rPr>
              <w:t>NEPHROLOGY</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30DF6F5E" w14:textId="77777777" w:rsidR="007276D8" w:rsidRPr="007276D8" w:rsidRDefault="007276D8" w:rsidP="007276D8">
            <w:pPr>
              <w:spacing w:line="360" w:lineRule="auto"/>
              <w:ind w:left="0" w:firstLine="0"/>
              <w:jc w:val="center"/>
              <w:rPr>
                <w:b/>
                <w:szCs w:val="24"/>
                <w:lang w:val="en"/>
              </w:rPr>
            </w:pPr>
            <w:r w:rsidRPr="007276D8">
              <w:rPr>
                <w:b/>
                <w:szCs w:val="24"/>
                <w:lang w:val="en"/>
              </w:rPr>
              <w:t>0</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06C04504" w14:textId="77777777" w:rsidR="007276D8" w:rsidRPr="007276D8" w:rsidRDefault="007276D8" w:rsidP="007276D8">
            <w:pPr>
              <w:spacing w:line="360" w:lineRule="auto"/>
              <w:ind w:left="0" w:firstLine="0"/>
              <w:jc w:val="center"/>
              <w:rPr>
                <w:b/>
                <w:szCs w:val="24"/>
                <w:lang w:val="en"/>
              </w:rPr>
            </w:pPr>
            <w:r w:rsidRPr="007276D8">
              <w:rPr>
                <w:b/>
                <w:szCs w:val="24"/>
                <w:lang w:val="en"/>
              </w:rPr>
              <w:t>1</w:t>
            </w:r>
          </w:p>
        </w:tc>
      </w:tr>
      <w:tr w:rsidR="007276D8" w:rsidRPr="007276D8" w14:paraId="364AD3B4" w14:textId="77777777" w:rsidTr="007276D8">
        <w:trPr>
          <w:tblHeader/>
          <w:jc w:val="center"/>
        </w:trPr>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216E1992" w14:textId="77777777" w:rsidR="007276D8" w:rsidRPr="007276D8" w:rsidRDefault="007276D8" w:rsidP="007276D8">
            <w:pPr>
              <w:spacing w:line="360" w:lineRule="auto"/>
              <w:ind w:left="0" w:firstLine="0"/>
              <w:jc w:val="center"/>
              <w:rPr>
                <w:b/>
                <w:szCs w:val="24"/>
                <w:lang w:val="en"/>
              </w:rPr>
            </w:pPr>
            <w:r w:rsidRPr="007276D8">
              <w:rPr>
                <w:b/>
                <w:szCs w:val="24"/>
                <w:lang w:val="en"/>
              </w:rPr>
              <w:t>OTHERS</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17D7A805" w14:textId="77777777" w:rsidR="007276D8" w:rsidRPr="007276D8" w:rsidRDefault="007276D8" w:rsidP="007276D8">
            <w:pPr>
              <w:spacing w:line="360" w:lineRule="auto"/>
              <w:ind w:left="0" w:firstLine="0"/>
              <w:jc w:val="center"/>
              <w:rPr>
                <w:b/>
                <w:szCs w:val="24"/>
                <w:lang w:val="en"/>
              </w:rPr>
            </w:pPr>
            <w:r w:rsidRPr="007276D8">
              <w:rPr>
                <w:b/>
                <w:szCs w:val="24"/>
                <w:lang w:val="en"/>
              </w:rPr>
              <w:t>0</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47558136" w14:textId="77777777" w:rsidR="007276D8" w:rsidRPr="007276D8" w:rsidRDefault="007276D8" w:rsidP="007276D8">
            <w:pPr>
              <w:spacing w:line="360" w:lineRule="auto"/>
              <w:ind w:left="0" w:firstLine="0"/>
              <w:jc w:val="center"/>
              <w:rPr>
                <w:b/>
                <w:szCs w:val="24"/>
                <w:lang w:val="en"/>
              </w:rPr>
            </w:pPr>
            <w:r w:rsidRPr="007276D8">
              <w:rPr>
                <w:b/>
                <w:szCs w:val="24"/>
                <w:lang w:val="en"/>
              </w:rPr>
              <w:t>3</w:t>
            </w:r>
          </w:p>
        </w:tc>
      </w:tr>
      <w:tr w:rsidR="007276D8" w:rsidRPr="007276D8" w14:paraId="5D95B2EB" w14:textId="77777777" w:rsidTr="007276D8">
        <w:trPr>
          <w:tblHeader/>
          <w:jc w:val="center"/>
        </w:trPr>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6FA8671F" w14:textId="77777777" w:rsidR="007276D8" w:rsidRPr="007276D8" w:rsidRDefault="007276D8" w:rsidP="007276D8">
            <w:pPr>
              <w:spacing w:line="360" w:lineRule="auto"/>
              <w:ind w:left="0" w:firstLine="0"/>
              <w:jc w:val="center"/>
              <w:rPr>
                <w:b/>
                <w:szCs w:val="24"/>
                <w:lang w:val="en"/>
              </w:rPr>
            </w:pPr>
            <w:r w:rsidRPr="007276D8">
              <w:rPr>
                <w:b/>
                <w:szCs w:val="24"/>
                <w:lang w:val="en"/>
              </w:rPr>
              <w:t>TOTAL</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2A88FC16" w14:textId="77777777" w:rsidR="007276D8" w:rsidRPr="007276D8" w:rsidRDefault="007276D8" w:rsidP="007276D8">
            <w:pPr>
              <w:spacing w:line="360" w:lineRule="auto"/>
              <w:ind w:left="0" w:firstLine="0"/>
              <w:jc w:val="center"/>
              <w:rPr>
                <w:b/>
                <w:szCs w:val="24"/>
                <w:lang w:val="en"/>
              </w:rPr>
            </w:pPr>
            <w:r w:rsidRPr="007276D8">
              <w:rPr>
                <w:b/>
                <w:szCs w:val="24"/>
                <w:lang w:val="en"/>
              </w:rPr>
              <w:t>17</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643B9A27" w14:textId="77777777" w:rsidR="007276D8" w:rsidRPr="007276D8" w:rsidRDefault="007276D8" w:rsidP="007276D8">
            <w:pPr>
              <w:spacing w:line="360" w:lineRule="auto"/>
              <w:ind w:left="0" w:firstLine="0"/>
              <w:jc w:val="center"/>
              <w:rPr>
                <w:b/>
                <w:szCs w:val="24"/>
                <w:lang w:val="en"/>
              </w:rPr>
            </w:pPr>
            <w:r w:rsidRPr="007276D8">
              <w:rPr>
                <w:b/>
                <w:szCs w:val="24"/>
                <w:lang w:val="en"/>
              </w:rPr>
              <w:t>121</w:t>
            </w:r>
          </w:p>
        </w:tc>
      </w:tr>
      <w:tr w:rsidR="007276D8" w:rsidRPr="007276D8" w14:paraId="14C36CC4" w14:textId="77777777" w:rsidTr="007276D8">
        <w:trPr>
          <w:tblHeader/>
          <w:jc w:val="center"/>
        </w:trPr>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52FDB8A9" w14:textId="77777777" w:rsidR="007276D8" w:rsidRPr="007276D8" w:rsidRDefault="007276D8" w:rsidP="007276D8">
            <w:pPr>
              <w:spacing w:line="360" w:lineRule="auto"/>
              <w:ind w:left="0" w:firstLine="0"/>
              <w:jc w:val="center"/>
              <w:rPr>
                <w:b/>
                <w:szCs w:val="24"/>
                <w:lang w:val="en"/>
              </w:rPr>
            </w:pPr>
            <w:r w:rsidRPr="007276D8">
              <w:rPr>
                <w:b/>
                <w:szCs w:val="24"/>
                <w:lang w:val="en"/>
              </w:rPr>
              <w:t>MEAN</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6AA21CAF" w14:textId="77777777" w:rsidR="007276D8" w:rsidRPr="007276D8" w:rsidRDefault="007276D8" w:rsidP="007276D8">
            <w:pPr>
              <w:spacing w:line="360" w:lineRule="auto"/>
              <w:ind w:left="0" w:firstLine="0"/>
              <w:jc w:val="center"/>
              <w:rPr>
                <w:b/>
                <w:szCs w:val="24"/>
                <w:lang w:val="en"/>
              </w:rPr>
            </w:pPr>
            <w:r w:rsidRPr="007276D8">
              <w:rPr>
                <w:b/>
                <w:szCs w:val="24"/>
                <w:lang w:val="en"/>
              </w:rPr>
              <w:t>2.833</w:t>
            </w:r>
          </w:p>
        </w:tc>
        <w:tc>
          <w:tcPr>
            <w:tcW w:w="312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683357FD" w14:textId="77777777" w:rsidR="007276D8" w:rsidRPr="007276D8" w:rsidRDefault="007276D8" w:rsidP="007276D8">
            <w:pPr>
              <w:spacing w:line="360" w:lineRule="auto"/>
              <w:ind w:left="0" w:firstLine="0"/>
              <w:jc w:val="center"/>
              <w:rPr>
                <w:b/>
                <w:szCs w:val="24"/>
                <w:lang w:val="en"/>
              </w:rPr>
            </w:pPr>
            <w:r w:rsidRPr="007276D8">
              <w:rPr>
                <w:b/>
                <w:szCs w:val="24"/>
                <w:lang w:val="en"/>
              </w:rPr>
              <w:t>20.17</w:t>
            </w:r>
          </w:p>
        </w:tc>
      </w:tr>
    </w:tbl>
    <w:p w14:paraId="2830453D" w14:textId="77777777" w:rsidR="007276D8" w:rsidRPr="007276D8" w:rsidRDefault="007276D8" w:rsidP="007276D8">
      <w:pPr>
        <w:spacing w:line="360" w:lineRule="auto"/>
        <w:ind w:left="0" w:firstLine="0"/>
        <w:rPr>
          <w:b/>
          <w:szCs w:val="24"/>
          <w:lang w:val="en"/>
        </w:rPr>
      </w:pPr>
    </w:p>
    <w:p w14:paraId="2D5F7EE2" w14:textId="77777777" w:rsidR="007276D8" w:rsidRDefault="007276D8" w:rsidP="00156C23">
      <w:pPr>
        <w:spacing w:line="360" w:lineRule="auto"/>
        <w:ind w:left="0" w:firstLine="0"/>
        <w:rPr>
          <w:b/>
          <w:szCs w:val="24"/>
          <w:lang w:val="en-US"/>
        </w:rPr>
      </w:pPr>
    </w:p>
    <w:p w14:paraId="63C83A75" w14:textId="6515B318" w:rsidR="005E7C01" w:rsidRPr="005E7C01" w:rsidRDefault="005E7C01" w:rsidP="005E7C01">
      <w:pPr>
        <w:spacing w:line="360" w:lineRule="auto"/>
        <w:ind w:left="0" w:firstLine="0"/>
        <w:rPr>
          <w:b/>
          <w:szCs w:val="24"/>
          <w:lang w:val="en"/>
        </w:rPr>
      </w:pPr>
      <w:r w:rsidRPr="005E7C01">
        <w:rPr>
          <w:b/>
          <w:szCs w:val="24"/>
          <w:lang w:val="en"/>
        </w:rPr>
        <w:t>Table 5: Frequency distribution of non-dyspnea cases in various systems</w:t>
      </w:r>
    </w:p>
    <w:tbl>
      <w:tblPr>
        <w:tblW w:w="83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0"/>
        <w:gridCol w:w="2780"/>
        <w:gridCol w:w="2780"/>
      </w:tblGrid>
      <w:tr w:rsidR="005E7C01" w:rsidRPr="005E7C01" w14:paraId="12DBC96F" w14:textId="77777777" w:rsidTr="005E7C01">
        <w:trPr>
          <w:trHeight w:val="581"/>
          <w:jc w:val="center"/>
        </w:trPr>
        <w:tc>
          <w:tcPr>
            <w:tcW w:w="2780" w:type="dxa"/>
            <w:tcBorders>
              <w:top w:val="single" w:sz="8" w:space="0" w:color="000000"/>
              <w:left w:val="single" w:sz="8" w:space="0" w:color="000000"/>
              <w:bottom w:val="single" w:sz="8" w:space="0" w:color="000000"/>
              <w:right w:val="single" w:sz="8" w:space="0" w:color="000000"/>
            </w:tcBorders>
            <w:shd w:val="clear" w:color="auto" w:fill="D5A6BD"/>
            <w:tcMar>
              <w:top w:w="100" w:type="dxa"/>
              <w:left w:w="100" w:type="dxa"/>
              <w:bottom w:w="100" w:type="dxa"/>
              <w:right w:w="100" w:type="dxa"/>
            </w:tcMar>
            <w:vAlign w:val="center"/>
            <w:hideMark/>
          </w:tcPr>
          <w:p w14:paraId="13777758" w14:textId="77777777" w:rsidR="005E7C01" w:rsidRPr="005E7C01" w:rsidRDefault="005E7C01" w:rsidP="005E7C01">
            <w:pPr>
              <w:spacing w:line="360" w:lineRule="auto"/>
              <w:ind w:left="0" w:firstLine="0"/>
              <w:jc w:val="center"/>
              <w:rPr>
                <w:b/>
                <w:szCs w:val="24"/>
                <w:lang w:val="en"/>
              </w:rPr>
            </w:pPr>
            <w:r w:rsidRPr="005E7C01">
              <w:rPr>
                <w:b/>
                <w:szCs w:val="24"/>
                <w:lang w:val="en"/>
              </w:rPr>
              <w:t>SYSTEMS</w:t>
            </w:r>
          </w:p>
        </w:tc>
        <w:tc>
          <w:tcPr>
            <w:tcW w:w="2780" w:type="dxa"/>
            <w:tcBorders>
              <w:top w:val="single" w:sz="8" w:space="0" w:color="000000"/>
              <w:left w:val="single" w:sz="8" w:space="0" w:color="000000"/>
              <w:bottom w:val="single" w:sz="8" w:space="0" w:color="000000"/>
              <w:right w:val="single" w:sz="8" w:space="0" w:color="000000"/>
            </w:tcBorders>
            <w:shd w:val="clear" w:color="auto" w:fill="D5A6BD"/>
            <w:tcMar>
              <w:top w:w="100" w:type="dxa"/>
              <w:left w:w="100" w:type="dxa"/>
              <w:bottom w:w="100" w:type="dxa"/>
              <w:right w:w="100" w:type="dxa"/>
            </w:tcMar>
            <w:vAlign w:val="center"/>
            <w:hideMark/>
          </w:tcPr>
          <w:p w14:paraId="692A2077" w14:textId="77777777" w:rsidR="005E7C01" w:rsidRPr="005E7C01" w:rsidRDefault="005E7C01" w:rsidP="005E7C01">
            <w:pPr>
              <w:spacing w:line="360" w:lineRule="auto"/>
              <w:ind w:left="0" w:firstLine="0"/>
              <w:jc w:val="center"/>
              <w:rPr>
                <w:b/>
                <w:szCs w:val="24"/>
                <w:lang w:val="en"/>
              </w:rPr>
            </w:pPr>
            <w:r w:rsidRPr="005E7C01">
              <w:rPr>
                <w:b/>
                <w:szCs w:val="24"/>
                <w:lang w:val="en"/>
              </w:rPr>
              <w:t>NORMAL (n=6)</w:t>
            </w:r>
          </w:p>
        </w:tc>
        <w:tc>
          <w:tcPr>
            <w:tcW w:w="2780" w:type="dxa"/>
            <w:tcBorders>
              <w:top w:val="single" w:sz="8" w:space="0" w:color="000000"/>
              <w:left w:val="single" w:sz="8" w:space="0" w:color="000000"/>
              <w:bottom w:val="single" w:sz="8" w:space="0" w:color="000000"/>
              <w:right w:val="single" w:sz="8" w:space="0" w:color="000000"/>
            </w:tcBorders>
            <w:shd w:val="clear" w:color="auto" w:fill="D5A6BD"/>
            <w:tcMar>
              <w:top w:w="100" w:type="dxa"/>
              <w:left w:w="100" w:type="dxa"/>
              <w:bottom w:w="100" w:type="dxa"/>
              <w:right w:w="100" w:type="dxa"/>
            </w:tcMar>
            <w:vAlign w:val="center"/>
            <w:hideMark/>
          </w:tcPr>
          <w:p w14:paraId="102C6999" w14:textId="77777777" w:rsidR="005E7C01" w:rsidRPr="005E7C01" w:rsidRDefault="005E7C01" w:rsidP="005E7C01">
            <w:pPr>
              <w:spacing w:line="360" w:lineRule="auto"/>
              <w:ind w:left="0" w:firstLine="0"/>
              <w:jc w:val="center"/>
              <w:rPr>
                <w:b/>
                <w:szCs w:val="24"/>
                <w:lang w:val="en"/>
              </w:rPr>
            </w:pPr>
            <w:r w:rsidRPr="005E7C01">
              <w:rPr>
                <w:b/>
                <w:szCs w:val="24"/>
                <w:lang w:val="en"/>
              </w:rPr>
              <w:t>ABNORMAL (n=56)</w:t>
            </w:r>
          </w:p>
        </w:tc>
      </w:tr>
      <w:tr w:rsidR="005E7C01" w:rsidRPr="005E7C01" w14:paraId="4E16E58C" w14:textId="77777777" w:rsidTr="005E7C01">
        <w:trPr>
          <w:trHeight w:val="581"/>
          <w:jc w:val="center"/>
        </w:trPr>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14CB594E" w14:textId="77777777" w:rsidR="005E7C01" w:rsidRPr="005E7C01" w:rsidRDefault="005E7C01" w:rsidP="005E7C01">
            <w:pPr>
              <w:spacing w:line="360" w:lineRule="auto"/>
              <w:ind w:left="0" w:firstLine="0"/>
              <w:jc w:val="center"/>
              <w:rPr>
                <w:b/>
                <w:szCs w:val="24"/>
                <w:lang w:val="en"/>
              </w:rPr>
            </w:pPr>
            <w:r w:rsidRPr="005E7C01">
              <w:rPr>
                <w:b/>
                <w:szCs w:val="24"/>
                <w:lang w:val="en"/>
              </w:rPr>
              <w:t>RESPIRATORY</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582DBEBB" w14:textId="77777777" w:rsidR="005E7C01" w:rsidRPr="005E7C01" w:rsidRDefault="005E7C01" w:rsidP="005E7C01">
            <w:pPr>
              <w:spacing w:line="360" w:lineRule="auto"/>
              <w:ind w:left="0" w:firstLine="0"/>
              <w:jc w:val="center"/>
              <w:rPr>
                <w:b/>
                <w:szCs w:val="24"/>
                <w:lang w:val="en"/>
              </w:rPr>
            </w:pPr>
            <w:r w:rsidRPr="005E7C01">
              <w:rPr>
                <w:b/>
                <w:szCs w:val="24"/>
                <w:lang w:val="en"/>
              </w:rPr>
              <w:t>4</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6DFAEB04" w14:textId="77777777" w:rsidR="005E7C01" w:rsidRPr="005E7C01" w:rsidRDefault="005E7C01" w:rsidP="005E7C01">
            <w:pPr>
              <w:spacing w:line="360" w:lineRule="auto"/>
              <w:ind w:left="0" w:firstLine="0"/>
              <w:jc w:val="center"/>
              <w:rPr>
                <w:b/>
                <w:szCs w:val="24"/>
                <w:lang w:val="en"/>
              </w:rPr>
            </w:pPr>
            <w:r w:rsidRPr="005E7C01">
              <w:rPr>
                <w:b/>
                <w:szCs w:val="24"/>
                <w:lang w:val="en"/>
              </w:rPr>
              <w:t>18</w:t>
            </w:r>
          </w:p>
        </w:tc>
      </w:tr>
      <w:tr w:rsidR="005E7C01" w:rsidRPr="005E7C01" w14:paraId="2DEA60C3" w14:textId="77777777" w:rsidTr="005E7C01">
        <w:trPr>
          <w:trHeight w:val="598"/>
          <w:jc w:val="center"/>
        </w:trPr>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5F7117AE" w14:textId="77777777" w:rsidR="005E7C01" w:rsidRPr="005E7C01" w:rsidRDefault="005E7C01" w:rsidP="005E7C01">
            <w:pPr>
              <w:spacing w:line="360" w:lineRule="auto"/>
              <w:ind w:left="0" w:firstLine="0"/>
              <w:jc w:val="center"/>
              <w:rPr>
                <w:b/>
                <w:szCs w:val="24"/>
                <w:lang w:val="en"/>
              </w:rPr>
            </w:pPr>
            <w:r w:rsidRPr="005E7C01">
              <w:rPr>
                <w:b/>
                <w:szCs w:val="24"/>
                <w:lang w:val="en"/>
              </w:rPr>
              <w:t>NEURO-ENDOCRINE</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10A656AA" w14:textId="77777777" w:rsidR="005E7C01" w:rsidRPr="005E7C01" w:rsidRDefault="005E7C01" w:rsidP="005E7C01">
            <w:pPr>
              <w:spacing w:line="360" w:lineRule="auto"/>
              <w:ind w:left="0" w:firstLine="0"/>
              <w:jc w:val="center"/>
              <w:rPr>
                <w:b/>
                <w:szCs w:val="24"/>
                <w:lang w:val="en"/>
              </w:rPr>
            </w:pPr>
            <w:r w:rsidRPr="005E7C01">
              <w:rPr>
                <w:b/>
                <w:szCs w:val="24"/>
                <w:lang w:val="en"/>
              </w:rPr>
              <w:t>0</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5857732D" w14:textId="77777777" w:rsidR="005E7C01" w:rsidRPr="005E7C01" w:rsidRDefault="005E7C01" w:rsidP="005E7C01">
            <w:pPr>
              <w:spacing w:line="360" w:lineRule="auto"/>
              <w:ind w:left="0" w:firstLine="0"/>
              <w:jc w:val="center"/>
              <w:rPr>
                <w:b/>
                <w:szCs w:val="24"/>
                <w:lang w:val="en"/>
              </w:rPr>
            </w:pPr>
            <w:r w:rsidRPr="005E7C01">
              <w:rPr>
                <w:b/>
                <w:szCs w:val="24"/>
                <w:lang w:val="en"/>
              </w:rPr>
              <w:t>9</w:t>
            </w:r>
          </w:p>
        </w:tc>
      </w:tr>
      <w:tr w:rsidR="005E7C01" w:rsidRPr="005E7C01" w14:paraId="7229FFB5" w14:textId="77777777" w:rsidTr="005E7C01">
        <w:trPr>
          <w:trHeight w:val="581"/>
          <w:jc w:val="center"/>
        </w:trPr>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138EE366" w14:textId="0C84797C" w:rsidR="005E7C01" w:rsidRPr="005E7C01" w:rsidRDefault="005E7C01" w:rsidP="005E7C01">
            <w:pPr>
              <w:spacing w:line="360" w:lineRule="auto"/>
              <w:ind w:left="0" w:firstLine="0"/>
              <w:jc w:val="center"/>
              <w:rPr>
                <w:b/>
                <w:szCs w:val="24"/>
                <w:lang w:val="en"/>
              </w:rPr>
            </w:pPr>
            <w:r w:rsidRPr="005E7C01">
              <w:rPr>
                <w:b/>
                <w:szCs w:val="24"/>
                <w:lang w:val="en"/>
              </w:rPr>
              <w:t>CVS</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6BB66943" w14:textId="77777777" w:rsidR="005E7C01" w:rsidRPr="005E7C01" w:rsidRDefault="005E7C01" w:rsidP="005E7C01">
            <w:pPr>
              <w:spacing w:line="360" w:lineRule="auto"/>
              <w:ind w:left="0" w:firstLine="0"/>
              <w:jc w:val="center"/>
              <w:rPr>
                <w:b/>
                <w:szCs w:val="24"/>
                <w:lang w:val="en"/>
              </w:rPr>
            </w:pPr>
            <w:r w:rsidRPr="005E7C01">
              <w:rPr>
                <w:b/>
                <w:szCs w:val="24"/>
                <w:lang w:val="en"/>
              </w:rPr>
              <w:t>1</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4FF12BCC" w14:textId="77777777" w:rsidR="005E7C01" w:rsidRPr="005E7C01" w:rsidRDefault="005E7C01" w:rsidP="005E7C01">
            <w:pPr>
              <w:spacing w:line="360" w:lineRule="auto"/>
              <w:ind w:left="0" w:firstLine="0"/>
              <w:jc w:val="center"/>
              <w:rPr>
                <w:b/>
                <w:szCs w:val="24"/>
                <w:lang w:val="en"/>
              </w:rPr>
            </w:pPr>
            <w:r w:rsidRPr="005E7C01">
              <w:rPr>
                <w:b/>
                <w:szCs w:val="24"/>
                <w:lang w:val="en"/>
              </w:rPr>
              <w:t>7</w:t>
            </w:r>
          </w:p>
        </w:tc>
      </w:tr>
      <w:tr w:rsidR="005E7C01" w:rsidRPr="005E7C01" w14:paraId="7CB0D2BB" w14:textId="77777777" w:rsidTr="005E7C01">
        <w:trPr>
          <w:trHeight w:val="581"/>
          <w:jc w:val="center"/>
        </w:trPr>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5043B159" w14:textId="77777777" w:rsidR="005E7C01" w:rsidRPr="005E7C01" w:rsidRDefault="005E7C01" w:rsidP="005E7C01">
            <w:pPr>
              <w:spacing w:line="360" w:lineRule="auto"/>
              <w:ind w:left="0" w:firstLine="0"/>
              <w:jc w:val="center"/>
              <w:rPr>
                <w:b/>
                <w:szCs w:val="24"/>
                <w:lang w:val="en"/>
              </w:rPr>
            </w:pPr>
            <w:r w:rsidRPr="005E7C01">
              <w:rPr>
                <w:b/>
                <w:szCs w:val="24"/>
                <w:lang w:val="en"/>
              </w:rPr>
              <w:t>GASTRO/METABOLIC</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4FF78111" w14:textId="77777777" w:rsidR="005E7C01" w:rsidRPr="005E7C01" w:rsidRDefault="005E7C01" w:rsidP="005E7C01">
            <w:pPr>
              <w:spacing w:line="360" w:lineRule="auto"/>
              <w:ind w:left="0" w:firstLine="0"/>
              <w:jc w:val="center"/>
              <w:rPr>
                <w:b/>
                <w:szCs w:val="24"/>
                <w:lang w:val="en"/>
              </w:rPr>
            </w:pPr>
            <w:r w:rsidRPr="005E7C01">
              <w:rPr>
                <w:b/>
                <w:szCs w:val="24"/>
                <w:lang w:val="en"/>
              </w:rPr>
              <w:t>0</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651F4BEE" w14:textId="77777777" w:rsidR="005E7C01" w:rsidRPr="005E7C01" w:rsidRDefault="005E7C01" w:rsidP="005E7C01">
            <w:pPr>
              <w:spacing w:line="360" w:lineRule="auto"/>
              <w:ind w:left="0" w:firstLine="0"/>
              <w:jc w:val="center"/>
              <w:rPr>
                <w:b/>
                <w:szCs w:val="24"/>
                <w:lang w:val="en"/>
              </w:rPr>
            </w:pPr>
            <w:r w:rsidRPr="005E7C01">
              <w:rPr>
                <w:b/>
                <w:szCs w:val="24"/>
                <w:lang w:val="en"/>
              </w:rPr>
              <w:t>6</w:t>
            </w:r>
          </w:p>
        </w:tc>
      </w:tr>
      <w:tr w:rsidR="005E7C01" w:rsidRPr="005E7C01" w14:paraId="28C50993" w14:textId="77777777" w:rsidTr="005E7C01">
        <w:trPr>
          <w:trHeight w:val="581"/>
          <w:jc w:val="center"/>
        </w:trPr>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26915801" w14:textId="77777777" w:rsidR="005E7C01" w:rsidRPr="005E7C01" w:rsidRDefault="005E7C01" w:rsidP="005E7C01">
            <w:pPr>
              <w:spacing w:line="360" w:lineRule="auto"/>
              <w:ind w:left="0" w:firstLine="0"/>
              <w:jc w:val="center"/>
              <w:rPr>
                <w:b/>
                <w:szCs w:val="24"/>
                <w:lang w:val="en"/>
              </w:rPr>
            </w:pPr>
            <w:r w:rsidRPr="005E7C01">
              <w:rPr>
                <w:b/>
                <w:szCs w:val="24"/>
                <w:lang w:val="en"/>
              </w:rPr>
              <w:t>NEPHROLOGY</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30E9F2CF" w14:textId="77777777" w:rsidR="005E7C01" w:rsidRPr="005E7C01" w:rsidRDefault="005E7C01" w:rsidP="005E7C01">
            <w:pPr>
              <w:spacing w:line="360" w:lineRule="auto"/>
              <w:ind w:left="0" w:firstLine="0"/>
              <w:jc w:val="center"/>
              <w:rPr>
                <w:b/>
                <w:szCs w:val="24"/>
                <w:lang w:val="en"/>
              </w:rPr>
            </w:pPr>
            <w:r w:rsidRPr="005E7C01">
              <w:rPr>
                <w:b/>
                <w:szCs w:val="24"/>
                <w:lang w:val="en"/>
              </w:rPr>
              <w:t>1</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1A14BDE0" w14:textId="77777777" w:rsidR="005E7C01" w:rsidRPr="005E7C01" w:rsidRDefault="005E7C01" w:rsidP="005E7C01">
            <w:pPr>
              <w:spacing w:line="360" w:lineRule="auto"/>
              <w:ind w:left="0" w:firstLine="0"/>
              <w:jc w:val="center"/>
              <w:rPr>
                <w:b/>
                <w:szCs w:val="24"/>
                <w:lang w:val="en"/>
              </w:rPr>
            </w:pPr>
            <w:r w:rsidRPr="005E7C01">
              <w:rPr>
                <w:b/>
                <w:szCs w:val="24"/>
                <w:lang w:val="en"/>
              </w:rPr>
              <w:t>5</w:t>
            </w:r>
          </w:p>
        </w:tc>
      </w:tr>
      <w:tr w:rsidR="005E7C01" w:rsidRPr="005E7C01" w14:paraId="51847A34" w14:textId="77777777" w:rsidTr="005E7C01">
        <w:trPr>
          <w:trHeight w:val="581"/>
          <w:jc w:val="center"/>
        </w:trPr>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2A0D2605" w14:textId="77777777" w:rsidR="005E7C01" w:rsidRPr="005E7C01" w:rsidRDefault="005E7C01" w:rsidP="005E7C01">
            <w:pPr>
              <w:spacing w:line="360" w:lineRule="auto"/>
              <w:ind w:left="0" w:firstLine="0"/>
              <w:jc w:val="center"/>
              <w:rPr>
                <w:b/>
                <w:szCs w:val="24"/>
                <w:lang w:val="en"/>
              </w:rPr>
            </w:pPr>
            <w:r w:rsidRPr="005E7C01">
              <w:rPr>
                <w:b/>
                <w:szCs w:val="24"/>
                <w:lang w:val="en"/>
              </w:rPr>
              <w:t>OTHERS</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55784A95" w14:textId="77777777" w:rsidR="005E7C01" w:rsidRPr="005E7C01" w:rsidRDefault="005E7C01" w:rsidP="005E7C01">
            <w:pPr>
              <w:spacing w:line="360" w:lineRule="auto"/>
              <w:ind w:left="0" w:firstLine="0"/>
              <w:jc w:val="center"/>
              <w:rPr>
                <w:b/>
                <w:szCs w:val="24"/>
                <w:lang w:val="en"/>
              </w:rPr>
            </w:pPr>
            <w:r w:rsidRPr="005E7C01">
              <w:rPr>
                <w:b/>
                <w:szCs w:val="24"/>
                <w:lang w:val="en"/>
              </w:rPr>
              <w:t>0</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02D21BE3" w14:textId="77777777" w:rsidR="005E7C01" w:rsidRPr="005E7C01" w:rsidRDefault="005E7C01" w:rsidP="005E7C01">
            <w:pPr>
              <w:spacing w:line="360" w:lineRule="auto"/>
              <w:ind w:left="0" w:firstLine="0"/>
              <w:jc w:val="center"/>
              <w:rPr>
                <w:b/>
                <w:szCs w:val="24"/>
                <w:lang w:val="en"/>
              </w:rPr>
            </w:pPr>
            <w:r w:rsidRPr="005E7C01">
              <w:rPr>
                <w:b/>
                <w:szCs w:val="24"/>
                <w:lang w:val="en"/>
              </w:rPr>
              <w:t>11</w:t>
            </w:r>
          </w:p>
        </w:tc>
      </w:tr>
      <w:tr w:rsidR="005E7C01" w:rsidRPr="005E7C01" w14:paraId="46136828" w14:textId="77777777" w:rsidTr="005E7C01">
        <w:trPr>
          <w:trHeight w:val="581"/>
          <w:jc w:val="center"/>
        </w:trPr>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6250F335" w14:textId="77777777" w:rsidR="005E7C01" w:rsidRPr="005E7C01" w:rsidRDefault="005E7C01" w:rsidP="005E7C01">
            <w:pPr>
              <w:spacing w:line="360" w:lineRule="auto"/>
              <w:ind w:left="0" w:firstLine="0"/>
              <w:jc w:val="center"/>
              <w:rPr>
                <w:b/>
                <w:szCs w:val="24"/>
                <w:lang w:val="en"/>
              </w:rPr>
            </w:pPr>
            <w:r w:rsidRPr="005E7C01">
              <w:rPr>
                <w:b/>
                <w:szCs w:val="24"/>
                <w:lang w:val="en"/>
              </w:rPr>
              <w:t>TOTAL</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568F32B0" w14:textId="77777777" w:rsidR="005E7C01" w:rsidRPr="005E7C01" w:rsidRDefault="005E7C01" w:rsidP="005E7C01">
            <w:pPr>
              <w:spacing w:line="360" w:lineRule="auto"/>
              <w:ind w:left="0" w:firstLine="0"/>
              <w:jc w:val="center"/>
              <w:rPr>
                <w:b/>
                <w:szCs w:val="24"/>
                <w:lang w:val="en"/>
              </w:rPr>
            </w:pPr>
            <w:r w:rsidRPr="005E7C01">
              <w:rPr>
                <w:b/>
                <w:szCs w:val="24"/>
                <w:lang w:val="en"/>
              </w:rPr>
              <w:t>6</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4E985C22" w14:textId="77777777" w:rsidR="005E7C01" w:rsidRPr="005E7C01" w:rsidRDefault="005E7C01" w:rsidP="005E7C01">
            <w:pPr>
              <w:spacing w:line="360" w:lineRule="auto"/>
              <w:ind w:left="0" w:firstLine="0"/>
              <w:jc w:val="center"/>
              <w:rPr>
                <w:b/>
                <w:szCs w:val="24"/>
                <w:lang w:val="en"/>
              </w:rPr>
            </w:pPr>
            <w:r w:rsidRPr="005E7C01">
              <w:rPr>
                <w:b/>
                <w:szCs w:val="24"/>
                <w:lang w:val="en"/>
              </w:rPr>
              <w:t>56</w:t>
            </w:r>
          </w:p>
        </w:tc>
      </w:tr>
      <w:tr w:rsidR="005E7C01" w:rsidRPr="005E7C01" w14:paraId="093F8F86" w14:textId="77777777" w:rsidTr="005E7C01">
        <w:trPr>
          <w:trHeight w:val="581"/>
          <w:jc w:val="center"/>
        </w:trPr>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718F9E45" w14:textId="77777777" w:rsidR="005E7C01" w:rsidRPr="005E7C01" w:rsidRDefault="005E7C01" w:rsidP="005E7C01">
            <w:pPr>
              <w:spacing w:line="360" w:lineRule="auto"/>
              <w:ind w:left="0" w:firstLine="0"/>
              <w:jc w:val="center"/>
              <w:rPr>
                <w:b/>
                <w:szCs w:val="24"/>
                <w:lang w:val="en"/>
              </w:rPr>
            </w:pPr>
            <w:r w:rsidRPr="005E7C01">
              <w:rPr>
                <w:b/>
                <w:szCs w:val="24"/>
                <w:lang w:val="en"/>
              </w:rPr>
              <w:t>MEAN</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2DB7B1CE" w14:textId="77777777" w:rsidR="005E7C01" w:rsidRPr="005E7C01" w:rsidRDefault="005E7C01" w:rsidP="005E7C01">
            <w:pPr>
              <w:spacing w:line="360" w:lineRule="auto"/>
              <w:ind w:left="0" w:firstLine="0"/>
              <w:jc w:val="center"/>
              <w:rPr>
                <w:b/>
                <w:szCs w:val="24"/>
                <w:lang w:val="en"/>
              </w:rPr>
            </w:pPr>
            <w:r w:rsidRPr="005E7C01">
              <w:rPr>
                <w:b/>
                <w:szCs w:val="24"/>
                <w:lang w:val="en"/>
              </w:rPr>
              <w:t>1</w:t>
            </w:r>
          </w:p>
        </w:tc>
        <w:tc>
          <w:tcPr>
            <w:tcW w:w="278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7B2D05AC" w14:textId="77777777" w:rsidR="005E7C01" w:rsidRPr="005E7C01" w:rsidRDefault="005E7C01" w:rsidP="005E7C01">
            <w:pPr>
              <w:spacing w:line="360" w:lineRule="auto"/>
              <w:ind w:left="0" w:firstLine="0"/>
              <w:jc w:val="center"/>
              <w:rPr>
                <w:b/>
                <w:szCs w:val="24"/>
                <w:lang w:val="en"/>
              </w:rPr>
            </w:pPr>
            <w:r w:rsidRPr="005E7C01">
              <w:rPr>
                <w:b/>
                <w:szCs w:val="24"/>
                <w:lang w:val="en"/>
              </w:rPr>
              <w:t>9.33</w:t>
            </w:r>
          </w:p>
        </w:tc>
      </w:tr>
    </w:tbl>
    <w:p w14:paraId="48AFA50B" w14:textId="77777777" w:rsidR="005E7C01" w:rsidRDefault="005E7C01" w:rsidP="00156C23">
      <w:pPr>
        <w:spacing w:line="360" w:lineRule="auto"/>
        <w:ind w:left="0" w:firstLine="0"/>
        <w:rPr>
          <w:b/>
          <w:szCs w:val="24"/>
          <w:lang w:val="en-US"/>
        </w:rPr>
      </w:pPr>
    </w:p>
    <w:p w14:paraId="58D7AD06" w14:textId="77777777" w:rsidR="005E7C01" w:rsidRDefault="005E7C01" w:rsidP="00156C23">
      <w:pPr>
        <w:spacing w:line="360" w:lineRule="auto"/>
        <w:ind w:left="0" w:firstLine="0"/>
        <w:rPr>
          <w:b/>
          <w:szCs w:val="24"/>
          <w:lang w:val="en-US"/>
        </w:rPr>
      </w:pPr>
    </w:p>
    <w:p w14:paraId="09C6D595" w14:textId="77777777" w:rsidR="007276D8" w:rsidRDefault="007276D8" w:rsidP="00156C23">
      <w:pPr>
        <w:spacing w:line="360" w:lineRule="auto"/>
        <w:ind w:left="0" w:firstLine="0"/>
        <w:rPr>
          <w:b/>
          <w:szCs w:val="24"/>
          <w:lang w:val="en-US"/>
        </w:rPr>
      </w:pPr>
    </w:p>
    <w:p w14:paraId="1D93EEED" w14:textId="06012744" w:rsidR="00720A7D" w:rsidRPr="00D30A81" w:rsidRDefault="00720A7D" w:rsidP="00156C23">
      <w:pPr>
        <w:spacing w:line="360" w:lineRule="auto"/>
        <w:ind w:left="0" w:firstLine="0"/>
        <w:rPr>
          <w:b/>
          <w:szCs w:val="24"/>
          <w:lang w:val="en-US"/>
        </w:rPr>
      </w:pPr>
      <w:r>
        <w:rPr>
          <w:b/>
          <w:szCs w:val="24"/>
          <w:lang w:val="en-US"/>
        </w:rPr>
        <w:t xml:space="preserve">Table </w:t>
      </w:r>
      <w:r w:rsidR="005E7C01">
        <w:rPr>
          <w:b/>
          <w:szCs w:val="24"/>
          <w:lang w:val="en-US"/>
        </w:rPr>
        <w:t>6</w:t>
      </w:r>
      <w:r>
        <w:rPr>
          <w:b/>
          <w:szCs w:val="24"/>
          <w:lang w:val="en-US"/>
        </w:rPr>
        <w:t>: Unpaired T-test</w:t>
      </w:r>
    </w:p>
    <w:tbl>
      <w:tblPr>
        <w:tblW w:w="1005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945"/>
        <w:gridCol w:w="1545"/>
        <w:gridCol w:w="1560"/>
        <w:gridCol w:w="1605"/>
        <w:gridCol w:w="1125"/>
        <w:gridCol w:w="1935"/>
      </w:tblGrid>
      <w:tr w:rsidR="00720A7D" w14:paraId="265297C2" w14:textId="77777777" w:rsidTr="00720A7D">
        <w:tc>
          <w:tcPr>
            <w:tcW w:w="1335" w:type="dxa"/>
            <w:shd w:val="clear" w:color="auto" w:fill="D5A6BD"/>
            <w:tcMar>
              <w:top w:w="100" w:type="dxa"/>
              <w:left w:w="100" w:type="dxa"/>
              <w:bottom w:w="100" w:type="dxa"/>
              <w:right w:w="100" w:type="dxa"/>
            </w:tcMar>
          </w:tcPr>
          <w:p w14:paraId="72CB7EF5" w14:textId="77777777" w:rsidR="00720A7D" w:rsidRDefault="00720A7D" w:rsidP="00156C23">
            <w:pPr>
              <w:spacing w:line="360" w:lineRule="auto"/>
              <w:jc w:val="center"/>
              <w:rPr>
                <w:b/>
                <w:szCs w:val="24"/>
              </w:rPr>
            </w:pPr>
          </w:p>
          <w:p w14:paraId="03D28334" w14:textId="77777777" w:rsidR="00720A7D" w:rsidRDefault="00720A7D" w:rsidP="00156C23">
            <w:pPr>
              <w:spacing w:line="360" w:lineRule="auto"/>
              <w:jc w:val="center"/>
              <w:rPr>
                <w:b/>
                <w:szCs w:val="24"/>
              </w:rPr>
            </w:pPr>
            <w:r>
              <w:rPr>
                <w:b/>
                <w:szCs w:val="24"/>
              </w:rPr>
              <w:t>Group</w:t>
            </w:r>
          </w:p>
        </w:tc>
        <w:tc>
          <w:tcPr>
            <w:tcW w:w="945" w:type="dxa"/>
            <w:shd w:val="clear" w:color="auto" w:fill="D5A6BD"/>
            <w:tcMar>
              <w:top w:w="100" w:type="dxa"/>
              <w:left w:w="100" w:type="dxa"/>
              <w:bottom w:w="100" w:type="dxa"/>
              <w:right w:w="100" w:type="dxa"/>
            </w:tcMar>
          </w:tcPr>
          <w:p w14:paraId="3E0021A8" w14:textId="77777777" w:rsidR="00720A7D" w:rsidRDefault="00720A7D" w:rsidP="00156C23">
            <w:pPr>
              <w:spacing w:line="360" w:lineRule="auto"/>
              <w:jc w:val="center"/>
              <w:rPr>
                <w:b/>
                <w:szCs w:val="24"/>
              </w:rPr>
            </w:pPr>
            <w:r>
              <w:rPr>
                <w:b/>
                <w:szCs w:val="24"/>
              </w:rPr>
              <w:t>HF</w:t>
            </w:r>
          </w:p>
        </w:tc>
        <w:tc>
          <w:tcPr>
            <w:tcW w:w="1545" w:type="dxa"/>
            <w:shd w:val="clear" w:color="auto" w:fill="D5A6BD"/>
            <w:tcMar>
              <w:top w:w="100" w:type="dxa"/>
              <w:left w:w="100" w:type="dxa"/>
              <w:bottom w:w="100" w:type="dxa"/>
              <w:right w:w="100" w:type="dxa"/>
            </w:tcMar>
          </w:tcPr>
          <w:p w14:paraId="2617F39D" w14:textId="77777777" w:rsidR="00720A7D" w:rsidRDefault="00720A7D" w:rsidP="00156C23">
            <w:pPr>
              <w:spacing w:line="360" w:lineRule="auto"/>
              <w:jc w:val="center"/>
              <w:rPr>
                <w:b/>
                <w:szCs w:val="24"/>
              </w:rPr>
            </w:pPr>
            <w:r>
              <w:rPr>
                <w:b/>
                <w:szCs w:val="24"/>
              </w:rPr>
              <w:t>CAD</w:t>
            </w:r>
          </w:p>
        </w:tc>
        <w:tc>
          <w:tcPr>
            <w:tcW w:w="1560" w:type="dxa"/>
            <w:shd w:val="clear" w:color="auto" w:fill="D5A6BD"/>
            <w:tcMar>
              <w:top w:w="100" w:type="dxa"/>
              <w:left w:w="100" w:type="dxa"/>
              <w:bottom w:w="100" w:type="dxa"/>
              <w:right w:w="100" w:type="dxa"/>
            </w:tcMar>
          </w:tcPr>
          <w:p w14:paraId="7FE98FBE" w14:textId="77777777" w:rsidR="00720A7D" w:rsidRDefault="00720A7D" w:rsidP="00156C23">
            <w:pPr>
              <w:spacing w:line="360" w:lineRule="auto"/>
              <w:jc w:val="center"/>
              <w:rPr>
                <w:b/>
                <w:szCs w:val="24"/>
              </w:rPr>
            </w:pPr>
            <w:r>
              <w:rPr>
                <w:b/>
                <w:szCs w:val="24"/>
              </w:rPr>
              <w:t>HTN URGENCY</w:t>
            </w:r>
          </w:p>
        </w:tc>
        <w:tc>
          <w:tcPr>
            <w:tcW w:w="1605" w:type="dxa"/>
            <w:shd w:val="clear" w:color="auto" w:fill="D5A6BD"/>
            <w:tcMar>
              <w:top w:w="100" w:type="dxa"/>
              <w:left w:w="100" w:type="dxa"/>
              <w:bottom w:w="100" w:type="dxa"/>
              <w:right w:w="100" w:type="dxa"/>
            </w:tcMar>
          </w:tcPr>
          <w:p w14:paraId="3E3C77B1" w14:textId="77777777" w:rsidR="00720A7D" w:rsidRDefault="00720A7D" w:rsidP="00156C23">
            <w:pPr>
              <w:spacing w:line="360" w:lineRule="auto"/>
              <w:jc w:val="center"/>
              <w:rPr>
                <w:b/>
                <w:szCs w:val="24"/>
              </w:rPr>
            </w:pPr>
            <w:r>
              <w:rPr>
                <w:b/>
                <w:szCs w:val="24"/>
              </w:rPr>
              <w:t>ATRIAL FIBRIL</w:t>
            </w:r>
          </w:p>
        </w:tc>
        <w:tc>
          <w:tcPr>
            <w:tcW w:w="1125" w:type="dxa"/>
            <w:shd w:val="clear" w:color="auto" w:fill="D5A6BD"/>
            <w:tcMar>
              <w:top w:w="100" w:type="dxa"/>
              <w:left w:w="100" w:type="dxa"/>
              <w:bottom w:w="100" w:type="dxa"/>
              <w:right w:w="100" w:type="dxa"/>
            </w:tcMar>
          </w:tcPr>
          <w:p w14:paraId="30C88AF5" w14:textId="77777777" w:rsidR="00720A7D" w:rsidRDefault="00720A7D" w:rsidP="00156C23">
            <w:pPr>
              <w:spacing w:line="360" w:lineRule="auto"/>
              <w:jc w:val="center"/>
              <w:rPr>
                <w:b/>
                <w:szCs w:val="24"/>
              </w:rPr>
            </w:pPr>
            <w:r>
              <w:rPr>
                <w:b/>
                <w:szCs w:val="24"/>
              </w:rPr>
              <w:t>IHD</w:t>
            </w:r>
          </w:p>
        </w:tc>
        <w:tc>
          <w:tcPr>
            <w:tcW w:w="1935" w:type="dxa"/>
            <w:shd w:val="clear" w:color="auto" w:fill="D5A6BD"/>
            <w:tcMar>
              <w:top w:w="100" w:type="dxa"/>
              <w:left w:w="100" w:type="dxa"/>
              <w:bottom w:w="100" w:type="dxa"/>
              <w:right w:w="100" w:type="dxa"/>
            </w:tcMar>
          </w:tcPr>
          <w:p w14:paraId="1887A1B0" w14:textId="77777777" w:rsidR="00720A7D" w:rsidRDefault="00720A7D" w:rsidP="00156C23">
            <w:pPr>
              <w:spacing w:line="360" w:lineRule="auto"/>
              <w:jc w:val="center"/>
              <w:rPr>
                <w:b/>
                <w:szCs w:val="24"/>
              </w:rPr>
            </w:pPr>
            <w:r>
              <w:rPr>
                <w:b/>
                <w:szCs w:val="24"/>
              </w:rPr>
              <w:t>OTHERS</w:t>
            </w:r>
          </w:p>
        </w:tc>
      </w:tr>
      <w:tr w:rsidR="00720A7D" w14:paraId="103AFF47" w14:textId="77777777" w:rsidTr="00720A7D">
        <w:tc>
          <w:tcPr>
            <w:tcW w:w="1335" w:type="dxa"/>
            <w:shd w:val="clear" w:color="auto" w:fill="B6D7A8"/>
            <w:tcMar>
              <w:top w:w="100" w:type="dxa"/>
              <w:left w:w="100" w:type="dxa"/>
              <w:bottom w:w="100" w:type="dxa"/>
              <w:right w:w="100" w:type="dxa"/>
            </w:tcMar>
          </w:tcPr>
          <w:p w14:paraId="4994B781" w14:textId="77777777" w:rsidR="00720A7D" w:rsidRDefault="00720A7D" w:rsidP="00156C23">
            <w:pPr>
              <w:spacing w:line="360" w:lineRule="auto"/>
              <w:jc w:val="center"/>
              <w:rPr>
                <w:b/>
                <w:szCs w:val="24"/>
              </w:rPr>
            </w:pPr>
            <w:r>
              <w:rPr>
                <w:b/>
                <w:szCs w:val="24"/>
              </w:rPr>
              <w:t>Mean</w:t>
            </w:r>
          </w:p>
        </w:tc>
        <w:tc>
          <w:tcPr>
            <w:tcW w:w="945" w:type="dxa"/>
            <w:shd w:val="clear" w:color="auto" w:fill="F4CCCC"/>
            <w:tcMar>
              <w:top w:w="100" w:type="dxa"/>
              <w:left w:w="100" w:type="dxa"/>
              <w:bottom w:w="100" w:type="dxa"/>
              <w:right w:w="100" w:type="dxa"/>
            </w:tcMar>
          </w:tcPr>
          <w:p w14:paraId="6950BB62" w14:textId="77777777" w:rsidR="00720A7D" w:rsidRDefault="00720A7D" w:rsidP="00156C23">
            <w:pPr>
              <w:spacing w:line="360" w:lineRule="auto"/>
              <w:jc w:val="center"/>
            </w:pPr>
            <w:r>
              <w:t>8605.27</w:t>
            </w:r>
          </w:p>
        </w:tc>
        <w:tc>
          <w:tcPr>
            <w:tcW w:w="1545" w:type="dxa"/>
            <w:shd w:val="clear" w:color="auto" w:fill="F4CCCC"/>
            <w:tcMar>
              <w:top w:w="100" w:type="dxa"/>
              <w:left w:w="100" w:type="dxa"/>
              <w:bottom w:w="100" w:type="dxa"/>
              <w:right w:w="100" w:type="dxa"/>
            </w:tcMar>
          </w:tcPr>
          <w:p w14:paraId="5931918A" w14:textId="77777777" w:rsidR="00720A7D" w:rsidRDefault="00720A7D" w:rsidP="00156C23">
            <w:pPr>
              <w:spacing w:line="360" w:lineRule="auto"/>
              <w:jc w:val="center"/>
            </w:pPr>
            <w:r>
              <w:t>7918.38</w:t>
            </w:r>
          </w:p>
        </w:tc>
        <w:tc>
          <w:tcPr>
            <w:tcW w:w="1560" w:type="dxa"/>
            <w:shd w:val="clear" w:color="auto" w:fill="F4CCCC"/>
            <w:tcMar>
              <w:top w:w="100" w:type="dxa"/>
              <w:left w:w="100" w:type="dxa"/>
              <w:bottom w:w="100" w:type="dxa"/>
              <w:right w:w="100" w:type="dxa"/>
            </w:tcMar>
          </w:tcPr>
          <w:p w14:paraId="5DA94D66" w14:textId="77777777" w:rsidR="00720A7D" w:rsidRDefault="00720A7D" w:rsidP="00156C23">
            <w:pPr>
              <w:spacing w:line="360" w:lineRule="auto"/>
              <w:jc w:val="center"/>
            </w:pPr>
            <w:r>
              <w:t>6994.50</w:t>
            </w:r>
          </w:p>
        </w:tc>
        <w:tc>
          <w:tcPr>
            <w:tcW w:w="1605" w:type="dxa"/>
            <w:shd w:val="clear" w:color="auto" w:fill="F4CCCC"/>
            <w:tcMar>
              <w:top w:w="100" w:type="dxa"/>
              <w:left w:w="100" w:type="dxa"/>
              <w:bottom w:w="100" w:type="dxa"/>
              <w:right w:w="100" w:type="dxa"/>
            </w:tcMar>
          </w:tcPr>
          <w:p w14:paraId="430B1BF8" w14:textId="77777777" w:rsidR="00720A7D" w:rsidRDefault="00720A7D" w:rsidP="00156C23">
            <w:pPr>
              <w:spacing w:line="360" w:lineRule="auto"/>
              <w:jc w:val="center"/>
            </w:pPr>
            <w:r>
              <w:t>8364.00</w:t>
            </w:r>
          </w:p>
        </w:tc>
        <w:tc>
          <w:tcPr>
            <w:tcW w:w="1125" w:type="dxa"/>
            <w:shd w:val="clear" w:color="auto" w:fill="F4CCCC"/>
            <w:tcMar>
              <w:top w:w="100" w:type="dxa"/>
              <w:left w:w="100" w:type="dxa"/>
              <w:bottom w:w="100" w:type="dxa"/>
              <w:right w:w="100" w:type="dxa"/>
            </w:tcMar>
          </w:tcPr>
          <w:p w14:paraId="1C3CD1BD" w14:textId="77777777" w:rsidR="00720A7D" w:rsidRDefault="00720A7D" w:rsidP="00156C23">
            <w:pPr>
              <w:spacing w:line="360" w:lineRule="auto"/>
              <w:jc w:val="center"/>
            </w:pPr>
            <w:r>
              <w:t>3185.00</w:t>
            </w:r>
          </w:p>
        </w:tc>
        <w:tc>
          <w:tcPr>
            <w:tcW w:w="1935" w:type="dxa"/>
            <w:shd w:val="clear" w:color="auto" w:fill="F4CCCC"/>
            <w:tcMar>
              <w:top w:w="100" w:type="dxa"/>
              <w:left w:w="100" w:type="dxa"/>
              <w:bottom w:w="100" w:type="dxa"/>
              <w:right w:w="100" w:type="dxa"/>
            </w:tcMar>
          </w:tcPr>
          <w:p w14:paraId="6446EE90" w14:textId="77777777" w:rsidR="00720A7D" w:rsidRDefault="00720A7D" w:rsidP="00156C23">
            <w:pPr>
              <w:spacing w:line="360" w:lineRule="auto"/>
              <w:jc w:val="center"/>
            </w:pPr>
            <w:r>
              <w:t>2978.40</w:t>
            </w:r>
          </w:p>
        </w:tc>
      </w:tr>
      <w:tr w:rsidR="00720A7D" w14:paraId="5EC5AA5F" w14:textId="77777777" w:rsidTr="00720A7D">
        <w:tc>
          <w:tcPr>
            <w:tcW w:w="1335" w:type="dxa"/>
            <w:shd w:val="clear" w:color="auto" w:fill="B6D7A8"/>
            <w:tcMar>
              <w:top w:w="100" w:type="dxa"/>
              <w:left w:w="100" w:type="dxa"/>
              <w:bottom w:w="100" w:type="dxa"/>
              <w:right w:w="100" w:type="dxa"/>
            </w:tcMar>
          </w:tcPr>
          <w:p w14:paraId="42600F06" w14:textId="77777777" w:rsidR="00720A7D" w:rsidRDefault="00720A7D" w:rsidP="00156C23">
            <w:pPr>
              <w:spacing w:line="360" w:lineRule="auto"/>
              <w:jc w:val="center"/>
              <w:rPr>
                <w:b/>
                <w:szCs w:val="24"/>
              </w:rPr>
            </w:pPr>
            <w:r>
              <w:rPr>
                <w:b/>
                <w:szCs w:val="24"/>
              </w:rPr>
              <w:t>SD</w:t>
            </w:r>
          </w:p>
        </w:tc>
        <w:tc>
          <w:tcPr>
            <w:tcW w:w="945" w:type="dxa"/>
            <w:shd w:val="clear" w:color="auto" w:fill="F4CCCC"/>
            <w:tcMar>
              <w:top w:w="100" w:type="dxa"/>
              <w:left w:w="100" w:type="dxa"/>
              <w:bottom w:w="100" w:type="dxa"/>
              <w:right w:w="100" w:type="dxa"/>
            </w:tcMar>
          </w:tcPr>
          <w:p w14:paraId="7A2D36E9" w14:textId="77777777" w:rsidR="00720A7D" w:rsidRDefault="00720A7D" w:rsidP="00156C23">
            <w:pPr>
              <w:spacing w:line="360" w:lineRule="auto"/>
              <w:jc w:val="center"/>
            </w:pPr>
            <w:r>
              <w:t>9941.28</w:t>
            </w:r>
          </w:p>
        </w:tc>
        <w:tc>
          <w:tcPr>
            <w:tcW w:w="1545" w:type="dxa"/>
            <w:shd w:val="clear" w:color="auto" w:fill="F4CCCC"/>
            <w:tcMar>
              <w:top w:w="100" w:type="dxa"/>
              <w:left w:w="100" w:type="dxa"/>
              <w:bottom w:w="100" w:type="dxa"/>
              <w:right w:w="100" w:type="dxa"/>
            </w:tcMar>
          </w:tcPr>
          <w:p w14:paraId="33A091C4" w14:textId="77777777" w:rsidR="00720A7D" w:rsidRDefault="00720A7D" w:rsidP="00156C23">
            <w:pPr>
              <w:spacing w:line="360" w:lineRule="auto"/>
              <w:jc w:val="center"/>
            </w:pPr>
            <w:r>
              <w:t>8524.06</w:t>
            </w:r>
          </w:p>
        </w:tc>
        <w:tc>
          <w:tcPr>
            <w:tcW w:w="1560" w:type="dxa"/>
            <w:shd w:val="clear" w:color="auto" w:fill="F4CCCC"/>
            <w:tcMar>
              <w:top w:w="100" w:type="dxa"/>
              <w:left w:w="100" w:type="dxa"/>
              <w:bottom w:w="100" w:type="dxa"/>
              <w:right w:w="100" w:type="dxa"/>
            </w:tcMar>
          </w:tcPr>
          <w:p w14:paraId="3204CF44" w14:textId="77777777" w:rsidR="00720A7D" w:rsidRDefault="00720A7D" w:rsidP="00156C23">
            <w:pPr>
              <w:spacing w:line="360" w:lineRule="auto"/>
              <w:jc w:val="center"/>
            </w:pPr>
            <w:r>
              <w:t>9691.06</w:t>
            </w:r>
          </w:p>
        </w:tc>
        <w:tc>
          <w:tcPr>
            <w:tcW w:w="1605" w:type="dxa"/>
            <w:shd w:val="clear" w:color="auto" w:fill="F4CCCC"/>
            <w:tcMar>
              <w:top w:w="100" w:type="dxa"/>
              <w:left w:w="100" w:type="dxa"/>
              <w:bottom w:w="100" w:type="dxa"/>
              <w:right w:w="100" w:type="dxa"/>
            </w:tcMar>
          </w:tcPr>
          <w:p w14:paraId="7D902CFB" w14:textId="77777777" w:rsidR="00720A7D" w:rsidRDefault="00720A7D" w:rsidP="00156C23">
            <w:pPr>
              <w:spacing w:line="360" w:lineRule="auto"/>
              <w:jc w:val="center"/>
            </w:pPr>
            <w:r>
              <w:t>6668.02</w:t>
            </w:r>
          </w:p>
        </w:tc>
        <w:tc>
          <w:tcPr>
            <w:tcW w:w="1125" w:type="dxa"/>
            <w:shd w:val="clear" w:color="auto" w:fill="F4CCCC"/>
            <w:tcMar>
              <w:top w:w="100" w:type="dxa"/>
              <w:left w:w="100" w:type="dxa"/>
              <w:bottom w:w="100" w:type="dxa"/>
              <w:right w:w="100" w:type="dxa"/>
            </w:tcMar>
          </w:tcPr>
          <w:p w14:paraId="1F1A8BC0" w14:textId="77777777" w:rsidR="00720A7D" w:rsidRDefault="00720A7D" w:rsidP="00156C23">
            <w:pPr>
              <w:spacing w:line="360" w:lineRule="auto"/>
              <w:jc w:val="center"/>
            </w:pPr>
            <w:r>
              <w:t>1200.67</w:t>
            </w:r>
          </w:p>
        </w:tc>
        <w:tc>
          <w:tcPr>
            <w:tcW w:w="1935" w:type="dxa"/>
            <w:shd w:val="clear" w:color="auto" w:fill="F4CCCC"/>
            <w:tcMar>
              <w:top w:w="100" w:type="dxa"/>
              <w:left w:w="100" w:type="dxa"/>
              <w:bottom w:w="100" w:type="dxa"/>
              <w:right w:w="100" w:type="dxa"/>
            </w:tcMar>
          </w:tcPr>
          <w:p w14:paraId="5870143F" w14:textId="77777777" w:rsidR="00720A7D" w:rsidRDefault="00720A7D" w:rsidP="00156C23">
            <w:pPr>
              <w:spacing w:line="360" w:lineRule="auto"/>
              <w:jc w:val="center"/>
            </w:pPr>
            <w:r>
              <w:t>2486.63</w:t>
            </w:r>
          </w:p>
        </w:tc>
      </w:tr>
      <w:tr w:rsidR="00720A7D" w14:paraId="7B47B2CC" w14:textId="77777777" w:rsidTr="00720A7D">
        <w:tc>
          <w:tcPr>
            <w:tcW w:w="1335" w:type="dxa"/>
            <w:shd w:val="clear" w:color="auto" w:fill="B6D7A8"/>
            <w:tcMar>
              <w:top w:w="100" w:type="dxa"/>
              <w:left w:w="100" w:type="dxa"/>
              <w:bottom w:w="100" w:type="dxa"/>
              <w:right w:w="100" w:type="dxa"/>
            </w:tcMar>
          </w:tcPr>
          <w:p w14:paraId="6025F785" w14:textId="77777777" w:rsidR="00720A7D" w:rsidRDefault="00720A7D" w:rsidP="00156C23">
            <w:pPr>
              <w:spacing w:line="360" w:lineRule="auto"/>
              <w:jc w:val="center"/>
              <w:rPr>
                <w:b/>
                <w:szCs w:val="24"/>
              </w:rPr>
            </w:pPr>
            <w:r>
              <w:rPr>
                <w:b/>
                <w:szCs w:val="24"/>
              </w:rPr>
              <w:t>SEM</w:t>
            </w:r>
          </w:p>
        </w:tc>
        <w:tc>
          <w:tcPr>
            <w:tcW w:w="945" w:type="dxa"/>
            <w:shd w:val="clear" w:color="auto" w:fill="F4CCCC"/>
            <w:tcMar>
              <w:top w:w="100" w:type="dxa"/>
              <w:left w:w="100" w:type="dxa"/>
              <w:bottom w:w="100" w:type="dxa"/>
              <w:right w:w="100" w:type="dxa"/>
            </w:tcMar>
          </w:tcPr>
          <w:p w14:paraId="2B959092" w14:textId="77777777" w:rsidR="00720A7D" w:rsidRDefault="00720A7D" w:rsidP="00156C23">
            <w:pPr>
              <w:spacing w:line="360" w:lineRule="auto"/>
              <w:jc w:val="center"/>
            </w:pPr>
            <w:r>
              <w:t>2119.49</w:t>
            </w:r>
          </w:p>
        </w:tc>
        <w:tc>
          <w:tcPr>
            <w:tcW w:w="1545" w:type="dxa"/>
            <w:shd w:val="clear" w:color="auto" w:fill="F4CCCC"/>
            <w:tcMar>
              <w:top w:w="100" w:type="dxa"/>
              <w:left w:w="100" w:type="dxa"/>
              <w:bottom w:w="100" w:type="dxa"/>
              <w:right w:w="100" w:type="dxa"/>
            </w:tcMar>
          </w:tcPr>
          <w:p w14:paraId="23D7F00E" w14:textId="77777777" w:rsidR="00720A7D" w:rsidRDefault="00720A7D" w:rsidP="00156C23">
            <w:pPr>
              <w:spacing w:line="360" w:lineRule="auto"/>
              <w:jc w:val="center"/>
            </w:pPr>
            <w:r>
              <w:t>2131.01</w:t>
            </w:r>
          </w:p>
        </w:tc>
        <w:tc>
          <w:tcPr>
            <w:tcW w:w="1560" w:type="dxa"/>
            <w:shd w:val="clear" w:color="auto" w:fill="F4CCCC"/>
            <w:tcMar>
              <w:top w:w="100" w:type="dxa"/>
              <w:left w:w="100" w:type="dxa"/>
              <w:bottom w:w="100" w:type="dxa"/>
              <w:right w:w="100" w:type="dxa"/>
            </w:tcMar>
          </w:tcPr>
          <w:p w14:paraId="2E2119B6" w14:textId="77777777" w:rsidR="00720A7D" w:rsidRDefault="00720A7D" w:rsidP="00156C23">
            <w:pPr>
              <w:spacing w:line="360" w:lineRule="auto"/>
              <w:jc w:val="center"/>
            </w:pPr>
            <w:r>
              <w:t>4845.53</w:t>
            </w:r>
          </w:p>
        </w:tc>
        <w:tc>
          <w:tcPr>
            <w:tcW w:w="1605" w:type="dxa"/>
            <w:shd w:val="clear" w:color="auto" w:fill="F4CCCC"/>
            <w:tcMar>
              <w:top w:w="100" w:type="dxa"/>
              <w:left w:w="100" w:type="dxa"/>
              <w:bottom w:w="100" w:type="dxa"/>
              <w:right w:w="100" w:type="dxa"/>
            </w:tcMar>
          </w:tcPr>
          <w:p w14:paraId="46E41FAD" w14:textId="77777777" w:rsidR="00720A7D" w:rsidRDefault="00720A7D" w:rsidP="00156C23">
            <w:pPr>
              <w:spacing w:line="360" w:lineRule="auto"/>
              <w:jc w:val="center"/>
            </w:pPr>
            <w:r>
              <w:t>4715.00</w:t>
            </w:r>
          </w:p>
        </w:tc>
        <w:tc>
          <w:tcPr>
            <w:tcW w:w="1125" w:type="dxa"/>
            <w:shd w:val="clear" w:color="auto" w:fill="F4CCCC"/>
            <w:tcMar>
              <w:top w:w="100" w:type="dxa"/>
              <w:left w:w="100" w:type="dxa"/>
              <w:bottom w:w="100" w:type="dxa"/>
              <w:right w:w="100" w:type="dxa"/>
            </w:tcMar>
          </w:tcPr>
          <w:p w14:paraId="38A01168" w14:textId="77777777" w:rsidR="00720A7D" w:rsidRDefault="00720A7D" w:rsidP="00156C23">
            <w:pPr>
              <w:spacing w:line="360" w:lineRule="auto"/>
              <w:jc w:val="center"/>
            </w:pPr>
            <w:r>
              <w:t>849.00</w:t>
            </w:r>
          </w:p>
        </w:tc>
        <w:tc>
          <w:tcPr>
            <w:tcW w:w="1935" w:type="dxa"/>
            <w:shd w:val="clear" w:color="auto" w:fill="F4CCCC"/>
            <w:tcMar>
              <w:top w:w="100" w:type="dxa"/>
              <w:left w:w="100" w:type="dxa"/>
              <w:bottom w:w="100" w:type="dxa"/>
              <w:right w:w="100" w:type="dxa"/>
            </w:tcMar>
          </w:tcPr>
          <w:p w14:paraId="6FC88949" w14:textId="77777777" w:rsidR="00720A7D" w:rsidRDefault="00720A7D" w:rsidP="00156C23">
            <w:pPr>
              <w:spacing w:line="360" w:lineRule="auto"/>
              <w:jc w:val="center"/>
            </w:pPr>
            <w:r>
              <w:t>1112.05</w:t>
            </w:r>
          </w:p>
        </w:tc>
      </w:tr>
      <w:tr w:rsidR="00720A7D" w14:paraId="3A85667B" w14:textId="77777777" w:rsidTr="00720A7D">
        <w:tc>
          <w:tcPr>
            <w:tcW w:w="1335" w:type="dxa"/>
            <w:shd w:val="clear" w:color="auto" w:fill="B6D7A8"/>
            <w:tcMar>
              <w:top w:w="100" w:type="dxa"/>
              <w:left w:w="100" w:type="dxa"/>
              <w:bottom w:w="100" w:type="dxa"/>
              <w:right w:w="100" w:type="dxa"/>
            </w:tcMar>
          </w:tcPr>
          <w:p w14:paraId="08A330ED" w14:textId="77777777" w:rsidR="00720A7D" w:rsidRDefault="00720A7D" w:rsidP="00156C23">
            <w:pPr>
              <w:spacing w:line="360" w:lineRule="auto"/>
              <w:jc w:val="center"/>
              <w:rPr>
                <w:b/>
                <w:szCs w:val="24"/>
              </w:rPr>
            </w:pPr>
            <w:r>
              <w:rPr>
                <w:b/>
                <w:szCs w:val="24"/>
              </w:rPr>
              <w:t>N</w:t>
            </w:r>
          </w:p>
        </w:tc>
        <w:tc>
          <w:tcPr>
            <w:tcW w:w="945" w:type="dxa"/>
            <w:shd w:val="clear" w:color="auto" w:fill="F4CCCC"/>
            <w:tcMar>
              <w:top w:w="100" w:type="dxa"/>
              <w:left w:w="100" w:type="dxa"/>
              <w:bottom w:w="100" w:type="dxa"/>
              <w:right w:w="100" w:type="dxa"/>
            </w:tcMar>
          </w:tcPr>
          <w:p w14:paraId="7798AE77" w14:textId="77777777" w:rsidR="00720A7D" w:rsidRDefault="00720A7D" w:rsidP="00156C23">
            <w:pPr>
              <w:spacing w:line="360" w:lineRule="auto"/>
              <w:jc w:val="center"/>
              <w:rPr>
                <w:b/>
              </w:rPr>
            </w:pPr>
            <w:r>
              <w:rPr>
                <w:b/>
              </w:rPr>
              <w:t>22</w:t>
            </w:r>
          </w:p>
        </w:tc>
        <w:tc>
          <w:tcPr>
            <w:tcW w:w="1545" w:type="dxa"/>
            <w:shd w:val="clear" w:color="auto" w:fill="F4CCCC"/>
            <w:tcMar>
              <w:top w:w="100" w:type="dxa"/>
              <w:left w:w="100" w:type="dxa"/>
              <w:bottom w:w="100" w:type="dxa"/>
              <w:right w:w="100" w:type="dxa"/>
            </w:tcMar>
          </w:tcPr>
          <w:p w14:paraId="3769F82D" w14:textId="77777777" w:rsidR="00720A7D" w:rsidRDefault="00720A7D" w:rsidP="00156C23">
            <w:pPr>
              <w:spacing w:line="360" w:lineRule="auto"/>
              <w:jc w:val="center"/>
              <w:rPr>
                <w:b/>
              </w:rPr>
            </w:pPr>
            <w:r>
              <w:rPr>
                <w:b/>
              </w:rPr>
              <w:t>16</w:t>
            </w:r>
          </w:p>
        </w:tc>
        <w:tc>
          <w:tcPr>
            <w:tcW w:w="1560" w:type="dxa"/>
            <w:shd w:val="clear" w:color="auto" w:fill="F4CCCC"/>
            <w:tcMar>
              <w:top w:w="100" w:type="dxa"/>
              <w:left w:w="100" w:type="dxa"/>
              <w:bottom w:w="100" w:type="dxa"/>
              <w:right w:w="100" w:type="dxa"/>
            </w:tcMar>
          </w:tcPr>
          <w:p w14:paraId="7762B461" w14:textId="77777777" w:rsidR="00720A7D" w:rsidRDefault="00720A7D" w:rsidP="00156C23">
            <w:pPr>
              <w:spacing w:line="360" w:lineRule="auto"/>
              <w:jc w:val="center"/>
              <w:rPr>
                <w:b/>
              </w:rPr>
            </w:pPr>
            <w:r>
              <w:rPr>
                <w:b/>
              </w:rPr>
              <w:t>4</w:t>
            </w:r>
          </w:p>
        </w:tc>
        <w:tc>
          <w:tcPr>
            <w:tcW w:w="1605" w:type="dxa"/>
            <w:shd w:val="clear" w:color="auto" w:fill="F4CCCC"/>
            <w:tcMar>
              <w:top w:w="100" w:type="dxa"/>
              <w:left w:w="100" w:type="dxa"/>
              <w:bottom w:w="100" w:type="dxa"/>
              <w:right w:w="100" w:type="dxa"/>
            </w:tcMar>
          </w:tcPr>
          <w:p w14:paraId="20AEEBDF" w14:textId="77777777" w:rsidR="00720A7D" w:rsidRDefault="00720A7D" w:rsidP="00156C23">
            <w:pPr>
              <w:spacing w:line="360" w:lineRule="auto"/>
              <w:jc w:val="center"/>
              <w:rPr>
                <w:b/>
              </w:rPr>
            </w:pPr>
            <w:r>
              <w:rPr>
                <w:b/>
              </w:rPr>
              <w:t>2</w:t>
            </w:r>
          </w:p>
        </w:tc>
        <w:tc>
          <w:tcPr>
            <w:tcW w:w="1125" w:type="dxa"/>
            <w:shd w:val="clear" w:color="auto" w:fill="F4CCCC"/>
            <w:tcMar>
              <w:top w:w="100" w:type="dxa"/>
              <w:left w:w="100" w:type="dxa"/>
              <w:bottom w:w="100" w:type="dxa"/>
              <w:right w:w="100" w:type="dxa"/>
            </w:tcMar>
          </w:tcPr>
          <w:p w14:paraId="719B7C96" w14:textId="77777777" w:rsidR="00720A7D" w:rsidRDefault="00720A7D" w:rsidP="00156C23">
            <w:pPr>
              <w:spacing w:line="360" w:lineRule="auto"/>
              <w:jc w:val="center"/>
              <w:rPr>
                <w:b/>
              </w:rPr>
            </w:pPr>
            <w:r>
              <w:rPr>
                <w:b/>
              </w:rPr>
              <w:t>2</w:t>
            </w:r>
          </w:p>
        </w:tc>
        <w:tc>
          <w:tcPr>
            <w:tcW w:w="1935" w:type="dxa"/>
            <w:shd w:val="clear" w:color="auto" w:fill="F4CCCC"/>
            <w:tcMar>
              <w:top w:w="100" w:type="dxa"/>
              <w:left w:w="100" w:type="dxa"/>
              <w:bottom w:w="100" w:type="dxa"/>
              <w:right w:w="100" w:type="dxa"/>
            </w:tcMar>
          </w:tcPr>
          <w:p w14:paraId="750777A2" w14:textId="77777777" w:rsidR="00720A7D" w:rsidRDefault="00720A7D" w:rsidP="00156C23">
            <w:pPr>
              <w:spacing w:line="360" w:lineRule="auto"/>
              <w:jc w:val="center"/>
              <w:rPr>
                <w:b/>
              </w:rPr>
            </w:pPr>
            <w:r>
              <w:rPr>
                <w:b/>
              </w:rPr>
              <w:t>5</w:t>
            </w:r>
          </w:p>
        </w:tc>
      </w:tr>
    </w:tbl>
    <w:p w14:paraId="6FB819D5" w14:textId="77777777" w:rsidR="00720A7D" w:rsidRDefault="00720A7D" w:rsidP="00156C23">
      <w:pPr>
        <w:spacing w:after="0" w:line="360" w:lineRule="auto"/>
        <w:ind w:left="0" w:firstLine="0"/>
        <w:jc w:val="left"/>
        <w:rPr>
          <w:rFonts w:eastAsia="Calibri"/>
          <w:b/>
          <w:bCs/>
          <w:szCs w:val="24"/>
          <w:lang w:val="en-US"/>
        </w:rPr>
      </w:pPr>
    </w:p>
    <w:p w14:paraId="6C5D3CA2" w14:textId="77777777" w:rsidR="00720A7D" w:rsidRDefault="00720A7D" w:rsidP="00156C23">
      <w:pPr>
        <w:spacing w:after="0" w:line="360" w:lineRule="auto"/>
        <w:ind w:left="0" w:firstLine="0"/>
        <w:jc w:val="left"/>
        <w:rPr>
          <w:rFonts w:eastAsia="Calibri"/>
          <w:b/>
          <w:bCs/>
          <w:szCs w:val="24"/>
          <w:lang w:val="en-US"/>
        </w:rPr>
      </w:pPr>
    </w:p>
    <w:p w14:paraId="69743992" w14:textId="6FB13067" w:rsidR="005E7C01" w:rsidRDefault="005E7C01" w:rsidP="00156C23">
      <w:pPr>
        <w:spacing w:after="0" w:line="360" w:lineRule="auto"/>
        <w:ind w:left="0" w:firstLine="0"/>
        <w:jc w:val="left"/>
        <w:rPr>
          <w:rFonts w:eastAsia="Calibri"/>
          <w:b/>
          <w:bCs/>
          <w:szCs w:val="24"/>
          <w:lang w:val="en-US"/>
        </w:rPr>
      </w:pPr>
      <w:r>
        <w:rPr>
          <w:rFonts w:eastAsia="Calibri"/>
          <w:b/>
          <w:bCs/>
          <w:szCs w:val="24"/>
          <w:lang w:val="en-US"/>
        </w:rPr>
        <w:t>FUTURE SCOPE:</w:t>
      </w:r>
    </w:p>
    <w:p w14:paraId="45583BE0" w14:textId="3BC51FF3" w:rsidR="005E7C01" w:rsidRPr="005E7C01" w:rsidRDefault="005E7C01" w:rsidP="005E7C01">
      <w:pPr>
        <w:spacing w:after="0" w:line="360" w:lineRule="auto"/>
        <w:ind w:left="0" w:firstLine="0"/>
        <w:rPr>
          <w:rFonts w:eastAsia="Calibri"/>
          <w:szCs w:val="24"/>
          <w:lang w:val="en-US"/>
        </w:rPr>
      </w:pPr>
      <w:r>
        <w:rPr>
          <w:rFonts w:eastAsia="Calibri"/>
          <w:szCs w:val="24"/>
          <w:lang w:val="en-US"/>
        </w:rPr>
        <w:tab/>
      </w:r>
      <w:r w:rsidRPr="005E7C01">
        <w:rPr>
          <w:rFonts w:eastAsia="Calibri"/>
          <w:szCs w:val="24"/>
        </w:rPr>
        <w:t>To advance the clinical utility of NT-</w:t>
      </w:r>
      <w:proofErr w:type="spellStart"/>
      <w:r w:rsidRPr="005E7C01">
        <w:rPr>
          <w:rFonts w:eastAsia="Calibri"/>
          <w:szCs w:val="24"/>
        </w:rPr>
        <w:t>proBNP</w:t>
      </w:r>
      <w:proofErr w:type="spellEnd"/>
      <w:r w:rsidRPr="005E7C01">
        <w:rPr>
          <w:rFonts w:eastAsia="Calibri"/>
          <w:szCs w:val="24"/>
        </w:rPr>
        <w:t>, future research should focus on its prognostic potential through long-term studies across diverse patient populations. This includes evaluating its predictive value in disease progression and long-term outcomes, expanding studies to include varied ethnic and socioeconomic groups, and exploring genetic and molecular factors influencing NT-</w:t>
      </w:r>
      <w:proofErr w:type="spellStart"/>
      <w:r w:rsidRPr="005E7C01">
        <w:rPr>
          <w:rFonts w:eastAsia="Calibri"/>
          <w:szCs w:val="24"/>
        </w:rPr>
        <w:t>proBNP</w:t>
      </w:r>
      <w:proofErr w:type="spellEnd"/>
      <w:r w:rsidRPr="005E7C01">
        <w:rPr>
          <w:rFonts w:eastAsia="Calibri"/>
          <w:szCs w:val="24"/>
        </w:rPr>
        <w:t xml:space="preserve"> levels. Additionally, integrating machine learning and AI to </w:t>
      </w:r>
      <w:proofErr w:type="spellStart"/>
      <w:r w:rsidRPr="005E7C01">
        <w:rPr>
          <w:rFonts w:eastAsia="Calibri"/>
          <w:szCs w:val="24"/>
        </w:rPr>
        <w:t>analyze</w:t>
      </w:r>
      <w:proofErr w:type="spellEnd"/>
      <w:r w:rsidRPr="005E7C01">
        <w:rPr>
          <w:rFonts w:eastAsia="Calibri"/>
          <w:szCs w:val="24"/>
        </w:rPr>
        <w:t xml:space="preserve"> NT-</w:t>
      </w:r>
      <w:proofErr w:type="spellStart"/>
      <w:r w:rsidRPr="005E7C01">
        <w:rPr>
          <w:rFonts w:eastAsia="Calibri"/>
          <w:szCs w:val="24"/>
        </w:rPr>
        <w:t>proBNP</w:t>
      </w:r>
      <w:proofErr w:type="spellEnd"/>
      <w:r w:rsidRPr="005E7C01">
        <w:rPr>
          <w:rFonts w:eastAsia="Calibri"/>
          <w:szCs w:val="24"/>
        </w:rPr>
        <w:t xml:space="preserve"> alongside other clinical data may reveal new diagnostic insights and support personalized treatment strategies. These directions could significantly enhance its application in clinical practice.</w:t>
      </w:r>
    </w:p>
    <w:p w14:paraId="3B43AA74" w14:textId="77777777" w:rsidR="005E7C01" w:rsidRDefault="005E7C01" w:rsidP="00156C23">
      <w:pPr>
        <w:spacing w:after="0" w:line="360" w:lineRule="auto"/>
        <w:ind w:left="0" w:firstLine="0"/>
        <w:jc w:val="left"/>
        <w:rPr>
          <w:rFonts w:eastAsia="Calibri"/>
          <w:b/>
          <w:bCs/>
          <w:szCs w:val="24"/>
          <w:lang w:val="en-US"/>
        </w:rPr>
      </w:pPr>
    </w:p>
    <w:p w14:paraId="5E2C0927" w14:textId="17733EFA" w:rsidR="00786663" w:rsidRDefault="00786663" w:rsidP="00156C23">
      <w:pPr>
        <w:spacing w:after="0" w:line="360" w:lineRule="auto"/>
        <w:ind w:left="0" w:firstLine="0"/>
        <w:jc w:val="left"/>
        <w:rPr>
          <w:rFonts w:eastAsia="Calibri"/>
          <w:b/>
          <w:bCs/>
          <w:szCs w:val="24"/>
          <w:lang w:val="en-US"/>
        </w:rPr>
      </w:pPr>
      <w:r>
        <w:rPr>
          <w:rFonts w:eastAsia="Calibri"/>
          <w:b/>
          <w:bCs/>
          <w:szCs w:val="24"/>
          <w:lang w:val="en-US"/>
        </w:rPr>
        <w:t>CONCLUSION:</w:t>
      </w:r>
    </w:p>
    <w:p w14:paraId="41707F30" w14:textId="711F58DD" w:rsidR="00786663" w:rsidRDefault="00E010EF" w:rsidP="00156C23">
      <w:pPr>
        <w:spacing w:after="0" w:line="360" w:lineRule="auto"/>
        <w:ind w:left="0" w:firstLine="0"/>
        <w:rPr>
          <w:szCs w:val="24"/>
        </w:rPr>
      </w:pPr>
      <w:r>
        <w:rPr>
          <w:szCs w:val="24"/>
        </w:rPr>
        <w:tab/>
      </w:r>
      <w:r w:rsidR="00720A7D" w:rsidRPr="00720A7D">
        <w:rPr>
          <w:szCs w:val="24"/>
        </w:rPr>
        <w:t>This study offers a comprehensive evaluation of NT-</w:t>
      </w:r>
      <w:proofErr w:type="spellStart"/>
      <w:r w:rsidR="00720A7D" w:rsidRPr="00720A7D">
        <w:rPr>
          <w:szCs w:val="24"/>
        </w:rPr>
        <w:t>proBNP</w:t>
      </w:r>
      <w:proofErr w:type="spellEnd"/>
      <w:r w:rsidR="00720A7D" w:rsidRPr="00720A7D">
        <w:rPr>
          <w:szCs w:val="24"/>
        </w:rPr>
        <w:t xml:space="preserve"> levels across various age groups, genders, and clinical conditions, with a particular focus on differentiating between </w:t>
      </w:r>
      <w:proofErr w:type="spellStart"/>
      <w:r w:rsidR="00720A7D" w:rsidRPr="00720A7D">
        <w:rPr>
          <w:szCs w:val="24"/>
        </w:rPr>
        <w:t>dyspneic</w:t>
      </w:r>
      <w:proofErr w:type="spellEnd"/>
      <w:r w:rsidR="00720A7D" w:rsidRPr="00720A7D">
        <w:rPr>
          <w:szCs w:val="24"/>
        </w:rPr>
        <w:t xml:space="preserve"> and non-</w:t>
      </w:r>
      <w:proofErr w:type="spellStart"/>
      <w:r w:rsidR="00720A7D" w:rsidRPr="00720A7D">
        <w:rPr>
          <w:szCs w:val="24"/>
        </w:rPr>
        <w:t>dyspneic</w:t>
      </w:r>
      <w:proofErr w:type="spellEnd"/>
      <w:r w:rsidR="00720A7D" w:rsidRPr="00720A7D">
        <w:rPr>
          <w:szCs w:val="24"/>
        </w:rPr>
        <w:t xml:space="preserve"> patients. Elevated NT-</w:t>
      </w:r>
      <w:proofErr w:type="spellStart"/>
      <w:r w:rsidR="00720A7D" w:rsidRPr="00720A7D">
        <w:rPr>
          <w:szCs w:val="24"/>
        </w:rPr>
        <w:t>proBNP</w:t>
      </w:r>
      <w:proofErr w:type="spellEnd"/>
      <w:r w:rsidR="00720A7D" w:rsidRPr="00720A7D">
        <w:rPr>
          <w:szCs w:val="24"/>
        </w:rPr>
        <w:t xml:space="preserve"> levels were more commonly observed in patients presenting with </w:t>
      </w:r>
      <w:proofErr w:type="spellStart"/>
      <w:r w:rsidR="00720A7D" w:rsidRPr="00720A7D">
        <w:rPr>
          <w:szCs w:val="24"/>
        </w:rPr>
        <w:t>dyspnea</w:t>
      </w:r>
      <w:proofErr w:type="spellEnd"/>
      <w:r w:rsidR="00720A7D" w:rsidRPr="00720A7D">
        <w:rPr>
          <w:szCs w:val="24"/>
        </w:rPr>
        <w:t>, especially among those with cardiovascular comorbidities, indicating a strong association between NT-</w:t>
      </w:r>
      <w:proofErr w:type="spellStart"/>
      <w:r w:rsidR="00720A7D" w:rsidRPr="00720A7D">
        <w:rPr>
          <w:szCs w:val="24"/>
        </w:rPr>
        <w:t>proBNP</w:t>
      </w:r>
      <w:proofErr w:type="spellEnd"/>
      <w:r w:rsidR="00720A7D" w:rsidRPr="00720A7D">
        <w:rPr>
          <w:szCs w:val="24"/>
        </w:rPr>
        <w:t xml:space="preserve"> and respiratory distress. The findings underscore NT-</w:t>
      </w:r>
      <w:proofErr w:type="spellStart"/>
      <w:r w:rsidR="00720A7D" w:rsidRPr="00720A7D">
        <w:rPr>
          <w:szCs w:val="24"/>
        </w:rPr>
        <w:t>proBNP’s</w:t>
      </w:r>
      <w:proofErr w:type="spellEnd"/>
      <w:r w:rsidR="00720A7D" w:rsidRPr="00720A7D">
        <w:rPr>
          <w:szCs w:val="24"/>
        </w:rPr>
        <w:t xml:space="preserve"> value not only as a diagnostic marker for cardiovascular diseases but also its broader utility in identifying other systemic conditions. These insights are particularly valuable for clinician’s managing patients with complex, multi-system involvement. The study highlights the importance of incorporating NT-</w:t>
      </w:r>
      <w:proofErr w:type="spellStart"/>
      <w:r w:rsidR="00720A7D" w:rsidRPr="00720A7D">
        <w:rPr>
          <w:szCs w:val="24"/>
        </w:rPr>
        <w:t>proBNP</w:t>
      </w:r>
      <w:proofErr w:type="spellEnd"/>
      <w:r w:rsidR="00720A7D" w:rsidRPr="00720A7D">
        <w:rPr>
          <w:szCs w:val="24"/>
        </w:rPr>
        <w:t xml:space="preserve"> testing into routine evaluations of patients presenting with </w:t>
      </w:r>
      <w:proofErr w:type="spellStart"/>
      <w:r w:rsidR="00720A7D" w:rsidRPr="00720A7D">
        <w:rPr>
          <w:szCs w:val="24"/>
        </w:rPr>
        <w:t>dyspnea</w:t>
      </w:r>
      <w:proofErr w:type="spellEnd"/>
      <w:r w:rsidR="00720A7D" w:rsidRPr="00720A7D">
        <w:rPr>
          <w:szCs w:val="24"/>
        </w:rPr>
        <w:t xml:space="preserve"> to support early detection of heart failure and improve clinical outcomes.</w:t>
      </w:r>
    </w:p>
    <w:p w14:paraId="6383ED81" w14:textId="19C1847A" w:rsidR="00820B62" w:rsidRDefault="00820B62" w:rsidP="00156C23">
      <w:pPr>
        <w:spacing w:after="0" w:line="360" w:lineRule="auto"/>
        <w:ind w:left="0" w:firstLine="0"/>
        <w:jc w:val="left"/>
        <w:rPr>
          <w:szCs w:val="24"/>
        </w:rPr>
      </w:pPr>
    </w:p>
    <w:p w14:paraId="592BDEE5" w14:textId="77777777" w:rsidR="00827F92" w:rsidRDefault="00827F92" w:rsidP="00156C23">
      <w:pPr>
        <w:spacing w:after="0" w:line="360" w:lineRule="auto"/>
        <w:ind w:left="0" w:firstLine="0"/>
        <w:jc w:val="left"/>
        <w:rPr>
          <w:b/>
          <w:bCs/>
          <w:szCs w:val="24"/>
        </w:rPr>
      </w:pPr>
    </w:p>
    <w:p w14:paraId="0545C1EF" w14:textId="77777777" w:rsidR="00827F92" w:rsidRDefault="00827F92" w:rsidP="00156C23">
      <w:pPr>
        <w:spacing w:after="0" w:line="360" w:lineRule="auto"/>
        <w:ind w:left="0" w:firstLine="0"/>
        <w:jc w:val="left"/>
        <w:rPr>
          <w:b/>
          <w:bCs/>
          <w:szCs w:val="24"/>
        </w:rPr>
      </w:pPr>
    </w:p>
    <w:p w14:paraId="2440DDB2" w14:textId="0312DA1A" w:rsidR="00820B62" w:rsidRDefault="00820B62" w:rsidP="00156C23">
      <w:pPr>
        <w:spacing w:after="0" w:line="360" w:lineRule="auto"/>
        <w:ind w:left="0" w:firstLine="0"/>
        <w:jc w:val="left"/>
        <w:rPr>
          <w:szCs w:val="24"/>
        </w:rPr>
      </w:pPr>
      <w:r>
        <w:rPr>
          <w:b/>
          <w:bCs/>
          <w:szCs w:val="24"/>
        </w:rPr>
        <w:t>REFERENCES:</w:t>
      </w:r>
    </w:p>
    <w:p w14:paraId="2AA7574D" w14:textId="77777777" w:rsidR="00720A7D" w:rsidRDefault="00820B62" w:rsidP="00156C23">
      <w:pPr>
        <w:spacing w:after="0" w:line="360" w:lineRule="auto"/>
        <w:ind w:left="0" w:firstLine="0"/>
        <w:jc w:val="left"/>
        <w:rPr>
          <w:szCs w:val="24"/>
        </w:rPr>
      </w:pPr>
      <w:r>
        <w:rPr>
          <w:szCs w:val="24"/>
        </w:rPr>
        <w:t xml:space="preserve">1. </w:t>
      </w:r>
      <w:r w:rsidR="00720A7D" w:rsidRPr="00720A7D">
        <w:rPr>
          <w:szCs w:val="24"/>
        </w:rPr>
        <w:t>Weber M, Hamm C. Role of B-type natriuretic peptide (BNP) and NT-</w:t>
      </w:r>
      <w:proofErr w:type="spellStart"/>
      <w:r w:rsidR="00720A7D" w:rsidRPr="00720A7D">
        <w:rPr>
          <w:szCs w:val="24"/>
        </w:rPr>
        <w:t>proBNP</w:t>
      </w:r>
      <w:proofErr w:type="spellEnd"/>
      <w:r w:rsidR="00720A7D" w:rsidRPr="00720A7D">
        <w:rPr>
          <w:szCs w:val="24"/>
        </w:rPr>
        <w:t xml:space="preserve"> in clinical routine. Heart 2006;92(6):843–849. DOI: 10.1136/ hrt.2005.071233. </w:t>
      </w:r>
    </w:p>
    <w:p w14:paraId="03248591" w14:textId="77777777" w:rsidR="00720A7D" w:rsidRDefault="00720A7D" w:rsidP="00156C23">
      <w:pPr>
        <w:spacing w:after="0" w:line="360" w:lineRule="auto"/>
        <w:ind w:left="0" w:firstLine="0"/>
        <w:jc w:val="left"/>
        <w:rPr>
          <w:szCs w:val="24"/>
        </w:rPr>
      </w:pPr>
      <w:r w:rsidRPr="00720A7D">
        <w:rPr>
          <w:szCs w:val="24"/>
        </w:rPr>
        <w:t xml:space="preserve">2. </w:t>
      </w:r>
      <w:proofErr w:type="spellStart"/>
      <w:r w:rsidRPr="00720A7D">
        <w:rPr>
          <w:szCs w:val="24"/>
        </w:rPr>
        <w:t>Ventetuolo</w:t>
      </w:r>
      <w:proofErr w:type="spellEnd"/>
      <w:r w:rsidRPr="00720A7D">
        <w:rPr>
          <w:szCs w:val="24"/>
        </w:rPr>
        <w:t xml:space="preserve"> CE, Levy MM. Cardiac biomarkers in the critically ill. Crit Care Clin 2011;27(2):327–343. DOI: 10.1016/j.ccc.2010.12.004. </w:t>
      </w:r>
    </w:p>
    <w:p w14:paraId="3B531204" w14:textId="77777777" w:rsidR="00720A7D" w:rsidRDefault="00720A7D" w:rsidP="00156C23">
      <w:pPr>
        <w:spacing w:after="0" w:line="360" w:lineRule="auto"/>
        <w:ind w:left="0" w:firstLine="0"/>
        <w:jc w:val="left"/>
        <w:rPr>
          <w:szCs w:val="24"/>
        </w:rPr>
      </w:pPr>
      <w:r w:rsidRPr="00720A7D">
        <w:rPr>
          <w:szCs w:val="24"/>
        </w:rPr>
        <w:t xml:space="preserve">3. Welsh P, Campbell RT, Mooney L, </w:t>
      </w:r>
      <w:proofErr w:type="gramStart"/>
      <w:r w:rsidRPr="00720A7D">
        <w:rPr>
          <w:szCs w:val="24"/>
        </w:rPr>
        <w:t>et  al.</w:t>
      </w:r>
      <w:proofErr w:type="gramEnd"/>
      <w:r w:rsidRPr="00720A7D">
        <w:rPr>
          <w:szCs w:val="24"/>
        </w:rPr>
        <w:t xml:space="preserve"> Reference ranges for NT-</w:t>
      </w:r>
      <w:proofErr w:type="spellStart"/>
      <w:r w:rsidRPr="00720A7D">
        <w:rPr>
          <w:szCs w:val="24"/>
        </w:rPr>
        <w:t>proBNP</w:t>
      </w:r>
      <w:proofErr w:type="spellEnd"/>
      <w:r w:rsidRPr="00720A7D">
        <w:rPr>
          <w:szCs w:val="24"/>
        </w:rPr>
        <w:t xml:space="preserve"> (N-terminal pro-B-type natriuretic peptide) and risk factors for higher NT-</w:t>
      </w:r>
      <w:proofErr w:type="spellStart"/>
      <w:r w:rsidRPr="00720A7D">
        <w:rPr>
          <w:szCs w:val="24"/>
        </w:rPr>
        <w:t>proBNP</w:t>
      </w:r>
      <w:proofErr w:type="spellEnd"/>
      <w:r w:rsidRPr="00720A7D">
        <w:rPr>
          <w:szCs w:val="24"/>
        </w:rPr>
        <w:t xml:space="preserve"> concentrations in a large general population cohort. </w:t>
      </w:r>
      <w:proofErr w:type="spellStart"/>
      <w:r w:rsidRPr="00720A7D">
        <w:rPr>
          <w:szCs w:val="24"/>
        </w:rPr>
        <w:t>Circ</w:t>
      </w:r>
      <w:proofErr w:type="spellEnd"/>
      <w:r w:rsidRPr="00720A7D">
        <w:rPr>
          <w:szCs w:val="24"/>
        </w:rPr>
        <w:t xml:space="preserve"> Heart Fail 2022;15(10</w:t>
      </w:r>
      <w:proofErr w:type="gramStart"/>
      <w:r w:rsidRPr="00720A7D">
        <w:rPr>
          <w:szCs w:val="24"/>
        </w:rPr>
        <w:t>):e</w:t>
      </w:r>
      <w:proofErr w:type="gramEnd"/>
      <w:r w:rsidRPr="00720A7D">
        <w:rPr>
          <w:szCs w:val="24"/>
        </w:rPr>
        <w:t xml:space="preserve">009427. DOI: 10.1161/ CIRCHEARTFAILURE.121.009427. </w:t>
      </w:r>
    </w:p>
    <w:p w14:paraId="43E65F8C" w14:textId="77777777" w:rsidR="00720A7D" w:rsidRDefault="00720A7D" w:rsidP="00156C23">
      <w:pPr>
        <w:spacing w:after="0" w:line="360" w:lineRule="auto"/>
        <w:ind w:left="0" w:firstLine="0"/>
        <w:jc w:val="left"/>
        <w:rPr>
          <w:szCs w:val="24"/>
        </w:rPr>
      </w:pPr>
      <w:r w:rsidRPr="00720A7D">
        <w:rPr>
          <w:szCs w:val="24"/>
        </w:rPr>
        <w:t xml:space="preserve">4. </w:t>
      </w:r>
      <w:proofErr w:type="spellStart"/>
      <w:r w:rsidRPr="00720A7D">
        <w:rPr>
          <w:szCs w:val="24"/>
        </w:rPr>
        <w:t>Chaikijurajai</w:t>
      </w:r>
      <w:proofErr w:type="spellEnd"/>
      <w:r w:rsidRPr="00720A7D">
        <w:rPr>
          <w:szCs w:val="24"/>
        </w:rPr>
        <w:t xml:space="preserve"> T, Demirjian S, Tang WHW. Prognostic value of natriuretic peptide levels for adverse renal outcomes in patients with moderate to severe acute kidney injury with or without heart failure. J Am Heart Assoc 2023;12(21</w:t>
      </w:r>
      <w:proofErr w:type="gramStart"/>
      <w:r w:rsidRPr="00720A7D">
        <w:rPr>
          <w:szCs w:val="24"/>
        </w:rPr>
        <w:t>):e</w:t>
      </w:r>
      <w:proofErr w:type="gramEnd"/>
      <w:r w:rsidRPr="00720A7D">
        <w:rPr>
          <w:szCs w:val="24"/>
        </w:rPr>
        <w:t xml:space="preserve">031453. DOI: 10.1161/JAHA.123.031453. </w:t>
      </w:r>
    </w:p>
    <w:p w14:paraId="42D029F9" w14:textId="77777777" w:rsidR="00720A7D" w:rsidRDefault="00720A7D" w:rsidP="00156C23">
      <w:pPr>
        <w:spacing w:after="0" w:line="360" w:lineRule="auto"/>
        <w:ind w:left="0" w:firstLine="0"/>
        <w:jc w:val="left"/>
        <w:rPr>
          <w:szCs w:val="24"/>
        </w:rPr>
      </w:pPr>
      <w:r w:rsidRPr="00720A7D">
        <w:rPr>
          <w:szCs w:val="24"/>
        </w:rPr>
        <w:t xml:space="preserve">5. Rørth R, </w:t>
      </w:r>
      <w:proofErr w:type="spellStart"/>
      <w:r w:rsidRPr="00720A7D">
        <w:rPr>
          <w:szCs w:val="24"/>
        </w:rPr>
        <w:t>Jhund</w:t>
      </w:r>
      <w:proofErr w:type="spellEnd"/>
      <w:r w:rsidRPr="00720A7D">
        <w:rPr>
          <w:szCs w:val="24"/>
        </w:rPr>
        <w:t xml:space="preserve"> PS, Yilmaz MB, et al. Comparison of BNP and NT-</w:t>
      </w:r>
      <w:proofErr w:type="spellStart"/>
      <w:r w:rsidRPr="00720A7D">
        <w:rPr>
          <w:szCs w:val="24"/>
        </w:rPr>
        <w:t>proBNP</w:t>
      </w:r>
      <w:proofErr w:type="spellEnd"/>
      <w:r w:rsidRPr="00720A7D">
        <w:rPr>
          <w:szCs w:val="24"/>
        </w:rPr>
        <w:t xml:space="preserve"> in patients with heart failure and reduced ejection fraction. </w:t>
      </w:r>
      <w:proofErr w:type="spellStart"/>
      <w:r w:rsidRPr="00720A7D">
        <w:rPr>
          <w:szCs w:val="24"/>
        </w:rPr>
        <w:t>Circ</w:t>
      </w:r>
      <w:proofErr w:type="spellEnd"/>
      <w:r w:rsidRPr="00720A7D">
        <w:rPr>
          <w:szCs w:val="24"/>
        </w:rPr>
        <w:t xml:space="preserve"> Heart Fail 2020;13(2</w:t>
      </w:r>
      <w:proofErr w:type="gramStart"/>
      <w:r w:rsidRPr="00720A7D">
        <w:rPr>
          <w:szCs w:val="24"/>
        </w:rPr>
        <w:t>):e</w:t>
      </w:r>
      <w:proofErr w:type="gramEnd"/>
      <w:r w:rsidRPr="00720A7D">
        <w:rPr>
          <w:szCs w:val="24"/>
        </w:rPr>
        <w:t xml:space="preserve">006541. DOI: 10.1161/CIRCHEARTFAILURE.119.00 6541. </w:t>
      </w:r>
    </w:p>
    <w:p w14:paraId="28F22BE7" w14:textId="77777777" w:rsidR="00720A7D" w:rsidRDefault="00720A7D" w:rsidP="00156C23">
      <w:pPr>
        <w:spacing w:after="0" w:line="360" w:lineRule="auto"/>
        <w:ind w:left="0" w:firstLine="0"/>
        <w:jc w:val="left"/>
        <w:rPr>
          <w:szCs w:val="24"/>
        </w:rPr>
      </w:pPr>
      <w:r w:rsidRPr="00720A7D">
        <w:rPr>
          <w:szCs w:val="24"/>
        </w:rPr>
        <w:t xml:space="preserve">6. Ibrahim NE, Januzzi JL. Established and emerging roles of biomarkers in heart failure. </w:t>
      </w:r>
      <w:proofErr w:type="spellStart"/>
      <w:r w:rsidRPr="00720A7D">
        <w:rPr>
          <w:szCs w:val="24"/>
        </w:rPr>
        <w:t>Circ</w:t>
      </w:r>
      <w:proofErr w:type="spellEnd"/>
      <w:r w:rsidRPr="00720A7D">
        <w:rPr>
          <w:szCs w:val="24"/>
        </w:rPr>
        <w:t xml:space="preserve"> Res 2018;123(5):614–629. DOI: 10.1161/ CIRCRESAHA.118.312706. </w:t>
      </w:r>
    </w:p>
    <w:p w14:paraId="74FDF7C6" w14:textId="77777777" w:rsidR="00720A7D" w:rsidRDefault="00720A7D" w:rsidP="00156C23">
      <w:pPr>
        <w:spacing w:after="0" w:line="360" w:lineRule="auto"/>
        <w:ind w:left="0" w:firstLine="0"/>
        <w:jc w:val="left"/>
        <w:rPr>
          <w:szCs w:val="24"/>
        </w:rPr>
      </w:pPr>
      <w:r>
        <w:rPr>
          <w:szCs w:val="24"/>
        </w:rPr>
        <w:t xml:space="preserve">7. </w:t>
      </w:r>
      <w:r w:rsidRPr="00720A7D">
        <w:rPr>
          <w:szCs w:val="24"/>
        </w:rPr>
        <w:t xml:space="preserve">Searle J, Frick J, Möckel M. Acute heart failure facts and numbers: acute heart failure populations. ESC Heart Fail 2016; 3: 65-70.  </w:t>
      </w:r>
    </w:p>
    <w:p w14:paraId="79C06428" w14:textId="6C393AA0" w:rsidR="00820B62" w:rsidRDefault="00720A7D" w:rsidP="00156C23">
      <w:pPr>
        <w:spacing w:after="0" w:line="360" w:lineRule="auto"/>
        <w:ind w:left="0" w:firstLine="0"/>
        <w:jc w:val="left"/>
        <w:rPr>
          <w:szCs w:val="24"/>
        </w:rPr>
      </w:pPr>
      <w:r>
        <w:rPr>
          <w:szCs w:val="24"/>
        </w:rPr>
        <w:t xml:space="preserve">8. </w:t>
      </w:r>
      <w:r w:rsidRPr="00720A7D">
        <w:rPr>
          <w:szCs w:val="24"/>
        </w:rPr>
        <w:t>Phua J, Lim TK, Lee KH. B-type natriuretic peptide: Issues for the intensivist and pulmonologist. Crit Care Med 2005;33(9):2094−2113. DOI: 10.1097/01.ccm.0000178351.03327.9f.</w:t>
      </w:r>
    </w:p>
    <w:p w14:paraId="6FEF6C18" w14:textId="2FC68D46" w:rsidR="00720A7D" w:rsidRPr="00820B62" w:rsidRDefault="00720A7D" w:rsidP="00156C23">
      <w:pPr>
        <w:spacing w:after="0" w:line="360" w:lineRule="auto"/>
        <w:ind w:left="0" w:firstLine="0"/>
        <w:jc w:val="left"/>
        <w:rPr>
          <w:szCs w:val="24"/>
        </w:rPr>
      </w:pPr>
      <w:r>
        <w:rPr>
          <w:szCs w:val="24"/>
        </w:rPr>
        <w:t xml:space="preserve">9. </w:t>
      </w:r>
      <w:r w:rsidR="00F94C18">
        <w:rPr>
          <w:szCs w:val="24"/>
        </w:rPr>
        <w:t xml:space="preserve">Maisel, A. S., Daniels, L. B., </w:t>
      </w:r>
      <w:proofErr w:type="spellStart"/>
      <w:r w:rsidR="00F94C18">
        <w:rPr>
          <w:szCs w:val="24"/>
        </w:rPr>
        <w:t>Breidthardt</w:t>
      </w:r>
      <w:proofErr w:type="spellEnd"/>
      <w:r w:rsidR="00F94C18">
        <w:rPr>
          <w:szCs w:val="24"/>
        </w:rPr>
        <w:t>, T., Conen, D., Christenson, R. H., Andrey, J.L.</w:t>
      </w:r>
      <w:proofErr w:type="gramStart"/>
      <w:r w:rsidR="00F94C18">
        <w:rPr>
          <w:szCs w:val="24"/>
        </w:rPr>
        <w:t>,  &amp;</w:t>
      </w:r>
      <w:proofErr w:type="gramEnd"/>
      <w:r w:rsidR="00F94C18">
        <w:rPr>
          <w:szCs w:val="24"/>
        </w:rPr>
        <w:t xml:space="preserve"> Bayes-Genis, A. (2008). Natriuretic peptides in heart failure with preserved ejection fraction. Heart Failure Clinics, 4(4), 511-523.</w:t>
      </w:r>
    </w:p>
    <w:sectPr w:rsidR="00720A7D" w:rsidRPr="00820B62" w:rsidSect="00786663">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04CEE" w14:textId="77777777" w:rsidR="00734070" w:rsidRDefault="00734070" w:rsidP="00827F92">
      <w:pPr>
        <w:spacing w:after="0" w:line="240" w:lineRule="auto"/>
      </w:pPr>
      <w:r>
        <w:separator/>
      </w:r>
    </w:p>
  </w:endnote>
  <w:endnote w:type="continuationSeparator" w:id="0">
    <w:p w14:paraId="509CB666" w14:textId="77777777" w:rsidR="00734070" w:rsidRDefault="00734070" w:rsidP="00827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46538" w14:textId="77777777" w:rsidR="00827F92" w:rsidRDefault="00827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6D442" w14:textId="77777777" w:rsidR="00827F92" w:rsidRDefault="00827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2C8A4" w14:textId="77777777" w:rsidR="00827F92" w:rsidRDefault="00827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A8020" w14:textId="77777777" w:rsidR="00734070" w:rsidRDefault="00734070" w:rsidP="00827F92">
      <w:pPr>
        <w:spacing w:after="0" w:line="240" w:lineRule="auto"/>
      </w:pPr>
      <w:r>
        <w:separator/>
      </w:r>
    </w:p>
  </w:footnote>
  <w:footnote w:type="continuationSeparator" w:id="0">
    <w:p w14:paraId="67CD84C3" w14:textId="77777777" w:rsidR="00734070" w:rsidRDefault="00734070" w:rsidP="00827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7AD91" w14:textId="498F9AD1" w:rsidR="00827F92" w:rsidRDefault="00827F92">
    <w:pPr>
      <w:pStyle w:val="Header"/>
    </w:pPr>
    <w:r>
      <w:rPr>
        <w:noProof/>
      </w:rPr>
      <w:pict w14:anchorId="619C70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528047" o:spid="_x0000_s1026" type="#_x0000_t136" style="position:absolute;left:0;text-align:left;margin-left:0;margin-top:0;width:664.05pt;height:73.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8432E" w14:textId="689E8E8E" w:rsidR="00827F92" w:rsidRDefault="00827F92">
    <w:pPr>
      <w:pStyle w:val="Header"/>
    </w:pPr>
    <w:r>
      <w:rPr>
        <w:noProof/>
      </w:rPr>
      <w:pict w14:anchorId="1146EA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528048" o:spid="_x0000_s1027" type="#_x0000_t136" style="position:absolute;left:0;text-align:left;margin-left:0;margin-top:0;width:664.05pt;height:73.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6D8F9" w14:textId="7EAB1339" w:rsidR="00827F92" w:rsidRDefault="00827F92">
    <w:pPr>
      <w:pStyle w:val="Header"/>
    </w:pPr>
    <w:r>
      <w:rPr>
        <w:noProof/>
      </w:rPr>
      <w:pict w14:anchorId="0EC034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528046" o:spid="_x0000_s1025" type="#_x0000_t136" style="position:absolute;left:0;text-align:left;margin-left:0;margin-top:0;width:664.05pt;height:73.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7D9F"/>
    <w:multiLevelType w:val="hybridMultilevel"/>
    <w:tmpl w:val="04EE7A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721309"/>
    <w:multiLevelType w:val="multilevel"/>
    <w:tmpl w:val="CFD8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F06BD9"/>
    <w:multiLevelType w:val="multilevel"/>
    <w:tmpl w:val="54FA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4C7AFE"/>
    <w:multiLevelType w:val="hybridMultilevel"/>
    <w:tmpl w:val="6D50F4A6"/>
    <w:lvl w:ilvl="0" w:tplc="40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6159517D"/>
    <w:multiLevelType w:val="hybridMultilevel"/>
    <w:tmpl w:val="CA4441D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28255115">
    <w:abstractNumId w:val="0"/>
  </w:num>
  <w:num w:numId="2" w16cid:durableId="943154300">
    <w:abstractNumId w:val="3"/>
  </w:num>
  <w:num w:numId="3" w16cid:durableId="217673695">
    <w:abstractNumId w:val="1"/>
  </w:num>
  <w:num w:numId="4" w16cid:durableId="677849199">
    <w:abstractNumId w:val="2"/>
  </w:num>
  <w:num w:numId="5" w16cid:durableId="3602788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663"/>
    <w:rsid w:val="000358F0"/>
    <w:rsid w:val="00055A36"/>
    <w:rsid w:val="00092150"/>
    <w:rsid w:val="00156C23"/>
    <w:rsid w:val="00203199"/>
    <w:rsid w:val="00303C21"/>
    <w:rsid w:val="003B0B00"/>
    <w:rsid w:val="003C4813"/>
    <w:rsid w:val="004463DF"/>
    <w:rsid w:val="00462466"/>
    <w:rsid w:val="004B0C12"/>
    <w:rsid w:val="00563A4D"/>
    <w:rsid w:val="00575C94"/>
    <w:rsid w:val="005A5179"/>
    <w:rsid w:val="005E7C01"/>
    <w:rsid w:val="0064124B"/>
    <w:rsid w:val="0065184B"/>
    <w:rsid w:val="006A605A"/>
    <w:rsid w:val="006F0F32"/>
    <w:rsid w:val="00720A7D"/>
    <w:rsid w:val="007276D8"/>
    <w:rsid w:val="007302B7"/>
    <w:rsid w:val="007322D9"/>
    <w:rsid w:val="00734070"/>
    <w:rsid w:val="00786663"/>
    <w:rsid w:val="007D4FE0"/>
    <w:rsid w:val="00820B62"/>
    <w:rsid w:val="00827F92"/>
    <w:rsid w:val="008721B2"/>
    <w:rsid w:val="00893875"/>
    <w:rsid w:val="008F103C"/>
    <w:rsid w:val="0096741D"/>
    <w:rsid w:val="00BA706E"/>
    <w:rsid w:val="00BF3D9D"/>
    <w:rsid w:val="00D06BA0"/>
    <w:rsid w:val="00D30A81"/>
    <w:rsid w:val="00D53710"/>
    <w:rsid w:val="00DA6FEF"/>
    <w:rsid w:val="00E010EF"/>
    <w:rsid w:val="00EC77E4"/>
    <w:rsid w:val="00F57561"/>
    <w:rsid w:val="00F94C18"/>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CB335"/>
  <w15:chartTrackingRefBased/>
  <w15:docId w15:val="{AAB7A89C-2386-44D8-A5F2-B8EB56CE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663"/>
    <w:pPr>
      <w:spacing w:after="5" w:line="364" w:lineRule="auto"/>
      <w:ind w:left="68" w:hanging="10"/>
      <w:jc w:val="both"/>
    </w:pPr>
    <w:rPr>
      <w:rFonts w:ascii="Times New Roman" w:eastAsia="Times New Roman" w:hAnsi="Times New Roman" w:cs="Times New Roman"/>
      <w:color w:val="000000"/>
      <w:kern w:val="0"/>
      <w:sz w:val="24"/>
      <w:szCs w:val="20"/>
      <w:lang w:eastAsia="en-IN" w:bidi="hi-IN"/>
      <w14:ligatures w14:val="none"/>
    </w:rPr>
  </w:style>
  <w:style w:type="paragraph" w:styleId="Heading1">
    <w:name w:val="heading 1"/>
    <w:basedOn w:val="Normal"/>
    <w:next w:val="Normal"/>
    <w:link w:val="Heading1Char"/>
    <w:uiPriority w:val="9"/>
    <w:qFormat/>
    <w:rsid w:val="00786663"/>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786663"/>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786663"/>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78666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666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66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6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6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6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663"/>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786663"/>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786663"/>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78666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666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66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6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6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663"/>
    <w:rPr>
      <w:rFonts w:eastAsiaTheme="majorEastAsia" w:cstheme="majorBidi"/>
      <w:color w:val="272727" w:themeColor="text1" w:themeTint="D8"/>
    </w:rPr>
  </w:style>
  <w:style w:type="paragraph" w:styleId="Title">
    <w:name w:val="Title"/>
    <w:basedOn w:val="Normal"/>
    <w:next w:val="Normal"/>
    <w:link w:val="TitleChar"/>
    <w:uiPriority w:val="10"/>
    <w:qFormat/>
    <w:rsid w:val="00786663"/>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786663"/>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786663"/>
    <w:pPr>
      <w:numPr>
        <w:ilvl w:val="1"/>
      </w:numPr>
      <w:ind w:left="68" w:hanging="10"/>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786663"/>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786663"/>
    <w:pPr>
      <w:spacing w:before="160"/>
      <w:jc w:val="center"/>
    </w:pPr>
    <w:rPr>
      <w:i/>
      <w:iCs/>
      <w:color w:val="404040" w:themeColor="text1" w:themeTint="BF"/>
    </w:rPr>
  </w:style>
  <w:style w:type="character" w:customStyle="1" w:styleId="QuoteChar">
    <w:name w:val="Quote Char"/>
    <w:basedOn w:val="DefaultParagraphFont"/>
    <w:link w:val="Quote"/>
    <w:uiPriority w:val="29"/>
    <w:rsid w:val="00786663"/>
    <w:rPr>
      <w:i/>
      <w:iCs/>
      <w:color w:val="404040" w:themeColor="text1" w:themeTint="BF"/>
    </w:rPr>
  </w:style>
  <w:style w:type="paragraph" w:styleId="ListParagraph">
    <w:name w:val="List Paragraph"/>
    <w:basedOn w:val="Normal"/>
    <w:uiPriority w:val="34"/>
    <w:qFormat/>
    <w:rsid w:val="00786663"/>
    <w:pPr>
      <w:ind w:left="720"/>
      <w:contextualSpacing/>
    </w:pPr>
  </w:style>
  <w:style w:type="character" w:styleId="IntenseEmphasis">
    <w:name w:val="Intense Emphasis"/>
    <w:basedOn w:val="DefaultParagraphFont"/>
    <w:uiPriority w:val="21"/>
    <w:qFormat/>
    <w:rsid w:val="00786663"/>
    <w:rPr>
      <w:i/>
      <w:iCs/>
      <w:color w:val="2F5496" w:themeColor="accent1" w:themeShade="BF"/>
    </w:rPr>
  </w:style>
  <w:style w:type="paragraph" w:styleId="IntenseQuote">
    <w:name w:val="Intense Quote"/>
    <w:basedOn w:val="Normal"/>
    <w:next w:val="Normal"/>
    <w:link w:val="IntenseQuoteChar"/>
    <w:uiPriority w:val="30"/>
    <w:qFormat/>
    <w:rsid w:val="007866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6663"/>
    <w:rPr>
      <w:i/>
      <w:iCs/>
      <w:color w:val="2F5496" w:themeColor="accent1" w:themeShade="BF"/>
    </w:rPr>
  </w:style>
  <w:style w:type="character" w:styleId="IntenseReference">
    <w:name w:val="Intense Reference"/>
    <w:basedOn w:val="DefaultParagraphFont"/>
    <w:uiPriority w:val="32"/>
    <w:qFormat/>
    <w:rsid w:val="00786663"/>
    <w:rPr>
      <w:b/>
      <w:bCs/>
      <w:smallCaps/>
      <w:color w:val="2F5496" w:themeColor="accent1" w:themeShade="BF"/>
      <w:spacing w:val="5"/>
    </w:rPr>
  </w:style>
  <w:style w:type="table" w:styleId="GridTable4-Accent5">
    <w:name w:val="Grid Table 4 Accent 5"/>
    <w:basedOn w:val="TableNormal"/>
    <w:uiPriority w:val="49"/>
    <w:rsid w:val="00092150"/>
    <w:pPr>
      <w:spacing w:after="0" w:line="240" w:lineRule="auto"/>
    </w:pPr>
    <w:rPr>
      <w:rFonts w:ascii="Times New Roman" w:eastAsia="SimSun" w:hAnsi="Times New Roman" w:cs="Times New Roman"/>
      <w:kern w:val="0"/>
      <w:sz w:val="20"/>
      <w:szCs w:val="20"/>
      <w:lang w:eastAsia="en-IN" w:bidi="ar-SA"/>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rmalWeb">
    <w:name w:val="Normal (Web)"/>
    <w:basedOn w:val="Normal"/>
    <w:uiPriority w:val="99"/>
    <w:semiHidden/>
    <w:unhideWhenUsed/>
    <w:rsid w:val="007D4FE0"/>
    <w:rPr>
      <w:rFonts w:cs="Mangal"/>
      <w:szCs w:val="21"/>
    </w:rPr>
  </w:style>
  <w:style w:type="character" w:styleId="Hyperlink">
    <w:name w:val="Hyperlink"/>
    <w:basedOn w:val="DefaultParagraphFont"/>
    <w:uiPriority w:val="99"/>
    <w:unhideWhenUsed/>
    <w:rsid w:val="003C4813"/>
    <w:rPr>
      <w:color w:val="0563C1" w:themeColor="hyperlink"/>
      <w:u w:val="single"/>
    </w:rPr>
  </w:style>
  <w:style w:type="character" w:styleId="UnresolvedMention">
    <w:name w:val="Unresolved Mention"/>
    <w:basedOn w:val="DefaultParagraphFont"/>
    <w:uiPriority w:val="99"/>
    <w:semiHidden/>
    <w:unhideWhenUsed/>
    <w:rsid w:val="003C4813"/>
    <w:rPr>
      <w:color w:val="605E5C"/>
      <w:shd w:val="clear" w:color="auto" w:fill="E1DFDD"/>
    </w:rPr>
  </w:style>
  <w:style w:type="paragraph" w:styleId="Header">
    <w:name w:val="header"/>
    <w:basedOn w:val="Normal"/>
    <w:link w:val="HeaderChar"/>
    <w:uiPriority w:val="99"/>
    <w:unhideWhenUsed/>
    <w:rsid w:val="00827F92"/>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827F92"/>
    <w:rPr>
      <w:rFonts w:ascii="Times New Roman" w:eastAsia="Times New Roman" w:hAnsi="Times New Roman" w:cs="Mangal"/>
      <w:color w:val="000000"/>
      <w:kern w:val="0"/>
      <w:sz w:val="24"/>
      <w:szCs w:val="20"/>
      <w:lang w:eastAsia="en-IN" w:bidi="hi-IN"/>
      <w14:ligatures w14:val="none"/>
    </w:rPr>
  </w:style>
  <w:style w:type="paragraph" w:styleId="Footer">
    <w:name w:val="footer"/>
    <w:basedOn w:val="Normal"/>
    <w:link w:val="FooterChar"/>
    <w:uiPriority w:val="99"/>
    <w:unhideWhenUsed/>
    <w:rsid w:val="00827F92"/>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827F92"/>
    <w:rPr>
      <w:rFonts w:ascii="Times New Roman" w:eastAsia="Times New Roman" w:hAnsi="Times New Roman" w:cs="Mangal"/>
      <w:color w:val="000000"/>
      <w:kern w:val="0"/>
      <w:sz w:val="24"/>
      <w:szCs w:val="20"/>
      <w:lang w:eastAsia="en-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0493">
      <w:bodyDiv w:val="1"/>
      <w:marLeft w:val="0"/>
      <w:marRight w:val="0"/>
      <w:marTop w:val="0"/>
      <w:marBottom w:val="0"/>
      <w:divBdr>
        <w:top w:val="none" w:sz="0" w:space="0" w:color="auto"/>
        <w:left w:val="none" w:sz="0" w:space="0" w:color="auto"/>
        <w:bottom w:val="none" w:sz="0" w:space="0" w:color="auto"/>
        <w:right w:val="none" w:sz="0" w:space="0" w:color="auto"/>
      </w:divBdr>
    </w:div>
    <w:div w:id="292761017">
      <w:bodyDiv w:val="1"/>
      <w:marLeft w:val="0"/>
      <w:marRight w:val="0"/>
      <w:marTop w:val="0"/>
      <w:marBottom w:val="0"/>
      <w:divBdr>
        <w:top w:val="none" w:sz="0" w:space="0" w:color="auto"/>
        <w:left w:val="none" w:sz="0" w:space="0" w:color="auto"/>
        <w:bottom w:val="none" w:sz="0" w:space="0" w:color="auto"/>
        <w:right w:val="none" w:sz="0" w:space="0" w:color="auto"/>
      </w:divBdr>
    </w:div>
    <w:div w:id="352654156">
      <w:bodyDiv w:val="1"/>
      <w:marLeft w:val="0"/>
      <w:marRight w:val="0"/>
      <w:marTop w:val="0"/>
      <w:marBottom w:val="0"/>
      <w:divBdr>
        <w:top w:val="none" w:sz="0" w:space="0" w:color="auto"/>
        <w:left w:val="none" w:sz="0" w:space="0" w:color="auto"/>
        <w:bottom w:val="none" w:sz="0" w:space="0" w:color="auto"/>
        <w:right w:val="none" w:sz="0" w:space="0" w:color="auto"/>
      </w:divBdr>
    </w:div>
    <w:div w:id="717247781">
      <w:bodyDiv w:val="1"/>
      <w:marLeft w:val="0"/>
      <w:marRight w:val="0"/>
      <w:marTop w:val="0"/>
      <w:marBottom w:val="0"/>
      <w:divBdr>
        <w:top w:val="none" w:sz="0" w:space="0" w:color="auto"/>
        <w:left w:val="none" w:sz="0" w:space="0" w:color="auto"/>
        <w:bottom w:val="none" w:sz="0" w:space="0" w:color="auto"/>
        <w:right w:val="none" w:sz="0" w:space="0" w:color="auto"/>
      </w:divBdr>
    </w:div>
    <w:div w:id="889195742">
      <w:bodyDiv w:val="1"/>
      <w:marLeft w:val="0"/>
      <w:marRight w:val="0"/>
      <w:marTop w:val="0"/>
      <w:marBottom w:val="0"/>
      <w:divBdr>
        <w:top w:val="none" w:sz="0" w:space="0" w:color="auto"/>
        <w:left w:val="none" w:sz="0" w:space="0" w:color="auto"/>
        <w:bottom w:val="none" w:sz="0" w:space="0" w:color="auto"/>
        <w:right w:val="none" w:sz="0" w:space="0" w:color="auto"/>
      </w:divBdr>
    </w:div>
    <w:div w:id="1295595580">
      <w:bodyDiv w:val="1"/>
      <w:marLeft w:val="0"/>
      <w:marRight w:val="0"/>
      <w:marTop w:val="0"/>
      <w:marBottom w:val="0"/>
      <w:divBdr>
        <w:top w:val="none" w:sz="0" w:space="0" w:color="auto"/>
        <w:left w:val="none" w:sz="0" w:space="0" w:color="auto"/>
        <w:bottom w:val="none" w:sz="0" w:space="0" w:color="auto"/>
        <w:right w:val="none" w:sz="0" w:space="0" w:color="auto"/>
      </w:divBdr>
    </w:div>
    <w:div w:id="1386028185">
      <w:bodyDiv w:val="1"/>
      <w:marLeft w:val="0"/>
      <w:marRight w:val="0"/>
      <w:marTop w:val="0"/>
      <w:marBottom w:val="0"/>
      <w:divBdr>
        <w:top w:val="none" w:sz="0" w:space="0" w:color="auto"/>
        <w:left w:val="none" w:sz="0" w:space="0" w:color="auto"/>
        <w:bottom w:val="none" w:sz="0" w:space="0" w:color="auto"/>
        <w:right w:val="none" w:sz="0" w:space="0" w:color="auto"/>
      </w:divBdr>
    </w:div>
    <w:div w:id="1387608587">
      <w:bodyDiv w:val="1"/>
      <w:marLeft w:val="0"/>
      <w:marRight w:val="0"/>
      <w:marTop w:val="0"/>
      <w:marBottom w:val="0"/>
      <w:divBdr>
        <w:top w:val="none" w:sz="0" w:space="0" w:color="auto"/>
        <w:left w:val="none" w:sz="0" w:space="0" w:color="auto"/>
        <w:bottom w:val="none" w:sz="0" w:space="0" w:color="auto"/>
        <w:right w:val="none" w:sz="0" w:space="0" w:color="auto"/>
      </w:divBdr>
    </w:div>
    <w:div w:id="1716197259">
      <w:bodyDiv w:val="1"/>
      <w:marLeft w:val="0"/>
      <w:marRight w:val="0"/>
      <w:marTop w:val="0"/>
      <w:marBottom w:val="0"/>
      <w:divBdr>
        <w:top w:val="none" w:sz="0" w:space="0" w:color="auto"/>
        <w:left w:val="none" w:sz="0" w:space="0" w:color="auto"/>
        <w:bottom w:val="none" w:sz="0" w:space="0" w:color="auto"/>
        <w:right w:val="none" w:sz="0" w:space="0" w:color="auto"/>
      </w:divBdr>
    </w:div>
    <w:div w:id="1724212493">
      <w:bodyDiv w:val="1"/>
      <w:marLeft w:val="0"/>
      <w:marRight w:val="0"/>
      <w:marTop w:val="0"/>
      <w:marBottom w:val="0"/>
      <w:divBdr>
        <w:top w:val="none" w:sz="0" w:space="0" w:color="auto"/>
        <w:left w:val="none" w:sz="0" w:space="0" w:color="auto"/>
        <w:bottom w:val="none" w:sz="0" w:space="0" w:color="auto"/>
        <w:right w:val="none" w:sz="0" w:space="0" w:color="auto"/>
      </w:divBdr>
    </w:div>
    <w:div w:id="1731269756">
      <w:bodyDiv w:val="1"/>
      <w:marLeft w:val="0"/>
      <w:marRight w:val="0"/>
      <w:marTop w:val="0"/>
      <w:marBottom w:val="0"/>
      <w:divBdr>
        <w:top w:val="none" w:sz="0" w:space="0" w:color="auto"/>
        <w:left w:val="none" w:sz="0" w:space="0" w:color="auto"/>
        <w:bottom w:val="none" w:sz="0" w:space="0" w:color="auto"/>
        <w:right w:val="none" w:sz="0" w:space="0" w:color="auto"/>
      </w:divBdr>
    </w:div>
    <w:div w:id="1784153035">
      <w:bodyDiv w:val="1"/>
      <w:marLeft w:val="0"/>
      <w:marRight w:val="0"/>
      <w:marTop w:val="0"/>
      <w:marBottom w:val="0"/>
      <w:divBdr>
        <w:top w:val="none" w:sz="0" w:space="0" w:color="auto"/>
        <w:left w:val="none" w:sz="0" w:space="0" w:color="auto"/>
        <w:bottom w:val="none" w:sz="0" w:space="0" w:color="auto"/>
        <w:right w:val="none" w:sz="0" w:space="0" w:color="auto"/>
      </w:divBdr>
    </w:div>
    <w:div w:id="1836996690">
      <w:bodyDiv w:val="1"/>
      <w:marLeft w:val="0"/>
      <w:marRight w:val="0"/>
      <w:marTop w:val="0"/>
      <w:marBottom w:val="0"/>
      <w:divBdr>
        <w:top w:val="none" w:sz="0" w:space="0" w:color="auto"/>
        <w:left w:val="none" w:sz="0" w:space="0" w:color="auto"/>
        <w:bottom w:val="none" w:sz="0" w:space="0" w:color="auto"/>
        <w:right w:val="none" w:sz="0" w:space="0" w:color="auto"/>
      </w:divBdr>
    </w:div>
    <w:div w:id="1859074568">
      <w:bodyDiv w:val="1"/>
      <w:marLeft w:val="0"/>
      <w:marRight w:val="0"/>
      <w:marTop w:val="0"/>
      <w:marBottom w:val="0"/>
      <w:divBdr>
        <w:top w:val="none" w:sz="0" w:space="0" w:color="auto"/>
        <w:left w:val="none" w:sz="0" w:space="0" w:color="auto"/>
        <w:bottom w:val="none" w:sz="0" w:space="0" w:color="auto"/>
        <w:right w:val="none" w:sz="0" w:space="0" w:color="auto"/>
      </w:divBdr>
    </w:div>
    <w:div w:id="2065176385">
      <w:bodyDiv w:val="1"/>
      <w:marLeft w:val="0"/>
      <w:marRight w:val="0"/>
      <w:marTop w:val="0"/>
      <w:marBottom w:val="0"/>
      <w:divBdr>
        <w:top w:val="none" w:sz="0" w:space="0" w:color="auto"/>
        <w:left w:val="none" w:sz="0" w:space="0" w:color="auto"/>
        <w:bottom w:val="none" w:sz="0" w:space="0" w:color="auto"/>
        <w:right w:val="none" w:sz="0" w:space="0" w:color="auto"/>
      </w:divBdr>
    </w:div>
    <w:div w:id="207037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2851</Words>
  <Characters>16251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Rajamurugan R</dc:creator>
  <cp:keywords/>
  <dc:description/>
  <cp:lastModifiedBy>Editor-22</cp:lastModifiedBy>
  <cp:revision>6</cp:revision>
  <dcterms:created xsi:type="dcterms:W3CDTF">2025-06-24T13:45:00Z</dcterms:created>
  <dcterms:modified xsi:type="dcterms:W3CDTF">2025-06-25T07:09:00Z</dcterms:modified>
</cp:coreProperties>
</file>