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E222171" w14:textId="77777777" w:rsidR="000F596A" w:rsidRPr="000F596A" w:rsidRDefault="000F596A" w:rsidP="000F596A">
      <w:pPr>
        <w:pStyle w:val="HTMLPreformatted"/>
        <w:shd w:val="clear" w:color="auto" w:fill="F8F9FA"/>
        <w:spacing w:line="540" w:lineRule="atLeast"/>
        <w:rPr>
          <w:rFonts w:ascii="Times New Roman" w:hAnsi="Times New Roman" w:cs="Times New Roman"/>
          <w:b/>
          <w:bCs/>
          <w:i/>
          <w:iCs/>
          <w:color w:val="1F497D" w:themeColor="text2"/>
          <w:sz w:val="32"/>
          <w:szCs w:val="32"/>
          <w:u w:val="single"/>
          <w:lang w:val="en-US"/>
        </w:rPr>
      </w:pPr>
      <w:r w:rsidRPr="000F596A">
        <w:rPr>
          <w:rFonts w:ascii="Times New Roman" w:hAnsi="Times New Roman" w:cs="Times New Roman"/>
          <w:b/>
          <w:bCs/>
          <w:i/>
          <w:iCs/>
          <w:color w:val="1F497D" w:themeColor="text2"/>
          <w:sz w:val="32"/>
          <w:szCs w:val="32"/>
          <w:u w:val="single"/>
          <w:lang w:val="en-US"/>
        </w:rPr>
        <w:t xml:space="preserve">Case report </w:t>
      </w:r>
    </w:p>
    <w:p w14:paraId="5161E980" w14:textId="77777777" w:rsidR="000F596A" w:rsidRDefault="000F596A" w:rsidP="00F34694">
      <w:pPr>
        <w:pStyle w:val="HTMLPreformatted"/>
        <w:shd w:val="clear" w:color="auto" w:fill="F8F9FA"/>
        <w:spacing w:line="540" w:lineRule="atLeast"/>
        <w:rPr>
          <w:rFonts w:ascii="Times New Roman" w:hAnsi="Times New Roman" w:cs="Times New Roman"/>
          <w:b/>
          <w:color w:val="1F497D" w:themeColor="text2"/>
          <w:sz w:val="32"/>
          <w:szCs w:val="32"/>
          <w:lang w:val="en"/>
        </w:rPr>
      </w:pPr>
    </w:p>
    <w:p w14:paraId="586D1012" w14:textId="35DBEEB8" w:rsidR="00F34694" w:rsidRDefault="00F34694" w:rsidP="00F34694">
      <w:pPr>
        <w:pStyle w:val="HTMLPreformatted"/>
        <w:shd w:val="clear" w:color="auto" w:fill="F8F9FA"/>
        <w:spacing w:line="540" w:lineRule="atLeast"/>
        <w:rPr>
          <w:rFonts w:ascii="Times New Roman" w:hAnsi="Times New Roman" w:cs="Times New Roman"/>
          <w:b/>
          <w:color w:val="1F497D" w:themeColor="text2"/>
          <w:sz w:val="32"/>
          <w:szCs w:val="32"/>
        </w:rPr>
      </w:pPr>
      <w:r w:rsidRPr="00F34694">
        <w:rPr>
          <w:rFonts w:ascii="Times New Roman" w:hAnsi="Times New Roman" w:cs="Times New Roman"/>
          <w:b/>
          <w:color w:val="1F497D" w:themeColor="text2"/>
          <w:sz w:val="32"/>
          <w:szCs w:val="32"/>
          <w:lang w:val="en"/>
        </w:rPr>
        <w:t>Case report of colonic perforation following severe acute pancreatitis</w:t>
      </w:r>
    </w:p>
    <w:p w14:paraId="6B0E71F5" w14:textId="77777777" w:rsidR="00F34694" w:rsidRPr="00F34694" w:rsidRDefault="00F34694" w:rsidP="00F34694">
      <w:pPr>
        <w:pStyle w:val="HTMLPreformatted"/>
        <w:shd w:val="clear" w:color="auto" w:fill="F8F9FA"/>
        <w:spacing w:line="540" w:lineRule="atLeast"/>
        <w:rPr>
          <w:rFonts w:ascii="Times New Roman" w:hAnsi="Times New Roman" w:cs="Times New Roman"/>
          <w:b/>
          <w:color w:val="1F497D" w:themeColor="text2"/>
          <w:sz w:val="32"/>
          <w:szCs w:val="32"/>
        </w:rPr>
      </w:pPr>
    </w:p>
    <w:p w14:paraId="2436A1AB" w14:textId="2FA5C4EB" w:rsidR="00157B21" w:rsidRDefault="00A3790F">
      <w:pPr>
        <w:rPr>
          <w:rFonts w:ascii="Times New Roman" w:hAnsi="Times New Roman" w:cs="Times New Roman"/>
          <w:b/>
          <w:sz w:val="24"/>
          <w:szCs w:val="24"/>
        </w:rPr>
      </w:pPr>
      <w:r>
        <w:rPr>
          <w:rFonts w:ascii="Times New Roman" w:hAnsi="Times New Roman" w:cs="Times New Roman"/>
          <w:b/>
          <w:sz w:val="24"/>
          <w:szCs w:val="24"/>
        </w:rPr>
        <w:t>Abstract</w:t>
      </w:r>
      <w:r w:rsidR="00F54943">
        <w:rPr>
          <w:rFonts w:ascii="Times New Roman" w:hAnsi="Times New Roman" w:cs="Times New Roman"/>
          <w:b/>
          <w:sz w:val="24"/>
          <w:szCs w:val="24"/>
        </w:rPr>
        <w:t xml:space="preserve"> : </w:t>
      </w:r>
    </w:p>
    <w:p w14:paraId="5EE4D2B1" w14:textId="77777777" w:rsidR="00CB77F7" w:rsidRPr="00CB77F7" w:rsidRDefault="00CB77F7" w:rsidP="00CB77F7">
      <w:pPr>
        <w:spacing w:after="0" w:line="240" w:lineRule="auto"/>
        <w:rPr>
          <w:rFonts w:ascii="Calibri" w:eastAsia="Helvetica" w:hAnsi="Calibri" w:cs="Calibri"/>
          <w:color w:val="000000"/>
          <w:sz w:val="24"/>
          <w:szCs w:val="24"/>
          <w:lang w:val="en" w:eastAsia="zh-CN" w:bidi="ar"/>
        </w:rPr>
      </w:pPr>
      <w:r w:rsidRPr="00CB77F7">
        <w:rPr>
          <w:rFonts w:ascii="Calibri" w:eastAsia="Helvetica" w:hAnsi="Calibri" w:cs="Calibri"/>
          <w:color w:val="000000"/>
          <w:sz w:val="24"/>
          <w:szCs w:val="24"/>
          <w:lang w:val="en" w:eastAsia="zh-CN" w:bidi="ar"/>
        </w:rPr>
        <w:t>Severe acute pancreatitis can lead to rare but potentially fatal complications, including colonic perforation. We report the case of a 38-year-old patient with no previous medical history admitted for colonic perforation following severe acute pancreatitis of gallstone origin, whose progression was marked by hemodynamic instability and subsequent intraoperative death.</w:t>
      </w:r>
      <w:bookmarkStart w:id="0" w:name="_GoBack"/>
      <w:bookmarkEnd w:id="0"/>
    </w:p>
    <w:p w14:paraId="0B73CBA3" w14:textId="77777777" w:rsidR="00CB77F7" w:rsidRPr="00CB77F7" w:rsidRDefault="00CB77F7" w:rsidP="00CB77F7">
      <w:pPr>
        <w:rPr>
          <w:rFonts w:ascii="Calibri" w:eastAsia="Helvetica" w:hAnsi="Calibri" w:cs="Calibri"/>
          <w:color w:val="000000"/>
          <w:sz w:val="24"/>
          <w:szCs w:val="24"/>
          <w:lang w:eastAsia="zh-CN" w:bidi="ar"/>
        </w:rPr>
      </w:pPr>
      <w:r w:rsidRPr="00CB77F7">
        <w:rPr>
          <w:rFonts w:ascii="Calibri" w:eastAsia="Helvetica" w:hAnsi="Calibri" w:cs="Calibri"/>
          <w:color w:val="000000"/>
          <w:sz w:val="24"/>
          <w:szCs w:val="24"/>
          <w:lang w:val="en" w:eastAsia="zh-CN" w:bidi="ar"/>
        </w:rPr>
        <w:t>This serious complication</w:t>
      </w:r>
      <w:r w:rsidR="002D3A01">
        <w:rPr>
          <w:rStyle w:val="EndnoteReference"/>
          <w:rFonts w:ascii="Calibri" w:eastAsia="Helvetica" w:hAnsi="Calibri" w:cs="Calibri"/>
          <w:color w:val="000000"/>
          <w:sz w:val="24"/>
          <w:szCs w:val="24"/>
          <w:lang w:val="en" w:eastAsia="zh-CN" w:bidi="ar"/>
        </w:rPr>
        <w:endnoteReference w:id="1"/>
      </w:r>
      <w:r w:rsidRPr="00CB77F7">
        <w:rPr>
          <w:rFonts w:ascii="Calibri" w:eastAsia="Helvetica" w:hAnsi="Calibri" w:cs="Calibri"/>
          <w:color w:val="000000"/>
          <w:sz w:val="24"/>
          <w:szCs w:val="24"/>
          <w:lang w:val="en" w:eastAsia="zh-CN" w:bidi="ar"/>
        </w:rPr>
        <w:t xml:space="preserve"> remains rare but should be considered in the face of a sudden deterioration in the clinical condition of a patient with necrotizing pancreatitis. Parietal ischemia secondary to local inflammation, vascular compression, and enzymatic necrosis phenomena may explain this perforation. Close monitoring and repeated imaging are essential for early diagnosis and appropriate surgical management.</w:t>
      </w:r>
    </w:p>
    <w:p w14:paraId="7457DEF0" w14:textId="77777777" w:rsidR="00DA0280" w:rsidRPr="00DA0280" w:rsidRDefault="00DA0280" w:rsidP="00DA0280">
      <w:pPr>
        <w:rPr>
          <w:rFonts w:ascii="Times New Roman" w:hAnsi="Times New Roman" w:cs="Times New Roman"/>
          <w:b/>
          <w:sz w:val="24"/>
          <w:szCs w:val="24"/>
        </w:rPr>
      </w:pPr>
      <w:r w:rsidRPr="00DA0280">
        <w:rPr>
          <w:rFonts w:ascii="Times New Roman" w:hAnsi="Times New Roman" w:cs="Times New Roman"/>
          <w:b/>
          <w:sz w:val="24"/>
          <w:szCs w:val="24"/>
          <w:lang w:val="en"/>
        </w:rPr>
        <w:t xml:space="preserve">KEYWORDS: </w:t>
      </w:r>
      <w:r w:rsidRPr="00DA0280">
        <w:rPr>
          <w:rFonts w:cstheme="minorHAnsi"/>
          <w:bCs/>
          <w:sz w:val="24"/>
          <w:szCs w:val="24"/>
          <w:lang w:val="en"/>
        </w:rPr>
        <w:t>acute pancreatitis, colonic perforation, digestive complication, pancreatic necrosis, emergency surgery</w:t>
      </w:r>
    </w:p>
    <w:p w14:paraId="6A109C43" w14:textId="77777777" w:rsidR="00157B21" w:rsidRDefault="00F54943">
      <w:pPr>
        <w:rPr>
          <w:rFonts w:ascii="Times New Roman" w:hAnsi="Times New Roman" w:cs="Times New Roman"/>
          <w:b/>
          <w:sz w:val="24"/>
          <w:szCs w:val="24"/>
        </w:rPr>
      </w:pPr>
      <w:r>
        <w:rPr>
          <w:rFonts w:ascii="Times New Roman" w:hAnsi="Times New Roman" w:cs="Times New Roman"/>
          <w:b/>
          <w:sz w:val="24"/>
          <w:szCs w:val="24"/>
        </w:rPr>
        <w:t xml:space="preserve">INTRODUCTION : </w:t>
      </w:r>
    </w:p>
    <w:p w14:paraId="1A47B8F1" w14:textId="77777777" w:rsidR="00DA0280" w:rsidRPr="00DA0280" w:rsidRDefault="00DA0280" w:rsidP="00DA0280">
      <w:pPr>
        <w:rPr>
          <w:rFonts w:cstheme="minorHAnsi"/>
          <w:sz w:val="24"/>
          <w:szCs w:val="24"/>
        </w:rPr>
      </w:pPr>
      <w:r w:rsidRPr="00DA0280">
        <w:rPr>
          <w:rFonts w:cstheme="minorHAnsi"/>
          <w:sz w:val="24"/>
          <w:szCs w:val="24"/>
          <w:lang w:val="en"/>
        </w:rPr>
        <w:t>Acute pancreatitis is a pathology with an unpredictable progression and variable severity that may require multidisciplinary management. Approximately 20% of patients admitted for acute pancreatitis (AP) suffer from a severe form that generally manifests quickly after the onset of abdominal symptoms. The severity of pancreatitis is linked to the extension of the necrotizing inflammatory process; mortality in severe forms is often less than 10%, increasing to more than 50% if the necrosis becomes infected during the first week</w:t>
      </w:r>
      <w:r w:rsidR="00362FA3">
        <w:rPr>
          <w:rStyle w:val="EndnoteReference"/>
          <w:rFonts w:cstheme="minorHAnsi"/>
          <w:sz w:val="24"/>
          <w:szCs w:val="24"/>
          <w:lang w:val="en"/>
        </w:rPr>
        <w:endnoteReference w:id="2"/>
      </w:r>
      <w:r w:rsidRPr="00DA0280">
        <w:rPr>
          <w:rFonts w:cstheme="minorHAnsi"/>
          <w:sz w:val="24"/>
          <w:szCs w:val="24"/>
          <w:lang w:val="en"/>
        </w:rPr>
        <w:t xml:space="preserve">. </w:t>
      </w:r>
      <w:r w:rsidR="00204ECC">
        <w:rPr>
          <w:rFonts w:cstheme="minorHAnsi"/>
          <w:sz w:val="24"/>
          <w:szCs w:val="24"/>
          <w:lang w:val="en"/>
        </w:rPr>
        <w:t xml:space="preserve">                        </w:t>
      </w:r>
      <w:r w:rsidRPr="00DA0280">
        <w:rPr>
          <w:rFonts w:cstheme="minorHAnsi"/>
          <w:sz w:val="24"/>
          <w:szCs w:val="24"/>
          <w:lang w:val="en"/>
        </w:rPr>
        <w:t>Severe acute pancreatitis is multi-organ failure (&gt; 48 h). Its evolution is marked by two phases</w:t>
      </w:r>
      <w:r w:rsidR="006B4A5B">
        <w:rPr>
          <w:rStyle w:val="EndnoteReference"/>
          <w:rFonts w:cstheme="minorHAnsi"/>
          <w:sz w:val="24"/>
          <w:szCs w:val="24"/>
          <w:lang w:val="en"/>
        </w:rPr>
        <w:endnoteReference w:id="3"/>
      </w:r>
      <w:r w:rsidRPr="00DA0280">
        <w:rPr>
          <w:rFonts w:cstheme="minorHAnsi"/>
          <w:sz w:val="24"/>
          <w:szCs w:val="24"/>
          <w:lang w:val="en"/>
        </w:rPr>
        <w:t xml:space="preserve">: </w:t>
      </w:r>
      <w:r>
        <w:rPr>
          <w:rFonts w:cstheme="minorHAnsi"/>
          <w:sz w:val="24"/>
          <w:szCs w:val="24"/>
          <w:lang w:val="en"/>
        </w:rPr>
        <w:t xml:space="preserve">                         </w:t>
      </w:r>
      <w:r w:rsidR="00204ECC">
        <w:rPr>
          <w:rFonts w:cstheme="minorHAnsi"/>
          <w:sz w:val="24"/>
          <w:szCs w:val="24"/>
          <w:lang w:val="en"/>
        </w:rPr>
        <w:t xml:space="preserve">                                                                                                                                                   </w:t>
      </w:r>
      <w:r>
        <w:rPr>
          <w:rFonts w:cstheme="minorHAnsi"/>
          <w:sz w:val="24"/>
          <w:szCs w:val="24"/>
          <w:lang w:val="en"/>
        </w:rPr>
        <w:t>- I</w:t>
      </w:r>
      <w:r w:rsidRPr="00DA0280">
        <w:rPr>
          <w:rFonts w:cstheme="minorHAnsi"/>
          <w:sz w:val="24"/>
          <w:szCs w:val="24"/>
          <w:lang w:val="en"/>
        </w:rPr>
        <w:t xml:space="preserve">nitial (first week), which is accompanied by organ dysfunction(s) or failure(s). </w:t>
      </w:r>
      <w:r>
        <w:rPr>
          <w:rFonts w:cstheme="minorHAnsi"/>
          <w:sz w:val="24"/>
          <w:szCs w:val="24"/>
          <w:lang w:val="en"/>
        </w:rPr>
        <w:t xml:space="preserve">                          - L</w:t>
      </w:r>
      <w:r w:rsidRPr="00DA0280">
        <w:rPr>
          <w:rFonts w:cstheme="minorHAnsi"/>
          <w:sz w:val="24"/>
          <w:szCs w:val="24"/>
          <w:lang w:val="en"/>
        </w:rPr>
        <w:t xml:space="preserve">ate (after the first week), which is accompanied by local complications (pancreatic necrosis which can become superinfected, abscess, pseudocyst formation, intestinal ischemia, hemorrhage and false aneurysm, etc.). </w:t>
      </w:r>
      <w:r>
        <w:rPr>
          <w:rFonts w:cstheme="minorHAnsi"/>
          <w:sz w:val="24"/>
          <w:szCs w:val="24"/>
          <w:lang w:val="en"/>
        </w:rPr>
        <w:t xml:space="preserve">                                                                                                </w:t>
      </w:r>
      <w:r w:rsidRPr="00DA0280">
        <w:rPr>
          <w:rFonts w:cstheme="minorHAnsi"/>
          <w:sz w:val="24"/>
          <w:szCs w:val="24"/>
          <w:lang w:val="en"/>
        </w:rPr>
        <w:t>In our article we will shed light on a case of colonic perforation following severe acute pancreatitis of lithiasic origin.</w:t>
      </w:r>
    </w:p>
    <w:p w14:paraId="4C8EC007" w14:textId="77777777" w:rsidR="009B2E02" w:rsidRDefault="009B2E02" w:rsidP="009B2E02">
      <w:pPr>
        <w:spacing w:after="0" w:line="240" w:lineRule="auto"/>
        <w:rPr>
          <w:rFonts w:ascii="Times New Roman" w:hAnsi="Times New Roman" w:cs="Times New Roman"/>
          <w:b/>
          <w:sz w:val="24"/>
          <w:szCs w:val="24"/>
          <w:lang w:val="en"/>
        </w:rPr>
      </w:pPr>
      <w:r w:rsidRPr="009B2E02">
        <w:rPr>
          <w:rFonts w:ascii="Times New Roman" w:hAnsi="Times New Roman" w:cs="Times New Roman"/>
          <w:b/>
          <w:sz w:val="24"/>
          <w:szCs w:val="24"/>
          <w:lang w:val="en"/>
        </w:rPr>
        <w:t>CASE PRESENTATION:</w:t>
      </w:r>
    </w:p>
    <w:p w14:paraId="1B69BB84" w14:textId="77777777" w:rsidR="009B2E02" w:rsidRPr="009B2E02" w:rsidRDefault="009B2E02" w:rsidP="009B2E02">
      <w:pPr>
        <w:spacing w:after="0" w:line="240" w:lineRule="auto"/>
        <w:rPr>
          <w:rFonts w:ascii="Times New Roman" w:hAnsi="Times New Roman" w:cs="Times New Roman"/>
          <w:b/>
          <w:sz w:val="24"/>
          <w:szCs w:val="24"/>
          <w:lang w:val="en"/>
        </w:rPr>
      </w:pPr>
    </w:p>
    <w:p w14:paraId="424B6ACE" w14:textId="77777777" w:rsidR="009B2E02" w:rsidRPr="009B2E02" w:rsidRDefault="009B2E02" w:rsidP="009B2E02">
      <w:pPr>
        <w:spacing w:after="0" w:line="240" w:lineRule="auto"/>
        <w:rPr>
          <w:rFonts w:cstheme="minorHAnsi"/>
          <w:bCs/>
          <w:sz w:val="24"/>
          <w:szCs w:val="24"/>
        </w:rPr>
      </w:pPr>
      <w:r w:rsidRPr="009B2E02">
        <w:rPr>
          <w:rFonts w:cstheme="minorHAnsi"/>
          <w:bCs/>
          <w:sz w:val="24"/>
          <w:szCs w:val="24"/>
          <w:lang w:val="en"/>
        </w:rPr>
        <w:lastRenderedPageBreak/>
        <w:t>This is a 38-year-old patient with no particular medical history who was hospitalized 2 months prior to his admission for stage E pancreatitis of lithiasis origin with gallbladder cholecystitis. He underwent laparoscopic cholecystectomy with intraoperative endoscopic retrograde cholangiopancreatography, where he underwent sphincterotomy and removal of the lithiasis.</w:t>
      </w:r>
    </w:p>
    <w:p w14:paraId="624D2EFC" w14:textId="77777777" w:rsidR="00621108" w:rsidRPr="00621108" w:rsidRDefault="00621108" w:rsidP="00621108">
      <w:pPr>
        <w:spacing w:after="0" w:line="240" w:lineRule="auto"/>
        <w:rPr>
          <w:rFonts w:cstheme="minorHAnsi"/>
          <w:bCs/>
          <w:sz w:val="24"/>
          <w:szCs w:val="24"/>
          <w:lang w:val="en"/>
        </w:rPr>
      </w:pPr>
      <w:r w:rsidRPr="00621108">
        <w:rPr>
          <w:rFonts w:cstheme="minorHAnsi"/>
          <w:bCs/>
          <w:sz w:val="24"/>
          <w:szCs w:val="24"/>
          <w:lang w:val="en"/>
        </w:rPr>
        <w:t>On pathology: focus of low-grade dysplasia according to the Vienna classification (classification of intraepithelial neoplasia and superficial cancers) against a background of chronic cholecystitis with acute retention microlithiasis, with no signs of invasion in the specimen.</w:t>
      </w:r>
    </w:p>
    <w:p w14:paraId="461064B2" w14:textId="77777777" w:rsidR="00621108" w:rsidRPr="00621108" w:rsidRDefault="00621108" w:rsidP="00032F46">
      <w:pPr>
        <w:spacing w:after="0" w:line="240" w:lineRule="auto"/>
        <w:rPr>
          <w:rFonts w:cstheme="minorHAnsi"/>
          <w:bCs/>
          <w:sz w:val="24"/>
          <w:szCs w:val="24"/>
        </w:rPr>
      </w:pPr>
      <w:r w:rsidRPr="00621108">
        <w:rPr>
          <w:rFonts w:cstheme="minorHAnsi"/>
          <w:bCs/>
          <w:sz w:val="24"/>
          <w:szCs w:val="24"/>
          <w:lang w:val="en"/>
        </w:rPr>
        <w:t>The history of his illness dates back 4 days before his admission with the onset of generalized abdominal pain associated with nausea and bilious vomiting, without HDE, jaundice, or clinical cholestasis syndrome. All of this developed against a background of fever and a deterioration in his general condition. The general examination on admission found a conscious patient, stable in terms of hemodynamics and respiratory, blood pressure: 100/70 mmHg, heart rate: 90 beats/min, respiratory rate: 16 cycles/min, temperature: 36.2°C, with on clinical examination: presence of cholecystectomy trocar scars, generalized abdominal guarding, the hernial orifices are free and the rectal examination is unremarkable.</w:t>
      </w:r>
    </w:p>
    <w:p w14:paraId="7DF3D0C2" w14:textId="77777777" w:rsidR="00E41C81" w:rsidRDefault="00E41C81" w:rsidP="00E41C81">
      <w:pPr>
        <w:pStyle w:val="ListParagraph"/>
        <w:numPr>
          <w:ilvl w:val="0"/>
          <w:numId w:val="4"/>
        </w:numPr>
        <w:spacing w:after="0" w:line="240" w:lineRule="auto"/>
        <w:rPr>
          <w:rFonts w:cstheme="minorHAnsi"/>
          <w:bCs/>
          <w:sz w:val="24"/>
          <w:szCs w:val="24"/>
          <w:lang w:val="en"/>
        </w:rPr>
      </w:pPr>
      <w:r w:rsidRPr="00E41C81">
        <w:rPr>
          <w:rFonts w:cstheme="minorHAnsi"/>
          <w:bCs/>
          <w:sz w:val="24"/>
          <w:szCs w:val="24"/>
          <w:lang w:val="en"/>
        </w:rPr>
        <w:t>On biological assessment: hemoglobin: 13.6g/dl, hematocrit: 41%, leukocytes: 16670/mm3, platelets: 635,000 /mm3, CRP= 57 mg/l, Lipase: 170 IU/l, TP: 85%, TCA: 23 sec Na+: 132 meq/l, K+: 3.9 meq/l, Urea: 1.10 g/l, Creatine: 8.9 mg/l, ASAT: 69 IU/L, ALAT: 94 IU/l, PAL: 303 IU/l, GGT: 400 IU/l, CRP: 70.8 mg/L</w:t>
      </w:r>
    </w:p>
    <w:p w14:paraId="0D9CA95A" w14:textId="77777777" w:rsidR="00E41C81" w:rsidRPr="00E41C81" w:rsidRDefault="00E41C81" w:rsidP="00E41C81">
      <w:pPr>
        <w:pStyle w:val="ListParagraph"/>
        <w:numPr>
          <w:ilvl w:val="0"/>
          <w:numId w:val="4"/>
        </w:numPr>
        <w:spacing w:after="0" w:line="240" w:lineRule="auto"/>
        <w:rPr>
          <w:rFonts w:cstheme="minorHAnsi"/>
          <w:bCs/>
          <w:sz w:val="24"/>
          <w:szCs w:val="24"/>
          <w:lang w:val="en"/>
        </w:rPr>
      </w:pPr>
      <w:r w:rsidRPr="00E41C81">
        <w:rPr>
          <w:rFonts w:cstheme="minorHAnsi"/>
          <w:bCs/>
          <w:sz w:val="24"/>
          <w:szCs w:val="24"/>
          <w:lang w:val="en"/>
        </w:rPr>
        <w:t>Abdomino-pelvic CT scan with injection of contrast agent:</w:t>
      </w:r>
    </w:p>
    <w:p w14:paraId="4E19935F" w14:textId="77777777" w:rsidR="00B37AF6" w:rsidRPr="00B37AF6" w:rsidRDefault="00B37AF6" w:rsidP="00B37AF6">
      <w:pPr>
        <w:spacing w:after="0" w:line="240" w:lineRule="auto"/>
        <w:ind w:left="360"/>
        <w:rPr>
          <w:rFonts w:cstheme="minorHAnsi"/>
          <w:b/>
          <w:sz w:val="24"/>
          <w:szCs w:val="24"/>
          <w:lang w:val="en"/>
        </w:rPr>
      </w:pPr>
      <w:r w:rsidRPr="00B37AF6">
        <w:rPr>
          <w:rFonts w:cstheme="minorHAnsi"/>
          <w:b/>
          <w:sz w:val="24"/>
          <w:szCs w:val="24"/>
          <w:lang w:val="en"/>
        </w:rPr>
        <w:t>Before gastrografin ingestion:</w:t>
      </w:r>
    </w:p>
    <w:p w14:paraId="46378DC3" w14:textId="77777777" w:rsidR="00B37AF6" w:rsidRPr="00B37AF6" w:rsidRDefault="00B37AF6" w:rsidP="00B37AF6">
      <w:pPr>
        <w:spacing w:line="240" w:lineRule="auto"/>
        <w:ind w:left="360"/>
        <w:rPr>
          <w:rFonts w:cstheme="minorHAnsi"/>
          <w:bCs/>
          <w:sz w:val="24"/>
          <w:szCs w:val="24"/>
          <w:lang w:val="en"/>
        </w:rPr>
      </w:pPr>
      <w:r w:rsidRPr="00B37AF6">
        <w:rPr>
          <w:rFonts w:cstheme="minorHAnsi"/>
          <w:bCs/>
          <w:sz w:val="24"/>
          <w:szCs w:val="24"/>
          <w:lang w:val="en"/>
        </w:rPr>
        <w:t>The pancreas is of normal volume, with preservation of its physiological lobulations, normally enhanced after injection of PDC. A collection is present under the head of the pancreas, enhanced peripherally, containing air bubbles, measuring 66x55mm with surrounding fat infiltration. This collection is in contact with the gastric and duodenal walls, with individualization of a fistulous tract communicating the collection with the pyloric region, measuring 8mm. Bulbo-pyloric gastric wall thickening with exaggerated submucosal enhancement. It is associated with other small subpancreatic collections, precaval, perigastric, and retrocecal, hypodense, enhanced peripherally. The liver is of normal size, with regular contours and homogeneous density, without notable lesions. Aerobilia of the left bile ducts with slight dilatation of the intrahepatic bile ducts. Free gallbladder bed.</w:t>
      </w:r>
    </w:p>
    <w:p w14:paraId="5C463B0B" w14:textId="3F06486B" w:rsidR="00157B21" w:rsidRDefault="00A3790F">
      <w:pPr>
        <w:spacing w:line="240" w:lineRule="auto"/>
        <w:rPr>
          <w:rFonts w:ascii="Times New Roman" w:hAnsi="Times New Roman" w:cs="Times New Roman"/>
          <w:bCs/>
          <w:sz w:val="24"/>
          <w:szCs w:val="24"/>
        </w:rPr>
      </w:pPr>
      <w:r>
        <w:rPr>
          <w:rFonts w:ascii="Times New Roman" w:hAnsi="Times New Roman" w:cs="Times New Roman"/>
          <w:bCs/>
          <w:noProof/>
          <w:sz w:val="24"/>
          <w:szCs w:val="24"/>
          <w:lang w:eastAsia="fr-FR"/>
        </w:rPr>
        <w:lastRenderedPageBreak/>
        <mc:AlternateContent>
          <mc:Choice Requires="wps">
            <w:drawing>
              <wp:anchor distT="45720" distB="45720" distL="114300" distR="114300" simplePos="0" relativeHeight="251663360" behindDoc="0" locked="0" layoutInCell="1" allowOverlap="1" wp14:anchorId="4F375C6B" wp14:editId="51B5F221">
                <wp:simplePos x="0" y="0"/>
                <wp:positionH relativeFrom="column">
                  <wp:posOffset>-166255</wp:posOffset>
                </wp:positionH>
                <wp:positionV relativeFrom="paragraph">
                  <wp:posOffset>3562127</wp:posOffset>
                </wp:positionV>
                <wp:extent cx="5905500" cy="1304925"/>
                <wp:effectExtent l="0" t="0" r="19050" b="2857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1304925"/>
                        </a:xfrm>
                        <a:prstGeom prst="rect">
                          <a:avLst/>
                        </a:prstGeom>
                        <a:solidFill>
                          <a:srgbClr val="FFFFFF"/>
                        </a:solidFill>
                        <a:ln w="9525">
                          <a:solidFill>
                            <a:srgbClr val="000000"/>
                          </a:solidFill>
                          <a:miter lim="800000"/>
                        </a:ln>
                      </wps:spPr>
                      <wps:txbx>
                        <w:txbxContent>
                          <w:p w14:paraId="0E16401B" w14:textId="77777777" w:rsidR="00A3790F" w:rsidRPr="00B37AF6" w:rsidRDefault="00A3790F" w:rsidP="00A3790F">
                            <w:pPr>
                              <w:rPr>
                                <w:rFonts w:cstheme="minorHAnsi"/>
                                <w:sz w:val="24"/>
                                <w:szCs w:val="24"/>
                              </w:rPr>
                            </w:pPr>
                            <w:r>
                              <w:rPr>
                                <w:rFonts w:asciiTheme="majorBidi" w:hAnsiTheme="majorBidi" w:cstheme="majorBidi"/>
                                <w:b/>
                                <w:bCs/>
                                <w:sz w:val="28"/>
                                <w:szCs w:val="28"/>
                                <w:u w:val="single"/>
                              </w:rPr>
                              <w:t>Figure 1</w:t>
                            </w:r>
                            <w:r w:rsidRPr="00707AC2">
                              <w:rPr>
                                <w:rFonts w:cstheme="minorHAnsi"/>
                                <w:b/>
                                <w:bCs/>
                                <w:sz w:val="28"/>
                                <w:szCs w:val="28"/>
                                <w:u w:val="single"/>
                              </w:rPr>
                              <w:t> :</w:t>
                            </w:r>
                            <w:r w:rsidRPr="00707AC2">
                              <w:rPr>
                                <w:rFonts w:cstheme="minorHAnsi"/>
                                <w:sz w:val="28"/>
                                <w:szCs w:val="28"/>
                              </w:rPr>
                              <w:t xml:space="preserve"> </w:t>
                            </w:r>
                            <w:r w:rsidRPr="00707AC2">
                              <w:rPr>
                                <w:rFonts w:cstheme="minorHAnsi"/>
                                <w:sz w:val="24"/>
                                <w:szCs w:val="24"/>
                                <w:lang w:val="en"/>
                              </w:rPr>
                              <w:t>Sagittal sections of an abdominal CT scan showing organized peripancreatic necrosis measuring 66x55mm, which appears to be complicated by a cystogastric fistula. Evidence of spontaneously hyperdense material in the gallbladder bed, generating a metallic artifact (surgical clip). Presence of aerobilia and dilation of the intrahepatic bile ducts.</w:t>
                            </w:r>
                          </w:p>
                          <w:p w14:paraId="06A5F16D" w14:textId="77777777" w:rsidR="00A3790F" w:rsidRDefault="00A3790F" w:rsidP="00A3790F">
                            <w:pPr>
                              <w:rPr>
                                <w:rFonts w:cstheme="minorHAnsi"/>
                                <w:bCs/>
                                <w:sz w:val="24"/>
                                <w:szCs w:val="24"/>
                              </w:rPr>
                            </w:pPr>
                          </w:p>
                        </w:txbxContent>
                      </wps:txbx>
                      <wps:bodyPr rot="0" vert="horz" wrap="square" lIns="91440" tIns="45720" rIns="91440" bIns="45720" anchor="t" anchorCtr="0">
                        <a:noAutofit/>
                      </wps:bodyPr>
                    </wps:wsp>
                  </a:graphicData>
                </a:graphic>
              </wp:anchor>
            </w:drawing>
          </mc:Choice>
          <mc:Fallback>
            <w:pict>
              <v:shapetype w14:anchorId="4F375C6B" id="_x0000_t202" coordsize="21600,21600" o:spt="202" path="m,l,21600r21600,l21600,xe">
                <v:stroke joinstyle="miter"/>
                <v:path gradientshapeok="t" o:connecttype="rect"/>
              </v:shapetype>
              <v:shape id="Zone de texte 2" o:spid="_x0000_s1026" type="#_x0000_t202" style="position:absolute;margin-left:-13.1pt;margin-top:280.5pt;width:465pt;height:102.75pt;z-index:25166336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">
                <v:textbox>
                  <w:txbxContent>
                    <w:p w14:paraId="0E16401B" w14:textId="77777777" w:rsidR="00A3790F" w:rsidRPr="00B37AF6" w:rsidRDefault="00A3790F" w:rsidP="00A3790F">
                      <w:pPr>
                        <w:rPr>
                          <w:rFonts w:cstheme="minorHAnsi"/>
                          <w:sz w:val="24"/>
                          <w:szCs w:val="24"/>
                        </w:rPr>
                      </w:pPr>
                      <w:r>
                        <w:rPr>
                          <w:rFonts w:asciiTheme="majorBidi" w:hAnsiTheme="majorBidi" w:cstheme="majorBidi"/>
                          <w:b/>
                          <w:bCs/>
                          <w:sz w:val="28"/>
                          <w:szCs w:val="28"/>
                          <w:u w:val="single"/>
                        </w:rPr>
                        <w:t>Figure 1</w:t>
                      </w:r>
                      <w:r w:rsidRPr="00707AC2">
                        <w:rPr>
                          <w:rFonts w:cstheme="minorHAnsi"/>
                          <w:b/>
                          <w:bCs/>
                          <w:sz w:val="28"/>
                          <w:szCs w:val="28"/>
                          <w:u w:val="single"/>
                        </w:rPr>
                        <w:t> :</w:t>
                      </w:r>
                      <w:r w:rsidRPr="00707AC2">
                        <w:rPr>
                          <w:rFonts w:cstheme="minorHAnsi"/>
                          <w:sz w:val="28"/>
                          <w:szCs w:val="28"/>
                        </w:rPr>
                        <w:t xml:space="preserve"> </w:t>
                      </w:r>
                      <w:r w:rsidRPr="00707AC2">
                        <w:rPr>
                          <w:rFonts w:cstheme="minorHAnsi"/>
                          <w:sz w:val="24"/>
                          <w:szCs w:val="24"/>
                          <w:lang w:val="en"/>
                        </w:rPr>
                        <w:t>Sagittal sections of an abdominal CT scan showing organized peripancreatic necrosis measuring 66x55mm, which appears to be complicated by a cystogastric fistula. Evidence of spontaneously hyperdense material in the gallbladder bed, generating a metallic artifact (surgical clip). Presence of aerobilia and dilation of the intrahepatic bile ducts.</w:t>
                      </w:r>
                    </w:p>
                    <w:p w14:paraId="06A5F16D" w14:textId="77777777" w:rsidR="00A3790F" w:rsidRDefault="00A3790F" w:rsidP="00A3790F">
                      <w:pPr>
                        <w:rPr>
                          <w:rFonts w:cstheme="minorHAnsi"/>
                          <w:bCs/>
                          <w:sz w:val="24"/>
                          <w:szCs w:val="24"/>
                        </w:rPr>
                      </w:pPr>
                    </w:p>
                  </w:txbxContent>
                </v:textbox>
                <w10:wrap type="square"/>
              </v:shape>
            </w:pict>
          </mc:Fallback>
        </mc:AlternateContent>
      </w:r>
      <w:r w:rsidR="00F54943">
        <w:rPr>
          <w:rFonts w:ascii="Times New Roman" w:hAnsi="Times New Roman" w:cs="Times New Roman"/>
          <w:bCs/>
          <w:sz w:val="24"/>
          <w:szCs w:val="24"/>
        </w:rPr>
        <w:cr/>
      </w:r>
      <w:r w:rsidR="00F54943">
        <w:rPr>
          <w:noProof/>
          <w:lang w:eastAsia="fr-FR"/>
        </w:rPr>
        <w:drawing>
          <wp:inline distT="0" distB="0" distL="0" distR="0" wp14:anchorId="19E20282" wp14:editId="52A2E6A2">
            <wp:extent cx="5124450" cy="3067050"/>
            <wp:effectExtent l="0" t="0" r="0" b="0"/>
            <wp:docPr id="2" name="Espace réservé du contenu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Espace réservé du contenu 3"/>
                    <pic:cNvPicPr>
                      <a:picLocks noGrp="1" noChangeAspect="1"/>
                    </pic:cNvPicPr>
                  </pic:nvPicPr>
                  <pic:blipFill>
                    <a:blip r:embed="rId9" cstate="print">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l="41171" t="10362" b="37389"/>
                    <a:stretch>
                      <a:fillRect/>
                    </a:stretch>
                  </pic:blipFill>
                  <pic:spPr>
                    <a:xfrm>
                      <a:off x="0" y="0"/>
                      <a:ext cx="5124450" cy="3067050"/>
                    </a:xfrm>
                    <a:prstGeom prst="rect">
                      <a:avLst/>
                    </a:prstGeom>
                    <a:ln>
                      <a:noFill/>
                    </a:ln>
                  </pic:spPr>
                </pic:pic>
              </a:graphicData>
            </a:graphic>
          </wp:inline>
        </w:drawing>
      </w:r>
    </w:p>
    <w:p w14:paraId="3A5EDAB3" w14:textId="35ED4F26" w:rsidR="00A3790F" w:rsidRDefault="00A3790F">
      <w:pPr>
        <w:spacing w:line="240" w:lineRule="auto"/>
        <w:rPr>
          <w:rFonts w:ascii="Times New Roman" w:hAnsi="Times New Roman" w:cs="Times New Roman"/>
          <w:bCs/>
          <w:sz w:val="24"/>
          <w:szCs w:val="24"/>
        </w:rPr>
      </w:pPr>
    </w:p>
    <w:p w14:paraId="22FA4DEA" w14:textId="03390F22" w:rsidR="00A3790F" w:rsidRDefault="00A3790F">
      <w:pPr>
        <w:spacing w:line="240" w:lineRule="auto"/>
        <w:rPr>
          <w:rFonts w:ascii="Times New Roman" w:hAnsi="Times New Roman" w:cs="Times New Roman"/>
          <w:bCs/>
          <w:sz w:val="24"/>
          <w:szCs w:val="24"/>
        </w:rPr>
      </w:pPr>
    </w:p>
    <w:p w14:paraId="4B54FD27" w14:textId="77777777" w:rsidR="00A3790F" w:rsidRDefault="00A3790F">
      <w:pPr>
        <w:spacing w:line="240" w:lineRule="auto"/>
        <w:rPr>
          <w:rFonts w:ascii="Times New Roman" w:hAnsi="Times New Roman" w:cs="Times New Roman"/>
          <w:bCs/>
          <w:sz w:val="24"/>
          <w:szCs w:val="24"/>
        </w:rPr>
      </w:pPr>
    </w:p>
    <w:p w14:paraId="5EB62E2C" w14:textId="77777777" w:rsidR="00A3790F" w:rsidRDefault="00A3790F">
      <w:pPr>
        <w:spacing w:line="240" w:lineRule="auto"/>
        <w:rPr>
          <w:rFonts w:ascii="Times New Roman" w:hAnsi="Times New Roman" w:cs="Times New Roman"/>
          <w:bCs/>
          <w:sz w:val="24"/>
          <w:szCs w:val="24"/>
        </w:rPr>
      </w:pPr>
    </w:p>
    <w:p w14:paraId="0D540099" w14:textId="77777777" w:rsidR="00707AC2" w:rsidRPr="00707AC2" w:rsidRDefault="00707AC2" w:rsidP="00707AC2">
      <w:pPr>
        <w:spacing w:after="0" w:line="240" w:lineRule="auto"/>
        <w:rPr>
          <w:rFonts w:cstheme="minorHAnsi"/>
          <w:b/>
          <w:sz w:val="24"/>
          <w:szCs w:val="24"/>
          <w:lang w:val="en"/>
        </w:rPr>
      </w:pPr>
      <w:r w:rsidRPr="00707AC2">
        <w:rPr>
          <w:rFonts w:cstheme="minorHAnsi"/>
          <w:b/>
          <w:sz w:val="24"/>
          <w:szCs w:val="24"/>
          <w:lang w:val="en"/>
        </w:rPr>
        <w:t xml:space="preserve">After gastrografin ingestion: </w:t>
      </w:r>
    </w:p>
    <w:p w14:paraId="6AA79AC3" w14:textId="77777777" w:rsidR="00707AC2" w:rsidRPr="00707AC2" w:rsidRDefault="00707AC2" w:rsidP="00707AC2">
      <w:pPr>
        <w:spacing w:line="240" w:lineRule="auto"/>
        <w:rPr>
          <w:rFonts w:cstheme="minorHAnsi"/>
          <w:bCs/>
          <w:sz w:val="24"/>
          <w:szCs w:val="24"/>
        </w:rPr>
      </w:pPr>
      <w:r w:rsidRPr="00707AC2">
        <w:rPr>
          <w:rFonts w:cstheme="minorHAnsi"/>
          <w:bCs/>
          <w:sz w:val="24"/>
          <w:szCs w:val="24"/>
          <w:lang w:val="en"/>
        </w:rPr>
        <w:t>Demonstration at the level of the ACE between the head of the pancreas and the antropyloric region of a roughly oval, fairly well-defined fluid collection, containing air bubbles, measuring approximately 59x43 mm and extending over 70 mm. This collection reaches intimate contact with the hepatic segment V with a persistent thin fatty border separating it. It also reaches contact with the anterior abdominal wall at the level of L3 with thickening of the adjacent peritoneal layer. Absence of extradigestive passage of gastrografin at the explored level (at the level of the stomach, D1 and D2). Reflux of gastrografin at the level of the Wirsung duct. This is associated with infiltration of the surrounding mesenteric fat. Deep intra-abdominal lymphadenopathy, less than a centimeter in size, of the coeliomesenteric and right mesenteric lymph nodes.</w:t>
      </w:r>
    </w:p>
    <w:p w14:paraId="3AE918FC" w14:textId="77777777" w:rsidR="00157B21" w:rsidRDefault="00157B21">
      <w:pPr>
        <w:spacing w:line="240" w:lineRule="auto"/>
        <w:rPr>
          <w:rFonts w:ascii="Times New Roman" w:hAnsi="Times New Roman" w:cs="Times New Roman"/>
          <w:bCs/>
          <w:sz w:val="24"/>
          <w:szCs w:val="24"/>
        </w:rPr>
      </w:pPr>
    </w:p>
    <w:p w14:paraId="1B7055D7" w14:textId="77777777" w:rsidR="00157B21" w:rsidRDefault="00F54943">
      <w:pPr>
        <w:rPr>
          <w:rFonts w:ascii="Times New Roman" w:hAnsi="Times New Roman" w:cs="Times New Roman"/>
          <w:bCs/>
          <w:sz w:val="24"/>
          <w:szCs w:val="24"/>
        </w:rPr>
      </w:pPr>
      <w:r>
        <w:rPr>
          <w:rFonts w:ascii="Times New Roman" w:hAnsi="Times New Roman" w:cs="Times New Roman"/>
          <w:bCs/>
          <w:noProof/>
          <w:sz w:val="24"/>
          <w:szCs w:val="24"/>
          <w:lang w:eastAsia="fr-FR"/>
        </w:rPr>
        <w:lastRenderedPageBreak/>
        <mc:AlternateContent>
          <mc:Choice Requires="wps">
            <w:drawing>
              <wp:anchor distT="45720" distB="45720" distL="114300" distR="114300" simplePos="0" relativeHeight="251661312" behindDoc="0" locked="0" layoutInCell="1" allowOverlap="1" wp14:anchorId="6B7FB1B2" wp14:editId="1CD0DDFF">
                <wp:simplePos x="0" y="0"/>
                <wp:positionH relativeFrom="column">
                  <wp:posOffset>-4445</wp:posOffset>
                </wp:positionH>
                <wp:positionV relativeFrom="paragraph">
                  <wp:posOffset>3152775</wp:posOffset>
                </wp:positionV>
                <wp:extent cx="5734050" cy="800100"/>
                <wp:effectExtent l="0" t="0" r="19050" b="19050"/>
                <wp:wrapSquare wrapText="bothSides"/>
                <wp:docPr id="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4050" cy="800100"/>
                        </a:xfrm>
                        <a:prstGeom prst="rect">
                          <a:avLst/>
                        </a:prstGeom>
                        <a:solidFill>
                          <a:srgbClr val="FFFFFF"/>
                        </a:solidFill>
                        <a:ln w="9525">
                          <a:solidFill>
                            <a:srgbClr val="000000"/>
                          </a:solidFill>
                          <a:miter lim="800000"/>
                        </a:ln>
                      </wps:spPr>
                      <wps:txbx>
                        <w:txbxContent>
                          <w:p w14:paraId="224CDB3B" w14:textId="77777777" w:rsidR="007E1ACC" w:rsidRPr="007E1ACC" w:rsidRDefault="00F54943" w:rsidP="007E1ACC">
                            <w:pPr>
                              <w:rPr>
                                <w:rFonts w:cstheme="minorHAnsi"/>
                                <w:sz w:val="24"/>
                                <w:szCs w:val="24"/>
                              </w:rPr>
                            </w:pPr>
                            <w:r>
                              <w:rPr>
                                <w:rFonts w:asciiTheme="majorBidi" w:hAnsiTheme="majorBidi" w:cstheme="majorBidi"/>
                                <w:b/>
                                <w:bCs/>
                                <w:sz w:val="28"/>
                                <w:szCs w:val="28"/>
                                <w:u w:val="single"/>
                              </w:rPr>
                              <w:t>Figure 2 :</w:t>
                            </w:r>
                            <w:r>
                              <w:rPr>
                                <w:rFonts w:asciiTheme="majorBidi" w:hAnsiTheme="majorBidi" w:cstheme="majorBidi"/>
                                <w:sz w:val="28"/>
                                <w:szCs w:val="28"/>
                              </w:rPr>
                              <w:t xml:space="preserve"> </w:t>
                            </w:r>
                            <w:r w:rsidR="007E1ACC" w:rsidRPr="007E1ACC">
                              <w:rPr>
                                <w:rFonts w:cstheme="minorHAnsi"/>
                                <w:sz w:val="24"/>
                                <w:szCs w:val="24"/>
                                <w:lang w:val="en"/>
                              </w:rPr>
                              <w:t>CT appearance after ingestion of gastrografin of a fluid collection from the back of the omentum cavity without signs of a digestive fistula clearly detectable within the limits of this examination.</w:t>
                            </w:r>
                          </w:p>
                          <w:p w14:paraId="79832D50" w14:textId="77777777" w:rsidR="00157B21" w:rsidRDefault="00157B21" w:rsidP="007E1ACC">
                            <w:pPr>
                              <w:rPr>
                                <w:rFonts w:asciiTheme="majorBidi" w:hAnsiTheme="majorBidi" w:cstheme="majorBidi"/>
                                <w:b/>
                                <w:bCs/>
                                <w:sz w:val="28"/>
                                <w:szCs w:val="28"/>
                                <w:u w:val="single"/>
                              </w:rPr>
                            </w:pPr>
                          </w:p>
                        </w:txbxContent>
                      </wps:txbx>
                      <wps:bodyPr rot="0" vert="horz" wrap="square" lIns="91440" tIns="45720" rIns="91440" bIns="45720" anchor="t" anchorCtr="0">
                        <a:noAutofit/>
                      </wps:bodyPr>
                    </wps:wsp>
                  </a:graphicData>
                </a:graphic>
              </wp:anchor>
            </w:drawing>
          </mc:Choice>
          <mc:Fallback>
            <w:pict>
              <v:shape w14:anchorId="6B7FB1B2" id="_x0000_s1027" type="#_x0000_t202" style="position:absolute;margin-left:-.35pt;margin-top:248.25pt;width:451.5pt;height:63pt;z-index:2516613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">
                <v:textbox>
                  <w:txbxContent>
                    <w:p w14:paraId="224CDB3B" w14:textId="77777777" w:rsidR="007E1ACC" w:rsidRPr="007E1ACC" w:rsidRDefault="00F54943" w:rsidP="007E1ACC">
                      <w:pPr>
                        <w:rPr>
                          <w:rFonts w:cstheme="minorHAnsi"/>
                          <w:sz w:val="24"/>
                          <w:szCs w:val="24"/>
                        </w:rPr>
                      </w:pPr>
                      <w:r>
                        <w:rPr>
                          <w:rFonts w:asciiTheme="majorBidi" w:hAnsiTheme="majorBidi" w:cstheme="majorBidi"/>
                          <w:b/>
                          <w:bCs/>
                          <w:sz w:val="28"/>
                          <w:szCs w:val="28"/>
                          <w:u w:val="single"/>
                        </w:rPr>
                        <w:t>Figure 2 :</w:t>
                      </w:r>
                      <w:r>
                        <w:rPr>
                          <w:rFonts w:asciiTheme="majorBidi" w:hAnsiTheme="majorBidi" w:cstheme="majorBidi"/>
                          <w:sz w:val="28"/>
                          <w:szCs w:val="28"/>
                        </w:rPr>
                        <w:t xml:space="preserve"> </w:t>
                      </w:r>
                      <w:r w:rsidR="007E1ACC" w:rsidRPr="007E1ACC">
                        <w:rPr>
                          <w:rFonts w:cstheme="minorHAnsi"/>
                          <w:sz w:val="24"/>
                          <w:szCs w:val="24"/>
                          <w:lang w:val="en"/>
                        </w:rPr>
                        <w:t>CT appearance after ingestion of gastrografin of a fluid collection from the back of the omentum cavity without signs of a digestive fistula clearly detectable within the limits of this examination.</w:t>
                      </w:r>
                    </w:p>
                    <w:p w14:paraId="79832D50" w14:textId="77777777" w:rsidR="00157B21" w:rsidRDefault="00157B21" w:rsidP="007E1ACC">
                      <w:pPr>
                        <w:rPr>
                          <w:rFonts w:asciiTheme="majorBidi" w:hAnsiTheme="majorBidi" w:cstheme="majorBidi"/>
                          <w:b/>
                          <w:bCs/>
                          <w:sz w:val="28"/>
                          <w:szCs w:val="28"/>
                          <w:u w:val="single"/>
                        </w:rPr>
                      </w:pPr>
                    </w:p>
                  </w:txbxContent>
                </v:textbox>
                <w10:wrap type="square"/>
              </v:shape>
            </w:pict>
          </mc:Fallback>
        </mc:AlternateContent>
      </w:r>
      <w:r>
        <w:rPr>
          <w:noProof/>
          <w:lang w:eastAsia="fr-FR"/>
        </w:rPr>
        <w:drawing>
          <wp:inline distT="0" distB="0" distL="0" distR="0" wp14:anchorId="13E13B82" wp14:editId="42B4A2B9">
            <wp:extent cx="5200650" cy="2914650"/>
            <wp:effectExtent l="0" t="0" r="0" b="0"/>
            <wp:docPr id="4" name="Espace réservé du contenu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ce réservé du contenu 3"/>
                    <pic:cNvPicPr>
                      <a:picLocks noGrp="1" noChangeAspect="1"/>
                    </pic:cNvPicPr>
                  </pic:nvPicPr>
                  <pic:blipFill>
                    <a:blip r:embed="rId11" cstate="print">
                      <a:extLst>
                        <a:ext uri="{BEBA8EAE-BF5A-486C-A8C5-ECC9F3942E4B}">
                          <a14:imgProps xmlns:a14="http://schemas.microsoft.com/office/drawing/2010/main">
                            <a14:imgLayer r:embed="rId12">
                              <a14:imgEffect>
                                <a14:brightnessContrast contrast="-20000"/>
                              </a14:imgEffect>
                              <a14:imgEffect>
                                <a14:sharpenSoften amount="25000"/>
                              </a14:imgEffect>
                            </a14:imgLayer>
                          </a14:imgProps>
                        </a:ext>
                        <a:ext uri="{28A0092B-C50C-407E-A947-70E740481C1C}">
                          <a14:useLocalDpi xmlns:a14="http://schemas.microsoft.com/office/drawing/2010/main" val="0"/>
                        </a:ext>
                      </a:extLst>
                    </a:blip>
                    <a:srcRect l="25959" t="44973"/>
                    <a:stretch>
                      <a:fillRect/>
                    </a:stretch>
                  </pic:blipFill>
                  <pic:spPr>
                    <a:xfrm>
                      <a:off x="0" y="0"/>
                      <a:ext cx="5200650" cy="2914650"/>
                    </a:xfrm>
                    <a:prstGeom prst="rect">
                      <a:avLst/>
                    </a:prstGeom>
                    <a:ln>
                      <a:noFill/>
                    </a:ln>
                  </pic:spPr>
                </pic:pic>
              </a:graphicData>
            </a:graphic>
          </wp:inline>
        </w:drawing>
      </w:r>
    </w:p>
    <w:p w14:paraId="3F99C7DC" w14:textId="77777777" w:rsidR="00157B21" w:rsidRDefault="00157B21">
      <w:pPr>
        <w:spacing w:after="0" w:line="240" w:lineRule="auto"/>
        <w:rPr>
          <w:rFonts w:ascii="Times New Roman" w:hAnsi="Times New Roman" w:cs="Times New Roman"/>
          <w:bCs/>
          <w:sz w:val="24"/>
          <w:szCs w:val="24"/>
        </w:rPr>
      </w:pPr>
    </w:p>
    <w:p w14:paraId="099529F4" w14:textId="77777777" w:rsidR="00FA29F2" w:rsidRPr="006B4A5B" w:rsidRDefault="00FA29F2" w:rsidP="00FA29F2">
      <w:pPr>
        <w:spacing w:after="0" w:line="240" w:lineRule="auto"/>
        <w:rPr>
          <w:rFonts w:cstheme="minorHAnsi"/>
          <w:bCs/>
          <w:sz w:val="24"/>
          <w:szCs w:val="24"/>
          <w:lang w:val="en"/>
        </w:rPr>
      </w:pPr>
      <w:r w:rsidRPr="006B4A5B">
        <w:rPr>
          <w:rFonts w:cstheme="minorHAnsi"/>
          <w:bCs/>
          <w:sz w:val="24"/>
          <w:szCs w:val="24"/>
          <w:lang w:val="en"/>
        </w:rPr>
        <w:t>The patient presented with hemodynamic in</w:t>
      </w:r>
      <w:r w:rsidR="00ED6EE5" w:rsidRPr="006B4A5B">
        <w:rPr>
          <w:rFonts w:cstheme="minorHAnsi"/>
          <w:bCs/>
          <w:sz w:val="24"/>
          <w:szCs w:val="24"/>
          <w:lang w:val="en"/>
        </w:rPr>
        <w:t>stability, with hypotension at 05/03 mmHg and bradycardia at 45</w:t>
      </w:r>
      <w:r w:rsidRPr="006B4A5B">
        <w:rPr>
          <w:rFonts w:cstheme="minorHAnsi"/>
          <w:bCs/>
          <w:sz w:val="24"/>
          <w:szCs w:val="24"/>
          <w:lang w:val="en"/>
        </w:rPr>
        <w:t xml:space="preserve"> beats/min, requiring emergency transport to the operating room. After a midline incision, exploration revealed the presence of several epiplo-parietal, epiplo-hepatic, epiplo-spleen, and epiplo-colic adhesions. The presence of subhepatic shielding made any dissection dangerous. A necrotic flow was present at the level of the pancreatic head, fistulized at the level of the transverse colon.</w:t>
      </w:r>
    </w:p>
    <w:p w14:paraId="3A771FC0" w14:textId="77777777" w:rsidR="00FA29F2" w:rsidRPr="006B4A5B" w:rsidRDefault="00FA29F2" w:rsidP="00FA29F2">
      <w:pPr>
        <w:spacing w:after="0" w:line="240" w:lineRule="auto"/>
        <w:rPr>
          <w:rFonts w:cstheme="minorHAnsi"/>
          <w:bCs/>
          <w:sz w:val="24"/>
          <w:szCs w:val="24"/>
          <w:lang w:val="en"/>
        </w:rPr>
      </w:pPr>
      <w:r w:rsidRPr="006B4A5B">
        <w:rPr>
          <w:rFonts w:cstheme="minorHAnsi"/>
          <w:bCs/>
          <w:sz w:val="24"/>
          <w:szCs w:val="24"/>
          <w:lang w:val="en"/>
        </w:rPr>
        <w:t xml:space="preserve">During exploration, the patient presented bilateral non-reactive mydriasis with hypotension at </w:t>
      </w:r>
      <w:r w:rsidR="00ED6EE5" w:rsidRPr="006B4A5B">
        <w:rPr>
          <w:rFonts w:cstheme="minorHAnsi"/>
          <w:bCs/>
          <w:sz w:val="24"/>
          <w:szCs w:val="24"/>
          <w:lang w:val="en"/>
        </w:rPr>
        <w:t>0</w:t>
      </w:r>
      <w:r w:rsidRPr="006B4A5B">
        <w:rPr>
          <w:rFonts w:cstheme="minorHAnsi"/>
          <w:bCs/>
          <w:sz w:val="24"/>
          <w:szCs w:val="24"/>
          <w:lang w:val="en"/>
        </w:rPr>
        <w:t>4/</w:t>
      </w:r>
      <w:r w:rsidR="00ED6EE5" w:rsidRPr="006B4A5B">
        <w:rPr>
          <w:rFonts w:cstheme="minorHAnsi"/>
          <w:bCs/>
          <w:sz w:val="24"/>
          <w:szCs w:val="24"/>
          <w:lang w:val="en"/>
        </w:rPr>
        <w:t>0</w:t>
      </w:r>
      <w:r w:rsidRPr="006B4A5B">
        <w:rPr>
          <w:rFonts w:cstheme="minorHAnsi"/>
          <w:bCs/>
          <w:sz w:val="24"/>
          <w:szCs w:val="24"/>
          <w:lang w:val="en"/>
        </w:rPr>
        <w:t>2 mmHg, then cardiac arrest that was not recoverable despite resuscitation measures.</w:t>
      </w:r>
    </w:p>
    <w:p w14:paraId="0709E5BD" w14:textId="77777777" w:rsidR="00ED6EE5" w:rsidRDefault="00ED6EE5" w:rsidP="00FA29F2">
      <w:pPr>
        <w:spacing w:after="0" w:line="240" w:lineRule="auto"/>
        <w:rPr>
          <w:rFonts w:ascii="Times New Roman" w:hAnsi="Times New Roman" w:cs="Times New Roman"/>
          <w:bCs/>
          <w:sz w:val="24"/>
          <w:szCs w:val="24"/>
          <w:lang w:val="en"/>
        </w:rPr>
      </w:pPr>
    </w:p>
    <w:p w14:paraId="21BF4719" w14:textId="77777777" w:rsidR="00ED6EE5" w:rsidRDefault="00ED6EE5" w:rsidP="00FA29F2">
      <w:pPr>
        <w:spacing w:after="0" w:line="240" w:lineRule="auto"/>
        <w:rPr>
          <w:rFonts w:ascii="Times New Roman" w:hAnsi="Times New Roman" w:cs="Times New Roman"/>
          <w:bCs/>
          <w:sz w:val="24"/>
          <w:szCs w:val="24"/>
          <w:lang w:val="en"/>
        </w:rPr>
      </w:pPr>
    </w:p>
    <w:p w14:paraId="42174FD7" w14:textId="77777777" w:rsidR="00ED6EE5" w:rsidRPr="00FA29F2" w:rsidRDefault="00ED6EE5" w:rsidP="00FA29F2">
      <w:pPr>
        <w:spacing w:after="0" w:line="240" w:lineRule="auto"/>
        <w:rPr>
          <w:rFonts w:ascii="Times New Roman" w:hAnsi="Times New Roman" w:cs="Times New Roman"/>
          <w:bCs/>
          <w:sz w:val="24"/>
          <w:szCs w:val="24"/>
        </w:rPr>
      </w:pPr>
    </w:p>
    <w:p w14:paraId="135EC912" w14:textId="77777777" w:rsidR="00157B21" w:rsidRDefault="00F54943">
      <w:pPr>
        <w:spacing w:after="0" w:line="240" w:lineRule="auto"/>
        <w:rPr>
          <w:rFonts w:cstheme="minorHAnsi"/>
          <w:b/>
          <w:sz w:val="24"/>
          <w:szCs w:val="24"/>
        </w:rPr>
      </w:pPr>
      <w:r>
        <w:rPr>
          <w:rFonts w:ascii="Times New Roman" w:hAnsi="Times New Roman" w:cs="Times New Roman"/>
          <w:bCs/>
          <w:noProof/>
          <w:sz w:val="24"/>
          <w:szCs w:val="24"/>
          <w:lang w:eastAsia="fr-FR"/>
        </w:rPr>
        <w:lastRenderedPageBreak/>
        <w:drawing>
          <wp:inline distT="0" distB="0" distL="0" distR="0" wp14:anchorId="26D36B66" wp14:editId="17CBF9E1">
            <wp:extent cx="2581275" cy="2819400"/>
            <wp:effectExtent l="0" t="0" r="952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a:picLocks noChangeAspect="1"/>
                    </pic:cNvPicPr>
                  </pic:nvPicPr>
                  <pic:blipFill>
                    <a:blip r:embed="rId13">
                      <a:extLst>
                        <a:ext uri="{28A0092B-C50C-407E-A947-70E740481C1C}">
                          <a14:useLocalDpi xmlns:a14="http://schemas.microsoft.com/office/drawing/2010/main" val="0"/>
                        </a:ext>
                      </a:extLst>
                    </a:blip>
                    <a:srcRect l="9327" t="29082" r="24421"/>
                    <a:stretch>
                      <a:fillRect/>
                    </a:stretch>
                  </pic:blipFill>
                  <pic:spPr>
                    <a:xfrm rot="10800000" flipH="1">
                      <a:off x="0" y="0"/>
                      <a:ext cx="1763539601" cy="1926227756"/>
                    </a:xfrm>
                    <a:prstGeom prst="rect">
                      <a:avLst/>
                    </a:prstGeom>
                    <a:ln>
                      <a:noFill/>
                    </a:ln>
                  </pic:spPr>
                </pic:pic>
              </a:graphicData>
            </a:graphic>
          </wp:inline>
        </w:drawing>
      </w:r>
      <w:r>
        <w:rPr>
          <w:rFonts w:ascii="Times New Roman" w:hAnsi="Times New Roman" w:cs="Times New Roman"/>
          <w:bCs/>
          <w:sz w:val="24"/>
          <w:szCs w:val="24"/>
        </w:rPr>
        <w:t xml:space="preserve"> </w:t>
      </w:r>
      <w:r>
        <w:rPr>
          <w:rFonts w:cstheme="minorHAnsi"/>
          <w:b/>
          <w:sz w:val="24"/>
          <w:szCs w:val="24"/>
        </w:rPr>
        <w:t>A</w:t>
      </w:r>
      <w:r>
        <w:rPr>
          <w:rFonts w:ascii="Times New Roman" w:hAnsi="Times New Roman" w:cs="Times New Roman"/>
          <w:bCs/>
          <w:sz w:val="24"/>
          <w:szCs w:val="24"/>
        </w:rPr>
        <w:t xml:space="preserve">   </w:t>
      </w:r>
      <w:r>
        <w:rPr>
          <w:rFonts w:ascii="Times New Roman" w:hAnsi="Times New Roman" w:cs="Times New Roman"/>
          <w:bCs/>
          <w:noProof/>
          <w:sz w:val="24"/>
          <w:szCs w:val="24"/>
          <w:lang w:eastAsia="fr-FR"/>
        </w:rPr>
        <w:drawing>
          <wp:inline distT="0" distB="0" distL="0" distR="0" wp14:anchorId="073DEDB4" wp14:editId="6DD4D85F">
            <wp:extent cx="2483485" cy="2780030"/>
            <wp:effectExtent l="0" t="0" r="0" b="127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a:picLocks noChangeAspect="1"/>
                    </pic:cNvPicPr>
                  </pic:nvPicPr>
                  <pic:blipFill>
                    <a:blip r:embed="rId14" cstate="print">
                      <a:extLst>
                        <a:ext uri="{28A0092B-C50C-407E-A947-70E740481C1C}">
                          <a14:useLocalDpi xmlns:a14="http://schemas.microsoft.com/office/drawing/2010/main" val="0"/>
                        </a:ext>
                      </a:extLst>
                    </a:blip>
                    <a:srcRect l="44975" t="28377" r="20309" b="31597"/>
                    <a:stretch>
                      <a:fillRect/>
                    </a:stretch>
                  </pic:blipFill>
                  <pic:spPr>
                    <a:xfrm>
                      <a:off x="0" y="0"/>
                      <a:ext cx="2490505" cy="2788080"/>
                    </a:xfrm>
                    <a:prstGeom prst="rect">
                      <a:avLst/>
                    </a:prstGeom>
                    <a:ln>
                      <a:noFill/>
                    </a:ln>
                  </pic:spPr>
                </pic:pic>
              </a:graphicData>
            </a:graphic>
          </wp:inline>
        </w:drawing>
      </w:r>
      <w:r>
        <w:rPr>
          <w:rFonts w:ascii="Times New Roman" w:hAnsi="Times New Roman" w:cs="Times New Roman"/>
          <w:bCs/>
          <w:sz w:val="24"/>
          <w:szCs w:val="24"/>
        </w:rPr>
        <w:t xml:space="preserve"> </w:t>
      </w:r>
      <w:r>
        <w:rPr>
          <w:rFonts w:cstheme="minorHAnsi"/>
          <w:b/>
          <w:sz w:val="24"/>
          <w:szCs w:val="24"/>
        </w:rPr>
        <w:t>B</w:t>
      </w:r>
    </w:p>
    <w:p w14:paraId="36546279" w14:textId="77777777" w:rsidR="00157B21" w:rsidRDefault="00F54943">
      <w:pPr>
        <w:spacing w:after="0" w:line="240" w:lineRule="auto"/>
        <w:rPr>
          <w:rFonts w:ascii="Times New Roman" w:hAnsi="Times New Roman" w:cs="Times New Roman"/>
          <w:bCs/>
          <w:sz w:val="24"/>
          <w:szCs w:val="24"/>
        </w:rPr>
      </w:pPr>
      <w:r>
        <w:rPr>
          <w:rFonts w:ascii="Times New Roman" w:hAnsi="Times New Roman" w:cs="Times New Roman"/>
          <w:bCs/>
          <w:noProof/>
          <w:sz w:val="24"/>
          <w:szCs w:val="24"/>
          <w:lang w:eastAsia="fr-FR"/>
        </w:rPr>
        <mc:AlternateContent>
          <mc:Choice Requires="wps">
            <w:drawing>
              <wp:anchor distT="45720" distB="45720" distL="114300" distR="114300" simplePos="0" relativeHeight="251654144" behindDoc="0" locked="0" layoutInCell="1" allowOverlap="1" wp14:anchorId="197DA761" wp14:editId="048AF940">
                <wp:simplePos x="0" y="0"/>
                <wp:positionH relativeFrom="column">
                  <wp:posOffset>2853055</wp:posOffset>
                </wp:positionH>
                <wp:positionV relativeFrom="paragraph">
                  <wp:posOffset>269240</wp:posOffset>
                </wp:positionV>
                <wp:extent cx="2464435" cy="2809875"/>
                <wp:effectExtent l="0" t="0" r="12065" b="28575"/>
                <wp:wrapSquare wrapText="bothSides"/>
                <wp:docPr id="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4435" cy="2809875"/>
                        </a:xfrm>
                        <a:prstGeom prst="rect">
                          <a:avLst/>
                        </a:prstGeom>
                        <a:solidFill>
                          <a:srgbClr val="FFFFFF"/>
                        </a:solidFill>
                        <a:ln w="9525">
                          <a:solidFill>
                            <a:srgbClr val="000000"/>
                          </a:solidFill>
                          <a:miter lim="800000"/>
                        </a:ln>
                      </wps:spPr>
                      <wps:txbx>
                        <w:txbxContent>
                          <w:p w14:paraId="7AF90B92" w14:textId="77777777" w:rsidR="00D77632" w:rsidRPr="00D77632" w:rsidRDefault="00F54943" w:rsidP="00D77632">
                            <w:pPr>
                              <w:spacing w:after="0" w:line="240" w:lineRule="auto"/>
                              <w:rPr>
                                <w:rFonts w:cstheme="minorHAnsi"/>
                                <w:sz w:val="24"/>
                                <w:szCs w:val="24"/>
                                <w:lang w:val="en"/>
                              </w:rPr>
                            </w:pPr>
                            <w:r>
                              <w:rPr>
                                <w:rFonts w:asciiTheme="majorBidi" w:hAnsiTheme="majorBidi" w:cstheme="majorBidi"/>
                                <w:b/>
                                <w:bCs/>
                                <w:sz w:val="28"/>
                                <w:szCs w:val="28"/>
                                <w:u w:val="single"/>
                              </w:rPr>
                              <w:t>Figure 3 :</w:t>
                            </w:r>
                            <w:r w:rsidR="00D77632" w:rsidRPr="00D77632">
                              <w:rPr>
                                <w:rFonts w:ascii="inherit" w:eastAsia="Times New Roman" w:hAnsi="inherit" w:cs="Courier New"/>
                                <w:color w:val="1F1F1F"/>
                                <w:sz w:val="42"/>
                                <w:szCs w:val="42"/>
                                <w:lang w:val="en" w:eastAsia="fr-FR"/>
                              </w:rPr>
                              <w:t xml:space="preserve"> </w:t>
                            </w:r>
                            <w:r w:rsidR="00D77632" w:rsidRPr="00D77632">
                              <w:rPr>
                                <w:rFonts w:cstheme="minorHAnsi"/>
                                <w:sz w:val="24"/>
                                <w:szCs w:val="24"/>
                                <w:lang w:val="en"/>
                              </w:rPr>
                              <w:t xml:space="preserve">Intraoperative images of the fistulization of a necrotic stream through the wall of the transverse </w:t>
                            </w:r>
                            <w:proofErr w:type="gramStart"/>
                            <w:r w:rsidR="00D77632" w:rsidRPr="00D77632">
                              <w:rPr>
                                <w:rFonts w:cstheme="minorHAnsi"/>
                                <w:sz w:val="24"/>
                                <w:szCs w:val="24"/>
                                <w:lang w:val="en"/>
                              </w:rPr>
                              <w:t>colon:</w:t>
                            </w:r>
                            <w:proofErr w:type="gramEnd"/>
                          </w:p>
                          <w:p w14:paraId="3F3DC98A" w14:textId="77777777" w:rsidR="00D77632" w:rsidRPr="00D77632" w:rsidRDefault="00D77632" w:rsidP="00D77632">
                            <w:pPr>
                              <w:spacing w:after="0" w:line="240" w:lineRule="auto"/>
                              <w:rPr>
                                <w:rFonts w:cstheme="minorHAnsi"/>
                                <w:sz w:val="24"/>
                                <w:szCs w:val="24"/>
                                <w:lang w:val="en"/>
                              </w:rPr>
                            </w:pPr>
                            <w:r w:rsidRPr="00D77632">
                              <w:rPr>
                                <w:rFonts w:cstheme="minorHAnsi"/>
                                <w:b/>
                                <w:bCs/>
                                <w:sz w:val="24"/>
                                <w:szCs w:val="24"/>
                                <w:lang w:val="en"/>
                              </w:rPr>
                              <w:t>A:</w:t>
                            </w:r>
                            <w:r w:rsidRPr="00D77632">
                              <w:rPr>
                                <w:rFonts w:cstheme="minorHAnsi"/>
                                <w:sz w:val="24"/>
                                <w:szCs w:val="24"/>
                                <w:lang w:val="en"/>
                              </w:rPr>
                              <w:t xml:space="preserve"> Appearance upon opening the wall.</w:t>
                            </w:r>
                          </w:p>
                          <w:p w14:paraId="40698362" w14:textId="77777777" w:rsidR="00D77632" w:rsidRPr="00D77632" w:rsidRDefault="00D77632" w:rsidP="00D77632">
                            <w:pPr>
                              <w:spacing w:after="0" w:line="240" w:lineRule="auto"/>
                              <w:rPr>
                                <w:rFonts w:cstheme="minorHAnsi"/>
                                <w:sz w:val="24"/>
                                <w:szCs w:val="24"/>
                                <w:lang w:val="en"/>
                              </w:rPr>
                            </w:pPr>
                            <w:r w:rsidRPr="00D77632">
                              <w:rPr>
                                <w:rFonts w:cstheme="minorHAnsi"/>
                                <w:b/>
                                <w:bCs/>
                                <w:sz w:val="24"/>
                                <w:szCs w:val="24"/>
                                <w:lang w:val="en"/>
                              </w:rPr>
                              <w:t>B:</w:t>
                            </w:r>
                            <w:r w:rsidRPr="00D77632">
                              <w:rPr>
                                <w:rFonts w:cstheme="minorHAnsi"/>
                                <w:sz w:val="24"/>
                                <w:szCs w:val="24"/>
                                <w:lang w:val="en"/>
                              </w:rPr>
                              <w:t xml:space="preserve"> The extracted necrotic stream.</w:t>
                            </w:r>
                          </w:p>
                          <w:p w14:paraId="2AE20EAF" w14:textId="77777777" w:rsidR="00D77632" w:rsidRPr="00D77632" w:rsidRDefault="00D77632" w:rsidP="00D77632">
                            <w:pPr>
                              <w:spacing w:after="0" w:line="240" w:lineRule="auto"/>
                              <w:rPr>
                                <w:rFonts w:cstheme="minorHAnsi"/>
                                <w:sz w:val="24"/>
                                <w:szCs w:val="24"/>
                              </w:rPr>
                            </w:pPr>
                            <w:r w:rsidRPr="00D77632">
                              <w:rPr>
                                <w:rFonts w:cstheme="minorHAnsi"/>
                                <w:b/>
                                <w:bCs/>
                                <w:sz w:val="24"/>
                                <w:szCs w:val="24"/>
                                <w:lang w:val="en"/>
                              </w:rPr>
                              <w:t>C:</w:t>
                            </w:r>
                            <w:r w:rsidRPr="00D77632">
                              <w:rPr>
                                <w:rFonts w:cstheme="minorHAnsi"/>
                                <w:sz w:val="24"/>
                                <w:szCs w:val="24"/>
                                <w:lang w:val="en"/>
                              </w:rPr>
                              <w:t xml:space="preserve"> Revelation of the colonic perforation: liver (triangle), stomach (star), transverse colon (arrowhead), perforation of the posterior wall of the transverse colon communicating with the head of the pancreas, site of necrosis (arrow).</w:t>
                            </w:r>
                          </w:p>
                          <w:p w14:paraId="3D5A1F60" w14:textId="77777777" w:rsidR="00157B21" w:rsidRPr="00D77632" w:rsidRDefault="00157B21" w:rsidP="00D77632">
                            <w:pPr>
                              <w:spacing w:after="0" w:line="240" w:lineRule="auto"/>
                              <w:rPr>
                                <w:rFonts w:cstheme="minorHAnsi"/>
                                <w:sz w:val="24"/>
                                <w:szCs w:val="24"/>
                              </w:rPr>
                            </w:pPr>
                          </w:p>
                        </w:txbxContent>
                      </wps:txbx>
                      <wps:bodyPr rot="0" vert="horz" wrap="square" lIns="91440" tIns="45720" rIns="91440" bIns="45720" anchor="t" anchorCtr="0">
                        <a:noAutofit/>
                      </wps:bodyPr>
                    </wps:wsp>
                  </a:graphicData>
                </a:graphic>
              </wp:anchor>
            </w:drawing>
          </mc:Choice>
          <mc:Fallback>
            <w:pict>
              <v:shape w14:anchorId="197DA761" id="_x0000_s1028" type="#_x0000_t202" style="position:absolute;margin-left:224.65pt;margin-top:21.2pt;width:194.05pt;height:221.25pt;z-index:25165414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">
                <v:textbox>
                  <w:txbxContent>
                    <w:p w14:paraId="7AF90B92" w14:textId="77777777" w:rsidR="00D77632" w:rsidRPr="00D77632" w:rsidRDefault="00F54943" w:rsidP="00D77632">
                      <w:pPr>
                        <w:spacing w:after="0" w:line="240" w:lineRule="auto"/>
                        <w:rPr>
                          <w:rFonts w:cstheme="minorHAnsi"/>
                          <w:sz w:val="24"/>
                          <w:szCs w:val="24"/>
                          <w:lang w:val="en"/>
                        </w:rPr>
                      </w:pPr>
                      <w:r>
                        <w:rPr>
                          <w:rFonts w:asciiTheme="majorBidi" w:hAnsiTheme="majorBidi" w:cstheme="majorBidi"/>
                          <w:b/>
                          <w:bCs/>
                          <w:sz w:val="28"/>
                          <w:szCs w:val="28"/>
                          <w:u w:val="single"/>
                        </w:rPr>
                        <w:t>Figure 3 :</w:t>
                      </w:r>
                      <w:r w:rsidR="00D77632" w:rsidRPr="00D77632">
                        <w:rPr>
                          <w:rFonts w:ascii="inherit" w:eastAsia="Times New Roman" w:hAnsi="inherit" w:cs="Courier New"/>
                          <w:color w:val="1F1F1F"/>
                          <w:sz w:val="42"/>
                          <w:szCs w:val="42"/>
                          <w:lang w:val="en" w:eastAsia="fr-FR"/>
                        </w:rPr>
                        <w:t xml:space="preserve"> </w:t>
                      </w:r>
                      <w:r w:rsidR="00D77632" w:rsidRPr="00D77632">
                        <w:rPr>
                          <w:rFonts w:cstheme="minorHAnsi"/>
                          <w:sz w:val="24"/>
                          <w:szCs w:val="24"/>
                          <w:lang w:val="en"/>
                        </w:rPr>
                        <w:t xml:space="preserve">Intraoperative images of the fistulization of a necrotic stream through the wall of the transverse </w:t>
                      </w:r>
                      <w:proofErr w:type="gramStart"/>
                      <w:r w:rsidR="00D77632" w:rsidRPr="00D77632">
                        <w:rPr>
                          <w:rFonts w:cstheme="minorHAnsi"/>
                          <w:sz w:val="24"/>
                          <w:szCs w:val="24"/>
                          <w:lang w:val="en"/>
                        </w:rPr>
                        <w:t>colon:</w:t>
                      </w:r>
                      <w:proofErr w:type="gramEnd"/>
                    </w:p>
                    <w:p w14:paraId="3F3DC98A" w14:textId="77777777" w:rsidR="00D77632" w:rsidRPr="00D77632" w:rsidRDefault="00D77632" w:rsidP="00D77632">
                      <w:pPr>
                        <w:spacing w:after="0" w:line="240" w:lineRule="auto"/>
                        <w:rPr>
                          <w:rFonts w:cstheme="minorHAnsi"/>
                          <w:sz w:val="24"/>
                          <w:szCs w:val="24"/>
                          <w:lang w:val="en"/>
                        </w:rPr>
                      </w:pPr>
                      <w:r w:rsidRPr="00D77632">
                        <w:rPr>
                          <w:rFonts w:cstheme="minorHAnsi"/>
                          <w:b/>
                          <w:bCs/>
                          <w:sz w:val="24"/>
                          <w:szCs w:val="24"/>
                          <w:lang w:val="en"/>
                        </w:rPr>
                        <w:t>A:</w:t>
                      </w:r>
                      <w:r w:rsidRPr="00D77632">
                        <w:rPr>
                          <w:rFonts w:cstheme="minorHAnsi"/>
                          <w:sz w:val="24"/>
                          <w:szCs w:val="24"/>
                          <w:lang w:val="en"/>
                        </w:rPr>
                        <w:t xml:space="preserve"> Appearance upon opening the wall.</w:t>
                      </w:r>
                    </w:p>
                    <w:p w14:paraId="40698362" w14:textId="77777777" w:rsidR="00D77632" w:rsidRPr="00D77632" w:rsidRDefault="00D77632" w:rsidP="00D77632">
                      <w:pPr>
                        <w:spacing w:after="0" w:line="240" w:lineRule="auto"/>
                        <w:rPr>
                          <w:rFonts w:cstheme="minorHAnsi"/>
                          <w:sz w:val="24"/>
                          <w:szCs w:val="24"/>
                          <w:lang w:val="en"/>
                        </w:rPr>
                      </w:pPr>
                      <w:r w:rsidRPr="00D77632">
                        <w:rPr>
                          <w:rFonts w:cstheme="minorHAnsi"/>
                          <w:b/>
                          <w:bCs/>
                          <w:sz w:val="24"/>
                          <w:szCs w:val="24"/>
                          <w:lang w:val="en"/>
                        </w:rPr>
                        <w:t>B:</w:t>
                      </w:r>
                      <w:r w:rsidRPr="00D77632">
                        <w:rPr>
                          <w:rFonts w:cstheme="minorHAnsi"/>
                          <w:sz w:val="24"/>
                          <w:szCs w:val="24"/>
                          <w:lang w:val="en"/>
                        </w:rPr>
                        <w:t xml:space="preserve"> The extracted necrotic stream.</w:t>
                      </w:r>
                    </w:p>
                    <w:p w14:paraId="2AE20EAF" w14:textId="77777777" w:rsidR="00D77632" w:rsidRPr="00D77632" w:rsidRDefault="00D77632" w:rsidP="00D77632">
                      <w:pPr>
                        <w:spacing w:after="0" w:line="240" w:lineRule="auto"/>
                        <w:rPr>
                          <w:rFonts w:cstheme="minorHAnsi"/>
                          <w:sz w:val="24"/>
                          <w:szCs w:val="24"/>
                        </w:rPr>
                      </w:pPr>
                      <w:r w:rsidRPr="00D77632">
                        <w:rPr>
                          <w:rFonts w:cstheme="minorHAnsi"/>
                          <w:b/>
                          <w:bCs/>
                          <w:sz w:val="24"/>
                          <w:szCs w:val="24"/>
                          <w:lang w:val="en"/>
                        </w:rPr>
                        <w:t>C:</w:t>
                      </w:r>
                      <w:r w:rsidRPr="00D77632">
                        <w:rPr>
                          <w:rFonts w:cstheme="minorHAnsi"/>
                          <w:sz w:val="24"/>
                          <w:szCs w:val="24"/>
                          <w:lang w:val="en"/>
                        </w:rPr>
                        <w:t xml:space="preserve"> Revelation of the colonic perforation: liver (triangle), stomach (star), transverse colon (arrowhead), perforation of the posterior wall of the transverse colon communicating with the head of the pancreas, site of necrosis (arrow).</w:t>
                      </w:r>
                    </w:p>
                    <w:p w14:paraId="3D5A1F60" w14:textId="77777777" w:rsidR="00157B21" w:rsidRPr="00D77632" w:rsidRDefault="00157B21" w:rsidP="00D77632">
                      <w:pPr>
                        <w:spacing w:after="0" w:line="240" w:lineRule="auto"/>
                        <w:rPr>
                          <w:rFonts w:cstheme="minorHAnsi"/>
                          <w:sz w:val="24"/>
                          <w:szCs w:val="24"/>
                        </w:rPr>
                      </w:pPr>
                    </w:p>
                  </w:txbxContent>
                </v:textbox>
                <w10:wrap type="square"/>
              </v:shape>
            </w:pict>
          </mc:Fallback>
        </mc:AlternateContent>
      </w:r>
      <w:r>
        <w:rPr>
          <w:rFonts w:ascii="Times New Roman" w:hAnsi="Times New Roman" w:cs="Times New Roman"/>
          <w:bCs/>
          <w:noProof/>
          <w:sz w:val="24"/>
          <w:szCs w:val="24"/>
          <w:lang w:eastAsia="fr-FR"/>
        </w:rPr>
        <mc:AlternateContent>
          <mc:Choice Requires="wps">
            <w:drawing>
              <wp:anchor distT="0" distB="0" distL="114300" distR="114300" simplePos="0" relativeHeight="251659264" behindDoc="0" locked="0" layoutInCell="1" allowOverlap="1" wp14:anchorId="6288CAE3" wp14:editId="34DC60F9">
                <wp:simplePos x="0" y="0"/>
                <wp:positionH relativeFrom="column">
                  <wp:posOffset>443230</wp:posOffset>
                </wp:positionH>
                <wp:positionV relativeFrom="paragraph">
                  <wp:posOffset>1859915</wp:posOffset>
                </wp:positionV>
                <wp:extent cx="619125" cy="200025"/>
                <wp:effectExtent l="57150" t="38100" r="47625" b="104775"/>
                <wp:wrapNone/>
                <wp:docPr id="11" name="Connecteur droit avec flèche 11"/>
                <wp:cNvGraphicFramePr/>
                <a:graphic xmlns:a="http://schemas.openxmlformats.org/drawingml/2006/main">
                  <a:graphicData uri="http://schemas.microsoft.com/office/word/2010/wordprocessingShape">
                    <wps:wsp>
                      <wps:cNvCnPr/>
                      <wps:spPr>
                        <a:xfrm>
                          <a:off x="0" y="0"/>
                          <a:ext cx="619125" cy="200025"/>
                        </a:xfrm>
                        <a:prstGeom prst="straightConnector1">
                          <a:avLst/>
                        </a:prstGeom>
                        <a:ln>
                          <a:solidFill>
                            <a:srgbClr val="FFFF00"/>
                          </a:solidFill>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74585440" id="_x0000_t32" coordsize="21600,21600" o:spt="32" o:oned="t" path="m,l21600,21600e" filled="f">
                <v:path arrowok="t" fillok="f" o:connecttype="none"/>
                <o:lock v:ext="edit" shapetype="t"/>
              </v:shapetype>
              <v:shape id="Connecteur droit avec flèche 11" o:spid="_x0000_s1026" type="#_x0000_t32" style="position:absolute;margin-left:34.9pt;margin-top:146.45pt;width:48.75pt;height:15.75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" strokecolor="yellow" strokeweight="3pt">
                <v:stroke endarrow="block"/>
                <v:shadow on="t" color="black" opacity="22937f" origin=",.5" offset="0,.63889mm"/>
              </v:shape>
            </w:pict>
          </mc:Fallback>
        </mc:AlternateContent>
      </w:r>
      <w:r>
        <w:rPr>
          <w:rFonts w:ascii="Times New Roman" w:hAnsi="Times New Roman" w:cs="Times New Roman"/>
          <w:bCs/>
          <w:noProof/>
          <w:sz w:val="24"/>
          <w:szCs w:val="24"/>
          <w:lang w:eastAsia="fr-FR"/>
        </w:rPr>
        <mc:AlternateContent>
          <mc:Choice Requires="wps">
            <w:drawing>
              <wp:anchor distT="0" distB="0" distL="114300" distR="114300" simplePos="0" relativeHeight="251658240" behindDoc="0" locked="0" layoutInCell="1" allowOverlap="1" wp14:anchorId="058109A0" wp14:editId="425AF872">
                <wp:simplePos x="0" y="0"/>
                <wp:positionH relativeFrom="column">
                  <wp:posOffset>1176655</wp:posOffset>
                </wp:positionH>
                <wp:positionV relativeFrom="paragraph">
                  <wp:posOffset>1336040</wp:posOffset>
                </wp:positionV>
                <wp:extent cx="114300" cy="85725"/>
                <wp:effectExtent l="0" t="19050" r="38100" b="47625"/>
                <wp:wrapNone/>
                <wp:docPr id="10" name="Flèche droite 10"/>
                <wp:cNvGraphicFramePr/>
                <a:graphic xmlns:a="http://schemas.openxmlformats.org/drawingml/2006/main">
                  <a:graphicData uri="http://schemas.microsoft.com/office/word/2010/wordprocessingShape">
                    <wps:wsp>
                      <wps:cNvSpPr/>
                      <wps:spPr>
                        <a:xfrm>
                          <a:off x="0" y="0"/>
                          <a:ext cx="114300" cy="85725"/>
                        </a:xfrm>
                        <a:prstGeom prst="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3249926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10" o:spid="_x0000_s1026" type="#_x0000_t13" style="position:absolute;margin-left:92.65pt;margin-top:105.2pt;width:9pt;height:6.7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" adj="13500" fillcolor="yellow" strokecolor="yellow" strokeweight="2pt"/>
            </w:pict>
          </mc:Fallback>
        </mc:AlternateContent>
      </w:r>
      <w:r>
        <w:rPr>
          <w:rFonts w:ascii="Times New Roman" w:hAnsi="Times New Roman" w:cs="Times New Roman"/>
          <w:bCs/>
          <w:noProof/>
          <w:sz w:val="24"/>
          <w:szCs w:val="24"/>
          <w:lang w:eastAsia="fr-FR"/>
        </w:rPr>
        <mc:AlternateContent>
          <mc:Choice Requires="wps">
            <w:drawing>
              <wp:anchor distT="0" distB="0" distL="114300" distR="114300" simplePos="0" relativeHeight="251657216" behindDoc="0" locked="0" layoutInCell="1" allowOverlap="1" wp14:anchorId="36FA0588" wp14:editId="30B2FD43">
                <wp:simplePos x="0" y="0"/>
                <wp:positionH relativeFrom="column">
                  <wp:posOffset>1681480</wp:posOffset>
                </wp:positionH>
                <wp:positionV relativeFrom="paragraph">
                  <wp:posOffset>955040</wp:posOffset>
                </wp:positionV>
                <wp:extent cx="95250" cy="85725"/>
                <wp:effectExtent l="19050" t="38100" r="38100" b="47625"/>
                <wp:wrapNone/>
                <wp:docPr id="9" name="Étoile à 5 branches 9"/>
                <wp:cNvGraphicFramePr/>
                <a:graphic xmlns:a="http://schemas.openxmlformats.org/drawingml/2006/main">
                  <a:graphicData uri="http://schemas.microsoft.com/office/word/2010/wordprocessingShape">
                    <wps:wsp>
                      <wps:cNvSpPr/>
                      <wps:spPr>
                        <a:xfrm>
                          <a:off x="0" y="0"/>
                          <a:ext cx="95250" cy="85725"/>
                        </a:xfrm>
                        <a:prstGeom prst="star5">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62DEB36A" id="Étoile à 5 branches 9" o:spid="_x0000_s1026" style="position:absolute;margin-left:132.4pt;margin-top:75.2pt;width:7.5pt;height:6.75pt;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95250,85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" path="m,32744r36382,l47625,,58868,32744r36382,l65816,52981,77059,85725,47625,65488,18191,85725,29434,52981,,32744xe" fillcolor="yellow" strokecolor="yellow" strokeweight="2pt">
                <v:path arrowok="t" o:connecttype="custom" o:connectlocs="0,32744;36382,32744;47625,0;58868,32744;95250,32744;65816,52981;77059,85725;47625,65488;18191,85725;29434,52981;0,32744" o:connectangles="0,0,0,0,0,0,0,0,0,0,0"/>
              </v:shape>
            </w:pict>
          </mc:Fallback>
        </mc:AlternateContent>
      </w:r>
      <w:r>
        <w:rPr>
          <w:rFonts w:ascii="Times New Roman" w:hAnsi="Times New Roman" w:cs="Times New Roman"/>
          <w:bCs/>
          <w:noProof/>
          <w:sz w:val="24"/>
          <w:szCs w:val="24"/>
          <w:lang w:eastAsia="fr-FR"/>
        </w:rPr>
        <mc:AlternateContent>
          <mc:Choice Requires="wps">
            <w:drawing>
              <wp:anchor distT="0" distB="0" distL="114300" distR="114300" simplePos="0" relativeHeight="251656192" behindDoc="0" locked="0" layoutInCell="1" allowOverlap="1" wp14:anchorId="5DAAB86C" wp14:editId="7971F334">
                <wp:simplePos x="0" y="0"/>
                <wp:positionH relativeFrom="column">
                  <wp:posOffset>1195705</wp:posOffset>
                </wp:positionH>
                <wp:positionV relativeFrom="paragraph">
                  <wp:posOffset>678815</wp:posOffset>
                </wp:positionV>
                <wp:extent cx="114300" cy="114300"/>
                <wp:effectExtent l="0" t="0" r="19050" b="19050"/>
                <wp:wrapNone/>
                <wp:docPr id="7" name="Triangle isocèle 7"/>
                <wp:cNvGraphicFramePr/>
                <a:graphic xmlns:a="http://schemas.openxmlformats.org/drawingml/2006/main">
                  <a:graphicData uri="http://schemas.microsoft.com/office/word/2010/wordprocessingShape">
                    <wps:wsp>
                      <wps:cNvSpPr/>
                      <wps:spPr>
                        <a:xfrm>
                          <a:off x="0" y="0"/>
                          <a:ext cx="114300" cy="114300"/>
                        </a:xfrm>
                        <a:prstGeom prst="triangle">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684464D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7" o:spid="_x0000_s1026" type="#_x0000_t5" style="position:absolute;margin-left:94.15pt;margin-top:53.45pt;width:9pt;height:9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" fillcolor="yellow" strokecolor="yellow" strokeweight="2pt"/>
            </w:pict>
          </mc:Fallback>
        </mc:AlternateContent>
      </w:r>
      <w:r>
        <w:rPr>
          <w:rFonts w:ascii="Times New Roman" w:hAnsi="Times New Roman" w:cs="Times New Roman"/>
          <w:bCs/>
          <w:noProof/>
          <w:sz w:val="24"/>
          <w:szCs w:val="24"/>
          <w:lang w:eastAsia="fr-FR"/>
        </w:rPr>
        <w:drawing>
          <wp:inline distT="0" distB="0" distL="0" distR="0" wp14:anchorId="238C0848" wp14:editId="4E266555">
            <wp:extent cx="3288665" cy="2548255"/>
            <wp:effectExtent l="8255"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pic:cNvPicPr>
                  </pic:nvPicPr>
                  <pic:blipFill>
                    <a:blip r:embed="rId15" cstate="print">
                      <a:extLst>
                        <a:ext uri="{28A0092B-C50C-407E-A947-70E740481C1C}">
                          <a14:useLocalDpi xmlns:a14="http://schemas.microsoft.com/office/drawing/2010/main" val="0"/>
                        </a:ext>
                      </a:extLst>
                    </a:blip>
                    <a:srcRect l="7577" t="25643" r="-236" b="43"/>
                    <a:stretch>
                      <a:fillRect/>
                    </a:stretch>
                  </pic:blipFill>
                  <pic:spPr>
                    <a:xfrm rot="5400000">
                      <a:off x="0" y="0"/>
                      <a:ext cx="3294127" cy="2552673"/>
                    </a:xfrm>
                    <a:prstGeom prst="rect">
                      <a:avLst/>
                    </a:prstGeom>
                    <a:ln>
                      <a:noFill/>
                    </a:ln>
                  </pic:spPr>
                </pic:pic>
              </a:graphicData>
            </a:graphic>
          </wp:inline>
        </w:drawing>
      </w:r>
      <w:r>
        <w:rPr>
          <w:rFonts w:ascii="Times New Roman" w:hAnsi="Times New Roman" w:cs="Times New Roman"/>
          <w:bCs/>
          <w:sz w:val="24"/>
          <w:szCs w:val="24"/>
        </w:rPr>
        <w:t xml:space="preserve"> </w:t>
      </w:r>
      <w:r>
        <w:rPr>
          <w:rFonts w:cstheme="minorHAnsi"/>
          <w:b/>
          <w:sz w:val="24"/>
          <w:szCs w:val="24"/>
        </w:rPr>
        <w:t>C</w:t>
      </w:r>
    </w:p>
    <w:p w14:paraId="5E5298DE" w14:textId="77777777" w:rsidR="00157B21" w:rsidRDefault="00F54943">
      <w:pPr>
        <w:rPr>
          <w:rFonts w:ascii="Times New Roman" w:hAnsi="Times New Roman" w:cs="Times New Roman"/>
          <w:bCs/>
          <w:sz w:val="24"/>
          <w:szCs w:val="24"/>
        </w:rPr>
      </w:pPr>
      <w:r>
        <w:rPr>
          <w:rFonts w:ascii="Times New Roman" w:hAnsi="Times New Roman" w:cs="Times New Roman"/>
          <w:bCs/>
          <w:sz w:val="24"/>
          <w:szCs w:val="24"/>
          <w:lang w:eastAsia="fr-FR"/>
        </w:rPr>
        <w:t xml:space="preserve">         </w:t>
      </w:r>
      <w:r>
        <w:rPr>
          <w:rFonts w:ascii="Times New Roman" w:eastAsia="Times New Roman" w:hAnsi="Times New Roman" w:cs="Times New Roman"/>
          <w:snapToGrid w:val="0"/>
          <w:color w:val="000000"/>
          <w:w w:val="0"/>
          <w:sz w:val="0"/>
          <w:szCs w:val="0"/>
          <w:u w:color="000000"/>
          <w:shd w:val="clear" w:color="000000" w:fill="000000"/>
          <w:lang w:val="zh-CN" w:eastAsia="zh-CN" w:bidi="zh-CN"/>
        </w:rPr>
        <w:t xml:space="preserve"> </w:t>
      </w:r>
      <w:r>
        <w:rPr>
          <w:rFonts w:ascii="Times New Roman" w:eastAsia="Times New Roman" w:hAnsi="Times New Roman" w:cs="Times New Roman"/>
          <w:snapToGrid w:val="0"/>
          <w:color w:val="000000"/>
          <w:w w:val="0"/>
          <w:sz w:val="0"/>
          <w:szCs w:val="0"/>
          <w:u w:color="000000"/>
          <w:shd w:val="clear" w:color="000000" w:fill="000000"/>
          <w:lang w:eastAsia="zh-CN" w:bidi="zh-CN"/>
        </w:rPr>
        <w:t xml:space="preserve">   </w:t>
      </w:r>
      <w:r>
        <w:rPr>
          <w:rFonts w:ascii="Times New Roman" w:hAnsi="Times New Roman" w:cs="Times New Roman"/>
          <w:bCs/>
          <w:sz w:val="24"/>
          <w:szCs w:val="24"/>
          <w:lang w:eastAsia="fr-FR"/>
        </w:rPr>
        <w:t xml:space="preserve">   </w:t>
      </w:r>
    </w:p>
    <w:p w14:paraId="21BF5F7B" w14:textId="77777777" w:rsidR="00157B21" w:rsidRDefault="00F54943">
      <w:pPr>
        <w:rPr>
          <w:rFonts w:ascii="Times New Roman" w:hAnsi="Times New Roman" w:cs="Times New Roman"/>
          <w:b/>
          <w:sz w:val="24"/>
          <w:szCs w:val="24"/>
        </w:rPr>
      </w:pPr>
      <w:r>
        <w:rPr>
          <w:rFonts w:ascii="Times New Roman" w:hAnsi="Times New Roman" w:cs="Times New Roman"/>
          <w:b/>
          <w:sz w:val="24"/>
          <w:szCs w:val="24"/>
        </w:rPr>
        <w:t>II. DISCUSSION</w:t>
      </w:r>
    </w:p>
    <w:p w14:paraId="45BEBB90" w14:textId="77777777" w:rsidR="001839D6" w:rsidRPr="001839D6" w:rsidRDefault="001839D6" w:rsidP="001839D6">
      <w:pPr>
        <w:spacing w:after="0" w:line="240" w:lineRule="auto"/>
        <w:rPr>
          <w:rFonts w:cstheme="minorHAnsi"/>
          <w:bCs/>
          <w:sz w:val="24"/>
          <w:szCs w:val="24"/>
          <w:lang w:val="en"/>
        </w:rPr>
      </w:pPr>
      <w:r w:rsidRPr="001839D6">
        <w:rPr>
          <w:rFonts w:cstheme="minorHAnsi"/>
          <w:bCs/>
          <w:sz w:val="24"/>
          <w:szCs w:val="24"/>
          <w:lang w:val="en"/>
        </w:rPr>
        <w:t>Acute pancreatitis is an acute inflammatory disorder of the pancreatic gland, causing its autodigestion with variable spread to neighboring tissues and distant organs, associated with a significant elevation of pancreatic enzymes in the blood.</w:t>
      </w:r>
    </w:p>
    <w:p w14:paraId="412E60E6" w14:textId="77777777" w:rsidR="001839D6" w:rsidRPr="001839D6" w:rsidRDefault="001839D6" w:rsidP="001839D6">
      <w:pPr>
        <w:spacing w:after="0" w:line="240" w:lineRule="auto"/>
        <w:rPr>
          <w:rFonts w:cstheme="minorHAnsi"/>
          <w:bCs/>
          <w:sz w:val="24"/>
          <w:szCs w:val="24"/>
          <w:lang w:val="en"/>
        </w:rPr>
      </w:pPr>
      <w:r w:rsidRPr="001839D6">
        <w:rPr>
          <w:rFonts w:cstheme="minorHAnsi"/>
          <w:bCs/>
          <w:sz w:val="24"/>
          <w:szCs w:val="24"/>
          <w:lang w:val="en"/>
        </w:rPr>
        <w:t>It can be classified according to its severity according to the 2012 revised Atlanta</w:t>
      </w:r>
      <w:r w:rsidR="002D3A01">
        <w:rPr>
          <w:rStyle w:val="EndnoteReference"/>
          <w:rFonts w:cstheme="minorHAnsi"/>
          <w:bCs/>
          <w:sz w:val="24"/>
          <w:szCs w:val="24"/>
          <w:lang w:val="en"/>
        </w:rPr>
        <w:endnoteReference w:id="4"/>
      </w:r>
      <w:r w:rsidRPr="001839D6">
        <w:rPr>
          <w:rFonts w:cstheme="minorHAnsi"/>
          <w:bCs/>
          <w:sz w:val="24"/>
          <w:szCs w:val="24"/>
          <w:lang w:val="en"/>
        </w:rPr>
        <w:t xml:space="preserve"> classification:</w:t>
      </w:r>
    </w:p>
    <w:p w14:paraId="2B482C60" w14:textId="77777777" w:rsidR="001839D6" w:rsidRPr="001839D6" w:rsidRDefault="001839D6" w:rsidP="001839D6">
      <w:pPr>
        <w:spacing w:after="0" w:line="240" w:lineRule="auto"/>
        <w:rPr>
          <w:rFonts w:cstheme="minorHAnsi"/>
          <w:bCs/>
          <w:sz w:val="24"/>
          <w:szCs w:val="24"/>
          <w:lang w:val="en"/>
        </w:rPr>
      </w:pPr>
      <w:r w:rsidRPr="001839D6">
        <w:rPr>
          <w:rFonts w:cstheme="minorHAnsi"/>
          <w:bCs/>
          <w:sz w:val="24"/>
          <w:szCs w:val="24"/>
          <w:lang w:val="en"/>
        </w:rPr>
        <w:t>1. Mild acute pancreatitis: With no organ failure, local or systemic complications, and/or necrosis</w:t>
      </w:r>
    </w:p>
    <w:p w14:paraId="0ADB2A08" w14:textId="77777777" w:rsidR="001839D6" w:rsidRPr="001839D6" w:rsidRDefault="001839D6" w:rsidP="001839D6">
      <w:pPr>
        <w:spacing w:after="0" w:line="240" w:lineRule="auto"/>
        <w:rPr>
          <w:rFonts w:cstheme="minorHAnsi"/>
          <w:bCs/>
          <w:sz w:val="24"/>
          <w:szCs w:val="24"/>
          <w:lang w:val="en"/>
        </w:rPr>
      </w:pPr>
      <w:r w:rsidRPr="001839D6">
        <w:rPr>
          <w:rFonts w:cstheme="minorHAnsi"/>
          <w:bCs/>
          <w:sz w:val="24"/>
          <w:szCs w:val="24"/>
          <w:lang w:val="en"/>
        </w:rPr>
        <w:t>2. Moderately severe acute pancreatitis: With the presence of rapidly improving organ failure, and/or local complications, and/or systemic complications</w:t>
      </w:r>
    </w:p>
    <w:p w14:paraId="14E82F81" w14:textId="77777777" w:rsidR="001839D6" w:rsidRPr="001839D6" w:rsidRDefault="001839D6" w:rsidP="001839D6">
      <w:pPr>
        <w:rPr>
          <w:rFonts w:cstheme="minorHAnsi"/>
          <w:bCs/>
          <w:sz w:val="24"/>
          <w:szCs w:val="24"/>
        </w:rPr>
      </w:pPr>
      <w:r w:rsidRPr="001839D6">
        <w:rPr>
          <w:rFonts w:cstheme="minorHAnsi"/>
          <w:bCs/>
          <w:sz w:val="24"/>
          <w:szCs w:val="24"/>
          <w:lang w:val="en"/>
        </w:rPr>
        <w:t>3. Severe acute pancreatitis: With persistent organ failure for more than 48 hours.</w:t>
      </w:r>
    </w:p>
    <w:p w14:paraId="2A731CFD" w14:textId="77777777" w:rsidR="001839D6" w:rsidRPr="001839D6" w:rsidRDefault="001839D6" w:rsidP="002910B3">
      <w:pPr>
        <w:rPr>
          <w:rFonts w:cstheme="minorHAnsi"/>
          <w:bCs/>
          <w:sz w:val="24"/>
          <w:szCs w:val="24"/>
        </w:rPr>
      </w:pPr>
      <w:r w:rsidRPr="001839D6">
        <w:rPr>
          <w:rFonts w:cstheme="minorHAnsi"/>
          <w:bCs/>
          <w:sz w:val="24"/>
          <w:szCs w:val="24"/>
          <w:lang w:val="en"/>
        </w:rPr>
        <w:lastRenderedPageBreak/>
        <w:t>In the past, surgery was used to diagnose pancreatitis during autopsies. Indeed, a report dating from 1988 stated that nearly half of pancreatitis cases were diagnosed post-mortem</w:t>
      </w:r>
      <w:r w:rsidR="00881D03">
        <w:rPr>
          <w:rStyle w:val="EndnoteReference"/>
          <w:rFonts w:cstheme="minorHAnsi"/>
          <w:bCs/>
          <w:sz w:val="24"/>
          <w:szCs w:val="24"/>
          <w:lang w:val="en"/>
        </w:rPr>
        <w:endnoteReference w:id="5"/>
      </w:r>
      <w:r w:rsidRPr="001839D6">
        <w:rPr>
          <w:rFonts w:cstheme="minorHAnsi"/>
          <w:bCs/>
          <w:sz w:val="24"/>
          <w:szCs w:val="24"/>
          <w:lang w:val="en"/>
        </w:rPr>
        <w:t>. Before the arrival of CT scans and lipase assays, any surgical abdomen led to an exploratory laparotomy, which then led to the diagnosis of acute pancreatitis due to the presence of pathognomonic lesions of cystosteatonecrosis</w:t>
      </w:r>
      <w:r w:rsidR="002910B3">
        <w:rPr>
          <w:rFonts w:cstheme="minorHAnsi"/>
          <w:bCs/>
          <w:sz w:val="24"/>
          <w:szCs w:val="24"/>
          <w:lang w:val="en"/>
        </w:rPr>
        <w:t xml:space="preserve"> (</w:t>
      </w:r>
      <w:r w:rsidR="002910B3" w:rsidRPr="002910B3">
        <w:rPr>
          <w:rFonts w:cstheme="minorHAnsi"/>
          <w:bCs/>
          <w:sz w:val="24"/>
          <w:szCs w:val="24"/>
        </w:rPr>
        <w:t>fat necrosis caused by pancreatic enzymes</w:t>
      </w:r>
      <w:r w:rsidR="002910B3">
        <w:rPr>
          <w:rFonts w:cstheme="minorHAnsi"/>
          <w:bCs/>
          <w:sz w:val="24"/>
          <w:szCs w:val="24"/>
        </w:rPr>
        <w:t>)</w:t>
      </w:r>
      <w:r w:rsidR="002910B3" w:rsidRPr="002910B3">
        <w:rPr>
          <w:rFonts w:cstheme="minorHAnsi"/>
          <w:bCs/>
          <w:sz w:val="24"/>
          <w:szCs w:val="24"/>
        </w:rPr>
        <w:t>.</w:t>
      </w:r>
      <w:r w:rsidRPr="001839D6">
        <w:rPr>
          <w:rFonts w:cstheme="minorHAnsi"/>
          <w:bCs/>
          <w:sz w:val="24"/>
          <w:szCs w:val="24"/>
          <w:lang w:val="en"/>
        </w:rPr>
        <w:t xml:space="preserve"> Given the survival of some of these patients, the notion of "therapeutic surgery" for acute pancreatitis was born.</w:t>
      </w:r>
    </w:p>
    <w:p w14:paraId="1D2BE76F" w14:textId="77777777" w:rsidR="00157B21" w:rsidRDefault="00F54943">
      <w:pPr>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14:anchorId="320A4A0B" wp14:editId="4FC74B81">
            <wp:extent cx="2877185" cy="1609725"/>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pic:cNvPicPr>
                      <a:picLocks noChangeAspect="1"/>
                    </pic:cNvPicPr>
                  </pic:nvPicPr>
                  <pic:blipFill>
                    <a:blip r:embed="rId16" cstate="print">
                      <a:extLst>
                        <a:ext uri="{28A0092B-C50C-407E-A947-70E740481C1C}">
                          <a14:useLocalDpi xmlns:a14="http://schemas.microsoft.com/office/drawing/2010/main" val="0"/>
                        </a:ext>
                      </a:extLst>
                    </a:blip>
                    <a:srcRect l="5787" t="23589" r="9391" b="13139"/>
                    <a:stretch>
                      <a:fillRect/>
                    </a:stretch>
                  </pic:blipFill>
                  <pic:spPr>
                    <a:xfrm flipH="1">
                      <a:off x="0" y="0"/>
                      <a:ext cx="2504545" cy="1401178"/>
                    </a:xfrm>
                    <a:prstGeom prst="rect">
                      <a:avLst/>
                    </a:prstGeom>
                    <a:ln>
                      <a:noFill/>
                    </a:ln>
                  </pic:spPr>
                </pic:pic>
              </a:graphicData>
            </a:graphic>
          </wp:inline>
        </w:drawing>
      </w:r>
      <w:r>
        <w:rPr>
          <w:rFonts w:ascii="Times New Roman" w:hAnsi="Times New Roman" w:cs="Times New Roman"/>
          <w:b/>
          <w:sz w:val="24"/>
          <w:szCs w:val="24"/>
        </w:rPr>
        <w:t xml:space="preserve"> </w:t>
      </w:r>
      <w:r w:rsidR="00B57AE8">
        <w:rPr>
          <w:rFonts w:ascii="Times New Roman" w:hAnsi="Times New Roman" w:cs="Times New Roman"/>
          <w:b/>
          <w:sz w:val="24"/>
          <w:szCs w:val="24"/>
          <w:lang w:eastAsia="fr-FR"/>
        </w:rPr>
        <w:t xml:space="preserve"> </w:t>
      </w:r>
      <w:r>
        <w:rPr>
          <w:rFonts w:ascii="Times New Roman" w:hAnsi="Times New Roman" w:cs="Times New Roman"/>
          <w:b/>
          <w:sz w:val="24"/>
          <w:szCs w:val="24"/>
          <w:lang w:eastAsia="fr-FR"/>
        </w:rPr>
        <w:t xml:space="preserve"> </w:t>
      </w:r>
      <w:r>
        <w:rPr>
          <w:rFonts w:ascii="Times New Roman" w:hAnsi="Times New Roman" w:cs="Times New Roman"/>
          <w:b/>
          <w:noProof/>
          <w:sz w:val="24"/>
          <w:szCs w:val="24"/>
          <w:lang w:eastAsia="fr-FR"/>
        </w:rPr>
        <w:drawing>
          <wp:inline distT="0" distB="0" distL="0" distR="0" wp14:anchorId="2BA886F4" wp14:editId="7B4E187A">
            <wp:extent cx="2693035" cy="1601832"/>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pic:cNvPicPr>
                      <a:picLocks noChangeAspect="1"/>
                    </pic:cNvPicPr>
                  </pic:nvPicPr>
                  <pic:blipFill>
                    <a:blip r:embed="rId17" cstate="print">
                      <a:extLst>
                        <a:ext uri="{28A0092B-C50C-407E-A947-70E740481C1C}">
                          <a14:useLocalDpi xmlns:a14="http://schemas.microsoft.com/office/drawing/2010/main" val="0"/>
                        </a:ext>
                      </a:extLst>
                    </a:blip>
                    <a:srcRect l="8267" t="16755" r="4431" b="15784"/>
                    <a:stretch>
                      <a:fillRect/>
                    </a:stretch>
                  </pic:blipFill>
                  <pic:spPr>
                    <a:xfrm>
                      <a:off x="0" y="0"/>
                      <a:ext cx="2727393" cy="1622269"/>
                    </a:xfrm>
                    <a:prstGeom prst="rect">
                      <a:avLst/>
                    </a:prstGeom>
                    <a:ln>
                      <a:noFill/>
                    </a:ln>
                  </pic:spPr>
                </pic:pic>
              </a:graphicData>
            </a:graphic>
          </wp:inline>
        </w:drawing>
      </w:r>
      <w:r>
        <w:rPr>
          <w:rFonts w:ascii="Times New Roman" w:hAnsi="Times New Roman" w:cs="Times New Roman"/>
          <w:b/>
          <w:noProof/>
          <w:sz w:val="24"/>
          <w:szCs w:val="24"/>
          <w:lang w:eastAsia="fr-FR"/>
        </w:rPr>
        <w:drawing>
          <wp:inline distT="0" distB="0" distL="0" distR="0" wp14:anchorId="7E0DF85A" wp14:editId="78FD9498">
            <wp:extent cx="2876128" cy="1560830"/>
            <wp:effectExtent l="0" t="0" r="635" b="127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pic:cNvPicPr>
                      <a:picLocks noChangeAspect="1"/>
                    </pic:cNvPicPr>
                  </pic:nvPicPr>
                  <pic:blipFill>
                    <a:blip r:embed="rId18" cstate="print">
                      <a:extLst>
                        <a:ext uri="{28A0092B-C50C-407E-A947-70E740481C1C}">
                          <a14:useLocalDpi xmlns:a14="http://schemas.microsoft.com/office/drawing/2010/main" val="0"/>
                        </a:ext>
                      </a:extLst>
                    </a:blip>
                    <a:srcRect t="11463" b="13801"/>
                    <a:stretch>
                      <a:fillRect/>
                    </a:stretch>
                  </pic:blipFill>
                  <pic:spPr>
                    <a:xfrm>
                      <a:off x="0" y="0"/>
                      <a:ext cx="2909580" cy="1578984"/>
                    </a:xfrm>
                    <a:prstGeom prst="rect">
                      <a:avLst/>
                    </a:prstGeom>
                    <a:ln>
                      <a:noFill/>
                    </a:ln>
                  </pic:spPr>
                </pic:pic>
              </a:graphicData>
            </a:graphic>
          </wp:inline>
        </w:drawing>
      </w:r>
      <w:r w:rsidR="00B57AE8">
        <w:rPr>
          <w:rFonts w:ascii="Times New Roman" w:hAnsi="Times New Roman" w:cs="Times New Roman"/>
          <w:b/>
          <w:sz w:val="24"/>
          <w:szCs w:val="24"/>
        </w:rPr>
        <w:t xml:space="preserve">  </w:t>
      </w:r>
      <w:r>
        <w:rPr>
          <w:rFonts w:ascii="Times New Roman" w:hAnsi="Times New Roman" w:cs="Times New Roman"/>
          <w:b/>
          <w:sz w:val="24"/>
          <w:szCs w:val="24"/>
        </w:rPr>
        <w:t xml:space="preserve"> </w:t>
      </w:r>
      <w:r>
        <w:rPr>
          <w:rFonts w:ascii="Times New Roman" w:hAnsi="Times New Roman" w:cs="Times New Roman"/>
          <w:b/>
          <w:noProof/>
          <w:sz w:val="24"/>
          <w:szCs w:val="24"/>
          <w:lang w:eastAsia="fr-FR"/>
        </w:rPr>
        <w:drawing>
          <wp:inline distT="0" distB="0" distL="0" distR="0" wp14:anchorId="333A8DD2" wp14:editId="685F7BD7">
            <wp:extent cx="2705100" cy="1532255"/>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pic:cNvPicPr>
                      <a:picLocks noChangeAspect="1"/>
                    </pic:cNvPicPr>
                  </pic:nvPicPr>
                  <pic:blipFill>
                    <a:blip r:embed="rId19" cstate="print">
                      <a:extLst>
                        <a:ext uri="{28A0092B-C50C-407E-A947-70E740481C1C}">
                          <a14:useLocalDpi xmlns:a14="http://schemas.microsoft.com/office/drawing/2010/main" val="0"/>
                        </a:ext>
                      </a:extLst>
                    </a:blip>
                    <a:srcRect t="22046" r="16915" b="12699"/>
                    <a:stretch>
                      <a:fillRect/>
                    </a:stretch>
                  </pic:blipFill>
                  <pic:spPr>
                    <a:xfrm>
                      <a:off x="0" y="0"/>
                      <a:ext cx="1340675" cy="759401"/>
                    </a:xfrm>
                    <a:prstGeom prst="rect">
                      <a:avLst/>
                    </a:prstGeom>
                    <a:ln>
                      <a:noFill/>
                    </a:ln>
                  </pic:spPr>
                </pic:pic>
              </a:graphicData>
            </a:graphic>
          </wp:inline>
        </w:drawing>
      </w:r>
    </w:p>
    <w:p w14:paraId="385A58C7" w14:textId="77777777" w:rsidR="00157B21" w:rsidRDefault="00F54943">
      <w:pPr>
        <w:rPr>
          <w:rFonts w:ascii="Times New Roman" w:hAnsi="Times New Roman" w:cs="Times New Roman"/>
          <w:b/>
          <w:sz w:val="24"/>
          <w:szCs w:val="24"/>
        </w:rPr>
      </w:pPr>
      <w:r>
        <w:rPr>
          <w:rFonts w:ascii="Times New Roman" w:hAnsi="Times New Roman" w:cs="Times New Roman"/>
          <w:b/>
          <w:noProof/>
          <w:sz w:val="24"/>
          <w:szCs w:val="24"/>
          <w:lang w:eastAsia="fr-FR"/>
        </w:rPr>
        <mc:AlternateContent>
          <mc:Choice Requires="wps">
            <w:drawing>
              <wp:anchor distT="45720" distB="45720" distL="114300" distR="114300" simplePos="0" relativeHeight="251655168" behindDoc="0" locked="0" layoutInCell="1" allowOverlap="1" wp14:anchorId="321EDD0B" wp14:editId="6512C516">
                <wp:simplePos x="0" y="0"/>
                <wp:positionH relativeFrom="column">
                  <wp:posOffset>-4445</wp:posOffset>
                </wp:positionH>
                <wp:positionV relativeFrom="paragraph">
                  <wp:posOffset>2230120</wp:posOffset>
                </wp:positionV>
                <wp:extent cx="5676900" cy="1457325"/>
                <wp:effectExtent l="0" t="0" r="19050" b="28575"/>
                <wp:wrapSquare wrapText="bothSides"/>
                <wp:docPr id="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1457325"/>
                        </a:xfrm>
                        <a:prstGeom prst="rect">
                          <a:avLst/>
                        </a:prstGeom>
                        <a:solidFill>
                          <a:srgbClr val="FFFFFF"/>
                        </a:solidFill>
                        <a:ln w="9525">
                          <a:solidFill>
                            <a:srgbClr val="000000"/>
                          </a:solidFill>
                          <a:miter lim="800000"/>
                        </a:ln>
                      </wps:spPr>
                      <wps:txbx>
                        <w:txbxContent>
                          <w:p w14:paraId="516CE5C0" w14:textId="157F6E56" w:rsidR="002910B3" w:rsidRPr="002910B3" w:rsidRDefault="00FF5AA5" w:rsidP="002910B3">
                            <w:pPr>
                              <w:rPr>
                                <w:rFonts w:cstheme="minorHAnsi"/>
                                <w:sz w:val="24"/>
                                <w:szCs w:val="24"/>
                              </w:rPr>
                            </w:pPr>
                            <w:r>
                              <w:rPr>
                                <w:rFonts w:asciiTheme="majorBidi" w:hAnsiTheme="majorBidi" w:cstheme="majorBidi"/>
                                <w:b/>
                                <w:bCs/>
                                <w:sz w:val="28"/>
                                <w:szCs w:val="28"/>
                                <w:u w:val="single"/>
                              </w:rPr>
                              <w:t xml:space="preserve">Figure </w:t>
                            </w:r>
                            <w:r w:rsidR="00A3790F">
                              <w:rPr>
                                <w:rFonts w:asciiTheme="majorBidi" w:hAnsiTheme="majorBidi" w:cstheme="majorBidi"/>
                                <w:b/>
                                <w:bCs/>
                                <w:sz w:val="28"/>
                                <w:szCs w:val="28"/>
                                <w:u w:val="single"/>
                              </w:rPr>
                              <w:t>4</w:t>
                            </w:r>
                            <w:r>
                              <w:rPr>
                                <w:rFonts w:asciiTheme="majorBidi" w:hAnsiTheme="majorBidi" w:cstheme="majorBidi"/>
                                <w:b/>
                                <w:bCs/>
                                <w:sz w:val="28"/>
                                <w:szCs w:val="28"/>
                                <w:u w:val="single"/>
                              </w:rPr>
                              <w:t> :</w:t>
                            </w:r>
                            <w:r>
                              <w:rPr>
                                <w:rFonts w:asciiTheme="majorBidi" w:hAnsiTheme="majorBidi" w:cstheme="majorBidi"/>
                                <w:sz w:val="28"/>
                                <w:szCs w:val="28"/>
                              </w:rPr>
                              <w:t xml:space="preserve"> </w:t>
                            </w:r>
                            <w:r w:rsidR="002910B3" w:rsidRPr="002910B3">
                              <w:rPr>
                                <w:rFonts w:cstheme="minorHAnsi"/>
                                <w:sz w:val="24"/>
                                <w:szCs w:val="24"/>
                                <w:lang w:val="en"/>
                              </w:rPr>
                              <w:t>This is a 54-year-old patient admitted for stage E pancreatitis of unknown etiology and whose clinical picture suggested peritonitis due to perforation of a hollow organ. Above are intraoperative images during exploration by coelioscopy, highlighting pancreatic collections and cystosteatonecrosis lesions (candle stains) extended throughout the peritoneal cavity and to the loops, with no perforation or stigmata of peritonitis.</w:t>
                            </w:r>
                          </w:p>
                          <w:p w14:paraId="59B6DF80" w14:textId="77777777" w:rsidR="00157B21" w:rsidRPr="002910B3" w:rsidRDefault="00157B21" w:rsidP="002910B3">
                            <w:pPr>
                              <w:rPr>
                                <w:rFonts w:cstheme="minorHAnsi"/>
                                <w:bCs/>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21EDD0B" id="_x0000_s1029" type="#_x0000_t202" style="position:absolute;margin-left:-.35pt;margin-top:175.6pt;width:447pt;height:114.75pt;z-index:251655168;visibility:visible;mso-wrap-style:square;mso-height-percent:0;mso-wrap-distance-left:9pt;mso-wrap-distance-top:3.6pt;mso-wrap-distance-right:9pt;mso-wrap-distance-bottom:3.6pt;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">
                <v:textbox>
                  <w:txbxContent>
                    <w:p w14:paraId="516CE5C0" w14:textId="157F6E56" w:rsidR="002910B3" w:rsidRPr="002910B3" w:rsidRDefault="00FF5AA5" w:rsidP="002910B3">
                      <w:pPr>
                        <w:rPr>
                          <w:rFonts w:cstheme="minorHAnsi"/>
                          <w:sz w:val="24"/>
                          <w:szCs w:val="24"/>
                        </w:rPr>
                      </w:pPr>
                      <w:r>
                        <w:rPr>
                          <w:rFonts w:asciiTheme="majorBidi" w:hAnsiTheme="majorBidi" w:cstheme="majorBidi"/>
                          <w:b/>
                          <w:bCs/>
                          <w:sz w:val="28"/>
                          <w:szCs w:val="28"/>
                          <w:u w:val="single"/>
                        </w:rPr>
                        <w:t xml:space="preserve">Figure </w:t>
                      </w:r>
                      <w:r w:rsidR="00A3790F">
                        <w:rPr>
                          <w:rFonts w:asciiTheme="majorBidi" w:hAnsiTheme="majorBidi" w:cstheme="majorBidi"/>
                          <w:b/>
                          <w:bCs/>
                          <w:sz w:val="28"/>
                          <w:szCs w:val="28"/>
                          <w:u w:val="single"/>
                        </w:rPr>
                        <w:t>4</w:t>
                      </w:r>
                      <w:r>
                        <w:rPr>
                          <w:rFonts w:asciiTheme="majorBidi" w:hAnsiTheme="majorBidi" w:cstheme="majorBidi"/>
                          <w:b/>
                          <w:bCs/>
                          <w:sz w:val="28"/>
                          <w:szCs w:val="28"/>
                          <w:u w:val="single"/>
                        </w:rPr>
                        <w:t> :</w:t>
                      </w:r>
                      <w:r>
                        <w:rPr>
                          <w:rFonts w:asciiTheme="majorBidi" w:hAnsiTheme="majorBidi" w:cstheme="majorBidi"/>
                          <w:sz w:val="28"/>
                          <w:szCs w:val="28"/>
                        </w:rPr>
                        <w:t xml:space="preserve"> </w:t>
                      </w:r>
                      <w:r w:rsidR="002910B3" w:rsidRPr="002910B3">
                        <w:rPr>
                          <w:rFonts w:cstheme="minorHAnsi"/>
                          <w:sz w:val="24"/>
                          <w:szCs w:val="24"/>
                          <w:lang w:val="en"/>
                        </w:rPr>
                        <w:t>This is a 54-year-old patient admitted for stage E pancreatitis of unknown etiology and whose clinical picture suggested peritonitis due to perforation of a hollow organ. Above are intraoperative images during exploration by coelioscopy, highlighting pancreatic collections and cystosteatonecrosis lesions (candle stains) extended throughout the peritoneal cavity and to the loops, with no perforation or stigmata of peritonitis.</w:t>
                      </w:r>
                    </w:p>
                    <w:p w14:paraId="59B6DF80" w14:textId="77777777" w:rsidR="00157B21" w:rsidRPr="002910B3" w:rsidRDefault="00157B21" w:rsidP="002910B3">
                      <w:pPr>
                        <w:rPr>
                          <w:rFonts w:cstheme="minorHAnsi"/>
                          <w:bCs/>
                          <w:sz w:val="24"/>
                          <w:szCs w:val="24"/>
                        </w:rPr>
                      </w:pPr>
                    </w:p>
                  </w:txbxContent>
                </v:textbox>
                <w10:wrap type="square"/>
              </v:shape>
            </w:pict>
          </mc:Fallback>
        </mc:AlternateContent>
      </w:r>
      <w:r>
        <w:rPr>
          <w:rFonts w:ascii="Times New Roman" w:hAnsi="Times New Roman" w:cs="Times New Roman"/>
          <w:b/>
          <w:noProof/>
          <w:sz w:val="24"/>
          <w:szCs w:val="24"/>
          <w:lang w:eastAsia="fr-FR"/>
        </w:rPr>
        <w:drawing>
          <wp:inline distT="0" distB="0" distL="0" distR="0" wp14:anchorId="1C1FD1E2" wp14:editId="0BC38C5E">
            <wp:extent cx="2877185" cy="1989455"/>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pic:cNvPicPr>
                      <a:picLocks noChangeAspect="1"/>
                    </pic:cNvPicPr>
                  </pic:nvPicPr>
                  <pic:blipFill>
                    <a:blip r:embed="rId20" cstate="print">
                      <a:extLst>
                        <a:ext uri="{28A0092B-C50C-407E-A947-70E740481C1C}">
                          <a14:useLocalDpi xmlns:a14="http://schemas.microsoft.com/office/drawing/2010/main" val="0"/>
                        </a:ext>
                      </a:extLst>
                    </a:blip>
                    <a:srcRect l="7606" t="13448" r="12037" b="16887"/>
                    <a:stretch>
                      <a:fillRect/>
                    </a:stretch>
                  </pic:blipFill>
                  <pic:spPr>
                    <a:xfrm>
                      <a:off x="0" y="0"/>
                      <a:ext cx="2888544" cy="1997309"/>
                    </a:xfrm>
                    <a:prstGeom prst="rect">
                      <a:avLst/>
                    </a:prstGeom>
                    <a:ln>
                      <a:noFill/>
                    </a:ln>
                  </pic:spPr>
                </pic:pic>
              </a:graphicData>
            </a:graphic>
          </wp:inline>
        </w:drawing>
      </w:r>
      <w:r>
        <w:rPr>
          <w:rFonts w:ascii="Times New Roman" w:hAnsi="Times New Roman" w:cs="Times New Roman"/>
          <w:b/>
          <w:sz w:val="24"/>
          <w:szCs w:val="24"/>
          <w:lang w:eastAsia="fr-FR"/>
        </w:rPr>
        <w:t xml:space="preserve">   </w:t>
      </w:r>
      <w:r>
        <w:rPr>
          <w:rFonts w:ascii="Times New Roman" w:hAnsi="Times New Roman" w:cs="Times New Roman"/>
          <w:b/>
          <w:noProof/>
          <w:sz w:val="24"/>
          <w:szCs w:val="24"/>
          <w:lang w:eastAsia="fr-FR"/>
        </w:rPr>
        <w:drawing>
          <wp:inline distT="0" distB="0" distL="0" distR="0" wp14:anchorId="67ECADA4" wp14:editId="7DCE4EF5">
            <wp:extent cx="2693035" cy="1974721"/>
            <wp:effectExtent l="0" t="0" r="0" b="698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pic:cNvPicPr>
                      <a:picLocks noChangeAspect="1"/>
                    </pic:cNvPicPr>
                  </pic:nvPicPr>
                  <pic:blipFill>
                    <a:blip r:embed="rId21" cstate="print">
                      <a:extLst>
                        <a:ext uri="{28A0092B-C50C-407E-A947-70E740481C1C}">
                          <a14:useLocalDpi xmlns:a14="http://schemas.microsoft.com/office/drawing/2010/main" val="0"/>
                        </a:ext>
                      </a:extLst>
                    </a:blip>
                    <a:srcRect l="6416" t="12258" r="10085" b="12566"/>
                    <a:stretch>
                      <a:fillRect/>
                    </a:stretch>
                  </pic:blipFill>
                  <pic:spPr>
                    <a:xfrm rot="10800000">
                      <a:off x="0" y="0"/>
                      <a:ext cx="2730398" cy="2002118"/>
                    </a:xfrm>
                    <a:prstGeom prst="rect">
                      <a:avLst/>
                    </a:prstGeom>
                    <a:ln>
                      <a:noFill/>
                    </a:ln>
                  </pic:spPr>
                </pic:pic>
              </a:graphicData>
            </a:graphic>
          </wp:inline>
        </w:drawing>
      </w:r>
    </w:p>
    <w:p w14:paraId="7D0CA0C2" w14:textId="77777777" w:rsidR="00CA09C1" w:rsidRPr="00CA09C1" w:rsidRDefault="00CA09C1" w:rsidP="0009262A">
      <w:pPr>
        <w:spacing w:after="0" w:line="240" w:lineRule="auto"/>
        <w:rPr>
          <w:rFonts w:cstheme="minorHAnsi"/>
          <w:bCs/>
          <w:sz w:val="24"/>
          <w:szCs w:val="24"/>
          <w:lang w:val="en"/>
        </w:rPr>
      </w:pPr>
      <w:r w:rsidRPr="00CA09C1">
        <w:rPr>
          <w:rFonts w:cstheme="minorHAnsi"/>
          <w:bCs/>
          <w:sz w:val="24"/>
          <w:szCs w:val="24"/>
          <w:lang w:val="en"/>
        </w:rPr>
        <w:lastRenderedPageBreak/>
        <w:t>Since 1965, several surgical treatments for acute pancreatitis have been proposed and the most popular was peritoneal lavage with pancreatic drainage</w:t>
      </w:r>
      <w:r w:rsidR="0009262A">
        <w:rPr>
          <w:rStyle w:val="EndnoteReference"/>
          <w:rFonts w:cstheme="minorHAnsi"/>
          <w:bCs/>
          <w:sz w:val="24"/>
          <w:szCs w:val="24"/>
          <w:lang w:val="en"/>
        </w:rPr>
        <w:endnoteReference w:id="6"/>
      </w:r>
      <w:r w:rsidR="0009262A">
        <w:rPr>
          <w:rFonts w:cstheme="minorHAnsi"/>
          <w:bCs/>
          <w:sz w:val="24"/>
          <w:szCs w:val="24"/>
          <w:lang w:val="en"/>
        </w:rPr>
        <w:t>.</w:t>
      </w:r>
      <w:r w:rsidRPr="00CA09C1">
        <w:rPr>
          <w:rFonts w:cstheme="minorHAnsi"/>
          <w:bCs/>
          <w:sz w:val="24"/>
          <w:szCs w:val="24"/>
          <w:lang w:val="en"/>
        </w:rPr>
        <w:t xml:space="preserve"> Over time, studies on the subject have demonstrated the importance of respiratory and cardiovascular complications as well as the lack of impact on sepsis or overall mortality, which has led to abandoning this practice in favor of medical treatment alone in the acute phase, which is simple intravenous hydration.</w:t>
      </w:r>
    </w:p>
    <w:p w14:paraId="688023D7" w14:textId="77777777" w:rsidR="00CA09C1" w:rsidRPr="00CA09C1" w:rsidRDefault="00CA09C1" w:rsidP="00CA09C1">
      <w:pPr>
        <w:rPr>
          <w:rFonts w:cstheme="minorHAnsi"/>
          <w:bCs/>
          <w:sz w:val="24"/>
          <w:szCs w:val="24"/>
        </w:rPr>
      </w:pPr>
      <w:r w:rsidRPr="00CA09C1">
        <w:rPr>
          <w:rFonts w:cstheme="minorHAnsi"/>
          <w:bCs/>
          <w:sz w:val="24"/>
          <w:szCs w:val="24"/>
          <w:lang w:val="en"/>
        </w:rPr>
        <w:t>Intravenous hydration improves acute pancreatitis by rapidly restoring fluid and electrolyte balance, which is essential for pancreatic function, which can aid in recovery and prevention of necrosis and complications such as renal failure, hypotension, and multiple organ failure syndrome (MODS). It also promotes the excretion of pancreatic enzymes and toxins produced during inflammation, which can improve the overall prognosis of the patient. Apart from surgery for secondary complications such as infected encapsulated necrotic flows or symptomatic pseudocysts, early surgery for acute pancreatitis has only recently been dethroned by advances in radiology and interventional endoscopy, reducing morbidity and mortality.</w:t>
      </w:r>
    </w:p>
    <w:p w14:paraId="16EBE891" w14:textId="77777777" w:rsidR="00157B21" w:rsidRDefault="00157B21">
      <w:pPr>
        <w:rPr>
          <w:rFonts w:ascii="Times New Roman" w:hAnsi="Times New Roman" w:cs="Times New Roman"/>
          <w:b/>
          <w:sz w:val="24"/>
          <w:szCs w:val="24"/>
        </w:rPr>
      </w:pPr>
    </w:p>
    <w:p w14:paraId="7345C702" w14:textId="77777777" w:rsidR="00157B21" w:rsidRDefault="00157B21">
      <w:pPr>
        <w:rPr>
          <w:rFonts w:ascii="Times New Roman" w:hAnsi="Times New Roman" w:cs="Times New Roman"/>
          <w:b/>
          <w:sz w:val="24"/>
          <w:szCs w:val="24"/>
        </w:rPr>
      </w:pPr>
    </w:p>
    <w:p w14:paraId="56F08ABE" w14:textId="77777777" w:rsidR="00157B21" w:rsidRDefault="00F54943">
      <w:pPr>
        <w:rPr>
          <w:rFonts w:ascii="Times New Roman" w:hAnsi="Times New Roman" w:cs="Times New Roman"/>
          <w:b/>
          <w:sz w:val="24"/>
          <w:szCs w:val="24"/>
        </w:rPr>
      </w:pPr>
      <w:r>
        <w:rPr>
          <w:rFonts w:ascii="Times New Roman" w:hAnsi="Times New Roman" w:cs="Times New Roman"/>
          <w:b/>
          <w:sz w:val="24"/>
          <w:szCs w:val="24"/>
        </w:rPr>
        <w:t xml:space="preserve"> </w:t>
      </w:r>
    </w:p>
    <w:p w14:paraId="65076DF8" w14:textId="77777777" w:rsidR="000B65AB" w:rsidRPr="000B65AB" w:rsidRDefault="000B65AB" w:rsidP="000B65AB">
      <w:pPr>
        <w:spacing w:after="0" w:line="240" w:lineRule="auto"/>
        <w:rPr>
          <w:rFonts w:cstheme="minorHAnsi"/>
          <w:bCs/>
          <w:sz w:val="24"/>
          <w:szCs w:val="24"/>
          <w:lang w:val="en"/>
        </w:rPr>
      </w:pPr>
      <w:r w:rsidRPr="000B65AB">
        <w:rPr>
          <w:rFonts w:cstheme="minorHAnsi"/>
          <w:bCs/>
          <w:sz w:val="24"/>
          <w:szCs w:val="24"/>
          <w:lang w:val="en"/>
        </w:rPr>
        <w:t>The pathophysiology of gastrointestinal perforation</w:t>
      </w:r>
      <w:r w:rsidR="0009262A">
        <w:rPr>
          <w:rStyle w:val="EndnoteReference"/>
          <w:rFonts w:cstheme="minorHAnsi"/>
          <w:bCs/>
          <w:sz w:val="24"/>
          <w:szCs w:val="24"/>
          <w:lang w:val="en"/>
        </w:rPr>
        <w:endnoteReference w:id="7"/>
      </w:r>
      <w:r w:rsidRPr="000B65AB">
        <w:rPr>
          <w:rFonts w:cstheme="minorHAnsi"/>
          <w:bCs/>
          <w:sz w:val="24"/>
          <w:szCs w:val="24"/>
          <w:lang w:val="en"/>
        </w:rPr>
        <w:t xml:space="preserve"> in severe acute pancreatitis involves a cascade of events that begins with the premature activation of pancreatic enzymes, leading to autodigestion of the pancreas and surrounding tissues. This intense inflammation can spread, resulting in fluid collections, necrosis, and potentially perforation of adjacent organs such as the stomach or duodenum.</w:t>
      </w:r>
    </w:p>
    <w:p w14:paraId="69129FDA" w14:textId="77777777" w:rsidR="000B65AB" w:rsidRPr="000B65AB" w:rsidRDefault="000B65AB" w:rsidP="000B65AB">
      <w:pPr>
        <w:spacing w:after="0" w:line="240" w:lineRule="auto"/>
        <w:rPr>
          <w:rFonts w:cstheme="minorHAnsi"/>
          <w:bCs/>
          <w:sz w:val="24"/>
          <w:szCs w:val="24"/>
        </w:rPr>
      </w:pPr>
      <w:r w:rsidRPr="000B65AB">
        <w:rPr>
          <w:rFonts w:cstheme="minorHAnsi"/>
          <w:bCs/>
          <w:sz w:val="24"/>
          <w:szCs w:val="24"/>
          <w:lang w:val="en"/>
        </w:rPr>
        <w:t>Key mechanisms of gastrointestinal perforation</w:t>
      </w:r>
      <w:r w:rsidR="00DA66AA">
        <w:rPr>
          <w:rStyle w:val="EndnoteReference"/>
          <w:rFonts w:cstheme="minorHAnsi"/>
          <w:bCs/>
          <w:sz w:val="24"/>
          <w:szCs w:val="24"/>
          <w:lang w:val="en"/>
        </w:rPr>
        <w:endnoteReference w:id="8"/>
      </w:r>
      <w:r w:rsidRPr="000B65AB">
        <w:rPr>
          <w:rFonts w:cstheme="minorHAnsi"/>
          <w:bCs/>
          <w:sz w:val="24"/>
          <w:szCs w:val="24"/>
          <w:lang w:val="en"/>
        </w:rPr>
        <w:t xml:space="preserve"> in severe pancreatitis involve a cascade of events:</w:t>
      </w:r>
    </w:p>
    <w:p w14:paraId="0A8B6975" w14:textId="77777777" w:rsidR="000B65AB" w:rsidRPr="000B65AB" w:rsidRDefault="000B65AB" w:rsidP="000B65AB">
      <w:pPr>
        <w:pStyle w:val="ListParagraph"/>
        <w:numPr>
          <w:ilvl w:val="0"/>
          <w:numId w:val="6"/>
        </w:numPr>
        <w:spacing w:after="0" w:line="240" w:lineRule="auto"/>
        <w:rPr>
          <w:rFonts w:cstheme="minorHAnsi"/>
          <w:bCs/>
          <w:sz w:val="24"/>
          <w:szCs w:val="24"/>
          <w:lang w:val="en"/>
        </w:rPr>
      </w:pPr>
      <w:r w:rsidRPr="000B65AB">
        <w:rPr>
          <w:rFonts w:cstheme="minorHAnsi"/>
          <w:bCs/>
          <w:sz w:val="24"/>
          <w:szCs w:val="24"/>
          <w:lang w:val="en"/>
        </w:rPr>
        <w:t>Inappropriate enzyme activation:</w:t>
      </w:r>
    </w:p>
    <w:p w14:paraId="21595944" w14:textId="77777777" w:rsidR="000B65AB" w:rsidRDefault="000B65AB" w:rsidP="000B65AB">
      <w:pPr>
        <w:spacing w:after="0" w:line="240" w:lineRule="auto"/>
        <w:rPr>
          <w:rFonts w:cstheme="minorHAnsi"/>
          <w:bCs/>
          <w:sz w:val="24"/>
          <w:szCs w:val="24"/>
          <w:lang w:val="en"/>
        </w:rPr>
      </w:pPr>
      <w:r w:rsidRPr="000B65AB">
        <w:rPr>
          <w:rFonts w:cstheme="minorHAnsi"/>
          <w:bCs/>
          <w:sz w:val="24"/>
          <w:szCs w:val="24"/>
          <w:lang w:val="en"/>
        </w:rPr>
        <w:t>Trypsin, a normally inactive enzyme in the pancreas, is activated prematurely, beginning to digest pancreatic and surrounding tissues.</w:t>
      </w:r>
    </w:p>
    <w:p w14:paraId="7BC23C2C" w14:textId="77777777" w:rsidR="000B65AB" w:rsidRPr="000B65AB" w:rsidRDefault="000B65AB" w:rsidP="000B65AB">
      <w:pPr>
        <w:pStyle w:val="ListParagraph"/>
        <w:numPr>
          <w:ilvl w:val="0"/>
          <w:numId w:val="5"/>
        </w:numPr>
        <w:spacing w:after="0" w:line="240" w:lineRule="auto"/>
        <w:rPr>
          <w:rFonts w:cstheme="minorHAnsi"/>
          <w:bCs/>
          <w:sz w:val="24"/>
          <w:szCs w:val="24"/>
          <w:lang w:val="en"/>
        </w:rPr>
      </w:pPr>
      <w:r w:rsidRPr="000B65AB">
        <w:rPr>
          <w:rFonts w:cstheme="minorHAnsi"/>
          <w:bCs/>
          <w:sz w:val="24"/>
          <w:szCs w:val="24"/>
          <w:lang w:val="en"/>
        </w:rPr>
        <w:t>Intense inflammatory reaction:</w:t>
      </w:r>
    </w:p>
    <w:p w14:paraId="658B6635" w14:textId="77777777" w:rsidR="000B65AB" w:rsidRPr="000B65AB" w:rsidRDefault="000B65AB" w:rsidP="000B65AB">
      <w:pPr>
        <w:spacing w:after="0" w:line="240" w:lineRule="auto"/>
        <w:rPr>
          <w:rFonts w:cstheme="minorHAnsi"/>
          <w:bCs/>
          <w:sz w:val="24"/>
          <w:szCs w:val="24"/>
          <w:lang w:val="en"/>
        </w:rPr>
      </w:pPr>
      <w:r w:rsidRPr="000B65AB">
        <w:rPr>
          <w:rFonts w:cstheme="minorHAnsi"/>
          <w:bCs/>
          <w:sz w:val="24"/>
          <w:szCs w:val="24"/>
          <w:lang w:val="en"/>
        </w:rPr>
        <w:t>Enzyme activation triggers a massive inflammatory reaction, with the release of cytokines and other inflammatory mediators that exacerbate tissue damage.</w:t>
      </w:r>
    </w:p>
    <w:p w14:paraId="2FDCF3C5" w14:textId="77777777" w:rsidR="000B65AB" w:rsidRPr="000B65AB" w:rsidRDefault="000B65AB" w:rsidP="000B65AB">
      <w:pPr>
        <w:pStyle w:val="ListParagraph"/>
        <w:numPr>
          <w:ilvl w:val="0"/>
          <w:numId w:val="5"/>
        </w:numPr>
        <w:spacing w:after="0" w:line="240" w:lineRule="auto"/>
        <w:rPr>
          <w:rFonts w:cstheme="minorHAnsi"/>
          <w:bCs/>
          <w:sz w:val="24"/>
          <w:szCs w:val="24"/>
          <w:lang w:val="en"/>
        </w:rPr>
      </w:pPr>
      <w:r w:rsidRPr="000B65AB">
        <w:rPr>
          <w:rFonts w:cstheme="minorHAnsi"/>
          <w:bCs/>
          <w:sz w:val="24"/>
          <w:szCs w:val="24"/>
          <w:lang w:val="en"/>
        </w:rPr>
        <w:t>Necrosis and fluid collections:</w:t>
      </w:r>
    </w:p>
    <w:p w14:paraId="4A80915A" w14:textId="77777777" w:rsidR="000B65AB" w:rsidRPr="000B65AB" w:rsidRDefault="000B65AB" w:rsidP="000B65AB">
      <w:pPr>
        <w:spacing w:after="0" w:line="240" w:lineRule="auto"/>
        <w:rPr>
          <w:rFonts w:cstheme="minorHAnsi"/>
          <w:bCs/>
          <w:sz w:val="24"/>
          <w:szCs w:val="24"/>
          <w:lang w:val="en"/>
        </w:rPr>
      </w:pPr>
      <w:r w:rsidRPr="000B65AB">
        <w:rPr>
          <w:rFonts w:cstheme="minorHAnsi"/>
          <w:bCs/>
          <w:sz w:val="24"/>
          <w:szCs w:val="24"/>
          <w:lang w:val="en"/>
        </w:rPr>
        <w:t>Inflammation and autodigestion can lead to the death of pancreatic tissue (necrosis) and the formation of fluid collections around the pancreas (pseudocysts).</w:t>
      </w:r>
    </w:p>
    <w:p w14:paraId="4154F9CB" w14:textId="77777777" w:rsidR="000B65AB" w:rsidRPr="000B65AB" w:rsidRDefault="000B65AB" w:rsidP="000B65AB">
      <w:pPr>
        <w:pStyle w:val="ListParagraph"/>
        <w:numPr>
          <w:ilvl w:val="0"/>
          <w:numId w:val="5"/>
        </w:numPr>
        <w:spacing w:after="0" w:line="240" w:lineRule="auto"/>
        <w:rPr>
          <w:rFonts w:cstheme="minorHAnsi"/>
          <w:bCs/>
          <w:sz w:val="24"/>
          <w:szCs w:val="24"/>
          <w:lang w:val="en"/>
        </w:rPr>
      </w:pPr>
      <w:r w:rsidRPr="000B65AB">
        <w:rPr>
          <w:rFonts w:cstheme="minorHAnsi"/>
          <w:bCs/>
          <w:sz w:val="24"/>
          <w:szCs w:val="24"/>
          <w:lang w:val="en"/>
        </w:rPr>
        <w:t>Perforation of adjacent organs:</w:t>
      </w:r>
    </w:p>
    <w:p w14:paraId="73FFC140" w14:textId="77777777" w:rsidR="000B65AB" w:rsidRDefault="000B65AB" w:rsidP="000B65AB">
      <w:pPr>
        <w:spacing w:after="0" w:line="240" w:lineRule="auto"/>
        <w:rPr>
          <w:rFonts w:cstheme="minorHAnsi"/>
          <w:bCs/>
          <w:sz w:val="24"/>
          <w:szCs w:val="24"/>
          <w:lang w:val="en"/>
        </w:rPr>
      </w:pPr>
      <w:r w:rsidRPr="000B65AB">
        <w:rPr>
          <w:rFonts w:cstheme="minorHAnsi"/>
          <w:bCs/>
          <w:sz w:val="24"/>
          <w:szCs w:val="24"/>
          <w:lang w:val="en"/>
        </w:rPr>
        <w:t xml:space="preserve">In severe cases, inflammation and fluid collections can erode adjacent organs, such as the stomach, duodenum, or colon, causing </w:t>
      </w:r>
      <w:r>
        <w:rPr>
          <w:rFonts w:cstheme="minorHAnsi"/>
          <w:bCs/>
          <w:sz w:val="24"/>
          <w:szCs w:val="24"/>
          <w:lang w:val="en"/>
        </w:rPr>
        <w:t>gastrointestinal perforation</w:t>
      </w:r>
      <w:r w:rsidR="00DA66AA">
        <w:rPr>
          <w:rStyle w:val="EndnoteReference"/>
          <w:rFonts w:cstheme="minorHAnsi"/>
          <w:bCs/>
          <w:sz w:val="24"/>
          <w:szCs w:val="24"/>
          <w:lang w:val="en"/>
        </w:rPr>
        <w:endnoteReference w:id="9"/>
      </w:r>
      <w:r>
        <w:rPr>
          <w:rFonts w:cstheme="minorHAnsi"/>
          <w:bCs/>
          <w:sz w:val="24"/>
          <w:szCs w:val="24"/>
          <w:lang w:val="en"/>
        </w:rPr>
        <w:t xml:space="preserve">. </w:t>
      </w:r>
    </w:p>
    <w:p w14:paraId="35A5B2A8" w14:textId="77777777" w:rsidR="000B65AB" w:rsidRPr="000B65AB" w:rsidRDefault="000B65AB" w:rsidP="000B65AB">
      <w:pPr>
        <w:pStyle w:val="ListParagraph"/>
        <w:numPr>
          <w:ilvl w:val="0"/>
          <w:numId w:val="5"/>
        </w:numPr>
        <w:spacing w:after="0" w:line="240" w:lineRule="auto"/>
        <w:rPr>
          <w:rFonts w:cstheme="minorHAnsi"/>
          <w:bCs/>
          <w:sz w:val="24"/>
          <w:szCs w:val="24"/>
          <w:lang w:val="en"/>
        </w:rPr>
      </w:pPr>
      <w:r w:rsidRPr="000B65AB">
        <w:rPr>
          <w:rFonts w:cstheme="minorHAnsi"/>
          <w:bCs/>
          <w:sz w:val="24"/>
          <w:szCs w:val="24"/>
          <w:lang w:val="en"/>
        </w:rPr>
        <w:t>Peritonitis:</w:t>
      </w:r>
    </w:p>
    <w:p w14:paraId="30C39AFE" w14:textId="77777777" w:rsidR="000B65AB" w:rsidRPr="000B65AB" w:rsidRDefault="000B65AB" w:rsidP="000B65AB">
      <w:pPr>
        <w:spacing w:after="0" w:line="240" w:lineRule="auto"/>
        <w:rPr>
          <w:rFonts w:cstheme="minorHAnsi"/>
          <w:bCs/>
          <w:sz w:val="24"/>
          <w:szCs w:val="24"/>
        </w:rPr>
      </w:pPr>
      <w:r w:rsidRPr="000B65AB">
        <w:rPr>
          <w:rFonts w:cstheme="minorHAnsi"/>
          <w:bCs/>
          <w:sz w:val="24"/>
          <w:szCs w:val="24"/>
          <w:lang w:val="en"/>
        </w:rPr>
        <w:t>If the contents of the perforated organ spill into the abdominal cavity, it can lead to peritonitis, a potentially fatal inflammation of the membrane lining the abdominal cavity.</w:t>
      </w:r>
    </w:p>
    <w:p w14:paraId="5B1DD272" w14:textId="77777777" w:rsidR="000B65AB" w:rsidRPr="000B65AB" w:rsidRDefault="000B65AB" w:rsidP="000B65AB">
      <w:pPr>
        <w:pStyle w:val="ListParagraph"/>
        <w:numPr>
          <w:ilvl w:val="0"/>
          <w:numId w:val="5"/>
        </w:numPr>
        <w:spacing w:after="0" w:line="240" w:lineRule="auto"/>
        <w:rPr>
          <w:rFonts w:cstheme="minorHAnsi"/>
          <w:bCs/>
          <w:sz w:val="24"/>
          <w:szCs w:val="24"/>
        </w:rPr>
      </w:pPr>
      <w:r w:rsidRPr="000B65AB">
        <w:rPr>
          <w:rFonts w:cstheme="minorHAnsi"/>
          <w:bCs/>
          <w:sz w:val="24"/>
          <w:szCs w:val="24"/>
          <w:lang w:val="en"/>
        </w:rPr>
        <w:t>Systemic complications:</w:t>
      </w:r>
    </w:p>
    <w:p w14:paraId="221F46E4" w14:textId="77777777" w:rsidR="000B65AB" w:rsidRPr="000B65AB" w:rsidRDefault="000B65AB" w:rsidP="000B65AB">
      <w:pPr>
        <w:spacing w:after="0" w:line="240" w:lineRule="auto"/>
        <w:rPr>
          <w:rFonts w:cstheme="minorHAnsi"/>
          <w:bCs/>
          <w:sz w:val="24"/>
          <w:szCs w:val="24"/>
        </w:rPr>
      </w:pPr>
      <w:r w:rsidRPr="000B65AB">
        <w:rPr>
          <w:rFonts w:cstheme="minorHAnsi"/>
          <w:bCs/>
          <w:sz w:val="24"/>
          <w:szCs w:val="24"/>
          <w:lang w:val="en"/>
        </w:rPr>
        <w:t>Severe pancreatitis can also lead to systemic complications, such as lung, kidney, or heart damage, due to the release of inflammatory substances into the bloodstream.</w:t>
      </w:r>
    </w:p>
    <w:p w14:paraId="24EF6CC0" w14:textId="77777777" w:rsidR="000B65AB" w:rsidRPr="000B65AB" w:rsidRDefault="000B65AB" w:rsidP="000B65AB">
      <w:pPr>
        <w:spacing w:after="0" w:line="240" w:lineRule="auto"/>
        <w:rPr>
          <w:rFonts w:cstheme="minorHAnsi"/>
          <w:bCs/>
          <w:sz w:val="24"/>
          <w:szCs w:val="24"/>
          <w:lang w:val="en"/>
        </w:rPr>
      </w:pPr>
      <w:r w:rsidRPr="000B65AB">
        <w:rPr>
          <w:rFonts w:cstheme="minorHAnsi"/>
          <w:bCs/>
          <w:sz w:val="24"/>
          <w:szCs w:val="24"/>
          <w:lang w:val="en"/>
        </w:rPr>
        <w:lastRenderedPageBreak/>
        <w:t>Surgical management of colonic fistulas</w:t>
      </w:r>
      <w:r w:rsidR="00DA66AA">
        <w:rPr>
          <w:rStyle w:val="EndnoteReference"/>
          <w:rFonts w:cstheme="minorHAnsi"/>
          <w:bCs/>
          <w:sz w:val="24"/>
          <w:szCs w:val="24"/>
          <w:lang w:val="en"/>
        </w:rPr>
        <w:endnoteReference w:id="10"/>
      </w:r>
      <w:r w:rsidRPr="000B65AB">
        <w:rPr>
          <w:rFonts w:cstheme="minorHAnsi"/>
          <w:bCs/>
          <w:sz w:val="24"/>
          <w:szCs w:val="24"/>
          <w:lang w:val="en"/>
        </w:rPr>
        <w:t xml:space="preserve"> will depend on the patient's hemodynamics, the diameter of the fistula, and the condition of the rest of the colon.</w:t>
      </w:r>
    </w:p>
    <w:p w14:paraId="102BC603" w14:textId="77777777" w:rsidR="000B65AB" w:rsidRPr="000B65AB" w:rsidRDefault="000B65AB" w:rsidP="000B65AB">
      <w:pPr>
        <w:spacing w:after="0" w:line="240" w:lineRule="auto"/>
        <w:rPr>
          <w:rFonts w:cstheme="minorHAnsi"/>
          <w:bCs/>
          <w:sz w:val="24"/>
          <w:szCs w:val="24"/>
          <w:lang w:val="en"/>
        </w:rPr>
      </w:pPr>
      <w:r w:rsidRPr="000B65AB">
        <w:rPr>
          <w:rFonts w:cstheme="minorHAnsi"/>
          <w:b/>
          <w:sz w:val="24"/>
          <w:szCs w:val="24"/>
          <w:lang w:val="en"/>
        </w:rPr>
        <w:t>1.</w:t>
      </w:r>
      <w:r w:rsidRPr="000B65AB">
        <w:rPr>
          <w:rFonts w:cstheme="minorHAnsi"/>
          <w:bCs/>
          <w:sz w:val="24"/>
          <w:szCs w:val="24"/>
          <w:lang w:val="en"/>
        </w:rPr>
        <w:t xml:space="preserve"> Presence of a fistula with no sepsis: Management will consist of drainage with monitoring; enteral nutrition can be maintained.</w:t>
      </w:r>
    </w:p>
    <w:p w14:paraId="7A5826C5" w14:textId="77777777" w:rsidR="000B65AB" w:rsidRPr="000B65AB" w:rsidRDefault="000B65AB" w:rsidP="000B65AB">
      <w:pPr>
        <w:spacing w:after="0" w:line="240" w:lineRule="auto"/>
        <w:rPr>
          <w:rFonts w:cstheme="minorHAnsi"/>
          <w:bCs/>
          <w:sz w:val="24"/>
          <w:szCs w:val="24"/>
          <w:lang w:val="en"/>
        </w:rPr>
      </w:pPr>
      <w:r w:rsidRPr="000B65AB">
        <w:rPr>
          <w:rFonts w:cstheme="minorHAnsi"/>
          <w:b/>
          <w:sz w:val="24"/>
          <w:szCs w:val="24"/>
          <w:lang w:val="en"/>
        </w:rPr>
        <w:t>2.</w:t>
      </w:r>
      <w:r w:rsidRPr="000B65AB">
        <w:rPr>
          <w:rFonts w:cstheme="minorHAnsi"/>
          <w:bCs/>
          <w:sz w:val="24"/>
          <w:szCs w:val="24"/>
          <w:lang w:val="en"/>
        </w:rPr>
        <w:t xml:space="preserve"> In cases of sepsis and/or organized collection, a sufficiently caliber drain can be placed. Irrigation is essential here to prevent obstruction of the drain by necrosis. In the study by Gao et al.</w:t>
      </w:r>
      <w:r w:rsidR="00DA66AA">
        <w:rPr>
          <w:rStyle w:val="EndnoteReference"/>
          <w:rFonts w:cstheme="minorHAnsi"/>
          <w:bCs/>
          <w:sz w:val="24"/>
          <w:szCs w:val="24"/>
          <w:lang w:val="en"/>
        </w:rPr>
        <w:endnoteReference w:id="11"/>
      </w:r>
      <w:r w:rsidRPr="000B65AB">
        <w:rPr>
          <w:rFonts w:cstheme="minorHAnsi"/>
          <w:bCs/>
          <w:sz w:val="24"/>
          <w:szCs w:val="24"/>
          <w:lang w:val="en"/>
        </w:rPr>
        <w:t xml:space="preserve"> of 1,750 patients with acute pancreatitis, 711 of whom developed necrotic flows and 132 (19%) developed colonic fistulas, non-surgical management of selected patients appeared feasible in 47% of cases. Some describe endoscopic techniques using a clip to obliterate the fistulous orifice and an intraductal pancreatic stent to dry the fistula.</w:t>
      </w:r>
    </w:p>
    <w:p w14:paraId="22D450EC" w14:textId="77777777" w:rsidR="000B65AB" w:rsidRPr="000B65AB" w:rsidRDefault="000B65AB" w:rsidP="000B65AB">
      <w:pPr>
        <w:spacing w:after="0" w:line="240" w:lineRule="auto"/>
        <w:rPr>
          <w:rFonts w:cstheme="minorHAnsi"/>
          <w:bCs/>
          <w:sz w:val="24"/>
          <w:szCs w:val="24"/>
          <w:lang w:val="en"/>
        </w:rPr>
      </w:pPr>
      <w:r w:rsidRPr="000B65AB">
        <w:rPr>
          <w:rFonts w:cstheme="minorHAnsi"/>
          <w:b/>
          <w:sz w:val="24"/>
          <w:szCs w:val="24"/>
          <w:lang w:val="en"/>
        </w:rPr>
        <w:t>3.</w:t>
      </w:r>
      <w:r w:rsidRPr="000B65AB">
        <w:rPr>
          <w:rFonts w:cstheme="minorHAnsi"/>
          <w:bCs/>
          <w:sz w:val="24"/>
          <w:szCs w:val="24"/>
          <w:lang w:val="en"/>
        </w:rPr>
        <w:t xml:space="preserve"> In the event of failure of these procedures after a 72-hour delay, or in the event of extensive colonic ischemia from the outset, surgical management will be required, ranging from ileostomy to colonic resection with colostomy. The strategies are diverse and will depend on intraoperative findings.</w:t>
      </w:r>
    </w:p>
    <w:p w14:paraId="4631433A" w14:textId="77777777" w:rsidR="00157B21" w:rsidRPr="000A2196" w:rsidRDefault="000B65AB" w:rsidP="000A2196">
      <w:pPr>
        <w:rPr>
          <w:rFonts w:cstheme="minorHAnsi"/>
          <w:bCs/>
          <w:sz w:val="24"/>
          <w:szCs w:val="24"/>
        </w:rPr>
      </w:pPr>
      <w:r w:rsidRPr="000B65AB">
        <w:rPr>
          <w:rFonts w:cstheme="minorHAnsi"/>
          <w:bCs/>
          <w:sz w:val="24"/>
          <w:szCs w:val="24"/>
          <w:lang w:val="en"/>
        </w:rPr>
        <w:t>This surgery remains morbid, with a high mortality rate.</w:t>
      </w:r>
    </w:p>
    <w:p w14:paraId="6AECEB93" w14:textId="77777777" w:rsidR="00157B21" w:rsidRDefault="00F54943">
      <w:pPr>
        <w:rPr>
          <w:rFonts w:ascii="Times New Roman" w:hAnsi="Times New Roman" w:cs="Times New Roman"/>
          <w:b/>
          <w:sz w:val="24"/>
          <w:szCs w:val="24"/>
        </w:rPr>
      </w:pPr>
      <w:r>
        <w:rPr>
          <w:rFonts w:ascii="Times New Roman" w:hAnsi="Times New Roman" w:cs="Times New Roman"/>
          <w:b/>
          <w:sz w:val="24"/>
          <w:szCs w:val="24"/>
        </w:rPr>
        <w:t>III. CONCLUSION</w:t>
      </w:r>
    </w:p>
    <w:p w14:paraId="1E1648A3" w14:textId="77777777" w:rsidR="000A2196" w:rsidRPr="000A2196" w:rsidRDefault="000A2196" w:rsidP="000A2196">
      <w:pPr>
        <w:rPr>
          <w:rFonts w:cstheme="minorHAnsi"/>
          <w:bCs/>
          <w:sz w:val="24"/>
          <w:szCs w:val="24"/>
        </w:rPr>
      </w:pPr>
      <w:r w:rsidRPr="000A2196">
        <w:rPr>
          <w:rFonts w:cstheme="minorHAnsi"/>
          <w:bCs/>
          <w:sz w:val="24"/>
          <w:szCs w:val="24"/>
          <w:lang w:val="en"/>
        </w:rPr>
        <w:t>Colonic perforation complicating severe acute pancreatitis, although rare, represents a major medical and surgical emergency. This case illustrates the potential severity of gallstone-induced pancreatitis, particularly when it progresses to extensive necrohemorrhagic forms. Diagnosis relies on rigorous clinical monitoring and appropriate imaging, allowing for early identification of digestive complications. Management must be multidisciplinary, combining resuscitation, targeted antibiotic therapy, and surgical treatment adapted to the extent of the lesions. This case highlights the importance of increased vigilance in the face of any adverse progression of pancreatitis and the value of early treatment of gallstones to prevent these daunting complications.</w:t>
      </w:r>
    </w:p>
    <w:p w14:paraId="57ED4DC9" w14:textId="77777777" w:rsidR="00157B21" w:rsidRDefault="00157B21">
      <w:pPr>
        <w:rPr>
          <w:rFonts w:ascii="Times New Roman" w:hAnsi="Times New Roman" w:cs="Times New Roman"/>
          <w:b/>
          <w:sz w:val="24"/>
          <w:szCs w:val="24"/>
        </w:rPr>
      </w:pPr>
    </w:p>
    <w:p w14:paraId="45CDF72E" w14:textId="77777777" w:rsidR="00157B21" w:rsidRDefault="00F54943">
      <w:pPr>
        <w:rPr>
          <w:rFonts w:ascii="Times New Roman" w:hAnsi="Times New Roman" w:cs="Times New Roman"/>
          <w:b/>
          <w:sz w:val="24"/>
          <w:szCs w:val="24"/>
        </w:rPr>
      </w:pPr>
      <w:r>
        <w:rPr>
          <w:rFonts w:ascii="Times New Roman" w:hAnsi="Times New Roman" w:cs="Times New Roman"/>
          <w:b/>
          <w:sz w:val="24"/>
          <w:szCs w:val="24"/>
        </w:rPr>
        <w:t>IV. REFERENCES</w:t>
      </w:r>
    </w:p>
    <w:p w14:paraId="09906D6A" w14:textId="77777777" w:rsidR="00157B21" w:rsidRDefault="00F54943">
      <w:r>
        <w:t xml:space="preserve"> </w:t>
      </w:r>
    </w:p>
    <w:sectPr w:rsidR="00157B21">
      <w:headerReference w:type="even" r:id="rId22"/>
      <w:headerReference w:type="default" r:id="rId23"/>
      <w:footerReference w:type="even" r:id="rId24"/>
      <w:footerReference w:type="default" r:id="rId25"/>
      <w:headerReference w:type="first" r:id="rId26"/>
      <w:footerReference w:type="first" r:id="rId2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693032" w14:textId="77777777" w:rsidR="00995EAC" w:rsidRDefault="00995EAC">
      <w:pPr>
        <w:spacing w:line="240" w:lineRule="auto"/>
      </w:pPr>
      <w:r>
        <w:separator/>
      </w:r>
    </w:p>
  </w:endnote>
  <w:endnote w:type="continuationSeparator" w:id="0">
    <w:p w14:paraId="6E2E5888" w14:textId="77777777" w:rsidR="00995EAC" w:rsidRDefault="00995EAC">
      <w:pPr>
        <w:spacing w:line="240" w:lineRule="auto"/>
      </w:pPr>
      <w:r>
        <w:continuationSeparator/>
      </w:r>
    </w:p>
  </w:endnote>
  <w:endnote w:id="1">
    <w:p w14:paraId="1AB55E18" w14:textId="77777777" w:rsidR="002D3A01" w:rsidRDefault="002D3A01" w:rsidP="002D3A01">
      <w:pPr>
        <w:pStyle w:val="EndnoteText"/>
      </w:pPr>
      <w:r>
        <w:rPr>
          <w:rStyle w:val="EndnoteReference"/>
        </w:rPr>
        <w:endnoteRef/>
      </w:r>
      <w:r>
        <w:t xml:space="preserve"> </w:t>
      </w:r>
      <w:r w:rsidRPr="002D3A01">
        <w:t xml:space="preserve">Werge M, Novovic S, Schmidt PN, Gluud LL. Complications and mortality in necrotizing </w:t>
      </w:r>
      <w:proofErr w:type="gramStart"/>
      <w:r w:rsidRPr="002D3A01">
        <w:t>pancreatitis:</w:t>
      </w:r>
      <w:proofErr w:type="gramEnd"/>
      <w:r w:rsidRPr="002D3A01">
        <w:t xml:space="preserve"> Asystematic review and meta-analysis. Pancreas. </w:t>
      </w:r>
      <w:proofErr w:type="gramStart"/>
      <w:r w:rsidRPr="002D3A01">
        <w:t>2016;</w:t>
      </w:r>
      <w:proofErr w:type="gramEnd"/>
      <w:r w:rsidRPr="002D3A01">
        <w:t>45(6):794-800.</w:t>
      </w:r>
    </w:p>
    <w:p w14:paraId="3AE77C29" w14:textId="77777777" w:rsidR="002D3A01" w:rsidRDefault="002D3A01" w:rsidP="002D3A01">
      <w:pPr>
        <w:pStyle w:val="EndnoteText"/>
      </w:pPr>
    </w:p>
  </w:endnote>
  <w:endnote w:id="2">
    <w:p w14:paraId="5D9308A2" w14:textId="77777777" w:rsidR="006959A1" w:rsidRPr="006959A1" w:rsidRDefault="00362FA3" w:rsidP="006959A1">
      <w:pPr>
        <w:pStyle w:val="EndnoteText"/>
      </w:pPr>
      <w:r>
        <w:rPr>
          <w:rStyle w:val="EndnoteReference"/>
        </w:rPr>
        <w:endnoteRef/>
      </w:r>
      <w:r>
        <w:t xml:space="preserve"> </w:t>
      </w:r>
      <w:r w:rsidR="006959A1">
        <w:t>S</w:t>
      </w:r>
      <w:r w:rsidR="006959A1" w:rsidRPr="006959A1">
        <w:t xml:space="preserve">reide JA. Pancreatic necrosis and infection. Br J Surg. </w:t>
      </w:r>
      <w:proofErr w:type="gramStart"/>
      <w:r w:rsidR="006959A1" w:rsidRPr="006959A1">
        <w:t>1998;</w:t>
      </w:r>
      <w:proofErr w:type="gramEnd"/>
      <w:r w:rsidR="006959A1" w:rsidRPr="006959A1">
        <w:t xml:space="preserve">85(7):905-912. </w:t>
      </w:r>
    </w:p>
    <w:p w14:paraId="6CBF2396" w14:textId="77777777" w:rsidR="00362FA3" w:rsidRDefault="006959A1" w:rsidP="006959A1">
      <w:pPr>
        <w:pStyle w:val="EndnoteText"/>
      </w:pPr>
      <w:proofErr w:type="gramStart"/>
      <w:r w:rsidRPr="006959A1">
        <w:t>doi:</w:t>
      </w:r>
      <w:proofErr w:type="gramEnd"/>
      <w:r w:rsidRPr="006959A1">
        <w:t>10.1046/j.1365-2168.1998.00725.</w:t>
      </w:r>
    </w:p>
    <w:p w14:paraId="7BC5318B" w14:textId="77777777" w:rsidR="006959A1" w:rsidRDefault="006959A1" w:rsidP="006959A1">
      <w:pPr>
        <w:pStyle w:val="EndnoteText"/>
      </w:pPr>
    </w:p>
  </w:endnote>
  <w:endnote w:id="3">
    <w:p w14:paraId="570A8BAB" w14:textId="77777777" w:rsidR="006B4A5B" w:rsidRPr="006B4A5B" w:rsidRDefault="006B4A5B" w:rsidP="006B4A5B">
      <w:pPr>
        <w:pStyle w:val="EndnoteText"/>
      </w:pPr>
      <w:r>
        <w:rPr>
          <w:rStyle w:val="EndnoteReference"/>
        </w:rPr>
        <w:endnoteRef/>
      </w:r>
      <w:r>
        <w:t xml:space="preserve"> </w:t>
      </w:r>
      <w:r w:rsidRPr="006B4A5B">
        <w:t xml:space="preserve">Zerem E, Hadzic A. Liver, biliary and pancreatic </w:t>
      </w:r>
      <w:proofErr w:type="gramStart"/>
      <w:r w:rsidRPr="006B4A5B">
        <w:t>diseases:</w:t>
      </w:r>
      <w:proofErr w:type="gramEnd"/>
      <w:r w:rsidRPr="006B4A5B">
        <w:t xml:space="preserve"> Acute biliary pancreatitis. World J Gastroenterol.</w:t>
      </w:r>
      <w:proofErr w:type="gramStart"/>
      <w:r w:rsidRPr="006B4A5B">
        <w:t>2014;</w:t>
      </w:r>
      <w:proofErr w:type="gramEnd"/>
      <w:r w:rsidRPr="006B4A5B">
        <w:t xml:space="preserve">20(44):16589-16596. </w:t>
      </w:r>
      <w:proofErr w:type="gramStart"/>
      <w:r w:rsidRPr="006B4A5B">
        <w:t>doi:</w:t>
      </w:r>
      <w:proofErr w:type="gramEnd"/>
      <w:r w:rsidRPr="006B4A5B">
        <w:t>10.3748/wjg.v20.i44.16589</w:t>
      </w:r>
    </w:p>
    <w:p w14:paraId="4A9D07CC" w14:textId="77777777" w:rsidR="006B4A5B" w:rsidRDefault="006B4A5B">
      <w:pPr>
        <w:pStyle w:val="EndnoteText"/>
      </w:pPr>
    </w:p>
  </w:endnote>
  <w:endnote w:id="4">
    <w:p w14:paraId="0540ED70" w14:textId="77777777" w:rsidR="002D3A01" w:rsidRDefault="002D3A01" w:rsidP="002D3A01">
      <w:pPr>
        <w:pStyle w:val="EndnoteText"/>
      </w:pPr>
      <w:r>
        <w:rPr>
          <w:rStyle w:val="EndnoteReference"/>
        </w:rPr>
        <w:endnoteRef/>
      </w:r>
      <w:r>
        <w:t xml:space="preserve"> </w:t>
      </w:r>
      <w:r w:rsidRPr="002D3A01">
        <w:t>Banks PA, Bollen TL, Dervenis C, et al. Classification of acute pancreatitis-</w:t>
      </w:r>
      <w:proofErr w:type="gramStart"/>
      <w:r w:rsidRPr="002D3A01">
        <w:t>2012:</w:t>
      </w:r>
      <w:proofErr w:type="gramEnd"/>
      <w:r w:rsidRPr="002D3A01">
        <w:t xml:space="preserve"> Revision of the Atlanta</w:t>
      </w:r>
    </w:p>
    <w:p w14:paraId="26E18A60" w14:textId="77777777" w:rsidR="002D3A01" w:rsidRDefault="002D3A01" w:rsidP="002D3A01">
      <w:pPr>
        <w:pStyle w:val="EndnoteText"/>
      </w:pPr>
    </w:p>
  </w:endnote>
  <w:endnote w:id="5">
    <w:p w14:paraId="3586508E" w14:textId="77777777" w:rsidR="00881D03" w:rsidRDefault="00881D03" w:rsidP="002D3A01">
      <w:pPr>
        <w:pStyle w:val="EndnoteText"/>
      </w:pPr>
      <w:r>
        <w:rPr>
          <w:rStyle w:val="EndnoteReference"/>
        </w:rPr>
        <w:endnoteRef/>
      </w:r>
      <w:r>
        <w:t xml:space="preserve"> </w:t>
      </w:r>
      <w:r w:rsidRPr="00881D03">
        <w:t>Wilson, C., Imrie, C. W. &amp; Carter, D. C. Fatal acute pancreatitis. Gut 29, 782–788 (1988)</w:t>
      </w:r>
    </w:p>
    <w:p w14:paraId="7CCD1C97" w14:textId="77777777" w:rsidR="002D3A01" w:rsidRDefault="002D3A01" w:rsidP="002D3A01">
      <w:pPr>
        <w:pStyle w:val="EndnoteText"/>
      </w:pPr>
      <w:proofErr w:type="gramStart"/>
      <w:r w:rsidRPr="002D3A01">
        <w:t>classification</w:t>
      </w:r>
      <w:proofErr w:type="gramEnd"/>
      <w:r w:rsidRPr="002D3A01">
        <w:t xml:space="preserve"> and definitions by international consensus.  Gut. </w:t>
      </w:r>
      <w:proofErr w:type="gramStart"/>
      <w:r w:rsidRPr="002D3A01">
        <w:t>2013;</w:t>
      </w:r>
      <w:proofErr w:type="gramEnd"/>
      <w:r w:rsidRPr="002D3A01">
        <w:t>62(1):102-111.doi:10.1136/gutjnl-2012-302779</w:t>
      </w:r>
    </w:p>
    <w:p w14:paraId="63CED838" w14:textId="77777777" w:rsidR="002D3A01" w:rsidRPr="002D3A01" w:rsidRDefault="002D3A01" w:rsidP="002D3A01">
      <w:pPr>
        <w:pStyle w:val="EndnoteText"/>
      </w:pPr>
    </w:p>
    <w:p w14:paraId="1149D6DB" w14:textId="77777777" w:rsidR="002D3A01" w:rsidRDefault="002D3A01" w:rsidP="00881D03">
      <w:pPr>
        <w:pStyle w:val="EndnoteText"/>
      </w:pPr>
    </w:p>
    <w:p w14:paraId="58C4425C" w14:textId="77777777" w:rsidR="00881D03" w:rsidRDefault="00881D03" w:rsidP="00881D03">
      <w:pPr>
        <w:pStyle w:val="EndnoteText"/>
      </w:pPr>
    </w:p>
  </w:endnote>
  <w:endnote w:id="6">
    <w:p w14:paraId="7C32A31A" w14:textId="77777777" w:rsidR="0009262A" w:rsidRDefault="0009262A" w:rsidP="0009262A">
      <w:pPr>
        <w:pStyle w:val="EndnoteText"/>
      </w:pPr>
      <w:r>
        <w:rPr>
          <w:rStyle w:val="EndnoteReference"/>
        </w:rPr>
        <w:endnoteRef/>
      </w:r>
      <w:r>
        <w:t xml:space="preserve"> </w:t>
      </w:r>
      <w:r w:rsidRPr="0009262A">
        <w:t xml:space="preserve">Isenmann R, Beger HG. Severe acute </w:t>
      </w:r>
      <w:proofErr w:type="gramStart"/>
      <w:r w:rsidRPr="0009262A">
        <w:t>pancreatitis:</w:t>
      </w:r>
      <w:proofErr w:type="gramEnd"/>
      <w:r w:rsidRPr="0009262A">
        <w:t xml:space="preserve"> Clinical course and management. World JGastroenterol. </w:t>
      </w:r>
      <w:proofErr w:type="gramStart"/>
      <w:r w:rsidRPr="0009262A">
        <w:t>1999;</w:t>
      </w:r>
      <w:proofErr w:type="gramEnd"/>
      <w:r w:rsidRPr="0009262A">
        <w:t xml:space="preserve">5(2):75-78. </w:t>
      </w:r>
      <w:proofErr w:type="gramStart"/>
      <w:r w:rsidRPr="0009262A">
        <w:t>doi:</w:t>
      </w:r>
      <w:proofErr w:type="gramEnd"/>
      <w:r w:rsidRPr="0009262A">
        <w:t>10.3748/wjg.v5.i2.75</w:t>
      </w:r>
    </w:p>
    <w:p w14:paraId="3DA81AED" w14:textId="77777777" w:rsidR="0009262A" w:rsidRDefault="0009262A" w:rsidP="0009262A">
      <w:pPr>
        <w:pStyle w:val="EndnoteText"/>
      </w:pPr>
    </w:p>
  </w:endnote>
  <w:endnote w:id="7">
    <w:p w14:paraId="751DC0F3" w14:textId="77777777" w:rsidR="0009262A" w:rsidRDefault="0009262A" w:rsidP="0009262A">
      <w:pPr>
        <w:pStyle w:val="EndnoteText"/>
      </w:pPr>
      <w:r>
        <w:rPr>
          <w:rStyle w:val="EndnoteReference"/>
        </w:rPr>
        <w:endnoteRef/>
      </w:r>
      <w:r>
        <w:t xml:space="preserve"> </w:t>
      </w:r>
      <w:r w:rsidRPr="0009262A">
        <w:t xml:space="preserve">Sakorafas GH, Tsiotou AG. Perforation of the colon in severe acute </w:t>
      </w:r>
      <w:proofErr w:type="gramStart"/>
      <w:r w:rsidRPr="0009262A">
        <w:t>pancreatitis:</w:t>
      </w:r>
      <w:proofErr w:type="gramEnd"/>
      <w:r w:rsidRPr="0009262A">
        <w:t xml:space="preserve"> Pathogenesis andmanagement. Surgical Today. </w:t>
      </w:r>
      <w:proofErr w:type="gramStart"/>
      <w:r w:rsidRPr="0009262A">
        <w:t>2000;</w:t>
      </w:r>
      <w:proofErr w:type="gramEnd"/>
      <w:r w:rsidRPr="0009262A">
        <w:t xml:space="preserve">30(6):504-509. </w:t>
      </w:r>
      <w:proofErr w:type="gramStart"/>
      <w:r w:rsidRPr="0009262A">
        <w:t>doi:</w:t>
      </w:r>
      <w:proofErr w:type="gramEnd"/>
      <w:r w:rsidRPr="0009262A">
        <w:t>10.1007/s005950070038</w:t>
      </w:r>
    </w:p>
    <w:p w14:paraId="118015BA" w14:textId="77777777" w:rsidR="0009262A" w:rsidRDefault="0009262A" w:rsidP="0009262A">
      <w:pPr>
        <w:pStyle w:val="EndnoteText"/>
      </w:pPr>
    </w:p>
  </w:endnote>
  <w:endnote w:id="8">
    <w:p w14:paraId="79CE4653" w14:textId="77777777" w:rsidR="00DA66AA" w:rsidRDefault="00DA66AA" w:rsidP="00DA66AA">
      <w:pPr>
        <w:pStyle w:val="EndnoteText"/>
      </w:pPr>
      <w:r>
        <w:rPr>
          <w:rStyle w:val="EndnoteReference"/>
        </w:rPr>
        <w:endnoteRef/>
      </w:r>
      <w:r>
        <w:t xml:space="preserve"> </w:t>
      </w:r>
      <w:r w:rsidRPr="00DA66AA">
        <w:t>Acosta JM, Katkhouda N, Tanaka J, et al. Colonic complications of severe acute pancreatitis. Am Surg.</w:t>
      </w:r>
      <w:proofErr w:type="gramStart"/>
      <w:r w:rsidRPr="00DA66AA">
        <w:t>1998;</w:t>
      </w:r>
      <w:proofErr w:type="gramEnd"/>
      <w:r w:rsidRPr="00DA66AA">
        <w:t>64(3):250-254.</w:t>
      </w:r>
    </w:p>
    <w:p w14:paraId="796CE279" w14:textId="77777777" w:rsidR="00DA66AA" w:rsidRDefault="00DA66AA" w:rsidP="00DA66AA">
      <w:pPr>
        <w:pStyle w:val="EndnoteText"/>
      </w:pPr>
    </w:p>
  </w:endnote>
  <w:endnote w:id="9">
    <w:p w14:paraId="613933C4" w14:textId="77777777" w:rsidR="00DA66AA" w:rsidRDefault="00DA66AA" w:rsidP="00DA66AA">
      <w:pPr>
        <w:pStyle w:val="EndnoteText"/>
      </w:pPr>
      <w:r>
        <w:rPr>
          <w:rStyle w:val="EndnoteReference"/>
        </w:rPr>
        <w:endnoteRef/>
      </w:r>
      <w:r>
        <w:t xml:space="preserve"> </w:t>
      </w:r>
      <w:r w:rsidRPr="00DA66AA">
        <w:t xml:space="preserve">Gornals JB, De-la-Hera M, Crdenas-Jan K, et al. Colonic </w:t>
      </w:r>
      <w:proofErr w:type="gramStart"/>
      <w:r w:rsidRPr="00DA66AA">
        <w:t>perforation:</w:t>
      </w:r>
      <w:proofErr w:type="gramEnd"/>
      <w:r w:rsidRPr="00DA66AA">
        <w:t xml:space="preserve"> An uncommon but severe complication in necrotizing pancreatitis. Pancreatology. </w:t>
      </w:r>
      <w:proofErr w:type="gramStart"/>
      <w:r w:rsidRPr="00DA66AA">
        <w:t>2013;</w:t>
      </w:r>
      <w:proofErr w:type="gramEnd"/>
      <w:r w:rsidRPr="00DA66AA">
        <w:t xml:space="preserve">13(4):415-418. </w:t>
      </w:r>
      <w:proofErr w:type="gramStart"/>
      <w:r w:rsidRPr="00DA66AA">
        <w:t>doi:10.1016/j.pan</w:t>
      </w:r>
      <w:proofErr w:type="gramEnd"/>
      <w:r w:rsidRPr="00DA66AA">
        <w:t>.2013.04.003</w:t>
      </w:r>
    </w:p>
    <w:p w14:paraId="6A83D120" w14:textId="77777777" w:rsidR="00DA66AA" w:rsidRDefault="00DA66AA" w:rsidP="00DA66AA">
      <w:pPr>
        <w:pStyle w:val="EndnoteText"/>
      </w:pPr>
    </w:p>
  </w:endnote>
  <w:endnote w:id="10">
    <w:p w14:paraId="5DFA9A2E" w14:textId="77777777" w:rsidR="00DA66AA" w:rsidRDefault="00DA66AA" w:rsidP="00DA66AA">
      <w:pPr>
        <w:pStyle w:val="EndnoteText"/>
      </w:pPr>
      <w:r>
        <w:rPr>
          <w:rStyle w:val="EndnoteReference"/>
        </w:rPr>
        <w:endnoteRef/>
      </w:r>
      <w:r>
        <w:t xml:space="preserve"> </w:t>
      </w:r>
      <w:r w:rsidRPr="00DA66AA">
        <w:t>Aghenta, Anthony A., et Hack J. Kim. « An Unusual Case of Colon Perforation Complicating Acute Pancreatitis ». </w:t>
      </w:r>
      <w:r w:rsidRPr="00DA66AA">
        <w:rPr>
          <w:i/>
          <w:iCs/>
        </w:rPr>
        <w:t>Case Reports in Gastroenterology</w:t>
      </w:r>
      <w:r w:rsidRPr="00DA66AA">
        <w:t> 3, n</w:t>
      </w:r>
      <w:r w:rsidRPr="00DA66AA">
        <w:rPr>
          <w:vertAlign w:val="superscript"/>
        </w:rPr>
        <w:t>o</w:t>
      </w:r>
      <w:r w:rsidRPr="00DA66AA">
        <w:t> 2 (2009</w:t>
      </w:r>
      <w:proofErr w:type="gramStart"/>
      <w:r w:rsidRPr="00DA66AA">
        <w:t>):</w:t>
      </w:r>
      <w:proofErr w:type="gramEnd"/>
      <w:r w:rsidRPr="00DA66AA">
        <w:t xml:space="preserve"> 207</w:t>
      </w:r>
      <w:r w:rsidRPr="00DA66AA">
        <w:noBreakHyphen/>
        <w:t>13. </w:t>
      </w:r>
      <w:hyperlink r:id="rId1" w:history="1">
        <w:r w:rsidRPr="00DA66AA">
          <w:rPr>
            <w:rStyle w:val="Hyperlink"/>
          </w:rPr>
          <w:t>https://doi.org/10.1159/000226609</w:t>
        </w:r>
      </w:hyperlink>
      <w:r w:rsidRPr="00DA66AA">
        <w:t>.</w:t>
      </w:r>
    </w:p>
    <w:p w14:paraId="71F9C394" w14:textId="77777777" w:rsidR="00DA66AA" w:rsidRDefault="00DA66AA">
      <w:pPr>
        <w:pStyle w:val="EndnoteText"/>
      </w:pPr>
    </w:p>
  </w:endnote>
  <w:endnote w:id="11">
    <w:p w14:paraId="15D1020C" w14:textId="77777777" w:rsidR="00DA66AA" w:rsidRPr="00DA66AA" w:rsidRDefault="00DA66AA" w:rsidP="00DA66AA">
      <w:pPr>
        <w:pStyle w:val="EndnoteText"/>
      </w:pPr>
      <w:r>
        <w:rPr>
          <w:rStyle w:val="EndnoteReference"/>
        </w:rPr>
        <w:endnoteRef/>
      </w:r>
      <w:r>
        <w:t xml:space="preserve"> </w:t>
      </w:r>
      <w:r w:rsidRPr="00DA66AA">
        <w:t xml:space="preserve">Gao, L. et al. Management of colonic fistulas in patients with infected pancreatic </w:t>
      </w:r>
    </w:p>
    <w:p w14:paraId="0E4854D0" w14:textId="77777777" w:rsidR="00DA66AA" w:rsidRDefault="00DA66AA" w:rsidP="00DA66AA">
      <w:pPr>
        <w:pStyle w:val="EndnoteText"/>
      </w:pPr>
      <w:proofErr w:type="gramStart"/>
      <w:r w:rsidRPr="00DA66AA">
        <w:t>necrosis</w:t>
      </w:r>
      <w:proofErr w:type="gramEnd"/>
      <w:r w:rsidRPr="00DA66AA">
        <w:t xml:space="preserve"> being treated with a step-up approach. HPB 22, 1738–1744 (2020)</w:t>
      </w:r>
    </w:p>
    <w:p w14:paraId="07EA69DC" w14:textId="77777777" w:rsidR="00DA66AA" w:rsidRDefault="00DA66AA" w:rsidP="00DA66AA">
      <w:pPr>
        <w:pStyle w:val="EndnoteText"/>
      </w:pPr>
    </w:p>
    <w:p w14:paraId="46EBDC89" w14:textId="77777777" w:rsidR="00DA66AA" w:rsidRPr="00DA66AA" w:rsidRDefault="00DA66AA" w:rsidP="00DA66AA">
      <w:pPr>
        <w:pStyle w:val="EndnoteText"/>
      </w:pPr>
    </w:p>
    <w:p w14:paraId="617855C6" w14:textId="77777777" w:rsidR="00DA66AA" w:rsidRDefault="00DA66AA">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inherit">
    <w:altName w:val="Times New Roman"/>
    <w:charset w:val="00"/>
    <w:family w:val="roman"/>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89D1A3" w14:textId="77777777" w:rsidR="00F70CDA" w:rsidRDefault="00F70CD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4E8DA7" w14:textId="77777777" w:rsidR="00F70CDA" w:rsidRDefault="00F70CD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CAFE2F" w14:textId="77777777" w:rsidR="00F70CDA" w:rsidRDefault="00F70CD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CD06B58" w14:textId="77777777" w:rsidR="00995EAC" w:rsidRDefault="00995EAC">
      <w:pPr>
        <w:spacing w:after="0"/>
      </w:pPr>
      <w:r>
        <w:separator/>
      </w:r>
    </w:p>
  </w:footnote>
  <w:footnote w:type="continuationSeparator" w:id="0">
    <w:p w14:paraId="31F97D22" w14:textId="77777777" w:rsidR="00995EAC" w:rsidRDefault="00995EAC">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58F6B2" w14:textId="29451D63" w:rsidR="00F70CDA" w:rsidRDefault="00F70CDA">
    <w:pPr>
      <w:pStyle w:val="Header"/>
    </w:pPr>
    <w:r>
      <w:rPr>
        <w:noProof/>
      </w:rPr>
      <w:pict w14:anchorId="10BFCDC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9126829" o:spid="_x0000_s2050" type="#_x0000_t136" style="position:absolute;margin-left:0;margin-top:0;width:538.55pt;height:100.9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246B89" w14:textId="1BF9F653" w:rsidR="00F70CDA" w:rsidRDefault="00F70CDA">
    <w:pPr>
      <w:pStyle w:val="Header"/>
    </w:pPr>
    <w:r>
      <w:rPr>
        <w:noProof/>
      </w:rPr>
      <w:pict w14:anchorId="4D9D05F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9126830" o:spid="_x0000_s2051" type="#_x0000_t136" style="position:absolute;margin-left:0;margin-top:0;width:538.55pt;height:100.9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137FF6" w14:textId="2BDB8CE6" w:rsidR="00F70CDA" w:rsidRDefault="00F70CDA">
    <w:pPr>
      <w:pStyle w:val="Header"/>
    </w:pPr>
    <w:r>
      <w:rPr>
        <w:noProof/>
      </w:rPr>
      <w:pict w14:anchorId="247B5E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9126828" o:spid="_x0000_s2049" type="#_x0000_t136" style="position:absolute;margin-left:0;margin-top:0;width:538.55pt;height:100.9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5323253"/>
    <w:multiLevelType w:val="hybridMultilevel"/>
    <w:tmpl w:val="A9B054BE"/>
    <w:lvl w:ilvl="0" w:tplc="8BF244B2">
      <w:start w:val="1"/>
      <w:numFmt w:val="decimal"/>
      <w:lvlText w:val="%1."/>
      <w:lvlJc w:val="left"/>
      <w:pPr>
        <w:ind w:left="5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F3A4B4E">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7ACDE14">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B90931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F6AE69C">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C8A9B38">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27EABA70">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7DE25EE">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2EAB146">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31D90BE2"/>
    <w:multiLevelType w:val="multilevel"/>
    <w:tmpl w:val="31D90BE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34D923AA"/>
    <w:multiLevelType w:val="hybridMultilevel"/>
    <w:tmpl w:val="B90EC09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3B47586E"/>
    <w:multiLevelType w:val="hybridMultilevel"/>
    <w:tmpl w:val="8470235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41866658"/>
    <w:multiLevelType w:val="hybridMultilevel"/>
    <w:tmpl w:val="10C46F52"/>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 w15:restartNumberingAfterBreak="0">
    <w:nsid w:val="4EEE3F3C"/>
    <w:multiLevelType w:val="hybridMultilevel"/>
    <w:tmpl w:val="86F255DA"/>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 w15:restartNumberingAfterBreak="0">
    <w:nsid w:val="54CB2852"/>
    <w:multiLevelType w:val="hybridMultilevel"/>
    <w:tmpl w:val="00006474"/>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 w15:restartNumberingAfterBreak="0">
    <w:nsid w:val="59403AB5"/>
    <w:multiLevelType w:val="hybridMultilevel"/>
    <w:tmpl w:val="EFFC5A4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8" w15:restartNumberingAfterBreak="0">
    <w:nsid w:val="5EA82012"/>
    <w:multiLevelType w:val="hybridMultilevel"/>
    <w:tmpl w:val="1B5CE9E8"/>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9" w15:restartNumberingAfterBreak="0">
    <w:nsid w:val="65E677C2"/>
    <w:multiLevelType w:val="multilevel"/>
    <w:tmpl w:val="65E677C2"/>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0" w15:restartNumberingAfterBreak="0">
    <w:nsid w:val="6C8447AC"/>
    <w:multiLevelType w:val="hybridMultilevel"/>
    <w:tmpl w:val="27846510"/>
    <w:lvl w:ilvl="0" w:tplc="FFFFFFF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6CCB0281"/>
    <w:multiLevelType w:val="hybridMultilevel"/>
    <w:tmpl w:val="F506A508"/>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2" w15:restartNumberingAfterBreak="0">
    <w:nsid w:val="7C81286C"/>
    <w:multiLevelType w:val="hybridMultilevel"/>
    <w:tmpl w:val="7A6863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7EE1637E"/>
    <w:multiLevelType w:val="hybridMultilevel"/>
    <w:tmpl w:val="5EA8C2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9"/>
  </w:num>
  <w:num w:numId="3">
    <w:abstractNumId w:val="0"/>
  </w:num>
  <w:num w:numId="4">
    <w:abstractNumId w:val="2"/>
  </w:num>
  <w:num w:numId="5">
    <w:abstractNumId w:val="12"/>
  </w:num>
  <w:num w:numId="6">
    <w:abstractNumId w:val="13"/>
  </w:num>
  <w:num w:numId="7">
    <w:abstractNumId w:val="10"/>
  </w:num>
  <w:num w:numId="8">
    <w:abstractNumId w:val="5"/>
  </w:num>
  <w:num w:numId="9">
    <w:abstractNumId w:val="6"/>
  </w:num>
  <w:num w:numId="10">
    <w:abstractNumId w:val="7"/>
  </w:num>
  <w:num w:numId="11">
    <w:abstractNumId w:val="11"/>
  </w:num>
  <w:num w:numId="12">
    <w:abstractNumId w:val="4"/>
  </w:num>
  <w:num w:numId="13">
    <w:abstractNumId w:val="8"/>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08"/>
  <w:hyphenationZone w:val="425"/>
  <w:noPunctuationKerning/>
  <w:characterSpacingControl w:val="doNotCompress"/>
  <w:hdrShapeDefaults>
    <o:shapedefaults v:ext="edit" spidmax="2052" fillcolor="white">
      <v:fill color="white"/>
    </o:shapedefaults>
    <o:shapelayout v:ext="edit">
      <o:idmap v:ext="edit" data="2"/>
    </o:shapelayout>
  </w:hdrShapeDefaults>
  <w:footnotePr>
    <w:footnote w:id="-1"/>
    <w:footnote w:id="0"/>
  </w:footnotePr>
  <w:endnotePr>
    <w:endnote w:id="-1"/>
    <w:endnote w:id="0"/>
  </w:endnotePr>
  <w:compat>
    <w:doNotExpandShiftReturn/>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C5831"/>
    <w:rsid w:val="00000933"/>
    <w:rsid w:val="00016052"/>
    <w:rsid w:val="00027606"/>
    <w:rsid w:val="0003057A"/>
    <w:rsid w:val="00032EBB"/>
    <w:rsid w:val="00032F46"/>
    <w:rsid w:val="0004159D"/>
    <w:rsid w:val="00046F18"/>
    <w:rsid w:val="00050B3A"/>
    <w:rsid w:val="000674D5"/>
    <w:rsid w:val="000761BD"/>
    <w:rsid w:val="00076DAA"/>
    <w:rsid w:val="00082B44"/>
    <w:rsid w:val="0008319F"/>
    <w:rsid w:val="0008361F"/>
    <w:rsid w:val="00083FBD"/>
    <w:rsid w:val="00086F01"/>
    <w:rsid w:val="000924DC"/>
    <w:rsid w:val="0009262A"/>
    <w:rsid w:val="00095ABC"/>
    <w:rsid w:val="000A2196"/>
    <w:rsid w:val="000A28AD"/>
    <w:rsid w:val="000A7C46"/>
    <w:rsid w:val="000B1843"/>
    <w:rsid w:val="000B18F2"/>
    <w:rsid w:val="000B65AB"/>
    <w:rsid w:val="000C573F"/>
    <w:rsid w:val="000D2646"/>
    <w:rsid w:val="000D6647"/>
    <w:rsid w:val="000E002E"/>
    <w:rsid w:val="000E046F"/>
    <w:rsid w:val="000E1706"/>
    <w:rsid w:val="000E5397"/>
    <w:rsid w:val="000E5E77"/>
    <w:rsid w:val="000F55A9"/>
    <w:rsid w:val="000F596A"/>
    <w:rsid w:val="000F6C2D"/>
    <w:rsid w:val="000F774E"/>
    <w:rsid w:val="000F791F"/>
    <w:rsid w:val="000F79A7"/>
    <w:rsid w:val="00102C02"/>
    <w:rsid w:val="00113ACC"/>
    <w:rsid w:val="00114513"/>
    <w:rsid w:val="001168D7"/>
    <w:rsid w:val="00123EAD"/>
    <w:rsid w:val="00125E5C"/>
    <w:rsid w:val="001341D9"/>
    <w:rsid w:val="00134A4A"/>
    <w:rsid w:val="001357C8"/>
    <w:rsid w:val="00140262"/>
    <w:rsid w:val="00146F86"/>
    <w:rsid w:val="00153AEE"/>
    <w:rsid w:val="00157B21"/>
    <w:rsid w:val="00160BDD"/>
    <w:rsid w:val="00162F63"/>
    <w:rsid w:val="00167556"/>
    <w:rsid w:val="00167B02"/>
    <w:rsid w:val="00170C6D"/>
    <w:rsid w:val="0017117E"/>
    <w:rsid w:val="00172427"/>
    <w:rsid w:val="00177796"/>
    <w:rsid w:val="001839D6"/>
    <w:rsid w:val="00183D0B"/>
    <w:rsid w:val="001861CA"/>
    <w:rsid w:val="00191C7B"/>
    <w:rsid w:val="0019512E"/>
    <w:rsid w:val="00195ADE"/>
    <w:rsid w:val="001A5697"/>
    <w:rsid w:val="001A5C07"/>
    <w:rsid w:val="001D2222"/>
    <w:rsid w:val="001D4B2B"/>
    <w:rsid w:val="001D7400"/>
    <w:rsid w:val="001E1915"/>
    <w:rsid w:val="001F56A6"/>
    <w:rsid w:val="00203572"/>
    <w:rsid w:val="00204ECC"/>
    <w:rsid w:val="0021172A"/>
    <w:rsid w:val="00214F32"/>
    <w:rsid w:val="00215461"/>
    <w:rsid w:val="00221A76"/>
    <w:rsid w:val="0022758B"/>
    <w:rsid w:val="00230B98"/>
    <w:rsid w:val="00234034"/>
    <w:rsid w:val="00237598"/>
    <w:rsid w:val="00237617"/>
    <w:rsid w:val="00241227"/>
    <w:rsid w:val="00242E40"/>
    <w:rsid w:val="0024654A"/>
    <w:rsid w:val="0024798B"/>
    <w:rsid w:val="00255BC5"/>
    <w:rsid w:val="00257B76"/>
    <w:rsid w:val="002650C5"/>
    <w:rsid w:val="0026529D"/>
    <w:rsid w:val="00271B02"/>
    <w:rsid w:val="002741B7"/>
    <w:rsid w:val="00283AFF"/>
    <w:rsid w:val="002910B3"/>
    <w:rsid w:val="002932FF"/>
    <w:rsid w:val="00297C08"/>
    <w:rsid w:val="002B591E"/>
    <w:rsid w:val="002C1548"/>
    <w:rsid w:val="002C6FA5"/>
    <w:rsid w:val="002D3A01"/>
    <w:rsid w:val="002D5864"/>
    <w:rsid w:val="002E067E"/>
    <w:rsid w:val="002E2662"/>
    <w:rsid w:val="00301E47"/>
    <w:rsid w:val="003054F8"/>
    <w:rsid w:val="00306418"/>
    <w:rsid w:val="00307E44"/>
    <w:rsid w:val="00311DCD"/>
    <w:rsid w:val="00312346"/>
    <w:rsid w:val="00312A51"/>
    <w:rsid w:val="0032214A"/>
    <w:rsid w:val="003300A6"/>
    <w:rsid w:val="00332FF7"/>
    <w:rsid w:val="00336700"/>
    <w:rsid w:val="003419D8"/>
    <w:rsid w:val="003420C3"/>
    <w:rsid w:val="00346774"/>
    <w:rsid w:val="00350428"/>
    <w:rsid w:val="00362C3B"/>
    <w:rsid w:val="00362FA3"/>
    <w:rsid w:val="00366748"/>
    <w:rsid w:val="00366B0A"/>
    <w:rsid w:val="00372689"/>
    <w:rsid w:val="00373927"/>
    <w:rsid w:val="00373998"/>
    <w:rsid w:val="003761CB"/>
    <w:rsid w:val="00387197"/>
    <w:rsid w:val="00390D19"/>
    <w:rsid w:val="00394EA6"/>
    <w:rsid w:val="00396CA1"/>
    <w:rsid w:val="00397FC9"/>
    <w:rsid w:val="003A1E89"/>
    <w:rsid w:val="003B3E36"/>
    <w:rsid w:val="003B50A4"/>
    <w:rsid w:val="003C33C7"/>
    <w:rsid w:val="003C5BF3"/>
    <w:rsid w:val="003D2D8C"/>
    <w:rsid w:val="003E4076"/>
    <w:rsid w:val="003E5E59"/>
    <w:rsid w:val="003E654C"/>
    <w:rsid w:val="003E77BB"/>
    <w:rsid w:val="003F331F"/>
    <w:rsid w:val="003F58E5"/>
    <w:rsid w:val="0040258C"/>
    <w:rsid w:val="00403AB7"/>
    <w:rsid w:val="00403E65"/>
    <w:rsid w:val="0040417E"/>
    <w:rsid w:val="00404AE3"/>
    <w:rsid w:val="00414ADC"/>
    <w:rsid w:val="004239F2"/>
    <w:rsid w:val="00425DF1"/>
    <w:rsid w:val="00425F3E"/>
    <w:rsid w:val="004354E1"/>
    <w:rsid w:val="00440F0E"/>
    <w:rsid w:val="0044121D"/>
    <w:rsid w:val="00441A59"/>
    <w:rsid w:val="00456D97"/>
    <w:rsid w:val="00461EAC"/>
    <w:rsid w:val="00462FB3"/>
    <w:rsid w:val="00463E9C"/>
    <w:rsid w:val="004738C0"/>
    <w:rsid w:val="004747AF"/>
    <w:rsid w:val="004863B4"/>
    <w:rsid w:val="00487BB1"/>
    <w:rsid w:val="00490CC4"/>
    <w:rsid w:val="00494DF0"/>
    <w:rsid w:val="00494FB4"/>
    <w:rsid w:val="004B3DC4"/>
    <w:rsid w:val="004B4830"/>
    <w:rsid w:val="004B4AFD"/>
    <w:rsid w:val="004B6A54"/>
    <w:rsid w:val="004C05BC"/>
    <w:rsid w:val="004C0BA8"/>
    <w:rsid w:val="004C2B20"/>
    <w:rsid w:val="004C64E8"/>
    <w:rsid w:val="004C757B"/>
    <w:rsid w:val="004D1022"/>
    <w:rsid w:val="004D468B"/>
    <w:rsid w:val="004F0C58"/>
    <w:rsid w:val="004F3FD3"/>
    <w:rsid w:val="004F65B0"/>
    <w:rsid w:val="00501B75"/>
    <w:rsid w:val="005021DC"/>
    <w:rsid w:val="0051386C"/>
    <w:rsid w:val="00515710"/>
    <w:rsid w:val="00516713"/>
    <w:rsid w:val="005209ED"/>
    <w:rsid w:val="00534DFC"/>
    <w:rsid w:val="005505E6"/>
    <w:rsid w:val="0055498C"/>
    <w:rsid w:val="005811F5"/>
    <w:rsid w:val="00583492"/>
    <w:rsid w:val="005953C2"/>
    <w:rsid w:val="005965F8"/>
    <w:rsid w:val="005A555D"/>
    <w:rsid w:val="005A6472"/>
    <w:rsid w:val="005B0ED8"/>
    <w:rsid w:val="005C5FD8"/>
    <w:rsid w:val="005D35E0"/>
    <w:rsid w:val="005D711E"/>
    <w:rsid w:val="005E066F"/>
    <w:rsid w:val="005E1A92"/>
    <w:rsid w:val="005E2F83"/>
    <w:rsid w:val="005F0A7A"/>
    <w:rsid w:val="005F4B03"/>
    <w:rsid w:val="005F53E9"/>
    <w:rsid w:val="006167D9"/>
    <w:rsid w:val="006170AF"/>
    <w:rsid w:val="006174A5"/>
    <w:rsid w:val="00621108"/>
    <w:rsid w:val="00630A8B"/>
    <w:rsid w:val="0063436B"/>
    <w:rsid w:val="00637921"/>
    <w:rsid w:val="00637D51"/>
    <w:rsid w:val="00647A84"/>
    <w:rsid w:val="0066747E"/>
    <w:rsid w:val="00674D63"/>
    <w:rsid w:val="00691A17"/>
    <w:rsid w:val="0069206F"/>
    <w:rsid w:val="0069496E"/>
    <w:rsid w:val="006959A1"/>
    <w:rsid w:val="006A5880"/>
    <w:rsid w:val="006B4664"/>
    <w:rsid w:val="006B4A5B"/>
    <w:rsid w:val="006B6A4D"/>
    <w:rsid w:val="006C175F"/>
    <w:rsid w:val="006C2A4C"/>
    <w:rsid w:val="006C2EE7"/>
    <w:rsid w:val="006C383A"/>
    <w:rsid w:val="006D0F80"/>
    <w:rsid w:val="006D308A"/>
    <w:rsid w:val="006D5042"/>
    <w:rsid w:val="006E0614"/>
    <w:rsid w:val="006E0B90"/>
    <w:rsid w:val="006E44C6"/>
    <w:rsid w:val="006E5ED8"/>
    <w:rsid w:val="006E65AF"/>
    <w:rsid w:val="006F3650"/>
    <w:rsid w:val="006F51CE"/>
    <w:rsid w:val="006F5556"/>
    <w:rsid w:val="0070098D"/>
    <w:rsid w:val="00703449"/>
    <w:rsid w:val="00707AC2"/>
    <w:rsid w:val="00710CF7"/>
    <w:rsid w:val="00710E6A"/>
    <w:rsid w:val="00713D8E"/>
    <w:rsid w:val="007173C8"/>
    <w:rsid w:val="00724550"/>
    <w:rsid w:val="00747665"/>
    <w:rsid w:val="0075216F"/>
    <w:rsid w:val="00753751"/>
    <w:rsid w:val="007574B4"/>
    <w:rsid w:val="00765ABD"/>
    <w:rsid w:val="0077549B"/>
    <w:rsid w:val="00780474"/>
    <w:rsid w:val="0078227E"/>
    <w:rsid w:val="00785A47"/>
    <w:rsid w:val="00786A96"/>
    <w:rsid w:val="00790B1E"/>
    <w:rsid w:val="00793CBA"/>
    <w:rsid w:val="00796762"/>
    <w:rsid w:val="007B65FC"/>
    <w:rsid w:val="007C1081"/>
    <w:rsid w:val="007C1A14"/>
    <w:rsid w:val="007C3CC9"/>
    <w:rsid w:val="007C433D"/>
    <w:rsid w:val="007D6090"/>
    <w:rsid w:val="007D6381"/>
    <w:rsid w:val="007D7C99"/>
    <w:rsid w:val="007E0CE8"/>
    <w:rsid w:val="007E1ACC"/>
    <w:rsid w:val="007F20E4"/>
    <w:rsid w:val="007F5793"/>
    <w:rsid w:val="007F64C4"/>
    <w:rsid w:val="00807BB8"/>
    <w:rsid w:val="008117CD"/>
    <w:rsid w:val="00812CCA"/>
    <w:rsid w:val="00813892"/>
    <w:rsid w:val="0081462A"/>
    <w:rsid w:val="008156AA"/>
    <w:rsid w:val="00825590"/>
    <w:rsid w:val="008317CC"/>
    <w:rsid w:val="0083589C"/>
    <w:rsid w:val="0085637C"/>
    <w:rsid w:val="008614B3"/>
    <w:rsid w:val="00862E08"/>
    <w:rsid w:val="0087346B"/>
    <w:rsid w:val="00877E29"/>
    <w:rsid w:val="00881D03"/>
    <w:rsid w:val="0088345A"/>
    <w:rsid w:val="00893AAD"/>
    <w:rsid w:val="008962C7"/>
    <w:rsid w:val="00896B7B"/>
    <w:rsid w:val="008A2EFE"/>
    <w:rsid w:val="008B0D77"/>
    <w:rsid w:val="008B681D"/>
    <w:rsid w:val="008D577D"/>
    <w:rsid w:val="008E2007"/>
    <w:rsid w:val="008E2F61"/>
    <w:rsid w:val="008E37C3"/>
    <w:rsid w:val="008E4A14"/>
    <w:rsid w:val="008F3DDD"/>
    <w:rsid w:val="00905CE9"/>
    <w:rsid w:val="009065AE"/>
    <w:rsid w:val="009077A1"/>
    <w:rsid w:val="00914EC6"/>
    <w:rsid w:val="00922872"/>
    <w:rsid w:val="00926B64"/>
    <w:rsid w:val="0093285C"/>
    <w:rsid w:val="00936A17"/>
    <w:rsid w:val="009413F6"/>
    <w:rsid w:val="0094488D"/>
    <w:rsid w:val="00950FD0"/>
    <w:rsid w:val="009511D2"/>
    <w:rsid w:val="00954F23"/>
    <w:rsid w:val="00957D37"/>
    <w:rsid w:val="009603D5"/>
    <w:rsid w:val="00962056"/>
    <w:rsid w:val="00980C1B"/>
    <w:rsid w:val="00987B44"/>
    <w:rsid w:val="009931A9"/>
    <w:rsid w:val="0099509B"/>
    <w:rsid w:val="00995EAC"/>
    <w:rsid w:val="009A6A4A"/>
    <w:rsid w:val="009B25DD"/>
    <w:rsid w:val="009B2E02"/>
    <w:rsid w:val="009B2EAB"/>
    <w:rsid w:val="009C0CD3"/>
    <w:rsid w:val="009C1E11"/>
    <w:rsid w:val="009C5831"/>
    <w:rsid w:val="009D0A6A"/>
    <w:rsid w:val="009D34DD"/>
    <w:rsid w:val="009E393B"/>
    <w:rsid w:val="009E5566"/>
    <w:rsid w:val="009F1552"/>
    <w:rsid w:val="009F7223"/>
    <w:rsid w:val="009F7E6B"/>
    <w:rsid w:val="00A00DD5"/>
    <w:rsid w:val="00A0419D"/>
    <w:rsid w:val="00A06376"/>
    <w:rsid w:val="00A21B91"/>
    <w:rsid w:val="00A32845"/>
    <w:rsid w:val="00A35208"/>
    <w:rsid w:val="00A3790F"/>
    <w:rsid w:val="00A46DC2"/>
    <w:rsid w:val="00A5035D"/>
    <w:rsid w:val="00A5250E"/>
    <w:rsid w:val="00A52945"/>
    <w:rsid w:val="00A57349"/>
    <w:rsid w:val="00A63DFE"/>
    <w:rsid w:val="00A64B39"/>
    <w:rsid w:val="00A712C6"/>
    <w:rsid w:val="00A73922"/>
    <w:rsid w:val="00A73E75"/>
    <w:rsid w:val="00A7534A"/>
    <w:rsid w:val="00A759EF"/>
    <w:rsid w:val="00A775C1"/>
    <w:rsid w:val="00A87F1F"/>
    <w:rsid w:val="00A9586A"/>
    <w:rsid w:val="00AC0220"/>
    <w:rsid w:val="00AD19ED"/>
    <w:rsid w:val="00AD410E"/>
    <w:rsid w:val="00AD43F5"/>
    <w:rsid w:val="00AE0BA8"/>
    <w:rsid w:val="00AE20DC"/>
    <w:rsid w:val="00AE33EA"/>
    <w:rsid w:val="00AF00A5"/>
    <w:rsid w:val="00AF3B95"/>
    <w:rsid w:val="00B01A2B"/>
    <w:rsid w:val="00B10016"/>
    <w:rsid w:val="00B11B1F"/>
    <w:rsid w:val="00B174B5"/>
    <w:rsid w:val="00B222A5"/>
    <w:rsid w:val="00B248E6"/>
    <w:rsid w:val="00B27B04"/>
    <w:rsid w:val="00B33B91"/>
    <w:rsid w:val="00B37AF6"/>
    <w:rsid w:val="00B4592B"/>
    <w:rsid w:val="00B52DCC"/>
    <w:rsid w:val="00B52E43"/>
    <w:rsid w:val="00B533A4"/>
    <w:rsid w:val="00B57AE8"/>
    <w:rsid w:val="00B6558F"/>
    <w:rsid w:val="00B66831"/>
    <w:rsid w:val="00B7435D"/>
    <w:rsid w:val="00B86FDC"/>
    <w:rsid w:val="00B942C6"/>
    <w:rsid w:val="00BA13BD"/>
    <w:rsid w:val="00BB0039"/>
    <w:rsid w:val="00BB291F"/>
    <w:rsid w:val="00BB3AB6"/>
    <w:rsid w:val="00BB7D91"/>
    <w:rsid w:val="00BC2C16"/>
    <w:rsid w:val="00BD4EFE"/>
    <w:rsid w:val="00BE60C2"/>
    <w:rsid w:val="00BE6F64"/>
    <w:rsid w:val="00BF1C47"/>
    <w:rsid w:val="00C008F4"/>
    <w:rsid w:val="00C05BDA"/>
    <w:rsid w:val="00C12D8B"/>
    <w:rsid w:val="00C13260"/>
    <w:rsid w:val="00C167A6"/>
    <w:rsid w:val="00C30B41"/>
    <w:rsid w:val="00C47B23"/>
    <w:rsid w:val="00C510FC"/>
    <w:rsid w:val="00C515D9"/>
    <w:rsid w:val="00C63901"/>
    <w:rsid w:val="00C64422"/>
    <w:rsid w:val="00C67873"/>
    <w:rsid w:val="00C67C6F"/>
    <w:rsid w:val="00C71930"/>
    <w:rsid w:val="00C74EA3"/>
    <w:rsid w:val="00C819CF"/>
    <w:rsid w:val="00C86630"/>
    <w:rsid w:val="00C957AE"/>
    <w:rsid w:val="00C96D71"/>
    <w:rsid w:val="00C97BB0"/>
    <w:rsid w:val="00CA09C1"/>
    <w:rsid w:val="00CA3E01"/>
    <w:rsid w:val="00CA469D"/>
    <w:rsid w:val="00CA5C1F"/>
    <w:rsid w:val="00CA69C4"/>
    <w:rsid w:val="00CA7A39"/>
    <w:rsid w:val="00CB0FC8"/>
    <w:rsid w:val="00CB4477"/>
    <w:rsid w:val="00CB5EC0"/>
    <w:rsid w:val="00CB5FC6"/>
    <w:rsid w:val="00CB77F7"/>
    <w:rsid w:val="00CC1834"/>
    <w:rsid w:val="00CC7AB4"/>
    <w:rsid w:val="00CD14A5"/>
    <w:rsid w:val="00CD2BD4"/>
    <w:rsid w:val="00CD30EA"/>
    <w:rsid w:val="00CD6F31"/>
    <w:rsid w:val="00CE0893"/>
    <w:rsid w:val="00CE39CA"/>
    <w:rsid w:val="00CE6FE4"/>
    <w:rsid w:val="00CE7515"/>
    <w:rsid w:val="00CF1B8C"/>
    <w:rsid w:val="00CF38B1"/>
    <w:rsid w:val="00CF4185"/>
    <w:rsid w:val="00D00CAD"/>
    <w:rsid w:val="00D04158"/>
    <w:rsid w:val="00D14989"/>
    <w:rsid w:val="00D17448"/>
    <w:rsid w:val="00D20C5B"/>
    <w:rsid w:val="00D20DEE"/>
    <w:rsid w:val="00D215E4"/>
    <w:rsid w:val="00D223F4"/>
    <w:rsid w:val="00D2458F"/>
    <w:rsid w:val="00D2471A"/>
    <w:rsid w:val="00D3355E"/>
    <w:rsid w:val="00D33E44"/>
    <w:rsid w:val="00D505FC"/>
    <w:rsid w:val="00D50B19"/>
    <w:rsid w:val="00D7076E"/>
    <w:rsid w:val="00D744A6"/>
    <w:rsid w:val="00D7639B"/>
    <w:rsid w:val="00D76C0A"/>
    <w:rsid w:val="00D77632"/>
    <w:rsid w:val="00D86028"/>
    <w:rsid w:val="00D9075A"/>
    <w:rsid w:val="00D907CF"/>
    <w:rsid w:val="00D923FF"/>
    <w:rsid w:val="00D93BD3"/>
    <w:rsid w:val="00D962AF"/>
    <w:rsid w:val="00D96C36"/>
    <w:rsid w:val="00D97612"/>
    <w:rsid w:val="00DA0280"/>
    <w:rsid w:val="00DA110E"/>
    <w:rsid w:val="00DA3418"/>
    <w:rsid w:val="00DA34C9"/>
    <w:rsid w:val="00DA66AA"/>
    <w:rsid w:val="00DA6C12"/>
    <w:rsid w:val="00DB0E23"/>
    <w:rsid w:val="00DB1D39"/>
    <w:rsid w:val="00DB4C75"/>
    <w:rsid w:val="00DC6600"/>
    <w:rsid w:val="00DD07A2"/>
    <w:rsid w:val="00DD11E4"/>
    <w:rsid w:val="00DD1C81"/>
    <w:rsid w:val="00DD6639"/>
    <w:rsid w:val="00DD76E9"/>
    <w:rsid w:val="00DE3523"/>
    <w:rsid w:val="00DE76AB"/>
    <w:rsid w:val="00DF0404"/>
    <w:rsid w:val="00DF2BBF"/>
    <w:rsid w:val="00DF409A"/>
    <w:rsid w:val="00E01ECD"/>
    <w:rsid w:val="00E0368D"/>
    <w:rsid w:val="00E0544E"/>
    <w:rsid w:val="00E13877"/>
    <w:rsid w:val="00E13A5A"/>
    <w:rsid w:val="00E15201"/>
    <w:rsid w:val="00E16331"/>
    <w:rsid w:val="00E1737C"/>
    <w:rsid w:val="00E17C2D"/>
    <w:rsid w:val="00E31BAF"/>
    <w:rsid w:val="00E320EB"/>
    <w:rsid w:val="00E334C8"/>
    <w:rsid w:val="00E36F6E"/>
    <w:rsid w:val="00E378D9"/>
    <w:rsid w:val="00E41C81"/>
    <w:rsid w:val="00E60FA1"/>
    <w:rsid w:val="00E61D34"/>
    <w:rsid w:val="00E61EF2"/>
    <w:rsid w:val="00E632F4"/>
    <w:rsid w:val="00E67463"/>
    <w:rsid w:val="00E8489D"/>
    <w:rsid w:val="00E8717B"/>
    <w:rsid w:val="00E87536"/>
    <w:rsid w:val="00E91667"/>
    <w:rsid w:val="00E96906"/>
    <w:rsid w:val="00EA254C"/>
    <w:rsid w:val="00EA6C48"/>
    <w:rsid w:val="00ED19FC"/>
    <w:rsid w:val="00ED218C"/>
    <w:rsid w:val="00ED561F"/>
    <w:rsid w:val="00ED6EE5"/>
    <w:rsid w:val="00EE09BA"/>
    <w:rsid w:val="00EE1733"/>
    <w:rsid w:val="00EE28DB"/>
    <w:rsid w:val="00EE4D47"/>
    <w:rsid w:val="00EE6C27"/>
    <w:rsid w:val="00F00F0C"/>
    <w:rsid w:val="00F02AED"/>
    <w:rsid w:val="00F067D7"/>
    <w:rsid w:val="00F07CFE"/>
    <w:rsid w:val="00F12C3C"/>
    <w:rsid w:val="00F2165A"/>
    <w:rsid w:val="00F23128"/>
    <w:rsid w:val="00F23CE4"/>
    <w:rsid w:val="00F244CE"/>
    <w:rsid w:val="00F25B98"/>
    <w:rsid w:val="00F34694"/>
    <w:rsid w:val="00F358E6"/>
    <w:rsid w:val="00F42226"/>
    <w:rsid w:val="00F43672"/>
    <w:rsid w:val="00F44494"/>
    <w:rsid w:val="00F504F4"/>
    <w:rsid w:val="00F548F1"/>
    <w:rsid w:val="00F54943"/>
    <w:rsid w:val="00F5747E"/>
    <w:rsid w:val="00F70CDA"/>
    <w:rsid w:val="00F7730A"/>
    <w:rsid w:val="00F840EA"/>
    <w:rsid w:val="00F91128"/>
    <w:rsid w:val="00FA1CA9"/>
    <w:rsid w:val="00FA21F1"/>
    <w:rsid w:val="00FA29F2"/>
    <w:rsid w:val="00FB3E54"/>
    <w:rsid w:val="00FB49CF"/>
    <w:rsid w:val="00FB6684"/>
    <w:rsid w:val="00FB6B7B"/>
    <w:rsid w:val="00FC1CA9"/>
    <w:rsid w:val="00FD079D"/>
    <w:rsid w:val="00FD0870"/>
    <w:rsid w:val="00FD0F72"/>
    <w:rsid w:val="00FD1589"/>
    <w:rsid w:val="00FD223E"/>
    <w:rsid w:val="00FD5B7F"/>
    <w:rsid w:val="00FF5AA5"/>
    <w:rsid w:val="11FA688B"/>
    <w:rsid w:val="13D70261"/>
    <w:rsid w:val="1C135F20"/>
    <w:rsid w:val="1C76493F"/>
    <w:rsid w:val="1D465018"/>
    <w:rsid w:val="26675B0F"/>
    <w:rsid w:val="2B3653F3"/>
    <w:rsid w:val="2B7E380B"/>
    <w:rsid w:val="2D36293A"/>
    <w:rsid w:val="399D7D96"/>
    <w:rsid w:val="3B304461"/>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2" fillcolor="white">
      <v:fill color="white"/>
    </o:shapedefaults>
    <o:shapelayout v:ext="edit">
      <o:idmap v:ext="edit" data="1"/>
    </o:shapelayout>
  </w:shapeDefaults>
  <w:decimalSymbol w:val="."/>
  <w:listSeparator w:val=","/>
  <w14:docId w14:val="19E8C568"/>
  <w15:docId w15:val="{75645B05-BDAD-4734-A16C-0BC182CEA9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fr-FR"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200" w:line="276" w:lineRule="auto"/>
    </w:pPr>
    <w:rPr>
      <w:rFonts w:asciiTheme="minorHAnsi" w:eastAsiaTheme="minorHAnsi" w:hAnsiTheme="minorHAnsi" w:cstheme="minorBidi"/>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qFormat/>
    <w:rPr>
      <w:color w:val="0000FF"/>
      <w:u w:val="single"/>
    </w:rPr>
  </w:style>
  <w:style w:type="paragraph" w:styleId="HTMLPreformatted">
    <w:name w:val="HTML Preformatted"/>
    <w:basedOn w:val="Normal"/>
    <w:link w:val="HTMLPreformattedChar"/>
    <w:uiPriority w:val="99"/>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FR"/>
    </w:rPr>
  </w:style>
  <w:style w:type="paragraph" w:styleId="BodyText">
    <w:name w:val="Body Text"/>
    <w:basedOn w:val="Normal"/>
    <w:link w:val="BodyTextChar"/>
    <w:uiPriority w:val="1"/>
    <w:qFormat/>
    <w:pPr>
      <w:widowControl w:val="0"/>
      <w:autoSpaceDE w:val="0"/>
      <w:autoSpaceDN w:val="0"/>
      <w:spacing w:after="0" w:line="240" w:lineRule="auto"/>
    </w:pPr>
    <w:rPr>
      <w:rFonts w:ascii="Times New Roman" w:eastAsia="Times New Roman" w:hAnsi="Times New Roman" w:cs="Times New Roman"/>
      <w:sz w:val="16"/>
      <w:szCs w:val="16"/>
    </w:rPr>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szCs w:val="16"/>
    </w:rPr>
  </w:style>
  <w:style w:type="paragraph" w:styleId="NormalWeb">
    <w:name w:val="Normal (Web)"/>
    <w:basedOn w:val="Normal"/>
    <w:uiPriority w:val="99"/>
    <w:semiHidden/>
    <w:unhideWhenUsed/>
    <w:qFormat/>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ListParagraph">
    <w:name w:val="List Paragraph"/>
    <w:basedOn w:val="Normal"/>
    <w:uiPriority w:val="34"/>
    <w:qFormat/>
    <w:pPr>
      <w:ind w:left="720"/>
      <w:contextualSpacing/>
    </w:pPr>
  </w:style>
  <w:style w:type="character" w:customStyle="1" w:styleId="HTMLPreformattedChar">
    <w:name w:val="HTML Preformatted Char"/>
    <w:basedOn w:val="DefaultParagraphFont"/>
    <w:link w:val="HTMLPreformatted"/>
    <w:uiPriority w:val="99"/>
    <w:rPr>
      <w:rFonts w:ascii="Courier New" w:eastAsia="Times New Roman" w:hAnsi="Courier New" w:cs="Courier New"/>
      <w:sz w:val="20"/>
      <w:szCs w:val="20"/>
      <w:lang w:eastAsia="fr-FR"/>
    </w:rPr>
  </w:style>
  <w:style w:type="character" w:customStyle="1" w:styleId="BodyTextChar">
    <w:name w:val="Body Text Char"/>
    <w:basedOn w:val="DefaultParagraphFont"/>
    <w:link w:val="BodyText"/>
    <w:uiPriority w:val="1"/>
    <w:qFormat/>
    <w:rPr>
      <w:rFonts w:ascii="Times New Roman" w:eastAsia="Times New Roman" w:hAnsi="Times New Roman" w:cs="Times New Roman"/>
      <w:sz w:val="16"/>
      <w:szCs w:val="16"/>
    </w:rPr>
  </w:style>
  <w:style w:type="character" w:customStyle="1" w:styleId="y2iqfc">
    <w:name w:val="y2iqfc"/>
    <w:basedOn w:val="DefaultParagraphFont"/>
    <w:qFormat/>
  </w:style>
  <w:style w:type="paragraph" w:customStyle="1" w:styleId="citation">
    <w:name w:val="citation"/>
    <w:basedOn w:val="Normal"/>
    <w:qFormat/>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element-citation">
    <w:name w:val="element-citation"/>
    <w:basedOn w:val="DefaultParagraphFont"/>
    <w:qFormat/>
  </w:style>
  <w:style w:type="character" w:customStyle="1" w:styleId="ref-journal">
    <w:name w:val="ref-journal"/>
    <w:basedOn w:val="DefaultParagraphFont"/>
    <w:qFormat/>
  </w:style>
  <w:style w:type="character" w:customStyle="1" w:styleId="ref-vol">
    <w:name w:val="ref-vol"/>
    <w:basedOn w:val="DefaultParagraphFont"/>
  </w:style>
  <w:style w:type="paragraph" w:styleId="EndnoteText">
    <w:name w:val="endnote text"/>
    <w:basedOn w:val="Normal"/>
    <w:link w:val="EndnoteTextChar"/>
    <w:uiPriority w:val="99"/>
    <w:unhideWhenUsed/>
    <w:rsid w:val="00D7639B"/>
    <w:pPr>
      <w:spacing w:after="0" w:line="240" w:lineRule="auto"/>
    </w:pPr>
    <w:rPr>
      <w:sz w:val="20"/>
      <w:szCs w:val="20"/>
    </w:rPr>
  </w:style>
  <w:style w:type="character" w:customStyle="1" w:styleId="EndnoteTextChar">
    <w:name w:val="Endnote Text Char"/>
    <w:basedOn w:val="DefaultParagraphFont"/>
    <w:link w:val="EndnoteText"/>
    <w:uiPriority w:val="99"/>
    <w:rsid w:val="00D7639B"/>
    <w:rPr>
      <w:rFonts w:asciiTheme="minorHAnsi" w:eastAsiaTheme="minorHAnsi" w:hAnsiTheme="minorHAnsi" w:cstheme="minorBidi"/>
      <w:lang w:eastAsia="en-US"/>
    </w:rPr>
  </w:style>
  <w:style w:type="character" w:styleId="EndnoteReference">
    <w:name w:val="endnote reference"/>
    <w:basedOn w:val="DefaultParagraphFont"/>
    <w:uiPriority w:val="99"/>
    <w:semiHidden/>
    <w:unhideWhenUsed/>
    <w:rsid w:val="00D7639B"/>
    <w:rPr>
      <w:vertAlign w:val="superscript"/>
    </w:rPr>
  </w:style>
  <w:style w:type="character" w:styleId="UnresolvedMention">
    <w:name w:val="Unresolved Mention"/>
    <w:basedOn w:val="DefaultParagraphFont"/>
    <w:uiPriority w:val="99"/>
    <w:semiHidden/>
    <w:unhideWhenUsed/>
    <w:rsid w:val="000F596A"/>
    <w:rPr>
      <w:color w:val="605E5C"/>
      <w:shd w:val="clear" w:color="auto" w:fill="E1DFDD"/>
    </w:rPr>
  </w:style>
  <w:style w:type="paragraph" w:styleId="Header">
    <w:name w:val="header"/>
    <w:basedOn w:val="Normal"/>
    <w:link w:val="HeaderChar"/>
    <w:uiPriority w:val="99"/>
    <w:unhideWhenUsed/>
    <w:rsid w:val="00F70CDA"/>
    <w:pPr>
      <w:tabs>
        <w:tab w:val="center" w:pos="4680"/>
        <w:tab w:val="right" w:pos="9360"/>
      </w:tabs>
      <w:spacing w:after="0" w:line="240" w:lineRule="auto"/>
    </w:pPr>
  </w:style>
  <w:style w:type="character" w:customStyle="1" w:styleId="HeaderChar">
    <w:name w:val="Header Char"/>
    <w:basedOn w:val="DefaultParagraphFont"/>
    <w:link w:val="Header"/>
    <w:uiPriority w:val="99"/>
    <w:rsid w:val="00F70CDA"/>
    <w:rPr>
      <w:rFonts w:asciiTheme="minorHAnsi" w:eastAsiaTheme="minorHAnsi" w:hAnsiTheme="minorHAnsi" w:cstheme="minorBidi"/>
      <w:sz w:val="22"/>
      <w:szCs w:val="22"/>
      <w:lang w:eastAsia="en-US"/>
    </w:rPr>
  </w:style>
  <w:style w:type="paragraph" w:styleId="Footer">
    <w:name w:val="footer"/>
    <w:basedOn w:val="Normal"/>
    <w:link w:val="FooterChar"/>
    <w:uiPriority w:val="99"/>
    <w:unhideWhenUsed/>
    <w:rsid w:val="00F70CDA"/>
    <w:pPr>
      <w:tabs>
        <w:tab w:val="center" w:pos="4680"/>
        <w:tab w:val="right" w:pos="9360"/>
      </w:tabs>
      <w:spacing w:after="0" w:line="240" w:lineRule="auto"/>
    </w:pPr>
  </w:style>
  <w:style w:type="character" w:customStyle="1" w:styleId="FooterChar">
    <w:name w:val="Footer Char"/>
    <w:basedOn w:val="DefaultParagraphFont"/>
    <w:link w:val="Footer"/>
    <w:uiPriority w:val="99"/>
    <w:rsid w:val="00F70CDA"/>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00550">
      <w:bodyDiv w:val="1"/>
      <w:marLeft w:val="0"/>
      <w:marRight w:val="0"/>
      <w:marTop w:val="0"/>
      <w:marBottom w:val="0"/>
      <w:divBdr>
        <w:top w:val="none" w:sz="0" w:space="0" w:color="auto"/>
        <w:left w:val="none" w:sz="0" w:space="0" w:color="auto"/>
        <w:bottom w:val="none" w:sz="0" w:space="0" w:color="auto"/>
        <w:right w:val="none" w:sz="0" w:space="0" w:color="auto"/>
      </w:divBdr>
      <w:divsChild>
        <w:div w:id="563494025">
          <w:marLeft w:val="0"/>
          <w:marRight w:val="0"/>
          <w:marTop w:val="0"/>
          <w:marBottom w:val="0"/>
          <w:divBdr>
            <w:top w:val="none" w:sz="0" w:space="0" w:color="auto"/>
            <w:left w:val="none" w:sz="0" w:space="0" w:color="auto"/>
            <w:bottom w:val="none" w:sz="0" w:space="0" w:color="auto"/>
            <w:right w:val="none" w:sz="0" w:space="0" w:color="auto"/>
          </w:divBdr>
        </w:div>
        <w:div w:id="1964845446">
          <w:marLeft w:val="0"/>
          <w:marRight w:val="0"/>
          <w:marTop w:val="0"/>
          <w:marBottom w:val="0"/>
          <w:divBdr>
            <w:top w:val="none" w:sz="0" w:space="0" w:color="auto"/>
            <w:left w:val="none" w:sz="0" w:space="0" w:color="auto"/>
            <w:bottom w:val="none" w:sz="0" w:space="0" w:color="auto"/>
            <w:right w:val="none" w:sz="0" w:space="0" w:color="auto"/>
          </w:divBdr>
        </w:div>
        <w:div w:id="204756827">
          <w:marLeft w:val="0"/>
          <w:marRight w:val="0"/>
          <w:marTop w:val="0"/>
          <w:marBottom w:val="0"/>
          <w:divBdr>
            <w:top w:val="none" w:sz="0" w:space="0" w:color="auto"/>
            <w:left w:val="none" w:sz="0" w:space="0" w:color="auto"/>
            <w:bottom w:val="none" w:sz="0" w:space="0" w:color="auto"/>
            <w:right w:val="none" w:sz="0" w:space="0" w:color="auto"/>
          </w:divBdr>
        </w:div>
        <w:div w:id="1654025992">
          <w:marLeft w:val="0"/>
          <w:marRight w:val="0"/>
          <w:marTop w:val="0"/>
          <w:marBottom w:val="0"/>
          <w:divBdr>
            <w:top w:val="none" w:sz="0" w:space="0" w:color="auto"/>
            <w:left w:val="none" w:sz="0" w:space="0" w:color="auto"/>
            <w:bottom w:val="none" w:sz="0" w:space="0" w:color="auto"/>
            <w:right w:val="none" w:sz="0" w:space="0" w:color="auto"/>
          </w:divBdr>
        </w:div>
        <w:div w:id="547650239">
          <w:marLeft w:val="0"/>
          <w:marRight w:val="0"/>
          <w:marTop w:val="0"/>
          <w:marBottom w:val="0"/>
          <w:divBdr>
            <w:top w:val="none" w:sz="0" w:space="0" w:color="auto"/>
            <w:left w:val="none" w:sz="0" w:space="0" w:color="auto"/>
            <w:bottom w:val="none" w:sz="0" w:space="0" w:color="auto"/>
            <w:right w:val="none" w:sz="0" w:space="0" w:color="auto"/>
          </w:divBdr>
        </w:div>
        <w:div w:id="648750986">
          <w:marLeft w:val="0"/>
          <w:marRight w:val="0"/>
          <w:marTop w:val="0"/>
          <w:marBottom w:val="0"/>
          <w:divBdr>
            <w:top w:val="none" w:sz="0" w:space="0" w:color="auto"/>
            <w:left w:val="none" w:sz="0" w:space="0" w:color="auto"/>
            <w:bottom w:val="none" w:sz="0" w:space="0" w:color="auto"/>
            <w:right w:val="none" w:sz="0" w:space="0" w:color="auto"/>
          </w:divBdr>
        </w:div>
        <w:div w:id="1668048602">
          <w:marLeft w:val="0"/>
          <w:marRight w:val="0"/>
          <w:marTop w:val="0"/>
          <w:marBottom w:val="0"/>
          <w:divBdr>
            <w:top w:val="none" w:sz="0" w:space="0" w:color="auto"/>
            <w:left w:val="none" w:sz="0" w:space="0" w:color="auto"/>
            <w:bottom w:val="none" w:sz="0" w:space="0" w:color="auto"/>
            <w:right w:val="none" w:sz="0" w:space="0" w:color="auto"/>
          </w:divBdr>
        </w:div>
        <w:div w:id="1602300645">
          <w:marLeft w:val="0"/>
          <w:marRight w:val="0"/>
          <w:marTop w:val="0"/>
          <w:marBottom w:val="0"/>
          <w:divBdr>
            <w:top w:val="none" w:sz="0" w:space="0" w:color="auto"/>
            <w:left w:val="none" w:sz="0" w:space="0" w:color="auto"/>
            <w:bottom w:val="none" w:sz="0" w:space="0" w:color="auto"/>
            <w:right w:val="none" w:sz="0" w:space="0" w:color="auto"/>
          </w:divBdr>
        </w:div>
      </w:divsChild>
    </w:div>
    <w:div w:id="34282025">
      <w:bodyDiv w:val="1"/>
      <w:marLeft w:val="0"/>
      <w:marRight w:val="0"/>
      <w:marTop w:val="0"/>
      <w:marBottom w:val="0"/>
      <w:divBdr>
        <w:top w:val="none" w:sz="0" w:space="0" w:color="auto"/>
        <w:left w:val="none" w:sz="0" w:space="0" w:color="auto"/>
        <w:bottom w:val="none" w:sz="0" w:space="0" w:color="auto"/>
        <w:right w:val="none" w:sz="0" w:space="0" w:color="auto"/>
      </w:divBdr>
      <w:divsChild>
        <w:div w:id="319772728">
          <w:marLeft w:val="0"/>
          <w:marRight w:val="0"/>
          <w:marTop w:val="0"/>
          <w:marBottom w:val="0"/>
          <w:divBdr>
            <w:top w:val="none" w:sz="0" w:space="0" w:color="auto"/>
            <w:left w:val="none" w:sz="0" w:space="0" w:color="auto"/>
            <w:bottom w:val="none" w:sz="0" w:space="0" w:color="auto"/>
            <w:right w:val="none" w:sz="0" w:space="0" w:color="auto"/>
          </w:divBdr>
          <w:divsChild>
            <w:div w:id="1420323024">
              <w:marLeft w:val="0"/>
              <w:marRight w:val="0"/>
              <w:marTop w:val="0"/>
              <w:marBottom w:val="0"/>
              <w:divBdr>
                <w:top w:val="none" w:sz="0" w:space="0" w:color="auto"/>
                <w:left w:val="none" w:sz="0" w:space="0" w:color="auto"/>
                <w:bottom w:val="none" w:sz="0" w:space="0" w:color="auto"/>
                <w:right w:val="none" w:sz="0" w:space="0" w:color="auto"/>
              </w:divBdr>
              <w:divsChild>
                <w:div w:id="338897872">
                  <w:marLeft w:val="0"/>
                  <w:marRight w:val="0"/>
                  <w:marTop w:val="0"/>
                  <w:marBottom w:val="0"/>
                  <w:divBdr>
                    <w:top w:val="none" w:sz="0" w:space="0" w:color="auto"/>
                    <w:left w:val="none" w:sz="0" w:space="0" w:color="auto"/>
                    <w:bottom w:val="none" w:sz="0" w:space="0" w:color="auto"/>
                    <w:right w:val="none" w:sz="0" w:space="0" w:color="auto"/>
                  </w:divBdr>
                  <w:divsChild>
                    <w:div w:id="1829977570">
                      <w:marLeft w:val="0"/>
                      <w:marRight w:val="0"/>
                      <w:marTop w:val="0"/>
                      <w:marBottom w:val="0"/>
                      <w:divBdr>
                        <w:top w:val="none" w:sz="0" w:space="0" w:color="auto"/>
                        <w:left w:val="none" w:sz="0" w:space="0" w:color="auto"/>
                        <w:bottom w:val="none" w:sz="0" w:space="0" w:color="auto"/>
                        <w:right w:val="none" w:sz="0" w:space="0" w:color="auto"/>
                      </w:divBdr>
                      <w:divsChild>
                        <w:div w:id="1780836552">
                          <w:marLeft w:val="0"/>
                          <w:marRight w:val="0"/>
                          <w:marTop w:val="0"/>
                          <w:marBottom w:val="0"/>
                          <w:divBdr>
                            <w:top w:val="none" w:sz="0" w:space="0" w:color="auto"/>
                            <w:left w:val="none" w:sz="0" w:space="0" w:color="auto"/>
                            <w:bottom w:val="none" w:sz="0" w:space="0" w:color="auto"/>
                            <w:right w:val="none" w:sz="0" w:space="0" w:color="auto"/>
                          </w:divBdr>
                          <w:divsChild>
                            <w:div w:id="974607128">
                              <w:marLeft w:val="0"/>
                              <w:marRight w:val="0"/>
                              <w:marTop w:val="0"/>
                              <w:marBottom w:val="0"/>
                              <w:divBdr>
                                <w:top w:val="none" w:sz="0" w:space="0" w:color="auto"/>
                                <w:left w:val="none" w:sz="0" w:space="0" w:color="auto"/>
                                <w:bottom w:val="none" w:sz="0" w:space="0" w:color="auto"/>
                                <w:right w:val="none" w:sz="0" w:space="0" w:color="auto"/>
                              </w:divBdr>
                              <w:divsChild>
                                <w:div w:id="1965232497">
                                  <w:marLeft w:val="0"/>
                                  <w:marRight w:val="0"/>
                                  <w:marTop w:val="0"/>
                                  <w:marBottom w:val="0"/>
                                  <w:divBdr>
                                    <w:top w:val="none" w:sz="0" w:space="0" w:color="auto"/>
                                    <w:left w:val="none" w:sz="0" w:space="0" w:color="auto"/>
                                    <w:bottom w:val="none" w:sz="0" w:space="0" w:color="auto"/>
                                    <w:right w:val="none" w:sz="0" w:space="0" w:color="auto"/>
                                  </w:divBdr>
                                  <w:divsChild>
                                    <w:div w:id="1063405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238594">
      <w:bodyDiv w:val="1"/>
      <w:marLeft w:val="0"/>
      <w:marRight w:val="0"/>
      <w:marTop w:val="0"/>
      <w:marBottom w:val="0"/>
      <w:divBdr>
        <w:top w:val="none" w:sz="0" w:space="0" w:color="auto"/>
        <w:left w:val="none" w:sz="0" w:space="0" w:color="auto"/>
        <w:bottom w:val="none" w:sz="0" w:space="0" w:color="auto"/>
        <w:right w:val="none" w:sz="0" w:space="0" w:color="auto"/>
      </w:divBdr>
    </w:div>
    <w:div w:id="143812918">
      <w:bodyDiv w:val="1"/>
      <w:marLeft w:val="0"/>
      <w:marRight w:val="0"/>
      <w:marTop w:val="0"/>
      <w:marBottom w:val="0"/>
      <w:divBdr>
        <w:top w:val="none" w:sz="0" w:space="0" w:color="auto"/>
        <w:left w:val="none" w:sz="0" w:space="0" w:color="auto"/>
        <w:bottom w:val="none" w:sz="0" w:space="0" w:color="auto"/>
        <w:right w:val="none" w:sz="0" w:space="0" w:color="auto"/>
      </w:divBdr>
    </w:div>
    <w:div w:id="186066271">
      <w:bodyDiv w:val="1"/>
      <w:marLeft w:val="0"/>
      <w:marRight w:val="0"/>
      <w:marTop w:val="0"/>
      <w:marBottom w:val="0"/>
      <w:divBdr>
        <w:top w:val="none" w:sz="0" w:space="0" w:color="auto"/>
        <w:left w:val="none" w:sz="0" w:space="0" w:color="auto"/>
        <w:bottom w:val="none" w:sz="0" w:space="0" w:color="auto"/>
        <w:right w:val="none" w:sz="0" w:space="0" w:color="auto"/>
      </w:divBdr>
    </w:div>
    <w:div w:id="223494664">
      <w:bodyDiv w:val="1"/>
      <w:marLeft w:val="0"/>
      <w:marRight w:val="0"/>
      <w:marTop w:val="0"/>
      <w:marBottom w:val="0"/>
      <w:divBdr>
        <w:top w:val="none" w:sz="0" w:space="0" w:color="auto"/>
        <w:left w:val="none" w:sz="0" w:space="0" w:color="auto"/>
        <w:bottom w:val="none" w:sz="0" w:space="0" w:color="auto"/>
        <w:right w:val="none" w:sz="0" w:space="0" w:color="auto"/>
      </w:divBdr>
    </w:div>
    <w:div w:id="317467190">
      <w:bodyDiv w:val="1"/>
      <w:marLeft w:val="0"/>
      <w:marRight w:val="0"/>
      <w:marTop w:val="0"/>
      <w:marBottom w:val="0"/>
      <w:divBdr>
        <w:top w:val="none" w:sz="0" w:space="0" w:color="auto"/>
        <w:left w:val="none" w:sz="0" w:space="0" w:color="auto"/>
        <w:bottom w:val="none" w:sz="0" w:space="0" w:color="auto"/>
        <w:right w:val="none" w:sz="0" w:space="0" w:color="auto"/>
      </w:divBdr>
    </w:div>
    <w:div w:id="348071691">
      <w:bodyDiv w:val="1"/>
      <w:marLeft w:val="0"/>
      <w:marRight w:val="0"/>
      <w:marTop w:val="0"/>
      <w:marBottom w:val="0"/>
      <w:divBdr>
        <w:top w:val="none" w:sz="0" w:space="0" w:color="auto"/>
        <w:left w:val="none" w:sz="0" w:space="0" w:color="auto"/>
        <w:bottom w:val="none" w:sz="0" w:space="0" w:color="auto"/>
        <w:right w:val="none" w:sz="0" w:space="0" w:color="auto"/>
      </w:divBdr>
    </w:div>
    <w:div w:id="416168911">
      <w:bodyDiv w:val="1"/>
      <w:marLeft w:val="0"/>
      <w:marRight w:val="0"/>
      <w:marTop w:val="0"/>
      <w:marBottom w:val="0"/>
      <w:divBdr>
        <w:top w:val="none" w:sz="0" w:space="0" w:color="auto"/>
        <w:left w:val="none" w:sz="0" w:space="0" w:color="auto"/>
        <w:bottom w:val="none" w:sz="0" w:space="0" w:color="auto"/>
        <w:right w:val="none" w:sz="0" w:space="0" w:color="auto"/>
      </w:divBdr>
    </w:div>
    <w:div w:id="610093897">
      <w:bodyDiv w:val="1"/>
      <w:marLeft w:val="0"/>
      <w:marRight w:val="0"/>
      <w:marTop w:val="0"/>
      <w:marBottom w:val="0"/>
      <w:divBdr>
        <w:top w:val="none" w:sz="0" w:space="0" w:color="auto"/>
        <w:left w:val="none" w:sz="0" w:space="0" w:color="auto"/>
        <w:bottom w:val="none" w:sz="0" w:space="0" w:color="auto"/>
        <w:right w:val="none" w:sz="0" w:space="0" w:color="auto"/>
      </w:divBdr>
    </w:div>
    <w:div w:id="667948113">
      <w:bodyDiv w:val="1"/>
      <w:marLeft w:val="0"/>
      <w:marRight w:val="0"/>
      <w:marTop w:val="0"/>
      <w:marBottom w:val="0"/>
      <w:divBdr>
        <w:top w:val="none" w:sz="0" w:space="0" w:color="auto"/>
        <w:left w:val="none" w:sz="0" w:space="0" w:color="auto"/>
        <w:bottom w:val="none" w:sz="0" w:space="0" w:color="auto"/>
        <w:right w:val="none" w:sz="0" w:space="0" w:color="auto"/>
      </w:divBdr>
    </w:div>
    <w:div w:id="670526818">
      <w:bodyDiv w:val="1"/>
      <w:marLeft w:val="0"/>
      <w:marRight w:val="0"/>
      <w:marTop w:val="0"/>
      <w:marBottom w:val="0"/>
      <w:divBdr>
        <w:top w:val="none" w:sz="0" w:space="0" w:color="auto"/>
        <w:left w:val="none" w:sz="0" w:space="0" w:color="auto"/>
        <w:bottom w:val="none" w:sz="0" w:space="0" w:color="auto"/>
        <w:right w:val="none" w:sz="0" w:space="0" w:color="auto"/>
      </w:divBdr>
    </w:div>
    <w:div w:id="686902936">
      <w:bodyDiv w:val="1"/>
      <w:marLeft w:val="0"/>
      <w:marRight w:val="0"/>
      <w:marTop w:val="0"/>
      <w:marBottom w:val="0"/>
      <w:divBdr>
        <w:top w:val="none" w:sz="0" w:space="0" w:color="auto"/>
        <w:left w:val="none" w:sz="0" w:space="0" w:color="auto"/>
        <w:bottom w:val="none" w:sz="0" w:space="0" w:color="auto"/>
        <w:right w:val="none" w:sz="0" w:space="0" w:color="auto"/>
      </w:divBdr>
    </w:div>
    <w:div w:id="692927605">
      <w:bodyDiv w:val="1"/>
      <w:marLeft w:val="0"/>
      <w:marRight w:val="0"/>
      <w:marTop w:val="0"/>
      <w:marBottom w:val="0"/>
      <w:divBdr>
        <w:top w:val="none" w:sz="0" w:space="0" w:color="auto"/>
        <w:left w:val="none" w:sz="0" w:space="0" w:color="auto"/>
        <w:bottom w:val="none" w:sz="0" w:space="0" w:color="auto"/>
        <w:right w:val="none" w:sz="0" w:space="0" w:color="auto"/>
      </w:divBdr>
    </w:div>
    <w:div w:id="781338178">
      <w:bodyDiv w:val="1"/>
      <w:marLeft w:val="0"/>
      <w:marRight w:val="0"/>
      <w:marTop w:val="0"/>
      <w:marBottom w:val="0"/>
      <w:divBdr>
        <w:top w:val="none" w:sz="0" w:space="0" w:color="auto"/>
        <w:left w:val="none" w:sz="0" w:space="0" w:color="auto"/>
        <w:bottom w:val="none" w:sz="0" w:space="0" w:color="auto"/>
        <w:right w:val="none" w:sz="0" w:space="0" w:color="auto"/>
      </w:divBdr>
      <w:divsChild>
        <w:div w:id="1848595497">
          <w:marLeft w:val="0"/>
          <w:marRight w:val="0"/>
          <w:marTop w:val="0"/>
          <w:marBottom w:val="0"/>
          <w:divBdr>
            <w:top w:val="none" w:sz="0" w:space="0" w:color="auto"/>
            <w:left w:val="none" w:sz="0" w:space="0" w:color="auto"/>
            <w:bottom w:val="none" w:sz="0" w:space="0" w:color="auto"/>
            <w:right w:val="none" w:sz="0" w:space="0" w:color="auto"/>
          </w:divBdr>
        </w:div>
      </w:divsChild>
    </w:div>
    <w:div w:id="849760847">
      <w:bodyDiv w:val="1"/>
      <w:marLeft w:val="0"/>
      <w:marRight w:val="0"/>
      <w:marTop w:val="0"/>
      <w:marBottom w:val="0"/>
      <w:divBdr>
        <w:top w:val="none" w:sz="0" w:space="0" w:color="auto"/>
        <w:left w:val="none" w:sz="0" w:space="0" w:color="auto"/>
        <w:bottom w:val="none" w:sz="0" w:space="0" w:color="auto"/>
        <w:right w:val="none" w:sz="0" w:space="0" w:color="auto"/>
      </w:divBdr>
      <w:divsChild>
        <w:div w:id="863594396">
          <w:marLeft w:val="0"/>
          <w:marRight w:val="0"/>
          <w:marTop w:val="0"/>
          <w:marBottom w:val="0"/>
          <w:divBdr>
            <w:top w:val="none" w:sz="0" w:space="0" w:color="auto"/>
            <w:left w:val="none" w:sz="0" w:space="0" w:color="auto"/>
            <w:bottom w:val="none" w:sz="0" w:space="0" w:color="auto"/>
            <w:right w:val="none" w:sz="0" w:space="0" w:color="auto"/>
          </w:divBdr>
        </w:div>
      </w:divsChild>
    </w:div>
    <w:div w:id="873424273">
      <w:bodyDiv w:val="1"/>
      <w:marLeft w:val="0"/>
      <w:marRight w:val="0"/>
      <w:marTop w:val="0"/>
      <w:marBottom w:val="0"/>
      <w:divBdr>
        <w:top w:val="none" w:sz="0" w:space="0" w:color="auto"/>
        <w:left w:val="none" w:sz="0" w:space="0" w:color="auto"/>
        <w:bottom w:val="none" w:sz="0" w:space="0" w:color="auto"/>
        <w:right w:val="none" w:sz="0" w:space="0" w:color="auto"/>
      </w:divBdr>
      <w:divsChild>
        <w:div w:id="579146430">
          <w:marLeft w:val="0"/>
          <w:marRight w:val="0"/>
          <w:marTop w:val="0"/>
          <w:marBottom w:val="0"/>
          <w:divBdr>
            <w:top w:val="none" w:sz="0" w:space="0" w:color="auto"/>
            <w:left w:val="none" w:sz="0" w:space="0" w:color="auto"/>
            <w:bottom w:val="none" w:sz="0" w:space="0" w:color="auto"/>
            <w:right w:val="none" w:sz="0" w:space="0" w:color="auto"/>
          </w:divBdr>
        </w:div>
      </w:divsChild>
    </w:div>
    <w:div w:id="1140002998">
      <w:bodyDiv w:val="1"/>
      <w:marLeft w:val="0"/>
      <w:marRight w:val="0"/>
      <w:marTop w:val="0"/>
      <w:marBottom w:val="0"/>
      <w:divBdr>
        <w:top w:val="none" w:sz="0" w:space="0" w:color="auto"/>
        <w:left w:val="none" w:sz="0" w:space="0" w:color="auto"/>
        <w:bottom w:val="none" w:sz="0" w:space="0" w:color="auto"/>
        <w:right w:val="none" w:sz="0" w:space="0" w:color="auto"/>
      </w:divBdr>
    </w:div>
    <w:div w:id="1194883371">
      <w:bodyDiv w:val="1"/>
      <w:marLeft w:val="0"/>
      <w:marRight w:val="0"/>
      <w:marTop w:val="0"/>
      <w:marBottom w:val="0"/>
      <w:divBdr>
        <w:top w:val="none" w:sz="0" w:space="0" w:color="auto"/>
        <w:left w:val="none" w:sz="0" w:space="0" w:color="auto"/>
        <w:bottom w:val="none" w:sz="0" w:space="0" w:color="auto"/>
        <w:right w:val="none" w:sz="0" w:space="0" w:color="auto"/>
      </w:divBdr>
      <w:divsChild>
        <w:div w:id="345248783">
          <w:marLeft w:val="0"/>
          <w:marRight w:val="0"/>
          <w:marTop w:val="0"/>
          <w:marBottom w:val="0"/>
          <w:divBdr>
            <w:top w:val="none" w:sz="0" w:space="0" w:color="auto"/>
            <w:left w:val="none" w:sz="0" w:space="0" w:color="auto"/>
            <w:bottom w:val="none" w:sz="0" w:space="0" w:color="auto"/>
            <w:right w:val="none" w:sz="0" w:space="0" w:color="auto"/>
          </w:divBdr>
        </w:div>
      </w:divsChild>
    </w:div>
    <w:div w:id="1221401835">
      <w:bodyDiv w:val="1"/>
      <w:marLeft w:val="0"/>
      <w:marRight w:val="0"/>
      <w:marTop w:val="0"/>
      <w:marBottom w:val="0"/>
      <w:divBdr>
        <w:top w:val="none" w:sz="0" w:space="0" w:color="auto"/>
        <w:left w:val="none" w:sz="0" w:space="0" w:color="auto"/>
        <w:bottom w:val="none" w:sz="0" w:space="0" w:color="auto"/>
        <w:right w:val="none" w:sz="0" w:space="0" w:color="auto"/>
      </w:divBdr>
    </w:div>
    <w:div w:id="1398750173">
      <w:bodyDiv w:val="1"/>
      <w:marLeft w:val="0"/>
      <w:marRight w:val="0"/>
      <w:marTop w:val="0"/>
      <w:marBottom w:val="0"/>
      <w:divBdr>
        <w:top w:val="none" w:sz="0" w:space="0" w:color="auto"/>
        <w:left w:val="none" w:sz="0" w:space="0" w:color="auto"/>
        <w:bottom w:val="none" w:sz="0" w:space="0" w:color="auto"/>
        <w:right w:val="none" w:sz="0" w:space="0" w:color="auto"/>
      </w:divBdr>
    </w:div>
    <w:div w:id="1510025539">
      <w:bodyDiv w:val="1"/>
      <w:marLeft w:val="0"/>
      <w:marRight w:val="0"/>
      <w:marTop w:val="0"/>
      <w:marBottom w:val="0"/>
      <w:divBdr>
        <w:top w:val="none" w:sz="0" w:space="0" w:color="auto"/>
        <w:left w:val="none" w:sz="0" w:space="0" w:color="auto"/>
        <w:bottom w:val="none" w:sz="0" w:space="0" w:color="auto"/>
        <w:right w:val="none" w:sz="0" w:space="0" w:color="auto"/>
      </w:divBdr>
    </w:div>
    <w:div w:id="1564095366">
      <w:bodyDiv w:val="1"/>
      <w:marLeft w:val="0"/>
      <w:marRight w:val="0"/>
      <w:marTop w:val="0"/>
      <w:marBottom w:val="0"/>
      <w:divBdr>
        <w:top w:val="none" w:sz="0" w:space="0" w:color="auto"/>
        <w:left w:val="none" w:sz="0" w:space="0" w:color="auto"/>
        <w:bottom w:val="none" w:sz="0" w:space="0" w:color="auto"/>
        <w:right w:val="none" w:sz="0" w:space="0" w:color="auto"/>
      </w:divBdr>
    </w:div>
    <w:div w:id="1631671570">
      <w:bodyDiv w:val="1"/>
      <w:marLeft w:val="0"/>
      <w:marRight w:val="0"/>
      <w:marTop w:val="0"/>
      <w:marBottom w:val="0"/>
      <w:divBdr>
        <w:top w:val="none" w:sz="0" w:space="0" w:color="auto"/>
        <w:left w:val="none" w:sz="0" w:space="0" w:color="auto"/>
        <w:bottom w:val="none" w:sz="0" w:space="0" w:color="auto"/>
        <w:right w:val="none" w:sz="0" w:space="0" w:color="auto"/>
      </w:divBdr>
    </w:div>
    <w:div w:id="1633638346">
      <w:bodyDiv w:val="1"/>
      <w:marLeft w:val="0"/>
      <w:marRight w:val="0"/>
      <w:marTop w:val="0"/>
      <w:marBottom w:val="0"/>
      <w:divBdr>
        <w:top w:val="none" w:sz="0" w:space="0" w:color="auto"/>
        <w:left w:val="none" w:sz="0" w:space="0" w:color="auto"/>
        <w:bottom w:val="none" w:sz="0" w:space="0" w:color="auto"/>
        <w:right w:val="none" w:sz="0" w:space="0" w:color="auto"/>
      </w:divBdr>
    </w:div>
    <w:div w:id="1994403566">
      <w:bodyDiv w:val="1"/>
      <w:marLeft w:val="0"/>
      <w:marRight w:val="0"/>
      <w:marTop w:val="0"/>
      <w:marBottom w:val="0"/>
      <w:divBdr>
        <w:top w:val="none" w:sz="0" w:space="0" w:color="auto"/>
        <w:left w:val="none" w:sz="0" w:space="0" w:color="auto"/>
        <w:bottom w:val="none" w:sz="0" w:space="0" w:color="auto"/>
        <w:right w:val="none" w:sz="0" w:space="0" w:color="auto"/>
      </w:divBdr>
    </w:div>
    <w:div w:id="2004502572">
      <w:bodyDiv w:val="1"/>
      <w:marLeft w:val="0"/>
      <w:marRight w:val="0"/>
      <w:marTop w:val="0"/>
      <w:marBottom w:val="0"/>
      <w:divBdr>
        <w:top w:val="none" w:sz="0" w:space="0" w:color="auto"/>
        <w:left w:val="none" w:sz="0" w:space="0" w:color="auto"/>
        <w:bottom w:val="none" w:sz="0" w:space="0" w:color="auto"/>
        <w:right w:val="none" w:sz="0" w:space="0" w:color="auto"/>
      </w:divBdr>
    </w:div>
    <w:div w:id="2101295275">
      <w:bodyDiv w:val="1"/>
      <w:marLeft w:val="0"/>
      <w:marRight w:val="0"/>
      <w:marTop w:val="0"/>
      <w:marBottom w:val="0"/>
      <w:divBdr>
        <w:top w:val="none" w:sz="0" w:space="0" w:color="auto"/>
        <w:left w:val="none" w:sz="0" w:space="0" w:color="auto"/>
        <w:bottom w:val="none" w:sz="0" w:space="0" w:color="auto"/>
        <w:right w:val="none" w:sz="0" w:space="0" w:color="auto"/>
      </w:divBdr>
    </w:div>
    <w:div w:id="214376441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header" Target="header3.xml"/><Relationship Id="rId3" Type="http://schemas.openxmlformats.org/officeDocument/2006/relationships/numbering" Target="numbering.xml"/><Relationship Id="rId21" Type="http://schemas.openxmlformats.org/officeDocument/2006/relationships/image" Target="media/image11.png"/><Relationship Id="rId7" Type="http://schemas.openxmlformats.org/officeDocument/2006/relationships/footnotes" Target="footnotes.xml"/><Relationship Id="rId12" Type="http://schemas.microsoft.com/office/2007/relationships/hdphoto" Target="media/hdphoto2.wdp"/><Relationship Id="rId17" Type="http://schemas.openxmlformats.org/officeDocument/2006/relationships/image" Target="media/image7.png"/><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header" Target="header2.xml"/><Relationship Id="rId28"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9.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header" Target="header1.xml"/><Relationship Id="rId27" Type="http://schemas.openxmlformats.org/officeDocument/2006/relationships/footer" Target="footer3.xml"/></Relationships>
</file>

<file path=word/_rels/endnotes.xml.rels><?xml version="1.0" encoding="UTF-8" standalone="yes"?>
<Relationships xmlns="http://schemas.openxmlformats.org/package/2006/relationships"><Relationship Id="rId1" Type="http://schemas.openxmlformats.org/officeDocument/2006/relationships/hyperlink" Target="https://doi.org/10.1159/000226609"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E87BB7E-4685-4BAB-86DE-D554A58D03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339</TotalTime>
  <Pages>9</Pages>
  <Words>1906</Words>
  <Characters>10865</Characters>
  <Application>Microsoft Office Word</Application>
  <DocSecurity>0</DocSecurity>
  <Lines>90</Lines>
  <Paragraphs>25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SDI 1180</cp:lastModifiedBy>
  <cp:revision>217</cp:revision>
  <dcterms:created xsi:type="dcterms:W3CDTF">2023-04-30T10:19:00Z</dcterms:created>
  <dcterms:modified xsi:type="dcterms:W3CDTF">2025-07-03T12:10:00Z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1036-12.2.0.21546</vt:lpwstr>
  </property>
  <property fmtid="{D5CDD505-2E9C-101B-9397-08002B2CF9AE}" pid="3" name="ICV">
    <vt:lpwstr>EF3F43298871482CA18542E7FB6F3FC5_12</vt:lpwstr>
  </property>
</Properties>
</file>