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6D4FF" w14:textId="77777777" w:rsidR="00ED588E" w:rsidRPr="00ED588E" w:rsidRDefault="00ED588E" w:rsidP="00ED588E">
      <w:pPr>
        <w:pStyle w:val="Title"/>
        <w:jc w:val="both"/>
        <w:rPr>
          <w:rFonts w:ascii="Arial" w:hAnsi="Arial" w:cs="Arial"/>
          <w:bCs/>
          <w:i/>
          <w:iCs/>
          <w:u w:val="single"/>
        </w:rPr>
      </w:pPr>
      <w:r w:rsidRPr="00ED588E">
        <w:rPr>
          <w:rFonts w:ascii="Arial" w:hAnsi="Arial" w:cs="Arial"/>
          <w:bCs/>
          <w:i/>
          <w:iCs/>
          <w:u w:val="single"/>
        </w:rPr>
        <w:t xml:space="preserve">Case report </w:t>
      </w:r>
    </w:p>
    <w:p w14:paraId="1A57033A" w14:textId="4C8DFD0C" w:rsidR="00754C9A" w:rsidRDefault="00754C9A" w:rsidP="00441B6F">
      <w:pPr>
        <w:pStyle w:val="Title"/>
        <w:spacing w:after="0"/>
        <w:jc w:val="both"/>
        <w:rPr>
          <w:rFonts w:ascii="Arial" w:hAnsi="Arial" w:cs="Arial"/>
        </w:rPr>
      </w:pPr>
    </w:p>
    <w:p w14:paraId="1723934D" w14:textId="713751AC" w:rsidR="00163BC4" w:rsidRPr="00163BC4" w:rsidRDefault="000B2DF4" w:rsidP="00441B6F">
      <w:pPr>
        <w:pStyle w:val="Author"/>
        <w:spacing w:line="240" w:lineRule="auto"/>
        <w:rPr>
          <w:rFonts w:ascii="Arial" w:hAnsi="Arial" w:cs="Arial"/>
          <w:bCs/>
          <w:iCs/>
          <w:kern w:val="28"/>
          <w:sz w:val="36"/>
        </w:rPr>
      </w:pPr>
      <w:bookmarkStart w:id="0" w:name="_Hlk202608894"/>
      <w:r>
        <w:rPr>
          <w:rFonts w:ascii="Arial" w:hAnsi="Arial" w:cs="Arial"/>
          <w:bCs/>
          <w:iCs/>
          <w:kern w:val="28"/>
          <w:sz w:val="36"/>
        </w:rPr>
        <w:t>Gastric perforation secondary to trichobezoar</w:t>
      </w:r>
      <w:r w:rsidR="00ED588E">
        <w:rPr>
          <w:rFonts w:ascii="Arial" w:hAnsi="Arial" w:cs="Arial"/>
          <w:bCs/>
          <w:iCs/>
          <w:kern w:val="28"/>
          <w:sz w:val="36"/>
        </w:rPr>
        <w:t>:</w:t>
      </w:r>
      <w:r>
        <w:rPr>
          <w:rFonts w:ascii="Arial" w:hAnsi="Arial" w:cs="Arial"/>
          <w:bCs/>
          <w:iCs/>
          <w:kern w:val="28"/>
          <w:sz w:val="36"/>
        </w:rPr>
        <w:t xml:space="preserve"> a case report</w:t>
      </w:r>
    </w:p>
    <w:bookmarkEnd w:id="0"/>
    <w:p w14:paraId="4AD6BE09" w14:textId="77777777" w:rsidR="00A258C3" w:rsidRPr="00790ADA" w:rsidRDefault="00A258C3" w:rsidP="00441B6F">
      <w:pPr>
        <w:pStyle w:val="Author"/>
        <w:spacing w:line="240" w:lineRule="auto"/>
        <w:jc w:val="both"/>
        <w:rPr>
          <w:rFonts w:ascii="Arial" w:hAnsi="Arial" w:cs="Arial"/>
          <w:sz w:val="36"/>
        </w:rPr>
      </w:pPr>
    </w:p>
    <w:p w14:paraId="0EAD9E46" w14:textId="77777777" w:rsidR="00A94369" w:rsidRPr="0083216F" w:rsidRDefault="00A94369" w:rsidP="00DC0BAA">
      <w:pPr>
        <w:pStyle w:val="Affiliation"/>
        <w:spacing w:after="0" w:line="240" w:lineRule="auto"/>
        <w:rPr>
          <w:rFonts w:ascii="Arial" w:hAnsi="Arial" w:cs="Arial"/>
          <w:i/>
        </w:rPr>
      </w:pPr>
    </w:p>
    <w:p w14:paraId="2103708A" w14:textId="77777777" w:rsidR="00790ADA" w:rsidRDefault="00790ADA" w:rsidP="00441B6F">
      <w:pPr>
        <w:pStyle w:val="Affiliation"/>
        <w:spacing w:after="0" w:line="240" w:lineRule="auto"/>
        <w:jc w:val="both"/>
        <w:rPr>
          <w:rFonts w:ascii="Arial" w:hAnsi="Arial" w:cs="Arial"/>
        </w:rPr>
      </w:pPr>
    </w:p>
    <w:p w14:paraId="1C0133A1" w14:textId="77777777" w:rsidR="002C57D2" w:rsidRPr="00FB3A86" w:rsidRDefault="002C57D2" w:rsidP="00441B6F">
      <w:pPr>
        <w:pStyle w:val="Affiliation"/>
        <w:spacing w:after="0" w:line="240" w:lineRule="auto"/>
        <w:jc w:val="both"/>
        <w:rPr>
          <w:rFonts w:ascii="Arial" w:hAnsi="Arial" w:cs="Arial"/>
        </w:rPr>
      </w:pPr>
    </w:p>
    <w:p w14:paraId="752664A0" w14:textId="04AEA486" w:rsidR="00B01FCD" w:rsidRPr="00FB3A86" w:rsidRDefault="00DA61AE" w:rsidP="00441B6F">
      <w:pPr>
        <w:pStyle w:val="Copyright"/>
        <w:spacing w:after="0" w:line="240" w:lineRule="auto"/>
        <w:jc w:val="both"/>
        <w:rPr>
          <w:rFonts w:ascii="Arial" w:hAnsi="Arial" w:cs="Arial"/>
        </w:rPr>
        <w:sectPr w:rsidR="00B01FCD" w:rsidRPr="00FB3A86" w:rsidSect="00C1099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B806A20" wp14:editId="3488F1BD">
                <wp:extent cx="5303520" cy="635"/>
                <wp:effectExtent l="13335" t="15240" r="17145" b="13335"/>
                <wp:docPr id="177959619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3D190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CEF56B8" w14:textId="7C126CA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4DEAFC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C851E42" w14:textId="77777777" w:rsidTr="001E44FE">
        <w:tc>
          <w:tcPr>
            <w:tcW w:w="9576" w:type="dxa"/>
            <w:shd w:val="clear" w:color="auto" w:fill="F2F2F2"/>
          </w:tcPr>
          <w:p w14:paraId="6176985D" w14:textId="3857DF35" w:rsidR="0083357F" w:rsidRPr="00226B0A" w:rsidRDefault="0083357F" w:rsidP="0083357F">
            <w:pPr>
              <w:pStyle w:val="Body"/>
              <w:spacing w:after="0"/>
              <w:rPr>
                <w:rFonts w:ascii="Arial" w:eastAsia="Calibri" w:hAnsi="Arial" w:cs="Arial"/>
                <w:bCs/>
                <w:szCs w:val="22"/>
              </w:rPr>
            </w:pPr>
            <w:r>
              <w:rPr>
                <w:rFonts w:ascii="Arial" w:eastAsia="Calibri" w:hAnsi="Arial" w:cs="Arial"/>
                <w:b/>
                <w:szCs w:val="22"/>
              </w:rPr>
              <w:t>Introduction</w:t>
            </w:r>
            <w:r w:rsidRPr="00BA1B01">
              <w:rPr>
                <w:rFonts w:ascii="Arial" w:eastAsia="Calibri" w:hAnsi="Arial" w:cs="Arial"/>
                <w:b/>
                <w:szCs w:val="22"/>
              </w:rPr>
              <w:t xml:space="preserve">: </w:t>
            </w:r>
            <w:r w:rsidR="00226B0A">
              <w:rPr>
                <w:rFonts w:eastAsia="Calibri" w:cs="Arial"/>
                <w:b/>
                <w:szCs w:val="22"/>
              </w:rPr>
              <w:t>B</w:t>
            </w:r>
            <w:r w:rsidR="00226B0A" w:rsidRPr="00226B0A">
              <w:rPr>
                <w:rFonts w:eastAsia="Calibri" w:cs="Arial"/>
                <w:bCs/>
                <w:szCs w:val="22"/>
              </w:rPr>
              <w:t>ezoars</w:t>
            </w:r>
            <w:r w:rsidR="00226B0A">
              <w:rPr>
                <w:rFonts w:eastAsia="Calibri" w:cs="Arial"/>
                <w:bCs/>
                <w:szCs w:val="22"/>
              </w:rPr>
              <w:t xml:space="preserve"> are collections of indigestible materials in the gastrointestinal tract they can be formed by hair (trichobezoars) milk (phytobezoars</w:t>
            </w:r>
            <w:r w:rsidR="00AB2384">
              <w:rPr>
                <w:rFonts w:eastAsia="Calibri" w:cs="Arial"/>
                <w:bCs/>
                <w:szCs w:val="22"/>
              </w:rPr>
              <w:t>) milk (</w:t>
            </w:r>
            <w:proofErr w:type="spellStart"/>
            <w:r w:rsidR="00AB2384">
              <w:rPr>
                <w:rFonts w:eastAsia="Calibri" w:cs="Arial"/>
                <w:bCs/>
                <w:szCs w:val="22"/>
              </w:rPr>
              <w:t>lactobezoars</w:t>
            </w:r>
            <w:proofErr w:type="spellEnd"/>
            <w:r w:rsidR="00AB2384">
              <w:rPr>
                <w:rFonts w:eastAsia="Calibri" w:cs="Arial"/>
                <w:bCs/>
                <w:szCs w:val="22"/>
              </w:rPr>
              <w:t>) and other materials.</w:t>
            </w:r>
          </w:p>
          <w:p w14:paraId="45B04449" w14:textId="07ED1180" w:rsidR="0007260E" w:rsidRPr="00BA1B01" w:rsidRDefault="0083357F" w:rsidP="00AB2384">
            <w:pPr>
              <w:pStyle w:val="Body"/>
              <w:spacing w:after="0"/>
              <w:rPr>
                <w:rFonts w:ascii="Arial" w:eastAsia="Calibri" w:hAnsi="Arial" w:cs="Arial"/>
                <w:szCs w:val="22"/>
              </w:rPr>
            </w:pPr>
            <w:r>
              <w:rPr>
                <w:rFonts w:ascii="Arial" w:eastAsia="Calibri" w:hAnsi="Arial" w:cs="Arial"/>
                <w:b/>
                <w:szCs w:val="22"/>
              </w:rPr>
              <w:t>Presentation of the Case</w:t>
            </w:r>
            <w:r w:rsidRPr="00BA1B01">
              <w:rPr>
                <w:rFonts w:ascii="Arial" w:eastAsia="Calibri" w:hAnsi="Arial" w:cs="Arial"/>
                <w:b/>
                <w:szCs w:val="22"/>
              </w:rPr>
              <w:t>:</w:t>
            </w:r>
            <w:r w:rsidRPr="00BA1B01">
              <w:rPr>
                <w:rFonts w:ascii="Arial" w:eastAsia="Calibri" w:hAnsi="Arial" w:cs="Arial"/>
                <w:szCs w:val="22"/>
              </w:rPr>
              <w:t xml:space="preserve">  </w:t>
            </w:r>
            <w:r w:rsidR="0007260E">
              <w:rPr>
                <w:spacing w:val="-4"/>
                <w:w w:val="105"/>
              </w:rPr>
              <w:t xml:space="preserve">Our patient is a </w:t>
            </w:r>
            <w:r w:rsidR="00AB2384">
              <w:rPr>
                <w:spacing w:val="-4"/>
                <w:w w:val="105"/>
              </w:rPr>
              <w:t>17 year old female, with no history of mental illness, presenting to the emergency room with generalized abdominal pain with physical examination finding a tender abdomen, CT scan showed pneumoperitoneum, a trichobezoar in the stomach with gastric solution of continuity, the patient was operated on, a gastrotomy was performed with extraction of the trichobezoar, the perforation and gastrotomy were sutured, and a peritoneal lavage was done, the post operative course was uneventful, and the patient was discharged on the fifth day</w:t>
            </w:r>
          </w:p>
          <w:p w14:paraId="6AE2BF18" w14:textId="7B9C5271" w:rsidR="0083357F" w:rsidRPr="00BA1B01" w:rsidRDefault="0083357F" w:rsidP="0083357F">
            <w:pPr>
              <w:pStyle w:val="Body"/>
              <w:spacing w:after="0"/>
              <w:rPr>
                <w:rFonts w:ascii="Arial" w:eastAsia="Calibri" w:hAnsi="Arial" w:cs="Arial"/>
                <w:szCs w:val="22"/>
              </w:rPr>
            </w:pPr>
            <w:r>
              <w:rPr>
                <w:rFonts w:ascii="Arial" w:eastAsia="Calibri" w:hAnsi="Arial" w:cs="Arial"/>
                <w:b/>
                <w:szCs w:val="22"/>
              </w:rPr>
              <w:t>Discussion</w:t>
            </w:r>
            <w:r w:rsidRPr="00BA1B01">
              <w:rPr>
                <w:rFonts w:ascii="Arial" w:eastAsia="Calibri" w:hAnsi="Arial" w:cs="Arial"/>
                <w:b/>
                <w:szCs w:val="22"/>
              </w:rPr>
              <w:t>:</w:t>
            </w:r>
            <w:r w:rsidRPr="00BA1B01">
              <w:rPr>
                <w:rFonts w:ascii="Arial" w:eastAsia="Calibri" w:hAnsi="Arial" w:cs="Arial"/>
                <w:szCs w:val="22"/>
              </w:rPr>
              <w:t xml:space="preserve"> </w:t>
            </w:r>
            <w:r w:rsidR="00942E54">
              <w:rPr>
                <w:rFonts w:eastAsia="Calibri" w:cs="Arial"/>
                <w:szCs w:val="22"/>
              </w:rPr>
              <w:t>Trichobezoar is the accumulation of hair in GI tract forming a mass, the natural course is growth which can lead to perforation, the standard surgical approach is laparotomy, although in literature the laparoscopic approach has been described.</w:t>
            </w:r>
          </w:p>
          <w:p w14:paraId="6130E9C5" w14:textId="0B0355CB" w:rsidR="00505F06" w:rsidRPr="0007260E" w:rsidRDefault="0083357F" w:rsidP="0083357F">
            <w:pPr>
              <w:pStyle w:val="Body"/>
              <w:spacing w:after="0"/>
              <w:rPr>
                <w:rFonts w:ascii="Arial" w:eastAsia="Calibri" w:hAnsi="Arial" w:cs="Arial"/>
                <w:szCs w:val="22"/>
              </w:rPr>
            </w:pPr>
            <w:r>
              <w:rPr>
                <w:rFonts w:ascii="Arial" w:eastAsia="Calibri" w:hAnsi="Arial" w:cs="Arial"/>
                <w:b/>
                <w:bCs/>
                <w:szCs w:val="22"/>
              </w:rPr>
              <w:t>Conclusion</w:t>
            </w:r>
            <w:r w:rsidRPr="00BA1B01">
              <w:rPr>
                <w:rFonts w:ascii="Arial" w:eastAsia="Calibri" w:hAnsi="Arial" w:cs="Arial"/>
                <w:b/>
                <w:bCs/>
                <w:szCs w:val="22"/>
              </w:rPr>
              <w:t>:</w:t>
            </w:r>
            <w:r w:rsidR="0007260E">
              <w:rPr>
                <w:rFonts w:ascii="Arial" w:eastAsia="Calibri" w:hAnsi="Arial" w:cs="Arial"/>
                <w:b/>
                <w:bCs/>
                <w:szCs w:val="22"/>
              </w:rPr>
              <w:t xml:space="preserve"> </w:t>
            </w:r>
            <w:r w:rsidR="00942E54">
              <w:rPr>
                <w:rFonts w:ascii="Arial" w:eastAsia="Calibri" w:hAnsi="Arial" w:cs="Arial"/>
                <w:szCs w:val="22"/>
              </w:rPr>
              <w:t>Trichobezoar is a treatable affection, the complications of which can be lethal, it requires a multidisciplinary approach to avoid recurrence.</w:t>
            </w:r>
          </w:p>
        </w:tc>
      </w:tr>
    </w:tbl>
    <w:p w14:paraId="09E68ED7" w14:textId="77777777" w:rsidR="00636EB2" w:rsidRDefault="00636EB2" w:rsidP="00441B6F">
      <w:pPr>
        <w:pStyle w:val="Body"/>
        <w:spacing w:after="0"/>
        <w:rPr>
          <w:rFonts w:ascii="Arial" w:hAnsi="Arial" w:cs="Arial"/>
          <w:i/>
        </w:rPr>
      </w:pPr>
    </w:p>
    <w:p w14:paraId="14A1FC9D" w14:textId="3B3A1E0B" w:rsidR="0024282C" w:rsidRDefault="00A24E7E" w:rsidP="00441B6F">
      <w:pPr>
        <w:pStyle w:val="Body"/>
        <w:spacing w:after="0"/>
        <w:rPr>
          <w:rFonts w:ascii="Arial" w:hAnsi="Arial" w:cs="Arial"/>
          <w:i/>
        </w:rPr>
      </w:pPr>
      <w:r>
        <w:rPr>
          <w:rFonts w:ascii="Arial" w:hAnsi="Arial" w:cs="Arial"/>
          <w:i/>
        </w:rPr>
        <w:t xml:space="preserve">Keywords: </w:t>
      </w:r>
      <w:r w:rsidR="006945F3">
        <w:rPr>
          <w:rFonts w:ascii="Arial" w:hAnsi="Arial" w:cs="Arial"/>
          <w:i/>
        </w:rPr>
        <w:t>Trichobezoar</w:t>
      </w:r>
      <w:r w:rsidR="00DC0BAA">
        <w:rPr>
          <w:rFonts w:ascii="Arial" w:hAnsi="Arial" w:cs="Arial"/>
          <w:i/>
        </w:rPr>
        <w:t xml:space="preserve">, </w:t>
      </w:r>
      <w:r w:rsidR="00533B70">
        <w:rPr>
          <w:rFonts w:ascii="Arial" w:hAnsi="Arial" w:cs="Arial"/>
          <w:i/>
        </w:rPr>
        <w:t>A</w:t>
      </w:r>
      <w:r w:rsidR="00DC0BAA">
        <w:rPr>
          <w:rFonts w:ascii="Arial" w:hAnsi="Arial" w:cs="Arial"/>
          <w:i/>
        </w:rPr>
        <w:t xml:space="preserve">cute abdomen, </w:t>
      </w:r>
      <w:r w:rsidR="00533B70">
        <w:rPr>
          <w:rFonts w:ascii="Arial" w:hAnsi="Arial" w:cs="Arial"/>
          <w:i/>
        </w:rPr>
        <w:t>C</w:t>
      </w:r>
      <w:r w:rsidR="00DC0BAA">
        <w:rPr>
          <w:rFonts w:ascii="Arial" w:hAnsi="Arial" w:cs="Arial"/>
          <w:i/>
        </w:rPr>
        <w:t xml:space="preserve">ase report, </w:t>
      </w:r>
      <w:r w:rsidR="006945F3">
        <w:rPr>
          <w:rFonts w:ascii="Arial" w:hAnsi="Arial" w:cs="Arial"/>
          <w:i/>
        </w:rPr>
        <w:t>gastric perforation.</w:t>
      </w:r>
    </w:p>
    <w:p w14:paraId="29D5E986" w14:textId="77777777" w:rsidR="00A94369" w:rsidRPr="002135D1" w:rsidRDefault="00A94369" w:rsidP="00441B6F">
      <w:pPr>
        <w:pStyle w:val="Body"/>
        <w:spacing w:after="0"/>
        <w:rPr>
          <w:rFonts w:ascii="Arial" w:hAnsi="Arial" w:cs="Arial"/>
          <w:i/>
        </w:rPr>
      </w:pPr>
    </w:p>
    <w:p w14:paraId="2564D174" w14:textId="77777777" w:rsidR="00505F06" w:rsidRPr="00A24E7E" w:rsidRDefault="00505F06" w:rsidP="00441B6F">
      <w:pPr>
        <w:pStyle w:val="Body"/>
        <w:spacing w:after="0"/>
        <w:rPr>
          <w:rFonts w:ascii="Arial" w:hAnsi="Arial" w:cs="Arial"/>
          <w:i/>
        </w:rPr>
      </w:pPr>
    </w:p>
    <w:p w14:paraId="27C40E62" w14:textId="0A81012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76884C5" w14:textId="77777777" w:rsidR="00790ADA" w:rsidRPr="00FB3A86" w:rsidRDefault="00790ADA" w:rsidP="00441B6F">
      <w:pPr>
        <w:pStyle w:val="AbstHead"/>
        <w:spacing w:after="0"/>
        <w:jc w:val="both"/>
        <w:rPr>
          <w:rFonts w:ascii="Arial" w:hAnsi="Arial" w:cs="Arial"/>
        </w:rPr>
      </w:pPr>
    </w:p>
    <w:p w14:paraId="5F795EB3" w14:textId="71FAB5D7" w:rsidR="001027C1" w:rsidRDefault="00D5516C" w:rsidP="00441B6F">
      <w:pPr>
        <w:pStyle w:val="Body"/>
        <w:spacing w:after="0"/>
        <w:rPr>
          <w:rFonts w:ascii="Arial" w:hAnsi="Arial" w:cs="Arial"/>
        </w:rPr>
      </w:pPr>
      <w:r>
        <w:rPr>
          <w:rFonts w:ascii="Arial" w:hAnsi="Arial" w:cs="Arial"/>
        </w:rPr>
        <w:t>Bezoars are collections of indigestible materials in the gastro intestinal tract, they can be formed by hair (trichobezoars), milk (</w:t>
      </w:r>
      <w:proofErr w:type="spellStart"/>
      <w:r>
        <w:rPr>
          <w:rFonts w:ascii="Arial" w:hAnsi="Arial" w:cs="Arial"/>
        </w:rPr>
        <w:t>lactobezoars</w:t>
      </w:r>
      <w:proofErr w:type="spellEnd"/>
      <w:r>
        <w:rPr>
          <w:rFonts w:ascii="Arial" w:hAnsi="Arial" w:cs="Arial"/>
        </w:rPr>
        <w:t xml:space="preserve">), cellulose (phytobezoars) and other materials. They are usually associated with mental illness, and </w:t>
      </w:r>
      <w:r w:rsidR="000B5AED">
        <w:rPr>
          <w:rFonts w:ascii="Arial" w:hAnsi="Arial" w:cs="Arial"/>
        </w:rPr>
        <w:t xml:space="preserve">are </w:t>
      </w:r>
      <w:r>
        <w:rPr>
          <w:rFonts w:ascii="Arial" w:hAnsi="Arial" w:cs="Arial"/>
        </w:rPr>
        <w:t xml:space="preserve">more frequent in young </w:t>
      </w:r>
      <w:r w:rsidR="005A1531">
        <w:rPr>
          <w:rFonts w:ascii="Arial" w:hAnsi="Arial" w:cs="Arial"/>
        </w:rPr>
        <w:t>females [</w:t>
      </w:r>
      <w:r>
        <w:rPr>
          <w:rFonts w:ascii="Arial" w:hAnsi="Arial" w:cs="Arial"/>
        </w:rPr>
        <w:t>1]</w:t>
      </w:r>
      <w:r w:rsidR="00F8173A">
        <w:rPr>
          <w:rFonts w:ascii="Arial" w:hAnsi="Arial" w:cs="Arial"/>
        </w:rPr>
        <w:t xml:space="preserve">, </w:t>
      </w:r>
      <w:r w:rsidR="000B5AED" w:rsidRPr="000B5AED">
        <w:rPr>
          <w:rFonts w:ascii="Arial" w:hAnsi="Arial" w:cs="Arial"/>
        </w:rPr>
        <w:t>Gastric perforation due to a trichobezoar is rare, but has been reported in adolescents, typically in the context of Rapunzel syndrome</w:t>
      </w:r>
      <w:r w:rsidR="008A3D93">
        <w:rPr>
          <w:rFonts w:ascii="Arial" w:hAnsi="Arial" w:cs="Arial"/>
        </w:rPr>
        <w:t xml:space="preserve"> [2]</w:t>
      </w:r>
      <w:r w:rsidR="000B5AED">
        <w:rPr>
          <w:rFonts w:ascii="Arial" w:hAnsi="Arial" w:cs="Arial"/>
        </w:rPr>
        <w:t xml:space="preserve">, </w:t>
      </w:r>
      <w:r w:rsidR="00F8173A">
        <w:rPr>
          <w:rFonts w:ascii="Arial" w:hAnsi="Arial" w:cs="Arial"/>
        </w:rPr>
        <w:t>we present here a case of a gastric trichobezoar causing a perforation and subsequent peritonitis</w:t>
      </w:r>
      <w:r w:rsidR="00BE0888">
        <w:rPr>
          <w:rFonts w:ascii="Arial" w:hAnsi="Arial" w:cs="Arial"/>
        </w:rPr>
        <w:t xml:space="preserve"> in a young girl with no history of psychiatric disorders.</w:t>
      </w:r>
    </w:p>
    <w:p w14:paraId="5513E885" w14:textId="77777777" w:rsidR="00505F06" w:rsidRDefault="00505F06" w:rsidP="00441B6F">
      <w:pPr>
        <w:pStyle w:val="Body"/>
        <w:spacing w:after="0"/>
        <w:rPr>
          <w:rFonts w:ascii="Arial" w:hAnsi="Arial" w:cs="Arial"/>
        </w:rPr>
      </w:pPr>
    </w:p>
    <w:p w14:paraId="6BDC5175" w14:textId="77777777" w:rsidR="00790ADA" w:rsidRPr="00FB3A86" w:rsidRDefault="00790ADA" w:rsidP="00441B6F">
      <w:pPr>
        <w:pStyle w:val="Body"/>
        <w:spacing w:after="0"/>
        <w:rPr>
          <w:rFonts w:ascii="Arial" w:hAnsi="Arial" w:cs="Arial"/>
        </w:rPr>
      </w:pPr>
    </w:p>
    <w:p w14:paraId="7E2DEBD0" w14:textId="1991D6A1" w:rsidR="007F7B32" w:rsidRDefault="00902823" w:rsidP="00441B6F">
      <w:pPr>
        <w:pStyle w:val="AbstHead"/>
        <w:spacing w:after="0"/>
        <w:jc w:val="both"/>
        <w:rPr>
          <w:rFonts w:ascii="Arial" w:hAnsi="Arial" w:cs="Arial"/>
        </w:rPr>
      </w:pPr>
      <w:r>
        <w:rPr>
          <w:rFonts w:ascii="Arial" w:hAnsi="Arial" w:cs="Arial"/>
        </w:rPr>
        <w:t xml:space="preserve">2. </w:t>
      </w:r>
      <w:r w:rsidR="00954A07">
        <w:rPr>
          <w:rFonts w:ascii="Arial" w:hAnsi="Arial" w:cs="Arial"/>
        </w:rPr>
        <w:t>Presentation of the case</w:t>
      </w:r>
    </w:p>
    <w:p w14:paraId="42BC8392" w14:textId="77777777" w:rsidR="00790ADA" w:rsidRPr="00FB3A86" w:rsidRDefault="00790ADA" w:rsidP="00441B6F">
      <w:pPr>
        <w:pStyle w:val="AbstHead"/>
        <w:spacing w:after="0"/>
        <w:jc w:val="both"/>
        <w:rPr>
          <w:rFonts w:ascii="Arial" w:hAnsi="Arial" w:cs="Arial"/>
        </w:rPr>
      </w:pPr>
    </w:p>
    <w:p w14:paraId="787F9F34" w14:textId="72E39422" w:rsidR="00205720" w:rsidRDefault="00F8173A" w:rsidP="00441B6F">
      <w:pPr>
        <w:pStyle w:val="Body"/>
        <w:spacing w:after="0"/>
        <w:rPr>
          <w:rFonts w:ascii="Arial" w:hAnsi="Arial" w:cs="Arial"/>
        </w:rPr>
      </w:pPr>
      <w:r>
        <w:rPr>
          <w:rFonts w:ascii="Arial" w:hAnsi="Arial" w:cs="Arial"/>
        </w:rPr>
        <w:t xml:space="preserve">We present the case of a </w:t>
      </w:r>
      <w:r w:rsidR="005A1531">
        <w:rPr>
          <w:rFonts w:ascii="Arial" w:hAnsi="Arial" w:cs="Arial"/>
        </w:rPr>
        <w:t>17-year-old</w:t>
      </w:r>
      <w:r>
        <w:rPr>
          <w:rFonts w:ascii="Arial" w:hAnsi="Arial" w:cs="Arial"/>
        </w:rPr>
        <w:t xml:space="preserve"> female, with no psychiatric history, presenting with generalized abdominal pain evolving for 2 days, </w:t>
      </w:r>
      <w:proofErr w:type="gramStart"/>
      <w:r w:rsidR="00C35BCB" w:rsidRPr="00C35BCB">
        <w:rPr>
          <w:rFonts w:ascii="Arial" w:hAnsi="Arial" w:cs="Arial"/>
        </w:rPr>
        <w:t>She</w:t>
      </w:r>
      <w:proofErr w:type="gramEnd"/>
      <w:r w:rsidR="00C35BCB" w:rsidRPr="00C35BCB">
        <w:rPr>
          <w:rFonts w:ascii="Arial" w:hAnsi="Arial" w:cs="Arial"/>
        </w:rPr>
        <w:t xml:space="preserve"> denied any history of vomiting, weight loss, gastrointestinal bleeding, or foreign body ingestion. and neither the patient nor her family reported hair-pulling or ingestion behavior.</w:t>
      </w:r>
      <w:r w:rsidR="00C35BCB">
        <w:rPr>
          <w:rFonts w:ascii="Arial" w:hAnsi="Arial" w:cs="Arial"/>
        </w:rPr>
        <w:t xml:space="preserve"> </w:t>
      </w:r>
      <w:r>
        <w:rPr>
          <w:rFonts w:ascii="Arial" w:hAnsi="Arial" w:cs="Arial"/>
        </w:rPr>
        <w:t>Physical examination found a stable patient, with generalized tenderness in the abdomen.</w:t>
      </w:r>
    </w:p>
    <w:p w14:paraId="5DB50B6E" w14:textId="25F5C29F" w:rsidR="00F8173A" w:rsidRDefault="00F8173A" w:rsidP="00441B6F">
      <w:pPr>
        <w:pStyle w:val="Body"/>
        <w:spacing w:after="0"/>
        <w:rPr>
          <w:rFonts w:ascii="Arial" w:hAnsi="Arial" w:cs="Arial"/>
        </w:rPr>
      </w:pPr>
      <w:r>
        <w:rPr>
          <w:rFonts w:ascii="Arial" w:hAnsi="Arial" w:cs="Arial"/>
        </w:rPr>
        <w:t>The patient came to the emergency room with a CT scan done in another medical center showing pneumoperitoneum, a large gastric bezoar and a solution of continuity in the front side of the stomach</w:t>
      </w:r>
      <w:r w:rsidR="00684E5A">
        <w:rPr>
          <w:rFonts w:ascii="Arial" w:hAnsi="Arial" w:cs="Arial"/>
        </w:rPr>
        <w:t>, measuring 2cm.</w:t>
      </w:r>
      <w:r w:rsidR="00C35BCB">
        <w:rPr>
          <w:rFonts w:ascii="Arial" w:hAnsi="Arial" w:cs="Arial"/>
        </w:rPr>
        <w:t xml:space="preserve"> </w:t>
      </w:r>
    </w:p>
    <w:p w14:paraId="11D685BF" w14:textId="02364B7F" w:rsidR="009800A4" w:rsidRDefault="00F8173A" w:rsidP="004A0E59">
      <w:pPr>
        <w:pStyle w:val="Body"/>
        <w:spacing w:after="0"/>
        <w:jc w:val="center"/>
        <w:rPr>
          <w:rFonts w:ascii="Arial" w:hAnsi="Arial" w:cs="Arial"/>
        </w:rPr>
      </w:pPr>
      <w:r>
        <w:rPr>
          <w:rFonts w:ascii="Arial" w:hAnsi="Arial" w:cs="Arial"/>
          <w:noProof/>
        </w:rPr>
        <w:lastRenderedPageBreak/>
        <w:drawing>
          <wp:inline distT="0" distB="0" distL="0" distR="0" wp14:anchorId="77FB0B2B" wp14:editId="09997DDA">
            <wp:extent cx="6589830" cy="3606102"/>
            <wp:effectExtent l="0" t="0" r="1905" b="0"/>
            <wp:docPr id="13846865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86562" name="Image 1384686562"/>
                    <pic:cNvPicPr/>
                  </pic:nvPicPr>
                  <pic:blipFill>
                    <a:blip r:embed="rId14">
                      <a:extLst>
                        <a:ext uri="{28A0092B-C50C-407E-A947-70E740481C1C}">
                          <a14:useLocalDpi xmlns:a14="http://schemas.microsoft.com/office/drawing/2010/main" val="0"/>
                        </a:ext>
                      </a:extLst>
                    </a:blip>
                    <a:stretch>
                      <a:fillRect/>
                    </a:stretch>
                  </pic:blipFill>
                  <pic:spPr>
                    <a:xfrm>
                      <a:off x="0" y="0"/>
                      <a:ext cx="6589830" cy="3606102"/>
                    </a:xfrm>
                    <a:prstGeom prst="rect">
                      <a:avLst/>
                    </a:prstGeom>
                  </pic:spPr>
                </pic:pic>
              </a:graphicData>
            </a:graphic>
          </wp:inline>
        </w:drawing>
      </w:r>
    </w:p>
    <w:p w14:paraId="45A234A0" w14:textId="6FB1C562" w:rsidR="004A0E59" w:rsidRDefault="004A0E59" w:rsidP="004A0E59">
      <w:pPr>
        <w:pStyle w:val="Body"/>
        <w:spacing w:after="0"/>
        <w:jc w:val="center"/>
        <w:rPr>
          <w:rFonts w:ascii="Arial" w:hAnsi="Arial" w:cs="Arial"/>
        </w:rPr>
      </w:pPr>
      <w:r>
        <w:rPr>
          <w:rFonts w:ascii="Arial" w:hAnsi="Arial" w:cs="Arial"/>
        </w:rPr>
        <w:t xml:space="preserve">Figure1: </w:t>
      </w:r>
      <w:r w:rsidR="00F8173A">
        <w:rPr>
          <w:rFonts w:ascii="Arial" w:hAnsi="Arial" w:cs="Arial"/>
        </w:rPr>
        <w:t>CT Scan showing the bezoar and pneumoperitoneum</w:t>
      </w:r>
      <w:r w:rsidR="000F70D5">
        <w:rPr>
          <w:rFonts w:ascii="Arial" w:hAnsi="Arial" w:cs="Arial"/>
        </w:rPr>
        <w:t>.</w:t>
      </w:r>
    </w:p>
    <w:p w14:paraId="2531557A" w14:textId="77777777" w:rsidR="004C1D51" w:rsidRDefault="004C1D51" w:rsidP="004A0E59">
      <w:pPr>
        <w:pStyle w:val="Body"/>
        <w:spacing w:after="0"/>
        <w:jc w:val="center"/>
        <w:rPr>
          <w:rFonts w:ascii="Arial" w:hAnsi="Arial" w:cs="Arial"/>
        </w:rPr>
      </w:pPr>
    </w:p>
    <w:p w14:paraId="5AEA0D83" w14:textId="5B64CD5B" w:rsidR="001C4989" w:rsidRDefault="00F8173A" w:rsidP="001C4989">
      <w:pPr>
        <w:pStyle w:val="Body"/>
        <w:spacing w:after="0"/>
        <w:rPr>
          <w:rFonts w:ascii="Arial" w:hAnsi="Arial" w:cs="Arial"/>
        </w:rPr>
      </w:pPr>
      <w:r>
        <w:rPr>
          <w:rFonts w:ascii="Arial" w:hAnsi="Arial" w:cs="Arial"/>
        </w:rPr>
        <w:t>The patient was admitted urgently to the operating room</w:t>
      </w:r>
      <w:r w:rsidR="001727C1">
        <w:rPr>
          <w:rFonts w:ascii="Arial" w:hAnsi="Arial" w:cs="Arial"/>
        </w:rPr>
        <w:t xml:space="preserve">, and a laparotomy was performed, we have found gastric fluid in the peritoneal cavity, with a 2cm perforation in the gastric fundus, we then proceeded with a transverse gastrotomy and the extraction of a large trichobezoar occupying the whole lumen of the stomach, primary suture of the perforation and the gastrotomy was </w:t>
      </w:r>
      <w:r w:rsidR="00AF2C83">
        <w:rPr>
          <w:rFonts w:ascii="Arial" w:hAnsi="Arial" w:cs="Arial"/>
        </w:rPr>
        <w:t>performed</w:t>
      </w:r>
      <w:r w:rsidR="001727C1">
        <w:rPr>
          <w:rFonts w:ascii="Arial" w:hAnsi="Arial" w:cs="Arial"/>
        </w:rPr>
        <w:t>, with a subsequent peritoneal lavage and drainage.</w:t>
      </w:r>
    </w:p>
    <w:p w14:paraId="6F1F493F" w14:textId="2B2D4A84" w:rsidR="00ED5FD3" w:rsidRDefault="001727C1" w:rsidP="00923A9D">
      <w:pPr>
        <w:pStyle w:val="Body"/>
        <w:spacing w:after="0"/>
        <w:jc w:val="center"/>
        <w:rPr>
          <w:rFonts w:ascii="Arial" w:hAnsi="Arial" w:cs="Arial"/>
        </w:rPr>
      </w:pPr>
      <w:r>
        <w:rPr>
          <w:rFonts w:ascii="Arial" w:hAnsi="Arial" w:cs="Arial"/>
          <w:noProof/>
        </w:rPr>
        <w:drawing>
          <wp:inline distT="0" distB="0" distL="0" distR="0" wp14:anchorId="039080F3" wp14:editId="0749CC89">
            <wp:extent cx="3895725" cy="3847750"/>
            <wp:effectExtent l="0" t="0" r="0" b="635"/>
            <wp:docPr id="14036192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19268" name="Image 1403619268"/>
                    <pic:cNvPicPr/>
                  </pic:nvPicPr>
                  <pic:blipFill>
                    <a:blip r:embed="rId15">
                      <a:extLst>
                        <a:ext uri="{28A0092B-C50C-407E-A947-70E740481C1C}">
                          <a14:useLocalDpi xmlns:a14="http://schemas.microsoft.com/office/drawing/2010/main" val="0"/>
                        </a:ext>
                      </a:extLst>
                    </a:blip>
                    <a:stretch>
                      <a:fillRect/>
                    </a:stretch>
                  </pic:blipFill>
                  <pic:spPr>
                    <a:xfrm>
                      <a:off x="0" y="0"/>
                      <a:ext cx="3920189" cy="3871913"/>
                    </a:xfrm>
                    <a:prstGeom prst="rect">
                      <a:avLst/>
                    </a:prstGeom>
                  </pic:spPr>
                </pic:pic>
              </a:graphicData>
            </a:graphic>
          </wp:inline>
        </w:drawing>
      </w:r>
    </w:p>
    <w:p w14:paraId="23DB68DB" w14:textId="608B053F" w:rsidR="00923A9D" w:rsidRDefault="00923A9D" w:rsidP="00AF2C83">
      <w:pPr>
        <w:pStyle w:val="Body"/>
        <w:spacing w:after="0"/>
        <w:jc w:val="center"/>
        <w:rPr>
          <w:rFonts w:ascii="Arial" w:hAnsi="Arial" w:cs="Arial"/>
        </w:rPr>
      </w:pPr>
      <w:r>
        <w:rPr>
          <w:rFonts w:ascii="Arial" w:hAnsi="Arial" w:cs="Arial"/>
        </w:rPr>
        <w:t xml:space="preserve">Figure 2: </w:t>
      </w:r>
      <w:r w:rsidR="001727C1">
        <w:rPr>
          <w:rFonts w:ascii="Arial" w:hAnsi="Arial" w:cs="Arial"/>
        </w:rPr>
        <w:t>transverse gastrotomy showing the trichobezoar</w:t>
      </w:r>
    </w:p>
    <w:p w14:paraId="6A4A314B" w14:textId="3B39E33A" w:rsidR="00ED5FD3" w:rsidRDefault="00F34440" w:rsidP="00E40122">
      <w:pPr>
        <w:pStyle w:val="Body"/>
        <w:spacing w:after="0"/>
        <w:jc w:val="center"/>
        <w:rPr>
          <w:rFonts w:ascii="Arial" w:hAnsi="Arial" w:cs="Arial"/>
        </w:rPr>
      </w:pPr>
      <w:r>
        <w:rPr>
          <w:rFonts w:ascii="Arial" w:hAnsi="Arial" w:cs="Arial"/>
          <w:noProof/>
        </w:rPr>
        <w:lastRenderedPageBreak/>
        <w:drawing>
          <wp:inline distT="0" distB="0" distL="0" distR="0" wp14:anchorId="36CEF4DF" wp14:editId="4DE41FE5">
            <wp:extent cx="3324225" cy="3924740"/>
            <wp:effectExtent l="0" t="0" r="0" b="0"/>
            <wp:docPr id="20514143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14365" name="Image 20514143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6947" cy="3939760"/>
                    </a:xfrm>
                    <a:prstGeom prst="rect">
                      <a:avLst/>
                    </a:prstGeom>
                  </pic:spPr>
                </pic:pic>
              </a:graphicData>
            </a:graphic>
          </wp:inline>
        </w:drawing>
      </w:r>
    </w:p>
    <w:p w14:paraId="64D6DF17" w14:textId="6AB6EE84" w:rsidR="00ED5FD3" w:rsidRDefault="00ED5FD3" w:rsidP="00ED5FD3">
      <w:pPr>
        <w:pStyle w:val="Body"/>
        <w:spacing w:after="0"/>
        <w:jc w:val="center"/>
        <w:rPr>
          <w:rFonts w:ascii="Arial" w:hAnsi="Arial" w:cs="Arial"/>
        </w:rPr>
      </w:pPr>
      <w:r>
        <w:rPr>
          <w:rFonts w:ascii="Arial" w:hAnsi="Arial" w:cs="Arial"/>
        </w:rPr>
        <w:t xml:space="preserve">Figure </w:t>
      </w:r>
      <w:r w:rsidR="002D58E2">
        <w:rPr>
          <w:rFonts w:ascii="Arial" w:hAnsi="Arial" w:cs="Arial"/>
        </w:rPr>
        <w:t>3</w:t>
      </w:r>
      <w:r>
        <w:rPr>
          <w:rFonts w:ascii="Arial" w:hAnsi="Arial" w:cs="Arial"/>
        </w:rPr>
        <w:t xml:space="preserve">: </w:t>
      </w:r>
      <w:r w:rsidR="00F34440">
        <w:rPr>
          <w:rFonts w:ascii="Arial" w:hAnsi="Arial" w:cs="Arial"/>
        </w:rPr>
        <w:t>trichobezoar after extraction</w:t>
      </w:r>
    </w:p>
    <w:p w14:paraId="045035E2" w14:textId="70F0E4E3" w:rsidR="00ED5FD3" w:rsidRDefault="00ED5FD3" w:rsidP="00E40122">
      <w:pPr>
        <w:pStyle w:val="Body"/>
        <w:spacing w:after="0"/>
        <w:jc w:val="center"/>
        <w:rPr>
          <w:rFonts w:ascii="Arial" w:hAnsi="Arial" w:cs="Arial"/>
        </w:rPr>
      </w:pPr>
    </w:p>
    <w:p w14:paraId="0C25853B" w14:textId="49DF17EE" w:rsidR="000C0E1C" w:rsidRDefault="002D31CC" w:rsidP="00441B6F">
      <w:pPr>
        <w:pStyle w:val="Body"/>
        <w:spacing w:after="0"/>
        <w:rPr>
          <w:rFonts w:ascii="Arial" w:hAnsi="Arial" w:cs="Arial"/>
        </w:rPr>
      </w:pPr>
      <w:r>
        <w:rPr>
          <w:rFonts w:ascii="Arial" w:hAnsi="Arial" w:cs="Arial"/>
        </w:rPr>
        <w:t>The post operative course was uneventful, and the patient was discharged on the fifth day.</w:t>
      </w:r>
    </w:p>
    <w:p w14:paraId="1AF77E22" w14:textId="48DD5C2B" w:rsidR="00954A07" w:rsidRDefault="00BE0175" w:rsidP="00441B6F">
      <w:pPr>
        <w:pStyle w:val="Body"/>
        <w:spacing w:after="0"/>
        <w:rPr>
          <w:rFonts w:ascii="Arial" w:hAnsi="Arial" w:cs="Arial"/>
        </w:rPr>
      </w:pPr>
      <w:r>
        <w:rPr>
          <w:rFonts w:ascii="Arial" w:hAnsi="Arial" w:cs="Arial"/>
        </w:rPr>
        <w:t>A psychiatric consultation was done pre discharge, n</w:t>
      </w:r>
      <w:r w:rsidRPr="00BE0175">
        <w:rPr>
          <w:rFonts w:ascii="Arial" w:hAnsi="Arial" w:cs="Arial"/>
        </w:rPr>
        <w:t>o diagnostic criteria were met for trichotillomania, obsessive-compulsive disorder, anxiety, or depression</w:t>
      </w:r>
      <w:r>
        <w:rPr>
          <w:rFonts w:ascii="Arial" w:hAnsi="Arial" w:cs="Arial"/>
        </w:rPr>
        <w:t xml:space="preserve">. She was advised to follow up regularly </w:t>
      </w:r>
      <w:proofErr w:type="spellStart"/>
      <w:r>
        <w:rPr>
          <w:rFonts w:ascii="Arial" w:hAnsi="Arial" w:cs="Arial"/>
        </w:rPr>
        <w:t>with out</w:t>
      </w:r>
      <w:proofErr w:type="spellEnd"/>
      <w:r>
        <w:rPr>
          <w:rFonts w:ascii="Arial" w:hAnsi="Arial" w:cs="Arial"/>
        </w:rPr>
        <w:t xml:space="preserve"> patient psychiatric services.</w:t>
      </w:r>
    </w:p>
    <w:p w14:paraId="5A170815" w14:textId="77777777" w:rsidR="00BE0175" w:rsidRPr="00FB3A86" w:rsidRDefault="00BE0175" w:rsidP="00441B6F">
      <w:pPr>
        <w:pStyle w:val="Body"/>
        <w:spacing w:after="0"/>
        <w:rPr>
          <w:rFonts w:ascii="Arial" w:hAnsi="Arial" w:cs="Arial"/>
        </w:rPr>
      </w:pPr>
    </w:p>
    <w:p w14:paraId="2B001736" w14:textId="08E95C3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3D87366E" w14:textId="77777777" w:rsidR="00790ADA" w:rsidRPr="00FB3A86" w:rsidRDefault="00790ADA" w:rsidP="00441B6F">
      <w:pPr>
        <w:pStyle w:val="Head1"/>
        <w:spacing w:after="0"/>
        <w:jc w:val="both"/>
        <w:rPr>
          <w:rFonts w:ascii="Arial" w:hAnsi="Arial" w:cs="Arial"/>
        </w:rPr>
      </w:pPr>
    </w:p>
    <w:p w14:paraId="2539A13A" w14:textId="1FB021DB" w:rsidR="002F5E49" w:rsidRDefault="00AE003D" w:rsidP="002F5E49">
      <w:pPr>
        <w:pStyle w:val="Body"/>
        <w:rPr>
          <w:rFonts w:ascii="Arial" w:hAnsi="Arial" w:cs="Arial"/>
        </w:rPr>
      </w:pPr>
      <w:r>
        <w:rPr>
          <w:rFonts w:ascii="Arial" w:hAnsi="Arial" w:cs="Arial"/>
        </w:rPr>
        <w:t>Trichobezoar which is the accumulation of indigestible hair in the digestive tract is usually found in young girls with psychiatric or social problems [</w:t>
      </w:r>
      <w:r w:rsidR="00CE0B63">
        <w:rPr>
          <w:rFonts w:ascii="Arial" w:hAnsi="Arial" w:cs="Arial"/>
        </w:rPr>
        <w:t>3</w:t>
      </w:r>
      <w:r w:rsidR="001D12CD">
        <w:rPr>
          <w:rFonts w:ascii="Arial" w:hAnsi="Arial" w:cs="Arial"/>
        </w:rPr>
        <w:t>,</w:t>
      </w:r>
      <w:r w:rsidR="00CE0B63">
        <w:rPr>
          <w:rFonts w:ascii="Arial" w:hAnsi="Arial" w:cs="Arial"/>
        </w:rPr>
        <w:t>4</w:t>
      </w:r>
      <w:r>
        <w:rPr>
          <w:rFonts w:ascii="Arial" w:hAnsi="Arial" w:cs="Arial"/>
        </w:rPr>
        <w:t>]</w:t>
      </w:r>
      <w:r w:rsidR="004F359C">
        <w:rPr>
          <w:rFonts w:ascii="Arial" w:hAnsi="Arial" w:cs="Arial"/>
        </w:rPr>
        <w:t xml:space="preserve">, even though </w:t>
      </w:r>
      <w:r w:rsidR="00B61083">
        <w:rPr>
          <w:rFonts w:ascii="Arial" w:hAnsi="Arial" w:cs="Arial"/>
        </w:rPr>
        <w:t>in</w:t>
      </w:r>
      <w:r w:rsidR="004F359C">
        <w:rPr>
          <w:rFonts w:ascii="Arial" w:hAnsi="Arial" w:cs="Arial"/>
        </w:rPr>
        <w:t xml:space="preserve"> some cases like ours, the patient is not known to have any psychiatric history</w:t>
      </w:r>
      <w:r>
        <w:rPr>
          <w:rFonts w:ascii="Arial" w:hAnsi="Arial" w:cs="Arial"/>
        </w:rPr>
        <w:t xml:space="preserve">. </w:t>
      </w:r>
      <w:r w:rsidR="000A1459">
        <w:rPr>
          <w:rFonts w:ascii="Arial" w:hAnsi="Arial" w:cs="Arial"/>
        </w:rPr>
        <w:t>The most common complications are perforation, followed by intussusception, pancreatitis and cholangitis</w:t>
      </w:r>
      <w:r w:rsidR="002F5E49">
        <w:rPr>
          <w:rFonts w:ascii="Arial" w:hAnsi="Arial" w:cs="Arial"/>
        </w:rPr>
        <w:t xml:space="preserve"> [</w:t>
      </w:r>
      <w:r w:rsidR="00CE0B63">
        <w:rPr>
          <w:rFonts w:ascii="Arial" w:hAnsi="Arial" w:cs="Arial"/>
        </w:rPr>
        <w:t>5</w:t>
      </w:r>
      <w:r w:rsidR="00040574">
        <w:rPr>
          <w:rFonts w:ascii="Arial" w:hAnsi="Arial" w:cs="Arial"/>
        </w:rPr>
        <w:t>,</w:t>
      </w:r>
      <w:r w:rsidR="00CE0B63">
        <w:rPr>
          <w:rFonts w:ascii="Arial" w:hAnsi="Arial" w:cs="Arial"/>
        </w:rPr>
        <w:t>6</w:t>
      </w:r>
      <w:r w:rsidR="002F5E49">
        <w:rPr>
          <w:rFonts w:ascii="Arial" w:hAnsi="Arial" w:cs="Arial"/>
        </w:rPr>
        <w:t>].</w:t>
      </w:r>
      <w:r w:rsidR="000A1459">
        <w:rPr>
          <w:rFonts w:ascii="Arial" w:hAnsi="Arial" w:cs="Arial"/>
        </w:rPr>
        <w:t xml:space="preserve"> </w:t>
      </w:r>
      <w:r w:rsidR="002F5E49">
        <w:rPr>
          <w:rFonts w:ascii="Arial" w:hAnsi="Arial" w:cs="Arial"/>
        </w:rPr>
        <w:t>As the trichobezoar grows, blood supply the mucosa is hampered, leading to ulceration and perforation [</w:t>
      </w:r>
      <w:r w:rsidR="00CE0B63">
        <w:rPr>
          <w:rFonts w:ascii="Arial" w:hAnsi="Arial" w:cs="Arial"/>
        </w:rPr>
        <w:t>7</w:t>
      </w:r>
      <w:r w:rsidR="001D12CD">
        <w:rPr>
          <w:rFonts w:ascii="Arial" w:hAnsi="Arial" w:cs="Arial"/>
        </w:rPr>
        <w:t>,</w:t>
      </w:r>
      <w:r w:rsidR="00CE0B63">
        <w:rPr>
          <w:rFonts w:ascii="Arial" w:hAnsi="Arial" w:cs="Arial"/>
        </w:rPr>
        <w:t>8</w:t>
      </w:r>
      <w:r w:rsidR="002F5E49">
        <w:rPr>
          <w:rFonts w:ascii="Arial" w:hAnsi="Arial" w:cs="Arial"/>
        </w:rPr>
        <w:t xml:space="preserve">]. </w:t>
      </w:r>
    </w:p>
    <w:p w14:paraId="4FCA29BE" w14:textId="7D28D146" w:rsidR="00346B98" w:rsidRDefault="00346B98" w:rsidP="00A0273E">
      <w:pPr>
        <w:pStyle w:val="Body"/>
        <w:rPr>
          <w:rFonts w:ascii="Arial" w:hAnsi="Arial" w:cs="Arial"/>
        </w:rPr>
      </w:pPr>
      <w:r w:rsidRPr="00346B98">
        <w:rPr>
          <w:rFonts w:ascii="Arial" w:hAnsi="Arial" w:cs="Arial"/>
        </w:rPr>
        <w:t>While most trichobezoars are confined to the stomach, larger masses may extend into the small intestine, forming what is known as Rapunzel syndrome [</w:t>
      </w:r>
      <w:r w:rsidR="00CE0B63">
        <w:rPr>
          <w:rFonts w:ascii="Arial" w:hAnsi="Arial" w:cs="Arial"/>
        </w:rPr>
        <w:t>9</w:t>
      </w:r>
      <w:r w:rsidRPr="00346B98">
        <w:rPr>
          <w:rFonts w:ascii="Arial" w:hAnsi="Arial" w:cs="Arial"/>
        </w:rPr>
        <w:t xml:space="preserve">]. Although no intestinal extension was found in our case, the bezoar was of sufficient size and density to cause gastric wall compromise. Surgical intervention remains the mainstay of treatment in complicated cases, especially when perforation or obstruction is present. </w:t>
      </w:r>
    </w:p>
    <w:p w14:paraId="77A7A0C2" w14:textId="0293F05C" w:rsidR="000A1459" w:rsidRDefault="002F5E49" w:rsidP="00A0273E">
      <w:pPr>
        <w:pStyle w:val="Body"/>
        <w:rPr>
          <w:rFonts w:ascii="Arial" w:hAnsi="Arial" w:cs="Arial"/>
        </w:rPr>
      </w:pPr>
      <w:r>
        <w:rPr>
          <w:rFonts w:ascii="Arial" w:hAnsi="Arial" w:cs="Arial"/>
        </w:rPr>
        <w:t>Trichobezoars of the gastro intestinal tract can remain asymptomatic, and incidentally discovered on routine radiography, or they can be diagnosed during the complications cited above [</w:t>
      </w:r>
      <w:r w:rsidR="00CE0B63">
        <w:rPr>
          <w:rFonts w:ascii="Arial" w:hAnsi="Arial" w:cs="Arial"/>
        </w:rPr>
        <w:t>10</w:t>
      </w:r>
      <w:r>
        <w:rPr>
          <w:rFonts w:ascii="Arial" w:hAnsi="Arial" w:cs="Arial"/>
        </w:rPr>
        <w:t>]</w:t>
      </w:r>
      <w:r w:rsidR="004F359C">
        <w:rPr>
          <w:rFonts w:ascii="Arial" w:hAnsi="Arial" w:cs="Arial"/>
        </w:rPr>
        <w:t>. Our patient stayed asymptomatic for years, the trichobezoar eventually grew in size causing the perforation and peritonitis</w:t>
      </w:r>
    </w:p>
    <w:p w14:paraId="4785EC23" w14:textId="642AFAF0" w:rsidR="002F5E49" w:rsidRDefault="002F5E49" w:rsidP="00A0273E">
      <w:pPr>
        <w:pStyle w:val="Body"/>
        <w:rPr>
          <w:rFonts w:ascii="Arial" w:hAnsi="Arial" w:cs="Arial"/>
        </w:rPr>
      </w:pPr>
      <w:r>
        <w:rPr>
          <w:rFonts w:ascii="Arial" w:hAnsi="Arial" w:cs="Arial"/>
        </w:rPr>
        <w:t>Although laparoscopy is feasible in certain cases, the standard procedure is laparotomy due the usually extreme size of the bezoar</w:t>
      </w:r>
      <w:r w:rsidR="004F359C">
        <w:rPr>
          <w:rFonts w:ascii="Arial" w:hAnsi="Arial" w:cs="Arial"/>
        </w:rPr>
        <w:t xml:space="preserve"> [</w:t>
      </w:r>
      <w:r w:rsidR="00040574">
        <w:rPr>
          <w:rFonts w:ascii="Arial" w:hAnsi="Arial" w:cs="Arial"/>
        </w:rPr>
        <w:t>1</w:t>
      </w:r>
      <w:r w:rsidR="00CE0B63">
        <w:rPr>
          <w:rFonts w:ascii="Arial" w:hAnsi="Arial" w:cs="Arial"/>
        </w:rPr>
        <w:t>1</w:t>
      </w:r>
      <w:r w:rsidR="004F359C">
        <w:rPr>
          <w:rFonts w:ascii="Arial" w:hAnsi="Arial" w:cs="Arial"/>
        </w:rPr>
        <w:t>]</w:t>
      </w:r>
    </w:p>
    <w:p w14:paraId="5AC03991" w14:textId="0AFAE0B7" w:rsidR="009C09B7" w:rsidRDefault="009C09B7" w:rsidP="00A0273E">
      <w:pPr>
        <w:pStyle w:val="Body"/>
        <w:rPr>
          <w:rFonts w:ascii="Arial" w:hAnsi="Arial" w:cs="Arial"/>
          <w:lang w:val="fr-FR"/>
        </w:rPr>
      </w:pPr>
      <w:proofErr w:type="spellStart"/>
      <w:r w:rsidRPr="009C09B7">
        <w:rPr>
          <w:rFonts w:ascii="Arial" w:hAnsi="Arial" w:cs="Arial"/>
          <w:lang w:val="fr-FR"/>
        </w:rPr>
        <w:t>Clinicians</w:t>
      </w:r>
      <w:proofErr w:type="spellEnd"/>
      <w:r w:rsidRPr="009C09B7">
        <w:rPr>
          <w:rFonts w:ascii="Arial" w:hAnsi="Arial" w:cs="Arial"/>
          <w:lang w:val="fr-FR"/>
        </w:rPr>
        <w:t xml:space="preserve"> </w:t>
      </w:r>
      <w:proofErr w:type="spellStart"/>
      <w:r w:rsidRPr="009C09B7">
        <w:rPr>
          <w:rFonts w:ascii="Arial" w:hAnsi="Arial" w:cs="Arial"/>
          <w:lang w:val="fr-FR"/>
        </w:rPr>
        <w:t>should</w:t>
      </w:r>
      <w:proofErr w:type="spellEnd"/>
      <w:r w:rsidRPr="009C09B7">
        <w:rPr>
          <w:rFonts w:ascii="Arial" w:hAnsi="Arial" w:cs="Arial"/>
          <w:lang w:val="fr-FR"/>
        </w:rPr>
        <w:t xml:space="preserve"> </w:t>
      </w:r>
      <w:proofErr w:type="spellStart"/>
      <w:r w:rsidRPr="009C09B7">
        <w:rPr>
          <w:rFonts w:ascii="Arial" w:hAnsi="Arial" w:cs="Arial"/>
          <w:lang w:val="fr-FR"/>
        </w:rPr>
        <w:t>maintain</w:t>
      </w:r>
      <w:proofErr w:type="spellEnd"/>
      <w:r w:rsidRPr="009C09B7">
        <w:rPr>
          <w:rFonts w:ascii="Arial" w:hAnsi="Arial" w:cs="Arial"/>
          <w:lang w:val="fr-FR"/>
        </w:rPr>
        <w:t xml:space="preserve"> a high index of suspicion for bezoars in adolescents </w:t>
      </w:r>
      <w:proofErr w:type="spellStart"/>
      <w:r w:rsidRPr="009C09B7">
        <w:rPr>
          <w:rFonts w:ascii="Arial" w:hAnsi="Arial" w:cs="Arial"/>
          <w:lang w:val="fr-FR"/>
        </w:rPr>
        <w:t>presenting</w:t>
      </w:r>
      <w:proofErr w:type="spellEnd"/>
      <w:r w:rsidRPr="009C09B7">
        <w:rPr>
          <w:rFonts w:ascii="Arial" w:hAnsi="Arial" w:cs="Arial"/>
          <w:lang w:val="fr-FR"/>
        </w:rPr>
        <w:t xml:space="preserve"> </w:t>
      </w:r>
      <w:proofErr w:type="spellStart"/>
      <w:r w:rsidRPr="009C09B7">
        <w:rPr>
          <w:rFonts w:ascii="Arial" w:hAnsi="Arial" w:cs="Arial"/>
          <w:lang w:val="fr-FR"/>
        </w:rPr>
        <w:t>with</w:t>
      </w:r>
      <w:proofErr w:type="spellEnd"/>
      <w:r w:rsidRPr="009C09B7">
        <w:rPr>
          <w:rFonts w:ascii="Arial" w:hAnsi="Arial" w:cs="Arial"/>
          <w:lang w:val="fr-FR"/>
        </w:rPr>
        <w:t xml:space="preserve"> </w:t>
      </w:r>
      <w:proofErr w:type="spellStart"/>
      <w:r w:rsidRPr="009C09B7">
        <w:rPr>
          <w:rFonts w:ascii="Arial" w:hAnsi="Arial" w:cs="Arial"/>
          <w:lang w:val="fr-FR"/>
        </w:rPr>
        <w:t>unexplained</w:t>
      </w:r>
      <w:proofErr w:type="spellEnd"/>
      <w:r w:rsidRPr="009C09B7">
        <w:rPr>
          <w:rFonts w:ascii="Arial" w:hAnsi="Arial" w:cs="Arial"/>
          <w:lang w:val="fr-FR"/>
        </w:rPr>
        <w:t xml:space="preserve"> abdominal </w:t>
      </w:r>
      <w:proofErr w:type="spellStart"/>
      <w:r w:rsidRPr="009C09B7">
        <w:rPr>
          <w:rFonts w:ascii="Arial" w:hAnsi="Arial" w:cs="Arial"/>
          <w:lang w:val="fr-FR"/>
        </w:rPr>
        <w:t>symptoms</w:t>
      </w:r>
      <w:proofErr w:type="spellEnd"/>
      <w:r w:rsidRPr="009C09B7">
        <w:rPr>
          <w:rFonts w:ascii="Arial" w:hAnsi="Arial" w:cs="Arial"/>
          <w:lang w:val="fr-FR"/>
        </w:rPr>
        <w:t xml:space="preserve">, </w:t>
      </w:r>
      <w:proofErr w:type="spellStart"/>
      <w:r w:rsidRPr="009C09B7">
        <w:rPr>
          <w:rFonts w:ascii="Arial" w:hAnsi="Arial" w:cs="Arial"/>
          <w:lang w:val="fr-FR"/>
        </w:rPr>
        <w:t>weight</w:t>
      </w:r>
      <w:proofErr w:type="spellEnd"/>
      <w:r w:rsidRPr="009C09B7">
        <w:rPr>
          <w:rFonts w:ascii="Arial" w:hAnsi="Arial" w:cs="Arial"/>
          <w:lang w:val="fr-FR"/>
        </w:rPr>
        <w:t xml:space="preserve"> </w:t>
      </w:r>
      <w:proofErr w:type="spellStart"/>
      <w:r w:rsidRPr="009C09B7">
        <w:rPr>
          <w:rFonts w:ascii="Arial" w:hAnsi="Arial" w:cs="Arial"/>
          <w:lang w:val="fr-FR"/>
        </w:rPr>
        <w:t>loss</w:t>
      </w:r>
      <w:proofErr w:type="spellEnd"/>
      <w:r w:rsidRPr="009C09B7">
        <w:rPr>
          <w:rFonts w:ascii="Arial" w:hAnsi="Arial" w:cs="Arial"/>
          <w:lang w:val="fr-FR"/>
        </w:rPr>
        <w:t>, or gastrointestinal obstruction</w:t>
      </w:r>
      <w:r>
        <w:rPr>
          <w:rFonts w:ascii="Arial" w:hAnsi="Arial" w:cs="Arial"/>
          <w:lang w:val="fr-FR"/>
        </w:rPr>
        <w:t xml:space="preserve"> </w:t>
      </w:r>
      <w:proofErr w:type="spellStart"/>
      <w:r w:rsidRPr="009C09B7">
        <w:rPr>
          <w:rFonts w:ascii="Arial" w:hAnsi="Arial" w:cs="Arial"/>
          <w:lang w:val="fr-FR"/>
        </w:rPr>
        <w:t>even</w:t>
      </w:r>
      <w:proofErr w:type="spellEnd"/>
      <w:r w:rsidRPr="009C09B7">
        <w:rPr>
          <w:rFonts w:ascii="Arial" w:hAnsi="Arial" w:cs="Arial"/>
          <w:lang w:val="fr-FR"/>
        </w:rPr>
        <w:t xml:space="preserve"> in the absence of </w:t>
      </w:r>
      <w:proofErr w:type="spellStart"/>
      <w:r w:rsidRPr="009C09B7">
        <w:rPr>
          <w:rFonts w:ascii="Arial" w:hAnsi="Arial" w:cs="Arial"/>
          <w:lang w:val="fr-FR"/>
        </w:rPr>
        <w:t>psychiatri</w:t>
      </w:r>
      <w:r>
        <w:rPr>
          <w:rFonts w:ascii="Arial" w:hAnsi="Arial" w:cs="Arial"/>
          <w:lang w:val="fr-FR"/>
        </w:rPr>
        <w:t>c</w:t>
      </w:r>
      <w:proofErr w:type="spellEnd"/>
      <w:r w:rsidRPr="009C09B7">
        <w:rPr>
          <w:rFonts w:ascii="Arial" w:hAnsi="Arial" w:cs="Arial"/>
          <w:lang w:val="fr-FR"/>
        </w:rPr>
        <w:t xml:space="preserve"> </w:t>
      </w:r>
      <w:proofErr w:type="spellStart"/>
      <w:r w:rsidRPr="009C09B7">
        <w:rPr>
          <w:rFonts w:ascii="Arial" w:hAnsi="Arial" w:cs="Arial"/>
          <w:lang w:val="fr-FR"/>
        </w:rPr>
        <w:t>history</w:t>
      </w:r>
      <w:proofErr w:type="spellEnd"/>
      <w:r w:rsidRPr="009C09B7">
        <w:rPr>
          <w:rFonts w:ascii="Arial" w:hAnsi="Arial" w:cs="Arial"/>
          <w:lang w:val="fr-FR"/>
        </w:rPr>
        <w:t xml:space="preserve">. </w:t>
      </w:r>
      <w:proofErr w:type="spellStart"/>
      <w:r w:rsidRPr="009C09B7">
        <w:rPr>
          <w:rFonts w:ascii="Arial" w:hAnsi="Arial" w:cs="Arial"/>
          <w:lang w:val="fr-FR"/>
        </w:rPr>
        <w:t>Early</w:t>
      </w:r>
      <w:proofErr w:type="spellEnd"/>
      <w:r w:rsidRPr="009C09B7">
        <w:rPr>
          <w:rFonts w:ascii="Arial" w:hAnsi="Arial" w:cs="Arial"/>
          <w:lang w:val="fr-FR"/>
        </w:rPr>
        <w:t xml:space="preserve"> recognition and </w:t>
      </w:r>
      <w:proofErr w:type="spellStart"/>
      <w:r w:rsidRPr="009C09B7">
        <w:rPr>
          <w:rFonts w:ascii="Arial" w:hAnsi="Arial" w:cs="Arial"/>
          <w:lang w:val="fr-FR"/>
        </w:rPr>
        <w:t>treatment</w:t>
      </w:r>
      <w:proofErr w:type="spellEnd"/>
      <w:r w:rsidRPr="009C09B7">
        <w:rPr>
          <w:rFonts w:ascii="Arial" w:hAnsi="Arial" w:cs="Arial"/>
          <w:lang w:val="fr-FR"/>
        </w:rPr>
        <w:t xml:space="preserve"> are essential to </w:t>
      </w:r>
      <w:proofErr w:type="spellStart"/>
      <w:r w:rsidRPr="009C09B7">
        <w:rPr>
          <w:rFonts w:ascii="Arial" w:hAnsi="Arial" w:cs="Arial"/>
          <w:lang w:val="fr-FR"/>
        </w:rPr>
        <w:t>preventing</w:t>
      </w:r>
      <w:proofErr w:type="spellEnd"/>
      <w:r w:rsidRPr="009C09B7">
        <w:rPr>
          <w:rFonts w:ascii="Arial" w:hAnsi="Arial" w:cs="Arial"/>
          <w:lang w:val="fr-FR"/>
        </w:rPr>
        <w:t xml:space="preserve"> </w:t>
      </w:r>
      <w:proofErr w:type="spellStart"/>
      <w:r w:rsidRPr="009C09B7">
        <w:rPr>
          <w:rFonts w:ascii="Arial" w:hAnsi="Arial" w:cs="Arial"/>
          <w:lang w:val="fr-FR"/>
        </w:rPr>
        <w:t>severe</w:t>
      </w:r>
      <w:proofErr w:type="spellEnd"/>
      <w:r w:rsidRPr="009C09B7">
        <w:rPr>
          <w:rFonts w:ascii="Arial" w:hAnsi="Arial" w:cs="Arial"/>
          <w:lang w:val="fr-FR"/>
        </w:rPr>
        <w:t xml:space="preserve"> complications </w:t>
      </w:r>
      <w:proofErr w:type="spellStart"/>
      <w:r w:rsidRPr="009C09B7">
        <w:rPr>
          <w:rFonts w:ascii="Arial" w:hAnsi="Arial" w:cs="Arial"/>
          <w:lang w:val="fr-FR"/>
        </w:rPr>
        <w:t>such</w:t>
      </w:r>
      <w:proofErr w:type="spellEnd"/>
      <w:r w:rsidRPr="009C09B7">
        <w:rPr>
          <w:rFonts w:ascii="Arial" w:hAnsi="Arial" w:cs="Arial"/>
          <w:lang w:val="fr-FR"/>
        </w:rPr>
        <w:t xml:space="preserve"> as </w:t>
      </w:r>
      <w:proofErr w:type="spellStart"/>
      <w:r w:rsidRPr="009C09B7">
        <w:rPr>
          <w:rFonts w:ascii="Arial" w:hAnsi="Arial" w:cs="Arial"/>
          <w:lang w:val="fr-FR"/>
        </w:rPr>
        <w:t>hemorrhage</w:t>
      </w:r>
      <w:proofErr w:type="spellEnd"/>
      <w:r w:rsidRPr="009C09B7">
        <w:rPr>
          <w:rFonts w:ascii="Arial" w:hAnsi="Arial" w:cs="Arial"/>
          <w:lang w:val="fr-FR"/>
        </w:rPr>
        <w:t>, obstruction, or perforation.</w:t>
      </w:r>
    </w:p>
    <w:p w14:paraId="7665EC6E" w14:textId="255323AF" w:rsidR="00EA3281" w:rsidRPr="00EA3281" w:rsidRDefault="00EA3281" w:rsidP="00A0273E">
      <w:pPr>
        <w:pStyle w:val="Body"/>
        <w:rPr>
          <w:rFonts w:ascii="Arial" w:hAnsi="Arial" w:cs="Arial"/>
          <w:lang w:val="fr-FR"/>
        </w:rPr>
      </w:pPr>
      <w:r w:rsidRPr="00EA3281">
        <w:rPr>
          <w:rFonts w:ascii="Arial" w:hAnsi="Arial" w:cs="Arial"/>
        </w:rPr>
        <w:t>The absence of psychiatric history is unusual but not unheard of. Several studies report that psychiatric or behavioral signs may remain subclinical or unrecognized by the patient or family [</w:t>
      </w:r>
      <w:r>
        <w:rPr>
          <w:rFonts w:ascii="Arial" w:hAnsi="Arial" w:cs="Arial"/>
        </w:rPr>
        <w:t>1</w:t>
      </w:r>
      <w:r w:rsidR="00CE0B63">
        <w:rPr>
          <w:rFonts w:ascii="Arial" w:hAnsi="Arial" w:cs="Arial"/>
        </w:rPr>
        <w:t>2</w:t>
      </w:r>
      <w:r w:rsidRPr="00EA3281">
        <w:rPr>
          <w:rFonts w:ascii="Arial" w:hAnsi="Arial" w:cs="Arial"/>
        </w:rPr>
        <w:t>]. This underscores the necessity of formal psychiatric evaluation in all such cases.</w:t>
      </w:r>
    </w:p>
    <w:p w14:paraId="2E798BA9"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07EFAE09" w14:textId="77777777" w:rsidR="00790ADA" w:rsidRPr="00FB3A86" w:rsidRDefault="00790ADA" w:rsidP="00441B6F">
      <w:pPr>
        <w:pStyle w:val="ConcHead"/>
        <w:spacing w:after="0"/>
        <w:jc w:val="both"/>
        <w:rPr>
          <w:rFonts w:ascii="Arial" w:hAnsi="Arial" w:cs="Arial"/>
        </w:rPr>
      </w:pPr>
    </w:p>
    <w:p w14:paraId="10F4485E" w14:textId="65085DD7" w:rsidR="00B01FCD" w:rsidRDefault="00B04388" w:rsidP="00441B6F">
      <w:pPr>
        <w:pStyle w:val="Body"/>
        <w:spacing w:after="0"/>
        <w:rPr>
          <w:rFonts w:ascii="Arial" w:hAnsi="Arial" w:cs="Arial"/>
        </w:rPr>
      </w:pPr>
      <w:r>
        <w:rPr>
          <w:rFonts w:ascii="Arial" w:hAnsi="Arial" w:cs="Arial"/>
        </w:rPr>
        <w:t xml:space="preserve">Trichobezoar is a treatable affection, the consequences of which could be deadly, to avoid recurrence, a multidisciplinary approach involving surgeons, </w:t>
      </w:r>
      <w:proofErr w:type="gramStart"/>
      <w:r>
        <w:rPr>
          <w:rFonts w:ascii="Arial" w:hAnsi="Arial" w:cs="Arial"/>
        </w:rPr>
        <w:t>pediatricians,  psychiatrists</w:t>
      </w:r>
      <w:proofErr w:type="gramEnd"/>
      <w:r>
        <w:rPr>
          <w:rFonts w:ascii="Arial" w:hAnsi="Arial" w:cs="Arial"/>
        </w:rPr>
        <w:t xml:space="preserve"> and gastroenterologists is needed.</w:t>
      </w:r>
    </w:p>
    <w:p w14:paraId="0689015D" w14:textId="77777777" w:rsidR="00790ADA" w:rsidRPr="00FB3A86" w:rsidRDefault="00790ADA" w:rsidP="00441B6F">
      <w:pPr>
        <w:pStyle w:val="Body"/>
        <w:spacing w:after="0"/>
        <w:rPr>
          <w:rFonts w:ascii="Arial" w:hAnsi="Arial" w:cs="Arial"/>
        </w:rPr>
      </w:pPr>
    </w:p>
    <w:p w14:paraId="7753A2A7" w14:textId="77777777" w:rsidR="00557780" w:rsidRPr="00CB3F35" w:rsidRDefault="00557780" w:rsidP="00557780">
      <w:pPr>
        <w:pStyle w:val="ReferHead"/>
        <w:spacing w:after="0"/>
        <w:jc w:val="both"/>
        <w:rPr>
          <w:rFonts w:ascii="Arial" w:hAnsi="Arial" w:cs="Arial"/>
          <w:b w:val="0"/>
          <w:caps w:val="0"/>
          <w:sz w:val="20"/>
        </w:rPr>
      </w:pPr>
    </w:p>
    <w:p w14:paraId="2CA0C670"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EE97148" w14:textId="77777777" w:rsidR="002B685A" w:rsidRPr="002B685A" w:rsidRDefault="002B685A" w:rsidP="00441B6F">
      <w:pPr>
        <w:pStyle w:val="ReferHead"/>
        <w:spacing w:after="0"/>
        <w:jc w:val="both"/>
        <w:rPr>
          <w:rFonts w:ascii="Arial" w:hAnsi="Arial" w:cs="Arial"/>
          <w:bCs/>
        </w:rPr>
      </w:pPr>
    </w:p>
    <w:p w14:paraId="4D653F41" w14:textId="65FD59D2" w:rsidR="001A29D8" w:rsidRDefault="00557780" w:rsidP="00441B6F">
      <w:pPr>
        <w:pStyle w:val="ReferHead"/>
        <w:spacing w:after="0"/>
        <w:jc w:val="both"/>
        <w:rPr>
          <w:rFonts w:ascii="Arial" w:hAnsi="Arial" w:cs="Arial"/>
          <w:b w:val="0"/>
          <w:caps w:val="0"/>
          <w:sz w:val="20"/>
        </w:rPr>
      </w:pPr>
      <w:r w:rsidRPr="00643207">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0387BF4" w14:textId="77777777" w:rsidR="005C784C" w:rsidRDefault="005C784C" w:rsidP="00441B6F">
      <w:pPr>
        <w:pStyle w:val="ReferHead"/>
        <w:spacing w:after="0"/>
        <w:jc w:val="both"/>
        <w:rPr>
          <w:rFonts w:ascii="Arial" w:hAnsi="Arial" w:cs="Arial"/>
          <w:b w:val="0"/>
          <w:caps w:val="0"/>
          <w:sz w:val="20"/>
        </w:rPr>
      </w:pPr>
    </w:p>
    <w:p w14:paraId="51F8033A"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2A09BC4" w14:textId="77777777" w:rsidR="005C784C" w:rsidRPr="002B685A" w:rsidRDefault="005C784C" w:rsidP="00441B6F">
      <w:pPr>
        <w:pStyle w:val="ReferHead"/>
        <w:spacing w:after="0"/>
        <w:jc w:val="both"/>
        <w:rPr>
          <w:rFonts w:ascii="Arial" w:hAnsi="Arial" w:cs="Arial"/>
          <w:bCs/>
        </w:rPr>
      </w:pPr>
    </w:p>
    <w:p w14:paraId="3304D7D8" w14:textId="77777777" w:rsidR="00D158B2" w:rsidRDefault="00D158B2" w:rsidP="00D158B2">
      <w:pPr>
        <w:pStyle w:val="ReferHead"/>
        <w:spacing w:after="0"/>
        <w:jc w:val="both"/>
        <w:rPr>
          <w:rFonts w:ascii="Arial" w:hAnsi="Arial" w:cs="Arial"/>
          <w:b w:val="0"/>
          <w:caps w:val="0"/>
          <w:sz w:val="20"/>
        </w:rPr>
      </w:pPr>
      <w:r w:rsidRPr="00643207">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785B13B7" w14:textId="77777777" w:rsidR="00D158B2" w:rsidRPr="00643207" w:rsidRDefault="00D158B2" w:rsidP="00D158B2">
      <w:pPr>
        <w:pStyle w:val="ReferHead"/>
        <w:spacing w:after="0"/>
        <w:jc w:val="both"/>
        <w:rPr>
          <w:rFonts w:ascii="Arial" w:hAnsi="Arial" w:cs="Arial"/>
          <w:b w:val="0"/>
          <w:caps w:val="0"/>
          <w:sz w:val="20"/>
        </w:rPr>
      </w:pPr>
    </w:p>
    <w:p w14:paraId="570E87A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377B1D7" w14:textId="77777777" w:rsidR="00790ADA" w:rsidRPr="00FB3A86" w:rsidRDefault="00790ADA" w:rsidP="00441B6F">
      <w:pPr>
        <w:pStyle w:val="ReferHead"/>
        <w:spacing w:after="0"/>
        <w:jc w:val="both"/>
        <w:rPr>
          <w:rFonts w:ascii="Arial" w:hAnsi="Arial" w:cs="Arial"/>
        </w:rPr>
      </w:pPr>
    </w:p>
    <w:p w14:paraId="25CFEC1E" w14:textId="391D58AD" w:rsidR="00EB7A79" w:rsidRPr="001D12CD" w:rsidRDefault="009C7038" w:rsidP="00EB7A79">
      <w:pPr>
        <w:pStyle w:val="Appendix"/>
        <w:jc w:val="both"/>
        <w:rPr>
          <w:rFonts w:ascii="Arial" w:hAnsi="Arial" w:cs="Arial"/>
          <w:b w:val="0"/>
          <w:sz w:val="20"/>
          <w:lang w:val="fr-FR"/>
        </w:rPr>
      </w:pPr>
      <w:r w:rsidRPr="009C7038">
        <w:rPr>
          <w:rFonts w:ascii="Arial" w:hAnsi="Arial" w:cs="Arial"/>
          <w:b w:val="0"/>
          <w:bCs/>
          <w:sz w:val="20"/>
          <w:lang w:val="fr-FR"/>
        </w:rPr>
        <w:t>1.</w:t>
      </w:r>
      <w:r w:rsidR="00EB7A79" w:rsidRPr="00EB7A79">
        <w:rPr>
          <w:rFonts w:ascii="Consolas" w:hAnsi="Consolas"/>
          <w:sz w:val="24"/>
          <w:szCs w:val="24"/>
          <w:lang w:val="fr-FR" w:eastAsia="fr-FR"/>
        </w:rPr>
        <w:t xml:space="preserve"> </w:t>
      </w:r>
      <w:r w:rsidR="00022874" w:rsidRPr="001D12CD">
        <w:rPr>
          <w:rFonts w:ascii="Arial" w:hAnsi="Arial" w:cs="Arial"/>
          <w:b w:val="0"/>
          <w:sz w:val="20"/>
        </w:rPr>
        <w:t>Chisholm EM, Leong HT, Chung SC, Li AK. Phytobezoar: an uncommon cause of small bowel obstruction. Ann R Coll Surg Engl. 1992 Sep;74(5):342-4. PMID: 1416706; PMCID: PMC2497638.</w:t>
      </w:r>
    </w:p>
    <w:p w14:paraId="7743E2B0" w14:textId="0157A107" w:rsidR="008A3D93" w:rsidRDefault="008A3D93" w:rsidP="001176DA">
      <w:pPr>
        <w:pStyle w:val="Appendix"/>
        <w:jc w:val="both"/>
        <w:rPr>
          <w:rFonts w:ascii="Arial" w:hAnsi="Arial" w:cs="Arial"/>
          <w:b w:val="0"/>
          <w:bCs/>
          <w:sz w:val="20"/>
          <w:lang w:val="fr-FR"/>
        </w:rPr>
      </w:pPr>
      <w:r>
        <w:rPr>
          <w:rFonts w:ascii="Arial" w:hAnsi="Arial" w:cs="Arial"/>
          <w:b w:val="0"/>
          <w:bCs/>
          <w:sz w:val="20"/>
          <w:lang w:val="fr-FR"/>
        </w:rPr>
        <w:t>2.</w:t>
      </w:r>
      <w:r w:rsidRPr="008A3D93">
        <w:rPr>
          <w:rFonts w:ascii="Segoe UI" w:hAnsi="Segoe UI" w:cs="Segoe UI"/>
          <w:b w:val="0"/>
          <w:caps w:val="0"/>
          <w:color w:val="212121"/>
          <w:sz w:val="20"/>
          <w:shd w:val="clear" w:color="auto" w:fill="FFFFFF"/>
        </w:rPr>
        <w:t xml:space="preserve"> </w:t>
      </w:r>
      <w:r w:rsidRPr="008A3D93">
        <w:rPr>
          <w:rFonts w:ascii="Arial" w:hAnsi="Arial" w:cs="Arial"/>
          <w:b w:val="0"/>
          <w:bCs/>
          <w:sz w:val="20"/>
        </w:rPr>
        <w:t xml:space="preserve">Hennessy MM, Ivanovski I, Ó Súilleabháin CB. Gastric ulceration and perforation secondary to large trichobezoar - A case report describing the role of magnetic resonance imaging in diagnosis. Int J Surg Case Rep. </w:t>
      </w:r>
      <w:proofErr w:type="gramStart"/>
      <w:r w:rsidRPr="008A3D93">
        <w:rPr>
          <w:rFonts w:ascii="Arial" w:hAnsi="Arial" w:cs="Arial"/>
          <w:b w:val="0"/>
          <w:bCs/>
          <w:sz w:val="20"/>
        </w:rPr>
        <w:t>2018;43:25</w:t>
      </w:r>
      <w:proofErr w:type="gramEnd"/>
      <w:r w:rsidRPr="008A3D93">
        <w:rPr>
          <w:rFonts w:ascii="Arial" w:hAnsi="Arial" w:cs="Arial"/>
          <w:b w:val="0"/>
          <w:bCs/>
          <w:sz w:val="20"/>
        </w:rPr>
        <w:t>-28. doi: 10.1016/j.ijscr.2018.01.004. Epub 2018 Feb 10. PMID: 29438853; PMCID: PMC5814371.</w:t>
      </w:r>
    </w:p>
    <w:p w14:paraId="4BCC247F" w14:textId="6FEFFE9D" w:rsidR="001D12CD" w:rsidRDefault="00CE0B63" w:rsidP="001176DA">
      <w:pPr>
        <w:pStyle w:val="Appendix"/>
        <w:jc w:val="both"/>
        <w:rPr>
          <w:rFonts w:ascii="Arial" w:hAnsi="Arial" w:cs="Arial"/>
          <w:b w:val="0"/>
          <w:bCs/>
          <w:sz w:val="20"/>
        </w:rPr>
      </w:pPr>
      <w:r>
        <w:rPr>
          <w:rFonts w:ascii="Arial" w:hAnsi="Arial" w:cs="Arial"/>
          <w:b w:val="0"/>
          <w:bCs/>
          <w:sz w:val="20"/>
          <w:lang w:val="fr-FR"/>
        </w:rPr>
        <w:t>3</w:t>
      </w:r>
      <w:r w:rsidR="00E27A00" w:rsidRPr="001D12CD">
        <w:rPr>
          <w:rFonts w:ascii="Arial" w:hAnsi="Arial" w:cs="Arial"/>
          <w:sz w:val="20"/>
          <w:lang w:val="fr-FR"/>
        </w:rPr>
        <w:t xml:space="preserve">. </w:t>
      </w:r>
      <w:r w:rsidR="00FB5E89" w:rsidRPr="001D12CD">
        <w:rPr>
          <w:rFonts w:ascii="Arial" w:hAnsi="Arial" w:cs="Arial"/>
          <w:b w:val="0"/>
          <w:bCs/>
          <w:sz w:val="20"/>
        </w:rPr>
        <w:t xml:space="preserve">Ahmad Z, Sharma A, Ahmed M, Vatti V. Trichobezoar Causing Gastric </w:t>
      </w:r>
      <w:proofErr w:type="gramStart"/>
      <w:r w:rsidR="00FB5E89" w:rsidRPr="001D12CD">
        <w:rPr>
          <w:rFonts w:ascii="Arial" w:hAnsi="Arial" w:cs="Arial"/>
          <w:b w:val="0"/>
          <w:bCs/>
          <w:sz w:val="20"/>
        </w:rPr>
        <w:t>Perforation:</w:t>
      </w:r>
      <w:proofErr w:type="gramEnd"/>
      <w:r w:rsidR="00FB5E89" w:rsidRPr="001D12CD">
        <w:rPr>
          <w:rFonts w:ascii="Arial" w:hAnsi="Arial" w:cs="Arial"/>
          <w:b w:val="0"/>
          <w:bCs/>
          <w:sz w:val="20"/>
        </w:rPr>
        <w:t xml:space="preserve"> A Case Report. Iran J Med Sci. 2016 Jan;41(1):67-70. PMID: 26722149; PMCID: PMC4691274.</w:t>
      </w:r>
      <w:r w:rsidR="009C7038" w:rsidRPr="001D12CD">
        <w:rPr>
          <w:rFonts w:ascii="Arial" w:hAnsi="Arial" w:cs="Arial"/>
          <w:b w:val="0"/>
          <w:bCs/>
          <w:sz w:val="20"/>
          <w:lang w:val="fr-FR"/>
        </w:rPr>
        <w:t xml:space="preserve">3. </w:t>
      </w:r>
      <w:r w:rsidR="00F23D9D" w:rsidRPr="001D12CD">
        <w:rPr>
          <w:rFonts w:ascii="Arial" w:hAnsi="Arial" w:cs="Arial"/>
          <w:b w:val="0"/>
          <w:bCs/>
          <w:sz w:val="20"/>
        </w:rPr>
        <w:t xml:space="preserve">Bulut OB, Rasmussen </w:t>
      </w:r>
      <w:r w:rsidR="00F23D9D" w:rsidRPr="001D12CD">
        <w:rPr>
          <w:rFonts w:ascii="Arial" w:hAnsi="Arial" w:cs="Arial"/>
          <w:b w:val="0"/>
          <w:bCs/>
          <w:sz w:val="20"/>
        </w:rPr>
        <w:lastRenderedPageBreak/>
        <w:t xml:space="preserve">C, Fischer A. Acute surgical treatment of complicated peptic ulcers with special reference to the elderly. World J Surg. </w:t>
      </w:r>
      <w:proofErr w:type="gramStart"/>
      <w:r w:rsidR="00F23D9D" w:rsidRPr="001D12CD">
        <w:rPr>
          <w:rFonts w:ascii="Arial" w:hAnsi="Arial" w:cs="Arial"/>
          <w:b w:val="0"/>
          <w:bCs/>
          <w:sz w:val="20"/>
        </w:rPr>
        <w:t>1996;20:574</w:t>
      </w:r>
      <w:proofErr w:type="gramEnd"/>
      <w:r w:rsidR="00F23D9D" w:rsidRPr="001D12CD">
        <w:rPr>
          <w:rFonts w:ascii="Arial" w:hAnsi="Arial" w:cs="Arial"/>
          <w:b w:val="0"/>
          <w:bCs/>
          <w:sz w:val="20"/>
        </w:rPr>
        <w:t>–7. doi: 10.1007/s002689900089</w:t>
      </w:r>
      <w:r w:rsidR="001D12CD">
        <w:rPr>
          <w:rFonts w:ascii="Arial" w:hAnsi="Arial" w:cs="Arial"/>
          <w:b w:val="0"/>
          <w:bCs/>
          <w:sz w:val="20"/>
        </w:rPr>
        <w:t>.</w:t>
      </w:r>
    </w:p>
    <w:p w14:paraId="749A4F27" w14:textId="26205A56" w:rsidR="001D12CD" w:rsidRPr="001D12CD" w:rsidRDefault="00CE0B63" w:rsidP="001176DA">
      <w:pPr>
        <w:pStyle w:val="Appendix"/>
        <w:jc w:val="both"/>
        <w:rPr>
          <w:rFonts w:ascii="Arial" w:hAnsi="Arial" w:cs="Arial"/>
          <w:b w:val="0"/>
          <w:bCs/>
          <w:sz w:val="20"/>
        </w:rPr>
      </w:pPr>
      <w:r>
        <w:rPr>
          <w:rFonts w:ascii="Arial" w:hAnsi="Arial" w:cs="Arial"/>
          <w:b w:val="0"/>
          <w:bCs/>
          <w:sz w:val="20"/>
        </w:rPr>
        <w:t>4</w:t>
      </w:r>
      <w:r w:rsidR="001D12CD">
        <w:rPr>
          <w:rFonts w:ascii="Arial" w:hAnsi="Arial" w:cs="Arial"/>
          <w:b w:val="0"/>
          <w:bCs/>
          <w:sz w:val="20"/>
        </w:rPr>
        <w:t>.</w:t>
      </w:r>
      <w:r w:rsidR="001D12CD" w:rsidRPr="001D12CD">
        <w:rPr>
          <w:rFonts w:ascii="Arial" w:hAnsi="Arial" w:cs="Arial"/>
          <w:b w:val="0"/>
          <w:caps w:val="0"/>
          <w:color w:val="222222"/>
          <w:sz w:val="20"/>
          <w:shd w:val="clear" w:color="auto" w:fill="FFFFFF"/>
        </w:rPr>
        <w:t xml:space="preserve"> </w:t>
      </w:r>
      <w:r w:rsidR="001D12CD" w:rsidRPr="001D12CD">
        <w:rPr>
          <w:rFonts w:ascii="Arial" w:hAnsi="Arial" w:cs="Arial"/>
          <w:b w:val="0"/>
          <w:bCs/>
          <w:sz w:val="20"/>
        </w:rPr>
        <w:t> Bouwer C, Stein DJ. Trichobezoars in trichotillomania: case report and literature overview. Psychosom Med. 1998;60(5):658–660</w:t>
      </w:r>
    </w:p>
    <w:p w14:paraId="1427F916" w14:textId="7B12512B" w:rsidR="00E82B05" w:rsidRDefault="00CE0B63" w:rsidP="009C7038">
      <w:pPr>
        <w:pStyle w:val="Appendix"/>
        <w:spacing w:after="0"/>
        <w:jc w:val="both"/>
        <w:rPr>
          <w:rFonts w:ascii="Arial" w:hAnsi="Arial" w:cs="Arial"/>
          <w:b w:val="0"/>
          <w:bCs/>
          <w:sz w:val="20"/>
        </w:rPr>
      </w:pPr>
      <w:r>
        <w:rPr>
          <w:rFonts w:ascii="Arial" w:hAnsi="Arial" w:cs="Arial"/>
          <w:b w:val="0"/>
          <w:bCs/>
          <w:sz w:val="20"/>
          <w:lang w:val="fr-FR"/>
        </w:rPr>
        <w:t>5</w:t>
      </w:r>
      <w:r w:rsidR="00E82B05" w:rsidRPr="001D12CD">
        <w:rPr>
          <w:rFonts w:ascii="Arial" w:hAnsi="Arial" w:cs="Arial"/>
          <w:b w:val="0"/>
          <w:bCs/>
          <w:sz w:val="20"/>
          <w:lang w:val="fr-FR"/>
        </w:rPr>
        <w:t>.</w:t>
      </w:r>
      <w:r w:rsidR="00E82B05" w:rsidRPr="001D12CD">
        <w:rPr>
          <w:rFonts w:ascii="Segoe UI" w:hAnsi="Segoe UI" w:cs="Segoe UI"/>
          <w:b w:val="0"/>
          <w:caps w:val="0"/>
          <w:color w:val="212121"/>
          <w:sz w:val="20"/>
          <w:shd w:val="clear" w:color="auto" w:fill="FFFFFF"/>
        </w:rPr>
        <w:t xml:space="preserve"> </w:t>
      </w:r>
      <w:r w:rsidR="00FB5E89" w:rsidRPr="001D12CD">
        <w:rPr>
          <w:rFonts w:ascii="Arial" w:hAnsi="Arial" w:cs="Arial"/>
          <w:b w:val="0"/>
          <w:bCs/>
          <w:sz w:val="20"/>
        </w:rPr>
        <w:t xml:space="preserve">Santos Valenciano J, Nonose R, Bragattini Cruz R, Tiemi Sato D, Monteiro Fernandes F, Fabricio Nascimento E, et al. Tricholithobezoar causing gastric perforation. Case Rep Gastroenterol. </w:t>
      </w:r>
      <w:proofErr w:type="gramStart"/>
      <w:r w:rsidR="00FB5E89" w:rsidRPr="001D12CD">
        <w:rPr>
          <w:rFonts w:ascii="Arial" w:hAnsi="Arial" w:cs="Arial"/>
          <w:b w:val="0"/>
          <w:bCs/>
          <w:sz w:val="20"/>
        </w:rPr>
        <w:t>2012;6:26</w:t>
      </w:r>
      <w:proofErr w:type="gramEnd"/>
      <w:r w:rsidR="00FB5E89" w:rsidRPr="001D12CD">
        <w:rPr>
          <w:rFonts w:ascii="Arial" w:hAnsi="Arial" w:cs="Arial"/>
          <w:b w:val="0"/>
          <w:bCs/>
          <w:sz w:val="20"/>
        </w:rPr>
        <w:t>–32. doi: 10.1159/000336203000336203.</w:t>
      </w:r>
    </w:p>
    <w:p w14:paraId="7D753490" w14:textId="77777777" w:rsidR="00040574" w:rsidRDefault="00040574" w:rsidP="009C7038">
      <w:pPr>
        <w:pStyle w:val="Appendix"/>
        <w:spacing w:after="0"/>
        <w:jc w:val="both"/>
        <w:rPr>
          <w:rFonts w:ascii="Arial" w:hAnsi="Arial" w:cs="Arial"/>
          <w:b w:val="0"/>
          <w:bCs/>
          <w:sz w:val="20"/>
        </w:rPr>
      </w:pPr>
    </w:p>
    <w:p w14:paraId="54FF7EF8" w14:textId="123826DA" w:rsidR="00040574" w:rsidRPr="001D12CD" w:rsidRDefault="00CE0B63" w:rsidP="009C7038">
      <w:pPr>
        <w:pStyle w:val="Appendix"/>
        <w:spacing w:after="0"/>
        <w:jc w:val="both"/>
        <w:rPr>
          <w:rFonts w:ascii="Arial" w:hAnsi="Arial" w:cs="Arial"/>
          <w:b w:val="0"/>
          <w:bCs/>
          <w:sz w:val="20"/>
        </w:rPr>
      </w:pPr>
      <w:r>
        <w:rPr>
          <w:rFonts w:ascii="Arial" w:hAnsi="Arial" w:cs="Arial"/>
          <w:b w:val="0"/>
          <w:bCs/>
          <w:sz w:val="20"/>
        </w:rPr>
        <w:t>6</w:t>
      </w:r>
      <w:r w:rsidR="00040574">
        <w:rPr>
          <w:rFonts w:ascii="Arial" w:hAnsi="Arial" w:cs="Arial"/>
          <w:b w:val="0"/>
          <w:bCs/>
          <w:sz w:val="20"/>
        </w:rPr>
        <w:t>.</w:t>
      </w:r>
      <w:r w:rsidR="00040574" w:rsidRPr="00040574">
        <w:t xml:space="preserve"> </w:t>
      </w:r>
      <w:r w:rsidR="00040574" w:rsidRPr="00040574">
        <w:rPr>
          <w:rFonts w:ascii="Arial" w:hAnsi="Arial" w:cs="Arial"/>
          <w:b w:val="0"/>
          <w:bCs/>
          <w:sz w:val="20"/>
        </w:rPr>
        <w:t>Phillips MR, Zaheer S, Drugas GT. Gastric trichobezoar: case report and literature review. Mayo Clin Proc. 1998;73(7):653–656.</w:t>
      </w:r>
    </w:p>
    <w:p w14:paraId="2C5CFAE0" w14:textId="77777777" w:rsidR="00FB5E89" w:rsidRPr="001D12CD" w:rsidRDefault="00FB5E89" w:rsidP="009C7038">
      <w:pPr>
        <w:pStyle w:val="Appendix"/>
        <w:spacing w:after="0"/>
        <w:jc w:val="both"/>
        <w:rPr>
          <w:rFonts w:ascii="Arial" w:hAnsi="Arial" w:cs="Arial"/>
          <w:b w:val="0"/>
          <w:bCs/>
          <w:sz w:val="20"/>
          <w:lang w:val="fr-FR"/>
        </w:rPr>
      </w:pPr>
    </w:p>
    <w:p w14:paraId="709EF032" w14:textId="38669443" w:rsidR="00AD152C" w:rsidRPr="001D12CD" w:rsidRDefault="00CE0B63" w:rsidP="00E82B05">
      <w:pPr>
        <w:pStyle w:val="Appendix"/>
        <w:jc w:val="both"/>
        <w:rPr>
          <w:rFonts w:ascii="Arial" w:hAnsi="Arial" w:cs="Arial"/>
          <w:b w:val="0"/>
          <w:sz w:val="20"/>
        </w:rPr>
      </w:pPr>
      <w:r>
        <w:rPr>
          <w:rFonts w:ascii="Arial" w:hAnsi="Arial" w:cs="Arial"/>
          <w:b w:val="0"/>
          <w:sz w:val="20"/>
          <w:lang w:val="fr-FR"/>
        </w:rPr>
        <w:t>7</w:t>
      </w:r>
      <w:r w:rsidR="00E27A00" w:rsidRPr="001D12CD">
        <w:rPr>
          <w:rFonts w:ascii="Arial" w:hAnsi="Arial" w:cs="Arial"/>
          <w:b w:val="0"/>
          <w:sz w:val="20"/>
          <w:lang w:val="fr-FR"/>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 xml:space="preserve">Gonuguntla V, Joshi DD. Rapunzel syndrome: a comprehensive review of an unusual case of trichobezoar. Clin Med Res. </w:t>
      </w:r>
      <w:proofErr w:type="gramStart"/>
      <w:r w:rsidR="00FB5E89" w:rsidRPr="001D12CD">
        <w:rPr>
          <w:rFonts w:ascii="Arial" w:hAnsi="Arial" w:cs="Arial"/>
          <w:b w:val="0"/>
          <w:sz w:val="20"/>
        </w:rPr>
        <w:t>2009;7:99</w:t>
      </w:r>
      <w:proofErr w:type="gramEnd"/>
      <w:r w:rsidR="00FB5E89" w:rsidRPr="001D12CD">
        <w:rPr>
          <w:rFonts w:ascii="Arial" w:hAnsi="Arial" w:cs="Arial"/>
          <w:b w:val="0"/>
          <w:sz w:val="20"/>
        </w:rPr>
        <w:t>–102. doi: 10.3121/cmr.2009.822. </w:t>
      </w:r>
    </w:p>
    <w:p w14:paraId="6860BC51" w14:textId="0C08B66F" w:rsidR="001D12CD" w:rsidRPr="001D12CD" w:rsidRDefault="00CE0B63" w:rsidP="00E82B05">
      <w:pPr>
        <w:pStyle w:val="Appendix"/>
        <w:jc w:val="both"/>
        <w:rPr>
          <w:rFonts w:ascii="Arial" w:hAnsi="Arial" w:cs="Arial"/>
          <w:sz w:val="20"/>
          <w:lang w:val="fr-FR"/>
        </w:rPr>
      </w:pPr>
      <w:r>
        <w:rPr>
          <w:rFonts w:ascii="Arial" w:hAnsi="Arial" w:cs="Arial"/>
          <w:b w:val="0"/>
          <w:sz w:val="20"/>
        </w:rPr>
        <w:t>8</w:t>
      </w:r>
      <w:r w:rsidR="001D12CD" w:rsidRPr="001D12CD">
        <w:rPr>
          <w:rFonts w:ascii="Arial" w:hAnsi="Arial" w:cs="Arial"/>
          <w:b w:val="0"/>
          <w:sz w:val="20"/>
        </w:rPr>
        <w:t>.</w:t>
      </w:r>
      <w:r w:rsidR="001D12CD" w:rsidRPr="001D12CD">
        <w:rPr>
          <w:rFonts w:ascii="Times New Roman" w:hAnsi="Times New Roman"/>
          <w:sz w:val="20"/>
          <w:lang w:val="fr-FR" w:eastAsia="fr-FR"/>
        </w:rPr>
        <w:t xml:space="preserve"> </w:t>
      </w:r>
      <w:r w:rsidR="001D12CD" w:rsidRPr="001D12CD">
        <w:rPr>
          <w:rFonts w:ascii="Arial" w:hAnsi="Arial" w:cs="Arial"/>
          <w:b w:val="0"/>
          <w:bCs/>
          <w:sz w:val="20"/>
          <w:lang w:val="fr-FR"/>
        </w:rPr>
        <w:t xml:space="preserve">Gonçalves R, Andrade P, Carvalho J, Rodrigues S, Macedo G. Trichobezoar: a rare cause of gastrointestinal obstruction. Rev Esp Enferm Dig. </w:t>
      </w:r>
      <w:proofErr w:type="gramStart"/>
      <w:r w:rsidR="001D12CD" w:rsidRPr="001D12CD">
        <w:rPr>
          <w:rFonts w:ascii="Arial" w:hAnsi="Arial" w:cs="Arial"/>
          <w:b w:val="0"/>
          <w:bCs/>
          <w:sz w:val="20"/>
          <w:lang w:val="fr-FR"/>
        </w:rPr>
        <w:t>2012;</w:t>
      </w:r>
      <w:proofErr w:type="gramEnd"/>
      <w:r w:rsidR="001D12CD" w:rsidRPr="001D12CD">
        <w:rPr>
          <w:rFonts w:ascii="Arial" w:hAnsi="Arial" w:cs="Arial"/>
          <w:b w:val="0"/>
          <w:bCs/>
          <w:sz w:val="20"/>
          <w:lang w:val="fr-FR"/>
        </w:rPr>
        <w:t>104(9):473–476.</w:t>
      </w:r>
    </w:p>
    <w:p w14:paraId="305C9A25" w14:textId="12B4E4F5" w:rsidR="00C17689" w:rsidRPr="001D12CD" w:rsidRDefault="00CE0B63" w:rsidP="00E82B05">
      <w:pPr>
        <w:pStyle w:val="Appendix"/>
        <w:jc w:val="both"/>
        <w:rPr>
          <w:rFonts w:ascii="Arial" w:hAnsi="Arial" w:cs="Arial"/>
          <w:b w:val="0"/>
          <w:sz w:val="20"/>
        </w:rPr>
      </w:pPr>
      <w:r>
        <w:rPr>
          <w:rFonts w:ascii="Arial" w:hAnsi="Arial" w:cs="Arial"/>
          <w:b w:val="0"/>
          <w:sz w:val="20"/>
        </w:rPr>
        <w:t>9</w:t>
      </w:r>
      <w:r w:rsidR="00C17689" w:rsidRPr="001D12CD">
        <w:rPr>
          <w:rFonts w:ascii="Arial" w:hAnsi="Arial" w:cs="Arial"/>
          <w:b w:val="0"/>
          <w:sz w:val="20"/>
        </w:rPr>
        <w:t>.</w:t>
      </w:r>
      <w:r w:rsidR="00C17689" w:rsidRPr="001D12CD">
        <w:rPr>
          <w:rFonts w:ascii="Arial" w:hAnsi="Arial" w:cs="Arial"/>
          <w:b w:val="0"/>
          <w:caps w:val="0"/>
          <w:color w:val="222222"/>
          <w:sz w:val="20"/>
          <w:shd w:val="clear" w:color="auto" w:fill="FFFFFF"/>
        </w:rPr>
        <w:t xml:space="preserve"> </w:t>
      </w:r>
      <w:r w:rsidR="00C17689" w:rsidRPr="001D12CD">
        <w:rPr>
          <w:rFonts w:ascii="Arial" w:hAnsi="Arial" w:cs="Arial"/>
          <w:b w:val="0"/>
          <w:sz w:val="20"/>
        </w:rPr>
        <w:t>Ventura DE, Herbella FA, Schettini ST, Delmonte C. Rapunzel syndrome with a fatal outcome in a neglected child. J Pediatr Surg. 2005;40(10):1665–1667</w:t>
      </w:r>
    </w:p>
    <w:p w14:paraId="1BC3F2B1" w14:textId="4BFC95FF" w:rsidR="004E2378" w:rsidRPr="001D12CD" w:rsidRDefault="00CE0B63" w:rsidP="004E2378">
      <w:pPr>
        <w:pStyle w:val="Appendix"/>
        <w:jc w:val="both"/>
        <w:rPr>
          <w:rFonts w:ascii="Arial" w:hAnsi="Arial" w:cs="Arial"/>
          <w:b w:val="0"/>
          <w:sz w:val="20"/>
        </w:rPr>
      </w:pPr>
      <w:r>
        <w:rPr>
          <w:rFonts w:ascii="Arial" w:hAnsi="Arial" w:cs="Arial"/>
          <w:b w:val="0"/>
          <w:sz w:val="20"/>
        </w:rPr>
        <w:t>10</w:t>
      </w:r>
      <w:r w:rsidR="004E2378" w:rsidRPr="001D12CD">
        <w:rPr>
          <w:rFonts w:ascii="Arial" w:hAnsi="Arial" w:cs="Arial"/>
          <w:b w:val="0"/>
          <w:sz w:val="20"/>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 xml:space="preserve">Gorter RR, Kneepkens CM, Mattens EC, Aronson DC, Heij HA. Management of trichobezoar: case report and literature review. Pediatr Surg Int. </w:t>
      </w:r>
      <w:proofErr w:type="gramStart"/>
      <w:r w:rsidR="00FB5E89" w:rsidRPr="001D12CD">
        <w:rPr>
          <w:rFonts w:ascii="Arial" w:hAnsi="Arial" w:cs="Arial"/>
          <w:b w:val="0"/>
          <w:sz w:val="20"/>
        </w:rPr>
        <w:t>2010;26:457</w:t>
      </w:r>
      <w:proofErr w:type="gramEnd"/>
      <w:r w:rsidR="00FB5E89" w:rsidRPr="001D12CD">
        <w:rPr>
          <w:rFonts w:ascii="Arial" w:hAnsi="Arial" w:cs="Arial"/>
          <w:b w:val="0"/>
          <w:sz w:val="20"/>
        </w:rPr>
        <w:t>–63. doi: 10.1007/s00383-010-2570-0</w:t>
      </w:r>
    </w:p>
    <w:p w14:paraId="202201EC" w14:textId="668A00E0" w:rsidR="004E2378" w:rsidRDefault="00B8097F" w:rsidP="004E2378">
      <w:pPr>
        <w:pStyle w:val="Appendix"/>
        <w:jc w:val="both"/>
        <w:rPr>
          <w:rFonts w:ascii="Arial" w:hAnsi="Arial" w:cs="Arial"/>
          <w:b w:val="0"/>
          <w:sz w:val="20"/>
        </w:rPr>
      </w:pPr>
      <w:r>
        <w:rPr>
          <w:rFonts w:ascii="Arial" w:hAnsi="Arial" w:cs="Arial"/>
          <w:b w:val="0"/>
          <w:sz w:val="20"/>
        </w:rPr>
        <w:t>1</w:t>
      </w:r>
      <w:r w:rsidR="00CE0B63">
        <w:rPr>
          <w:rFonts w:ascii="Arial" w:hAnsi="Arial" w:cs="Arial"/>
          <w:b w:val="0"/>
          <w:sz w:val="20"/>
        </w:rPr>
        <w:t>1</w:t>
      </w:r>
      <w:r w:rsidR="004E2378" w:rsidRPr="001D12CD">
        <w:rPr>
          <w:rFonts w:ascii="Arial" w:hAnsi="Arial" w:cs="Arial"/>
          <w:b w:val="0"/>
          <w:sz w:val="20"/>
        </w:rPr>
        <w:t>.</w:t>
      </w:r>
      <w:r w:rsidR="004E2378" w:rsidRPr="001D12CD">
        <w:rPr>
          <w:rFonts w:ascii="Bahnschrift" w:hAnsi="Bahnschrift"/>
          <w:b w:val="0"/>
          <w:caps w:val="0"/>
          <w:color w:val="333333"/>
          <w:sz w:val="20"/>
          <w:shd w:val="clear" w:color="auto" w:fill="FFFFFF"/>
        </w:rPr>
        <w:t xml:space="preserve"> </w:t>
      </w:r>
      <w:r w:rsidR="00FB5E89" w:rsidRPr="001D12CD">
        <w:rPr>
          <w:rFonts w:ascii="Arial" w:hAnsi="Arial" w:cs="Arial"/>
          <w:b w:val="0"/>
          <w:sz w:val="20"/>
        </w:rPr>
        <w:t>Cintolo J, Telem DA, Divino CM, Chin EH, Midulla P. Laparoscopic removal of a large gastric trichobezoar in a 4-year-old girl. JSLS. 2009 Oct-Dec;13(4):608-11. doi: 10.4293/108680809X12589999538110. PMID: 20202404; PMCID: PMC3030801.</w:t>
      </w:r>
    </w:p>
    <w:p w14:paraId="158F2D46" w14:textId="3EE13A8C" w:rsidR="00EA3281" w:rsidRPr="001D12CD" w:rsidRDefault="00EA3281" w:rsidP="004E2378">
      <w:pPr>
        <w:pStyle w:val="Appendix"/>
        <w:jc w:val="both"/>
        <w:rPr>
          <w:rFonts w:ascii="Arial" w:hAnsi="Arial" w:cs="Arial"/>
          <w:b w:val="0"/>
          <w:sz w:val="20"/>
        </w:rPr>
      </w:pPr>
      <w:r>
        <w:rPr>
          <w:rFonts w:ascii="Arial" w:hAnsi="Arial" w:cs="Arial"/>
          <w:b w:val="0"/>
          <w:sz w:val="20"/>
        </w:rPr>
        <w:t>1</w:t>
      </w:r>
      <w:r w:rsidR="00CE0B63">
        <w:rPr>
          <w:rFonts w:ascii="Arial" w:hAnsi="Arial" w:cs="Arial"/>
          <w:b w:val="0"/>
          <w:sz w:val="20"/>
        </w:rPr>
        <w:t>2</w:t>
      </w:r>
      <w:r>
        <w:rPr>
          <w:rFonts w:ascii="Arial" w:hAnsi="Arial" w:cs="Arial"/>
          <w:b w:val="0"/>
          <w:sz w:val="20"/>
        </w:rPr>
        <w:t>.</w:t>
      </w:r>
      <w:r w:rsidRPr="00EA3281">
        <w:rPr>
          <w:rFonts w:ascii="Arial" w:hAnsi="Arial" w:cs="Arial"/>
          <w:b w:val="0"/>
          <w:sz w:val="20"/>
        </w:rPr>
        <w:t xml:space="preserve">Ramaswamy P, Natarajan M, Balasubramaniam G. Gastric perforation secondary to trichobezoar in a 13-year-old girl. </w:t>
      </w:r>
      <w:r w:rsidRPr="00EA3281">
        <w:rPr>
          <w:rFonts w:ascii="Arial" w:hAnsi="Arial" w:cs="Arial"/>
          <w:b w:val="0"/>
          <w:i/>
          <w:iCs/>
          <w:sz w:val="20"/>
        </w:rPr>
        <w:t>J Pediatr Surg</w:t>
      </w:r>
      <w:r w:rsidRPr="00EA3281">
        <w:rPr>
          <w:rFonts w:ascii="Arial" w:hAnsi="Arial" w:cs="Arial"/>
          <w:b w:val="0"/>
          <w:sz w:val="20"/>
        </w:rPr>
        <w:t>. 2013;48(5</w:t>
      </w:r>
      <w:proofErr w:type="gramStart"/>
      <w:r w:rsidRPr="00EA3281">
        <w:rPr>
          <w:rFonts w:ascii="Arial" w:hAnsi="Arial" w:cs="Arial"/>
          <w:b w:val="0"/>
          <w:sz w:val="20"/>
        </w:rPr>
        <w:t>):e</w:t>
      </w:r>
      <w:proofErr w:type="gramEnd"/>
      <w:r w:rsidRPr="00EA3281">
        <w:rPr>
          <w:rFonts w:ascii="Arial" w:hAnsi="Arial" w:cs="Arial"/>
          <w:b w:val="0"/>
          <w:sz w:val="20"/>
        </w:rPr>
        <w:t>13–e15.</w:t>
      </w:r>
    </w:p>
    <w:sectPr w:rsidR="00EA3281" w:rsidRPr="001D12CD" w:rsidSect="00C10997">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C136F" w14:textId="77777777" w:rsidR="005E4723" w:rsidRDefault="005E4723" w:rsidP="00C37E61">
      <w:r>
        <w:separator/>
      </w:r>
    </w:p>
  </w:endnote>
  <w:endnote w:type="continuationSeparator" w:id="0">
    <w:p w14:paraId="200F775E" w14:textId="77777777" w:rsidR="005E4723" w:rsidRDefault="005E472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D48D" w14:textId="77777777" w:rsidR="00C10997" w:rsidRDefault="00C109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2510B" w14:textId="78D7127D" w:rsidR="00C37E61" w:rsidRPr="00A94369" w:rsidRDefault="00C37E61" w:rsidP="00A94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3B646" w14:textId="363F1486" w:rsidR="00754C9A" w:rsidRPr="00C10997" w:rsidRDefault="00754C9A" w:rsidP="00C10997">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4B3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3105F" w14:textId="77777777" w:rsidR="005E4723" w:rsidRDefault="005E4723" w:rsidP="00C37E61">
      <w:r>
        <w:separator/>
      </w:r>
    </w:p>
  </w:footnote>
  <w:footnote w:type="continuationSeparator" w:id="0">
    <w:p w14:paraId="43F9ABA1" w14:textId="77777777" w:rsidR="005E4723" w:rsidRDefault="005E472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5CF40" w14:textId="2606C913" w:rsidR="00C10997" w:rsidRDefault="00C10997">
    <w:pPr>
      <w:pStyle w:val="Header"/>
    </w:pPr>
    <w:r>
      <w:rPr>
        <w:noProof/>
      </w:rPr>
      <w:pict w14:anchorId="6764E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1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5B8E1" w14:textId="6D4E4337" w:rsidR="00C10997" w:rsidRDefault="00C10997">
    <w:pPr>
      <w:pStyle w:val="Header"/>
    </w:pPr>
    <w:r>
      <w:rPr>
        <w:noProof/>
      </w:rPr>
      <w:pict w14:anchorId="5B0BC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A15CB" w14:textId="3BCB4192" w:rsidR="00296529" w:rsidRPr="00296529" w:rsidRDefault="00C10997" w:rsidP="00296529">
    <w:pPr>
      <w:ind w:left="2160"/>
      <w:jc w:val="center"/>
      <w:rPr>
        <w:rFonts w:ascii="Times New Roman" w:eastAsia="Calibri" w:hAnsi="Times New Roman"/>
        <w:i/>
        <w:sz w:val="18"/>
        <w:szCs w:val="22"/>
      </w:rPr>
    </w:pPr>
    <w:r>
      <w:rPr>
        <w:noProof/>
      </w:rPr>
      <w:pict w14:anchorId="49E6F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1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292D95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6A8110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8A31FF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0F78A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9400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1F153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38EAD" w14:textId="1ADA541F" w:rsidR="00C10997" w:rsidRDefault="00C10997">
    <w:pPr>
      <w:pStyle w:val="Header"/>
    </w:pPr>
    <w:r>
      <w:rPr>
        <w:noProof/>
      </w:rPr>
      <w:pict w14:anchorId="11C70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9D867" w14:textId="29BAE96D" w:rsidR="00C10997" w:rsidRDefault="00C10997">
    <w:pPr>
      <w:pStyle w:val="Header"/>
    </w:pPr>
    <w:r>
      <w:rPr>
        <w:noProof/>
      </w:rPr>
      <w:pict w14:anchorId="48380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3F1E" w14:textId="34D60ABD" w:rsidR="00C10997" w:rsidRDefault="00C10997">
    <w:pPr>
      <w:pStyle w:val="Header"/>
    </w:pPr>
    <w:r>
      <w:rPr>
        <w:noProof/>
      </w:rPr>
      <w:pict w14:anchorId="59448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69422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A97E1B"/>
    <w:multiLevelType w:val="hybridMultilevel"/>
    <w:tmpl w:val="39AA9A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89C"/>
    <w:rsid w:val="00014350"/>
    <w:rsid w:val="00022874"/>
    <w:rsid w:val="00024A95"/>
    <w:rsid w:val="00030174"/>
    <w:rsid w:val="00040574"/>
    <w:rsid w:val="0004579C"/>
    <w:rsid w:val="00064275"/>
    <w:rsid w:val="0007260E"/>
    <w:rsid w:val="00081583"/>
    <w:rsid w:val="000822BB"/>
    <w:rsid w:val="000823D1"/>
    <w:rsid w:val="000A1459"/>
    <w:rsid w:val="000A269C"/>
    <w:rsid w:val="000A47FA"/>
    <w:rsid w:val="000A65D3"/>
    <w:rsid w:val="000B146D"/>
    <w:rsid w:val="000B1E33"/>
    <w:rsid w:val="000B2DF4"/>
    <w:rsid w:val="000B5AED"/>
    <w:rsid w:val="000C0E1C"/>
    <w:rsid w:val="000D30F0"/>
    <w:rsid w:val="000D689F"/>
    <w:rsid w:val="000E7B7B"/>
    <w:rsid w:val="000E7D62"/>
    <w:rsid w:val="000F36C9"/>
    <w:rsid w:val="000F70D5"/>
    <w:rsid w:val="001027C1"/>
    <w:rsid w:val="00103357"/>
    <w:rsid w:val="00115C4A"/>
    <w:rsid w:val="001176DA"/>
    <w:rsid w:val="00123C9F"/>
    <w:rsid w:val="00126190"/>
    <w:rsid w:val="00130F17"/>
    <w:rsid w:val="001320BF"/>
    <w:rsid w:val="0015328E"/>
    <w:rsid w:val="00163BC4"/>
    <w:rsid w:val="001727C1"/>
    <w:rsid w:val="00191062"/>
    <w:rsid w:val="00192B72"/>
    <w:rsid w:val="001A29D8"/>
    <w:rsid w:val="001A5CAA"/>
    <w:rsid w:val="001A79D5"/>
    <w:rsid w:val="001B0427"/>
    <w:rsid w:val="001C4989"/>
    <w:rsid w:val="001D07CB"/>
    <w:rsid w:val="001D12CD"/>
    <w:rsid w:val="001D1C02"/>
    <w:rsid w:val="001D3A51"/>
    <w:rsid w:val="001E10D2"/>
    <w:rsid w:val="001E25B4"/>
    <w:rsid w:val="001E44FE"/>
    <w:rsid w:val="00200595"/>
    <w:rsid w:val="00204835"/>
    <w:rsid w:val="00205720"/>
    <w:rsid w:val="002135D1"/>
    <w:rsid w:val="002167EC"/>
    <w:rsid w:val="00226B0A"/>
    <w:rsid w:val="00231920"/>
    <w:rsid w:val="0023195C"/>
    <w:rsid w:val="002372BD"/>
    <w:rsid w:val="0024282C"/>
    <w:rsid w:val="002442D9"/>
    <w:rsid w:val="002460DC"/>
    <w:rsid w:val="00250985"/>
    <w:rsid w:val="002556F6"/>
    <w:rsid w:val="00263C50"/>
    <w:rsid w:val="00280008"/>
    <w:rsid w:val="00283105"/>
    <w:rsid w:val="00284C4C"/>
    <w:rsid w:val="00296529"/>
    <w:rsid w:val="002B2313"/>
    <w:rsid w:val="002B27FB"/>
    <w:rsid w:val="002B685A"/>
    <w:rsid w:val="002C57D2"/>
    <w:rsid w:val="002D31CC"/>
    <w:rsid w:val="002D58E2"/>
    <w:rsid w:val="002E0D56"/>
    <w:rsid w:val="002F5E49"/>
    <w:rsid w:val="0030044E"/>
    <w:rsid w:val="00304CE4"/>
    <w:rsid w:val="003076BF"/>
    <w:rsid w:val="00315186"/>
    <w:rsid w:val="00325503"/>
    <w:rsid w:val="0033343E"/>
    <w:rsid w:val="00346B98"/>
    <w:rsid w:val="003512C2"/>
    <w:rsid w:val="00371FB6"/>
    <w:rsid w:val="00373B3D"/>
    <w:rsid w:val="003763C1"/>
    <w:rsid w:val="00376BBE"/>
    <w:rsid w:val="0039224F"/>
    <w:rsid w:val="003A43A4"/>
    <w:rsid w:val="003A5283"/>
    <w:rsid w:val="003A7E18"/>
    <w:rsid w:val="003C4C86"/>
    <w:rsid w:val="003C6258"/>
    <w:rsid w:val="003D0854"/>
    <w:rsid w:val="003D294E"/>
    <w:rsid w:val="003E2904"/>
    <w:rsid w:val="00401927"/>
    <w:rsid w:val="00403222"/>
    <w:rsid w:val="0041027F"/>
    <w:rsid w:val="00412475"/>
    <w:rsid w:val="00423789"/>
    <w:rsid w:val="00440F43"/>
    <w:rsid w:val="00441B6F"/>
    <w:rsid w:val="00446221"/>
    <w:rsid w:val="00450E62"/>
    <w:rsid w:val="004539DB"/>
    <w:rsid w:val="00471A80"/>
    <w:rsid w:val="00477332"/>
    <w:rsid w:val="004A0E59"/>
    <w:rsid w:val="004B1B33"/>
    <w:rsid w:val="004C1D51"/>
    <w:rsid w:val="004D305E"/>
    <w:rsid w:val="004D3683"/>
    <w:rsid w:val="004D4277"/>
    <w:rsid w:val="004D5095"/>
    <w:rsid w:val="004E2378"/>
    <w:rsid w:val="004E2D14"/>
    <w:rsid w:val="004F359C"/>
    <w:rsid w:val="004F518F"/>
    <w:rsid w:val="00502516"/>
    <w:rsid w:val="00502E4B"/>
    <w:rsid w:val="00505F06"/>
    <w:rsid w:val="00506828"/>
    <w:rsid w:val="00507911"/>
    <w:rsid w:val="0053056E"/>
    <w:rsid w:val="00533211"/>
    <w:rsid w:val="00533B70"/>
    <w:rsid w:val="00541AB3"/>
    <w:rsid w:val="00554FDA"/>
    <w:rsid w:val="0055571E"/>
    <w:rsid w:val="00557780"/>
    <w:rsid w:val="005A1531"/>
    <w:rsid w:val="005A1A09"/>
    <w:rsid w:val="005C5FF7"/>
    <w:rsid w:val="005C784C"/>
    <w:rsid w:val="005D17F6"/>
    <w:rsid w:val="005E4723"/>
    <w:rsid w:val="005E5539"/>
    <w:rsid w:val="00602BF5"/>
    <w:rsid w:val="00617FDD"/>
    <w:rsid w:val="00633614"/>
    <w:rsid w:val="00633F68"/>
    <w:rsid w:val="00636EB2"/>
    <w:rsid w:val="006375B8"/>
    <w:rsid w:val="0066379A"/>
    <w:rsid w:val="0066505A"/>
    <w:rsid w:val="0066510A"/>
    <w:rsid w:val="00673F9F"/>
    <w:rsid w:val="00684E5A"/>
    <w:rsid w:val="00686953"/>
    <w:rsid w:val="00686D0F"/>
    <w:rsid w:val="00687DEA"/>
    <w:rsid w:val="00687E67"/>
    <w:rsid w:val="00693143"/>
    <w:rsid w:val="006945F3"/>
    <w:rsid w:val="006967F7"/>
    <w:rsid w:val="006A250C"/>
    <w:rsid w:val="006B21D3"/>
    <w:rsid w:val="006B57D0"/>
    <w:rsid w:val="006D30FF"/>
    <w:rsid w:val="006D6940"/>
    <w:rsid w:val="006D7046"/>
    <w:rsid w:val="006E5071"/>
    <w:rsid w:val="006F11EC"/>
    <w:rsid w:val="007003D0"/>
    <w:rsid w:val="0070082C"/>
    <w:rsid w:val="007128F7"/>
    <w:rsid w:val="007369E6"/>
    <w:rsid w:val="00746E59"/>
    <w:rsid w:val="00754C9A"/>
    <w:rsid w:val="0075599A"/>
    <w:rsid w:val="00761D52"/>
    <w:rsid w:val="00773EF6"/>
    <w:rsid w:val="0077749E"/>
    <w:rsid w:val="00790ADA"/>
    <w:rsid w:val="007C43FE"/>
    <w:rsid w:val="007C517A"/>
    <w:rsid w:val="007D2288"/>
    <w:rsid w:val="007D6A64"/>
    <w:rsid w:val="007E088F"/>
    <w:rsid w:val="007F4FDD"/>
    <w:rsid w:val="007F7B32"/>
    <w:rsid w:val="00804BC2"/>
    <w:rsid w:val="008127B3"/>
    <w:rsid w:val="0081431A"/>
    <w:rsid w:val="00826AF3"/>
    <w:rsid w:val="00831956"/>
    <w:rsid w:val="0083216F"/>
    <w:rsid w:val="0083357F"/>
    <w:rsid w:val="008350C7"/>
    <w:rsid w:val="00860000"/>
    <w:rsid w:val="00863BD3"/>
    <w:rsid w:val="00866D66"/>
    <w:rsid w:val="008671C6"/>
    <w:rsid w:val="00875803"/>
    <w:rsid w:val="00880B6D"/>
    <w:rsid w:val="008A3D93"/>
    <w:rsid w:val="008B459E"/>
    <w:rsid w:val="008C207B"/>
    <w:rsid w:val="008D5A7E"/>
    <w:rsid w:val="008E13AE"/>
    <w:rsid w:val="008E1506"/>
    <w:rsid w:val="008E710C"/>
    <w:rsid w:val="008F69D6"/>
    <w:rsid w:val="00902823"/>
    <w:rsid w:val="00915CA6"/>
    <w:rsid w:val="00923A9D"/>
    <w:rsid w:val="00927834"/>
    <w:rsid w:val="00942E54"/>
    <w:rsid w:val="009500A6"/>
    <w:rsid w:val="00954A07"/>
    <w:rsid w:val="00957C18"/>
    <w:rsid w:val="009655B1"/>
    <w:rsid w:val="009659BA"/>
    <w:rsid w:val="009800A4"/>
    <w:rsid w:val="00983040"/>
    <w:rsid w:val="009B3FB9"/>
    <w:rsid w:val="009C09B7"/>
    <w:rsid w:val="009C2465"/>
    <w:rsid w:val="009C7038"/>
    <w:rsid w:val="009D35A0"/>
    <w:rsid w:val="009D7EB7"/>
    <w:rsid w:val="009E048A"/>
    <w:rsid w:val="009E08E9"/>
    <w:rsid w:val="009E3DB9"/>
    <w:rsid w:val="009E6E35"/>
    <w:rsid w:val="009F0EDA"/>
    <w:rsid w:val="00A0273E"/>
    <w:rsid w:val="00A03B96"/>
    <w:rsid w:val="00A05B19"/>
    <w:rsid w:val="00A1134E"/>
    <w:rsid w:val="00A2123A"/>
    <w:rsid w:val="00A24E7E"/>
    <w:rsid w:val="00A258C3"/>
    <w:rsid w:val="00A347C0"/>
    <w:rsid w:val="00A51431"/>
    <w:rsid w:val="00A539AD"/>
    <w:rsid w:val="00A64409"/>
    <w:rsid w:val="00A752F3"/>
    <w:rsid w:val="00A93888"/>
    <w:rsid w:val="00A94063"/>
    <w:rsid w:val="00A94369"/>
    <w:rsid w:val="00AA6219"/>
    <w:rsid w:val="00AA74E0"/>
    <w:rsid w:val="00AB2384"/>
    <w:rsid w:val="00AB703F"/>
    <w:rsid w:val="00AC6BB8"/>
    <w:rsid w:val="00AD152C"/>
    <w:rsid w:val="00AD1F3E"/>
    <w:rsid w:val="00AD239B"/>
    <w:rsid w:val="00AD41A4"/>
    <w:rsid w:val="00AE003D"/>
    <w:rsid w:val="00AE008F"/>
    <w:rsid w:val="00AE06D9"/>
    <w:rsid w:val="00AF2C83"/>
    <w:rsid w:val="00B01FCD"/>
    <w:rsid w:val="00B04388"/>
    <w:rsid w:val="00B1776C"/>
    <w:rsid w:val="00B25A7C"/>
    <w:rsid w:val="00B26E6E"/>
    <w:rsid w:val="00B27C58"/>
    <w:rsid w:val="00B52896"/>
    <w:rsid w:val="00B61083"/>
    <w:rsid w:val="00B71A34"/>
    <w:rsid w:val="00B8097F"/>
    <w:rsid w:val="00B95236"/>
    <w:rsid w:val="00B96BD9"/>
    <w:rsid w:val="00BA1B01"/>
    <w:rsid w:val="00BA2641"/>
    <w:rsid w:val="00BB37AA"/>
    <w:rsid w:val="00BC53A0"/>
    <w:rsid w:val="00BE0175"/>
    <w:rsid w:val="00BE0888"/>
    <w:rsid w:val="00BE62AD"/>
    <w:rsid w:val="00BF121F"/>
    <w:rsid w:val="00BF1F80"/>
    <w:rsid w:val="00C06D18"/>
    <w:rsid w:val="00C10997"/>
    <w:rsid w:val="00C166EF"/>
    <w:rsid w:val="00C17689"/>
    <w:rsid w:val="00C17EB0"/>
    <w:rsid w:val="00C27F5F"/>
    <w:rsid w:val="00C30A0F"/>
    <w:rsid w:val="00C35BCB"/>
    <w:rsid w:val="00C37E61"/>
    <w:rsid w:val="00C52172"/>
    <w:rsid w:val="00C70F1B"/>
    <w:rsid w:val="00C71A47"/>
    <w:rsid w:val="00C7464C"/>
    <w:rsid w:val="00C85588"/>
    <w:rsid w:val="00C92F84"/>
    <w:rsid w:val="00CB4CAC"/>
    <w:rsid w:val="00CD6755"/>
    <w:rsid w:val="00CD6856"/>
    <w:rsid w:val="00CE0089"/>
    <w:rsid w:val="00CE0B63"/>
    <w:rsid w:val="00CE793C"/>
    <w:rsid w:val="00D158B2"/>
    <w:rsid w:val="00D16AE1"/>
    <w:rsid w:val="00D173F1"/>
    <w:rsid w:val="00D36122"/>
    <w:rsid w:val="00D44CBF"/>
    <w:rsid w:val="00D5516C"/>
    <w:rsid w:val="00D624DA"/>
    <w:rsid w:val="00D63EE3"/>
    <w:rsid w:val="00D8295D"/>
    <w:rsid w:val="00D900F9"/>
    <w:rsid w:val="00D97DEE"/>
    <w:rsid w:val="00DA61AE"/>
    <w:rsid w:val="00DC0BAA"/>
    <w:rsid w:val="00DC2A65"/>
    <w:rsid w:val="00DD10B6"/>
    <w:rsid w:val="00DE15F0"/>
    <w:rsid w:val="00DE5663"/>
    <w:rsid w:val="00DE78AA"/>
    <w:rsid w:val="00E053D0"/>
    <w:rsid w:val="00E15994"/>
    <w:rsid w:val="00E24E86"/>
    <w:rsid w:val="00E27A00"/>
    <w:rsid w:val="00E3114E"/>
    <w:rsid w:val="00E31A70"/>
    <w:rsid w:val="00E35B02"/>
    <w:rsid w:val="00E40122"/>
    <w:rsid w:val="00E51B50"/>
    <w:rsid w:val="00E52698"/>
    <w:rsid w:val="00E66496"/>
    <w:rsid w:val="00E66B35"/>
    <w:rsid w:val="00E66E10"/>
    <w:rsid w:val="00E769F6"/>
    <w:rsid w:val="00E82B05"/>
    <w:rsid w:val="00E8407C"/>
    <w:rsid w:val="00E84F3C"/>
    <w:rsid w:val="00EA012C"/>
    <w:rsid w:val="00EA3281"/>
    <w:rsid w:val="00EA7D31"/>
    <w:rsid w:val="00EB7A79"/>
    <w:rsid w:val="00ED0288"/>
    <w:rsid w:val="00ED127B"/>
    <w:rsid w:val="00ED588E"/>
    <w:rsid w:val="00ED5FD3"/>
    <w:rsid w:val="00EE52CB"/>
    <w:rsid w:val="00EF581D"/>
    <w:rsid w:val="00EF78AC"/>
    <w:rsid w:val="00EF7FD8"/>
    <w:rsid w:val="00F06F59"/>
    <w:rsid w:val="00F17988"/>
    <w:rsid w:val="00F23D9D"/>
    <w:rsid w:val="00F34440"/>
    <w:rsid w:val="00F469F0"/>
    <w:rsid w:val="00F53273"/>
    <w:rsid w:val="00F57DB3"/>
    <w:rsid w:val="00F74555"/>
    <w:rsid w:val="00F755E4"/>
    <w:rsid w:val="00F76E55"/>
    <w:rsid w:val="00F77D02"/>
    <w:rsid w:val="00F8173A"/>
    <w:rsid w:val="00F94791"/>
    <w:rsid w:val="00FB3A86"/>
    <w:rsid w:val="00FB5E8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D3E609F"/>
  <w15:docId w15:val="{45B21C20-5190-47B8-8249-14986D78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A94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820255">
      <w:bodyDiv w:val="1"/>
      <w:marLeft w:val="0"/>
      <w:marRight w:val="0"/>
      <w:marTop w:val="0"/>
      <w:marBottom w:val="0"/>
      <w:divBdr>
        <w:top w:val="none" w:sz="0" w:space="0" w:color="auto"/>
        <w:left w:val="none" w:sz="0" w:space="0" w:color="auto"/>
        <w:bottom w:val="none" w:sz="0" w:space="0" w:color="auto"/>
        <w:right w:val="none" w:sz="0" w:space="0" w:color="auto"/>
      </w:divBdr>
      <w:divsChild>
        <w:div w:id="73894718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5214119">
      <w:bodyDiv w:val="1"/>
      <w:marLeft w:val="0"/>
      <w:marRight w:val="0"/>
      <w:marTop w:val="0"/>
      <w:marBottom w:val="0"/>
      <w:divBdr>
        <w:top w:val="none" w:sz="0" w:space="0" w:color="auto"/>
        <w:left w:val="none" w:sz="0" w:space="0" w:color="auto"/>
        <w:bottom w:val="none" w:sz="0" w:space="0" w:color="auto"/>
        <w:right w:val="none" w:sz="0" w:space="0" w:color="auto"/>
      </w:divBdr>
      <w:divsChild>
        <w:div w:id="262497356">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2420976">
      <w:bodyDiv w:val="1"/>
      <w:marLeft w:val="0"/>
      <w:marRight w:val="0"/>
      <w:marTop w:val="0"/>
      <w:marBottom w:val="0"/>
      <w:divBdr>
        <w:top w:val="none" w:sz="0" w:space="0" w:color="auto"/>
        <w:left w:val="none" w:sz="0" w:space="0" w:color="auto"/>
        <w:bottom w:val="none" w:sz="0" w:space="0" w:color="auto"/>
        <w:right w:val="none" w:sz="0" w:space="0" w:color="auto"/>
      </w:divBdr>
      <w:divsChild>
        <w:div w:id="419133720">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9931476">
      <w:bodyDiv w:val="1"/>
      <w:marLeft w:val="0"/>
      <w:marRight w:val="0"/>
      <w:marTop w:val="0"/>
      <w:marBottom w:val="0"/>
      <w:divBdr>
        <w:top w:val="none" w:sz="0" w:space="0" w:color="auto"/>
        <w:left w:val="none" w:sz="0" w:space="0" w:color="auto"/>
        <w:bottom w:val="none" w:sz="0" w:space="0" w:color="auto"/>
        <w:right w:val="none" w:sz="0" w:space="0" w:color="auto"/>
      </w:divBdr>
      <w:divsChild>
        <w:div w:id="266163450">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87D43-49CC-4490-988A-60152D93E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178</TotalTime>
  <Pages>5</Pages>
  <Words>1324</Words>
  <Characters>7550</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8857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1180</cp:lastModifiedBy>
  <cp:revision>32</cp:revision>
  <cp:lastPrinted>1999-07-06T11:00:00Z</cp:lastPrinted>
  <dcterms:created xsi:type="dcterms:W3CDTF">2025-06-29T20:58:00Z</dcterms:created>
  <dcterms:modified xsi:type="dcterms:W3CDTF">2025-07-05T09:59:00Z</dcterms:modified>
</cp:coreProperties>
</file>