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7B1E5" w14:textId="428CA117" w:rsidR="00754C9A" w:rsidRDefault="00E2792B" w:rsidP="00F91BED">
      <w:pPr>
        <w:pStyle w:val="Title"/>
        <w:spacing w:after="0"/>
        <w:jc w:val="both"/>
        <w:rPr>
          <w:rFonts w:ascii="Arial" w:hAnsi="Arial" w:cs="Arial"/>
        </w:rPr>
      </w:pPr>
      <w:r w:rsidRPr="00E2792B">
        <w:rPr>
          <w:rFonts w:ascii="Arial" w:hAnsi="Arial" w:cs="Arial"/>
        </w:rPr>
        <w:t>Case Report</w:t>
      </w:r>
    </w:p>
    <w:p w14:paraId="0D41B855" w14:textId="77777777" w:rsidR="00E2792B" w:rsidRDefault="00E2792B" w:rsidP="00F91BED">
      <w:pPr>
        <w:pStyle w:val="Title"/>
        <w:spacing w:after="0"/>
        <w:jc w:val="both"/>
        <w:rPr>
          <w:rFonts w:ascii="Arial" w:hAnsi="Arial" w:cs="Arial"/>
        </w:rPr>
      </w:pPr>
    </w:p>
    <w:p w14:paraId="09506FB8" w14:textId="77777777" w:rsidR="00163BC4" w:rsidRPr="00163BC4" w:rsidRDefault="001A0A6A" w:rsidP="00F91BED">
      <w:pPr>
        <w:pStyle w:val="Author"/>
        <w:spacing w:line="240" w:lineRule="auto"/>
        <w:rPr>
          <w:rFonts w:ascii="Arial" w:hAnsi="Arial" w:cs="Arial"/>
          <w:bCs/>
          <w:iCs/>
          <w:kern w:val="28"/>
          <w:sz w:val="36"/>
        </w:rPr>
      </w:pPr>
      <w:proofErr w:type="spellStart"/>
      <w:r>
        <w:rPr>
          <w:rFonts w:ascii="Arial" w:hAnsi="Arial" w:cs="Arial"/>
          <w:bCs/>
          <w:iCs/>
          <w:kern w:val="28"/>
          <w:sz w:val="36"/>
        </w:rPr>
        <w:t>Todani</w:t>
      </w:r>
      <w:proofErr w:type="spellEnd"/>
      <w:r>
        <w:rPr>
          <w:rFonts w:ascii="Arial" w:hAnsi="Arial" w:cs="Arial"/>
          <w:bCs/>
          <w:iCs/>
          <w:kern w:val="28"/>
          <w:sz w:val="36"/>
        </w:rPr>
        <w:t xml:space="preserve"> Type 1B Choledochal Cyst in</w:t>
      </w:r>
      <w:r w:rsidR="00F91BED">
        <w:rPr>
          <w:rFonts w:ascii="Arial" w:hAnsi="Arial" w:cs="Arial"/>
          <w:bCs/>
          <w:iCs/>
          <w:kern w:val="28"/>
          <w:sz w:val="36"/>
        </w:rPr>
        <w:t xml:space="preserve"> A</w:t>
      </w:r>
      <w:r>
        <w:rPr>
          <w:rFonts w:ascii="Arial" w:hAnsi="Arial" w:cs="Arial"/>
          <w:bCs/>
          <w:iCs/>
          <w:kern w:val="28"/>
          <w:sz w:val="36"/>
        </w:rPr>
        <w:t xml:space="preserve"> 2-Year-Old Child: A Rare Case </w:t>
      </w:r>
      <w:proofErr w:type="gramStart"/>
      <w:r>
        <w:rPr>
          <w:rFonts w:ascii="Arial" w:hAnsi="Arial" w:cs="Arial"/>
          <w:bCs/>
          <w:iCs/>
          <w:kern w:val="28"/>
          <w:sz w:val="36"/>
        </w:rPr>
        <w:t>With</w:t>
      </w:r>
      <w:proofErr w:type="gramEnd"/>
      <w:r>
        <w:rPr>
          <w:rFonts w:ascii="Arial" w:hAnsi="Arial" w:cs="Arial"/>
          <w:bCs/>
          <w:iCs/>
          <w:kern w:val="28"/>
          <w:sz w:val="36"/>
        </w:rPr>
        <w:t xml:space="preserve"> Biliary </w:t>
      </w:r>
      <w:r w:rsidR="00D745E7">
        <w:rPr>
          <w:rFonts w:ascii="Arial" w:hAnsi="Arial" w:cs="Arial"/>
          <w:bCs/>
          <w:iCs/>
          <w:kern w:val="28"/>
          <w:sz w:val="36"/>
        </w:rPr>
        <w:t xml:space="preserve">Reconstruction </w:t>
      </w:r>
      <w:r>
        <w:rPr>
          <w:rFonts w:ascii="Arial" w:hAnsi="Arial" w:cs="Arial"/>
          <w:bCs/>
          <w:iCs/>
          <w:kern w:val="28"/>
          <w:sz w:val="36"/>
        </w:rPr>
        <w:t>Using</w:t>
      </w:r>
      <w:r w:rsidR="00D745E7">
        <w:rPr>
          <w:rFonts w:ascii="Arial" w:hAnsi="Arial" w:cs="Arial"/>
          <w:bCs/>
          <w:iCs/>
          <w:kern w:val="28"/>
          <w:sz w:val="36"/>
        </w:rPr>
        <w:t xml:space="preserve"> Roux-en-Y Hepaticojejunostomy  </w:t>
      </w:r>
      <w:r w:rsidR="00231920">
        <w:rPr>
          <w:rFonts w:ascii="Arial" w:hAnsi="Arial" w:cs="Arial"/>
          <w:bCs/>
          <w:iCs/>
          <w:kern w:val="28"/>
          <w:sz w:val="36"/>
        </w:rPr>
        <w:t xml:space="preserve"> </w:t>
      </w:r>
    </w:p>
    <w:p w14:paraId="6DDA8AEE" w14:textId="77777777" w:rsidR="00A258C3" w:rsidRPr="00790ADA" w:rsidRDefault="00A258C3" w:rsidP="00F91BED">
      <w:pPr>
        <w:pStyle w:val="Author"/>
        <w:spacing w:line="240" w:lineRule="auto"/>
        <w:jc w:val="both"/>
        <w:rPr>
          <w:rFonts w:ascii="Arial" w:hAnsi="Arial" w:cs="Arial"/>
          <w:sz w:val="36"/>
        </w:rPr>
      </w:pPr>
    </w:p>
    <w:p w14:paraId="43568E0A" w14:textId="77777777" w:rsidR="00790ADA" w:rsidRPr="00FB3A86" w:rsidRDefault="00790ADA" w:rsidP="00F91BE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6CB267D" w14:textId="77777777" w:rsidTr="001E44FE">
        <w:tc>
          <w:tcPr>
            <w:tcW w:w="9576" w:type="dxa"/>
            <w:shd w:val="clear" w:color="auto" w:fill="F2F2F2"/>
          </w:tcPr>
          <w:p w14:paraId="6A93F730" w14:textId="77777777" w:rsidR="00BA1B01" w:rsidRPr="00BA1B01" w:rsidRDefault="00BA1B01" w:rsidP="00F91BED">
            <w:pPr>
              <w:pStyle w:val="Body"/>
              <w:spacing w:after="0"/>
              <w:rPr>
                <w:rFonts w:ascii="Arial" w:eastAsia="Calibri" w:hAnsi="Arial" w:cs="Arial"/>
                <w:szCs w:val="22"/>
              </w:rPr>
            </w:pPr>
            <w:r w:rsidRPr="00BA1B01">
              <w:rPr>
                <w:rFonts w:ascii="Arial" w:eastAsia="Calibri" w:hAnsi="Arial" w:cs="Arial"/>
                <w:b/>
                <w:szCs w:val="22"/>
              </w:rPr>
              <w:t xml:space="preserve">Aims: </w:t>
            </w:r>
            <w:r w:rsidR="00D745E7">
              <w:rPr>
                <w:rFonts w:ascii="Arial" w:eastAsia="Calibri" w:hAnsi="Arial" w:cs="Arial"/>
                <w:bCs/>
                <w:szCs w:val="22"/>
              </w:rPr>
              <w:t>To Report cases of choledochal cyst, the flow of diagnosis, and management of these cases.</w:t>
            </w:r>
          </w:p>
          <w:p w14:paraId="497ED94F" w14:textId="77777777" w:rsidR="00BA1B01" w:rsidRPr="00BA1B01" w:rsidRDefault="00D745E7" w:rsidP="00F91BED">
            <w:pPr>
              <w:pStyle w:val="Body"/>
              <w:spacing w:after="0"/>
              <w:rPr>
                <w:rFonts w:ascii="Arial" w:eastAsia="Calibri" w:hAnsi="Arial" w:cs="Arial"/>
                <w:szCs w:val="22"/>
              </w:rPr>
            </w:pPr>
            <w:r>
              <w:rPr>
                <w:rFonts w:ascii="Arial" w:eastAsia="Calibri" w:hAnsi="Arial" w:cs="Arial"/>
                <w:b/>
                <w:szCs w:val="22"/>
              </w:rPr>
              <w:t>Case Description</w:t>
            </w:r>
            <w:r w:rsidR="00BA1B01" w:rsidRPr="00BA1B01">
              <w:rPr>
                <w:rFonts w:ascii="Arial" w:eastAsia="Calibri" w:hAnsi="Arial" w:cs="Arial"/>
                <w:b/>
                <w:szCs w:val="22"/>
              </w:rPr>
              <w:t>:</w:t>
            </w:r>
            <w:r w:rsidR="00805A2D">
              <w:rPr>
                <w:rFonts w:ascii="Arial" w:eastAsia="Calibri" w:hAnsi="Arial" w:cs="Arial"/>
                <w:b/>
                <w:szCs w:val="22"/>
              </w:rPr>
              <w:t xml:space="preserve"> </w:t>
            </w:r>
            <w:r w:rsidR="00805A2D" w:rsidRPr="00805A2D">
              <w:rPr>
                <w:rFonts w:ascii="Arial" w:eastAsia="Calibri" w:hAnsi="Arial" w:cs="Arial"/>
                <w:bCs/>
                <w:iCs/>
                <w:szCs w:val="22"/>
              </w:rPr>
              <w:t xml:space="preserve">Two cases of choledochal cysts were reported in 2-year-old children, presenting with abdominal mass, jaundice, abdominal discomfort, pale stools, and vomiting. Laboratory findings revealed elevated direct and total bilirubin levels, as well as elevated SGOT and SGPT. Abdominal ultrasound showed saccular dilatation of the common hepatic duct (CBD) extending to the proximal CBD, </w:t>
            </w:r>
            <w:bookmarkStart w:id="0" w:name="_GoBack"/>
            <w:bookmarkEnd w:id="0"/>
            <w:r w:rsidR="00805A2D" w:rsidRPr="00805A2D">
              <w:rPr>
                <w:rFonts w:ascii="Arial" w:eastAsia="Calibri" w:hAnsi="Arial" w:cs="Arial"/>
                <w:bCs/>
                <w:iCs/>
                <w:szCs w:val="22"/>
              </w:rPr>
              <w:t>without intrahepatic bile duct dilation, indicative of a type 1</w:t>
            </w:r>
            <w:r w:rsidR="004876CE">
              <w:rPr>
                <w:rFonts w:ascii="Arial" w:eastAsia="Calibri" w:hAnsi="Arial" w:cs="Arial"/>
                <w:bCs/>
                <w:iCs/>
                <w:szCs w:val="22"/>
              </w:rPr>
              <w:t>B</w:t>
            </w:r>
            <w:r w:rsidR="00805A2D" w:rsidRPr="00805A2D">
              <w:rPr>
                <w:rFonts w:ascii="Arial" w:eastAsia="Calibri" w:hAnsi="Arial" w:cs="Arial"/>
                <w:bCs/>
                <w:iCs/>
                <w:szCs w:val="22"/>
              </w:rPr>
              <w:t xml:space="preserve"> choledochal cyst. Abdominal CT scan revealed cystic duct dilation and gallbladder wall edema, with contrast enhancement and a fusiform cystic lesion from the CHD to the CBD. No carcinoma cells were identified on pathological examination.</w:t>
            </w:r>
          </w:p>
          <w:p w14:paraId="2263829E" w14:textId="77777777" w:rsidR="00BA1B01" w:rsidRPr="00BA1B01" w:rsidRDefault="00D745E7" w:rsidP="00F91BED">
            <w:pPr>
              <w:pStyle w:val="Body"/>
              <w:spacing w:after="0"/>
              <w:rPr>
                <w:rFonts w:ascii="Arial" w:eastAsia="Calibri" w:hAnsi="Arial" w:cs="Arial"/>
                <w:b/>
                <w:bCs/>
                <w:szCs w:val="22"/>
              </w:rPr>
            </w:pPr>
            <w:r>
              <w:rPr>
                <w:rFonts w:ascii="Arial" w:eastAsia="Calibri" w:hAnsi="Arial" w:cs="Arial"/>
                <w:b/>
                <w:szCs w:val="22"/>
              </w:rPr>
              <w:t>Discussion</w:t>
            </w:r>
            <w:r w:rsidR="00BA1B01" w:rsidRPr="00BA1B01">
              <w:rPr>
                <w:rFonts w:ascii="Arial" w:eastAsia="Calibri" w:hAnsi="Arial" w:cs="Arial"/>
                <w:b/>
                <w:szCs w:val="22"/>
              </w:rPr>
              <w:t>:</w:t>
            </w:r>
            <w:r w:rsidR="00BA1B01" w:rsidRPr="00BA1B01">
              <w:rPr>
                <w:rFonts w:ascii="Arial" w:eastAsia="Calibri" w:hAnsi="Arial" w:cs="Arial"/>
                <w:szCs w:val="22"/>
              </w:rPr>
              <w:t xml:space="preserve"> </w:t>
            </w:r>
            <w:r w:rsidR="00BE0FCC" w:rsidRPr="00BE0FCC">
              <w:rPr>
                <w:rFonts w:ascii="Arial" w:eastAsia="Calibri" w:hAnsi="Arial" w:cs="Arial"/>
                <w:szCs w:val="22"/>
              </w:rPr>
              <w:t xml:space="preserve">Choledochal cysts, particularly </w:t>
            </w:r>
            <w:proofErr w:type="spellStart"/>
            <w:r w:rsidR="00BE0FCC" w:rsidRPr="00BE0FCC">
              <w:rPr>
                <w:rFonts w:ascii="Arial" w:eastAsia="Calibri" w:hAnsi="Arial" w:cs="Arial"/>
                <w:szCs w:val="22"/>
              </w:rPr>
              <w:t>Todani</w:t>
            </w:r>
            <w:proofErr w:type="spellEnd"/>
            <w:r w:rsidR="00BE0FCC" w:rsidRPr="00BE0FCC">
              <w:rPr>
                <w:rFonts w:ascii="Arial" w:eastAsia="Calibri" w:hAnsi="Arial" w:cs="Arial"/>
                <w:szCs w:val="22"/>
              </w:rPr>
              <w:t xml:space="preserve"> type IB, present with variable clinical features despite similar anatomical involvement. Early diagnosis through imaging is essential, with MRCP offering the highest diagnostic accuracy. Surgical excision followed by Roux-en-Y hepaticojejunostomy remains the treatment of choice. Although the risk of malignancy is low after complete resection, incomplete excision significantly increases this risk, highlighting the importance of early detection, comprehensive imaging, and meticulous surgical planning.</w:t>
            </w:r>
          </w:p>
          <w:p w14:paraId="5E96B5D9" w14:textId="77777777" w:rsidR="00505F06" w:rsidRPr="00BA1B01" w:rsidRDefault="00BA1B01" w:rsidP="00F91BED">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F34E6" w:rsidRPr="00FF34E6">
              <w:rPr>
                <w:rFonts w:ascii="Arial" w:eastAsia="Calibri" w:hAnsi="Arial" w:cs="Arial"/>
                <w:szCs w:val="22"/>
              </w:rPr>
              <w:t>Early recognition and surgical management of choledochal cysts are essential to prevent complications and reduce the risk of malignant transformation.</w:t>
            </w:r>
          </w:p>
        </w:tc>
      </w:tr>
    </w:tbl>
    <w:p w14:paraId="4A906F63" w14:textId="77777777" w:rsidR="00636EB2" w:rsidRDefault="00636EB2" w:rsidP="00F91BED">
      <w:pPr>
        <w:pStyle w:val="Body"/>
        <w:spacing w:after="0"/>
        <w:rPr>
          <w:rFonts w:ascii="Arial" w:hAnsi="Arial" w:cs="Arial"/>
          <w:i/>
        </w:rPr>
      </w:pPr>
    </w:p>
    <w:p w14:paraId="220E0AF9" w14:textId="77777777" w:rsidR="00A24E7E" w:rsidRDefault="00A24E7E" w:rsidP="00F91BED">
      <w:pPr>
        <w:pStyle w:val="Body"/>
        <w:spacing w:after="0"/>
        <w:rPr>
          <w:rFonts w:ascii="Arial" w:hAnsi="Arial" w:cs="Arial"/>
          <w:i/>
        </w:rPr>
      </w:pPr>
      <w:r>
        <w:rPr>
          <w:rFonts w:ascii="Arial" w:hAnsi="Arial" w:cs="Arial"/>
          <w:i/>
        </w:rPr>
        <w:t xml:space="preserve">Keywords: </w:t>
      </w:r>
      <w:r w:rsidR="00FF34E6">
        <w:rPr>
          <w:rFonts w:ascii="Arial" w:hAnsi="Arial" w:cs="Arial"/>
          <w:i/>
        </w:rPr>
        <w:t xml:space="preserve">choledochal cyst; hepaticojejunostomy; </w:t>
      </w:r>
      <w:proofErr w:type="spellStart"/>
      <w:r w:rsidR="00FF34E6">
        <w:rPr>
          <w:rFonts w:ascii="Arial" w:hAnsi="Arial" w:cs="Arial"/>
          <w:i/>
        </w:rPr>
        <w:t>Todani</w:t>
      </w:r>
      <w:proofErr w:type="spellEnd"/>
      <w:r w:rsidR="00FF34E6">
        <w:rPr>
          <w:rFonts w:ascii="Arial" w:hAnsi="Arial" w:cs="Arial"/>
          <w:i/>
        </w:rPr>
        <w:t xml:space="preserve"> Type 1b</w:t>
      </w:r>
    </w:p>
    <w:p w14:paraId="0FC7BC6A" w14:textId="77777777" w:rsidR="00505F06" w:rsidRPr="00D745E7" w:rsidRDefault="00505F06" w:rsidP="00F91BED">
      <w:pPr>
        <w:pStyle w:val="Body"/>
        <w:spacing w:after="0"/>
        <w:rPr>
          <w:rFonts w:ascii="Arial" w:hAnsi="Arial" w:cs="Arial"/>
          <w:i/>
          <w:sz w:val="18"/>
        </w:rPr>
      </w:pPr>
    </w:p>
    <w:p w14:paraId="7C93ECB2" w14:textId="77777777" w:rsidR="00F91BED" w:rsidRDefault="00F91BED" w:rsidP="00F91BED">
      <w:pPr>
        <w:pStyle w:val="AbstHead"/>
        <w:spacing w:after="0"/>
        <w:jc w:val="both"/>
        <w:rPr>
          <w:rFonts w:ascii="Arial" w:hAnsi="Arial" w:cs="Arial"/>
        </w:rPr>
        <w:sectPr w:rsidR="00F91BED" w:rsidSect="004B368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51EC5FB9" w14:textId="77777777" w:rsidR="007F7B32" w:rsidRDefault="00902823" w:rsidP="00F91BED">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4212E2C" w14:textId="77777777" w:rsidR="00790ADA" w:rsidRPr="00FB3A86" w:rsidRDefault="00790ADA" w:rsidP="00F91BED">
      <w:pPr>
        <w:pStyle w:val="AbstHead"/>
        <w:spacing w:after="0"/>
        <w:jc w:val="both"/>
        <w:rPr>
          <w:rFonts w:ascii="Arial" w:hAnsi="Arial" w:cs="Arial"/>
        </w:rPr>
      </w:pPr>
    </w:p>
    <w:p w14:paraId="37F53264" w14:textId="77777777" w:rsidR="006D286F" w:rsidRPr="006D286F" w:rsidRDefault="006D286F" w:rsidP="00F91BED">
      <w:pPr>
        <w:pStyle w:val="Body"/>
        <w:spacing w:after="0"/>
        <w:ind w:firstLine="720"/>
        <w:rPr>
          <w:rFonts w:ascii="Arial" w:hAnsi="Arial" w:cs="Arial"/>
          <w:lang w:val="id-ID"/>
        </w:rPr>
      </w:pPr>
      <w:r w:rsidRPr="006D286F">
        <w:rPr>
          <w:rFonts w:ascii="Arial" w:hAnsi="Arial" w:cs="Arial"/>
          <w:lang w:val="id-ID"/>
        </w:rPr>
        <w:t>Choledochal cyst is a congenital dilatation of the bile duct that can occur in the intrahepatic, extrahepatic, or both segments of the biliary tree. The incidence in Western populations is approximately 1 in 100,000–150,000 live births, while in Asian populations it ranges from 1 in 1,000–13,000 live births¹. This condition is more common in females, particularly during the first decade of life, with type I being the most frequent subtype².</w:t>
      </w:r>
    </w:p>
    <w:p w14:paraId="549AE917" w14:textId="77777777" w:rsidR="006D286F" w:rsidRPr="00E27ECE" w:rsidRDefault="006D286F" w:rsidP="00F91BED">
      <w:pPr>
        <w:pStyle w:val="Body"/>
        <w:spacing w:after="0"/>
        <w:ind w:firstLine="720"/>
        <w:rPr>
          <w:rFonts w:ascii="Arial" w:hAnsi="Arial" w:cs="Arial"/>
          <w:lang w:val="id-ID"/>
        </w:rPr>
      </w:pPr>
      <w:r w:rsidRPr="006D286F">
        <w:rPr>
          <w:rFonts w:ascii="Arial" w:hAnsi="Arial" w:cs="Arial"/>
          <w:lang w:val="id-ID"/>
        </w:rPr>
        <w:t xml:space="preserve">Approximately 80% of choledochal cyst cases are diagnosed in infants and children during the first </w:t>
      </w:r>
      <w:r w:rsidRPr="006D286F">
        <w:rPr>
          <w:rFonts w:ascii="Arial" w:hAnsi="Arial" w:cs="Arial"/>
          <w:lang w:val="id-ID"/>
        </w:rPr>
        <w:t>decade of life³. The clinical and pathological presentations vary depending on the patient’s age¹. In children, the most common symptoms are abdominal discomfort, jaundice, and an abdominal mass</w:t>
      </w:r>
      <w:r w:rsidR="003B0C18">
        <w:rPr>
          <w:rFonts w:ascii="Arial" w:hAnsi="Arial" w:cs="Arial"/>
          <w:lang w:val="id-ID"/>
        </w:rPr>
        <w:t xml:space="preserve"> </w:t>
      </w:r>
      <w:r w:rsidRPr="006D286F">
        <w:rPr>
          <w:rFonts w:ascii="Arial" w:hAnsi="Arial" w:cs="Arial"/>
          <w:lang w:val="id-ID"/>
        </w:rPr>
        <w:t>known collectively as the classical triad</w:t>
      </w:r>
      <w:r w:rsidR="003B0C18">
        <w:rPr>
          <w:rFonts w:ascii="Arial" w:hAnsi="Arial" w:cs="Arial"/>
          <w:lang w:val="id-ID"/>
        </w:rPr>
        <w:t xml:space="preserve"> </w:t>
      </w:r>
      <w:r w:rsidRPr="006D286F">
        <w:rPr>
          <w:rFonts w:ascii="Arial" w:hAnsi="Arial" w:cs="Arial"/>
          <w:lang w:val="id-ID"/>
        </w:rPr>
        <w:t xml:space="preserve">though this triad is present in only 20% of cases. Around 85% of pediatric patients present with only two of these symptoms, usually abdominal mass and jaundice. In infants, signs include jaundice, acholic stools, and vomiting, which may mimic biliary atresia, hepatic fibrosis, or cirrhosis. In adults, choledochal cysts are more likely to present with complications such as cholangitis, pancreatitis, or cyst rupture leading to peritonitis. Malignant </w:t>
      </w:r>
      <w:r w:rsidRPr="006D286F">
        <w:rPr>
          <w:rFonts w:ascii="Arial" w:hAnsi="Arial" w:cs="Arial"/>
          <w:lang w:val="id-ID"/>
        </w:rPr>
        <w:lastRenderedPageBreak/>
        <w:t>transformation in the biliary tract occurs in approximately 10% to 30% of cases</w:t>
      </w:r>
      <w:r w:rsidR="00E27ECE" w:rsidRPr="00E27ECE">
        <w:rPr>
          <w:rFonts w:ascii="Arial" w:hAnsi="Arial" w:cs="Arial"/>
          <w:color w:val="0D0D0D" w:themeColor="text1" w:themeTint="F2"/>
          <w:vertAlign w:val="superscript"/>
          <w:lang w:val="id-ID"/>
        </w:rPr>
        <w:t>4,5,6,7</w:t>
      </w:r>
      <w:r w:rsidR="00E27ECE">
        <w:rPr>
          <w:rFonts w:ascii="Arial" w:hAnsi="Arial" w:cs="Arial"/>
          <w:color w:val="0D0D0D" w:themeColor="text1" w:themeTint="F2"/>
          <w:lang w:val="id-ID"/>
        </w:rPr>
        <w:t>.</w:t>
      </w:r>
    </w:p>
    <w:p w14:paraId="55ECEB20" w14:textId="77777777" w:rsidR="006D286F" w:rsidRPr="006D286F" w:rsidRDefault="006D286F" w:rsidP="00F91BED">
      <w:pPr>
        <w:pStyle w:val="Body"/>
        <w:spacing w:after="0"/>
        <w:ind w:firstLine="720"/>
        <w:rPr>
          <w:rFonts w:ascii="Arial" w:hAnsi="Arial" w:cs="Arial"/>
          <w:lang w:val="id-ID"/>
        </w:rPr>
      </w:pPr>
      <w:r w:rsidRPr="006D286F">
        <w:rPr>
          <w:rFonts w:ascii="Arial" w:hAnsi="Arial" w:cs="Arial"/>
          <w:lang w:val="id-ID"/>
        </w:rPr>
        <w:t>Diagnostic modalities include abdominal ultrasonography, endoscopic retrograde cholangiopancreatography (ERCP), and magnetic resonance cholangiopancreatography (MRCP). Abdominal ultrasound is the initial diagnostic tool of choice, allowing clear visualization of intra- and extrahepatic duct dilatation. Computed tomography (CT) provides high accuracy and assists in preoperative planning. MRCP is considered the gold standard for diagnosing choledochal cysts, with a sensitivity ranging from 90% to 100%</w:t>
      </w:r>
      <w:r w:rsidR="00E27ECE" w:rsidRPr="00E27ECE">
        <w:rPr>
          <w:rFonts w:ascii="Arial" w:hAnsi="Arial" w:cs="Arial"/>
          <w:vertAlign w:val="superscript"/>
          <w:lang w:val="id-ID"/>
        </w:rPr>
        <w:t>8,9</w:t>
      </w:r>
      <w:r w:rsidRPr="006D286F">
        <w:rPr>
          <w:rFonts w:ascii="Arial" w:hAnsi="Arial" w:cs="Arial"/>
          <w:lang w:val="id-ID"/>
        </w:rPr>
        <w:t>.</w:t>
      </w:r>
    </w:p>
    <w:p w14:paraId="7D05074F" w14:textId="77777777" w:rsidR="006D286F" w:rsidRPr="006D286F" w:rsidRDefault="006D286F" w:rsidP="00F91BED">
      <w:pPr>
        <w:pStyle w:val="Body"/>
        <w:spacing w:after="0"/>
        <w:ind w:firstLine="720"/>
        <w:rPr>
          <w:rFonts w:ascii="Arial" w:hAnsi="Arial" w:cs="Arial"/>
          <w:lang w:val="id-ID"/>
        </w:rPr>
      </w:pPr>
      <w:r w:rsidRPr="006D286F">
        <w:rPr>
          <w:rFonts w:ascii="Arial" w:hAnsi="Arial" w:cs="Arial"/>
          <w:lang w:val="id-ID"/>
        </w:rPr>
        <w:t>The treatment of choice is total cyst excision followed by biliary reconstruction. Laparoscopic Roux-en-Y hepaticojejunostomy (RYHJ) has been shown to be a safe and effective method in both infants and children¹⁰. This case report aims to present and evaluate a Todani Type I</w:t>
      </w:r>
      <w:r w:rsidR="005F0253">
        <w:rPr>
          <w:rFonts w:ascii="Arial" w:hAnsi="Arial" w:cs="Arial"/>
          <w:lang w:val="id-ID"/>
        </w:rPr>
        <w:t>B</w:t>
      </w:r>
      <w:r w:rsidRPr="006D286F">
        <w:rPr>
          <w:rFonts w:ascii="Arial" w:hAnsi="Arial" w:cs="Arial"/>
          <w:lang w:val="id-ID"/>
        </w:rPr>
        <w:t xml:space="preserve"> choledochal cyst in a 2-year-old child, focusing on the clinical diagnosis and biliary reconstruction using the RYHJ technique.</w:t>
      </w:r>
    </w:p>
    <w:p w14:paraId="44F655FD" w14:textId="77777777" w:rsidR="00B01FCD" w:rsidRDefault="00B01FCD" w:rsidP="00F91BED">
      <w:pPr>
        <w:pStyle w:val="Body"/>
        <w:spacing w:after="0"/>
        <w:rPr>
          <w:rFonts w:ascii="Arial" w:hAnsi="Arial" w:cs="Arial"/>
        </w:rPr>
      </w:pPr>
    </w:p>
    <w:p w14:paraId="394DA127" w14:textId="77777777" w:rsidR="00790ADA" w:rsidRPr="00FB3A86" w:rsidRDefault="00790ADA" w:rsidP="00F91BED">
      <w:pPr>
        <w:pStyle w:val="Body"/>
        <w:spacing w:after="0"/>
        <w:rPr>
          <w:rFonts w:ascii="Arial" w:hAnsi="Arial" w:cs="Arial"/>
        </w:rPr>
      </w:pPr>
    </w:p>
    <w:p w14:paraId="722C31A0" w14:textId="77777777" w:rsidR="007F7B32" w:rsidRDefault="00902823" w:rsidP="00F91BED">
      <w:pPr>
        <w:pStyle w:val="AbstHead"/>
        <w:spacing w:after="0"/>
        <w:jc w:val="both"/>
        <w:rPr>
          <w:rFonts w:ascii="Arial" w:hAnsi="Arial" w:cs="Arial"/>
        </w:rPr>
      </w:pPr>
      <w:r>
        <w:rPr>
          <w:rFonts w:ascii="Arial" w:hAnsi="Arial" w:cs="Arial"/>
        </w:rPr>
        <w:t xml:space="preserve">2. </w:t>
      </w:r>
      <w:r w:rsidR="006D286F">
        <w:rPr>
          <w:rFonts w:ascii="Arial" w:hAnsi="Arial" w:cs="Arial"/>
        </w:rPr>
        <w:t>Presentation of case</w:t>
      </w:r>
    </w:p>
    <w:p w14:paraId="2478CCE0" w14:textId="77777777" w:rsidR="00790ADA" w:rsidRPr="00FB3A86" w:rsidRDefault="00790ADA" w:rsidP="00F91BED">
      <w:pPr>
        <w:pStyle w:val="AbstHead"/>
        <w:spacing w:after="0"/>
        <w:jc w:val="both"/>
        <w:rPr>
          <w:rFonts w:ascii="Arial" w:hAnsi="Arial" w:cs="Arial"/>
        </w:rPr>
      </w:pPr>
    </w:p>
    <w:p w14:paraId="495869B1" w14:textId="77777777" w:rsidR="005F0253" w:rsidRPr="005F0253" w:rsidRDefault="005F0253" w:rsidP="00F91BED">
      <w:pPr>
        <w:pStyle w:val="Body"/>
        <w:spacing w:after="0"/>
        <w:ind w:firstLine="720"/>
        <w:rPr>
          <w:rFonts w:ascii="Arial" w:hAnsi="Arial" w:cs="Arial"/>
          <w:color w:val="000000" w:themeColor="text1"/>
        </w:rPr>
      </w:pPr>
      <w:r w:rsidRPr="005F0253">
        <w:rPr>
          <w:rFonts w:ascii="Arial" w:hAnsi="Arial" w:cs="Arial"/>
          <w:color w:val="000000" w:themeColor="text1"/>
        </w:rPr>
        <w:t xml:space="preserve">We report two cases of choledochal cysts in 2-year-old children. The first patient presented with intermittent right upper quadrant abdominal pain and jaundice. Laboratory results showed elevated liver enzymes (SGOT 95 U/L, SGPT 149 U/L) and increased direct (1.02 mg/dL) and total </w:t>
      </w:r>
      <w:r w:rsidRPr="005F0253">
        <w:rPr>
          <w:rFonts w:ascii="Arial" w:hAnsi="Arial" w:cs="Arial"/>
          <w:color w:val="000000" w:themeColor="text1"/>
        </w:rPr>
        <w:t>bilirubin (1.71 mg/dL). The second patient had similar abdominal pain, accompanied by steatorrhea and tea-colored urine, but laboratory parameters were within normal limits.</w:t>
      </w:r>
    </w:p>
    <w:p w14:paraId="5FDB8D9B" w14:textId="77777777" w:rsidR="005F0253" w:rsidRPr="005F0253" w:rsidRDefault="005F0253" w:rsidP="00F91BED">
      <w:pPr>
        <w:pStyle w:val="Body"/>
        <w:spacing w:after="0"/>
        <w:ind w:firstLine="720"/>
        <w:rPr>
          <w:rFonts w:ascii="Arial" w:hAnsi="Arial" w:cs="Arial"/>
          <w:color w:val="000000" w:themeColor="text1"/>
        </w:rPr>
      </w:pPr>
      <w:r w:rsidRPr="005F0253">
        <w:rPr>
          <w:rFonts w:ascii="Arial" w:hAnsi="Arial" w:cs="Arial"/>
          <w:color w:val="000000" w:themeColor="text1"/>
        </w:rPr>
        <w:t>Abdominal ultrasonography in both patients revealed saccular dilatation of the common hepatic duct (CHD) extending into the proximal common bile duct (CBD), with no intrahepatic bile duct (IHBD) involvement</w:t>
      </w:r>
      <w:r w:rsidR="004876CE">
        <w:rPr>
          <w:rFonts w:ascii="Arial" w:hAnsi="Arial" w:cs="Arial"/>
          <w:color w:val="000000" w:themeColor="text1"/>
        </w:rPr>
        <w:t xml:space="preserve"> </w:t>
      </w:r>
      <w:r w:rsidRPr="005F0253">
        <w:rPr>
          <w:rFonts w:ascii="Arial" w:hAnsi="Arial" w:cs="Arial"/>
          <w:color w:val="000000" w:themeColor="text1"/>
        </w:rPr>
        <w:t xml:space="preserve">suggestive of a </w:t>
      </w:r>
      <w:proofErr w:type="spellStart"/>
      <w:r w:rsidRPr="005F0253">
        <w:rPr>
          <w:rFonts w:ascii="Arial" w:hAnsi="Arial" w:cs="Arial"/>
          <w:color w:val="000000" w:themeColor="text1"/>
        </w:rPr>
        <w:t>Todani</w:t>
      </w:r>
      <w:proofErr w:type="spellEnd"/>
      <w:r w:rsidRPr="005F0253">
        <w:rPr>
          <w:rFonts w:ascii="Arial" w:hAnsi="Arial" w:cs="Arial"/>
          <w:color w:val="000000" w:themeColor="text1"/>
        </w:rPr>
        <w:t xml:space="preserve"> type IB choledochal cyst. Contrast-enhanced CT confirmed cystic duct dilatation and a fusiform fluid-density lesion extending from the CHD to the CBD, without gallstones.</w:t>
      </w:r>
    </w:p>
    <w:p w14:paraId="04D45924" w14:textId="77777777" w:rsidR="005F0253" w:rsidRPr="005F0253" w:rsidRDefault="005F0253" w:rsidP="00F91BED">
      <w:pPr>
        <w:pStyle w:val="Body"/>
        <w:spacing w:after="0"/>
        <w:ind w:firstLine="720"/>
        <w:rPr>
          <w:rFonts w:ascii="Arial" w:hAnsi="Arial" w:cs="Arial"/>
          <w:color w:val="000000" w:themeColor="text1"/>
        </w:rPr>
      </w:pPr>
      <w:r w:rsidRPr="005F0253">
        <w:rPr>
          <w:rFonts w:ascii="Arial" w:hAnsi="Arial" w:cs="Arial"/>
          <w:color w:val="000000" w:themeColor="text1"/>
        </w:rPr>
        <w:t>Both patients underwent open surgical excision of the cyst and gallbladder, followed by Roux-en-Y hepaticojejunostomy (RYHJ) reconstruction. The cyst was completely resected, and the hepaticojejunostomy was performed using a 50 cm Roux limb. Postoperative recovery was uneventful.</w:t>
      </w:r>
    </w:p>
    <w:p w14:paraId="616C67C8" w14:textId="77777777" w:rsidR="005F0253" w:rsidRDefault="005F0253" w:rsidP="00F91BED">
      <w:pPr>
        <w:pStyle w:val="Body"/>
        <w:spacing w:after="0"/>
        <w:ind w:firstLine="720"/>
        <w:rPr>
          <w:rFonts w:ascii="Arial" w:hAnsi="Arial" w:cs="Arial"/>
          <w:color w:val="000000" w:themeColor="text1"/>
        </w:rPr>
      </w:pPr>
      <w:r w:rsidRPr="005F0253">
        <w:rPr>
          <w:rFonts w:ascii="Arial" w:hAnsi="Arial" w:cs="Arial"/>
          <w:color w:val="000000" w:themeColor="text1"/>
        </w:rPr>
        <w:t xml:space="preserve">Macroscopic pathology showed a dilated CBD measuring approximately 2 cm in length and 1.5 cm in diameter, and a gallbladder measuring 9.5 × 6 × 1.5 cm with no stones or masses. Microscopic examination revealed cystic duct lined with columnar epithelium, fibrous stroma, focal mucosal erosion, </w:t>
      </w:r>
      <w:proofErr w:type="spellStart"/>
      <w:r w:rsidRPr="005F0253">
        <w:rPr>
          <w:rFonts w:ascii="Arial" w:hAnsi="Arial" w:cs="Arial"/>
          <w:color w:val="000000" w:themeColor="text1"/>
        </w:rPr>
        <w:t>lymphohistiocytic</w:t>
      </w:r>
      <w:proofErr w:type="spellEnd"/>
      <w:r w:rsidRPr="005F0253">
        <w:rPr>
          <w:rFonts w:ascii="Arial" w:hAnsi="Arial" w:cs="Arial"/>
          <w:color w:val="000000" w:themeColor="text1"/>
        </w:rPr>
        <w:t xml:space="preserve"> infiltration, and dilated blood vessels. No signs of malignancy were observed. By postoperative day two, the first patient showed clinical improvement with declining bilirubin and normalized liver enzyme levels.</w:t>
      </w:r>
    </w:p>
    <w:p w14:paraId="16D65C38" w14:textId="77777777" w:rsidR="00F91BED" w:rsidRDefault="00F91BED" w:rsidP="00F91BED">
      <w:pPr>
        <w:pStyle w:val="Body"/>
        <w:spacing w:after="0"/>
        <w:ind w:firstLine="720"/>
        <w:rPr>
          <w:rFonts w:ascii="Arial" w:hAnsi="Arial" w:cs="Arial"/>
          <w:color w:val="000000" w:themeColor="text1"/>
        </w:rPr>
        <w:sectPr w:rsidR="00F91BED" w:rsidSect="00F91BED">
          <w:type w:val="continuous"/>
          <w:pgSz w:w="12240" w:h="15840"/>
          <w:pgMar w:top="1440" w:right="2016" w:bottom="2016" w:left="2016" w:header="720" w:footer="1123" w:gutter="0"/>
          <w:cols w:num="2" w:space="720"/>
          <w:docGrid w:linePitch="272"/>
        </w:sectPr>
      </w:pPr>
    </w:p>
    <w:p w14:paraId="389C8DC9" w14:textId="77777777" w:rsidR="00047BB4" w:rsidRDefault="00047BB4" w:rsidP="00F91BED">
      <w:pPr>
        <w:pStyle w:val="Body"/>
        <w:spacing w:after="0"/>
        <w:ind w:firstLine="720"/>
        <w:rPr>
          <w:rFonts w:ascii="Arial" w:hAnsi="Arial" w:cs="Arial"/>
          <w:color w:val="000000" w:themeColor="text1"/>
        </w:rPr>
      </w:pPr>
    </w:p>
    <w:p w14:paraId="68F82FC2" w14:textId="77777777" w:rsidR="00047BB4" w:rsidRDefault="00047BB4" w:rsidP="00F91BED">
      <w:pPr>
        <w:pStyle w:val="Body"/>
        <w:spacing w:after="0"/>
        <w:ind w:firstLine="720"/>
        <w:rPr>
          <w:rFonts w:ascii="Arial" w:hAnsi="Arial" w:cs="Arial"/>
          <w:color w:val="000000" w:themeColor="text1"/>
        </w:rPr>
      </w:pPr>
    </w:p>
    <w:p w14:paraId="144D1A38" w14:textId="77777777" w:rsidR="00047BB4" w:rsidRDefault="00047BB4" w:rsidP="00F91BED">
      <w:pPr>
        <w:pStyle w:val="Body"/>
        <w:spacing w:after="0"/>
        <w:ind w:firstLine="720"/>
        <w:rPr>
          <w:rFonts w:ascii="Arial" w:hAnsi="Arial" w:cs="Arial"/>
          <w:color w:val="000000" w:themeColor="text1"/>
        </w:rPr>
      </w:pPr>
    </w:p>
    <w:p w14:paraId="6CF389AB" w14:textId="77777777" w:rsidR="00047BB4" w:rsidRDefault="00047BB4" w:rsidP="00F91BED">
      <w:pPr>
        <w:pStyle w:val="Body"/>
        <w:spacing w:after="0"/>
        <w:ind w:firstLine="720"/>
        <w:rPr>
          <w:rFonts w:ascii="Arial" w:hAnsi="Arial" w:cs="Arial"/>
          <w:color w:val="000000" w:themeColor="text1"/>
        </w:rPr>
      </w:pPr>
    </w:p>
    <w:p w14:paraId="55F54F38" w14:textId="77777777" w:rsidR="00047BB4" w:rsidRDefault="00047BB4" w:rsidP="00F91BED">
      <w:pPr>
        <w:pStyle w:val="Body"/>
        <w:spacing w:after="0"/>
        <w:rPr>
          <w:rFonts w:ascii="Arial" w:hAnsi="Arial" w:cs="Arial"/>
          <w:color w:val="000000" w:themeColor="text1"/>
        </w:rPr>
      </w:pPr>
    </w:p>
    <w:p w14:paraId="3EECF8FA" w14:textId="77777777" w:rsidR="00047BB4" w:rsidRPr="00AC51EC" w:rsidRDefault="00047BB4" w:rsidP="00F91BED">
      <w:pPr>
        <w:pStyle w:val="Body"/>
        <w:spacing w:after="0"/>
        <w:ind w:firstLine="720"/>
        <w:rPr>
          <w:rFonts w:ascii="Arial" w:hAnsi="Arial" w:cs="Arial"/>
          <w:color w:val="000000" w:themeColor="text1"/>
        </w:rPr>
      </w:pPr>
    </w:p>
    <w:p w14:paraId="24185C4C" w14:textId="77777777" w:rsidR="00332CD5" w:rsidRPr="005F0253" w:rsidRDefault="00332CD5" w:rsidP="00F91BED">
      <w:pPr>
        <w:pStyle w:val="Body"/>
        <w:spacing w:after="0"/>
        <w:ind w:firstLine="720"/>
        <w:rPr>
          <w:rFonts w:ascii="Arial" w:hAnsi="Arial" w:cs="Arial"/>
        </w:rPr>
      </w:pPr>
    </w:p>
    <w:p w14:paraId="5599A267" w14:textId="77777777" w:rsidR="00B01FCD" w:rsidRDefault="00B01FCD" w:rsidP="00F91BED">
      <w:pPr>
        <w:pStyle w:val="Body"/>
        <w:spacing w:after="0"/>
        <w:rPr>
          <w:rFonts w:ascii="Arial" w:hAnsi="Arial" w:cs="Arial"/>
        </w:rPr>
      </w:pPr>
    </w:p>
    <w:p w14:paraId="01F83E9C" w14:textId="4EA04179" w:rsidR="00F91BED" w:rsidRDefault="00AA65ED" w:rsidP="004876CE">
      <w:pPr>
        <w:pStyle w:val="Body"/>
        <w:spacing w:after="0"/>
        <w:rPr>
          <w:rFonts w:ascii="Arial" w:hAnsi="Arial" w:cs="Arial"/>
        </w:rPr>
        <w:sectPr w:rsidR="00F91BED" w:rsidSect="004B368A">
          <w:type w:val="continuous"/>
          <w:pgSz w:w="12240" w:h="15840"/>
          <w:pgMar w:top="1440" w:right="2016" w:bottom="2016" w:left="2016" w:header="720" w:footer="1123" w:gutter="0"/>
          <w:cols w:space="720"/>
          <w:docGrid w:linePitch="272"/>
        </w:sectPr>
      </w:pPr>
      <w:r>
        <w:rPr>
          <w:noProof/>
        </w:rPr>
        <w:lastRenderedPageBreak/>
        <w:pict w14:anchorId="174F4CF2">
          <v:shapetype id="_x0000_t202" coordsize="21600,21600" o:spt="202" path="m,l,21600r21600,l21600,xe">
            <v:stroke joinstyle="miter"/>
            <v:path gradientshapeok="t" o:connecttype="rect"/>
          </v:shapetype>
          <v:shape id="_x0000_s1032" type="#_x0000_t202" style="position:absolute;left:0;text-align:left;margin-left:-4.25pt;margin-top:618.7pt;width:145pt;height:50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" stroked="f">
            <v:textbox inset="0,0,0,0">
              <w:txbxContent>
                <w:p w14:paraId="20F911B7" w14:textId="77777777" w:rsidR="003617BA" w:rsidRPr="003617BA" w:rsidRDefault="003617BA" w:rsidP="003617BA">
                  <w:pPr>
                    <w:pStyle w:val="Caption"/>
                    <w:jc w:val="center"/>
                    <w:rPr>
                      <w:rFonts w:ascii="Arial" w:hAnsi="Arial" w:cs="Arial"/>
                      <w:b/>
                      <w:bCs/>
                      <w:i w:val="0"/>
                      <w:iCs w:val="0"/>
                      <w:caps/>
                      <w:noProof/>
                      <w:color w:val="000000" w:themeColor="text1"/>
                      <w:sz w:val="24"/>
                      <w:szCs w:val="21"/>
                    </w:rPr>
                  </w:pPr>
                  <w:r w:rsidRPr="003617BA">
                    <w:rPr>
                      <w:rFonts w:ascii="Arial" w:hAnsi="Arial" w:cs="Arial"/>
                      <w:b/>
                      <w:bCs/>
                      <w:i w:val="0"/>
                      <w:iCs w:val="0"/>
                      <w:color w:val="000000" w:themeColor="text1"/>
                      <w:sz w:val="20"/>
                      <w:szCs w:val="20"/>
                    </w:rPr>
                    <w:t>Fig. 5. Surgical removal of the gallbladder and the choledochal duct.</w:t>
                  </w:r>
                </w:p>
              </w:txbxContent>
            </v:textbox>
            <w10:wrap type="topAndBottom"/>
          </v:shape>
        </w:pict>
      </w:r>
      <w:r>
        <w:rPr>
          <w:noProof/>
        </w:rPr>
        <w:pict w14:anchorId="2444047F">
          <v:shape id="_x0000_s1031" type="#_x0000_t202" style="position:absolute;left:0;text-align:left;margin-left:234.55pt;margin-top:602.35pt;width:231.2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" stroked="f">
            <v:textbox style="mso-fit-shape-to-text:t" inset="0,0,0,0">
              <w:txbxContent>
                <w:p w14:paraId="6465830D" w14:textId="77777777" w:rsidR="003617BA" w:rsidRPr="00133DA4" w:rsidRDefault="003617BA" w:rsidP="003617BA">
                  <w:pPr>
                    <w:pStyle w:val="Caption"/>
                    <w:jc w:val="center"/>
                    <w:rPr>
                      <w:rFonts w:ascii="Arial" w:hAnsi="Arial" w:cs="Arial"/>
                      <w:b/>
                      <w:bCs/>
                      <w:i w:val="0"/>
                      <w:iCs w:val="0"/>
                      <w:caps/>
                      <w:noProof/>
                      <w:color w:val="000000" w:themeColor="text1"/>
                      <w:sz w:val="20"/>
                      <w:szCs w:val="20"/>
                    </w:rPr>
                  </w:pPr>
                  <w:r w:rsidRPr="00133DA4">
                    <w:rPr>
                      <w:rFonts w:ascii="Arial" w:hAnsi="Arial" w:cs="Arial"/>
                      <w:b/>
                      <w:bCs/>
                      <w:i w:val="0"/>
                      <w:iCs w:val="0"/>
                      <w:color w:val="000000" w:themeColor="text1"/>
                      <w:sz w:val="20"/>
                      <w:szCs w:val="20"/>
                    </w:rPr>
                    <w:t xml:space="preserve">Fig. 6. </w:t>
                  </w:r>
                  <w:r w:rsidR="00133DA4" w:rsidRPr="00133DA4">
                    <w:rPr>
                      <w:rStyle w:val="ts-alignment-element"/>
                      <w:rFonts w:ascii="Arial" w:hAnsi="Arial" w:cs="Arial"/>
                      <w:b/>
                      <w:bCs/>
                      <w:color w:val="000000"/>
                      <w:sz w:val="20"/>
                      <w:szCs w:val="20"/>
                    </w:rPr>
                    <w:t>The</w:t>
                  </w:r>
                  <w:r w:rsidR="00133DA4" w:rsidRPr="00133DA4">
                    <w:rPr>
                      <w:rFonts w:ascii="Arial" w:hAnsi="Arial" w:cs="Arial"/>
                      <w:b/>
                      <w:bCs/>
                      <w:color w:val="000000"/>
                      <w:sz w:val="20"/>
                      <w:szCs w:val="20"/>
                    </w:rPr>
                    <w:t xml:space="preserve"> </w:t>
                  </w:r>
                  <w:r w:rsidR="00133DA4" w:rsidRPr="00133DA4">
                    <w:rPr>
                      <w:rStyle w:val="ts-alignment-element-highlighted"/>
                      <w:rFonts w:ascii="Arial" w:hAnsi="Arial" w:cs="Arial"/>
                      <w:b/>
                      <w:bCs/>
                      <w:color w:val="000000"/>
                      <w:sz w:val="20"/>
                      <w:szCs w:val="20"/>
                      <w:shd w:val="clear" w:color="auto" w:fill="D4D4D4"/>
                    </w:rPr>
                    <w:t>cystically</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dilated</w:t>
                  </w:r>
                  <w:r w:rsidR="00133DA4" w:rsidRPr="00133DA4">
                    <w:rPr>
                      <w:rFonts w:ascii="Arial" w:hAnsi="Arial" w:cs="Arial"/>
                      <w:b/>
                      <w:bCs/>
                      <w:color w:val="000000"/>
                      <w:sz w:val="20"/>
                      <w:szCs w:val="20"/>
                    </w:rPr>
                    <w:t xml:space="preserve"> </w:t>
                  </w:r>
                  <w:proofErr w:type="spellStart"/>
                  <w:r w:rsidR="00133DA4" w:rsidRPr="00133DA4">
                    <w:rPr>
                      <w:rStyle w:val="ts-alignment-element-highlighted"/>
                      <w:rFonts w:ascii="Arial" w:hAnsi="Arial" w:cs="Arial"/>
                      <w:b/>
                      <w:bCs/>
                      <w:color w:val="000000"/>
                      <w:sz w:val="20"/>
                      <w:szCs w:val="20"/>
                      <w:shd w:val="clear" w:color="auto" w:fill="D4D4D4"/>
                    </w:rPr>
                    <w:t>coledocus</w:t>
                  </w:r>
                  <w:proofErr w:type="spellEnd"/>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duct</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appears</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partially</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lined</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with</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columnar</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epithelium.</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Stroma</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fibrous</w:t>
                  </w:r>
                  <w:r w:rsidR="00133DA4" w:rsidRPr="00133DA4">
                    <w:rPr>
                      <w:rFonts w:ascii="Arial" w:hAnsi="Arial" w:cs="Arial"/>
                      <w:b/>
                      <w:bCs/>
                      <w:color w:val="000000"/>
                      <w:sz w:val="20"/>
                      <w:szCs w:val="20"/>
                    </w:rPr>
                    <w:t xml:space="preserve"> </w:t>
                  </w:r>
                  <w:r w:rsidR="00133DA4" w:rsidRPr="00133DA4">
                    <w:rPr>
                      <w:rStyle w:val="ts-alignment-element"/>
                      <w:rFonts w:ascii="Arial" w:hAnsi="Arial" w:cs="Arial"/>
                      <w:b/>
                      <w:bCs/>
                      <w:color w:val="000000"/>
                      <w:sz w:val="20"/>
                      <w:szCs w:val="20"/>
                    </w:rPr>
                    <w:t>tissue.</w:t>
                  </w:r>
                </w:p>
              </w:txbxContent>
            </v:textbox>
            <w10:wrap type="topAndBottom"/>
          </v:shape>
        </w:pict>
      </w:r>
      <w:r w:rsidR="004876CE">
        <w:rPr>
          <w:rFonts w:ascii="Arial" w:hAnsi="Arial" w:cs="Arial"/>
          <w:noProof/>
        </w:rPr>
        <w:drawing>
          <wp:anchor distT="0" distB="0" distL="114300" distR="114300" simplePos="0" relativeHeight="251676672" behindDoc="0" locked="0" layoutInCell="1" allowOverlap="1" wp14:anchorId="22CDD2C4" wp14:editId="4D1B70C2">
            <wp:simplePos x="0" y="0"/>
            <wp:positionH relativeFrom="column">
              <wp:posOffset>2999384</wp:posOffset>
            </wp:positionH>
            <wp:positionV relativeFrom="paragraph">
              <wp:posOffset>5667047</wp:posOffset>
            </wp:positionV>
            <wp:extent cx="2936875" cy="1788160"/>
            <wp:effectExtent l="0" t="0" r="0" b="0"/>
            <wp:wrapTopAndBottom/>
            <wp:docPr id="1765851441"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51441" name="Gambar 1765851441"/>
                    <pic:cNvPicPr/>
                  </pic:nvPicPr>
                  <pic:blipFill>
                    <a:blip r:embed="rId14">
                      <a:extLst>
                        <a:ext uri="{28A0092B-C50C-407E-A947-70E740481C1C}">
                          <a14:useLocalDpi xmlns:a14="http://schemas.microsoft.com/office/drawing/2010/main" val="0"/>
                        </a:ext>
                      </a:extLst>
                    </a:blip>
                    <a:stretch>
                      <a:fillRect/>
                    </a:stretch>
                  </pic:blipFill>
                  <pic:spPr>
                    <a:xfrm>
                      <a:off x="0" y="0"/>
                      <a:ext cx="2936875" cy="1788160"/>
                    </a:xfrm>
                    <a:prstGeom prst="rect">
                      <a:avLst/>
                    </a:prstGeom>
                  </pic:spPr>
                </pic:pic>
              </a:graphicData>
            </a:graphic>
            <wp14:sizeRelH relativeFrom="page">
              <wp14:pctWidth>0</wp14:pctWidth>
            </wp14:sizeRelH>
            <wp14:sizeRelV relativeFrom="page">
              <wp14:pctHeight>0</wp14:pctHeight>
            </wp14:sizeRelV>
          </wp:anchor>
        </w:drawing>
      </w:r>
      <w:r w:rsidR="004876CE">
        <w:rPr>
          <w:noProof/>
        </w:rPr>
        <w:drawing>
          <wp:anchor distT="0" distB="0" distL="114300" distR="114300" simplePos="0" relativeHeight="251675648" behindDoc="0" locked="0" layoutInCell="1" allowOverlap="1" wp14:anchorId="30C1AE3A" wp14:editId="1145A231">
            <wp:simplePos x="0" y="0"/>
            <wp:positionH relativeFrom="column">
              <wp:posOffset>-57785</wp:posOffset>
            </wp:positionH>
            <wp:positionV relativeFrom="paragraph">
              <wp:posOffset>5542029</wp:posOffset>
            </wp:positionV>
            <wp:extent cx="1841500" cy="2235200"/>
            <wp:effectExtent l="0" t="0" r="0" b="0"/>
            <wp:wrapTopAndBottom/>
            <wp:docPr id="875327606"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27606" name="Gambar 875327606"/>
                    <pic:cNvPicPr/>
                  </pic:nvPicPr>
                  <pic:blipFill>
                    <a:blip r:embed="rId15">
                      <a:extLst>
                        <a:ext uri="{28A0092B-C50C-407E-A947-70E740481C1C}">
                          <a14:useLocalDpi xmlns:a14="http://schemas.microsoft.com/office/drawing/2010/main" val="0"/>
                        </a:ext>
                      </a:extLst>
                    </a:blip>
                    <a:stretch>
                      <a:fillRect/>
                    </a:stretch>
                  </pic:blipFill>
                  <pic:spPr>
                    <a:xfrm>
                      <a:off x="0" y="0"/>
                      <a:ext cx="1841500" cy="2235200"/>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39E42EA3">
          <v:shape id="_x0000_s1030" type="#_x0000_t202" style="position:absolute;left:0;text-align:left;margin-left:-38.3pt;margin-top:367.55pt;width:234.9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" stroked="f">
            <v:textbox style="mso-fit-shape-to-text:t" inset="0,0,0,0">
              <w:txbxContent>
                <w:p w14:paraId="248B991B" w14:textId="77777777" w:rsidR="009E736F" w:rsidRPr="009E736F" w:rsidRDefault="009E736F" w:rsidP="009E736F">
                  <w:pPr>
                    <w:pStyle w:val="Caption"/>
                    <w:jc w:val="center"/>
                    <w:rPr>
                      <w:rFonts w:ascii="Arial" w:hAnsi="Arial" w:cs="Arial"/>
                      <w:b/>
                      <w:bCs/>
                      <w:i w:val="0"/>
                      <w:iCs w:val="0"/>
                      <w:noProof/>
                      <w:color w:val="000000" w:themeColor="text1"/>
                      <w:sz w:val="21"/>
                      <w:szCs w:val="21"/>
                    </w:rPr>
                  </w:pPr>
                  <w:r w:rsidRPr="009E736F">
                    <w:rPr>
                      <w:rFonts w:ascii="Arial" w:hAnsi="Arial" w:cs="Arial"/>
                      <w:b/>
                      <w:bCs/>
                      <w:i w:val="0"/>
                      <w:iCs w:val="0"/>
                      <w:color w:val="000000" w:themeColor="text1"/>
                      <w:sz w:val="20"/>
                      <w:szCs w:val="20"/>
                    </w:rPr>
                    <w:t>Fig. 3. Abdominal CT scan of the second patient revealed a saccular cystic dilatation measuring approximately 1.9 × 2 × 2.5 cm in the proximal common bile duct.</w:t>
                  </w:r>
                </w:p>
              </w:txbxContent>
            </v:textbox>
            <w10:wrap type="topAndBottom"/>
          </v:shape>
        </w:pict>
      </w:r>
      <w:r>
        <w:rPr>
          <w:noProof/>
        </w:rPr>
        <w:pict w14:anchorId="08866531">
          <v:shape id="_x0000_s1029" type="#_x0000_t202" style="position:absolute;left:0;text-align:left;margin-left:234.9pt;margin-top:385.9pt;width:214.2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" stroked="f">
            <v:textbox style="mso-fit-shape-to-text:t" inset="0,0,0,0">
              <w:txbxContent>
                <w:p w14:paraId="597E137F" w14:textId="77777777" w:rsidR="009E736F" w:rsidRPr="009E736F" w:rsidRDefault="009E736F" w:rsidP="009E736F">
                  <w:pPr>
                    <w:pStyle w:val="Caption"/>
                    <w:jc w:val="center"/>
                    <w:rPr>
                      <w:rFonts w:ascii="Arial" w:hAnsi="Arial" w:cs="Arial"/>
                      <w:b/>
                      <w:bCs/>
                      <w:i w:val="0"/>
                      <w:iCs w:val="0"/>
                      <w:noProof/>
                      <w:color w:val="000000" w:themeColor="text1"/>
                      <w:sz w:val="21"/>
                      <w:szCs w:val="21"/>
                    </w:rPr>
                  </w:pPr>
                  <w:r w:rsidRPr="009E736F">
                    <w:rPr>
                      <w:rFonts w:ascii="Arial" w:hAnsi="Arial" w:cs="Arial"/>
                      <w:b/>
                      <w:bCs/>
                      <w:i w:val="0"/>
                      <w:iCs w:val="0"/>
                      <w:color w:val="000000" w:themeColor="text1"/>
                      <w:sz w:val="20"/>
                      <w:szCs w:val="20"/>
                    </w:rPr>
                    <w:t xml:space="preserve">Fig. 4. </w:t>
                  </w:r>
                  <w:proofErr w:type="spellStart"/>
                  <w:r w:rsidRPr="009E736F">
                    <w:rPr>
                      <w:rFonts w:ascii="Arial" w:hAnsi="Arial" w:cs="Arial"/>
                      <w:b/>
                      <w:bCs/>
                      <w:i w:val="0"/>
                      <w:iCs w:val="0"/>
                      <w:color w:val="000000" w:themeColor="text1"/>
                      <w:sz w:val="20"/>
                      <w:szCs w:val="20"/>
                    </w:rPr>
                    <w:t>Intraoperatif</w:t>
                  </w:r>
                  <w:proofErr w:type="spellEnd"/>
                  <w:r w:rsidRPr="009E736F">
                    <w:rPr>
                      <w:rFonts w:ascii="Arial" w:hAnsi="Arial" w:cs="Arial"/>
                      <w:b/>
                      <w:bCs/>
                      <w:i w:val="0"/>
                      <w:iCs w:val="0"/>
                      <w:color w:val="000000" w:themeColor="text1"/>
                      <w:sz w:val="20"/>
                      <w:szCs w:val="20"/>
                    </w:rPr>
                    <w:t xml:space="preserve"> </w:t>
                  </w:r>
                  <w:proofErr w:type="spellStart"/>
                  <w:r w:rsidRPr="009E736F">
                    <w:rPr>
                      <w:rFonts w:ascii="Arial" w:hAnsi="Arial" w:cs="Arial"/>
                      <w:b/>
                      <w:bCs/>
                      <w:i w:val="0"/>
                      <w:iCs w:val="0"/>
                      <w:color w:val="000000" w:themeColor="text1"/>
                      <w:sz w:val="20"/>
                      <w:szCs w:val="20"/>
                    </w:rPr>
                    <w:t>exisi</w:t>
                  </w:r>
                  <w:proofErr w:type="spellEnd"/>
                  <w:r w:rsidRPr="009E736F">
                    <w:rPr>
                      <w:rFonts w:ascii="Arial" w:hAnsi="Arial" w:cs="Arial"/>
                      <w:b/>
                      <w:bCs/>
                      <w:i w:val="0"/>
                      <w:iCs w:val="0"/>
                      <w:color w:val="000000" w:themeColor="text1"/>
                      <w:sz w:val="20"/>
                      <w:szCs w:val="20"/>
                    </w:rPr>
                    <w:t xml:space="preserve"> CC with hepaticojejunostomy reconstruction</w:t>
                  </w:r>
                </w:p>
              </w:txbxContent>
            </v:textbox>
            <w10:wrap type="topAndBottom"/>
          </v:shape>
        </w:pict>
      </w:r>
      <w:r>
        <w:rPr>
          <w:noProof/>
        </w:rPr>
        <w:pict w14:anchorId="6B69C376">
          <v:shape id="Kotak Teks 1" o:spid="_x0000_s1028" type="#_x0000_t202" style="position:absolute;left:0;text-align:left;margin-left:-33.95pt;margin-top:116.2pt;width:229.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" stroked="f">
            <v:textbox style="mso-fit-shape-to-text:t" inset="0,0,0,0">
              <w:txbxContent>
                <w:p w14:paraId="357EB883" w14:textId="77777777" w:rsidR="00332CD5" w:rsidRPr="00047BB4" w:rsidRDefault="00332CD5" w:rsidP="00332CD5">
                  <w:pPr>
                    <w:pStyle w:val="Caption"/>
                    <w:jc w:val="center"/>
                    <w:rPr>
                      <w:rFonts w:ascii="Arial" w:hAnsi="Arial" w:cs="Arial"/>
                      <w:b/>
                      <w:bCs/>
                      <w:i w:val="0"/>
                      <w:iCs w:val="0"/>
                      <w:noProof/>
                      <w:color w:val="000000" w:themeColor="text1"/>
                      <w:sz w:val="21"/>
                      <w:szCs w:val="21"/>
                    </w:rPr>
                  </w:pPr>
                  <w:r w:rsidRPr="00047BB4">
                    <w:rPr>
                      <w:rFonts w:ascii="Arial" w:hAnsi="Arial" w:cs="Arial"/>
                      <w:b/>
                      <w:bCs/>
                      <w:i w:val="0"/>
                      <w:iCs w:val="0"/>
                      <w:color w:val="000000" w:themeColor="text1"/>
                      <w:sz w:val="20"/>
                      <w:szCs w:val="20"/>
                    </w:rPr>
                    <w:t xml:space="preserve">Fig. </w:t>
                  </w:r>
                  <w:r w:rsidR="00AC51EC" w:rsidRPr="00047BB4">
                    <w:rPr>
                      <w:rFonts w:ascii="Arial" w:hAnsi="Arial" w:cs="Arial"/>
                      <w:b/>
                      <w:bCs/>
                      <w:i w:val="0"/>
                      <w:iCs w:val="0"/>
                      <w:color w:val="000000" w:themeColor="text1"/>
                      <w:sz w:val="20"/>
                      <w:szCs w:val="20"/>
                    </w:rPr>
                    <w:t xml:space="preserve">1. </w:t>
                  </w:r>
                  <w:r w:rsidR="009E736F" w:rsidRPr="009E736F">
                    <w:rPr>
                      <w:rFonts w:ascii="Arial" w:hAnsi="Arial" w:cs="Arial"/>
                      <w:b/>
                      <w:bCs/>
                      <w:i w:val="0"/>
                      <w:iCs w:val="0"/>
                      <w:color w:val="000000" w:themeColor="text1"/>
                      <w:sz w:val="20"/>
                      <w:szCs w:val="20"/>
                    </w:rPr>
                    <w:t>Abdominal ultrasound revealed an anechoic cyst measuring approximately 1.6 × 2.1 cm in the biliary tract.</w:t>
                  </w:r>
                </w:p>
              </w:txbxContent>
            </v:textbox>
            <w10:wrap type="topAndBottom"/>
          </v:shape>
        </w:pict>
      </w:r>
      <w:r w:rsidR="004876CE">
        <w:rPr>
          <w:noProof/>
          <w:sz w:val="11"/>
        </w:rPr>
        <w:drawing>
          <wp:anchor distT="0" distB="0" distL="0" distR="0" simplePos="0" relativeHeight="251667456" behindDoc="1" locked="0" layoutInCell="1" allowOverlap="1" wp14:anchorId="5995F50C" wp14:editId="68E6A5D9">
            <wp:simplePos x="0" y="0"/>
            <wp:positionH relativeFrom="page">
              <wp:posOffset>4301490</wp:posOffset>
            </wp:positionH>
            <wp:positionV relativeFrom="paragraph">
              <wp:posOffset>2578623</wp:posOffset>
            </wp:positionV>
            <wp:extent cx="2720698" cy="2240375"/>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2720698" cy="2240375"/>
                    </a:xfrm>
                    <a:prstGeom prst="rect">
                      <a:avLst/>
                    </a:prstGeom>
                  </pic:spPr>
                </pic:pic>
              </a:graphicData>
            </a:graphic>
          </wp:anchor>
        </w:drawing>
      </w:r>
      <w:r>
        <w:rPr>
          <w:noProof/>
        </w:rPr>
        <w:pict w14:anchorId="254113F7">
          <v:shape id="_x0000_s1027" type="#_x0000_t202" style="position:absolute;left:0;text-align:left;margin-left:243.35pt;margin-top:124.1pt;width:196.9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" stroked="f">
            <v:textbox style="mso-fit-shape-to-text:t" inset="0,0,0,0">
              <w:txbxContent>
                <w:p w14:paraId="1C7D0BEA" w14:textId="77777777" w:rsidR="00AC51EC" w:rsidRPr="00AC51EC" w:rsidRDefault="00AC51EC" w:rsidP="00AC51EC">
                  <w:pPr>
                    <w:pStyle w:val="Caption"/>
                    <w:jc w:val="center"/>
                    <w:rPr>
                      <w:rFonts w:ascii="Arial" w:hAnsi="Arial" w:cs="Arial"/>
                      <w:b/>
                      <w:bCs/>
                      <w:noProof/>
                      <w:color w:val="000000" w:themeColor="text1"/>
                      <w:sz w:val="21"/>
                      <w:szCs w:val="21"/>
                    </w:rPr>
                  </w:pPr>
                  <w:r w:rsidRPr="00AC51EC">
                    <w:rPr>
                      <w:rFonts w:ascii="Arial" w:hAnsi="Arial" w:cs="Arial"/>
                      <w:b/>
                      <w:bCs/>
                      <w:color w:val="000000" w:themeColor="text1"/>
                      <w:sz w:val="20"/>
                      <w:szCs w:val="20"/>
                    </w:rPr>
                    <w:t xml:space="preserve">Fig. 2. </w:t>
                  </w:r>
                  <w:r w:rsidR="009E736F" w:rsidRPr="009E736F">
                    <w:rPr>
                      <w:rFonts w:ascii="Arial" w:hAnsi="Arial" w:cs="Arial"/>
                      <w:b/>
                      <w:bCs/>
                      <w:color w:val="000000" w:themeColor="text1"/>
                      <w:sz w:val="20"/>
                      <w:szCs w:val="20"/>
                    </w:rPr>
                    <w:t xml:space="preserve">Contrast-enhanced axial abdominal CT scan of the first patient revealed a saccular cystic dilatation measuring approximately 1.9 × 2 × 2.5 cm in the proximal common bile duct, consistent with </w:t>
                  </w:r>
                  <w:proofErr w:type="spellStart"/>
                  <w:r w:rsidR="009E736F" w:rsidRPr="009E736F">
                    <w:rPr>
                      <w:rFonts w:ascii="Arial" w:hAnsi="Arial" w:cs="Arial"/>
                      <w:b/>
                      <w:bCs/>
                      <w:color w:val="000000" w:themeColor="text1"/>
                      <w:sz w:val="20"/>
                      <w:szCs w:val="20"/>
                    </w:rPr>
                    <w:t>Todani</w:t>
                  </w:r>
                  <w:proofErr w:type="spellEnd"/>
                  <w:r w:rsidR="009E736F" w:rsidRPr="009E736F">
                    <w:rPr>
                      <w:rFonts w:ascii="Arial" w:hAnsi="Arial" w:cs="Arial"/>
                      <w:b/>
                      <w:bCs/>
                      <w:color w:val="000000" w:themeColor="text1"/>
                      <w:sz w:val="20"/>
                      <w:szCs w:val="20"/>
                    </w:rPr>
                    <w:t xml:space="preserve"> type 1b.</w:t>
                  </w:r>
                </w:p>
              </w:txbxContent>
            </v:textbox>
            <w10:wrap type="square"/>
          </v:shape>
        </w:pict>
      </w:r>
      <w:r w:rsidR="004876CE">
        <w:rPr>
          <w:rFonts w:ascii="Arial" w:hAnsi="Arial" w:cs="Arial"/>
          <w:noProof/>
        </w:rPr>
        <w:drawing>
          <wp:anchor distT="0" distB="0" distL="114300" distR="114300" simplePos="0" relativeHeight="251668480" behindDoc="0" locked="0" layoutInCell="1" allowOverlap="1" wp14:anchorId="0CF9B406" wp14:editId="627C0FA3">
            <wp:simplePos x="0" y="0"/>
            <wp:positionH relativeFrom="column">
              <wp:posOffset>-486340</wp:posOffset>
            </wp:positionH>
            <wp:positionV relativeFrom="paragraph">
              <wp:posOffset>2388166</wp:posOffset>
            </wp:positionV>
            <wp:extent cx="2983230" cy="2191385"/>
            <wp:effectExtent l="0" t="0" r="0" b="0"/>
            <wp:wrapTopAndBottom/>
            <wp:docPr id="21283828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8282" name="Gambar 212838282"/>
                    <pic:cNvPicPr/>
                  </pic:nvPicPr>
                  <pic:blipFill>
                    <a:blip r:embed="rId17">
                      <a:extLst>
                        <a:ext uri="{28A0092B-C50C-407E-A947-70E740481C1C}">
                          <a14:useLocalDpi xmlns:a14="http://schemas.microsoft.com/office/drawing/2010/main" val="0"/>
                        </a:ext>
                      </a:extLst>
                    </a:blip>
                    <a:stretch>
                      <a:fillRect/>
                    </a:stretch>
                  </pic:blipFill>
                  <pic:spPr>
                    <a:xfrm>
                      <a:off x="0" y="0"/>
                      <a:ext cx="2983230" cy="2191385"/>
                    </a:xfrm>
                    <a:prstGeom prst="rect">
                      <a:avLst/>
                    </a:prstGeom>
                  </pic:spPr>
                </pic:pic>
              </a:graphicData>
            </a:graphic>
            <wp14:sizeRelH relativeFrom="page">
              <wp14:pctWidth>0</wp14:pctWidth>
            </wp14:sizeRelH>
            <wp14:sizeRelV relativeFrom="page">
              <wp14:pctHeight>0</wp14:pctHeight>
            </wp14:sizeRelV>
          </wp:anchor>
        </w:drawing>
      </w:r>
      <w:r w:rsidR="004876CE">
        <w:rPr>
          <w:rFonts w:ascii="Arial" w:hAnsi="Arial" w:cs="Arial"/>
          <w:noProof/>
        </w:rPr>
        <w:drawing>
          <wp:anchor distT="0" distB="0" distL="114300" distR="114300" simplePos="0" relativeHeight="251661312" behindDoc="0" locked="0" layoutInCell="1" allowOverlap="1" wp14:anchorId="4C70C8AA" wp14:editId="1DCF038B">
            <wp:simplePos x="0" y="0"/>
            <wp:positionH relativeFrom="column">
              <wp:posOffset>3021965</wp:posOffset>
            </wp:positionH>
            <wp:positionV relativeFrom="paragraph">
              <wp:posOffset>-263532</wp:posOffset>
            </wp:positionV>
            <wp:extent cx="2500630" cy="1837055"/>
            <wp:effectExtent l="0" t="0" r="0" b="0"/>
            <wp:wrapSquare wrapText="bothSides"/>
            <wp:docPr id="43972634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26342" name="Gambar 439726342"/>
                    <pic:cNvPicPr/>
                  </pic:nvPicPr>
                  <pic:blipFill>
                    <a:blip r:embed="rId18">
                      <a:extLst>
                        <a:ext uri="{28A0092B-C50C-407E-A947-70E740481C1C}">
                          <a14:useLocalDpi xmlns:a14="http://schemas.microsoft.com/office/drawing/2010/main" val="0"/>
                        </a:ext>
                      </a:extLst>
                    </a:blip>
                    <a:stretch>
                      <a:fillRect/>
                    </a:stretch>
                  </pic:blipFill>
                  <pic:spPr>
                    <a:xfrm>
                      <a:off x="0" y="0"/>
                      <a:ext cx="2500630" cy="1837055"/>
                    </a:xfrm>
                    <a:prstGeom prst="rect">
                      <a:avLst/>
                    </a:prstGeom>
                  </pic:spPr>
                </pic:pic>
              </a:graphicData>
            </a:graphic>
            <wp14:sizeRelH relativeFrom="page">
              <wp14:pctWidth>0</wp14:pctWidth>
            </wp14:sizeRelH>
            <wp14:sizeRelV relativeFrom="page">
              <wp14:pctHeight>0</wp14:pctHeight>
            </wp14:sizeRelV>
          </wp:anchor>
        </w:drawing>
      </w:r>
      <w:r w:rsidR="004876CE">
        <w:rPr>
          <w:noProof/>
        </w:rPr>
        <w:drawing>
          <wp:anchor distT="0" distB="0" distL="114300" distR="114300" simplePos="0" relativeHeight="251658240" behindDoc="1" locked="0" layoutInCell="1" allowOverlap="1" wp14:anchorId="29C7A08C" wp14:editId="6A66E569">
            <wp:simplePos x="0" y="0"/>
            <wp:positionH relativeFrom="column">
              <wp:posOffset>-483053</wp:posOffset>
            </wp:positionH>
            <wp:positionV relativeFrom="paragraph">
              <wp:posOffset>-258877</wp:posOffset>
            </wp:positionV>
            <wp:extent cx="3011805" cy="1645285"/>
            <wp:effectExtent l="0" t="0" r="0" b="0"/>
            <wp:wrapTight wrapText="bothSides">
              <wp:wrapPolygon edited="0">
                <wp:start x="0" y="0"/>
                <wp:lineTo x="0" y="21508"/>
                <wp:lineTo x="21495" y="21508"/>
                <wp:lineTo x="21495" y="0"/>
                <wp:lineTo x="0" y="0"/>
              </wp:wrapPolygon>
            </wp:wrapTight>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11805" cy="1645285"/>
                    </a:xfrm>
                    <a:prstGeom prst="rect">
                      <a:avLst/>
                    </a:prstGeom>
                  </pic:spPr>
                </pic:pic>
              </a:graphicData>
            </a:graphic>
            <wp14:sizeRelH relativeFrom="page">
              <wp14:pctWidth>0</wp14:pctWidth>
            </wp14:sizeRelH>
            <wp14:sizeRelV relativeFrom="page">
              <wp14:pctHeight>0</wp14:pctHeight>
            </wp14:sizeRelV>
          </wp:anchor>
        </w:drawing>
      </w:r>
    </w:p>
    <w:p w14:paraId="2B869D72" w14:textId="77777777" w:rsidR="004876CE" w:rsidRDefault="004876CE" w:rsidP="00F91BED">
      <w:pPr>
        <w:pStyle w:val="Head1"/>
        <w:spacing w:after="0"/>
        <w:jc w:val="both"/>
        <w:rPr>
          <w:rFonts w:ascii="Arial" w:hAnsi="Arial" w:cs="Arial"/>
        </w:rPr>
      </w:pPr>
    </w:p>
    <w:p w14:paraId="6652EFC9" w14:textId="77777777" w:rsidR="004876CE" w:rsidRDefault="004876CE" w:rsidP="00F91BED">
      <w:pPr>
        <w:pStyle w:val="Head1"/>
        <w:spacing w:after="0"/>
        <w:jc w:val="both"/>
        <w:rPr>
          <w:rFonts w:ascii="Arial" w:hAnsi="Arial" w:cs="Arial"/>
        </w:rPr>
        <w:sectPr w:rsidR="004876CE" w:rsidSect="00F91BED">
          <w:type w:val="continuous"/>
          <w:pgSz w:w="12240" w:h="15840"/>
          <w:pgMar w:top="1440" w:right="2016" w:bottom="2016" w:left="2016" w:header="720" w:footer="1123" w:gutter="0"/>
          <w:cols w:num="2" w:space="720"/>
          <w:docGrid w:linePitch="272"/>
        </w:sectPr>
      </w:pPr>
    </w:p>
    <w:p w14:paraId="16C5ECE8" w14:textId="77777777" w:rsidR="00902823" w:rsidRDefault="00000F8F" w:rsidP="00F91BED">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discussion</w:t>
      </w:r>
    </w:p>
    <w:p w14:paraId="421E2F90" w14:textId="77777777" w:rsidR="00332CD5" w:rsidRPr="00E27ECE" w:rsidRDefault="00332CD5" w:rsidP="00F91BED">
      <w:pPr>
        <w:pStyle w:val="BodyText"/>
        <w:spacing w:after="0" w:line="259" w:lineRule="auto"/>
        <w:ind w:firstLine="720"/>
        <w:jc w:val="both"/>
      </w:pPr>
      <w:r>
        <w:t>Choledochal cysts are rare congenital anomalies of the biliary tract, most</w:t>
      </w:r>
      <w:r w:rsidR="009E736F">
        <w:t xml:space="preserve"> </w:t>
      </w:r>
      <w:r>
        <w:t>commonly diagnosed during childhood. The classical triad—abdominal pain, right upper quadrant mass, and jaundice—is present in only a minority of pediatric patients</w:t>
      </w:r>
      <w:r w:rsidR="00E27ECE" w:rsidRPr="00E27ECE">
        <w:rPr>
          <w:vertAlign w:val="superscript"/>
        </w:rPr>
        <w:t>11,12,13</w:t>
      </w:r>
      <w:r w:rsidR="00E27ECE">
        <w:t>.</w:t>
      </w:r>
      <w:r w:rsidRPr="00E27ECE">
        <w:rPr>
          <w:vertAlign w:val="superscript"/>
        </w:rPr>
        <w:t xml:space="preserve"> </w:t>
      </w:r>
      <w:proofErr w:type="spellStart"/>
      <w:r>
        <w:t>Todani</w:t>
      </w:r>
      <w:proofErr w:type="spellEnd"/>
      <w:r>
        <w:t xml:space="preserve"> type I is the most common, and subtype IB, involving segmental saccular dilatation of the common bile duct, is among the rarest</w:t>
      </w:r>
      <w:r w:rsidR="00E27ECE" w:rsidRPr="00E27ECE">
        <w:rPr>
          <w:vertAlign w:val="superscript"/>
        </w:rPr>
        <w:t>14,15</w:t>
      </w:r>
      <w:r w:rsidR="00E27ECE">
        <w:t>.</w:t>
      </w:r>
    </w:p>
    <w:p w14:paraId="1B137265" w14:textId="77777777" w:rsidR="00332CD5" w:rsidRPr="00E27ECE" w:rsidRDefault="00332CD5" w:rsidP="00F91BED">
      <w:pPr>
        <w:pStyle w:val="BodyText"/>
        <w:spacing w:after="0" w:line="259" w:lineRule="auto"/>
        <w:ind w:firstLine="720"/>
        <w:jc w:val="both"/>
      </w:pPr>
      <w:r>
        <w:t xml:space="preserve">In this report, we describe two cases of </w:t>
      </w:r>
      <w:proofErr w:type="spellStart"/>
      <w:r>
        <w:t>Todani</w:t>
      </w:r>
      <w:proofErr w:type="spellEnd"/>
      <w:r>
        <w:t xml:space="preserve"> type IB cysts in 2-year-old children with differing clinical manifestations, highlighting the variability of presentation even in anatomically similar lesions. One patient exhibited jaundice and elevated liver enzymes, while the other presented with steatorrhea and tea-colored urine but normal laboratory results. These differences emphasize the importance of including choledochal cysts in the differential diagnosis of abdominal symptoms in young children</w:t>
      </w:r>
      <w:r w:rsidR="00E27ECE" w:rsidRPr="00E27ECE">
        <w:rPr>
          <w:vertAlign w:val="superscript"/>
        </w:rPr>
        <w:t>2,1</w:t>
      </w:r>
      <w:r w:rsidR="00F10F02">
        <w:rPr>
          <w:vertAlign w:val="superscript"/>
        </w:rPr>
        <w:t>6</w:t>
      </w:r>
      <w:r w:rsidR="00E27ECE" w:rsidRPr="00E27ECE">
        <w:rPr>
          <w:vertAlign w:val="superscript"/>
        </w:rPr>
        <w:t>,18</w:t>
      </w:r>
      <w:r w:rsidR="00E27ECE">
        <w:t>.</w:t>
      </w:r>
    </w:p>
    <w:p w14:paraId="54184051" w14:textId="77777777" w:rsidR="00332CD5" w:rsidRDefault="00332CD5" w:rsidP="00F91BED">
      <w:pPr>
        <w:pStyle w:val="BodyText"/>
        <w:spacing w:after="0" w:line="259" w:lineRule="auto"/>
        <w:ind w:firstLine="720"/>
        <w:jc w:val="both"/>
      </w:pPr>
      <w:r>
        <w:t>Type I cysts are frequently associated with abnormal pancreaticobiliary ductal junctions (APBDJ), allowing pancreatic enzyme reflux into the bile duct and contributing to chronic irritation and cyst formation</w:t>
      </w:r>
      <w:r w:rsidR="00E27ECE" w:rsidRPr="00E27ECE">
        <w:rPr>
          <w:vertAlign w:val="superscript"/>
        </w:rPr>
        <w:t>4</w:t>
      </w:r>
      <w:r>
        <w:t>. Diagnosis relies heavily on imaging. Ultrasound remains the initial modality due to its accessibility and sensitivity (71–97%), while contrast-enhanced CT helps delineate cyst anatomy. MRCP is considered the gold standard due to its non-invasiveness and high diagnostic accuracy (90–100%)</w:t>
      </w:r>
      <w:r w:rsidR="00E27ECE" w:rsidRPr="00F10F02">
        <w:rPr>
          <w:vertAlign w:val="superscript"/>
        </w:rPr>
        <w:t>1</w:t>
      </w:r>
      <w:r w:rsidR="00F10F02" w:rsidRPr="00F10F02">
        <w:rPr>
          <w:vertAlign w:val="superscript"/>
        </w:rPr>
        <w:t>7,19</w:t>
      </w:r>
      <w:r w:rsidR="00F10F02">
        <w:t>.</w:t>
      </w:r>
      <w:r>
        <w:t xml:space="preserve"> ERCP, while </w:t>
      </w:r>
      <w:r>
        <w:t>therapeutic, is less favored due to its invasive nature and associated risks.</w:t>
      </w:r>
    </w:p>
    <w:p w14:paraId="41684309" w14:textId="77777777" w:rsidR="00332CD5" w:rsidRDefault="00332CD5" w:rsidP="00F91BED">
      <w:pPr>
        <w:pStyle w:val="BodyText"/>
        <w:spacing w:after="0" w:line="259" w:lineRule="auto"/>
        <w:ind w:firstLine="720"/>
        <w:jc w:val="both"/>
      </w:pPr>
      <w:r>
        <w:t>Management depends on cyst type and hepatobiliary involvement. Complete excision followed by biliary reconstruction is essential</w:t>
      </w:r>
      <w:r w:rsidR="00F10F02" w:rsidRPr="00F10F02">
        <w:rPr>
          <w:vertAlign w:val="superscript"/>
        </w:rPr>
        <w:t>20</w:t>
      </w:r>
      <w:r>
        <w:t>. For type I cysts, Roux-en-Y hepaticojejunostomy (RYHJ) is widely accepted as the gold standard due to its safety and low complication rate</w:t>
      </w:r>
      <w:r w:rsidR="00F10F02" w:rsidRPr="00F10F02">
        <w:rPr>
          <w:vertAlign w:val="superscript"/>
        </w:rPr>
        <w:t>21,23</w:t>
      </w:r>
      <w:r w:rsidR="00F10F02">
        <w:t>.</w:t>
      </w:r>
      <w:r w:rsidRPr="00F10F02">
        <w:rPr>
          <w:vertAlign w:val="superscript"/>
        </w:rPr>
        <w:t xml:space="preserve"> </w:t>
      </w:r>
      <w:r>
        <w:t>Both of our patients underwent open total cyst excision with RYHJ, with no immediate postoperative complications.</w:t>
      </w:r>
    </w:p>
    <w:p w14:paraId="57E0816A" w14:textId="77777777" w:rsidR="00E053D0" w:rsidRPr="00F10F02" w:rsidRDefault="00332CD5" w:rsidP="00F91BED">
      <w:pPr>
        <w:pStyle w:val="BodyText"/>
        <w:spacing w:after="0" w:line="259" w:lineRule="auto"/>
        <w:ind w:firstLine="720"/>
        <w:jc w:val="both"/>
      </w:pPr>
      <w:r>
        <w:t>Histopathological examination confirmed chronic inflammatory changes without malignancy. Although the risk of malignant transformation after complete excision is low (&lt;1%), it rises significantly with incomplete resection, underscoring the importance of thorough surgical planning</w:t>
      </w:r>
      <w:r w:rsidR="00F10F02" w:rsidRPr="00F10F02">
        <w:rPr>
          <w:vertAlign w:val="superscript"/>
        </w:rPr>
        <w:t>22</w:t>
      </w:r>
      <w:r w:rsidR="00F10F02">
        <w:t>.</w:t>
      </w:r>
      <w:r>
        <w:t xml:space="preserve"> The overall malignancy risk in choledochal anomalies has been reported at 0.7%–6%, with chronic inflammation and cellular regeneration contributing to carcinogenesis</w:t>
      </w:r>
      <w:r w:rsidR="00F10F02" w:rsidRPr="00F10F02">
        <w:rPr>
          <w:vertAlign w:val="superscript"/>
        </w:rPr>
        <w:t>24,25</w:t>
      </w:r>
      <w:r w:rsidR="00F10F02">
        <w:t>.</w:t>
      </w:r>
    </w:p>
    <w:p w14:paraId="5AD1B4D8" w14:textId="77777777" w:rsidR="00790ADA" w:rsidRPr="00FB3A86" w:rsidRDefault="00790ADA" w:rsidP="00F91BED">
      <w:pPr>
        <w:pStyle w:val="Body"/>
        <w:spacing w:after="0"/>
        <w:rPr>
          <w:rFonts w:ascii="Arial" w:hAnsi="Arial" w:cs="Arial"/>
        </w:rPr>
      </w:pPr>
    </w:p>
    <w:p w14:paraId="3A13AD8B" w14:textId="77777777" w:rsidR="00B01FCD" w:rsidRDefault="00000F8F" w:rsidP="00F91BED">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FF576A1" w14:textId="77777777" w:rsidR="00790ADA" w:rsidRPr="00FB3A86" w:rsidRDefault="00790ADA" w:rsidP="00F91BED">
      <w:pPr>
        <w:pStyle w:val="ConcHead"/>
        <w:spacing w:after="0"/>
        <w:jc w:val="both"/>
        <w:rPr>
          <w:rFonts w:ascii="Arial" w:hAnsi="Arial" w:cs="Arial"/>
        </w:rPr>
      </w:pPr>
    </w:p>
    <w:p w14:paraId="26D4BCC1" w14:textId="77777777" w:rsidR="00B01FCD" w:rsidRDefault="00332CD5" w:rsidP="00F91BED">
      <w:pPr>
        <w:pStyle w:val="Body"/>
        <w:spacing w:after="0"/>
        <w:rPr>
          <w:rFonts w:ascii="Arial" w:hAnsi="Arial" w:cs="Arial"/>
        </w:rPr>
      </w:pPr>
      <w:r w:rsidRPr="00332CD5">
        <w:rPr>
          <w:rFonts w:ascii="Arial" w:hAnsi="Arial" w:cs="Arial"/>
        </w:rPr>
        <w:t>Choledochal cyst should be considered as a differential diagnosis in children presenting with abdominal pain. Early detection of this condition is crucial to prevent prolonged symptoms and to avoid delays in necessary surgical intervention. Once the diagnosis is established, timely surgical management is essential to prevent complications. Postoperative histopathological examination also plays a vital role in identifying any potential malignant transformation.</w:t>
      </w:r>
    </w:p>
    <w:p w14:paraId="6CF498A0" w14:textId="7F359AD4" w:rsidR="004876CE" w:rsidRDefault="005F0253" w:rsidP="00F91BED">
      <w:pPr>
        <w:pStyle w:val="NormalWeb"/>
        <w:spacing w:before="0" w:beforeAutospacing="0" w:after="0" w:afterAutospacing="0"/>
        <w:jc w:val="both"/>
        <w:rPr>
          <w:rFonts w:ascii="Arial" w:hAnsi="Arial" w:cs="Arial"/>
          <w:color w:val="000000"/>
          <w:sz w:val="20"/>
          <w:szCs w:val="20"/>
        </w:rPr>
        <w:sectPr w:rsidR="004876CE" w:rsidSect="004876CE">
          <w:type w:val="continuous"/>
          <w:pgSz w:w="12240" w:h="15840"/>
          <w:pgMar w:top="1440" w:right="2016" w:bottom="2016" w:left="2016" w:header="720" w:footer="1123" w:gutter="0"/>
          <w:cols w:num="2" w:space="720"/>
          <w:docGrid w:linePitch="272"/>
        </w:sectPr>
      </w:pPr>
      <w:r w:rsidRPr="001664EF">
        <w:rPr>
          <w:rFonts w:ascii="Arial" w:hAnsi="Arial" w:cs="Arial"/>
          <w:color w:val="000000"/>
          <w:sz w:val="20"/>
          <w:szCs w:val="20"/>
        </w:rPr>
        <w:t xml:space="preserve"> </w:t>
      </w:r>
    </w:p>
    <w:p w14:paraId="7E9021B1" w14:textId="77777777" w:rsidR="004876CE" w:rsidRDefault="005F0253" w:rsidP="00F91BED">
      <w:pPr>
        <w:pStyle w:val="NormalWeb"/>
        <w:spacing w:before="0" w:beforeAutospacing="0" w:after="0" w:afterAutospacing="0"/>
        <w:jc w:val="both"/>
        <w:rPr>
          <w:rFonts w:ascii="Arial" w:hAnsi="Arial" w:cs="Arial"/>
          <w:color w:val="000000"/>
          <w:sz w:val="20"/>
          <w:szCs w:val="20"/>
        </w:rPr>
      </w:pPr>
      <w:r w:rsidRPr="001664EF">
        <w:rPr>
          <w:rFonts w:ascii="Arial" w:hAnsi="Arial" w:cs="Arial"/>
          <w:color w:val="000000"/>
          <w:sz w:val="20"/>
          <w:szCs w:val="20"/>
        </w:rPr>
        <w:t>contributions included</w:t>
      </w:r>
      <w:r w:rsidR="004876CE">
        <w:rPr>
          <w:rFonts w:ascii="Arial" w:hAnsi="Arial" w:cs="Arial"/>
          <w:color w:val="000000"/>
          <w:sz w:val="20"/>
          <w:szCs w:val="20"/>
        </w:rPr>
        <w:t xml:space="preserve"> </w:t>
      </w:r>
      <w:r w:rsidRPr="001664EF">
        <w:rPr>
          <w:rFonts w:ascii="Arial" w:hAnsi="Arial" w:cs="Arial"/>
          <w:color w:val="000000"/>
          <w:sz w:val="20"/>
          <w:szCs w:val="20"/>
        </w:rPr>
        <w:t>detailed documentation of the clinical case</w:t>
      </w:r>
      <w:r w:rsidR="004876CE">
        <w:rPr>
          <w:rFonts w:ascii="Arial" w:hAnsi="Arial" w:cs="Arial"/>
          <w:color w:val="000000"/>
          <w:sz w:val="20"/>
          <w:szCs w:val="20"/>
        </w:rPr>
        <w:t>.</w:t>
      </w:r>
    </w:p>
    <w:p w14:paraId="7A696EF8" w14:textId="77777777" w:rsidR="004876CE" w:rsidRDefault="004876CE" w:rsidP="00F91BED">
      <w:pPr>
        <w:pStyle w:val="NormalWeb"/>
        <w:spacing w:before="0" w:beforeAutospacing="0" w:after="0" w:afterAutospacing="0"/>
        <w:jc w:val="both"/>
        <w:rPr>
          <w:rFonts w:ascii="Arial" w:hAnsi="Arial" w:cs="Arial"/>
          <w:color w:val="000000"/>
          <w:sz w:val="20"/>
          <w:szCs w:val="20"/>
        </w:rPr>
      </w:pPr>
    </w:p>
    <w:p w14:paraId="39D3210C" w14:textId="77777777" w:rsidR="00E27ECE" w:rsidRDefault="00E27ECE" w:rsidP="00F91BED">
      <w:pPr>
        <w:pStyle w:val="ReferHead"/>
        <w:spacing w:after="0"/>
        <w:jc w:val="both"/>
        <w:rPr>
          <w:rFonts w:ascii="Arial" w:hAnsi="Arial" w:cs="Arial"/>
          <w:bCs/>
        </w:rPr>
        <w:sectPr w:rsidR="00E27ECE" w:rsidSect="004876CE">
          <w:type w:val="continuous"/>
          <w:pgSz w:w="12240" w:h="15840"/>
          <w:pgMar w:top="1440" w:right="2016" w:bottom="2016" w:left="2016" w:header="720" w:footer="1123" w:gutter="0"/>
          <w:cols w:num="2" w:space="720"/>
          <w:docGrid w:linePitch="272"/>
        </w:sectPr>
      </w:pPr>
    </w:p>
    <w:p w14:paraId="73A7940F" w14:textId="77777777" w:rsidR="004876CE" w:rsidRDefault="004876CE" w:rsidP="00F91BED">
      <w:pPr>
        <w:pStyle w:val="ReferHead"/>
        <w:spacing w:after="0"/>
        <w:jc w:val="both"/>
        <w:rPr>
          <w:rFonts w:ascii="Arial" w:hAnsi="Arial" w:cs="Arial"/>
          <w:bCs/>
        </w:rPr>
      </w:pPr>
    </w:p>
    <w:p w14:paraId="7EE80752" w14:textId="77777777" w:rsidR="002B685A" w:rsidRDefault="002B685A" w:rsidP="00F91BED">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r w:rsidR="005F0253">
        <w:rPr>
          <w:rFonts w:ascii="Arial" w:hAnsi="Arial" w:cs="Arial"/>
          <w:bCs/>
        </w:rPr>
        <w:t>AND ATHICAL APPROVAL</w:t>
      </w:r>
    </w:p>
    <w:p w14:paraId="63584163" w14:textId="77777777" w:rsidR="00F10219" w:rsidRDefault="00F10219" w:rsidP="00F91BED">
      <w:pPr>
        <w:pStyle w:val="ReferHead"/>
        <w:spacing w:after="0"/>
        <w:jc w:val="both"/>
        <w:rPr>
          <w:rFonts w:ascii="Arial" w:hAnsi="Arial" w:cs="Arial"/>
          <w:bCs/>
        </w:rPr>
      </w:pPr>
    </w:p>
    <w:p w14:paraId="266DC901" w14:textId="77777777" w:rsidR="00F91BED" w:rsidRDefault="00F91BED" w:rsidP="00F91BED">
      <w:pPr>
        <w:pStyle w:val="ReferHead"/>
        <w:spacing w:after="0"/>
        <w:jc w:val="both"/>
        <w:rPr>
          <w:rFonts w:ascii="Arial" w:hAnsi="Arial" w:cs="Arial"/>
        </w:rPr>
        <w:sectPr w:rsidR="00F91BED" w:rsidSect="004876CE">
          <w:type w:val="continuous"/>
          <w:pgSz w:w="12240" w:h="15840"/>
          <w:pgMar w:top="1440" w:right="2016" w:bottom="2016" w:left="2016" w:header="720" w:footer="1123" w:gutter="0"/>
          <w:cols w:num="2" w:space="720"/>
          <w:docGrid w:linePitch="272"/>
        </w:sectPr>
      </w:pPr>
    </w:p>
    <w:p w14:paraId="5CC4FAB6" w14:textId="77777777" w:rsidR="004876CE" w:rsidRDefault="004876CE" w:rsidP="00E27ECE">
      <w:pPr>
        <w:pStyle w:val="ReferHead"/>
        <w:spacing w:after="0"/>
        <w:jc w:val="both"/>
        <w:rPr>
          <w:rFonts w:ascii="Arial" w:hAnsi="Arial" w:cs="Arial"/>
          <w:b w:val="0"/>
          <w:caps w:val="0"/>
          <w:sz w:val="20"/>
        </w:rPr>
      </w:pPr>
    </w:p>
    <w:p w14:paraId="0BD2FFAC" w14:textId="77777777" w:rsidR="00E27ECE" w:rsidRDefault="00E27ECE" w:rsidP="00E27ECE">
      <w:pPr>
        <w:pStyle w:val="ReferHead"/>
        <w:spacing w:after="0"/>
        <w:jc w:val="both"/>
        <w:rPr>
          <w:rFonts w:ascii="Arial" w:hAnsi="Arial" w:cs="Arial"/>
          <w:b w:val="0"/>
          <w:caps w:val="0"/>
          <w:sz w:val="20"/>
        </w:rPr>
      </w:pPr>
      <w:r w:rsidRPr="00335800">
        <w:rPr>
          <w:rFonts w:ascii="Arial" w:hAnsi="Arial" w:cs="Arial"/>
          <w:b w:val="0"/>
          <w:caps w:val="0"/>
          <w:sz w:val="20"/>
        </w:rPr>
        <w:t xml:space="preserve">In accordance with university regulations, participant consent and ethical clearance </w:t>
      </w:r>
      <w:r w:rsidRPr="00335800">
        <w:rPr>
          <w:rFonts w:ascii="Arial" w:hAnsi="Arial" w:cs="Arial"/>
          <w:b w:val="0"/>
          <w:caps w:val="0"/>
          <w:sz w:val="20"/>
        </w:rPr>
        <w:lastRenderedPageBreak/>
        <w:t>have been obtained and are securely retained by the authors.</w:t>
      </w:r>
    </w:p>
    <w:p w14:paraId="38A71E03" w14:textId="77777777" w:rsidR="00E27ECE" w:rsidRPr="00F469F0" w:rsidRDefault="00E27ECE" w:rsidP="00E27ECE">
      <w:pPr>
        <w:pStyle w:val="ReferHead"/>
        <w:spacing w:after="0"/>
        <w:jc w:val="both"/>
        <w:rPr>
          <w:rFonts w:ascii="Arial" w:hAnsi="Arial" w:cs="Arial"/>
          <w:b w:val="0"/>
          <w:caps w:val="0"/>
          <w:sz w:val="20"/>
          <w:u w:val="single"/>
        </w:rPr>
      </w:pPr>
    </w:p>
    <w:p w14:paraId="7E37193A" w14:textId="77777777" w:rsidR="00F91BED" w:rsidRDefault="00F91BED" w:rsidP="00F91BED">
      <w:pPr>
        <w:pStyle w:val="ReferHead"/>
        <w:spacing w:after="0"/>
        <w:jc w:val="both"/>
        <w:rPr>
          <w:rFonts w:ascii="Arial" w:hAnsi="Arial" w:cs="Arial"/>
        </w:rPr>
      </w:pPr>
    </w:p>
    <w:p w14:paraId="22CFB27E" w14:textId="77777777" w:rsidR="004D4277" w:rsidRDefault="00B01FCD" w:rsidP="00F91BED">
      <w:pPr>
        <w:pStyle w:val="ReferHead"/>
        <w:spacing w:after="0"/>
        <w:jc w:val="both"/>
        <w:rPr>
          <w:rFonts w:ascii="Arial" w:hAnsi="Arial" w:cs="Arial"/>
        </w:rPr>
      </w:pPr>
      <w:r w:rsidRPr="00FB3A86">
        <w:rPr>
          <w:rFonts w:ascii="Arial" w:hAnsi="Arial" w:cs="Arial"/>
        </w:rPr>
        <w:t>References</w:t>
      </w:r>
    </w:p>
    <w:p w14:paraId="14FF5F52"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Bin TW, Twayana AR, Sunuwar N, et al. A rare case of choledochal cyst. F1000Research. 2022;11:919. doi:10.12688/f1000research.123930</w:t>
      </w:r>
    </w:p>
    <w:p w14:paraId="23F89493"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Hung MH, Lin LH, Chen DF, Huang CS. Choledochal cysts in infants and children: experiences over a 20-year period at a single institution. Eur J Pediatr. 2011;170(9):1179-85. doi:10.1007/s00431-011-1429-2</w:t>
      </w:r>
    </w:p>
    <w:p w14:paraId="12687F55"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Tigabie W, Tesfay H, Tamrat D, Raya K, Negussie T. Unusual variant of choledochal cyst in a child: a case report. Int J Surg Case Rep. 2020;75:117-21. doi:10.1016/j.ijscr.2020.09.023</w:t>
      </w:r>
    </w:p>
    <w:p w14:paraId="4DE98EA2"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Dira IKPA, Putra IGNS, Karyana IPG, Nesa NNM, Ariyanta KD, Dharmajaya IM. Choledochal cyst (CC) Todani type I in two years old girl: a case report. Intisari Sains Medis. 2023;14(3):1124-9. doi:10.15562/ism.v14i3.1839</w:t>
      </w:r>
    </w:p>
    <w:p w14:paraId="1411C3E2"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Soares KC, Kim Y, Spolverato G, et al. Presentation and clinical outcomes of choledochal cysts in children and adults: a multi-institutional analysis. JAMA Surg. 2015;150(6):577-84. doi:10.1001/jamasurg.2015.0226</w:t>
      </w:r>
    </w:p>
    <w:p w14:paraId="08945F37"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Murphy AJ, Axt JR, Lovvorn HN. Associations between pediatric choledochal cysts, biliary atresia, and congenital cardiac anomalies. J Surg Res.</w:t>
      </w:r>
      <w:r w:rsidR="004876CE">
        <w:rPr>
          <w:rFonts w:ascii="Arial" w:hAnsi="Arial" w:cs="Arial"/>
          <w:sz w:val="20"/>
          <w:szCs w:val="20"/>
        </w:rPr>
        <w:t xml:space="preserve"> </w:t>
      </w:r>
      <w:r w:rsidRPr="00E27ECE">
        <w:rPr>
          <w:rFonts w:ascii="Arial" w:hAnsi="Arial" w:cs="Arial"/>
          <w:sz w:val="20"/>
          <w:szCs w:val="20"/>
        </w:rPr>
        <w:t>2012;177(2):e59-63. doi:10.1016/j.jss.2012.04.018</w:t>
      </w:r>
    </w:p>
    <w:p w14:paraId="3F15779B"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Bhavsar MS, Vora HB, Giriyappa VH. Choledochal cysts: a review</w:t>
      </w:r>
      <w:r>
        <w:rPr>
          <w:rFonts w:ascii="Arial" w:hAnsi="Arial" w:cs="Arial"/>
          <w:sz w:val="20"/>
          <w:szCs w:val="20"/>
        </w:rPr>
        <w:t xml:space="preserve"> </w:t>
      </w:r>
      <w:r w:rsidRPr="00E27ECE">
        <w:rPr>
          <w:rFonts w:ascii="Arial" w:hAnsi="Arial" w:cs="Arial"/>
          <w:sz w:val="20"/>
          <w:szCs w:val="20"/>
        </w:rPr>
        <w:t>of literature. Saudi J Gastroenterol. 2012;18(4):230-6. doi:10.4103/1319-3767.98425</w:t>
      </w:r>
    </w:p>
    <w:p w14:paraId="359A38BF"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 xml:space="preserve">Sapulete EJ, Putra IGNS, Karyana IPG, Nesa NNM, </w:t>
      </w:r>
      <w:r w:rsidRPr="00E27ECE">
        <w:rPr>
          <w:rFonts w:ascii="Arial" w:hAnsi="Arial" w:cs="Arial"/>
          <w:sz w:val="20"/>
          <w:szCs w:val="20"/>
        </w:rPr>
        <w:t>Darmajaya IM, Ariyanta KD. A giant choledochal cyst in 8 years old female. Medicina (B Aires). 2019;50(2):410-4. doi:10.15562/medicina.v50i2.110</w:t>
      </w:r>
    </w:p>
    <w:p w14:paraId="787FBD24"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Yurttutan N, Karakus SC, Koku N, Demirci M, Ucak R. A giant choledochal cyst in infancy: a case report. Korean J Pediatr. 2016;59(5):239-41. doi:10.3345/kjp.2016.59.5.239</w:t>
      </w:r>
    </w:p>
    <w:p w14:paraId="57881266"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Hae KL, Seong JP, Bum HY, A LL, Jong HM, Yun WC. Imaging features of adult choledochal cysts: a pictorial review. Korean J Radiol. 2009;10(1):71-80. doi:10.3348/kjr.2009.10.1.71</w:t>
      </w:r>
    </w:p>
    <w:p w14:paraId="1A36CADE"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Soares KC, Arnaoutakis DJ, Kamel I, et al. Choledochal cysts: presentation, clinical differentiation, and management. J Am Coll Surg. 2014;219(6):1167-80. doi:10.1016/j.jamcollsurg.2014.04.023</w:t>
      </w:r>
    </w:p>
    <w:p w14:paraId="43116B22"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Jung SM, Seo JM, Lee SK. The relationship between biliary amylase and the clinical features of choledochal cysts in pediatric patients. World J Surg. 2012;36(9):2098-103. doi:10.1007/s00268-012-1619-8</w:t>
      </w:r>
    </w:p>
    <w:p w14:paraId="0E47D1F1"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Shah OJ, Shera AH, Zargar SA, et al. Choledochal cysts in children and adults with contrasting profiles: 11-year experience at a tertiary care center in Kashmir. World J Surg. 2009;33(11):2403-11. doi:10.1007/s00268-009-0184-2</w:t>
      </w:r>
    </w:p>
    <w:p w14:paraId="744DD52D"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Todani T, Watanabe Y, Narusue M, Tabuchi K, Okajima K. Congenital bile duct cysts: classification, operative procedures, and review of thirty-seven cases including cancer arising from choledochal cyst. Pediatr Surg. 1977;134:77-80. doi:10.1201/9781003341901-26</w:t>
      </w:r>
    </w:p>
    <w:p w14:paraId="68F81C40"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 xml:space="preserve">Miron A, Popa LG, Toma EA, Calu V, Parvuletu RF, Enciu O. The curious case of the choledochal cyst—revisiting the </w:t>
      </w:r>
      <w:r w:rsidRPr="00E27ECE">
        <w:rPr>
          <w:rFonts w:ascii="Arial" w:hAnsi="Arial" w:cs="Arial"/>
          <w:sz w:val="20"/>
          <w:szCs w:val="20"/>
        </w:rPr>
        <w:lastRenderedPageBreak/>
        <w:t>Todani classification: case report and review of the literature. Diagnostics. 2023;13(6). doi:10.3390/diagnostics13061059</w:t>
      </w:r>
    </w:p>
    <w:p w14:paraId="1160BBAA" w14:textId="77777777" w:rsidR="00E27ECE" w:rsidRPr="00E27ECE" w:rsidRDefault="00F10F02" w:rsidP="00E27ECE">
      <w:pPr>
        <w:pStyle w:val="NormalWeb"/>
        <w:numPr>
          <w:ilvl w:val="0"/>
          <w:numId w:val="34"/>
        </w:numPr>
        <w:jc w:val="both"/>
        <w:rPr>
          <w:rFonts w:ascii="Arial" w:hAnsi="Arial" w:cs="Arial"/>
          <w:sz w:val="20"/>
          <w:szCs w:val="20"/>
        </w:rPr>
      </w:pPr>
      <w:r w:rsidRPr="00E27ECE">
        <w:rPr>
          <w:rFonts w:ascii="Arial" w:hAnsi="Arial" w:cs="Arial"/>
          <w:sz w:val="20"/>
          <w:szCs w:val="20"/>
        </w:rPr>
        <w:t>Badebarin D, Aslanabadi S, Teimouri-Dereshki A, et al. Different clinical presentations of choledochal cyst among infants and older children. Medicine (Baltimore). 2017;96(17):e6679. doi:10.1097/MD.0000000000006679</w:t>
      </w:r>
    </w:p>
    <w:p w14:paraId="470C1843"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Hoilat GJ, John S. Choledochal cyst. In: StatPearls [Internet]. Treasure Island (FL): StatPearls Publishing; 2023.</w:t>
      </w:r>
    </w:p>
    <w:p w14:paraId="360BA253"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Fumino S, Ono S, Kimura O, Deguchi E, Iwai N. Diagnostic impact of computed tomography cholangiography and magnetic resonance cholangiopancreatography on pancreaticobiliary maljunction. J Pediatr Surg. 2011;46(7):1373-8. doi:10.1016/j.jpedsurg.2011.01.026</w:t>
      </w:r>
    </w:p>
    <w:p w14:paraId="775F17C6"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Ohashi T, Wakai T, Kubota M, et al. Risk of subsequent biliary malignancy in patients undergoing cyst excision for congenital choledochal cysts. J Gastroenterol Hepatol. 2013;28(2):243-7.</w:t>
      </w:r>
      <w:r w:rsidR="00F10F02">
        <w:rPr>
          <w:rFonts w:ascii="Arial" w:hAnsi="Arial" w:cs="Arial"/>
          <w:sz w:val="20"/>
          <w:szCs w:val="20"/>
        </w:rPr>
        <w:t xml:space="preserve"> </w:t>
      </w:r>
      <w:r w:rsidRPr="00E27ECE">
        <w:rPr>
          <w:rFonts w:ascii="Arial" w:hAnsi="Arial" w:cs="Arial"/>
          <w:sz w:val="20"/>
          <w:szCs w:val="20"/>
        </w:rPr>
        <w:t>doi:10.1111/j.1440-1746.2012.07260.x</w:t>
      </w:r>
    </w:p>
    <w:p w14:paraId="16200E07"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Khandelwal C, Anand U, Kumar B, Priyadarshi RN. Diagnosis and management of choledochal cysts. Indian J Surg. 2012;74(1):29-34. doi:10.1007/s12262-011-0388-1</w:t>
      </w:r>
    </w:p>
    <w:p w14:paraId="66C6E933"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Narayanan SK, Chen Y, Narasimhan KL, Cohen RC. Hepaticoduodenostomy versus hepaticojejunostomy after resection of choledochal cyst: a systematic review and meta-analysis. J Pediatr Surg. 2013;48(11):2336-42. doi:10.1016/j.jpedsurg.2013.07.020</w:t>
      </w:r>
    </w:p>
    <w:p w14:paraId="77ED2E61"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Watanabe Y, Toki A, Todani T. Bile duct cancer developed after cyst excision for choledochal cyst. J Hepatobiliary Pancreat Surg. 1999;6(3):207-12. doi:10.1007/s005340050108</w:t>
      </w:r>
    </w:p>
    <w:p w14:paraId="61192BCF"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Sharma A, Pandey A, Rawat J, Ahmed I, Wakhlu A, Kureel SN. Conventional and unconventional surgical modalities for choledochal cyst: long-term follow-up. Ann Pediatr Surg. 2011;7(1):16-8. doi:10.1097/01.XPS.0000393093.1853.99</w:t>
      </w:r>
    </w:p>
    <w:p w14:paraId="1DB285AF"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Ten Hove A, de Meijer VE, Hulscher JBF, de Kleine RHJ. Meta-analysis of risk of developing malignancy in congenital choledochal malformation. Br J Surg. 2018;105(5):482-90. doi:10.1002/bjs.10798</w:t>
      </w:r>
    </w:p>
    <w:p w14:paraId="64BF4A1D" w14:textId="77777777" w:rsidR="00E27ECE" w:rsidRPr="00E27ECE" w:rsidRDefault="00E27ECE" w:rsidP="00E27ECE">
      <w:pPr>
        <w:pStyle w:val="NormalWeb"/>
        <w:numPr>
          <w:ilvl w:val="0"/>
          <w:numId w:val="34"/>
        </w:numPr>
        <w:jc w:val="both"/>
        <w:rPr>
          <w:rFonts w:ascii="Arial" w:hAnsi="Arial" w:cs="Arial"/>
          <w:sz w:val="20"/>
          <w:szCs w:val="20"/>
        </w:rPr>
      </w:pPr>
      <w:r w:rsidRPr="00E27ECE">
        <w:rPr>
          <w:rFonts w:ascii="Arial" w:hAnsi="Arial" w:cs="Arial"/>
          <w:sz w:val="20"/>
          <w:szCs w:val="20"/>
        </w:rPr>
        <w:t>Imazu M, Iwai N, Tokiwa K, Shimotake T, Kimura O, Ono S. Factors of biliary carcinogenesis in choledochal cysts. Eur J Pediatr Surg. 2001;11(1):24-7. doi:10.1055/s-2001-12190</w:t>
      </w:r>
    </w:p>
    <w:p w14:paraId="198B1593" w14:textId="77777777" w:rsidR="004876CE" w:rsidRDefault="004876CE" w:rsidP="00F91BED">
      <w:pPr>
        <w:pStyle w:val="ReferHead"/>
        <w:spacing w:after="0"/>
        <w:jc w:val="both"/>
        <w:rPr>
          <w:rFonts w:ascii="Arial" w:hAnsi="Arial" w:cs="Arial"/>
        </w:rPr>
        <w:sectPr w:rsidR="004876CE" w:rsidSect="004876CE">
          <w:type w:val="continuous"/>
          <w:pgSz w:w="12240" w:h="15840"/>
          <w:pgMar w:top="1440" w:right="2016" w:bottom="2016" w:left="2016" w:header="720" w:footer="1123" w:gutter="0"/>
          <w:cols w:num="2" w:space="720"/>
          <w:docGrid w:linePitch="272"/>
        </w:sectPr>
      </w:pPr>
    </w:p>
    <w:p w14:paraId="07C7767B" w14:textId="77777777" w:rsidR="00E27ECE" w:rsidRDefault="00E27ECE" w:rsidP="00F91BED">
      <w:pPr>
        <w:pStyle w:val="ReferHead"/>
        <w:spacing w:after="0"/>
        <w:jc w:val="both"/>
        <w:rPr>
          <w:rFonts w:ascii="Arial" w:hAnsi="Arial" w:cs="Arial"/>
        </w:rPr>
      </w:pPr>
    </w:p>
    <w:p w14:paraId="0A190A81" w14:textId="77777777" w:rsidR="00E27ECE" w:rsidRDefault="00E27ECE" w:rsidP="00F91BED">
      <w:pPr>
        <w:pStyle w:val="ReferHead"/>
        <w:spacing w:after="0"/>
        <w:jc w:val="both"/>
        <w:rPr>
          <w:rFonts w:ascii="Arial" w:hAnsi="Arial" w:cs="Arial"/>
        </w:rPr>
      </w:pPr>
    </w:p>
    <w:p w14:paraId="7DB4A4B7" w14:textId="77777777" w:rsidR="00E27ECE" w:rsidRPr="004B368A" w:rsidRDefault="00E27ECE" w:rsidP="00F91BED">
      <w:pPr>
        <w:pStyle w:val="ReferHead"/>
        <w:spacing w:after="0"/>
        <w:jc w:val="both"/>
        <w:rPr>
          <w:rFonts w:ascii="Arial" w:hAnsi="Arial" w:cs="Arial"/>
        </w:rPr>
        <w:sectPr w:rsidR="00E27ECE" w:rsidRPr="004B368A" w:rsidSect="004876CE">
          <w:type w:val="continuous"/>
          <w:pgSz w:w="12240" w:h="15840"/>
          <w:pgMar w:top="1440" w:right="2016" w:bottom="2016" w:left="2016" w:header="720" w:footer="1123" w:gutter="0"/>
          <w:cols w:space="720"/>
          <w:docGrid w:linePitch="272"/>
        </w:sectPr>
      </w:pPr>
    </w:p>
    <w:p w14:paraId="162006FB" w14:textId="77777777" w:rsidR="003B0C18" w:rsidRPr="00E27ECE" w:rsidRDefault="003B0C18" w:rsidP="00E27ECE">
      <w:pPr>
        <w:pStyle w:val="Appendix"/>
        <w:spacing w:after="0"/>
        <w:jc w:val="both"/>
        <w:rPr>
          <w:rFonts w:ascii="Arial" w:hAnsi="Arial" w:cs="Arial"/>
          <w:b w:val="0"/>
        </w:rPr>
        <w:sectPr w:rsidR="003B0C18" w:rsidRPr="00E27ECE" w:rsidSect="004876CE">
          <w:type w:val="continuous"/>
          <w:pgSz w:w="12240" w:h="15840"/>
          <w:pgMar w:top="720" w:right="720" w:bottom="720" w:left="720" w:header="720" w:footer="720" w:gutter="0"/>
          <w:cols w:space="720"/>
          <w:docGrid w:linePitch="360"/>
        </w:sectPr>
      </w:pPr>
    </w:p>
    <w:p w14:paraId="65B88075" w14:textId="77777777" w:rsidR="00F91BED" w:rsidRPr="00E27ECE" w:rsidRDefault="00F91BED" w:rsidP="00E27ECE">
      <w:pPr>
        <w:tabs>
          <w:tab w:val="left" w:pos="806"/>
        </w:tabs>
        <w:rPr>
          <w:rFonts w:ascii="Arial" w:hAnsi="Arial" w:cs="Arial"/>
          <w:b/>
          <w:color w:val="000000" w:themeColor="text1"/>
        </w:rPr>
        <w:sectPr w:rsidR="00F91BED" w:rsidRPr="00E27ECE" w:rsidSect="004876CE">
          <w:type w:val="continuous"/>
          <w:pgSz w:w="12240" w:h="15840"/>
          <w:pgMar w:top="720" w:right="720" w:bottom="720" w:left="720" w:header="720" w:footer="720" w:gutter="0"/>
          <w:cols w:space="720"/>
          <w:docGrid w:linePitch="360"/>
        </w:sectPr>
      </w:pPr>
    </w:p>
    <w:p w14:paraId="7224E7F6" w14:textId="77777777" w:rsidR="004B368A" w:rsidRPr="00F91BED" w:rsidRDefault="004B368A" w:rsidP="00F91BED">
      <w:pPr>
        <w:pStyle w:val="Appendix"/>
        <w:spacing w:after="0"/>
        <w:jc w:val="both"/>
        <w:rPr>
          <w:rFonts w:ascii="Arial" w:hAnsi="Arial" w:cs="Arial"/>
          <w:b w:val="0"/>
          <w:color w:val="000000" w:themeColor="text1"/>
          <w:sz w:val="20"/>
        </w:rPr>
      </w:pPr>
    </w:p>
    <w:sectPr w:rsidR="004B368A" w:rsidRPr="00F91BED" w:rsidSect="004876C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DA745" w14:textId="77777777" w:rsidR="00AA65ED" w:rsidRDefault="00AA65ED" w:rsidP="00C37E61">
      <w:r>
        <w:separator/>
      </w:r>
    </w:p>
  </w:endnote>
  <w:endnote w:type="continuationSeparator" w:id="0">
    <w:p w14:paraId="63E960F5" w14:textId="77777777" w:rsidR="00AA65ED" w:rsidRDefault="00AA65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E890" w14:textId="77777777" w:rsidR="00833280" w:rsidRDefault="0083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709F"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96B6" w14:textId="77777777" w:rsidR="00833280" w:rsidRDefault="00833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B58CE" w14:textId="77777777" w:rsidR="00AA65ED" w:rsidRDefault="00AA65ED" w:rsidP="00C37E61">
      <w:r>
        <w:separator/>
      </w:r>
    </w:p>
  </w:footnote>
  <w:footnote w:type="continuationSeparator" w:id="0">
    <w:p w14:paraId="09CAD607" w14:textId="77777777" w:rsidR="00AA65ED" w:rsidRDefault="00AA65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674" w14:textId="3AA9D40E" w:rsidR="00833280" w:rsidRDefault="00833280">
    <w:pPr>
      <w:pStyle w:val="Header"/>
    </w:pPr>
    <w:r>
      <w:rPr>
        <w:noProof/>
      </w:rPr>
      <w:pict w14:anchorId="457BD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27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F0090" w14:textId="4E447EC3" w:rsidR="00833280" w:rsidRDefault="00833280">
    <w:pPr>
      <w:pStyle w:val="Header"/>
    </w:pPr>
    <w:r>
      <w:rPr>
        <w:noProof/>
      </w:rPr>
      <w:pict w14:anchorId="38EF4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27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3AE8" w14:textId="6886F24F" w:rsidR="00833280" w:rsidRDefault="00833280">
    <w:pPr>
      <w:pStyle w:val="Header"/>
    </w:pPr>
    <w:r>
      <w:rPr>
        <w:noProof/>
      </w:rPr>
      <w:pict w14:anchorId="3C962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27812"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F5A73"/>
    <w:multiLevelType w:val="hybridMultilevel"/>
    <w:tmpl w:val="B71C48CC"/>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7747BF6"/>
    <w:multiLevelType w:val="hybridMultilevel"/>
    <w:tmpl w:val="C016854C"/>
    <w:lvl w:ilvl="0" w:tplc="59CAFEB0">
      <w:start w:val="1"/>
      <w:numFmt w:val="decimal"/>
      <w:lvlText w:val="%1."/>
      <w:lvlJc w:val="left"/>
      <w:pPr>
        <w:ind w:left="806" w:hanging="641"/>
      </w:pPr>
      <w:rPr>
        <w:rFonts w:ascii="Times New Roman" w:eastAsia="Times New Roman" w:hAnsi="Times New Roman" w:cs="Times New Roman" w:hint="default"/>
        <w:b w:val="0"/>
        <w:bCs w:val="0"/>
        <w:i w:val="0"/>
        <w:iCs w:val="0"/>
        <w:spacing w:val="0"/>
        <w:w w:val="100"/>
        <w:sz w:val="24"/>
        <w:szCs w:val="24"/>
        <w:lang w:val="en-US" w:eastAsia="en-US" w:bidi="ar-SA"/>
      </w:rPr>
    </w:lvl>
    <w:lvl w:ilvl="1" w:tplc="4EE2A334">
      <w:numFmt w:val="bullet"/>
      <w:lvlText w:val="•"/>
      <w:lvlJc w:val="left"/>
      <w:pPr>
        <w:ind w:left="1156" w:hanging="641"/>
      </w:pPr>
      <w:rPr>
        <w:rFonts w:hint="default"/>
        <w:lang w:val="en-US" w:eastAsia="en-US" w:bidi="ar-SA"/>
      </w:rPr>
    </w:lvl>
    <w:lvl w:ilvl="2" w:tplc="8A6A7F68">
      <w:numFmt w:val="bullet"/>
      <w:lvlText w:val="•"/>
      <w:lvlJc w:val="left"/>
      <w:pPr>
        <w:ind w:left="1513" w:hanging="641"/>
      </w:pPr>
      <w:rPr>
        <w:rFonts w:hint="default"/>
        <w:lang w:val="en-US" w:eastAsia="en-US" w:bidi="ar-SA"/>
      </w:rPr>
    </w:lvl>
    <w:lvl w:ilvl="3" w:tplc="5D52837A">
      <w:numFmt w:val="bullet"/>
      <w:lvlText w:val="•"/>
      <w:lvlJc w:val="left"/>
      <w:pPr>
        <w:ind w:left="1870" w:hanging="641"/>
      </w:pPr>
      <w:rPr>
        <w:rFonts w:hint="default"/>
        <w:lang w:val="en-US" w:eastAsia="en-US" w:bidi="ar-SA"/>
      </w:rPr>
    </w:lvl>
    <w:lvl w:ilvl="4" w:tplc="62248D40">
      <w:numFmt w:val="bullet"/>
      <w:lvlText w:val="•"/>
      <w:lvlJc w:val="left"/>
      <w:pPr>
        <w:ind w:left="2227" w:hanging="641"/>
      </w:pPr>
      <w:rPr>
        <w:rFonts w:hint="default"/>
        <w:lang w:val="en-US" w:eastAsia="en-US" w:bidi="ar-SA"/>
      </w:rPr>
    </w:lvl>
    <w:lvl w:ilvl="5" w:tplc="78167302">
      <w:numFmt w:val="bullet"/>
      <w:lvlText w:val="•"/>
      <w:lvlJc w:val="left"/>
      <w:pPr>
        <w:ind w:left="2584" w:hanging="641"/>
      </w:pPr>
      <w:rPr>
        <w:rFonts w:hint="default"/>
        <w:lang w:val="en-US" w:eastAsia="en-US" w:bidi="ar-SA"/>
      </w:rPr>
    </w:lvl>
    <w:lvl w:ilvl="6" w:tplc="B8E4B0BC">
      <w:numFmt w:val="bullet"/>
      <w:lvlText w:val="•"/>
      <w:lvlJc w:val="left"/>
      <w:pPr>
        <w:ind w:left="2941" w:hanging="641"/>
      </w:pPr>
      <w:rPr>
        <w:rFonts w:hint="default"/>
        <w:lang w:val="en-US" w:eastAsia="en-US" w:bidi="ar-SA"/>
      </w:rPr>
    </w:lvl>
    <w:lvl w:ilvl="7" w:tplc="8F424EB6">
      <w:numFmt w:val="bullet"/>
      <w:lvlText w:val="•"/>
      <w:lvlJc w:val="left"/>
      <w:pPr>
        <w:ind w:left="3297" w:hanging="641"/>
      </w:pPr>
      <w:rPr>
        <w:rFonts w:hint="default"/>
        <w:lang w:val="en-US" w:eastAsia="en-US" w:bidi="ar-SA"/>
      </w:rPr>
    </w:lvl>
    <w:lvl w:ilvl="8" w:tplc="1F8A3D3C">
      <w:numFmt w:val="bullet"/>
      <w:lvlText w:val="•"/>
      <w:lvlJc w:val="left"/>
      <w:pPr>
        <w:ind w:left="3654" w:hanging="641"/>
      </w:pPr>
      <w:rPr>
        <w:rFonts w:hint="default"/>
        <w:lang w:val="en-US" w:eastAsia="en-US" w:bidi="ar-SA"/>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E69631A"/>
    <w:multiLevelType w:val="hybridMultilevel"/>
    <w:tmpl w:val="6D00311A"/>
    <w:lvl w:ilvl="0" w:tplc="F45E5662">
      <w:start w:val="1"/>
      <w:numFmt w:val="decimal"/>
      <w:lvlText w:val="%1."/>
      <w:lvlJc w:val="left"/>
      <w:pPr>
        <w:ind w:left="1800" w:hanging="360"/>
      </w:pPr>
      <w:rPr>
        <w:rFonts w:ascii="Arial" w:hAnsi="Arial" w:cs="Arial" w:hint="default"/>
        <w:b/>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790FC5"/>
    <w:multiLevelType w:val="hybridMultilevel"/>
    <w:tmpl w:val="F446DA42"/>
    <w:lvl w:ilvl="0" w:tplc="DD44395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5"/>
  </w:num>
  <w:num w:numId="9">
    <w:abstractNumId w:val="29"/>
  </w:num>
  <w:num w:numId="10">
    <w:abstractNumId w:val="3"/>
  </w:num>
  <w:num w:numId="11">
    <w:abstractNumId w:val="22"/>
  </w:num>
  <w:num w:numId="12">
    <w:abstractNumId w:val="4"/>
  </w:num>
  <w:num w:numId="13">
    <w:abstractNumId w:val="21"/>
  </w:num>
  <w:num w:numId="14">
    <w:abstractNumId w:val="10"/>
  </w:num>
  <w:num w:numId="15">
    <w:abstractNumId w:val="25"/>
  </w:num>
  <w:num w:numId="16">
    <w:abstractNumId w:val="6"/>
  </w:num>
  <w:num w:numId="17">
    <w:abstractNumId w:val="26"/>
  </w:num>
  <w:num w:numId="18">
    <w:abstractNumId w:val="18"/>
  </w:num>
  <w:num w:numId="19">
    <w:abstractNumId w:val="32"/>
  </w:num>
  <w:num w:numId="20">
    <w:abstractNumId w:val="14"/>
  </w:num>
  <w:num w:numId="21">
    <w:abstractNumId w:val="12"/>
  </w:num>
  <w:num w:numId="22">
    <w:abstractNumId w:val="17"/>
  </w:num>
  <w:num w:numId="23">
    <w:abstractNumId w:val="23"/>
  </w:num>
  <w:num w:numId="24">
    <w:abstractNumId w:val="30"/>
  </w:num>
  <w:num w:numId="25">
    <w:abstractNumId w:val="5"/>
  </w:num>
  <w:num w:numId="26">
    <w:abstractNumId w:val="20"/>
  </w:num>
  <w:num w:numId="27">
    <w:abstractNumId w:val="24"/>
  </w:num>
  <w:num w:numId="28">
    <w:abstractNumId w:val="31"/>
  </w:num>
  <w:num w:numId="29">
    <w:abstractNumId w:val="28"/>
  </w:num>
  <w:num w:numId="30">
    <w:abstractNumId w:val="13"/>
  </w:num>
  <w:num w:numId="31">
    <w:abstractNumId w:val="16"/>
  </w:num>
  <w:num w:numId="32">
    <w:abstractNumId w:val="8"/>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A6219"/>
    <w:rsid w:val="00000F8F"/>
    <w:rsid w:val="00030174"/>
    <w:rsid w:val="0004579C"/>
    <w:rsid w:val="00047BB4"/>
    <w:rsid w:val="000A47FA"/>
    <w:rsid w:val="000A65D3"/>
    <w:rsid w:val="000B1E33"/>
    <w:rsid w:val="000D689F"/>
    <w:rsid w:val="000E4A68"/>
    <w:rsid w:val="000E7B7B"/>
    <w:rsid w:val="000E7D62"/>
    <w:rsid w:val="000F5F84"/>
    <w:rsid w:val="000F77ED"/>
    <w:rsid w:val="00103357"/>
    <w:rsid w:val="00123C9F"/>
    <w:rsid w:val="00126190"/>
    <w:rsid w:val="00130F17"/>
    <w:rsid w:val="001320BF"/>
    <w:rsid w:val="00133DA4"/>
    <w:rsid w:val="00163BC4"/>
    <w:rsid w:val="00191062"/>
    <w:rsid w:val="00192B72"/>
    <w:rsid w:val="001A0A6A"/>
    <w:rsid w:val="001A29D8"/>
    <w:rsid w:val="001A5CAA"/>
    <w:rsid w:val="001B0427"/>
    <w:rsid w:val="001B5DF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9C2"/>
    <w:rsid w:val="00296529"/>
    <w:rsid w:val="002A163F"/>
    <w:rsid w:val="002B27FB"/>
    <w:rsid w:val="002B685A"/>
    <w:rsid w:val="002C57D2"/>
    <w:rsid w:val="002D5C1C"/>
    <w:rsid w:val="002E0D56"/>
    <w:rsid w:val="00315186"/>
    <w:rsid w:val="00332CD5"/>
    <w:rsid w:val="0033343E"/>
    <w:rsid w:val="003512C2"/>
    <w:rsid w:val="003617BA"/>
    <w:rsid w:val="00371FB6"/>
    <w:rsid w:val="003763C1"/>
    <w:rsid w:val="00376BBE"/>
    <w:rsid w:val="0039224F"/>
    <w:rsid w:val="003A43A4"/>
    <w:rsid w:val="003A7E18"/>
    <w:rsid w:val="003B0C18"/>
    <w:rsid w:val="003C4C86"/>
    <w:rsid w:val="003C6258"/>
    <w:rsid w:val="003E2904"/>
    <w:rsid w:val="00401927"/>
    <w:rsid w:val="0041027F"/>
    <w:rsid w:val="00412475"/>
    <w:rsid w:val="00423789"/>
    <w:rsid w:val="00440F43"/>
    <w:rsid w:val="00441B6F"/>
    <w:rsid w:val="00446221"/>
    <w:rsid w:val="00450E62"/>
    <w:rsid w:val="004539DB"/>
    <w:rsid w:val="004710CA"/>
    <w:rsid w:val="00471A80"/>
    <w:rsid w:val="004876CE"/>
    <w:rsid w:val="004B368A"/>
    <w:rsid w:val="004D305E"/>
    <w:rsid w:val="004D4277"/>
    <w:rsid w:val="00502516"/>
    <w:rsid w:val="00505F06"/>
    <w:rsid w:val="00506828"/>
    <w:rsid w:val="0053056E"/>
    <w:rsid w:val="00554FDA"/>
    <w:rsid w:val="005A5658"/>
    <w:rsid w:val="005C784C"/>
    <w:rsid w:val="005D17F6"/>
    <w:rsid w:val="005E5539"/>
    <w:rsid w:val="005F0253"/>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12E4"/>
    <w:rsid w:val="006D286F"/>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05A2D"/>
    <w:rsid w:val="0081431A"/>
    <w:rsid w:val="0083216F"/>
    <w:rsid w:val="00833280"/>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1CF0"/>
    <w:rsid w:val="00983040"/>
    <w:rsid w:val="009B3FB9"/>
    <w:rsid w:val="009C2465"/>
    <w:rsid w:val="009D272C"/>
    <w:rsid w:val="009D35A0"/>
    <w:rsid w:val="009D7EB7"/>
    <w:rsid w:val="009E048A"/>
    <w:rsid w:val="009E08E9"/>
    <w:rsid w:val="009E3DB9"/>
    <w:rsid w:val="009E6E35"/>
    <w:rsid w:val="009E736F"/>
    <w:rsid w:val="009F0EDA"/>
    <w:rsid w:val="00A03B96"/>
    <w:rsid w:val="00A05B19"/>
    <w:rsid w:val="00A1134E"/>
    <w:rsid w:val="00A24E7E"/>
    <w:rsid w:val="00A258C3"/>
    <w:rsid w:val="00A347C0"/>
    <w:rsid w:val="00A51431"/>
    <w:rsid w:val="00A539AD"/>
    <w:rsid w:val="00A94063"/>
    <w:rsid w:val="00AA6219"/>
    <w:rsid w:val="00AA65ED"/>
    <w:rsid w:val="00AA74E0"/>
    <w:rsid w:val="00AB703F"/>
    <w:rsid w:val="00AC51EC"/>
    <w:rsid w:val="00AC6BB8"/>
    <w:rsid w:val="00AE008F"/>
    <w:rsid w:val="00B01FCD"/>
    <w:rsid w:val="00B1776C"/>
    <w:rsid w:val="00B42695"/>
    <w:rsid w:val="00B52583"/>
    <w:rsid w:val="00B52896"/>
    <w:rsid w:val="00B95236"/>
    <w:rsid w:val="00B96BD9"/>
    <w:rsid w:val="00BA1B01"/>
    <w:rsid w:val="00BA2641"/>
    <w:rsid w:val="00BB37AA"/>
    <w:rsid w:val="00BC53A0"/>
    <w:rsid w:val="00BE0FCC"/>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698D"/>
    <w:rsid w:val="00CE793C"/>
    <w:rsid w:val="00CF193C"/>
    <w:rsid w:val="00D173F1"/>
    <w:rsid w:val="00D745E7"/>
    <w:rsid w:val="00D74CB0"/>
    <w:rsid w:val="00D8295D"/>
    <w:rsid w:val="00DC2A65"/>
    <w:rsid w:val="00DE15F0"/>
    <w:rsid w:val="00DE5663"/>
    <w:rsid w:val="00DE78AA"/>
    <w:rsid w:val="00E053D0"/>
    <w:rsid w:val="00E11035"/>
    <w:rsid w:val="00E15994"/>
    <w:rsid w:val="00E2792B"/>
    <w:rsid w:val="00E27ECE"/>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0219"/>
    <w:rsid w:val="00F10F02"/>
    <w:rsid w:val="00F17988"/>
    <w:rsid w:val="00F469F0"/>
    <w:rsid w:val="00F53273"/>
    <w:rsid w:val="00F755E4"/>
    <w:rsid w:val="00F77D02"/>
    <w:rsid w:val="00F91BED"/>
    <w:rsid w:val="00FB3A86"/>
    <w:rsid w:val="00FD36C8"/>
    <w:rsid w:val="00FF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CFEEC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32C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6D286F"/>
    <w:pPr>
      <w:spacing w:after="120"/>
    </w:pPr>
  </w:style>
  <w:style w:type="character" w:customStyle="1" w:styleId="BodyTextChar">
    <w:name w:val="Body Text Char"/>
    <w:basedOn w:val="DefaultParagraphFont"/>
    <w:link w:val="BodyText"/>
    <w:rsid w:val="006D286F"/>
    <w:rPr>
      <w:rFonts w:ascii="Helvetica" w:hAnsi="Helvetica"/>
    </w:rPr>
  </w:style>
  <w:style w:type="paragraph" w:styleId="NormalWeb">
    <w:name w:val="Normal (Web)"/>
    <w:basedOn w:val="Normal"/>
    <w:uiPriority w:val="99"/>
    <w:semiHidden/>
    <w:unhideWhenUsed/>
    <w:rsid w:val="005F0253"/>
    <w:pPr>
      <w:spacing w:before="100" w:beforeAutospacing="1" w:after="100" w:afterAutospacing="1"/>
    </w:pPr>
    <w:rPr>
      <w:rFonts w:ascii="Times New Roman" w:hAnsi="Times New Roman"/>
      <w:sz w:val="24"/>
      <w:szCs w:val="24"/>
      <w:lang w:val="id-ID" w:eastAsia="id-ID"/>
    </w:rPr>
  </w:style>
  <w:style w:type="character" w:customStyle="1" w:styleId="Heading2Char">
    <w:name w:val="Heading 2 Char"/>
    <w:basedOn w:val="DefaultParagraphFont"/>
    <w:link w:val="Heading2"/>
    <w:semiHidden/>
    <w:rsid w:val="00332CD5"/>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nhideWhenUsed/>
    <w:qFormat/>
    <w:rsid w:val="00332CD5"/>
    <w:pPr>
      <w:spacing w:after="200"/>
    </w:pPr>
    <w:rPr>
      <w:i/>
      <w:iCs/>
      <w:color w:val="1F497D" w:themeColor="text2"/>
      <w:sz w:val="18"/>
      <w:szCs w:val="18"/>
    </w:rPr>
  </w:style>
  <w:style w:type="paragraph" w:styleId="ListParagraph">
    <w:name w:val="List Paragraph"/>
    <w:basedOn w:val="Normal"/>
    <w:uiPriority w:val="1"/>
    <w:qFormat/>
    <w:rsid w:val="004B368A"/>
    <w:pPr>
      <w:widowControl w:val="0"/>
      <w:autoSpaceDE w:val="0"/>
      <w:autoSpaceDN w:val="0"/>
      <w:spacing w:before="101"/>
      <w:ind w:left="806" w:right="39" w:hanging="641"/>
      <w:jc w:val="both"/>
    </w:pPr>
    <w:rPr>
      <w:rFonts w:ascii="Times New Roman" w:hAnsi="Times New Roman"/>
      <w:sz w:val="22"/>
      <w:szCs w:val="22"/>
    </w:rPr>
  </w:style>
  <w:style w:type="character" w:customStyle="1" w:styleId="ts-alignment-element">
    <w:name w:val="ts-alignment-element"/>
    <w:basedOn w:val="DefaultParagraphFont"/>
    <w:rsid w:val="00133DA4"/>
  </w:style>
  <w:style w:type="character" w:customStyle="1" w:styleId="ts-alignment-element-highlighted">
    <w:name w:val="ts-alignment-element-highlighted"/>
    <w:basedOn w:val="DefaultParagraphFont"/>
    <w:rsid w:val="0013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29912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0543516">
      <w:bodyDiv w:val="1"/>
      <w:marLeft w:val="0"/>
      <w:marRight w:val="0"/>
      <w:marTop w:val="0"/>
      <w:marBottom w:val="0"/>
      <w:divBdr>
        <w:top w:val="none" w:sz="0" w:space="0" w:color="auto"/>
        <w:left w:val="none" w:sz="0" w:space="0" w:color="auto"/>
        <w:bottom w:val="none" w:sz="0" w:space="0" w:color="auto"/>
        <w:right w:val="none" w:sz="0" w:space="0" w:color="auto"/>
      </w:divBdr>
    </w:div>
    <w:div w:id="491485058">
      <w:bodyDiv w:val="1"/>
      <w:marLeft w:val="0"/>
      <w:marRight w:val="0"/>
      <w:marTop w:val="0"/>
      <w:marBottom w:val="0"/>
      <w:divBdr>
        <w:top w:val="none" w:sz="0" w:space="0" w:color="auto"/>
        <w:left w:val="none" w:sz="0" w:space="0" w:color="auto"/>
        <w:bottom w:val="none" w:sz="0" w:space="0" w:color="auto"/>
        <w:right w:val="none" w:sz="0" w:space="0" w:color="auto"/>
      </w:divBdr>
    </w:div>
    <w:div w:id="51970941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8832630">
      <w:bodyDiv w:val="1"/>
      <w:marLeft w:val="0"/>
      <w:marRight w:val="0"/>
      <w:marTop w:val="0"/>
      <w:marBottom w:val="0"/>
      <w:divBdr>
        <w:top w:val="none" w:sz="0" w:space="0" w:color="auto"/>
        <w:left w:val="none" w:sz="0" w:space="0" w:color="auto"/>
        <w:bottom w:val="none" w:sz="0" w:space="0" w:color="auto"/>
        <w:right w:val="none" w:sz="0" w:space="0" w:color="auto"/>
      </w:divBdr>
    </w:div>
    <w:div w:id="1407611478">
      <w:bodyDiv w:val="1"/>
      <w:marLeft w:val="0"/>
      <w:marRight w:val="0"/>
      <w:marTop w:val="0"/>
      <w:marBottom w:val="0"/>
      <w:divBdr>
        <w:top w:val="none" w:sz="0" w:space="0" w:color="auto"/>
        <w:left w:val="none" w:sz="0" w:space="0" w:color="auto"/>
        <w:bottom w:val="none" w:sz="0" w:space="0" w:color="auto"/>
        <w:right w:val="none" w:sz="0" w:space="0" w:color="auto"/>
      </w:divBdr>
    </w:div>
    <w:div w:id="156587045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106635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0343-C72B-48AD-A697-257B400B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193</TotalTime>
  <Pages>6</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13719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2014-10-25T14:34:00Z</dcterms:created>
  <dcterms:modified xsi:type="dcterms:W3CDTF">2025-06-21T09:29:00Z</dcterms:modified>
</cp:coreProperties>
</file>