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49200" w14:textId="77777777" w:rsidR="00E24859" w:rsidRPr="00E24859" w:rsidRDefault="00E24859" w:rsidP="00E24859">
      <w:pPr>
        <w:jc w:val="center"/>
        <w:rPr>
          <w:rFonts w:asciiTheme="majorBidi" w:hAnsiTheme="majorBidi" w:cstheme="majorBidi"/>
          <w:b/>
          <w:bCs/>
          <w:i/>
          <w:iCs/>
          <w:sz w:val="36"/>
          <w:szCs w:val="36"/>
          <w:u w:val="single"/>
          <w:lang w:val="en-US"/>
        </w:rPr>
      </w:pPr>
      <w:r w:rsidRPr="00E24859">
        <w:rPr>
          <w:rFonts w:asciiTheme="majorBidi" w:hAnsiTheme="majorBidi" w:cstheme="majorBidi"/>
          <w:b/>
          <w:bCs/>
          <w:i/>
          <w:iCs/>
          <w:sz w:val="36"/>
          <w:szCs w:val="36"/>
          <w:u w:val="single"/>
          <w:lang w:val="en-US"/>
        </w:rPr>
        <w:t xml:space="preserve">Case report </w:t>
      </w:r>
    </w:p>
    <w:p w14:paraId="1BE58A84" w14:textId="77777777" w:rsidR="00E24859" w:rsidRDefault="00E24859" w:rsidP="00BD4CE7">
      <w:pPr>
        <w:jc w:val="center"/>
        <w:rPr>
          <w:rFonts w:asciiTheme="majorBidi" w:hAnsiTheme="majorBidi" w:cstheme="majorBidi"/>
          <w:b/>
          <w:bCs/>
          <w:sz w:val="36"/>
          <w:szCs w:val="36"/>
          <w:lang w:val="en-US"/>
        </w:rPr>
      </w:pPr>
    </w:p>
    <w:p w14:paraId="1CCD09D2" w14:textId="09E47191" w:rsidR="00BD4CE7" w:rsidRDefault="00BD4CE7" w:rsidP="00BD4CE7">
      <w:pPr>
        <w:jc w:val="center"/>
        <w:rPr>
          <w:rFonts w:asciiTheme="majorBidi" w:hAnsiTheme="majorBidi" w:cstheme="majorBidi"/>
          <w:b/>
          <w:bCs/>
          <w:sz w:val="36"/>
          <w:szCs w:val="36"/>
          <w:lang w:val="en-US"/>
        </w:rPr>
      </w:pPr>
      <w:r w:rsidRPr="00D65D0D">
        <w:rPr>
          <w:rFonts w:asciiTheme="majorBidi" w:hAnsiTheme="majorBidi" w:cstheme="majorBidi"/>
          <w:b/>
          <w:bCs/>
          <w:sz w:val="36"/>
          <w:szCs w:val="36"/>
          <w:lang w:val="en-US"/>
        </w:rPr>
        <w:t>Imaging Features of Mucinous Tubular and Spindle Cell Carcinoma: A Case Report and Review of the Literature</w:t>
      </w:r>
    </w:p>
    <w:p w14:paraId="16F44C15" w14:textId="77777777" w:rsidR="003048D6" w:rsidRPr="00D65D0D" w:rsidRDefault="003048D6" w:rsidP="00BD4CE7">
      <w:pPr>
        <w:jc w:val="center"/>
        <w:rPr>
          <w:rFonts w:asciiTheme="majorBidi" w:hAnsiTheme="majorBidi" w:cstheme="majorBidi"/>
          <w:b/>
          <w:bCs/>
          <w:sz w:val="36"/>
          <w:szCs w:val="36"/>
          <w:lang w:val="en-US"/>
        </w:rPr>
      </w:pPr>
    </w:p>
    <w:p w14:paraId="31EA3A08" w14:textId="77777777" w:rsidR="00160536" w:rsidRPr="000F47F6" w:rsidRDefault="00160536" w:rsidP="00BD4CE7">
      <w:pPr>
        <w:rPr>
          <w:rFonts w:asciiTheme="majorBidi" w:hAnsiTheme="majorBidi" w:cstheme="majorBidi"/>
          <w:b/>
          <w:bCs/>
          <w:sz w:val="36"/>
          <w:szCs w:val="36"/>
          <w:u w:val="single"/>
          <w:lang w:val="en-US"/>
        </w:rPr>
      </w:pPr>
    </w:p>
    <w:p w14:paraId="17C92FEC" w14:textId="01FFA783" w:rsidR="00BD4CE7" w:rsidRPr="003048D6" w:rsidRDefault="00867954" w:rsidP="00BD4CE7">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Abstract:</w:t>
      </w:r>
    </w:p>
    <w:p w14:paraId="7B9D89EF" w14:textId="77777777" w:rsidR="00C34495" w:rsidRPr="00C34495" w:rsidRDefault="00C34495" w:rsidP="00C34495">
      <w:pPr>
        <w:pStyle w:val="NormalWeb"/>
        <w:rPr>
          <w:lang w:val="en-US"/>
        </w:rPr>
      </w:pPr>
      <w:r w:rsidRPr="00C34495">
        <w:rPr>
          <w:rStyle w:val="Strong"/>
          <w:rFonts w:eastAsiaTheme="majorEastAsia"/>
          <w:b w:val="0"/>
          <w:bCs w:val="0"/>
          <w:lang w:val="en-US"/>
        </w:rPr>
        <w:t>Mucinous tubular and spindle cell carcinoma (MTSCC)</w:t>
      </w:r>
      <w:r w:rsidRPr="00C34495">
        <w:rPr>
          <w:lang w:val="en-US"/>
        </w:rPr>
        <w:t xml:space="preserve"> is a rare epithelial renal tumor, first recognized as a distinct subtype of renal cell carcinoma (RCC) in the 2004 WHO classification. It is characterized by </w:t>
      </w:r>
      <w:r w:rsidRPr="00C34495">
        <w:rPr>
          <w:rStyle w:val="Strong"/>
          <w:rFonts w:eastAsiaTheme="majorEastAsia"/>
          <w:b w:val="0"/>
          <w:bCs w:val="0"/>
          <w:lang w:val="en-US"/>
        </w:rPr>
        <w:t>low malignant potential and typically indolent clinical behavior</w:t>
      </w:r>
      <w:r w:rsidRPr="00C34495">
        <w:rPr>
          <w:lang w:val="en-US"/>
        </w:rPr>
        <w:t xml:space="preserve">. Due to its rarity and </w:t>
      </w:r>
      <w:r w:rsidRPr="00C34495">
        <w:rPr>
          <w:rStyle w:val="Strong"/>
          <w:rFonts w:eastAsiaTheme="majorEastAsia"/>
          <w:b w:val="0"/>
          <w:bCs w:val="0"/>
          <w:lang w:val="en-US"/>
        </w:rPr>
        <w:t>overlapping imaging features with other renal tumors</w:t>
      </w:r>
      <w:r w:rsidRPr="00C34495">
        <w:rPr>
          <w:lang w:val="en-US"/>
        </w:rPr>
        <w:t>, accurate preoperative diagnosis remains challenging.</w:t>
      </w:r>
    </w:p>
    <w:p w14:paraId="65C19AF8" w14:textId="77777777" w:rsidR="00C34495" w:rsidRPr="00C34495" w:rsidRDefault="00C34495" w:rsidP="00C34495">
      <w:pPr>
        <w:pStyle w:val="NormalWeb"/>
        <w:rPr>
          <w:lang w:val="en-US"/>
        </w:rPr>
      </w:pPr>
      <w:r w:rsidRPr="00C34495">
        <w:rPr>
          <w:lang w:val="en-US"/>
        </w:rPr>
        <w:t xml:space="preserve">We report the case of a </w:t>
      </w:r>
      <w:r w:rsidRPr="00C34495">
        <w:rPr>
          <w:rStyle w:val="Strong"/>
          <w:rFonts w:eastAsiaTheme="majorEastAsia"/>
          <w:b w:val="0"/>
          <w:bCs w:val="0"/>
          <w:lang w:val="en-US"/>
        </w:rPr>
        <w:t>42-year-old woman presenting with painless, non-clotting gross hematuria</w:t>
      </w:r>
      <w:r w:rsidRPr="00C34495">
        <w:rPr>
          <w:lang w:val="en-US"/>
        </w:rPr>
        <w:t xml:space="preserve"> persisting for four months. Ultrasound revealed a suspicious renal mass, which was further evaluated by </w:t>
      </w:r>
      <w:r w:rsidRPr="00C34495">
        <w:rPr>
          <w:rStyle w:val="Strong"/>
          <w:rFonts w:eastAsiaTheme="majorEastAsia"/>
          <w:b w:val="0"/>
          <w:bCs w:val="0"/>
          <w:lang w:val="en-US"/>
        </w:rPr>
        <w:t>contrast-enhanced CT</w:t>
      </w:r>
      <w:r w:rsidRPr="00C34495">
        <w:rPr>
          <w:lang w:val="en-US"/>
        </w:rPr>
        <w:t xml:space="preserve">, showing a </w:t>
      </w:r>
      <w:r w:rsidRPr="00C34495">
        <w:rPr>
          <w:rStyle w:val="Strong"/>
          <w:rFonts w:eastAsiaTheme="majorEastAsia"/>
          <w:b w:val="0"/>
          <w:bCs w:val="0"/>
          <w:lang w:val="en-US"/>
        </w:rPr>
        <w:t>12 cm heterogeneous lesion</w:t>
      </w:r>
      <w:r w:rsidRPr="00C34495">
        <w:rPr>
          <w:lang w:val="en-US"/>
        </w:rPr>
        <w:t xml:space="preserve"> in the lower pole of the right kidney. The mass demonstrated </w:t>
      </w:r>
      <w:r w:rsidRPr="00C34495">
        <w:rPr>
          <w:rStyle w:val="Strong"/>
          <w:rFonts w:eastAsiaTheme="majorEastAsia"/>
          <w:b w:val="0"/>
          <w:bCs w:val="0"/>
          <w:lang w:val="en-US"/>
        </w:rPr>
        <w:t>areas of hemorrhage and punctate calcifications</w:t>
      </w:r>
      <w:r w:rsidRPr="00C34495">
        <w:rPr>
          <w:lang w:val="en-US"/>
        </w:rPr>
        <w:t xml:space="preserve">, along with </w:t>
      </w:r>
      <w:r w:rsidRPr="00C34495">
        <w:rPr>
          <w:rStyle w:val="Strong"/>
          <w:rFonts w:eastAsiaTheme="majorEastAsia"/>
          <w:b w:val="0"/>
          <w:bCs w:val="0"/>
          <w:lang w:val="en-US"/>
        </w:rPr>
        <w:t>delayed, progressive enhancement</w:t>
      </w:r>
      <w:r w:rsidRPr="00C34495">
        <w:rPr>
          <w:lang w:val="en-US"/>
        </w:rPr>
        <w:t xml:space="preserve">. There was </w:t>
      </w:r>
      <w:r w:rsidRPr="00C34495">
        <w:rPr>
          <w:rStyle w:val="Strong"/>
          <w:rFonts w:eastAsiaTheme="majorEastAsia"/>
          <w:b w:val="0"/>
          <w:bCs w:val="0"/>
          <w:lang w:val="en-US"/>
        </w:rPr>
        <w:t>no evidence of adjacent organ invasion</w:t>
      </w:r>
      <w:r w:rsidRPr="00C34495">
        <w:rPr>
          <w:lang w:val="en-US"/>
        </w:rPr>
        <w:t xml:space="preserve">. Histopathological examination following </w:t>
      </w:r>
      <w:r w:rsidRPr="00C34495">
        <w:rPr>
          <w:rStyle w:val="Strong"/>
          <w:rFonts w:eastAsiaTheme="majorEastAsia"/>
          <w:b w:val="0"/>
          <w:bCs w:val="0"/>
          <w:lang w:val="en-US"/>
        </w:rPr>
        <w:t>right radical nephrectomy confirmed the diagnosis of MTSCC</w:t>
      </w:r>
      <w:r w:rsidRPr="00C34495">
        <w:rPr>
          <w:lang w:val="en-US"/>
        </w:rPr>
        <w:t>.</w:t>
      </w:r>
    </w:p>
    <w:p w14:paraId="4F6313C1" w14:textId="77777777" w:rsidR="00C34495" w:rsidRPr="00C34495" w:rsidRDefault="00C34495" w:rsidP="00C34495">
      <w:pPr>
        <w:pStyle w:val="NormalWeb"/>
        <w:rPr>
          <w:lang w:val="en-US"/>
        </w:rPr>
      </w:pPr>
      <w:r w:rsidRPr="00C34495">
        <w:rPr>
          <w:lang w:val="en-US"/>
        </w:rPr>
        <w:t xml:space="preserve">This case highlights the </w:t>
      </w:r>
      <w:r w:rsidRPr="00C34495">
        <w:rPr>
          <w:rStyle w:val="Strong"/>
          <w:rFonts w:eastAsiaTheme="majorEastAsia"/>
          <w:b w:val="0"/>
          <w:bCs w:val="0"/>
          <w:lang w:val="en-US"/>
        </w:rPr>
        <w:t>key role of imaging in the detection and surgical planning</w:t>
      </w:r>
      <w:r w:rsidRPr="00C34495">
        <w:rPr>
          <w:lang w:val="en-US"/>
        </w:rPr>
        <w:t xml:space="preserve"> of renal masses, although </w:t>
      </w:r>
      <w:r w:rsidRPr="00C34495">
        <w:rPr>
          <w:rStyle w:val="Strong"/>
          <w:rFonts w:eastAsiaTheme="majorEastAsia"/>
          <w:b w:val="0"/>
          <w:bCs w:val="0"/>
          <w:lang w:val="en-US"/>
        </w:rPr>
        <w:t>definitive diagnosis relies on histopathological confirmation</w:t>
      </w:r>
      <w:r w:rsidRPr="00C34495">
        <w:rPr>
          <w:lang w:val="en-US"/>
        </w:rPr>
        <w:t>.</w:t>
      </w:r>
    </w:p>
    <w:p w14:paraId="56BA8DF5" w14:textId="5F55B51F" w:rsidR="00A666F6" w:rsidRDefault="00080411" w:rsidP="00A666F6">
      <w:pPr>
        <w:rPr>
          <w:rFonts w:asciiTheme="majorBidi" w:hAnsiTheme="majorBidi" w:cstheme="majorBidi"/>
          <w:lang w:val="en-US"/>
        </w:rPr>
      </w:pPr>
      <w:r w:rsidRPr="000F47F6">
        <w:rPr>
          <w:rStyle w:val="Strong"/>
          <w:rFonts w:asciiTheme="majorBidi" w:hAnsiTheme="majorBidi" w:cstheme="majorBidi"/>
          <w:lang w:val="en-US"/>
        </w:rPr>
        <w:t>Keywords:</w:t>
      </w:r>
      <w:r w:rsidRPr="000F47F6">
        <w:rPr>
          <w:rFonts w:asciiTheme="majorBidi" w:hAnsiTheme="majorBidi" w:cstheme="majorBidi"/>
          <w:lang w:val="en-US"/>
        </w:rPr>
        <w:t xml:space="preserve"> </w:t>
      </w:r>
      <w:r w:rsidR="00A666F6" w:rsidRPr="00A666F6">
        <w:rPr>
          <w:rFonts w:asciiTheme="majorBidi" w:hAnsiTheme="majorBidi" w:cstheme="majorBidi"/>
          <w:lang w:val="en-US"/>
        </w:rPr>
        <w:t>Mucinous tubular and spindle cell carcinoma, computed tomography, renal mass, low-grade tumor</w:t>
      </w:r>
    </w:p>
    <w:p w14:paraId="7CDEE20F" w14:textId="77777777" w:rsidR="00DE4D74" w:rsidRPr="00A666F6" w:rsidRDefault="00DE4D74" w:rsidP="00A666F6">
      <w:pPr>
        <w:rPr>
          <w:rFonts w:asciiTheme="majorBidi" w:hAnsiTheme="majorBidi" w:cstheme="majorBidi"/>
          <w:lang w:val="en-US"/>
        </w:rPr>
      </w:pPr>
    </w:p>
    <w:p w14:paraId="018DC22B" w14:textId="4DE4D48F" w:rsidR="00080411" w:rsidRPr="003048D6" w:rsidRDefault="00867954" w:rsidP="00A666F6">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Introduction:</w:t>
      </w:r>
    </w:p>
    <w:p w14:paraId="59B1BECD" w14:textId="77777777" w:rsidR="00C34495" w:rsidRPr="00C34495" w:rsidRDefault="00C34495" w:rsidP="00C34495">
      <w:pPr>
        <w:pStyle w:val="NormalWeb"/>
        <w:rPr>
          <w:lang w:val="en-US"/>
        </w:rPr>
      </w:pPr>
      <w:r w:rsidRPr="00C34495">
        <w:rPr>
          <w:rStyle w:val="Strong"/>
          <w:rFonts w:eastAsiaTheme="majorEastAsia"/>
          <w:b w:val="0"/>
          <w:bCs w:val="0"/>
          <w:lang w:val="en-US"/>
        </w:rPr>
        <w:t>Mucinous tubular and spindle cell carcinoma (MTSCC)</w:t>
      </w:r>
      <w:r w:rsidRPr="00C34495">
        <w:rPr>
          <w:lang w:val="en-US"/>
        </w:rPr>
        <w:t xml:space="preserve"> is a rare renal epithelial neoplasm, recognized as a distinct subtype of renal cell carcinoma (RCC) in the </w:t>
      </w:r>
      <w:r w:rsidRPr="00C34495">
        <w:rPr>
          <w:rStyle w:val="Strong"/>
          <w:rFonts w:eastAsiaTheme="majorEastAsia"/>
          <w:b w:val="0"/>
          <w:bCs w:val="0"/>
          <w:lang w:val="en-US"/>
        </w:rPr>
        <w:t>2004 World Health Organization (WHO) classification of urogenital tumors</w:t>
      </w:r>
      <w:r w:rsidRPr="00C34495">
        <w:rPr>
          <w:lang w:val="en-US"/>
        </w:rPr>
        <w:t xml:space="preserve">. It accounts for </w:t>
      </w:r>
      <w:r w:rsidRPr="00C34495">
        <w:rPr>
          <w:rStyle w:val="Strong"/>
          <w:rFonts w:eastAsiaTheme="majorEastAsia"/>
          <w:b w:val="0"/>
          <w:bCs w:val="0"/>
          <w:lang w:val="en-US"/>
        </w:rPr>
        <w:t>less than 1% of all RCCs</w:t>
      </w:r>
      <w:r w:rsidRPr="00C34495">
        <w:rPr>
          <w:lang w:val="en-US"/>
        </w:rPr>
        <w:t xml:space="preserve"> and is typically associated with </w:t>
      </w:r>
      <w:r w:rsidRPr="00C34495">
        <w:rPr>
          <w:rStyle w:val="Strong"/>
          <w:rFonts w:eastAsiaTheme="majorEastAsia"/>
          <w:b w:val="0"/>
          <w:bCs w:val="0"/>
          <w:lang w:val="en-US"/>
        </w:rPr>
        <w:t>indolent behavior, low metastatic potential,</w:t>
      </w:r>
      <w:r w:rsidRPr="00C34495">
        <w:rPr>
          <w:lang w:val="en-US"/>
        </w:rPr>
        <w:t xml:space="preserve"> and a </w:t>
      </w:r>
      <w:r w:rsidRPr="00C34495">
        <w:rPr>
          <w:rStyle w:val="Strong"/>
          <w:rFonts w:eastAsiaTheme="majorEastAsia"/>
          <w:b w:val="0"/>
          <w:bCs w:val="0"/>
          <w:lang w:val="en-US"/>
        </w:rPr>
        <w:t>predilection for middle-aged women</w:t>
      </w:r>
      <w:r w:rsidRPr="00C34495">
        <w:rPr>
          <w:lang w:val="en-US"/>
        </w:rPr>
        <w:t xml:space="preserve">. Clinically, MTSCC is often detected incidentally during imaging studies or may present with </w:t>
      </w:r>
      <w:r w:rsidRPr="00C34495">
        <w:rPr>
          <w:rStyle w:val="Strong"/>
          <w:rFonts w:eastAsiaTheme="majorEastAsia"/>
          <w:b w:val="0"/>
          <w:bCs w:val="0"/>
          <w:lang w:val="en-US"/>
        </w:rPr>
        <w:t>non-specific symptoms such as hematuria or flank pain</w:t>
      </w:r>
      <w:r w:rsidRPr="00C34495">
        <w:rPr>
          <w:lang w:val="en-US"/>
        </w:rPr>
        <w:t>.</w:t>
      </w:r>
    </w:p>
    <w:p w14:paraId="12F19D69" w14:textId="77777777" w:rsidR="00C34495" w:rsidRPr="00C34495" w:rsidRDefault="00C34495" w:rsidP="00C34495">
      <w:pPr>
        <w:pStyle w:val="NormalWeb"/>
        <w:rPr>
          <w:lang w:val="en-US"/>
        </w:rPr>
      </w:pPr>
      <w:r w:rsidRPr="00C34495">
        <w:rPr>
          <w:lang w:val="en-US"/>
        </w:rPr>
        <w:t xml:space="preserve">Imaging—particularly </w:t>
      </w:r>
      <w:r w:rsidRPr="00C34495">
        <w:rPr>
          <w:rStyle w:val="Strong"/>
          <w:rFonts w:eastAsiaTheme="majorEastAsia"/>
          <w:b w:val="0"/>
          <w:bCs w:val="0"/>
          <w:lang w:val="en-US"/>
        </w:rPr>
        <w:t>contrast-enhanced computed tomography (CT)</w:t>
      </w:r>
      <w:r w:rsidRPr="00C34495">
        <w:rPr>
          <w:lang w:val="en-US"/>
        </w:rPr>
        <w:t xml:space="preserve">—plays a central role in the detection and </w:t>
      </w:r>
      <w:r w:rsidRPr="00C34495">
        <w:rPr>
          <w:rStyle w:val="Strong"/>
          <w:rFonts w:eastAsiaTheme="majorEastAsia"/>
          <w:b w:val="0"/>
          <w:bCs w:val="0"/>
          <w:lang w:val="en-US"/>
        </w:rPr>
        <w:t>initial characterization</w:t>
      </w:r>
      <w:r w:rsidRPr="00C34495">
        <w:rPr>
          <w:lang w:val="en-US"/>
        </w:rPr>
        <w:t xml:space="preserve"> of renal masses. However, the imaging findings of MTSCC are </w:t>
      </w:r>
      <w:r w:rsidRPr="00C34495">
        <w:rPr>
          <w:rStyle w:val="Strong"/>
          <w:rFonts w:eastAsiaTheme="majorEastAsia"/>
          <w:b w:val="0"/>
          <w:bCs w:val="0"/>
          <w:lang w:val="en-US"/>
        </w:rPr>
        <w:t xml:space="preserve">non-specific and frequently overlap with those of other hypovascular RCC </w:t>
      </w:r>
      <w:r w:rsidRPr="00C34495">
        <w:rPr>
          <w:rStyle w:val="Strong"/>
          <w:rFonts w:eastAsiaTheme="majorEastAsia"/>
          <w:b w:val="0"/>
          <w:bCs w:val="0"/>
          <w:lang w:val="en-US"/>
        </w:rPr>
        <w:lastRenderedPageBreak/>
        <w:t>subtypes</w:t>
      </w:r>
      <w:r w:rsidRPr="00C34495">
        <w:rPr>
          <w:lang w:val="en-US"/>
        </w:rPr>
        <w:t xml:space="preserve">, such as papillary or chromophobe RCC. Therefore, </w:t>
      </w:r>
      <w:r w:rsidRPr="00C34495">
        <w:rPr>
          <w:rStyle w:val="Strong"/>
          <w:rFonts w:eastAsiaTheme="majorEastAsia"/>
          <w:b w:val="0"/>
          <w:bCs w:val="0"/>
          <w:lang w:val="en-US"/>
        </w:rPr>
        <w:t>histopathological evaluation, supplemented by immunohistochemistry, remains essential for a definitive diagnosis</w:t>
      </w:r>
      <w:r w:rsidRPr="00C34495">
        <w:rPr>
          <w:lang w:val="en-US"/>
        </w:rPr>
        <w:t>.</w:t>
      </w:r>
    </w:p>
    <w:p w14:paraId="5A307DF0" w14:textId="77777777" w:rsidR="00C34495" w:rsidRPr="00C34495" w:rsidRDefault="00C34495" w:rsidP="00C34495">
      <w:pPr>
        <w:pStyle w:val="NormalWeb"/>
        <w:rPr>
          <w:lang w:val="en-US"/>
        </w:rPr>
      </w:pPr>
      <w:r w:rsidRPr="00C34495">
        <w:rPr>
          <w:lang w:val="en-US"/>
        </w:rPr>
        <w:t xml:space="preserve">In this report, we present a rare case of </w:t>
      </w:r>
      <w:r w:rsidRPr="00C34495">
        <w:rPr>
          <w:rStyle w:val="Strong"/>
          <w:rFonts w:eastAsiaTheme="majorEastAsia"/>
          <w:b w:val="0"/>
          <w:bCs w:val="0"/>
          <w:lang w:val="en-US"/>
        </w:rPr>
        <w:t>MTSCC in a 42-year-old woman</w:t>
      </w:r>
      <w:r w:rsidRPr="00C34495">
        <w:rPr>
          <w:lang w:val="en-US"/>
        </w:rPr>
        <w:t xml:space="preserve">, emphasizing its </w:t>
      </w:r>
      <w:r w:rsidRPr="00C34495">
        <w:rPr>
          <w:rStyle w:val="Strong"/>
          <w:rFonts w:eastAsiaTheme="majorEastAsia"/>
          <w:b w:val="0"/>
          <w:bCs w:val="0"/>
          <w:lang w:val="en-US"/>
        </w:rPr>
        <w:t>contrast-enhanced CT features</w:t>
      </w:r>
      <w:r w:rsidRPr="00C34495">
        <w:rPr>
          <w:lang w:val="en-US"/>
        </w:rPr>
        <w:t xml:space="preserve"> and correlating them with histological findings to improve awareness and understanding of this uncommon tumor entity.</w:t>
      </w:r>
    </w:p>
    <w:p w14:paraId="35A4F1F2" w14:textId="77777777" w:rsidR="00A666F6" w:rsidRPr="000F47F6" w:rsidRDefault="00A666F6" w:rsidP="00080411">
      <w:pPr>
        <w:pStyle w:val="NormalWeb"/>
        <w:rPr>
          <w:rFonts w:asciiTheme="majorBidi" w:hAnsiTheme="majorBidi" w:cstheme="majorBidi"/>
          <w:lang w:val="en-US"/>
        </w:rPr>
      </w:pPr>
    </w:p>
    <w:p w14:paraId="554DFF46" w14:textId="7B4CAC24" w:rsidR="00867954" w:rsidRPr="003048D6" w:rsidRDefault="00867954" w:rsidP="00867954">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Case presentation:</w:t>
      </w:r>
    </w:p>
    <w:p w14:paraId="7499D77A" w14:textId="77777777" w:rsidR="00586BEB" w:rsidRPr="00586BEB" w:rsidRDefault="00586BEB" w:rsidP="00586BEB">
      <w:pPr>
        <w:pStyle w:val="NormalWeb"/>
        <w:rPr>
          <w:lang w:val="en-US"/>
        </w:rPr>
      </w:pPr>
      <w:r w:rsidRPr="00586BEB">
        <w:rPr>
          <w:lang w:val="en-US"/>
        </w:rPr>
        <w:t xml:space="preserve">A </w:t>
      </w:r>
      <w:r w:rsidRPr="00586BEB">
        <w:rPr>
          <w:rStyle w:val="Strong"/>
          <w:rFonts w:eastAsiaTheme="majorEastAsia"/>
          <w:b w:val="0"/>
          <w:bCs w:val="0"/>
          <w:lang w:val="en-US"/>
        </w:rPr>
        <w:t>42-year-old woman</w:t>
      </w:r>
      <w:r w:rsidRPr="00586BEB">
        <w:rPr>
          <w:lang w:val="en-US"/>
        </w:rPr>
        <w:t xml:space="preserve"> with no significant medical or family history presented to our department with a </w:t>
      </w:r>
      <w:r w:rsidRPr="00586BEB">
        <w:rPr>
          <w:rStyle w:val="Strong"/>
          <w:rFonts w:eastAsiaTheme="majorEastAsia"/>
          <w:b w:val="0"/>
          <w:bCs w:val="0"/>
          <w:lang w:val="en-US"/>
        </w:rPr>
        <w:t>four-month history of intermittent, painless, gross hematuria without associated clotting</w:t>
      </w:r>
      <w:r w:rsidRPr="00586BEB">
        <w:rPr>
          <w:lang w:val="en-US"/>
        </w:rPr>
        <w:t xml:space="preserve">. She was afebrile and denied systemic symptoms such as weight loss, fatigue, or abdominal pain. </w:t>
      </w:r>
      <w:r w:rsidRPr="00586BEB">
        <w:rPr>
          <w:rStyle w:val="Strong"/>
          <w:rFonts w:eastAsiaTheme="majorEastAsia"/>
          <w:b w:val="0"/>
          <w:bCs w:val="0"/>
          <w:lang w:val="en-US"/>
        </w:rPr>
        <w:t>Physical examination was unremarkable</w:t>
      </w:r>
      <w:r w:rsidRPr="00586BEB">
        <w:rPr>
          <w:lang w:val="en-US"/>
        </w:rPr>
        <w:t xml:space="preserve">, and routine laboratory tests, including </w:t>
      </w:r>
      <w:r w:rsidRPr="00586BEB">
        <w:rPr>
          <w:rStyle w:val="Strong"/>
          <w:rFonts w:eastAsiaTheme="majorEastAsia"/>
          <w:b w:val="0"/>
          <w:bCs w:val="0"/>
          <w:lang w:val="en-US"/>
        </w:rPr>
        <w:t>renal function tests and complete blood count, were within normal limits</w:t>
      </w:r>
      <w:r w:rsidRPr="00586BEB">
        <w:rPr>
          <w:lang w:val="en-US"/>
        </w:rPr>
        <w:t>.</w:t>
      </w:r>
    </w:p>
    <w:p w14:paraId="4CEC6A1E" w14:textId="77777777" w:rsidR="00586BEB" w:rsidRPr="00586BEB" w:rsidRDefault="00586BEB" w:rsidP="00586BEB">
      <w:pPr>
        <w:pStyle w:val="NormalWeb"/>
      </w:pPr>
      <w:r w:rsidRPr="00586BEB">
        <w:rPr>
          <w:rStyle w:val="Strong"/>
          <w:rFonts w:eastAsiaTheme="majorEastAsia"/>
          <w:b w:val="0"/>
          <w:bCs w:val="0"/>
          <w:lang w:val="en-US"/>
        </w:rPr>
        <w:t>Initial abdominal ultrasound revealed a heterogeneous solid mass</w:t>
      </w:r>
      <w:r w:rsidRPr="00586BEB">
        <w:rPr>
          <w:lang w:val="en-US"/>
        </w:rPr>
        <w:t xml:space="preserve"> located in the lower pole of the right kidney. A subsequent </w:t>
      </w:r>
      <w:r w:rsidRPr="00586BEB">
        <w:rPr>
          <w:rStyle w:val="Strong"/>
          <w:rFonts w:eastAsiaTheme="majorEastAsia"/>
          <w:b w:val="0"/>
          <w:bCs w:val="0"/>
          <w:lang w:val="en-US"/>
        </w:rPr>
        <w:t>contrast-enhanced thoraco-abdominopelvic CT scan</w:t>
      </w:r>
      <w:r w:rsidRPr="00586BEB">
        <w:rPr>
          <w:lang w:val="en-US"/>
        </w:rPr>
        <w:t xml:space="preserve"> demonstrated a </w:t>
      </w:r>
      <w:r w:rsidRPr="00586BEB">
        <w:rPr>
          <w:rStyle w:val="Strong"/>
          <w:rFonts w:eastAsiaTheme="majorEastAsia"/>
          <w:b w:val="0"/>
          <w:bCs w:val="0"/>
          <w:lang w:val="en-US"/>
        </w:rPr>
        <w:t>well-circumscribed soft tissue mass measuring 12 cm at its largest diameter</w:t>
      </w:r>
      <w:r w:rsidRPr="00586BEB">
        <w:rPr>
          <w:lang w:val="en-US"/>
        </w:rPr>
        <w:t xml:space="preserve">. The mass was heterogeneous, with </w:t>
      </w:r>
      <w:r w:rsidRPr="00586BEB">
        <w:rPr>
          <w:rStyle w:val="Strong"/>
          <w:rFonts w:eastAsiaTheme="majorEastAsia"/>
          <w:b w:val="0"/>
          <w:bCs w:val="0"/>
          <w:lang w:val="en-US"/>
        </w:rPr>
        <w:t>areas of spontaneous hyperdensity suggestive of intratumoral hemorrhage</w:t>
      </w:r>
      <w:r w:rsidRPr="00586BEB">
        <w:rPr>
          <w:lang w:val="en-US"/>
        </w:rPr>
        <w:t xml:space="preserve">, as well as </w:t>
      </w:r>
      <w:r w:rsidRPr="00586BEB">
        <w:rPr>
          <w:rStyle w:val="Strong"/>
          <w:rFonts w:eastAsiaTheme="majorEastAsia"/>
          <w:b w:val="0"/>
          <w:bCs w:val="0"/>
          <w:lang w:val="en-US"/>
        </w:rPr>
        <w:t>punctate calcifications</w:t>
      </w:r>
      <w:r w:rsidRPr="00586BEB">
        <w:rPr>
          <w:lang w:val="en-US"/>
        </w:rPr>
        <w:t xml:space="preserve"> (</w:t>
      </w:r>
      <w:r w:rsidRPr="00586BEB">
        <w:rPr>
          <w:rStyle w:val="Strong"/>
          <w:rFonts w:eastAsiaTheme="majorEastAsia"/>
          <w:b w:val="0"/>
          <w:bCs w:val="0"/>
          <w:lang w:val="en-US"/>
        </w:rPr>
        <w:t>Figure 1</w:t>
      </w:r>
      <w:r w:rsidRPr="00586BEB">
        <w:rPr>
          <w:lang w:val="en-US"/>
        </w:rPr>
        <w:t xml:space="preserve">). Post-contrast images revealed </w:t>
      </w:r>
      <w:r w:rsidRPr="00586BEB">
        <w:rPr>
          <w:rStyle w:val="Strong"/>
          <w:rFonts w:eastAsiaTheme="majorEastAsia"/>
          <w:b w:val="0"/>
          <w:bCs w:val="0"/>
          <w:lang w:val="en-US"/>
        </w:rPr>
        <w:t>moderate, progressive, and heterogeneous enhancement, peaking in the delayed phase</w:t>
      </w:r>
      <w:r w:rsidRPr="00586BEB">
        <w:rPr>
          <w:lang w:val="en-US"/>
        </w:rPr>
        <w:t xml:space="preserve"> (</w:t>
      </w:r>
      <w:r w:rsidRPr="00586BEB">
        <w:rPr>
          <w:rStyle w:val="Strong"/>
          <w:rFonts w:eastAsiaTheme="majorEastAsia"/>
          <w:b w:val="0"/>
          <w:bCs w:val="0"/>
          <w:lang w:val="en-US"/>
        </w:rPr>
        <w:t>Figure 2</w:t>
      </w:r>
      <w:r w:rsidRPr="00586BEB">
        <w:rPr>
          <w:lang w:val="en-US"/>
        </w:rPr>
        <w:t xml:space="preserve">). The lesion was in close contact with the duodenum, pancreas, liver, and gallbladder, with </w:t>
      </w:r>
      <w:r w:rsidRPr="00586BEB">
        <w:rPr>
          <w:rStyle w:val="Strong"/>
          <w:rFonts w:eastAsiaTheme="majorEastAsia"/>
          <w:b w:val="0"/>
          <w:bCs w:val="0"/>
          <w:lang w:val="en-US"/>
        </w:rPr>
        <w:t>obliteration of the surrounding fat planes but no clear signs of invasion</w:t>
      </w:r>
      <w:r w:rsidRPr="00586BEB">
        <w:rPr>
          <w:lang w:val="en-US"/>
        </w:rPr>
        <w:t xml:space="preserve">. </w:t>
      </w:r>
      <w:r w:rsidRPr="00586BEB">
        <w:t>No regional lymphadenopathy or distant metastases were detected.</w:t>
      </w:r>
    </w:p>
    <w:p w14:paraId="1E86BC6F" w14:textId="77777777" w:rsidR="00C765E5" w:rsidRDefault="00C765E5" w:rsidP="00554AB6">
      <w:pPr>
        <w:pStyle w:val="NormalWeb"/>
        <w:rPr>
          <w:rFonts w:asciiTheme="majorBidi" w:hAnsiTheme="majorBidi" w:cstheme="majorBidi"/>
          <w:lang w:val="en-US"/>
        </w:rPr>
      </w:pPr>
    </w:p>
    <w:p w14:paraId="06D2C6F2" w14:textId="77777777" w:rsidR="00C765E5" w:rsidRDefault="00C765E5" w:rsidP="00554AB6">
      <w:pPr>
        <w:pStyle w:val="NormalWeb"/>
        <w:rPr>
          <w:rFonts w:asciiTheme="majorBidi" w:hAnsiTheme="majorBidi" w:cstheme="majorBidi"/>
          <w:lang w:val="en-US"/>
        </w:rPr>
      </w:pPr>
    </w:p>
    <w:p w14:paraId="739C8F17" w14:textId="77777777" w:rsidR="00C765E5" w:rsidRDefault="00C765E5" w:rsidP="00554AB6">
      <w:pPr>
        <w:pStyle w:val="NormalWeb"/>
        <w:rPr>
          <w:rFonts w:asciiTheme="majorBidi" w:hAnsiTheme="majorBidi" w:cstheme="majorBidi"/>
          <w:lang w:val="en-US"/>
        </w:rPr>
      </w:pPr>
    </w:p>
    <w:p w14:paraId="6C3C5F7E" w14:textId="77777777" w:rsidR="00C765E5" w:rsidRDefault="00C765E5" w:rsidP="00554AB6">
      <w:pPr>
        <w:pStyle w:val="NormalWeb"/>
        <w:rPr>
          <w:rFonts w:asciiTheme="majorBidi" w:hAnsiTheme="majorBidi" w:cstheme="majorBidi"/>
          <w:lang w:val="en-US"/>
        </w:rPr>
      </w:pPr>
    </w:p>
    <w:p w14:paraId="1BEDE83A" w14:textId="7B61602B" w:rsidR="00C765E5" w:rsidRDefault="00C22668" w:rsidP="00C765E5">
      <w:pPr>
        <w:pStyle w:val="NormalWeb"/>
        <w:jc w:val="center"/>
        <w:rPr>
          <w:rFonts w:asciiTheme="majorBidi" w:hAnsiTheme="majorBidi" w:cstheme="majorBidi"/>
          <w:lang w:val="en-US"/>
        </w:rPr>
      </w:pPr>
      <w:r>
        <w:rPr>
          <w:noProof/>
        </w:rPr>
        <w:lastRenderedPageBreak/>
        <mc:AlternateContent>
          <mc:Choice Requires="wps">
            <w:drawing>
              <wp:anchor distT="0" distB="0" distL="114300" distR="114300" simplePos="0" relativeHeight="251659264" behindDoc="0" locked="0" layoutInCell="1" allowOverlap="1" wp14:anchorId="61B34B4E" wp14:editId="03D36581">
                <wp:simplePos x="0" y="0"/>
                <wp:positionH relativeFrom="column">
                  <wp:posOffset>875665</wp:posOffset>
                </wp:positionH>
                <wp:positionV relativeFrom="paragraph">
                  <wp:posOffset>1911985</wp:posOffset>
                </wp:positionV>
                <wp:extent cx="447869" cy="447869"/>
                <wp:effectExtent l="19050" t="38100" r="47625" b="28575"/>
                <wp:wrapNone/>
                <wp:docPr id="4" name="Connecteur droit avec flèche 3">
                  <a:extLst xmlns:a="http://schemas.openxmlformats.org/drawingml/2006/main">
                    <a:ext uri="{FF2B5EF4-FFF2-40B4-BE49-F238E27FC236}">
                      <a16:creationId xmlns:a16="http://schemas.microsoft.com/office/drawing/2014/main" id="{86800EA4-8613-DB9D-50A0-93F4E64D4733}"/>
                    </a:ext>
                  </a:extLst>
                </wp:docPr>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05F0963" id="_x0000_t32" coordsize="21600,21600" o:spt="32" o:oned="t" path="m,l21600,21600e" filled="f">
                <v:path arrowok="t" fillok="f" o:connecttype="none"/>
                <o:lock v:ext="edit" shapetype="t"/>
              </v:shapetype>
              <v:shape id="Connecteur droit avec flèche 3" o:spid="_x0000_s1026" type="#_x0000_t32" style="position:absolute;margin-left:68.95pt;margin-top:150.55pt;width:35.25pt;height:35.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" strokecolor="white [3212]" strokeweight="3pt">
                <v:stroke endarrow="block" joinstyle="miter"/>
              </v:shape>
            </w:pict>
          </mc:Fallback>
        </mc:AlternateContent>
      </w:r>
      <w:r w:rsidR="00C765E5">
        <w:rPr>
          <w:noProof/>
        </w:rPr>
        <w:drawing>
          <wp:inline distT="0" distB="0" distL="0" distR="0" wp14:anchorId="24E7EA37" wp14:editId="610F45B7">
            <wp:extent cx="5306346" cy="3947160"/>
            <wp:effectExtent l="0" t="0" r="8890" b="0"/>
            <wp:docPr id="5" name="Espace réservé du contenu 4">
              <a:extLst xmlns:a="http://schemas.openxmlformats.org/drawingml/2006/main">
                <a:ext uri="{FF2B5EF4-FFF2-40B4-BE49-F238E27FC236}">
                  <a16:creationId xmlns:a16="http://schemas.microsoft.com/office/drawing/2014/main" id="{225B8538-26A7-5DB1-2EEE-C51EDAD9F3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225B8538-26A7-5DB1-2EEE-C51EDAD9F349}"/>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36866" cy="3969862"/>
                    </a:xfrm>
                    <a:prstGeom prst="rect">
                      <a:avLst/>
                    </a:prstGeom>
                  </pic:spPr>
                </pic:pic>
              </a:graphicData>
            </a:graphic>
          </wp:inline>
        </w:drawing>
      </w:r>
    </w:p>
    <w:p w14:paraId="4E111505" w14:textId="77777777" w:rsidR="00586BEB" w:rsidRDefault="00C22668" w:rsidP="00586BEB">
      <w:pPr>
        <w:pStyle w:val="NormalWeb"/>
        <w:jc w:val="center"/>
        <w:rPr>
          <w:b/>
          <w:bCs/>
          <w:sz w:val="28"/>
          <w:szCs w:val="28"/>
          <w:u w:val="single"/>
          <w:lang w:val="en-US"/>
        </w:rPr>
      </w:pPr>
      <w:r w:rsidRPr="00C22668">
        <w:rPr>
          <w:rFonts w:asciiTheme="majorBidi" w:hAnsiTheme="majorBidi" w:cstheme="majorBidi"/>
          <w:b/>
          <w:bCs/>
          <w:sz w:val="28"/>
          <w:szCs w:val="28"/>
          <w:u w:val="single"/>
          <w:lang w:val="en-US"/>
        </w:rPr>
        <w:t xml:space="preserve">Figure 1: </w:t>
      </w:r>
      <w:r w:rsidR="00586BEB" w:rsidRPr="00586BEB">
        <w:rPr>
          <w:b/>
          <w:bCs/>
          <w:sz w:val="28"/>
          <w:szCs w:val="28"/>
          <w:u w:val="single"/>
          <w:lang w:val="en-US"/>
        </w:rPr>
        <w:t>Non-contrast-enhanced abdominal CT showing a heterogeneous right renal mass with a spontaneous attenuation of approximately 40 Hounsfield Units (HU) and punctate calcifications.</w:t>
      </w:r>
    </w:p>
    <w:p w14:paraId="25BCE1AA" w14:textId="11824801" w:rsidR="00C22668" w:rsidRPr="00C22668" w:rsidRDefault="00D631C0" w:rsidP="00586BEB">
      <w:pPr>
        <w:pStyle w:val="NormalWeb"/>
        <w:jc w:val="center"/>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71552" behindDoc="0" locked="0" layoutInCell="1" allowOverlap="1" wp14:anchorId="265A8AB3" wp14:editId="4627F520">
                <wp:simplePos x="0" y="0"/>
                <wp:positionH relativeFrom="column">
                  <wp:posOffset>944245</wp:posOffset>
                </wp:positionH>
                <wp:positionV relativeFrom="paragraph">
                  <wp:posOffset>2178685</wp:posOffset>
                </wp:positionV>
                <wp:extent cx="447869" cy="447869"/>
                <wp:effectExtent l="19050" t="38100" r="47625" b="28575"/>
                <wp:wrapNone/>
                <wp:docPr id="860724839"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67DF6B99" id="Connecteur droit avec flèche 3" o:spid="_x0000_s1026" type="#_x0000_t32" style="position:absolute;margin-left:74.35pt;margin-top:171.55pt;width:35.25pt;height:35.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" strokecolor="window" strokeweight="3pt">
                <v:stroke endarrow="block" joinstyle="miter"/>
              </v:shape>
            </w:pict>
          </mc:Fallback>
        </mc:AlternateContent>
      </w:r>
      <w:r w:rsidR="00C93A71">
        <w:rPr>
          <w:noProof/>
        </w:rPr>
        <mc:AlternateContent>
          <mc:Choice Requires="wps">
            <w:drawing>
              <wp:anchor distT="0" distB="0" distL="114300" distR="114300" simplePos="0" relativeHeight="251661312" behindDoc="0" locked="0" layoutInCell="1" allowOverlap="1" wp14:anchorId="5491A7AB" wp14:editId="791348A8">
                <wp:simplePos x="0" y="0"/>
                <wp:positionH relativeFrom="column">
                  <wp:posOffset>5059045</wp:posOffset>
                </wp:positionH>
                <wp:positionV relativeFrom="paragraph">
                  <wp:posOffset>3677285</wp:posOffset>
                </wp:positionV>
                <wp:extent cx="434340" cy="317500"/>
                <wp:effectExtent l="0" t="0" r="22860" b="25400"/>
                <wp:wrapNone/>
                <wp:docPr id="6" name="Rectangle 5">
                  <a:extLst xmlns:a="http://schemas.openxmlformats.org/drawingml/2006/main">
                    <a:ext uri="{FF2B5EF4-FFF2-40B4-BE49-F238E27FC236}">
                      <a16:creationId xmlns:a16="http://schemas.microsoft.com/office/drawing/2014/main" id="{45FB88C2-B58B-12B4-DA55-06DF0E35BDC8}"/>
                    </a:ext>
                  </a:extLst>
                </wp:docPr>
                <wp:cNvGraphicFramePr/>
                <a:graphic xmlns:a="http://schemas.openxmlformats.org/drawingml/2006/main">
                  <a:graphicData uri="http://schemas.microsoft.com/office/word/2010/wordprocessingShape">
                    <wps:wsp>
                      <wps:cNvSpPr/>
                      <wps:spPr>
                        <a:xfrm>
                          <a:off x="0" y="0"/>
                          <a:ext cx="434340" cy="317500"/>
                        </a:xfrm>
                        <a:prstGeom prst="rect">
                          <a:avLst/>
                        </a:prstGeom>
                      </wps:spPr>
                      <wps:style>
                        <a:lnRef idx="2">
                          <a:schemeClr val="dk1"/>
                        </a:lnRef>
                        <a:fillRef idx="1">
                          <a:schemeClr val="lt1"/>
                        </a:fillRef>
                        <a:effectRef idx="0">
                          <a:schemeClr val="dk1"/>
                        </a:effectRef>
                        <a:fontRef idx="minor">
                          <a:schemeClr val="dk1"/>
                        </a:fontRef>
                      </wps:style>
                      <wps:txbx>
                        <w:txbxContent>
                          <w:p w14:paraId="626EEEDA" w14:textId="7FC4FBAD" w:rsidR="00C93A71" w:rsidRPr="00C93A71" w:rsidRDefault="00C93A71" w:rsidP="00C93A71">
                            <w:pPr>
                              <w:jc w:val="center"/>
                              <w:rPr>
                                <w:b/>
                                <w:bCs/>
                                <w:lang w:val="en-US"/>
                              </w:rPr>
                            </w:pPr>
                            <w:r w:rsidRPr="00C93A71">
                              <w:rPr>
                                <w:b/>
                                <w:bCs/>
                                <w:lang w:val="en-US"/>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91A7AB" id="Rectangle 5" o:spid="_x0000_s1026" style="position:absolute;left:0;text-align:left;margin-left:398.35pt;margin-top:289.55pt;width:34.2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" fillcolor="white [3201]" strokecolor="black [3200]" strokeweight="1pt">
                <v:textbox>
                  <w:txbxContent>
                    <w:p w14:paraId="626EEEDA" w14:textId="7FC4FBAD" w:rsidR="00C93A71" w:rsidRPr="00C93A71" w:rsidRDefault="00C93A71" w:rsidP="00C93A71">
                      <w:pPr>
                        <w:jc w:val="center"/>
                        <w:rPr>
                          <w:b/>
                          <w:bCs/>
                          <w:lang w:val="en-US"/>
                        </w:rPr>
                      </w:pPr>
                      <w:r w:rsidRPr="00C93A71">
                        <w:rPr>
                          <w:b/>
                          <w:bCs/>
                          <w:lang w:val="en-US"/>
                        </w:rPr>
                        <w:t>A</w:t>
                      </w:r>
                    </w:p>
                  </w:txbxContent>
                </v:textbox>
              </v:rect>
            </w:pict>
          </mc:Fallback>
        </mc:AlternateContent>
      </w:r>
      <w:r w:rsidR="00C22668">
        <w:rPr>
          <w:noProof/>
        </w:rPr>
        <w:drawing>
          <wp:inline distT="0" distB="0" distL="0" distR="0" wp14:anchorId="5B78E81C" wp14:editId="7DC12529">
            <wp:extent cx="5244560" cy="4008120"/>
            <wp:effectExtent l="0" t="0" r="0" b="0"/>
            <wp:docPr id="19" name="Image 18">
              <a:extLst xmlns:a="http://schemas.openxmlformats.org/drawingml/2006/main">
                <a:ext uri="{FF2B5EF4-FFF2-40B4-BE49-F238E27FC236}">
                  <a16:creationId xmlns:a16="http://schemas.microsoft.com/office/drawing/2014/main" id="{450C543F-63C4-71F1-D23F-5401E4C26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450C543F-63C4-71F1-D23F-5401E4C26FB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07551" cy="4056261"/>
                    </a:xfrm>
                    <a:prstGeom prst="rect">
                      <a:avLst/>
                    </a:prstGeom>
                  </pic:spPr>
                </pic:pic>
              </a:graphicData>
            </a:graphic>
          </wp:inline>
        </w:drawing>
      </w:r>
    </w:p>
    <w:p w14:paraId="4BFFC3EE" w14:textId="25AB0B69" w:rsidR="00C765E5" w:rsidRDefault="00C765E5" w:rsidP="00554AB6">
      <w:pPr>
        <w:pStyle w:val="NormalWeb"/>
        <w:rPr>
          <w:rFonts w:asciiTheme="majorBidi" w:hAnsiTheme="majorBidi" w:cstheme="majorBidi"/>
          <w:lang w:val="en-US"/>
        </w:rPr>
      </w:pPr>
    </w:p>
    <w:p w14:paraId="2E78A3B8" w14:textId="0A222152" w:rsidR="00C765E5" w:rsidRDefault="00D631C0" w:rsidP="00C93A71">
      <w:pPr>
        <w:pStyle w:val="NormalWeb"/>
        <w:jc w:val="center"/>
        <w:rPr>
          <w:rFonts w:asciiTheme="majorBidi" w:hAnsiTheme="majorBidi" w:cstheme="majorBidi"/>
          <w:lang w:val="en-US"/>
        </w:rPr>
      </w:pPr>
      <w:r>
        <w:rPr>
          <w:noProof/>
        </w:rPr>
        <mc:AlternateContent>
          <mc:Choice Requires="wps">
            <w:drawing>
              <wp:anchor distT="0" distB="0" distL="114300" distR="114300" simplePos="0" relativeHeight="251669504" behindDoc="0" locked="0" layoutInCell="1" allowOverlap="1" wp14:anchorId="087238D9" wp14:editId="70BE917C">
                <wp:simplePos x="0" y="0"/>
                <wp:positionH relativeFrom="column">
                  <wp:posOffset>799465</wp:posOffset>
                </wp:positionH>
                <wp:positionV relativeFrom="paragraph">
                  <wp:posOffset>1952625</wp:posOffset>
                </wp:positionV>
                <wp:extent cx="447869" cy="447869"/>
                <wp:effectExtent l="19050" t="38100" r="47625" b="28575"/>
                <wp:wrapNone/>
                <wp:docPr id="526994905"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628150EF" id="Connecteur droit avec flèche 3" o:spid="_x0000_s1026" type="#_x0000_t32" style="position:absolute;margin-left:62.95pt;margin-top:153.75pt;width:35.25pt;height:35.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" strokecolor="window" strokeweight="3pt">
                <v:stroke endarrow="block" joinstyle="miter"/>
              </v:shape>
            </w:pict>
          </mc:Fallback>
        </mc:AlternateContent>
      </w:r>
      <w:r w:rsidR="00C93A71">
        <w:rPr>
          <w:noProof/>
        </w:rPr>
        <mc:AlternateContent>
          <mc:Choice Requires="wps">
            <w:drawing>
              <wp:anchor distT="0" distB="0" distL="114300" distR="114300" simplePos="0" relativeHeight="251663360" behindDoc="0" locked="0" layoutInCell="1" allowOverlap="1" wp14:anchorId="00A264CA" wp14:editId="4A5E3223">
                <wp:simplePos x="0" y="0"/>
                <wp:positionH relativeFrom="column">
                  <wp:posOffset>4982845</wp:posOffset>
                </wp:positionH>
                <wp:positionV relativeFrom="paragraph">
                  <wp:posOffset>3288665</wp:posOffset>
                </wp:positionV>
                <wp:extent cx="434340" cy="317500"/>
                <wp:effectExtent l="0" t="0" r="22860" b="25400"/>
                <wp:wrapNone/>
                <wp:docPr id="1259826488"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B52546" w14:textId="188F5547" w:rsidR="00C93A71" w:rsidRPr="00C93A71" w:rsidRDefault="00C93A71" w:rsidP="00C93A71">
                            <w:pPr>
                              <w:jc w:val="center"/>
                              <w:rPr>
                                <w:b/>
                                <w:bCs/>
                                <w:lang w:val="en-US"/>
                              </w:rPr>
                            </w:pPr>
                            <w:r>
                              <w:rPr>
                                <w:b/>
                                <w:bCs/>
                                <w:lang w:val="en-US"/>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A264CA" id="_x0000_s1027" style="position:absolute;left:0;text-align:left;margin-left:392.35pt;margin-top:258.95pt;width:34.2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" fillcolor="window" strokecolor="windowText" strokeweight="1pt">
                <v:textbox>
                  <w:txbxContent>
                    <w:p w14:paraId="4AB52546" w14:textId="188F5547" w:rsidR="00C93A71" w:rsidRPr="00C93A71" w:rsidRDefault="00C93A71" w:rsidP="00C93A71">
                      <w:pPr>
                        <w:jc w:val="center"/>
                        <w:rPr>
                          <w:b/>
                          <w:bCs/>
                          <w:lang w:val="en-US"/>
                        </w:rPr>
                      </w:pPr>
                      <w:r>
                        <w:rPr>
                          <w:b/>
                          <w:bCs/>
                          <w:lang w:val="en-US"/>
                        </w:rPr>
                        <w:t>B</w:t>
                      </w:r>
                    </w:p>
                  </w:txbxContent>
                </v:textbox>
              </v:rect>
            </w:pict>
          </mc:Fallback>
        </mc:AlternateContent>
      </w:r>
      <w:r w:rsidR="00C22668">
        <w:rPr>
          <w:noProof/>
        </w:rPr>
        <w:drawing>
          <wp:inline distT="0" distB="0" distL="0" distR="0" wp14:anchorId="39802651" wp14:editId="3F5B8B81">
            <wp:extent cx="5097780" cy="3623047"/>
            <wp:effectExtent l="0" t="0" r="7620" b="0"/>
            <wp:docPr id="17" name="Image 16">
              <a:extLst xmlns:a="http://schemas.openxmlformats.org/drawingml/2006/main">
                <a:ext uri="{FF2B5EF4-FFF2-40B4-BE49-F238E27FC236}">
                  <a16:creationId xmlns:a16="http://schemas.microsoft.com/office/drawing/2014/main" id="{0119DD12-7267-5653-9CAD-009A3C10C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0119DD12-7267-5653-9CAD-009A3C10C23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5089" cy="3642456"/>
                    </a:xfrm>
                    <a:prstGeom prst="rect">
                      <a:avLst/>
                    </a:prstGeom>
                  </pic:spPr>
                </pic:pic>
              </a:graphicData>
            </a:graphic>
          </wp:inline>
        </w:drawing>
      </w:r>
    </w:p>
    <w:p w14:paraId="111A00FA" w14:textId="5430A889" w:rsidR="00C93A71" w:rsidRDefault="00D631C0" w:rsidP="00C93A71">
      <w:pPr>
        <w:pStyle w:val="NormalWeb"/>
        <w:jc w:val="center"/>
        <w:rPr>
          <w:rFonts w:asciiTheme="majorBidi" w:hAnsiTheme="majorBidi" w:cstheme="majorBidi"/>
          <w:lang w:val="en-US"/>
        </w:rPr>
      </w:pPr>
      <w:r>
        <w:rPr>
          <w:noProof/>
        </w:rPr>
        <w:lastRenderedPageBreak/>
        <mc:AlternateContent>
          <mc:Choice Requires="wps">
            <w:drawing>
              <wp:anchor distT="0" distB="0" distL="114300" distR="114300" simplePos="0" relativeHeight="251673600" behindDoc="0" locked="0" layoutInCell="1" allowOverlap="1" wp14:anchorId="392F26C2" wp14:editId="13DD558D">
                <wp:simplePos x="0" y="0"/>
                <wp:positionH relativeFrom="column">
                  <wp:posOffset>1149985</wp:posOffset>
                </wp:positionH>
                <wp:positionV relativeFrom="paragraph">
                  <wp:posOffset>1759585</wp:posOffset>
                </wp:positionV>
                <wp:extent cx="447869" cy="447869"/>
                <wp:effectExtent l="19050" t="38100" r="47625" b="28575"/>
                <wp:wrapNone/>
                <wp:docPr id="1597181174" name="Connecteur droit avec flèche 3"/>
                <wp:cNvGraphicFramePr/>
                <a:graphic xmlns:a="http://schemas.openxmlformats.org/drawingml/2006/main">
                  <a:graphicData uri="http://schemas.microsoft.com/office/word/2010/wordprocessingShape">
                    <wps:wsp>
                      <wps:cNvCnPr/>
                      <wps:spPr>
                        <a:xfrm flipV="1">
                          <a:off x="0" y="0"/>
                          <a:ext cx="447869" cy="447869"/>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1D18A371" id="Connecteur droit avec flèche 3" o:spid="_x0000_s1026" type="#_x0000_t32" style="position:absolute;margin-left:90.55pt;margin-top:138.55pt;width:35.25pt;height:35.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" strokecolor="window" strokeweight="3pt">
                <v:stroke endarrow="block" joinstyle="miter"/>
              </v:shape>
            </w:pict>
          </mc:Fallback>
        </mc:AlternateContent>
      </w:r>
      <w:r w:rsidR="00C93A71">
        <w:rPr>
          <w:noProof/>
        </w:rPr>
        <mc:AlternateContent>
          <mc:Choice Requires="wps">
            <w:drawing>
              <wp:anchor distT="0" distB="0" distL="114300" distR="114300" simplePos="0" relativeHeight="251665408" behindDoc="0" locked="0" layoutInCell="1" allowOverlap="1" wp14:anchorId="77F87833" wp14:editId="25535733">
                <wp:simplePos x="0" y="0"/>
                <wp:positionH relativeFrom="column">
                  <wp:posOffset>5003165</wp:posOffset>
                </wp:positionH>
                <wp:positionV relativeFrom="paragraph">
                  <wp:posOffset>3201670</wp:posOffset>
                </wp:positionV>
                <wp:extent cx="434340" cy="317500"/>
                <wp:effectExtent l="0" t="0" r="22860" b="25400"/>
                <wp:wrapNone/>
                <wp:docPr id="2000024665" name="Rectangle 5"/>
                <wp:cNvGraphicFramePr/>
                <a:graphic xmlns:a="http://schemas.openxmlformats.org/drawingml/2006/main">
                  <a:graphicData uri="http://schemas.microsoft.com/office/word/2010/wordprocessingShape">
                    <wps:wsp>
                      <wps:cNvSpPr/>
                      <wps:spPr>
                        <a:xfrm>
                          <a:off x="0" y="0"/>
                          <a:ext cx="43434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6BEA7C" w14:textId="4B66A105" w:rsidR="00C93A71" w:rsidRPr="00C93A71" w:rsidRDefault="00C93A71" w:rsidP="00C93A71">
                            <w:pPr>
                              <w:jc w:val="center"/>
                              <w:rPr>
                                <w:b/>
                                <w:bCs/>
                                <w:lang w:val="en-US"/>
                              </w:rPr>
                            </w:pPr>
                            <w:r>
                              <w:rPr>
                                <w:b/>
                                <w:bCs/>
                                <w:lang w:val="en-US"/>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F87833" id="_x0000_s1028" style="position:absolute;left:0;text-align:left;margin-left:393.95pt;margin-top:252.1pt;width:34.2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" fillcolor="window" strokecolor="windowText" strokeweight="1pt">
                <v:textbox>
                  <w:txbxContent>
                    <w:p w14:paraId="196BEA7C" w14:textId="4B66A105" w:rsidR="00C93A71" w:rsidRPr="00C93A71" w:rsidRDefault="00C93A71" w:rsidP="00C93A71">
                      <w:pPr>
                        <w:jc w:val="center"/>
                        <w:rPr>
                          <w:b/>
                          <w:bCs/>
                          <w:lang w:val="en-US"/>
                        </w:rPr>
                      </w:pPr>
                      <w:r>
                        <w:rPr>
                          <w:b/>
                          <w:bCs/>
                          <w:lang w:val="en-US"/>
                        </w:rPr>
                        <w:t>C</w:t>
                      </w:r>
                    </w:p>
                  </w:txbxContent>
                </v:textbox>
              </v:rect>
            </w:pict>
          </mc:Fallback>
        </mc:AlternateContent>
      </w:r>
      <w:r w:rsidR="00C93A71">
        <w:rPr>
          <w:noProof/>
        </w:rPr>
        <w:drawing>
          <wp:inline distT="0" distB="0" distL="0" distR="0" wp14:anchorId="74D0EAE7" wp14:editId="127FCBDD">
            <wp:extent cx="5110959" cy="3520440"/>
            <wp:effectExtent l="0" t="0" r="0" b="3810"/>
            <wp:docPr id="23" name="Image 22">
              <a:extLst xmlns:a="http://schemas.openxmlformats.org/drawingml/2006/main">
                <a:ext uri="{FF2B5EF4-FFF2-40B4-BE49-F238E27FC236}">
                  <a16:creationId xmlns:a16="http://schemas.microsoft.com/office/drawing/2014/main" id="{5CDF94F1-567F-5C7D-9911-71C9F10A3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5CDF94F1-567F-5C7D-9911-71C9F10A3F1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9501" cy="3526324"/>
                    </a:xfrm>
                    <a:prstGeom prst="rect">
                      <a:avLst/>
                    </a:prstGeom>
                  </pic:spPr>
                </pic:pic>
              </a:graphicData>
            </a:graphic>
          </wp:inline>
        </w:drawing>
      </w:r>
    </w:p>
    <w:p w14:paraId="4DA1D6E8" w14:textId="063D83FC" w:rsidR="00D631C0" w:rsidRPr="00AA6C64" w:rsidRDefault="00D631C0" w:rsidP="00586BEB">
      <w:pPr>
        <w:pStyle w:val="NormalWeb"/>
        <w:jc w:val="center"/>
        <w:rPr>
          <w:rFonts w:asciiTheme="majorBidi" w:hAnsiTheme="majorBidi" w:cstheme="majorBidi"/>
          <w:b/>
          <w:bCs/>
          <w:sz w:val="28"/>
          <w:szCs w:val="28"/>
          <w:u w:val="single"/>
          <w:lang w:val="en-US"/>
        </w:rPr>
      </w:pPr>
      <w:r w:rsidRPr="00AA6C64">
        <w:rPr>
          <w:rFonts w:asciiTheme="majorBidi" w:hAnsiTheme="majorBidi" w:cstheme="majorBidi"/>
          <w:b/>
          <w:bCs/>
          <w:sz w:val="28"/>
          <w:szCs w:val="28"/>
          <w:u w:val="single"/>
          <w:lang w:val="en-US"/>
        </w:rPr>
        <w:t xml:space="preserve">Figures 2 : </w:t>
      </w:r>
      <w:r w:rsidR="00586BEB" w:rsidRPr="00AA6C64">
        <w:rPr>
          <w:rFonts w:asciiTheme="majorBidi" w:hAnsiTheme="majorBidi" w:cstheme="majorBidi"/>
          <w:b/>
          <w:bCs/>
          <w:sz w:val="28"/>
          <w:szCs w:val="28"/>
          <w:u w:val="single"/>
          <w:lang w:val="en-US"/>
        </w:rPr>
        <w:t>Contrast-enhanced abdominal CT demonstrating a 12 cm heterogeneous, hypovascular right renal mass with arterial phase attenuation of 60 HU (A), nephrographic phase of 70 HU (B), and delayed phase of 85 HU (C).</w:t>
      </w:r>
    </w:p>
    <w:p w14:paraId="430382EF" w14:textId="77777777" w:rsidR="00586BEB" w:rsidRPr="00AA6C64" w:rsidRDefault="00586BEB" w:rsidP="00D631C0">
      <w:pPr>
        <w:pStyle w:val="NormalWeb"/>
        <w:rPr>
          <w:rFonts w:asciiTheme="majorBidi" w:hAnsiTheme="majorBidi" w:cstheme="majorBidi"/>
          <w:lang w:val="en-US"/>
        </w:rPr>
      </w:pPr>
    </w:p>
    <w:p w14:paraId="4117BE0D" w14:textId="77777777" w:rsidR="00122B0F" w:rsidRPr="00AA6C64" w:rsidRDefault="00122B0F" w:rsidP="00122B0F">
      <w:pPr>
        <w:pStyle w:val="NormalWeb"/>
        <w:rPr>
          <w:rFonts w:asciiTheme="majorBidi" w:hAnsiTheme="majorBidi" w:cstheme="majorBidi"/>
          <w:lang w:val="en-US"/>
        </w:rPr>
      </w:pPr>
      <w:r w:rsidRPr="00AA6C64">
        <w:rPr>
          <w:rFonts w:asciiTheme="majorBidi" w:hAnsiTheme="majorBidi" w:cstheme="majorBidi"/>
          <w:lang w:val="en-US"/>
        </w:rPr>
        <w:t xml:space="preserve">The patient underwent </w:t>
      </w:r>
      <w:r w:rsidRPr="00AA6C64">
        <w:rPr>
          <w:rStyle w:val="Strong"/>
          <w:rFonts w:asciiTheme="majorBidi" w:eastAsiaTheme="majorEastAsia" w:hAnsiTheme="majorBidi" w:cstheme="majorBidi"/>
          <w:b w:val="0"/>
          <w:bCs w:val="0"/>
          <w:lang w:val="en-US"/>
        </w:rPr>
        <w:t>right radical nephrectomy</w:t>
      </w:r>
      <w:r w:rsidRPr="00AA6C64">
        <w:rPr>
          <w:rFonts w:asciiTheme="majorBidi" w:hAnsiTheme="majorBidi" w:cstheme="majorBidi"/>
          <w:b/>
          <w:bCs/>
          <w:lang w:val="en-US"/>
        </w:rPr>
        <w:t>.</w:t>
      </w:r>
      <w:r w:rsidRPr="00AA6C64">
        <w:rPr>
          <w:rFonts w:asciiTheme="majorBidi" w:hAnsiTheme="majorBidi" w:cstheme="majorBidi"/>
          <w:lang w:val="en-US"/>
        </w:rPr>
        <w:t xml:space="preserve"> Gross pathological examination of the specimen revealed a </w:t>
      </w:r>
      <w:r w:rsidRPr="00AA6C64">
        <w:rPr>
          <w:rStyle w:val="Strong"/>
          <w:rFonts w:asciiTheme="majorBidi" w:eastAsiaTheme="majorEastAsia" w:hAnsiTheme="majorBidi" w:cstheme="majorBidi"/>
          <w:b w:val="0"/>
          <w:bCs w:val="0"/>
          <w:lang w:val="en-US"/>
        </w:rPr>
        <w:t>tan-brown tumor localized to the lower pole of the kidney</w:t>
      </w:r>
      <w:r w:rsidRPr="00AA6C64">
        <w:rPr>
          <w:rFonts w:asciiTheme="majorBidi" w:hAnsiTheme="majorBidi" w:cstheme="majorBidi"/>
          <w:b/>
          <w:bCs/>
          <w:lang w:val="en-US"/>
        </w:rPr>
        <w:t xml:space="preserve">, </w:t>
      </w:r>
      <w:r w:rsidRPr="00AA6C64">
        <w:rPr>
          <w:rFonts w:asciiTheme="majorBidi" w:hAnsiTheme="majorBidi" w:cstheme="majorBidi"/>
          <w:lang w:val="en-US"/>
        </w:rPr>
        <w:t>with</w:t>
      </w:r>
      <w:r w:rsidRPr="00AA6C64">
        <w:rPr>
          <w:rFonts w:asciiTheme="majorBidi" w:hAnsiTheme="majorBidi" w:cstheme="majorBidi"/>
          <w:b/>
          <w:bCs/>
          <w:lang w:val="en-US"/>
        </w:rPr>
        <w:t xml:space="preserve"> </w:t>
      </w:r>
      <w:r w:rsidRPr="00AA6C64">
        <w:rPr>
          <w:rStyle w:val="Strong"/>
          <w:rFonts w:asciiTheme="majorBidi" w:eastAsiaTheme="majorEastAsia" w:hAnsiTheme="majorBidi" w:cstheme="majorBidi"/>
          <w:b w:val="0"/>
          <w:bCs w:val="0"/>
          <w:lang w:val="en-US"/>
        </w:rPr>
        <w:t>a well-demarcated margin</w:t>
      </w:r>
      <w:r w:rsidRPr="00AA6C64">
        <w:rPr>
          <w:rFonts w:asciiTheme="majorBidi" w:hAnsiTheme="majorBidi" w:cstheme="majorBidi"/>
          <w:b/>
          <w:bCs/>
          <w:lang w:val="en-US"/>
        </w:rPr>
        <w:t xml:space="preserve">. </w:t>
      </w:r>
      <w:r w:rsidRPr="00AA6C64">
        <w:rPr>
          <w:rStyle w:val="Strong"/>
          <w:rFonts w:asciiTheme="majorBidi" w:eastAsiaTheme="majorEastAsia" w:hAnsiTheme="majorBidi" w:cstheme="majorBidi"/>
          <w:b w:val="0"/>
          <w:bCs w:val="0"/>
          <w:lang w:val="en-US"/>
        </w:rPr>
        <w:t>Histological analysis</w:t>
      </w:r>
      <w:r w:rsidRPr="00AA6C64">
        <w:rPr>
          <w:rFonts w:asciiTheme="majorBidi" w:hAnsiTheme="majorBidi" w:cstheme="majorBidi"/>
          <w:b/>
          <w:bCs/>
          <w:lang w:val="en-US"/>
        </w:rPr>
        <w:t xml:space="preserve"> </w:t>
      </w:r>
      <w:r w:rsidRPr="00AA6C64">
        <w:rPr>
          <w:rFonts w:asciiTheme="majorBidi" w:hAnsiTheme="majorBidi" w:cstheme="majorBidi"/>
          <w:lang w:val="en-US"/>
        </w:rPr>
        <w:t>showed</w:t>
      </w:r>
      <w:r w:rsidRPr="00AA6C64">
        <w:rPr>
          <w:rFonts w:asciiTheme="majorBidi" w:hAnsiTheme="majorBidi" w:cstheme="majorBidi"/>
          <w:b/>
          <w:bCs/>
          <w:lang w:val="en-US"/>
        </w:rPr>
        <w:t xml:space="preserve"> </w:t>
      </w:r>
      <w:r w:rsidRPr="00AA6C64">
        <w:rPr>
          <w:rStyle w:val="Strong"/>
          <w:rFonts w:asciiTheme="majorBidi" w:eastAsiaTheme="majorEastAsia" w:hAnsiTheme="majorBidi" w:cstheme="majorBidi"/>
          <w:b w:val="0"/>
          <w:bCs w:val="0"/>
          <w:lang w:val="en-US"/>
        </w:rPr>
        <w:t>branching tubules and spindle-shaped epithelial cells embedded in abundant mucinous stroma</w:t>
      </w:r>
      <w:r w:rsidRPr="00AA6C64">
        <w:rPr>
          <w:rFonts w:asciiTheme="majorBidi" w:hAnsiTheme="majorBidi" w:cstheme="majorBidi"/>
          <w:b/>
          <w:bCs/>
          <w:lang w:val="en-US"/>
        </w:rPr>
        <w:t xml:space="preserve">, </w:t>
      </w:r>
      <w:r w:rsidRPr="00AA6C64">
        <w:rPr>
          <w:rFonts w:asciiTheme="majorBidi" w:hAnsiTheme="majorBidi" w:cstheme="majorBidi"/>
          <w:lang w:val="en-US"/>
        </w:rPr>
        <w:t xml:space="preserve">along with </w:t>
      </w:r>
      <w:r w:rsidRPr="00AA6C64">
        <w:rPr>
          <w:rStyle w:val="Strong"/>
          <w:rFonts w:asciiTheme="majorBidi" w:eastAsiaTheme="majorEastAsia" w:hAnsiTheme="majorBidi" w:cstheme="majorBidi"/>
          <w:b w:val="0"/>
          <w:bCs w:val="0"/>
          <w:lang w:val="en-US"/>
        </w:rPr>
        <w:t>areas of necrosis and hemorrhage</w:t>
      </w:r>
      <w:r w:rsidRPr="00AA6C64">
        <w:rPr>
          <w:rFonts w:asciiTheme="majorBidi" w:hAnsiTheme="majorBidi" w:cstheme="majorBidi"/>
          <w:lang w:val="en-US"/>
        </w:rPr>
        <w:t xml:space="preserve">. Immunohistochemical staining demonstrated </w:t>
      </w:r>
      <w:r w:rsidRPr="00AA6C64">
        <w:rPr>
          <w:rStyle w:val="Strong"/>
          <w:rFonts w:asciiTheme="majorBidi" w:eastAsiaTheme="majorEastAsia" w:hAnsiTheme="majorBidi" w:cstheme="majorBidi"/>
          <w:b w:val="0"/>
          <w:bCs w:val="0"/>
          <w:lang w:val="en-US"/>
        </w:rPr>
        <w:t>diffuse positivity for CK7, CK14, AE1/AE3 (CK8/18), and vimentin</w:t>
      </w:r>
      <w:r w:rsidRPr="00AA6C64">
        <w:rPr>
          <w:rFonts w:asciiTheme="majorBidi" w:hAnsiTheme="majorBidi" w:cstheme="majorBidi"/>
          <w:b/>
          <w:bCs/>
          <w:lang w:val="en-US"/>
        </w:rPr>
        <w:t>,</w:t>
      </w:r>
      <w:r w:rsidRPr="00AA6C64">
        <w:rPr>
          <w:rFonts w:asciiTheme="majorBidi" w:hAnsiTheme="majorBidi" w:cstheme="majorBidi"/>
          <w:lang w:val="en-US"/>
        </w:rPr>
        <w:t xml:space="preserve"> while </w:t>
      </w:r>
      <w:r w:rsidRPr="00AA6C64">
        <w:rPr>
          <w:rStyle w:val="Strong"/>
          <w:rFonts w:asciiTheme="majorBidi" w:eastAsiaTheme="majorEastAsia" w:hAnsiTheme="majorBidi" w:cstheme="majorBidi"/>
          <w:b w:val="0"/>
          <w:bCs w:val="0"/>
          <w:lang w:val="en-US"/>
        </w:rPr>
        <w:t>CD10 was negative</w:t>
      </w:r>
      <w:r w:rsidRPr="00AA6C64">
        <w:rPr>
          <w:rFonts w:asciiTheme="majorBidi" w:hAnsiTheme="majorBidi" w:cstheme="majorBidi"/>
          <w:lang w:val="en-US"/>
        </w:rPr>
        <w:t>, helping to differentiate MTSCC from papillary RCC.</w:t>
      </w:r>
    </w:p>
    <w:p w14:paraId="46E2C393" w14:textId="77777777" w:rsidR="00122B0F" w:rsidRPr="00AA6C64" w:rsidRDefault="00122B0F" w:rsidP="00122B0F">
      <w:pPr>
        <w:pStyle w:val="NormalWeb"/>
        <w:rPr>
          <w:rFonts w:asciiTheme="majorBidi" w:hAnsiTheme="majorBidi" w:cstheme="majorBidi"/>
          <w:b/>
          <w:bCs/>
          <w:lang w:val="en-US"/>
        </w:rPr>
      </w:pPr>
      <w:r w:rsidRPr="00AA6C64">
        <w:rPr>
          <w:rFonts w:asciiTheme="majorBidi" w:hAnsiTheme="majorBidi" w:cstheme="majorBidi"/>
          <w:lang w:val="en-US"/>
        </w:rPr>
        <w:t xml:space="preserve">The </w:t>
      </w:r>
      <w:r w:rsidRPr="00AA6C64">
        <w:rPr>
          <w:rStyle w:val="Strong"/>
          <w:rFonts w:asciiTheme="majorBidi" w:eastAsiaTheme="majorEastAsia" w:hAnsiTheme="majorBidi" w:cstheme="majorBidi"/>
          <w:b w:val="0"/>
          <w:bCs w:val="0"/>
          <w:lang w:val="en-US"/>
        </w:rPr>
        <w:t>surgical margins were free of tumor</w:t>
      </w:r>
      <w:r w:rsidRPr="00AA6C64">
        <w:rPr>
          <w:rFonts w:asciiTheme="majorBidi" w:hAnsiTheme="majorBidi" w:cstheme="majorBidi"/>
          <w:lang w:val="en-US"/>
        </w:rPr>
        <w:t xml:space="preserve">, and there was no involvement of the renal vein or ureter. The </w:t>
      </w:r>
      <w:r w:rsidRPr="00AA6C64">
        <w:rPr>
          <w:rStyle w:val="Strong"/>
          <w:rFonts w:asciiTheme="majorBidi" w:eastAsiaTheme="majorEastAsia" w:hAnsiTheme="majorBidi" w:cstheme="majorBidi"/>
          <w:b w:val="0"/>
          <w:bCs w:val="0"/>
          <w:lang w:val="en-US"/>
        </w:rPr>
        <w:t>postoperative course was uneventful</w:t>
      </w:r>
      <w:r w:rsidRPr="00AA6C64">
        <w:rPr>
          <w:rFonts w:asciiTheme="majorBidi" w:hAnsiTheme="majorBidi" w:cstheme="majorBidi"/>
          <w:lang w:val="en-US"/>
        </w:rPr>
        <w:t xml:space="preserve">, and follow-up imaging revealed </w:t>
      </w:r>
      <w:r w:rsidRPr="00AA6C64">
        <w:rPr>
          <w:rStyle w:val="Strong"/>
          <w:rFonts w:asciiTheme="majorBidi" w:eastAsiaTheme="majorEastAsia" w:hAnsiTheme="majorBidi" w:cstheme="majorBidi"/>
          <w:b w:val="0"/>
          <w:bCs w:val="0"/>
          <w:lang w:val="en-US"/>
        </w:rPr>
        <w:t>no signs of recurrence or metastasis</w:t>
      </w:r>
      <w:r w:rsidRPr="00AA6C64">
        <w:rPr>
          <w:rFonts w:asciiTheme="majorBidi" w:hAnsiTheme="majorBidi" w:cstheme="majorBidi"/>
          <w:b/>
          <w:bCs/>
          <w:lang w:val="en-US"/>
        </w:rPr>
        <w:t>.</w:t>
      </w:r>
    </w:p>
    <w:p w14:paraId="56EA6C2C" w14:textId="77AAA9A1" w:rsidR="00713912" w:rsidRPr="003048D6" w:rsidRDefault="00713912" w:rsidP="00713912">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Discussion:</w:t>
      </w:r>
    </w:p>
    <w:p w14:paraId="5BFD0D03"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 xml:space="preserve">Mucinous tubular and spindle cell carcinoma (MTSCC) is a rare and distinct subtype of renal cell carcinoma (RCC), accounting for less than 1% of all renal tumors </w:t>
      </w:r>
      <w:r w:rsidRPr="00AA6C64">
        <w:rPr>
          <w:rStyle w:val="Strong"/>
          <w:rFonts w:asciiTheme="majorBidi" w:eastAsiaTheme="majorEastAsia" w:hAnsiTheme="majorBidi" w:cstheme="majorBidi"/>
          <w:lang w:val="en-US"/>
        </w:rPr>
        <w:t>[1]</w:t>
      </w:r>
      <w:r w:rsidRPr="00AA6C64">
        <w:rPr>
          <w:rFonts w:asciiTheme="majorBidi" w:hAnsiTheme="majorBidi" w:cstheme="majorBidi"/>
          <w:lang w:val="en-US"/>
        </w:rPr>
        <w:t xml:space="preserve">. First classified as a separate entity in the 2004 WHO classification, MTSCC is generally considered a low-grade malignancy with a favorable prognosis. It most commonly affects middle-aged women and is frequently discovered incidentally during imaging performed for unrelated reasons. However, when the tumors are large, patients may present with symptoms such as flank pain or gross hematuria </w:t>
      </w:r>
      <w:r w:rsidRPr="00AA6C64">
        <w:rPr>
          <w:rStyle w:val="Strong"/>
          <w:rFonts w:asciiTheme="majorBidi" w:eastAsiaTheme="majorEastAsia" w:hAnsiTheme="majorBidi" w:cstheme="majorBidi"/>
          <w:lang w:val="en-US"/>
        </w:rPr>
        <w:t>[2]</w:t>
      </w:r>
      <w:r w:rsidRPr="00AA6C64">
        <w:rPr>
          <w:rFonts w:asciiTheme="majorBidi" w:hAnsiTheme="majorBidi" w:cstheme="majorBidi"/>
          <w:lang w:val="en-US"/>
        </w:rPr>
        <w:t>.</w:t>
      </w:r>
    </w:p>
    <w:p w14:paraId="15E9228E"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lastRenderedPageBreak/>
        <w:t xml:space="preserve">On imaging, MTSCC typically appears as a solitary, well-circumscribed renal mass with an expansile growth pattern and a spherical or ovoid shape, clearly separated from the adjacent renal parenchyma. On unenhanced CT, the lesion often appears homogeneous, while contrast-enhanced studies show a gradual and progressive enhancement pattern, peaking during the nephrographic or delayed phases. Lesions larger than 5 cm frequently exhibit heterogeneous enhancement due to internal hemorrhage, necrosis, or cystic changes </w:t>
      </w:r>
      <w:r w:rsidRPr="00AA6C64">
        <w:rPr>
          <w:rStyle w:val="Strong"/>
          <w:rFonts w:asciiTheme="majorBidi" w:eastAsiaTheme="majorEastAsia" w:hAnsiTheme="majorBidi" w:cstheme="majorBidi"/>
          <w:lang w:val="en-US"/>
        </w:rPr>
        <w:t>[3,4]</w:t>
      </w:r>
      <w:r w:rsidRPr="00AA6C64">
        <w:rPr>
          <w:rFonts w:asciiTheme="majorBidi" w:hAnsiTheme="majorBidi" w:cstheme="majorBidi"/>
          <w:lang w:val="en-US"/>
        </w:rPr>
        <w:t>.</w:t>
      </w:r>
    </w:p>
    <w:p w14:paraId="2BDF5BBB"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 xml:space="preserve">Although MRI findings are limited due to the rarity of this tumor, reported features include iso- to hyperintense signal on T2-weighted images, attributed to the mucinous stromal component, and delayed progressive enhancement after gadolinium injection </w:t>
      </w:r>
      <w:r w:rsidRPr="00AA6C64">
        <w:rPr>
          <w:rStyle w:val="Strong"/>
          <w:rFonts w:asciiTheme="majorBidi" w:eastAsiaTheme="majorEastAsia" w:hAnsiTheme="majorBidi" w:cstheme="majorBidi"/>
          <w:lang w:val="en-US"/>
        </w:rPr>
        <w:t>[3]</w:t>
      </w:r>
      <w:r w:rsidRPr="00AA6C64">
        <w:rPr>
          <w:rFonts w:asciiTheme="majorBidi" w:hAnsiTheme="majorBidi" w:cstheme="majorBidi"/>
          <w:lang w:val="en-US"/>
        </w:rPr>
        <w:t>.</w:t>
      </w:r>
    </w:p>
    <w:p w14:paraId="32CEECFA"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 xml:space="preserve">This progressive and delayed enhancement pattern helps differentiate MTSCC from clear-cell RCC, which typically demonstrates early and intense enhancement, although some overlap exists with other hypovascular subtypes such as papillary or chromophobe RCC </w:t>
      </w:r>
      <w:r w:rsidRPr="00AA6C64">
        <w:rPr>
          <w:rStyle w:val="Strong"/>
          <w:rFonts w:asciiTheme="majorBidi" w:eastAsiaTheme="majorEastAsia" w:hAnsiTheme="majorBidi" w:cstheme="majorBidi"/>
          <w:lang w:val="en-US"/>
        </w:rPr>
        <w:t>[7]</w:t>
      </w:r>
      <w:r w:rsidRPr="00AA6C64">
        <w:rPr>
          <w:rFonts w:asciiTheme="majorBidi" w:hAnsiTheme="majorBidi" w:cstheme="majorBidi"/>
          <w:lang w:val="en-US"/>
        </w:rPr>
        <w:t>.</w:t>
      </w:r>
    </w:p>
    <w:p w14:paraId="4765F6B5"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In our case, CT findings were consistent with classic MTSCC features. The tumor was large, well-defined, and heterogeneous, with moderate, progressive enhancement peaking in the delayed phase. The presence of intratumoral hemorrhage and punctate calcifications further supported the radiologic impression. While not pathognomonic, the combination of hypovascularity, internal complexity, and absence of invasive behavior suggested a low-grade neoplasm.</w:t>
      </w:r>
    </w:p>
    <w:p w14:paraId="2DB646F6"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 xml:space="preserve">Although a combination of CT and MRI findings may raise suspicion for MTSCC and help differentiate it from other RCC subtypes, histopathological confirmation remains mandatory. Macroscopically, MTSCCs are usually well-circumscribed lesions with a broad size range (from &lt;1 cm to &gt;18 cm). Microscopically, they are composed of elongated, tightly packed tubules lined by spindle-shaped epithelial cells within a mucin-rich stroma </w:t>
      </w:r>
      <w:r w:rsidRPr="00AA6C64">
        <w:rPr>
          <w:rStyle w:val="Strong"/>
          <w:rFonts w:asciiTheme="majorBidi" w:eastAsiaTheme="majorEastAsia" w:hAnsiTheme="majorBidi" w:cstheme="majorBidi"/>
          <w:lang w:val="en-US"/>
        </w:rPr>
        <w:t>[5]</w:t>
      </w:r>
      <w:r w:rsidRPr="00AA6C64">
        <w:rPr>
          <w:rFonts w:asciiTheme="majorBidi" w:hAnsiTheme="majorBidi" w:cstheme="majorBidi"/>
          <w:lang w:val="en-US"/>
        </w:rPr>
        <w:t xml:space="preserve">. Our case showed immunohistochemical results consistent with literature, with diffuse CK7, CK14, AE1/AE3, and vimentin positivity, and negative CD10 staining, which assists in differentiating MTSCC from papillary RCC </w:t>
      </w:r>
      <w:r w:rsidRPr="00AA6C64">
        <w:rPr>
          <w:rStyle w:val="Strong"/>
          <w:rFonts w:asciiTheme="majorBidi" w:eastAsiaTheme="majorEastAsia" w:hAnsiTheme="majorBidi" w:cstheme="majorBidi"/>
          <w:lang w:val="en-US"/>
        </w:rPr>
        <w:t>[6]</w:t>
      </w:r>
      <w:r w:rsidRPr="00AA6C64">
        <w:rPr>
          <w:rFonts w:asciiTheme="majorBidi" w:hAnsiTheme="majorBidi" w:cstheme="majorBidi"/>
          <w:lang w:val="en-US"/>
        </w:rPr>
        <w:t>.</w:t>
      </w:r>
    </w:p>
    <w:p w14:paraId="44CD109A" w14:textId="77777777" w:rsidR="005A7EB7"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 xml:space="preserve">Surgical excision remains the treatment of choice, and prognosis is generally excellent in localized cases. Nevertheless, rare instances of sarcomatoid transformation or metastasis have been reported, which underscores the importance of appropriate postoperative surveillance </w:t>
      </w:r>
      <w:r w:rsidRPr="00AA6C64">
        <w:rPr>
          <w:rStyle w:val="Strong"/>
          <w:rFonts w:asciiTheme="majorBidi" w:eastAsiaTheme="majorEastAsia" w:hAnsiTheme="majorBidi" w:cstheme="majorBidi"/>
          <w:lang w:val="en-US"/>
        </w:rPr>
        <w:t>[6]</w:t>
      </w:r>
      <w:r w:rsidRPr="00AA6C64">
        <w:rPr>
          <w:rFonts w:asciiTheme="majorBidi" w:hAnsiTheme="majorBidi" w:cstheme="majorBidi"/>
          <w:lang w:val="en-US"/>
        </w:rPr>
        <w:t>. In our case, the patient had an uncomplicated recovery, with no evidence of recurrence on follow-up imaging, and the tumor was staged as pT1N0Mx.</w:t>
      </w:r>
    </w:p>
    <w:p w14:paraId="66084CF7" w14:textId="59AA9B22" w:rsidR="00D631C0" w:rsidRPr="00AA6C64" w:rsidRDefault="005A7EB7" w:rsidP="005A7EB7">
      <w:pPr>
        <w:pStyle w:val="NormalWeb"/>
        <w:rPr>
          <w:rFonts w:asciiTheme="majorBidi" w:hAnsiTheme="majorBidi" w:cstheme="majorBidi"/>
          <w:lang w:val="en-US"/>
        </w:rPr>
      </w:pPr>
      <w:r w:rsidRPr="00AA6C64">
        <w:rPr>
          <w:rFonts w:asciiTheme="majorBidi" w:hAnsiTheme="majorBidi" w:cstheme="majorBidi"/>
          <w:lang w:val="en-US"/>
        </w:rPr>
        <w:t>This case adds to the limited number of published MTSCC reports, particularly those with detailed imaging documentation. Given its rarity, well-characterized case reports are essential to better define the radiological spectrum of MTSCC and help distinguish it from other hypovascular renal tumors. By correlating imaging features with histopathology, this report contributes to the growing body of literature on MTSCC and highlights the value of CT in its non-invasive evaluation and surgical planning.</w:t>
      </w:r>
    </w:p>
    <w:p w14:paraId="62C8E090" w14:textId="67745445" w:rsidR="000F47F6" w:rsidRPr="003048D6" w:rsidRDefault="000F47F6" w:rsidP="000F47F6">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Conclusion:</w:t>
      </w:r>
    </w:p>
    <w:p w14:paraId="710DC423" w14:textId="77777777" w:rsidR="005A7EB7" w:rsidRPr="00AA6C64" w:rsidRDefault="005A7EB7" w:rsidP="005A7EB7">
      <w:pPr>
        <w:rPr>
          <w:rFonts w:asciiTheme="majorBidi" w:eastAsia="Times New Roman" w:hAnsiTheme="majorBidi" w:cstheme="majorBidi"/>
          <w:kern w:val="0"/>
          <w:lang w:val="en-US" w:eastAsia="fr-FR"/>
          <w14:ligatures w14:val="none"/>
        </w:rPr>
      </w:pPr>
      <w:r w:rsidRPr="00AA6C64">
        <w:rPr>
          <w:rFonts w:asciiTheme="majorBidi" w:eastAsia="Times New Roman" w:hAnsiTheme="majorBidi" w:cstheme="majorBidi"/>
          <w:kern w:val="0"/>
          <w:lang w:val="en-US" w:eastAsia="fr-FR"/>
          <w14:ligatures w14:val="none"/>
        </w:rPr>
        <w:t xml:space="preserve">Mucinous tubular and spindle cell carcinoma is a rare renal epithelial tumor with typically indolent behavior and low malignant potential. Although its imaging features—particularly on contrast-enhanced CT—can raise suspicion, they remain non-specific and often overlap with </w:t>
      </w:r>
      <w:r w:rsidRPr="00AA6C64">
        <w:rPr>
          <w:rFonts w:asciiTheme="majorBidi" w:eastAsia="Times New Roman" w:hAnsiTheme="majorBidi" w:cstheme="majorBidi"/>
          <w:kern w:val="0"/>
          <w:lang w:val="en-US" w:eastAsia="fr-FR"/>
          <w14:ligatures w14:val="none"/>
        </w:rPr>
        <w:lastRenderedPageBreak/>
        <w:t>other hypovascular renal tumors. Therefore, histopathological confirmation is essential for definitive diagnosis. Early recognition of this entity and its characteristic imaging pattern may facilitate appropriate management and help avoid overtreatment. This case reinforces the value of imaging in the preoperative assessment and contributes to the growing knowledge of this uncommon tumor subtype.</w:t>
      </w:r>
    </w:p>
    <w:p w14:paraId="43764AB4" w14:textId="61B4D2F4" w:rsidR="00D177F1" w:rsidRPr="003048D6" w:rsidRDefault="00D177F1" w:rsidP="005A7EB7">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Consent:</w:t>
      </w:r>
    </w:p>
    <w:p w14:paraId="29BC79B6" w14:textId="77777777" w:rsidR="005A7EB7" w:rsidRPr="00AA6C64" w:rsidRDefault="005A7EB7" w:rsidP="00D177F1">
      <w:pPr>
        <w:rPr>
          <w:rFonts w:asciiTheme="majorBidi" w:hAnsiTheme="majorBidi" w:cstheme="majorBidi"/>
          <w:lang w:val="en-US"/>
        </w:rPr>
      </w:pPr>
      <w:r w:rsidRPr="00AA6C64">
        <w:rPr>
          <w:rFonts w:asciiTheme="majorBidi" w:hAnsiTheme="majorBidi" w:cstheme="majorBidi"/>
          <w:lang w:val="en-US"/>
        </w:rPr>
        <w:t>Written informed consent was obtained from the patient’s family for the publication of this case report and any accompanying images.</w:t>
      </w:r>
    </w:p>
    <w:p w14:paraId="61BB08A0" w14:textId="5C5AFD83" w:rsidR="00D177F1" w:rsidRPr="003048D6" w:rsidRDefault="00D177F1" w:rsidP="00D177F1">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Ethical approval:</w:t>
      </w:r>
    </w:p>
    <w:p w14:paraId="57F2D225" w14:textId="77777777" w:rsidR="005A7EB7" w:rsidRPr="00AA6C64" w:rsidRDefault="005A7EB7" w:rsidP="005A7EB7">
      <w:pPr>
        <w:rPr>
          <w:rFonts w:asciiTheme="majorBidi" w:eastAsia="Times New Roman" w:hAnsiTheme="majorBidi" w:cstheme="majorBidi"/>
          <w:kern w:val="0"/>
          <w:lang w:val="en-US" w:eastAsia="fr-FR"/>
          <w14:ligatures w14:val="none"/>
        </w:rPr>
      </w:pPr>
      <w:r w:rsidRPr="00AA6C64">
        <w:rPr>
          <w:rFonts w:asciiTheme="majorBidi" w:eastAsia="Times New Roman" w:hAnsiTheme="majorBidi" w:cstheme="majorBidi"/>
          <w:kern w:val="0"/>
          <w:lang w:val="en-US" w:eastAsia="fr-FR"/>
          <w14:ligatures w14:val="none"/>
        </w:rPr>
        <w:t>All authors declare that this study was reviewed and approved by the appropriate institutional ethics committee and conducted in accordance with the ethical standards of the 1964 Declaration of Helsinki and its later amendments.</w:t>
      </w:r>
    </w:p>
    <w:p w14:paraId="3999EDE6" w14:textId="3574ABE2" w:rsidR="00D177F1" w:rsidRPr="003048D6" w:rsidRDefault="00D177F1" w:rsidP="005A7EB7">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Disclaimer (artificial intelligence):</w:t>
      </w:r>
    </w:p>
    <w:p w14:paraId="7988330F" w14:textId="472CF722" w:rsidR="005A7EB7" w:rsidRPr="00AA6C64" w:rsidRDefault="005A7EB7" w:rsidP="005A7EB7">
      <w:pPr>
        <w:rPr>
          <w:rFonts w:asciiTheme="majorBidi" w:hAnsiTheme="majorBidi" w:cstheme="majorBidi"/>
          <w:b/>
          <w:bCs/>
          <w:color w:val="EE0000"/>
          <w:sz w:val="36"/>
          <w:szCs w:val="36"/>
          <w:u w:val="single"/>
          <w:lang w:val="en-US"/>
        </w:rPr>
      </w:pPr>
      <w:r w:rsidRPr="00AA6C64">
        <w:rPr>
          <w:rFonts w:asciiTheme="majorBidi" w:eastAsia="Times New Roman" w:hAnsiTheme="majorBidi" w:cstheme="majorBidi"/>
          <w:kern w:val="0"/>
          <w:lang w:val="en-US" w:eastAsia="fr-FR"/>
          <w14:ligatures w14:val="none"/>
        </w:rPr>
        <w:t>The authors declare that no generative AI technologies (e.g., ChatGPT, Copilot, or text-to-image generators) were used in the writing or editing of this manuscript.</w:t>
      </w:r>
    </w:p>
    <w:p w14:paraId="15790D47" w14:textId="77777777" w:rsidR="000B6BD6" w:rsidRDefault="000B6BD6" w:rsidP="005A7EB7">
      <w:pPr>
        <w:rPr>
          <w:rFonts w:asciiTheme="majorBidi" w:hAnsiTheme="majorBidi" w:cstheme="majorBidi"/>
          <w:b/>
          <w:bCs/>
          <w:color w:val="000000" w:themeColor="text1"/>
          <w:sz w:val="36"/>
          <w:szCs w:val="36"/>
          <w:u w:val="single"/>
          <w:lang w:val="en-US"/>
        </w:rPr>
      </w:pPr>
    </w:p>
    <w:p w14:paraId="369ADE23" w14:textId="326CDD78" w:rsidR="0041578C" w:rsidRPr="003048D6" w:rsidRDefault="000F47F6" w:rsidP="005A7EB7">
      <w:pPr>
        <w:rPr>
          <w:rFonts w:asciiTheme="majorBidi" w:hAnsiTheme="majorBidi" w:cstheme="majorBidi"/>
          <w:b/>
          <w:bCs/>
          <w:color w:val="000000" w:themeColor="text1"/>
          <w:sz w:val="36"/>
          <w:szCs w:val="36"/>
          <w:u w:val="single"/>
          <w:lang w:val="en-US"/>
        </w:rPr>
      </w:pPr>
      <w:r w:rsidRPr="003048D6">
        <w:rPr>
          <w:rFonts w:asciiTheme="majorBidi" w:hAnsiTheme="majorBidi" w:cstheme="majorBidi"/>
          <w:b/>
          <w:bCs/>
          <w:color w:val="000000" w:themeColor="text1"/>
          <w:sz w:val="36"/>
          <w:szCs w:val="36"/>
          <w:u w:val="single"/>
          <w:lang w:val="en-US"/>
        </w:rPr>
        <w:t>Reference:</w:t>
      </w:r>
    </w:p>
    <w:p w14:paraId="25B69090" w14:textId="77777777" w:rsidR="005A7EB7" w:rsidRPr="00AA6C64" w:rsidRDefault="005A7EB7" w:rsidP="005A7EB7">
      <w:pPr>
        <w:pStyle w:val="NormalWeb"/>
        <w:rPr>
          <w:rFonts w:asciiTheme="majorBidi" w:hAnsiTheme="majorBidi" w:cstheme="majorBidi"/>
        </w:rPr>
      </w:pPr>
      <w:r w:rsidRPr="00AA6C64">
        <w:rPr>
          <w:rStyle w:val="Strong"/>
          <w:rFonts w:asciiTheme="majorBidi" w:eastAsiaTheme="majorEastAsia" w:hAnsiTheme="majorBidi" w:cstheme="majorBidi"/>
          <w:lang w:val="en-US"/>
        </w:rPr>
        <w:t>[1]</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Wang H</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Peng X</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Li L</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Yang Y</w:t>
      </w:r>
      <w:r w:rsidRPr="00AA6C64">
        <w:rPr>
          <w:rFonts w:asciiTheme="majorBidi" w:hAnsiTheme="majorBidi" w:cstheme="majorBidi"/>
          <w:lang w:val="en-US"/>
        </w:rPr>
        <w:t xml:space="preserve">. A retrospective study of imaging characteristics of mucinous tubular and spindle cell carcinoma in the kidney. </w:t>
      </w:r>
      <w:r w:rsidRPr="00AA6C64">
        <w:rPr>
          <w:rStyle w:val="Emphasis"/>
          <w:rFonts w:asciiTheme="majorBidi" w:eastAsiaTheme="majorEastAsia" w:hAnsiTheme="majorBidi" w:cstheme="majorBidi"/>
        </w:rPr>
        <w:t>Frontiers in Oncology</w:t>
      </w:r>
      <w:r w:rsidRPr="00AA6C64">
        <w:rPr>
          <w:rFonts w:asciiTheme="majorBidi" w:hAnsiTheme="majorBidi" w:cstheme="majorBidi"/>
        </w:rPr>
        <w:t>, eCollection 2025.</w:t>
      </w:r>
    </w:p>
    <w:p w14:paraId="67D4B947" w14:textId="2661956C" w:rsidR="005A7EB7" w:rsidRPr="00AA6C64" w:rsidRDefault="005A7EB7" w:rsidP="005A7EB7">
      <w:pPr>
        <w:pStyle w:val="NormalWeb"/>
        <w:rPr>
          <w:rFonts w:asciiTheme="majorBidi" w:hAnsiTheme="majorBidi" w:cstheme="majorBidi"/>
          <w:lang w:val="en-US"/>
        </w:rPr>
      </w:pPr>
      <w:r w:rsidRPr="00AA6C64">
        <w:rPr>
          <w:rStyle w:val="Strong"/>
          <w:rFonts w:asciiTheme="majorBidi" w:eastAsiaTheme="majorEastAsia" w:hAnsiTheme="majorBidi" w:cstheme="majorBidi"/>
        </w:rPr>
        <w:t>[2]</w:t>
      </w:r>
      <w:r w:rsidRPr="00AA6C64">
        <w:rPr>
          <w:rFonts w:asciiTheme="majorBidi" w:hAnsiTheme="majorBidi" w:cstheme="majorBidi"/>
        </w:rPr>
        <w:t xml:space="preserve"> </w:t>
      </w:r>
      <w:r w:rsidR="005E436E" w:rsidRPr="005E436E">
        <w:rPr>
          <w:rStyle w:val="Strong"/>
          <w:rFonts w:asciiTheme="majorBidi" w:eastAsiaTheme="majorEastAsia" w:hAnsiTheme="majorBidi" w:cstheme="majorBidi"/>
        </w:rPr>
        <w:t xml:space="preserve">Ziouani O, Rabil M, Elkhiyati A, Laghmari M, Ibn Attya A. </w:t>
      </w:r>
      <w:r w:rsidR="005E436E" w:rsidRPr="005E436E">
        <w:rPr>
          <w:rStyle w:val="Strong"/>
          <w:rFonts w:asciiTheme="majorBidi" w:eastAsiaTheme="majorEastAsia" w:hAnsiTheme="majorBidi" w:cstheme="majorBidi"/>
          <w:b w:val="0"/>
          <w:bCs w:val="0"/>
        </w:rPr>
        <w:t>The tubulomucinous and fusiform carcinoma of the kidney: a case report. On African Medical Journal. 2017;26:187.</w:t>
      </w:r>
    </w:p>
    <w:p w14:paraId="66D4D83E" w14:textId="77777777" w:rsidR="005A7EB7" w:rsidRPr="00AA6C64" w:rsidRDefault="005A7EB7" w:rsidP="005A7EB7">
      <w:pPr>
        <w:pStyle w:val="NormalWeb"/>
        <w:rPr>
          <w:rFonts w:asciiTheme="majorBidi" w:hAnsiTheme="majorBidi" w:cstheme="majorBidi"/>
          <w:lang w:val="en-US"/>
        </w:rPr>
      </w:pPr>
      <w:r w:rsidRPr="00AA6C64">
        <w:rPr>
          <w:rStyle w:val="Strong"/>
          <w:rFonts w:asciiTheme="majorBidi" w:eastAsiaTheme="majorEastAsia" w:hAnsiTheme="majorBidi" w:cstheme="majorBidi"/>
          <w:lang w:val="en-US"/>
        </w:rPr>
        <w:t>[3]</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Cornelis F</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Ambrosetti D</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Rocher L</w:t>
      </w:r>
      <w:r w:rsidRPr="00AA6C64">
        <w:rPr>
          <w:rFonts w:asciiTheme="majorBidi" w:hAnsiTheme="majorBidi" w:cstheme="majorBidi"/>
          <w:lang w:val="en-US"/>
        </w:rPr>
        <w:t xml:space="preserve">, et al. CT and MR imaging features of mucinous tubular and spindle cell carcinoma of the kidneys: A multi-institutional review. </w:t>
      </w:r>
      <w:r w:rsidRPr="00AA6C64">
        <w:rPr>
          <w:rStyle w:val="Emphasis"/>
          <w:rFonts w:asciiTheme="majorBidi" w:eastAsiaTheme="majorEastAsia" w:hAnsiTheme="majorBidi" w:cstheme="majorBidi"/>
          <w:lang w:val="en-US"/>
        </w:rPr>
        <w:t>European Radiology</w:t>
      </w:r>
      <w:r w:rsidRPr="00AA6C64">
        <w:rPr>
          <w:rFonts w:asciiTheme="majorBidi" w:hAnsiTheme="majorBidi" w:cstheme="majorBidi"/>
          <w:lang w:val="en-US"/>
        </w:rPr>
        <w:t>. 2016;27:1087–1095.</w:t>
      </w:r>
    </w:p>
    <w:p w14:paraId="0E78C19B" w14:textId="77777777" w:rsidR="005A7EB7" w:rsidRPr="00AA6C64" w:rsidRDefault="005A7EB7" w:rsidP="005A7EB7">
      <w:pPr>
        <w:pStyle w:val="NormalWeb"/>
        <w:rPr>
          <w:rFonts w:asciiTheme="majorBidi" w:hAnsiTheme="majorBidi" w:cstheme="majorBidi"/>
          <w:lang w:val="en-US"/>
        </w:rPr>
      </w:pPr>
      <w:r w:rsidRPr="00AA6C64">
        <w:rPr>
          <w:rStyle w:val="Strong"/>
          <w:rFonts w:asciiTheme="majorBidi" w:eastAsiaTheme="majorEastAsia" w:hAnsiTheme="majorBidi" w:cstheme="majorBidi"/>
          <w:lang w:val="en-US"/>
        </w:rPr>
        <w:t>[4]</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Kenney P</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Vikram R</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Prasad S</w:t>
      </w:r>
      <w:r w:rsidRPr="00AA6C64">
        <w:rPr>
          <w:rFonts w:asciiTheme="majorBidi" w:hAnsiTheme="majorBidi" w:cstheme="majorBidi"/>
          <w:lang w:val="en-US"/>
        </w:rPr>
        <w:t xml:space="preserve">, et al. Mucinous tubular and spindle cell carcinoma (MTSCC) of the kidney: A detailed study of radiological, pathological and clinical outcomes. </w:t>
      </w:r>
      <w:r w:rsidRPr="00AA6C64">
        <w:rPr>
          <w:rStyle w:val="Emphasis"/>
          <w:rFonts w:asciiTheme="majorBidi" w:eastAsiaTheme="majorEastAsia" w:hAnsiTheme="majorBidi" w:cstheme="majorBidi"/>
          <w:lang w:val="en-US"/>
        </w:rPr>
        <w:t>BJU International</w:t>
      </w:r>
      <w:r w:rsidRPr="00AA6C64">
        <w:rPr>
          <w:rFonts w:asciiTheme="majorBidi" w:hAnsiTheme="majorBidi" w:cstheme="majorBidi"/>
          <w:lang w:val="en-US"/>
        </w:rPr>
        <w:t>. 2015;116:85–92.</w:t>
      </w:r>
    </w:p>
    <w:p w14:paraId="49A80D2F" w14:textId="77777777" w:rsidR="005A7EB7" w:rsidRPr="00AA6C64" w:rsidRDefault="005A7EB7" w:rsidP="005A7EB7">
      <w:pPr>
        <w:pStyle w:val="NormalWeb"/>
        <w:rPr>
          <w:rFonts w:asciiTheme="majorBidi" w:hAnsiTheme="majorBidi" w:cstheme="majorBidi"/>
          <w:lang w:val="en-US"/>
        </w:rPr>
      </w:pPr>
      <w:r w:rsidRPr="00AA6C64">
        <w:rPr>
          <w:rStyle w:val="Strong"/>
          <w:rFonts w:asciiTheme="majorBidi" w:eastAsiaTheme="majorEastAsia" w:hAnsiTheme="majorBidi" w:cstheme="majorBidi"/>
          <w:lang w:val="en-US"/>
        </w:rPr>
        <w:t>[5]</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Lopez-Beltran A</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Scarpelli M</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Montironi R</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Kirkali Z</w:t>
      </w:r>
      <w:r w:rsidRPr="00AA6C64">
        <w:rPr>
          <w:rFonts w:asciiTheme="majorBidi" w:hAnsiTheme="majorBidi" w:cstheme="majorBidi"/>
          <w:lang w:val="en-US"/>
        </w:rPr>
        <w:t xml:space="preserve">. 2004 WHO Classification of the Renal Tumors of Adults. </w:t>
      </w:r>
      <w:r w:rsidRPr="00AA6C64">
        <w:rPr>
          <w:rStyle w:val="Emphasis"/>
          <w:rFonts w:asciiTheme="majorBidi" w:eastAsiaTheme="majorEastAsia" w:hAnsiTheme="majorBidi" w:cstheme="majorBidi"/>
          <w:lang w:val="en-US"/>
        </w:rPr>
        <w:t>European Urology</w:t>
      </w:r>
      <w:r w:rsidRPr="00AA6C64">
        <w:rPr>
          <w:rFonts w:asciiTheme="majorBidi" w:hAnsiTheme="majorBidi" w:cstheme="majorBidi"/>
          <w:lang w:val="en-US"/>
        </w:rPr>
        <w:t>. 2006;49:798–805.</w:t>
      </w:r>
    </w:p>
    <w:p w14:paraId="4F0E8E8D" w14:textId="77777777" w:rsidR="005A7EB7" w:rsidRPr="00AA6C64" w:rsidRDefault="005A7EB7" w:rsidP="005A7EB7">
      <w:pPr>
        <w:pStyle w:val="NormalWeb"/>
        <w:rPr>
          <w:rFonts w:asciiTheme="majorBidi" w:hAnsiTheme="majorBidi" w:cstheme="majorBidi"/>
          <w:lang w:val="en-US"/>
        </w:rPr>
      </w:pPr>
      <w:r w:rsidRPr="00AA6C64">
        <w:rPr>
          <w:rStyle w:val="Strong"/>
          <w:rFonts w:asciiTheme="majorBidi" w:eastAsiaTheme="majorEastAsia" w:hAnsiTheme="majorBidi" w:cstheme="majorBidi"/>
          <w:lang w:val="en-US"/>
        </w:rPr>
        <w:t>[6]</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Alves AS</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Gaivão AM</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Marques RC</w:t>
      </w:r>
      <w:r w:rsidRPr="00AA6C64">
        <w:rPr>
          <w:rFonts w:asciiTheme="majorBidi" w:hAnsiTheme="majorBidi" w:cstheme="majorBidi"/>
          <w:lang w:val="en-US"/>
        </w:rPr>
        <w:t xml:space="preserve">, </w:t>
      </w:r>
      <w:r w:rsidRPr="00AA6C64">
        <w:rPr>
          <w:rStyle w:val="Strong"/>
          <w:rFonts w:asciiTheme="majorBidi" w:eastAsiaTheme="majorEastAsia" w:hAnsiTheme="majorBidi" w:cstheme="majorBidi"/>
          <w:lang w:val="en-US"/>
        </w:rPr>
        <w:t>Matos C</w:t>
      </w:r>
      <w:r w:rsidRPr="00AA6C64">
        <w:rPr>
          <w:rFonts w:asciiTheme="majorBidi" w:hAnsiTheme="majorBidi" w:cstheme="majorBidi"/>
          <w:lang w:val="en-US"/>
        </w:rPr>
        <w:t xml:space="preserve">. Two rare entities in one patient: Mucinous tubular and spindle cell carcinoma of the kidney and peritoneal adenomyomas. </w:t>
      </w:r>
      <w:r w:rsidRPr="00AA6C64">
        <w:rPr>
          <w:rStyle w:val="Emphasis"/>
          <w:rFonts w:asciiTheme="majorBidi" w:eastAsiaTheme="majorEastAsia" w:hAnsiTheme="majorBidi" w:cstheme="majorBidi"/>
          <w:lang w:val="en-US"/>
        </w:rPr>
        <w:t>Radiology Case Reports</w:t>
      </w:r>
      <w:r w:rsidRPr="00AA6C64">
        <w:rPr>
          <w:rFonts w:asciiTheme="majorBidi" w:hAnsiTheme="majorBidi" w:cstheme="majorBidi"/>
          <w:lang w:val="en-US"/>
        </w:rPr>
        <w:t>. 2021;16(8):1974–1979.</w:t>
      </w:r>
    </w:p>
    <w:p w14:paraId="7C7FA630" w14:textId="1AA6D6CD" w:rsidR="005A7EB7" w:rsidRPr="00AA6C64" w:rsidRDefault="005A7EB7" w:rsidP="005A7EB7">
      <w:pPr>
        <w:pStyle w:val="NormalWeb"/>
        <w:rPr>
          <w:rFonts w:asciiTheme="majorBidi" w:hAnsiTheme="majorBidi" w:cstheme="majorBidi"/>
        </w:rPr>
      </w:pPr>
      <w:r w:rsidRPr="00AA6C64">
        <w:rPr>
          <w:rStyle w:val="Strong"/>
          <w:rFonts w:asciiTheme="majorBidi" w:eastAsiaTheme="majorEastAsia" w:hAnsiTheme="majorBidi" w:cstheme="majorBidi"/>
          <w:lang w:val="en-US"/>
        </w:rPr>
        <w:lastRenderedPageBreak/>
        <w:t>[7]</w:t>
      </w:r>
      <w:r w:rsidRPr="00AA6C64">
        <w:rPr>
          <w:rFonts w:asciiTheme="majorBidi" w:hAnsiTheme="majorBidi" w:cstheme="majorBidi"/>
          <w:lang w:val="en-US"/>
        </w:rPr>
        <w:t xml:space="preserve"> </w:t>
      </w:r>
      <w:r w:rsidR="005E436E" w:rsidRPr="005E436E">
        <w:rPr>
          <w:rStyle w:val="Strong"/>
          <w:rFonts w:asciiTheme="majorBidi" w:eastAsiaTheme="majorEastAsia" w:hAnsiTheme="majorBidi" w:cstheme="majorBidi"/>
          <w:lang w:val="en-US"/>
        </w:rPr>
        <w:t xml:space="preserve">Hélénon O, Crosnier A, Eiss D, Poirée S, Méjean A, Correas JM. </w:t>
      </w:r>
      <w:r w:rsidR="005E436E" w:rsidRPr="005E436E">
        <w:rPr>
          <w:rStyle w:val="Strong"/>
          <w:rFonts w:asciiTheme="majorBidi" w:eastAsiaTheme="majorEastAsia" w:hAnsiTheme="majorBidi" w:cstheme="majorBidi"/>
          <w:b w:val="0"/>
          <w:bCs w:val="0"/>
          <w:lang w:val="en-US"/>
        </w:rPr>
        <w:t>Diagnostic and pre-therapeutic imaging of malignant kidney tumors in adults. EMC Radiology and Medical Imaging – Genitourinary – Gyneco-obstetric – Breast. 2019;32(2):1–31.</w:t>
      </w:r>
    </w:p>
    <w:p w14:paraId="006DB5F1" w14:textId="583AE6A6" w:rsidR="00452F73" w:rsidRPr="00AA6C64" w:rsidRDefault="00452F73" w:rsidP="005A7EB7">
      <w:pPr>
        <w:pStyle w:val="NormalWeb"/>
        <w:rPr>
          <w:rFonts w:asciiTheme="majorBidi" w:hAnsiTheme="majorBidi" w:cstheme="majorBidi"/>
        </w:rPr>
      </w:pPr>
    </w:p>
    <w:sectPr w:rsidR="00452F73" w:rsidRPr="00AA6C6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DBA6E" w14:textId="77777777" w:rsidR="00BA7D2C" w:rsidRDefault="00BA7D2C" w:rsidP="000B6BD6">
      <w:pPr>
        <w:spacing w:after="0" w:line="240" w:lineRule="auto"/>
      </w:pPr>
      <w:r>
        <w:separator/>
      </w:r>
    </w:p>
  </w:endnote>
  <w:endnote w:type="continuationSeparator" w:id="0">
    <w:p w14:paraId="12A6CC5B" w14:textId="77777777" w:rsidR="00BA7D2C" w:rsidRDefault="00BA7D2C" w:rsidP="000B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7025" w14:textId="77777777" w:rsidR="000B6BD6" w:rsidRDefault="000B6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FCAF" w14:textId="77777777" w:rsidR="000B6BD6" w:rsidRDefault="000B6B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2A41" w14:textId="77777777" w:rsidR="000B6BD6" w:rsidRDefault="000B6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288BD" w14:textId="77777777" w:rsidR="00BA7D2C" w:rsidRDefault="00BA7D2C" w:rsidP="000B6BD6">
      <w:pPr>
        <w:spacing w:after="0" w:line="240" w:lineRule="auto"/>
      </w:pPr>
      <w:r>
        <w:separator/>
      </w:r>
    </w:p>
  </w:footnote>
  <w:footnote w:type="continuationSeparator" w:id="0">
    <w:p w14:paraId="442AB4A7" w14:textId="77777777" w:rsidR="00BA7D2C" w:rsidRDefault="00BA7D2C" w:rsidP="000B6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5EFE" w14:textId="63606EC4" w:rsidR="000B6BD6" w:rsidRDefault="000B6BD6">
    <w:pPr>
      <w:pStyle w:val="Header"/>
    </w:pPr>
    <w:r>
      <w:rPr>
        <w:noProof/>
      </w:rPr>
      <w:pict w14:anchorId="06F79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3"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A85C" w14:textId="1684BAC2" w:rsidR="000B6BD6" w:rsidRDefault="000B6BD6">
    <w:pPr>
      <w:pStyle w:val="Header"/>
    </w:pPr>
    <w:r>
      <w:rPr>
        <w:noProof/>
      </w:rPr>
      <w:pict w14:anchorId="014A3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4"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4A94" w14:textId="01BAFDBB" w:rsidR="000B6BD6" w:rsidRDefault="000B6BD6">
    <w:pPr>
      <w:pStyle w:val="Header"/>
    </w:pPr>
    <w:r>
      <w:rPr>
        <w:noProof/>
      </w:rPr>
      <w:pict w14:anchorId="24EBB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721062"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C6809"/>
    <w:multiLevelType w:val="hybridMultilevel"/>
    <w:tmpl w:val="023C1AAE"/>
    <w:lvl w:ilvl="0" w:tplc="85CC7CE2">
      <w:start w:val="1"/>
      <w:numFmt w:val="decimal"/>
      <w:lvlText w:val="[%1]"/>
      <w:lvlJc w:val="left"/>
      <w:pPr>
        <w:ind w:left="720" w:hanging="360"/>
      </w:pPr>
      <w:rPr>
        <w:rFonts w:hint="default"/>
        <w:b/>
        <w:bCs/>
        <w:lang w:val="en-G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BB79DE"/>
    <w:multiLevelType w:val="hybridMultilevel"/>
    <w:tmpl w:val="0FCA3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75351551">
    <w:abstractNumId w:val="1"/>
  </w:num>
  <w:num w:numId="2" w16cid:durableId="5566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3B"/>
    <w:rsid w:val="000111CE"/>
    <w:rsid w:val="00035FBD"/>
    <w:rsid w:val="00080411"/>
    <w:rsid w:val="000B6BD6"/>
    <w:rsid w:val="000F18F8"/>
    <w:rsid w:val="000F47F6"/>
    <w:rsid w:val="000F6801"/>
    <w:rsid w:val="001032F7"/>
    <w:rsid w:val="00104967"/>
    <w:rsid w:val="00122B0F"/>
    <w:rsid w:val="00160536"/>
    <w:rsid w:val="002A1534"/>
    <w:rsid w:val="002B4ACD"/>
    <w:rsid w:val="002B698D"/>
    <w:rsid w:val="003048D6"/>
    <w:rsid w:val="00326248"/>
    <w:rsid w:val="003A1DA8"/>
    <w:rsid w:val="003A2F33"/>
    <w:rsid w:val="00406850"/>
    <w:rsid w:val="0041578C"/>
    <w:rsid w:val="00452F73"/>
    <w:rsid w:val="0046154B"/>
    <w:rsid w:val="0046604F"/>
    <w:rsid w:val="00467F46"/>
    <w:rsid w:val="00554AB6"/>
    <w:rsid w:val="00586BEB"/>
    <w:rsid w:val="005A7EB7"/>
    <w:rsid w:val="005E436E"/>
    <w:rsid w:val="00697CAF"/>
    <w:rsid w:val="00713912"/>
    <w:rsid w:val="007420A5"/>
    <w:rsid w:val="007B14CA"/>
    <w:rsid w:val="00867954"/>
    <w:rsid w:val="009430E1"/>
    <w:rsid w:val="00A666F6"/>
    <w:rsid w:val="00AA6C64"/>
    <w:rsid w:val="00B8781D"/>
    <w:rsid w:val="00BA7D2C"/>
    <w:rsid w:val="00BB6719"/>
    <w:rsid w:val="00BD4CE7"/>
    <w:rsid w:val="00C13501"/>
    <w:rsid w:val="00C22668"/>
    <w:rsid w:val="00C34495"/>
    <w:rsid w:val="00C765E5"/>
    <w:rsid w:val="00C93A71"/>
    <w:rsid w:val="00CC403B"/>
    <w:rsid w:val="00CD0481"/>
    <w:rsid w:val="00D177F1"/>
    <w:rsid w:val="00D62438"/>
    <w:rsid w:val="00D631C0"/>
    <w:rsid w:val="00D65D0D"/>
    <w:rsid w:val="00DE4D74"/>
    <w:rsid w:val="00E24859"/>
    <w:rsid w:val="00E31836"/>
    <w:rsid w:val="00F4692D"/>
    <w:rsid w:val="00FA11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1926"/>
  <w15:chartTrackingRefBased/>
  <w15:docId w15:val="{3842FED2-DFD0-4564-9170-3DC7D0EC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40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40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40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40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C40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C40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0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0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0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0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40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40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40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C40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C40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0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0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03B"/>
    <w:rPr>
      <w:rFonts w:eastAsiaTheme="majorEastAsia" w:cstheme="majorBidi"/>
      <w:color w:val="272727" w:themeColor="text1" w:themeTint="D8"/>
    </w:rPr>
  </w:style>
  <w:style w:type="paragraph" w:styleId="Title">
    <w:name w:val="Title"/>
    <w:basedOn w:val="Normal"/>
    <w:next w:val="Normal"/>
    <w:link w:val="TitleChar"/>
    <w:uiPriority w:val="10"/>
    <w:qFormat/>
    <w:rsid w:val="00CC40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0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0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0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03B"/>
    <w:pPr>
      <w:spacing w:before="160"/>
      <w:jc w:val="center"/>
    </w:pPr>
    <w:rPr>
      <w:i/>
      <w:iCs/>
      <w:color w:val="404040" w:themeColor="text1" w:themeTint="BF"/>
    </w:rPr>
  </w:style>
  <w:style w:type="character" w:customStyle="1" w:styleId="QuoteChar">
    <w:name w:val="Quote Char"/>
    <w:basedOn w:val="DefaultParagraphFont"/>
    <w:link w:val="Quote"/>
    <w:uiPriority w:val="29"/>
    <w:rsid w:val="00CC403B"/>
    <w:rPr>
      <w:i/>
      <w:iCs/>
      <w:color w:val="404040" w:themeColor="text1" w:themeTint="BF"/>
    </w:rPr>
  </w:style>
  <w:style w:type="paragraph" w:styleId="ListParagraph">
    <w:name w:val="List Paragraph"/>
    <w:basedOn w:val="Normal"/>
    <w:uiPriority w:val="34"/>
    <w:qFormat/>
    <w:rsid w:val="00CC403B"/>
    <w:pPr>
      <w:ind w:left="720"/>
      <w:contextualSpacing/>
    </w:pPr>
  </w:style>
  <w:style w:type="character" w:styleId="IntenseEmphasis">
    <w:name w:val="Intense Emphasis"/>
    <w:basedOn w:val="DefaultParagraphFont"/>
    <w:uiPriority w:val="21"/>
    <w:qFormat/>
    <w:rsid w:val="00CC403B"/>
    <w:rPr>
      <w:i/>
      <w:iCs/>
      <w:color w:val="2F5496" w:themeColor="accent1" w:themeShade="BF"/>
    </w:rPr>
  </w:style>
  <w:style w:type="paragraph" w:styleId="IntenseQuote">
    <w:name w:val="Intense Quote"/>
    <w:basedOn w:val="Normal"/>
    <w:next w:val="Normal"/>
    <w:link w:val="IntenseQuoteChar"/>
    <w:uiPriority w:val="30"/>
    <w:qFormat/>
    <w:rsid w:val="00CC40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403B"/>
    <w:rPr>
      <w:i/>
      <w:iCs/>
      <w:color w:val="2F5496" w:themeColor="accent1" w:themeShade="BF"/>
    </w:rPr>
  </w:style>
  <w:style w:type="character" w:styleId="IntenseReference">
    <w:name w:val="Intense Reference"/>
    <w:basedOn w:val="DefaultParagraphFont"/>
    <w:uiPriority w:val="32"/>
    <w:qFormat/>
    <w:rsid w:val="00CC403B"/>
    <w:rPr>
      <w:b/>
      <w:bCs/>
      <w:smallCaps/>
      <w:color w:val="2F5496" w:themeColor="accent1" w:themeShade="BF"/>
      <w:spacing w:val="5"/>
    </w:rPr>
  </w:style>
  <w:style w:type="paragraph" w:styleId="NormalWeb">
    <w:name w:val="Normal (Web)"/>
    <w:basedOn w:val="Normal"/>
    <w:uiPriority w:val="99"/>
    <w:unhideWhenUsed/>
    <w:rsid w:val="00080411"/>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Strong">
    <w:name w:val="Strong"/>
    <w:basedOn w:val="DefaultParagraphFont"/>
    <w:uiPriority w:val="22"/>
    <w:qFormat/>
    <w:rsid w:val="00080411"/>
    <w:rPr>
      <w:b/>
      <w:bCs/>
    </w:rPr>
  </w:style>
  <w:style w:type="character" w:customStyle="1" w:styleId="relative">
    <w:name w:val="relative"/>
    <w:basedOn w:val="DefaultParagraphFont"/>
    <w:rsid w:val="0041578C"/>
  </w:style>
  <w:style w:type="character" w:styleId="Emphasis">
    <w:name w:val="Emphasis"/>
    <w:basedOn w:val="DefaultParagraphFont"/>
    <w:uiPriority w:val="20"/>
    <w:qFormat/>
    <w:rsid w:val="0041578C"/>
    <w:rPr>
      <w:i/>
      <w:iCs/>
    </w:rPr>
  </w:style>
  <w:style w:type="character" w:styleId="Hyperlink">
    <w:name w:val="Hyperlink"/>
    <w:basedOn w:val="DefaultParagraphFont"/>
    <w:uiPriority w:val="99"/>
    <w:unhideWhenUsed/>
    <w:rsid w:val="0041578C"/>
    <w:rPr>
      <w:color w:val="0000FF"/>
      <w:u w:val="single"/>
    </w:rPr>
  </w:style>
  <w:style w:type="character" w:styleId="UnresolvedMention">
    <w:name w:val="Unresolved Mention"/>
    <w:basedOn w:val="DefaultParagraphFont"/>
    <w:uiPriority w:val="99"/>
    <w:semiHidden/>
    <w:unhideWhenUsed/>
    <w:rsid w:val="00D62438"/>
    <w:rPr>
      <w:color w:val="605E5C"/>
      <w:shd w:val="clear" w:color="auto" w:fill="E1DFDD"/>
    </w:rPr>
  </w:style>
  <w:style w:type="paragraph" w:styleId="Header">
    <w:name w:val="header"/>
    <w:basedOn w:val="Normal"/>
    <w:link w:val="HeaderChar"/>
    <w:uiPriority w:val="99"/>
    <w:unhideWhenUsed/>
    <w:rsid w:val="000B6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BD6"/>
  </w:style>
  <w:style w:type="paragraph" w:styleId="Footer">
    <w:name w:val="footer"/>
    <w:basedOn w:val="Normal"/>
    <w:link w:val="FooterChar"/>
    <w:uiPriority w:val="99"/>
    <w:unhideWhenUsed/>
    <w:rsid w:val="000B6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528">
      <w:bodyDiv w:val="1"/>
      <w:marLeft w:val="0"/>
      <w:marRight w:val="0"/>
      <w:marTop w:val="0"/>
      <w:marBottom w:val="0"/>
      <w:divBdr>
        <w:top w:val="none" w:sz="0" w:space="0" w:color="auto"/>
        <w:left w:val="none" w:sz="0" w:space="0" w:color="auto"/>
        <w:bottom w:val="none" w:sz="0" w:space="0" w:color="auto"/>
        <w:right w:val="none" w:sz="0" w:space="0" w:color="auto"/>
      </w:divBdr>
    </w:div>
    <w:div w:id="6561556">
      <w:bodyDiv w:val="1"/>
      <w:marLeft w:val="0"/>
      <w:marRight w:val="0"/>
      <w:marTop w:val="0"/>
      <w:marBottom w:val="0"/>
      <w:divBdr>
        <w:top w:val="none" w:sz="0" w:space="0" w:color="auto"/>
        <w:left w:val="none" w:sz="0" w:space="0" w:color="auto"/>
        <w:bottom w:val="none" w:sz="0" w:space="0" w:color="auto"/>
        <w:right w:val="none" w:sz="0" w:space="0" w:color="auto"/>
      </w:divBdr>
    </w:div>
    <w:div w:id="100995247">
      <w:bodyDiv w:val="1"/>
      <w:marLeft w:val="0"/>
      <w:marRight w:val="0"/>
      <w:marTop w:val="0"/>
      <w:marBottom w:val="0"/>
      <w:divBdr>
        <w:top w:val="none" w:sz="0" w:space="0" w:color="auto"/>
        <w:left w:val="none" w:sz="0" w:space="0" w:color="auto"/>
        <w:bottom w:val="none" w:sz="0" w:space="0" w:color="auto"/>
        <w:right w:val="none" w:sz="0" w:space="0" w:color="auto"/>
      </w:divBdr>
    </w:div>
    <w:div w:id="112791794">
      <w:bodyDiv w:val="1"/>
      <w:marLeft w:val="0"/>
      <w:marRight w:val="0"/>
      <w:marTop w:val="0"/>
      <w:marBottom w:val="0"/>
      <w:divBdr>
        <w:top w:val="none" w:sz="0" w:space="0" w:color="auto"/>
        <w:left w:val="none" w:sz="0" w:space="0" w:color="auto"/>
        <w:bottom w:val="none" w:sz="0" w:space="0" w:color="auto"/>
        <w:right w:val="none" w:sz="0" w:space="0" w:color="auto"/>
      </w:divBdr>
    </w:div>
    <w:div w:id="183521350">
      <w:bodyDiv w:val="1"/>
      <w:marLeft w:val="0"/>
      <w:marRight w:val="0"/>
      <w:marTop w:val="0"/>
      <w:marBottom w:val="0"/>
      <w:divBdr>
        <w:top w:val="none" w:sz="0" w:space="0" w:color="auto"/>
        <w:left w:val="none" w:sz="0" w:space="0" w:color="auto"/>
        <w:bottom w:val="none" w:sz="0" w:space="0" w:color="auto"/>
        <w:right w:val="none" w:sz="0" w:space="0" w:color="auto"/>
      </w:divBdr>
    </w:div>
    <w:div w:id="304744005">
      <w:bodyDiv w:val="1"/>
      <w:marLeft w:val="0"/>
      <w:marRight w:val="0"/>
      <w:marTop w:val="0"/>
      <w:marBottom w:val="0"/>
      <w:divBdr>
        <w:top w:val="none" w:sz="0" w:space="0" w:color="auto"/>
        <w:left w:val="none" w:sz="0" w:space="0" w:color="auto"/>
        <w:bottom w:val="none" w:sz="0" w:space="0" w:color="auto"/>
        <w:right w:val="none" w:sz="0" w:space="0" w:color="auto"/>
      </w:divBdr>
    </w:div>
    <w:div w:id="420562308">
      <w:bodyDiv w:val="1"/>
      <w:marLeft w:val="0"/>
      <w:marRight w:val="0"/>
      <w:marTop w:val="0"/>
      <w:marBottom w:val="0"/>
      <w:divBdr>
        <w:top w:val="none" w:sz="0" w:space="0" w:color="auto"/>
        <w:left w:val="none" w:sz="0" w:space="0" w:color="auto"/>
        <w:bottom w:val="none" w:sz="0" w:space="0" w:color="auto"/>
        <w:right w:val="none" w:sz="0" w:space="0" w:color="auto"/>
      </w:divBdr>
    </w:div>
    <w:div w:id="708337762">
      <w:bodyDiv w:val="1"/>
      <w:marLeft w:val="0"/>
      <w:marRight w:val="0"/>
      <w:marTop w:val="0"/>
      <w:marBottom w:val="0"/>
      <w:divBdr>
        <w:top w:val="none" w:sz="0" w:space="0" w:color="auto"/>
        <w:left w:val="none" w:sz="0" w:space="0" w:color="auto"/>
        <w:bottom w:val="none" w:sz="0" w:space="0" w:color="auto"/>
        <w:right w:val="none" w:sz="0" w:space="0" w:color="auto"/>
      </w:divBdr>
    </w:div>
    <w:div w:id="728772777">
      <w:bodyDiv w:val="1"/>
      <w:marLeft w:val="0"/>
      <w:marRight w:val="0"/>
      <w:marTop w:val="0"/>
      <w:marBottom w:val="0"/>
      <w:divBdr>
        <w:top w:val="none" w:sz="0" w:space="0" w:color="auto"/>
        <w:left w:val="none" w:sz="0" w:space="0" w:color="auto"/>
        <w:bottom w:val="none" w:sz="0" w:space="0" w:color="auto"/>
        <w:right w:val="none" w:sz="0" w:space="0" w:color="auto"/>
      </w:divBdr>
    </w:div>
    <w:div w:id="921377298">
      <w:bodyDiv w:val="1"/>
      <w:marLeft w:val="0"/>
      <w:marRight w:val="0"/>
      <w:marTop w:val="0"/>
      <w:marBottom w:val="0"/>
      <w:divBdr>
        <w:top w:val="none" w:sz="0" w:space="0" w:color="auto"/>
        <w:left w:val="none" w:sz="0" w:space="0" w:color="auto"/>
        <w:bottom w:val="none" w:sz="0" w:space="0" w:color="auto"/>
        <w:right w:val="none" w:sz="0" w:space="0" w:color="auto"/>
      </w:divBdr>
    </w:div>
    <w:div w:id="946274595">
      <w:bodyDiv w:val="1"/>
      <w:marLeft w:val="0"/>
      <w:marRight w:val="0"/>
      <w:marTop w:val="0"/>
      <w:marBottom w:val="0"/>
      <w:divBdr>
        <w:top w:val="none" w:sz="0" w:space="0" w:color="auto"/>
        <w:left w:val="none" w:sz="0" w:space="0" w:color="auto"/>
        <w:bottom w:val="none" w:sz="0" w:space="0" w:color="auto"/>
        <w:right w:val="none" w:sz="0" w:space="0" w:color="auto"/>
      </w:divBdr>
    </w:div>
    <w:div w:id="955791662">
      <w:bodyDiv w:val="1"/>
      <w:marLeft w:val="0"/>
      <w:marRight w:val="0"/>
      <w:marTop w:val="0"/>
      <w:marBottom w:val="0"/>
      <w:divBdr>
        <w:top w:val="none" w:sz="0" w:space="0" w:color="auto"/>
        <w:left w:val="none" w:sz="0" w:space="0" w:color="auto"/>
        <w:bottom w:val="none" w:sz="0" w:space="0" w:color="auto"/>
        <w:right w:val="none" w:sz="0" w:space="0" w:color="auto"/>
      </w:divBdr>
    </w:div>
    <w:div w:id="1075905538">
      <w:bodyDiv w:val="1"/>
      <w:marLeft w:val="0"/>
      <w:marRight w:val="0"/>
      <w:marTop w:val="0"/>
      <w:marBottom w:val="0"/>
      <w:divBdr>
        <w:top w:val="none" w:sz="0" w:space="0" w:color="auto"/>
        <w:left w:val="none" w:sz="0" w:space="0" w:color="auto"/>
        <w:bottom w:val="none" w:sz="0" w:space="0" w:color="auto"/>
        <w:right w:val="none" w:sz="0" w:space="0" w:color="auto"/>
      </w:divBdr>
    </w:div>
    <w:div w:id="1164860289">
      <w:bodyDiv w:val="1"/>
      <w:marLeft w:val="0"/>
      <w:marRight w:val="0"/>
      <w:marTop w:val="0"/>
      <w:marBottom w:val="0"/>
      <w:divBdr>
        <w:top w:val="none" w:sz="0" w:space="0" w:color="auto"/>
        <w:left w:val="none" w:sz="0" w:space="0" w:color="auto"/>
        <w:bottom w:val="none" w:sz="0" w:space="0" w:color="auto"/>
        <w:right w:val="none" w:sz="0" w:space="0" w:color="auto"/>
      </w:divBdr>
    </w:div>
    <w:div w:id="1208030264">
      <w:bodyDiv w:val="1"/>
      <w:marLeft w:val="0"/>
      <w:marRight w:val="0"/>
      <w:marTop w:val="0"/>
      <w:marBottom w:val="0"/>
      <w:divBdr>
        <w:top w:val="none" w:sz="0" w:space="0" w:color="auto"/>
        <w:left w:val="none" w:sz="0" w:space="0" w:color="auto"/>
        <w:bottom w:val="none" w:sz="0" w:space="0" w:color="auto"/>
        <w:right w:val="none" w:sz="0" w:space="0" w:color="auto"/>
      </w:divBdr>
    </w:div>
    <w:div w:id="1322352013">
      <w:bodyDiv w:val="1"/>
      <w:marLeft w:val="0"/>
      <w:marRight w:val="0"/>
      <w:marTop w:val="0"/>
      <w:marBottom w:val="0"/>
      <w:divBdr>
        <w:top w:val="none" w:sz="0" w:space="0" w:color="auto"/>
        <w:left w:val="none" w:sz="0" w:space="0" w:color="auto"/>
        <w:bottom w:val="none" w:sz="0" w:space="0" w:color="auto"/>
        <w:right w:val="none" w:sz="0" w:space="0" w:color="auto"/>
      </w:divBdr>
    </w:div>
    <w:div w:id="1447312555">
      <w:bodyDiv w:val="1"/>
      <w:marLeft w:val="0"/>
      <w:marRight w:val="0"/>
      <w:marTop w:val="0"/>
      <w:marBottom w:val="0"/>
      <w:divBdr>
        <w:top w:val="none" w:sz="0" w:space="0" w:color="auto"/>
        <w:left w:val="none" w:sz="0" w:space="0" w:color="auto"/>
        <w:bottom w:val="none" w:sz="0" w:space="0" w:color="auto"/>
        <w:right w:val="none" w:sz="0" w:space="0" w:color="auto"/>
      </w:divBdr>
    </w:div>
    <w:div w:id="1747531188">
      <w:bodyDiv w:val="1"/>
      <w:marLeft w:val="0"/>
      <w:marRight w:val="0"/>
      <w:marTop w:val="0"/>
      <w:marBottom w:val="0"/>
      <w:divBdr>
        <w:top w:val="none" w:sz="0" w:space="0" w:color="auto"/>
        <w:left w:val="none" w:sz="0" w:space="0" w:color="auto"/>
        <w:bottom w:val="none" w:sz="0" w:space="0" w:color="auto"/>
        <w:right w:val="none" w:sz="0" w:space="0" w:color="auto"/>
      </w:divBdr>
    </w:div>
    <w:div w:id="177007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TotalTime>
  <Pages>8</Pages>
  <Words>1695</Words>
  <Characters>9666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Editor-22</cp:lastModifiedBy>
  <cp:revision>26</cp:revision>
  <dcterms:created xsi:type="dcterms:W3CDTF">2025-06-11T15:04:00Z</dcterms:created>
  <dcterms:modified xsi:type="dcterms:W3CDTF">2025-06-23T07:59:00Z</dcterms:modified>
</cp:coreProperties>
</file>