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2FE92" w14:textId="4260F6EF" w:rsidR="00D7422B" w:rsidRPr="006222CF" w:rsidRDefault="006222CF">
      <w:pPr>
        <w:widowControl w:val="0"/>
        <w:pBdr>
          <w:top w:val="nil"/>
          <w:left w:val="nil"/>
          <w:bottom w:val="nil"/>
          <w:right w:val="nil"/>
          <w:between w:val="nil"/>
        </w:pBdr>
        <w:spacing w:line="276" w:lineRule="auto"/>
        <w:rPr>
          <w:sz w:val="24"/>
          <w:szCs w:val="24"/>
          <w:u w:val="single"/>
        </w:rPr>
      </w:pPr>
      <w:r w:rsidRPr="006222CF">
        <w:rPr>
          <w:sz w:val="24"/>
          <w:szCs w:val="24"/>
          <w:u w:val="single"/>
        </w:rPr>
        <w:t>Review Article</w:t>
      </w:r>
    </w:p>
    <w:p w14:paraId="628CDB6A" w14:textId="77777777" w:rsidR="00D7422B" w:rsidRDefault="00D7422B">
      <w:pPr>
        <w:pStyle w:val="Title"/>
        <w:spacing w:after="0"/>
        <w:jc w:val="both"/>
        <w:rPr>
          <w:rFonts w:ascii="Arial" w:eastAsia="Arial" w:hAnsi="Arial" w:cs="Arial"/>
        </w:rPr>
      </w:pPr>
    </w:p>
    <w:p w14:paraId="50CA4A13" w14:textId="77777777" w:rsidR="00D7422B" w:rsidRDefault="004C02FD">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NEUROLOGICAL SIDE EFFECTS OF LONG-TERM BOTULINUM TOXIN USE</w:t>
      </w:r>
    </w:p>
    <w:p w14:paraId="7B888933" w14:textId="77777777" w:rsidR="00D7422B" w:rsidRDefault="004C02FD">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 </w:t>
      </w:r>
    </w:p>
    <w:p w14:paraId="4004629D" w14:textId="77777777" w:rsidR="00D7422B" w:rsidRDefault="00D7422B">
      <w:pPr>
        <w:pBdr>
          <w:top w:val="nil"/>
          <w:left w:val="nil"/>
          <w:bottom w:val="nil"/>
          <w:right w:val="nil"/>
          <w:between w:val="nil"/>
        </w:pBdr>
        <w:jc w:val="both"/>
        <w:rPr>
          <w:rFonts w:ascii="Arial" w:eastAsia="Arial" w:hAnsi="Arial" w:cs="Arial"/>
          <w:b/>
          <w:color w:val="000000"/>
          <w:sz w:val="36"/>
          <w:szCs w:val="36"/>
        </w:rPr>
      </w:pPr>
    </w:p>
    <w:p w14:paraId="090D516E" w14:textId="692AC7D1" w:rsidR="00D7422B" w:rsidRDefault="00D7422B">
      <w:pPr>
        <w:keepNext/>
        <w:pBdr>
          <w:top w:val="nil"/>
          <w:left w:val="nil"/>
          <w:bottom w:val="nil"/>
          <w:right w:val="nil"/>
          <w:between w:val="nil"/>
        </w:pBdr>
        <w:jc w:val="both"/>
        <w:rPr>
          <w:rFonts w:ascii="Arial" w:eastAsia="Arial" w:hAnsi="Arial" w:cs="Arial"/>
          <w:b/>
          <w:smallCaps/>
          <w:color w:val="000000"/>
          <w:sz w:val="22"/>
          <w:szCs w:val="22"/>
        </w:rPr>
      </w:pPr>
    </w:p>
    <w:p w14:paraId="294093EA" w14:textId="77777777" w:rsidR="00591BB0" w:rsidRDefault="00591BB0">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D7422B" w14:paraId="78E8B59D" w14:textId="77777777">
        <w:tc>
          <w:tcPr>
            <w:tcW w:w="8424" w:type="dxa"/>
            <w:shd w:val="clear" w:color="auto" w:fill="F2F2F2"/>
          </w:tcPr>
          <w:p w14:paraId="5EF99F95" w14:textId="77777777" w:rsidR="00D7422B" w:rsidRDefault="004C02FD">
            <w:pPr>
              <w:jc w:val="both"/>
              <w:rPr>
                <w:rFonts w:ascii="Arial" w:eastAsia="Arial" w:hAnsi="Arial" w:cs="Arial"/>
              </w:rPr>
            </w:pPr>
            <w:r>
              <w:rPr>
                <w:rFonts w:ascii="Arial" w:eastAsia="Arial" w:hAnsi="Arial" w:cs="Arial"/>
                <w:b/>
              </w:rPr>
              <w:t xml:space="preserve">Aims: </w:t>
            </w:r>
            <w:r>
              <w:rPr>
                <w:rFonts w:ascii="Arial" w:eastAsia="Arial" w:hAnsi="Arial" w:cs="Arial"/>
              </w:rPr>
              <w:t xml:space="preserve">To analyze and understand the </w:t>
            </w:r>
            <w:r>
              <w:rPr>
                <w:rFonts w:ascii="Arial" w:eastAsia="Arial" w:hAnsi="Arial" w:cs="Arial"/>
              </w:rPr>
              <w:t>neurological side effects associated with long-term use of botulinum toxin type A (</w:t>
            </w:r>
            <w:proofErr w:type="spellStart"/>
            <w:r>
              <w:rPr>
                <w:rFonts w:ascii="Arial" w:eastAsia="Arial" w:hAnsi="Arial" w:cs="Arial"/>
              </w:rPr>
              <w:t>BoNT</w:t>
            </w:r>
            <w:proofErr w:type="spellEnd"/>
            <w:r>
              <w:rPr>
                <w:rFonts w:ascii="Arial" w:eastAsia="Arial" w:hAnsi="Arial" w:cs="Arial"/>
              </w:rPr>
              <w:t>-A), highlighting its implications on motor and sensory function in patients undergoing prolonged therapeutic application.</w:t>
            </w:r>
          </w:p>
          <w:p w14:paraId="296C00EE" w14:textId="77777777" w:rsidR="00D7422B" w:rsidRDefault="004C02FD">
            <w:pPr>
              <w:jc w:val="both"/>
              <w:rPr>
                <w:rFonts w:ascii="Arial" w:eastAsia="Arial" w:hAnsi="Arial" w:cs="Arial"/>
              </w:rPr>
            </w:pPr>
            <w:r>
              <w:rPr>
                <w:rFonts w:ascii="Arial" w:eastAsia="Arial" w:hAnsi="Arial" w:cs="Arial"/>
                <w:b/>
              </w:rPr>
              <w:t>Study design:</w:t>
            </w:r>
            <w:r>
              <w:rPr>
                <w:rFonts w:ascii="Arial" w:eastAsia="Arial" w:hAnsi="Arial" w:cs="Arial"/>
              </w:rPr>
              <w:t xml:space="preserve">  Qualitative exploratory-descrip</w:t>
            </w:r>
            <w:r>
              <w:rPr>
                <w:rFonts w:ascii="Arial" w:eastAsia="Arial" w:hAnsi="Arial" w:cs="Arial"/>
              </w:rPr>
              <w:t>tive bibliographic review.</w:t>
            </w:r>
          </w:p>
          <w:p w14:paraId="2F6C7038" w14:textId="77777777" w:rsidR="00D7422B" w:rsidRDefault="004C02FD">
            <w:pPr>
              <w:jc w:val="both"/>
              <w:rPr>
                <w:rFonts w:ascii="Arial" w:eastAsia="Arial" w:hAnsi="Arial" w:cs="Arial"/>
              </w:rPr>
            </w:pPr>
            <w:r>
              <w:rPr>
                <w:rFonts w:ascii="Arial" w:eastAsia="Arial" w:hAnsi="Arial" w:cs="Arial"/>
                <w:b/>
              </w:rPr>
              <w:t>Place and Duration of Study:</w:t>
            </w:r>
            <w:r>
              <w:rPr>
                <w:rFonts w:ascii="Arial" w:eastAsia="Arial" w:hAnsi="Arial" w:cs="Arial"/>
              </w:rPr>
              <w:t xml:space="preserve"> The study was conducted using data collected from scientific literature indexed in PubMed, </w:t>
            </w:r>
            <w:proofErr w:type="spellStart"/>
            <w:r>
              <w:rPr>
                <w:rFonts w:ascii="Arial" w:eastAsia="Arial" w:hAnsi="Arial" w:cs="Arial"/>
              </w:rPr>
              <w:t>SciELO</w:t>
            </w:r>
            <w:proofErr w:type="spellEnd"/>
            <w:r>
              <w:rPr>
                <w:rFonts w:ascii="Arial" w:eastAsia="Arial" w:hAnsi="Arial" w:cs="Arial"/>
              </w:rPr>
              <w:t>, and the Virtual Health Library (VHL), covering publications from 2013 to 2023.</w:t>
            </w:r>
          </w:p>
          <w:p w14:paraId="6E19F24D" w14:textId="77777777" w:rsidR="00D7422B" w:rsidRDefault="004C02FD">
            <w:pPr>
              <w:jc w:val="both"/>
              <w:rPr>
                <w:rFonts w:ascii="Arial" w:eastAsia="Arial" w:hAnsi="Arial" w:cs="Arial"/>
              </w:rPr>
            </w:pPr>
            <w:r>
              <w:rPr>
                <w:rFonts w:ascii="Arial" w:eastAsia="Arial" w:hAnsi="Arial" w:cs="Arial"/>
                <w:b/>
              </w:rPr>
              <w:t>Methodology:</w:t>
            </w:r>
            <w:r>
              <w:rPr>
                <w:rFonts w:ascii="Arial" w:eastAsia="Arial" w:hAnsi="Arial" w:cs="Arial"/>
              </w:rPr>
              <w:t xml:space="preserve"> A systema</w:t>
            </w:r>
            <w:r>
              <w:rPr>
                <w:rFonts w:ascii="Arial" w:eastAsia="Arial" w:hAnsi="Arial" w:cs="Arial"/>
              </w:rPr>
              <w:t xml:space="preserve">tic search was performed using controlled descriptors such as </w:t>
            </w:r>
            <w:r>
              <w:rPr>
                <w:rFonts w:ascii="Arial" w:eastAsia="Arial" w:hAnsi="Arial" w:cs="Arial"/>
                <w:i/>
              </w:rPr>
              <w:t>Neurological Side Effects</w:t>
            </w:r>
            <w:r>
              <w:rPr>
                <w:rFonts w:ascii="Arial" w:eastAsia="Arial" w:hAnsi="Arial" w:cs="Arial"/>
              </w:rPr>
              <w:t xml:space="preserve">, </w:t>
            </w:r>
            <w:r>
              <w:rPr>
                <w:rFonts w:ascii="Arial" w:eastAsia="Arial" w:hAnsi="Arial" w:cs="Arial"/>
                <w:i/>
              </w:rPr>
              <w:t>Botulinum Toxin</w:t>
            </w:r>
            <w:r>
              <w:rPr>
                <w:rFonts w:ascii="Arial" w:eastAsia="Arial" w:hAnsi="Arial" w:cs="Arial"/>
              </w:rPr>
              <w:t xml:space="preserve">, </w:t>
            </w:r>
            <w:r>
              <w:rPr>
                <w:rFonts w:ascii="Arial" w:eastAsia="Arial" w:hAnsi="Arial" w:cs="Arial"/>
                <w:i/>
              </w:rPr>
              <w:t>Central Nervous System</w:t>
            </w:r>
            <w:r>
              <w:rPr>
                <w:rFonts w:ascii="Arial" w:eastAsia="Arial" w:hAnsi="Arial" w:cs="Arial"/>
              </w:rPr>
              <w:t xml:space="preserve">, and </w:t>
            </w:r>
            <w:r>
              <w:rPr>
                <w:rFonts w:ascii="Arial" w:eastAsia="Arial" w:hAnsi="Arial" w:cs="Arial"/>
                <w:i/>
              </w:rPr>
              <w:t>Peripheral Nervous System</w:t>
            </w:r>
            <w:r>
              <w:rPr>
                <w:rFonts w:ascii="Arial" w:eastAsia="Arial" w:hAnsi="Arial" w:cs="Arial"/>
              </w:rPr>
              <w:t xml:space="preserve">. Boolean operators “AND” and “OR” were applied to refine the search. Inclusion criteria focused </w:t>
            </w:r>
            <w:r>
              <w:rPr>
                <w:rFonts w:ascii="Arial" w:eastAsia="Arial" w:hAnsi="Arial" w:cs="Arial"/>
              </w:rPr>
              <w:t xml:space="preserve">on full-text articles in English, Portuguese, and Spanish that directly addressed the neurological impacts of </w:t>
            </w:r>
            <w:proofErr w:type="spellStart"/>
            <w:r>
              <w:rPr>
                <w:rFonts w:ascii="Arial" w:eastAsia="Arial" w:hAnsi="Arial" w:cs="Arial"/>
              </w:rPr>
              <w:t>BoNT</w:t>
            </w:r>
            <w:proofErr w:type="spellEnd"/>
            <w:r>
              <w:rPr>
                <w:rFonts w:ascii="Arial" w:eastAsia="Arial" w:hAnsi="Arial" w:cs="Arial"/>
              </w:rPr>
              <w:t>-A. The review excluded duplicated materials, summaries, debates, and inaccessible content. The selected studies were analyzed through three a</w:t>
            </w:r>
            <w:r>
              <w:rPr>
                <w:rFonts w:ascii="Arial" w:eastAsia="Arial" w:hAnsi="Arial" w:cs="Arial"/>
              </w:rPr>
              <w:t>xes: identification of neurological side effects, impacts on motor and sensory function, and mechanisms of influence on the central nervous system.</w:t>
            </w:r>
          </w:p>
          <w:p w14:paraId="74716BA1" w14:textId="77777777" w:rsidR="00D7422B" w:rsidRDefault="004C02FD">
            <w:pPr>
              <w:jc w:val="both"/>
              <w:rPr>
                <w:rFonts w:ascii="Arial" w:eastAsia="Arial" w:hAnsi="Arial" w:cs="Arial"/>
              </w:rPr>
            </w:pPr>
            <w:r>
              <w:rPr>
                <w:rFonts w:ascii="Arial" w:eastAsia="Arial" w:hAnsi="Arial" w:cs="Arial"/>
                <w:b/>
              </w:rPr>
              <w:t>Results:</w:t>
            </w:r>
            <w:r>
              <w:rPr>
                <w:rFonts w:ascii="Arial" w:eastAsia="Arial" w:hAnsi="Arial" w:cs="Arial"/>
              </w:rPr>
              <w:t xml:space="preserve"> Findings indicated that </w:t>
            </w:r>
            <w:proofErr w:type="spellStart"/>
            <w:r>
              <w:rPr>
                <w:rFonts w:ascii="Arial" w:eastAsia="Arial" w:hAnsi="Arial" w:cs="Arial"/>
              </w:rPr>
              <w:t>BoNT</w:t>
            </w:r>
            <w:proofErr w:type="spellEnd"/>
            <w:r>
              <w:rPr>
                <w:rFonts w:ascii="Arial" w:eastAsia="Arial" w:hAnsi="Arial" w:cs="Arial"/>
              </w:rPr>
              <w:t>-A is generally effective and safe for motor conditions such as spastic</w:t>
            </w:r>
            <w:r>
              <w:rPr>
                <w:rFonts w:ascii="Arial" w:eastAsia="Arial" w:hAnsi="Arial" w:cs="Arial"/>
              </w:rPr>
              <w:t xml:space="preserve">ity and facial paralysis, though long-term use may result in mild to moderate adverse effects, including fatigue and muscle weakness. In chronic migraine treatment, </w:t>
            </w:r>
            <w:proofErr w:type="spellStart"/>
            <w:r>
              <w:rPr>
                <w:rFonts w:ascii="Arial" w:eastAsia="Arial" w:hAnsi="Arial" w:cs="Arial"/>
              </w:rPr>
              <w:t>BoNT</w:t>
            </w:r>
            <w:proofErr w:type="spellEnd"/>
            <w:r>
              <w:rPr>
                <w:rFonts w:ascii="Arial" w:eastAsia="Arial" w:hAnsi="Arial" w:cs="Arial"/>
              </w:rPr>
              <w:t>-A showed significant improvement in pain frequency and quality of life. Potential retr</w:t>
            </w:r>
            <w:r>
              <w:rPr>
                <w:rFonts w:ascii="Arial" w:eastAsia="Arial" w:hAnsi="Arial" w:cs="Arial"/>
              </w:rPr>
              <w:t>ograde transport of the toxin suggests central nervous system involvement. Statistical values were not derived as this was a literature-based review, but recurrent patterns across studies support the findings.</w:t>
            </w:r>
          </w:p>
          <w:p w14:paraId="3E3B02D7" w14:textId="77777777" w:rsidR="00D7422B" w:rsidRDefault="004C02FD">
            <w:pPr>
              <w:jc w:val="both"/>
              <w:rPr>
                <w:rFonts w:ascii="Arial" w:eastAsia="Arial" w:hAnsi="Arial" w:cs="Arial"/>
              </w:rPr>
            </w:pPr>
            <w:r>
              <w:rPr>
                <w:rFonts w:ascii="Arial" w:eastAsia="Arial" w:hAnsi="Arial" w:cs="Arial"/>
                <w:b/>
              </w:rPr>
              <w:t>Conclusion:</w:t>
            </w:r>
            <w:r>
              <w:rPr>
                <w:rFonts w:ascii="Arial" w:eastAsia="Arial" w:hAnsi="Arial" w:cs="Arial"/>
              </w:rPr>
              <w:t xml:space="preserve"> Botulinum toxin type A remains a v</w:t>
            </w:r>
            <w:r>
              <w:rPr>
                <w:rFonts w:ascii="Arial" w:eastAsia="Arial" w:hAnsi="Arial" w:cs="Arial"/>
              </w:rPr>
              <w:t>aluable therapeutic option; however, prolonged administration requires caution and individualized monitoring. Further research is necessary to fully understand its central mechanisms and to establish safer, optimized protocols for long-term neurological ap</w:t>
            </w:r>
            <w:r>
              <w:rPr>
                <w:rFonts w:ascii="Arial" w:eastAsia="Arial" w:hAnsi="Arial" w:cs="Arial"/>
              </w:rPr>
              <w:t>plications.</w:t>
            </w:r>
          </w:p>
        </w:tc>
      </w:tr>
    </w:tbl>
    <w:p w14:paraId="128C3B21" w14:textId="77777777" w:rsidR="00D7422B" w:rsidRDefault="00D7422B">
      <w:pPr>
        <w:pBdr>
          <w:top w:val="nil"/>
          <w:left w:val="nil"/>
          <w:bottom w:val="nil"/>
          <w:right w:val="nil"/>
          <w:between w:val="nil"/>
        </w:pBdr>
        <w:jc w:val="both"/>
        <w:rPr>
          <w:rFonts w:ascii="Arial" w:eastAsia="Arial" w:hAnsi="Arial" w:cs="Arial"/>
          <w:i/>
          <w:color w:val="000000"/>
        </w:rPr>
      </w:pPr>
    </w:p>
    <w:p w14:paraId="28C51477" w14:textId="77777777" w:rsidR="00D7422B" w:rsidRDefault="004C02FD">
      <w:pPr>
        <w:jc w:val="both"/>
        <w:rPr>
          <w:rFonts w:ascii="Arial" w:eastAsia="Arial" w:hAnsi="Arial" w:cs="Arial"/>
          <w:i/>
        </w:rPr>
      </w:pPr>
      <w:r>
        <w:rPr>
          <w:rFonts w:ascii="Arial" w:eastAsia="Arial" w:hAnsi="Arial" w:cs="Arial"/>
          <w:i/>
        </w:rPr>
        <w:t>Keywords: Botulinum Toxin, Neurological Effects, Chronic Migraine, Motor Function, Neurotoxicity, Central Nervous System, Long-Term Use.</w:t>
      </w:r>
    </w:p>
    <w:p w14:paraId="3D85B7DE" w14:textId="77777777" w:rsidR="00D7422B" w:rsidRDefault="004C02FD">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1. </w:t>
      </w:r>
      <w:r>
        <w:rPr>
          <w:rFonts w:ascii="Arial" w:eastAsia="Arial" w:hAnsi="Arial" w:cs="Arial"/>
          <w:b/>
          <w:smallCaps/>
          <w:sz w:val="22"/>
          <w:szCs w:val="22"/>
        </w:rPr>
        <w:t>INTRODUCTION</w:t>
      </w:r>
    </w:p>
    <w:p w14:paraId="4DEB943E" w14:textId="77777777" w:rsidR="00D7422B" w:rsidRDefault="004C02FD">
      <w:pPr>
        <w:spacing w:before="240" w:after="200"/>
        <w:jc w:val="both"/>
        <w:rPr>
          <w:rFonts w:ascii="Arial" w:eastAsia="Arial" w:hAnsi="Arial" w:cs="Arial"/>
          <w:sz w:val="22"/>
          <w:szCs w:val="22"/>
        </w:rPr>
      </w:pPr>
      <w:r>
        <w:rPr>
          <w:rFonts w:ascii="Arial" w:eastAsia="Arial" w:hAnsi="Arial" w:cs="Arial"/>
          <w:sz w:val="22"/>
          <w:szCs w:val="22"/>
        </w:rPr>
        <w:t>Botulinum toxin type A (</w:t>
      </w:r>
      <w:proofErr w:type="spellStart"/>
      <w:r>
        <w:rPr>
          <w:rFonts w:ascii="Arial" w:eastAsia="Arial" w:hAnsi="Arial" w:cs="Arial"/>
          <w:sz w:val="22"/>
          <w:szCs w:val="22"/>
        </w:rPr>
        <w:t>BoNT</w:t>
      </w:r>
      <w:proofErr w:type="spellEnd"/>
      <w:r>
        <w:rPr>
          <w:rFonts w:ascii="Arial" w:eastAsia="Arial" w:hAnsi="Arial" w:cs="Arial"/>
          <w:sz w:val="22"/>
          <w:szCs w:val="22"/>
        </w:rPr>
        <w:t>-A) is widely used in medicine, especially for treating conditions such as spasticity, chronic migraines, and motor disorders. Its mechanism of action is based on preventing the release of acetylcholine at neuromuscular junction</w:t>
      </w:r>
      <w:r>
        <w:rPr>
          <w:rFonts w:ascii="Arial" w:eastAsia="Arial" w:hAnsi="Arial" w:cs="Arial"/>
          <w:sz w:val="22"/>
          <w:szCs w:val="22"/>
        </w:rPr>
        <w:t xml:space="preserve">s, promoting muscle relaxation and relief from pain associated with neurological conditions </w:t>
      </w:r>
      <w:r>
        <w:rPr>
          <w:rFonts w:ascii="Arial" w:eastAsia="Arial" w:hAnsi="Arial" w:cs="Arial"/>
          <w:sz w:val="22"/>
          <w:szCs w:val="22"/>
          <w:vertAlign w:val="superscript"/>
        </w:rPr>
        <w:t>(1)</w:t>
      </w:r>
      <w:r>
        <w:rPr>
          <w:rFonts w:ascii="Arial" w:eastAsia="Arial" w:hAnsi="Arial" w:cs="Arial"/>
          <w:sz w:val="22"/>
          <w:szCs w:val="22"/>
        </w:rPr>
        <w:t>. However, the prolonged use of this therapy has raised concerns about possible side effects, particularly in the central and peripheral nervous systems, highlig</w:t>
      </w:r>
      <w:r>
        <w:rPr>
          <w:rFonts w:ascii="Arial" w:eastAsia="Arial" w:hAnsi="Arial" w:cs="Arial"/>
          <w:sz w:val="22"/>
          <w:szCs w:val="22"/>
        </w:rPr>
        <w:t xml:space="preserve">hting the need for more detailed studies on its neurological implications </w:t>
      </w:r>
      <w:r>
        <w:rPr>
          <w:rFonts w:ascii="Arial" w:eastAsia="Arial" w:hAnsi="Arial" w:cs="Arial"/>
          <w:sz w:val="22"/>
          <w:szCs w:val="22"/>
          <w:vertAlign w:val="superscript"/>
        </w:rPr>
        <w:t>(2)(3)</w:t>
      </w:r>
      <w:r>
        <w:rPr>
          <w:rFonts w:ascii="Arial" w:eastAsia="Arial" w:hAnsi="Arial" w:cs="Arial"/>
          <w:sz w:val="22"/>
          <w:szCs w:val="22"/>
        </w:rPr>
        <w:t>.</w:t>
      </w:r>
      <w:r>
        <w:rPr>
          <w:rFonts w:ascii="Arial" w:eastAsia="Arial" w:hAnsi="Arial" w:cs="Arial"/>
          <w:sz w:val="22"/>
          <w:szCs w:val="22"/>
        </w:rPr>
        <w:br/>
      </w:r>
      <w:r>
        <w:rPr>
          <w:rFonts w:ascii="Arial" w:eastAsia="Arial" w:hAnsi="Arial" w:cs="Arial"/>
          <w:sz w:val="22"/>
          <w:szCs w:val="22"/>
        </w:rPr>
        <w:br/>
      </w:r>
      <w:r>
        <w:rPr>
          <w:rFonts w:ascii="Arial" w:eastAsia="Arial" w:hAnsi="Arial" w:cs="Arial"/>
          <w:sz w:val="22"/>
          <w:szCs w:val="22"/>
        </w:rPr>
        <w:lastRenderedPageBreak/>
        <w:t xml:space="preserve"> The neurological side effects of long-term </w:t>
      </w:r>
      <w:proofErr w:type="spellStart"/>
      <w:r>
        <w:rPr>
          <w:rFonts w:ascii="Arial" w:eastAsia="Arial" w:hAnsi="Arial" w:cs="Arial"/>
          <w:sz w:val="22"/>
          <w:szCs w:val="22"/>
        </w:rPr>
        <w:t>BoNT</w:t>
      </w:r>
      <w:proofErr w:type="spellEnd"/>
      <w:r>
        <w:rPr>
          <w:rFonts w:ascii="Arial" w:eastAsia="Arial" w:hAnsi="Arial" w:cs="Arial"/>
          <w:sz w:val="22"/>
          <w:szCs w:val="22"/>
        </w:rPr>
        <w:t>-A use are an area of growing interest. Reports indicate that, although the therapeutic benefits are evident, there are impai</w:t>
      </w:r>
      <w:r>
        <w:rPr>
          <w:rFonts w:ascii="Arial" w:eastAsia="Arial" w:hAnsi="Arial" w:cs="Arial"/>
          <w:sz w:val="22"/>
          <w:szCs w:val="22"/>
        </w:rPr>
        <w:t>rments related to changes in the nervous system, such as local muscle atrophy and potential effects on central neural structures. Studies show that retrograde transport of the toxin along neurons may influence regions distant from the application site, sug</w:t>
      </w:r>
      <w:r>
        <w:rPr>
          <w:rFonts w:ascii="Arial" w:eastAsia="Arial" w:hAnsi="Arial" w:cs="Arial"/>
          <w:sz w:val="22"/>
          <w:szCs w:val="22"/>
        </w:rPr>
        <w:t xml:space="preserve">gesting an impact beyond the peripheral level </w:t>
      </w:r>
      <w:r>
        <w:rPr>
          <w:rFonts w:ascii="Arial" w:eastAsia="Arial" w:hAnsi="Arial" w:cs="Arial"/>
          <w:sz w:val="22"/>
          <w:szCs w:val="22"/>
          <w:vertAlign w:val="superscript"/>
        </w:rPr>
        <w:t>(4)(5)</w:t>
      </w:r>
      <w:r>
        <w:rPr>
          <w:rFonts w:ascii="Arial" w:eastAsia="Arial" w:hAnsi="Arial" w:cs="Arial"/>
          <w:sz w:val="22"/>
          <w:szCs w:val="22"/>
        </w:rPr>
        <w:t>.</w:t>
      </w:r>
      <w:r>
        <w:rPr>
          <w:rFonts w:ascii="Arial" w:eastAsia="Arial" w:hAnsi="Arial" w:cs="Arial"/>
          <w:sz w:val="22"/>
          <w:szCs w:val="22"/>
        </w:rPr>
        <w:br/>
      </w:r>
      <w:r>
        <w:rPr>
          <w:rFonts w:ascii="Arial" w:eastAsia="Arial" w:hAnsi="Arial" w:cs="Arial"/>
          <w:sz w:val="22"/>
          <w:szCs w:val="22"/>
        </w:rPr>
        <w:br/>
        <w:t xml:space="preserve"> Epidemiologically, the use of botulinum toxin is associated with adverse effects in a specific subset of patients. In studies with children with cerebral palsy, mild to moderate adverse events were re</w:t>
      </w:r>
      <w:r>
        <w:rPr>
          <w:rFonts w:ascii="Arial" w:eastAsia="Arial" w:hAnsi="Arial" w:cs="Arial"/>
          <w:sz w:val="22"/>
          <w:szCs w:val="22"/>
        </w:rPr>
        <w:t xml:space="preserve">ported in 51% of applications, while more serious complications, such as generalized weakness, are rare but present. In adults, long-term use for chronic migraines has shown sustained efficacy in up to 75% of patients after one year of treatment, although </w:t>
      </w:r>
      <w:r>
        <w:rPr>
          <w:rFonts w:ascii="Arial" w:eastAsia="Arial" w:hAnsi="Arial" w:cs="Arial"/>
          <w:sz w:val="22"/>
          <w:szCs w:val="22"/>
        </w:rPr>
        <w:t xml:space="preserve">events such as muscle atrophy have been observed after five years of continuous use </w:t>
      </w:r>
      <w:r>
        <w:rPr>
          <w:rFonts w:ascii="Arial" w:eastAsia="Arial" w:hAnsi="Arial" w:cs="Arial"/>
          <w:sz w:val="22"/>
          <w:szCs w:val="22"/>
          <w:vertAlign w:val="superscript"/>
        </w:rPr>
        <w:t>(6)(2)</w:t>
      </w:r>
      <w:r>
        <w:rPr>
          <w:rFonts w:ascii="Arial" w:eastAsia="Arial" w:hAnsi="Arial" w:cs="Arial"/>
          <w:sz w:val="22"/>
          <w:szCs w:val="22"/>
        </w:rPr>
        <w:t>.</w:t>
      </w:r>
      <w:r>
        <w:rPr>
          <w:rFonts w:ascii="Arial" w:eastAsia="Arial" w:hAnsi="Arial" w:cs="Arial"/>
          <w:sz w:val="22"/>
          <w:szCs w:val="22"/>
        </w:rPr>
        <w:br/>
      </w:r>
      <w:r>
        <w:rPr>
          <w:rFonts w:ascii="Arial" w:eastAsia="Arial" w:hAnsi="Arial" w:cs="Arial"/>
          <w:sz w:val="22"/>
          <w:szCs w:val="22"/>
        </w:rPr>
        <w:br/>
        <w:t xml:space="preserve"> Additionally, there is growing concern about how </w:t>
      </w:r>
      <w:proofErr w:type="spellStart"/>
      <w:r>
        <w:rPr>
          <w:rFonts w:ascii="Arial" w:eastAsia="Arial" w:hAnsi="Arial" w:cs="Arial"/>
          <w:sz w:val="22"/>
          <w:szCs w:val="22"/>
        </w:rPr>
        <w:t>BoNT</w:t>
      </w:r>
      <w:proofErr w:type="spellEnd"/>
      <w:r>
        <w:rPr>
          <w:rFonts w:ascii="Arial" w:eastAsia="Arial" w:hAnsi="Arial" w:cs="Arial"/>
          <w:sz w:val="22"/>
          <w:szCs w:val="22"/>
        </w:rPr>
        <w:t>-A’s effects may impact patients' long-term quality of life. A reduction in the number of pain days is eviden</w:t>
      </w:r>
      <w:r>
        <w:rPr>
          <w:rFonts w:ascii="Arial" w:eastAsia="Arial" w:hAnsi="Arial" w:cs="Arial"/>
          <w:sz w:val="22"/>
          <w:szCs w:val="22"/>
        </w:rPr>
        <w:t xml:space="preserve">t, but adverse effects such as muscle injuries and functional changes may limit treatment adherence. Patients with chronic migraines who combined </w:t>
      </w:r>
      <w:proofErr w:type="spellStart"/>
      <w:r>
        <w:rPr>
          <w:rFonts w:ascii="Arial" w:eastAsia="Arial" w:hAnsi="Arial" w:cs="Arial"/>
          <w:sz w:val="22"/>
          <w:szCs w:val="22"/>
        </w:rPr>
        <w:t>BoNT</w:t>
      </w:r>
      <w:proofErr w:type="spellEnd"/>
      <w:r>
        <w:rPr>
          <w:rFonts w:ascii="Arial" w:eastAsia="Arial" w:hAnsi="Arial" w:cs="Arial"/>
          <w:sz w:val="22"/>
          <w:szCs w:val="22"/>
        </w:rPr>
        <w:t>-A with CGRP inhibitors experienced significant improvements, reinforcing the need for combined approaches</w:t>
      </w:r>
      <w:r>
        <w:rPr>
          <w:rFonts w:ascii="Arial" w:eastAsia="Arial" w:hAnsi="Arial" w:cs="Arial"/>
          <w:sz w:val="22"/>
          <w:szCs w:val="22"/>
        </w:rPr>
        <w:t xml:space="preserve"> to minimize side effects while maximizing efficacy </w:t>
      </w:r>
      <w:r>
        <w:rPr>
          <w:rFonts w:ascii="Arial" w:eastAsia="Arial" w:hAnsi="Arial" w:cs="Arial"/>
          <w:sz w:val="22"/>
          <w:szCs w:val="22"/>
          <w:vertAlign w:val="superscript"/>
        </w:rPr>
        <w:t>(7)(8)</w:t>
      </w:r>
      <w:r>
        <w:rPr>
          <w:rFonts w:ascii="Arial" w:eastAsia="Arial" w:hAnsi="Arial" w:cs="Arial"/>
          <w:sz w:val="22"/>
          <w:szCs w:val="22"/>
        </w:rPr>
        <w:t>.</w:t>
      </w:r>
      <w:r>
        <w:rPr>
          <w:rFonts w:ascii="Arial" w:eastAsia="Arial" w:hAnsi="Arial" w:cs="Arial"/>
          <w:sz w:val="22"/>
          <w:szCs w:val="22"/>
        </w:rPr>
        <w:br/>
      </w:r>
      <w:r>
        <w:rPr>
          <w:rFonts w:ascii="Arial" w:eastAsia="Arial" w:hAnsi="Arial" w:cs="Arial"/>
          <w:sz w:val="22"/>
          <w:szCs w:val="22"/>
        </w:rPr>
        <w:br/>
        <w:t xml:space="preserve"> Therefore, understanding the mechanisms underlying </w:t>
      </w:r>
      <w:proofErr w:type="spellStart"/>
      <w:r>
        <w:rPr>
          <w:rFonts w:ascii="Arial" w:eastAsia="Arial" w:hAnsi="Arial" w:cs="Arial"/>
          <w:sz w:val="22"/>
          <w:szCs w:val="22"/>
        </w:rPr>
        <w:t>BoNT</w:t>
      </w:r>
      <w:proofErr w:type="spellEnd"/>
      <w:r>
        <w:rPr>
          <w:rFonts w:ascii="Arial" w:eastAsia="Arial" w:hAnsi="Arial" w:cs="Arial"/>
          <w:sz w:val="22"/>
          <w:szCs w:val="22"/>
        </w:rPr>
        <w:t>-A’s neurological side effects is essential to improve its clinical use. This study aims to analyze how prolonged use of this therapy may i</w:t>
      </w:r>
      <w:r>
        <w:rPr>
          <w:rFonts w:ascii="Arial" w:eastAsia="Arial" w:hAnsi="Arial" w:cs="Arial"/>
          <w:sz w:val="22"/>
          <w:szCs w:val="22"/>
        </w:rPr>
        <w:t xml:space="preserve">nfluence neurological function, justified by the need to fill gaps in scientific knowledge and inform both professionals and patients about best clinical practices and potential risks involved in </w:t>
      </w:r>
      <w:proofErr w:type="spellStart"/>
      <w:r>
        <w:rPr>
          <w:rFonts w:ascii="Arial" w:eastAsia="Arial" w:hAnsi="Arial" w:cs="Arial"/>
          <w:sz w:val="22"/>
          <w:szCs w:val="22"/>
        </w:rPr>
        <w:t>BoNT</w:t>
      </w:r>
      <w:proofErr w:type="spellEnd"/>
      <w:r>
        <w:rPr>
          <w:rFonts w:ascii="Arial" w:eastAsia="Arial" w:hAnsi="Arial" w:cs="Arial"/>
          <w:sz w:val="22"/>
          <w:szCs w:val="22"/>
        </w:rPr>
        <w:t xml:space="preserve">-A treatment </w:t>
      </w:r>
      <w:r>
        <w:rPr>
          <w:rFonts w:ascii="Arial" w:eastAsia="Arial" w:hAnsi="Arial" w:cs="Arial"/>
          <w:sz w:val="22"/>
          <w:szCs w:val="22"/>
          <w:vertAlign w:val="superscript"/>
        </w:rPr>
        <w:t>(3)(2)</w:t>
      </w:r>
      <w:r>
        <w:rPr>
          <w:rFonts w:ascii="Arial" w:eastAsia="Arial" w:hAnsi="Arial" w:cs="Arial"/>
          <w:sz w:val="22"/>
          <w:szCs w:val="22"/>
        </w:rPr>
        <w:t>.</w:t>
      </w:r>
    </w:p>
    <w:p w14:paraId="61A2EB22" w14:textId="77777777" w:rsidR="00D7422B" w:rsidRDefault="00D7422B"/>
    <w:p w14:paraId="422364AC" w14:textId="77777777" w:rsidR="00D7422B" w:rsidRDefault="00D7422B">
      <w:pPr>
        <w:pBdr>
          <w:top w:val="nil"/>
          <w:left w:val="nil"/>
          <w:bottom w:val="nil"/>
          <w:right w:val="nil"/>
          <w:between w:val="nil"/>
        </w:pBdr>
        <w:jc w:val="both"/>
        <w:rPr>
          <w:rFonts w:ascii="Arial" w:eastAsia="Arial" w:hAnsi="Arial" w:cs="Arial"/>
          <w:color w:val="000000"/>
        </w:rPr>
      </w:pPr>
    </w:p>
    <w:p w14:paraId="62D9F4D9" w14:textId="77777777" w:rsidR="00D7422B" w:rsidRDefault="004C02FD">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METHODOLOGY</w:t>
      </w:r>
    </w:p>
    <w:p w14:paraId="5E9304EB" w14:textId="77777777" w:rsidR="00D7422B" w:rsidRDefault="004C02FD">
      <w:pPr>
        <w:pBdr>
          <w:top w:val="nil"/>
          <w:left w:val="nil"/>
          <w:bottom w:val="nil"/>
          <w:right w:val="nil"/>
          <w:between w:val="nil"/>
        </w:pBdr>
        <w:spacing w:before="240" w:after="200"/>
        <w:jc w:val="both"/>
        <w:rPr>
          <w:rFonts w:ascii="Arial" w:eastAsia="Arial" w:hAnsi="Arial" w:cs="Arial"/>
          <w:sz w:val="22"/>
          <w:szCs w:val="22"/>
        </w:rPr>
      </w:pPr>
      <w:r>
        <w:rPr>
          <w:rFonts w:ascii="Arial" w:eastAsia="Arial" w:hAnsi="Arial" w:cs="Arial"/>
          <w:sz w:val="22"/>
          <w:szCs w:val="22"/>
        </w:rPr>
        <w:t>This is a bibliogr</w:t>
      </w:r>
      <w:r>
        <w:rPr>
          <w:rFonts w:ascii="Arial" w:eastAsia="Arial" w:hAnsi="Arial" w:cs="Arial"/>
          <w:sz w:val="22"/>
          <w:szCs w:val="22"/>
        </w:rPr>
        <w:t xml:space="preserve">aphic study of the exploratory-descriptive type with a qualitative approach, developed based on data extracted from scientific literature. According to Gil (9), a bibliographic study is carried out using pre-existing materials, such as scientific articles </w:t>
      </w:r>
      <w:r>
        <w:rPr>
          <w:rFonts w:ascii="Arial" w:eastAsia="Arial" w:hAnsi="Arial" w:cs="Arial"/>
          <w:sz w:val="22"/>
          <w:szCs w:val="22"/>
        </w:rPr>
        <w:t>and books, with the goal of constructing a theoretical overview of the subject in question. The exploratory nature of the study is reflected in the detailed literature review and the analysis of examples that clarify concepts and allow the development of h</w:t>
      </w:r>
      <w:r>
        <w:rPr>
          <w:rFonts w:ascii="Arial" w:eastAsia="Arial" w:hAnsi="Arial" w:cs="Arial"/>
          <w:sz w:val="22"/>
          <w:szCs w:val="22"/>
        </w:rPr>
        <w:t>ypotheses for future investigations.</w:t>
      </w:r>
    </w:p>
    <w:p w14:paraId="49308E47" w14:textId="77777777" w:rsidR="00D7422B" w:rsidRDefault="004C02FD">
      <w:pPr>
        <w:pBdr>
          <w:top w:val="nil"/>
          <w:left w:val="nil"/>
          <w:bottom w:val="nil"/>
          <w:right w:val="nil"/>
          <w:between w:val="nil"/>
        </w:pBdr>
        <w:spacing w:before="240" w:after="200"/>
        <w:jc w:val="both"/>
        <w:rPr>
          <w:rFonts w:ascii="Arial" w:eastAsia="Arial" w:hAnsi="Arial" w:cs="Arial"/>
          <w:sz w:val="22"/>
          <w:szCs w:val="22"/>
        </w:rPr>
      </w:pPr>
      <w:r>
        <w:rPr>
          <w:rFonts w:ascii="Arial" w:eastAsia="Arial" w:hAnsi="Arial" w:cs="Arial"/>
          <w:sz w:val="22"/>
          <w:szCs w:val="22"/>
        </w:rPr>
        <w:t>This approach aims to provide greater insight into the neurological side effects of botulinum toxin, with an emphasis on its long-term impacts on the central and peripheral nervous systems.</w:t>
      </w:r>
    </w:p>
    <w:p w14:paraId="66CF0AA3" w14:textId="77777777" w:rsidR="00D7422B" w:rsidRDefault="004C02FD">
      <w:pPr>
        <w:pBdr>
          <w:top w:val="nil"/>
          <w:left w:val="nil"/>
          <w:bottom w:val="nil"/>
          <w:right w:val="nil"/>
          <w:between w:val="nil"/>
        </w:pBdr>
        <w:spacing w:before="240" w:after="200"/>
        <w:jc w:val="both"/>
        <w:rPr>
          <w:rFonts w:ascii="Arial" w:eastAsia="Arial" w:hAnsi="Arial" w:cs="Arial"/>
          <w:sz w:val="22"/>
          <w:szCs w:val="22"/>
        </w:rPr>
      </w:pPr>
      <w:r>
        <w:rPr>
          <w:rFonts w:ascii="Arial" w:eastAsia="Arial" w:hAnsi="Arial" w:cs="Arial"/>
          <w:sz w:val="22"/>
          <w:szCs w:val="22"/>
        </w:rPr>
        <w:t xml:space="preserve">According to Gonçalves (10), </w:t>
      </w:r>
      <w:r>
        <w:rPr>
          <w:rFonts w:ascii="Arial" w:eastAsia="Arial" w:hAnsi="Arial" w:cs="Arial"/>
          <w:sz w:val="22"/>
          <w:szCs w:val="22"/>
        </w:rPr>
        <w:t>descriptive research seeks to record, analyze, and interpret observed facts, often establishing relationships between them. This qualitative study prioritized the value of the information obtained to understand the implications of botulinum toxin in depth,</w:t>
      </w:r>
      <w:r>
        <w:rPr>
          <w:rFonts w:ascii="Arial" w:eastAsia="Arial" w:hAnsi="Arial" w:cs="Arial"/>
          <w:sz w:val="22"/>
          <w:szCs w:val="22"/>
        </w:rPr>
        <w:t xml:space="preserve"> going beyond the quantitative profile of the </w:t>
      </w:r>
      <w:r>
        <w:rPr>
          <w:rFonts w:ascii="Arial" w:eastAsia="Arial" w:hAnsi="Arial" w:cs="Arial"/>
          <w:sz w:val="22"/>
          <w:szCs w:val="22"/>
        </w:rPr>
        <w:lastRenderedPageBreak/>
        <w:t>data. This approach made it possible to explore more complex dimensions, facilitating the construction of scenarios that integrate the effects of the toxin over time (11).</w:t>
      </w:r>
    </w:p>
    <w:p w14:paraId="2FD80F0B" w14:textId="77777777" w:rsidR="00D7422B" w:rsidRDefault="004C02FD">
      <w:pPr>
        <w:pBdr>
          <w:top w:val="nil"/>
          <w:left w:val="nil"/>
          <w:bottom w:val="nil"/>
          <w:right w:val="nil"/>
          <w:between w:val="nil"/>
        </w:pBdr>
        <w:spacing w:before="240" w:after="200"/>
        <w:jc w:val="both"/>
        <w:rPr>
          <w:rFonts w:ascii="Arial" w:eastAsia="Arial" w:hAnsi="Arial" w:cs="Arial"/>
          <w:sz w:val="22"/>
          <w:szCs w:val="22"/>
        </w:rPr>
      </w:pPr>
      <w:r>
        <w:rPr>
          <w:rFonts w:ascii="Arial" w:eastAsia="Arial" w:hAnsi="Arial" w:cs="Arial"/>
          <w:sz w:val="22"/>
          <w:szCs w:val="22"/>
        </w:rPr>
        <w:t xml:space="preserve">Data collection was carried out </w:t>
      </w:r>
      <w:r>
        <w:rPr>
          <w:rFonts w:ascii="Arial" w:eastAsia="Arial" w:hAnsi="Arial" w:cs="Arial"/>
          <w:sz w:val="22"/>
          <w:szCs w:val="22"/>
        </w:rPr>
        <w:t>through a bibliographic survey of scientific publications related to the topic from 2013 to 2023. Inclusion criteria encompassed full-text articles aligned with the theme and available in Portuguese, English, and Spanish. Exclusion criteria included duplic</w:t>
      </w:r>
      <w:r>
        <w:rPr>
          <w:rFonts w:ascii="Arial" w:eastAsia="Arial" w:hAnsi="Arial" w:cs="Arial"/>
          <w:sz w:val="22"/>
          <w:szCs w:val="22"/>
        </w:rPr>
        <w:t xml:space="preserve">ate articles, reviews, abstracts, debates, and incomplete or unavailable materials. The databases consulted were PubMed, </w:t>
      </w:r>
      <w:proofErr w:type="spellStart"/>
      <w:r>
        <w:rPr>
          <w:rFonts w:ascii="Arial" w:eastAsia="Arial" w:hAnsi="Arial" w:cs="Arial"/>
          <w:sz w:val="22"/>
          <w:szCs w:val="22"/>
        </w:rPr>
        <w:t>SciELO</w:t>
      </w:r>
      <w:proofErr w:type="spellEnd"/>
      <w:r>
        <w:rPr>
          <w:rFonts w:ascii="Arial" w:eastAsia="Arial" w:hAnsi="Arial" w:cs="Arial"/>
          <w:sz w:val="22"/>
          <w:szCs w:val="22"/>
        </w:rPr>
        <w:t xml:space="preserve">, and the Virtual Health Library (VHL). For the research, keywords selected from </w:t>
      </w:r>
      <w:proofErr w:type="spellStart"/>
      <w:r>
        <w:rPr>
          <w:rFonts w:ascii="Arial" w:eastAsia="Arial" w:hAnsi="Arial" w:cs="Arial"/>
          <w:sz w:val="22"/>
          <w:szCs w:val="22"/>
        </w:rPr>
        <w:t>DeCS</w:t>
      </w:r>
      <w:proofErr w:type="spellEnd"/>
      <w:r>
        <w:rPr>
          <w:rFonts w:ascii="Arial" w:eastAsia="Arial" w:hAnsi="Arial" w:cs="Arial"/>
          <w:sz w:val="22"/>
          <w:szCs w:val="22"/>
        </w:rPr>
        <w:t xml:space="preserve"> were used: neurological side effects, botul</w:t>
      </w:r>
      <w:r>
        <w:rPr>
          <w:rFonts w:ascii="Arial" w:eastAsia="Arial" w:hAnsi="Arial" w:cs="Arial"/>
          <w:sz w:val="22"/>
          <w:szCs w:val="22"/>
        </w:rPr>
        <w:t>inum toxin, central nervous system, and peripheral nervous system, with the aid of the Boolean operators “AND” and “OR.”</w:t>
      </w:r>
    </w:p>
    <w:p w14:paraId="0EC5EE31" w14:textId="77777777" w:rsidR="00D7422B" w:rsidRDefault="004C02FD">
      <w:pPr>
        <w:pBdr>
          <w:top w:val="nil"/>
          <w:left w:val="nil"/>
          <w:bottom w:val="nil"/>
          <w:right w:val="nil"/>
          <w:between w:val="nil"/>
        </w:pBdr>
        <w:spacing w:before="240" w:after="200"/>
        <w:jc w:val="both"/>
        <w:rPr>
          <w:rFonts w:ascii="Arial" w:eastAsia="Arial" w:hAnsi="Arial" w:cs="Arial"/>
          <w:sz w:val="22"/>
          <w:szCs w:val="22"/>
        </w:rPr>
      </w:pPr>
      <w:r>
        <w:rPr>
          <w:rFonts w:ascii="Arial" w:eastAsia="Arial" w:hAnsi="Arial" w:cs="Arial"/>
          <w:sz w:val="22"/>
          <w:szCs w:val="22"/>
        </w:rPr>
        <w:t>After the initial screening, the selected articles underwent a critical and thorough reading and were organized into three main categor</w:t>
      </w:r>
      <w:r>
        <w:rPr>
          <w:rFonts w:ascii="Arial" w:eastAsia="Arial" w:hAnsi="Arial" w:cs="Arial"/>
          <w:sz w:val="22"/>
          <w:szCs w:val="22"/>
        </w:rPr>
        <w:t>ies: identification of neurological side effects, impact on motor and sensory function, and mechanisms of influence on the central nervous system. These categories were defined based on the specific objectives of the study, guiding data analysis and the st</w:t>
      </w:r>
      <w:r>
        <w:rPr>
          <w:rFonts w:ascii="Arial" w:eastAsia="Arial" w:hAnsi="Arial" w:cs="Arial"/>
          <w:sz w:val="22"/>
          <w:szCs w:val="22"/>
        </w:rPr>
        <w:t>ructuring of results. The construction of tables to synthesize the information allowed for a systematic and coherent evaluation.</w:t>
      </w:r>
    </w:p>
    <w:p w14:paraId="5A4F956E" w14:textId="77777777" w:rsidR="00D7422B" w:rsidRDefault="004C02FD">
      <w:pPr>
        <w:pBdr>
          <w:top w:val="nil"/>
          <w:left w:val="nil"/>
          <w:bottom w:val="nil"/>
          <w:right w:val="nil"/>
          <w:between w:val="nil"/>
        </w:pBdr>
        <w:spacing w:before="240" w:after="200"/>
        <w:jc w:val="both"/>
        <w:rPr>
          <w:rFonts w:ascii="Arial" w:eastAsia="Arial" w:hAnsi="Arial" w:cs="Arial"/>
          <w:sz w:val="22"/>
          <w:szCs w:val="22"/>
        </w:rPr>
      </w:pPr>
      <w:r>
        <w:rPr>
          <w:rFonts w:ascii="Arial" w:eastAsia="Arial" w:hAnsi="Arial" w:cs="Arial"/>
          <w:sz w:val="22"/>
          <w:szCs w:val="22"/>
        </w:rPr>
        <w:t>The methodology adopted was structured to ensure the robustness and validity of the results presented. This study sought to fil</w:t>
      </w:r>
      <w:r>
        <w:rPr>
          <w:rFonts w:ascii="Arial" w:eastAsia="Arial" w:hAnsi="Arial" w:cs="Arial"/>
          <w:sz w:val="22"/>
          <w:szCs w:val="22"/>
        </w:rPr>
        <w:t>l gaps in the knowledge regarding the neurological side effects of prolonged botulinum toxin use, contributing to advances in clinical practice and promoting a better understanding of the long-term implications of this treatment.</w:t>
      </w:r>
    </w:p>
    <w:p w14:paraId="3A248FAD" w14:textId="77777777" w:rsidR="00D7422B" w:rsidRDefault="00D7422B">
      <w:pPr>
        <w:keepNext/>
        <w:pBdr>
          <w:top w:val="nil"/>
          <w:left w:val="nil"/>
          <w:bottom w:val="nil"/>
          <w:right w:val="nil"/>
          <w:between w:val="nil"/>
        </w:pBdr>
        <w:jc w:val="both"/>
        <w:rPr>
          <w:rFonts w:ascii="Arial" w:eastAsia="Arial" w:hAnsi="Arial" w:cs="Arial"/>
          <w:b/>
          <w:smallCaps/>
          <w:sz w:val="22"/>
          <w:szCs w:val="22"/>
        </w:rPr>
      </w:pPr>
    </w:p>
    <w:p w14:paraId="27A8BD36" w14:textId="77777777" w:rsidR="00D7422B" w:rsidRDefault="00D7422B">
      <w:pPr>
        <w:pBdr>
          <w:top w:val="nil"/>
          <w:left w:val="nil"/>
          <w:bottom w:val="nil"/>
          <w:right w:val="nil"/>
          <w:between w:val="nil"/>
        </w:pBdr>
        <w:jc w:val="both"/>
        <w:rPr>
          <w:rFonts w:ascii="Arial" w:eastAsia="Arial" w:hAnsi="Arial" w:cs="Arial"/>
          <w:color w:val="000000"/>
        </w:rPr>
      </w:pPr>
    </w:p>
    <w:p w14:paraId="0F6F8089" w14:textId="77777777" w:rsidR="00D7422B" w:rsidRDefault="004C02FD">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3. </w:t>
      </w:r>
      <w:r>
        <w:rPr>
          <w:rFonts w:ascii="Arial" w:eastAsia="Arial" w:hAnsi="Arial" w:cs="Arial"/>
          <w:b/>
          <w:smallCaps/>
          <w:sz w:val="22"/>
          <w:szCs w:val="22"/>
        </w:rPr>
        <w:t xml:space="preserve">RESULTS AND </w:t>
      </w:r>
      <w:r>
        <w:rPr>
          <w:rFonts w:ascii="Arial" w:eastAsia="Arial" w:hAnsi="Arial" w:cs="Arial"/>
          <w:b/>
          <w:smallCaps/>
          <w:sz w:val="22"/>
          <w:szCs w:val="22"/>
        </w:rPr>
        <w:t>DISCUSSION</w:t>
      </w:r>
    </w:p>
    <w:p w14:paraId="43A2B8EC" w14:textId="77777777" w:rsidR="00D7422B" w:rsidRDefault="004C02FD">
      <w:pPr>
        <w:jc w:val="both"/>
        <w:rPr>
          <w:rFonts w:ascii="Arial" w:eastAsia="Arial" w:hAnsi="Arial" w:cs="Arial"/>
        </w:rPr>
      </w:pPr>
      <w:r>
        <w:rPr>
          <w:rFonts w:ascii="Arial" w:eastAsia="Arial" w:hAnsi="Arial" w:cs="Arial"/>
        </w:rPr>
        <w:t>3.1 Effects of Botulinum Toxin on Motor Function and Neuromuscular Coordination</w:t>
      </w:r>
    </w:p>
    <w:p w14:paraId="549D1591" w14:textId="77777777" w:rsidR="00D7422B" w:rsidRDefault="004C02FD">
      <w:pPr>
        <w:jc w:val="both"/>
        <w:rPr>
          <w:rFonts w:ascii="Arial" w:eastAsia="Arial" w:hAnsi="Arial" w:cs="Arial"/>
        </w:rPr>
      </w:pPr>
      <w:r>
        <w:rPr>
          <w:rFonts w:ascii="Arial" w:eastAsia="Arial" w:hAnsi="Arial" w:cs="Arial"/>
        </w:rPr>
        <w:t>Botulinum toxin type A (</w:t>
      </w:r>
      <w:proofErr w:type="spellStart"/>
      <w:r>
        <w:rPr>
          <w:rFonts w:ascii="Arial" w:eastAsia="Arial" w:hAnsi="Arial" w:cs="Arial"/>
        </w:rPr>
        <w:t>BoNT</w:t>
      </w:r>
      <w:proofErr w:type="spellEnd"/>
      <w:r>
        <w:rPr>
          <w:rFonts w:ascii="Arial" w:eastAsia="Arial" w:hAnsi="Arial" w:cs="Arial"/>
        </w:rPr>
        <w:t>-A) plays a key role in treating various neurological and muscular conditions. Its mechanism of action involves blocking the release of a</w:t>
      </w:r>
      <w:r>
        <w:rPr>
          <w:rFonts w:ascii="Arial" w:eastAsia="Arial" w:hAnsi="Arial" w:cs="Arial"/>
        </w:rPr>
        <w:t>cetylcholine at nerve endings, resulting in muscle relaxation. This effect is particularly useful in cases of peripheral facial palsy (PFP), where it helps reduce hypertonia, spasms, and synkinesis, improving functionality and facial symmetry. Additionally</w:t>
      </w:r>
      <w:r>
        <w:rPr>
          <w:rFonts w:ascii="Arial" w:eastAsia="Arial" w:hAnsi="Arial" w:cs="Arial"/>
        </w:rPr>
        <w:t xml:space="preserve">, by reducing sustained muscle contractions (SMCs), </w:t>
      </w:r>
      <w:proofErr w:type="spellStart"/>
      <w:r>
        <w:rPr>
          <w:rFonts w:ascii="Arial" w:eastAsia="Arial" w:hAnsi="Arial" w:cs="Arial"/>
        </w:rPr>
        <w:t>BoNT</w:t>
      </w:r>
      <w:proofErr w:type="spellEnd"/>
      <w:r>
        <w:rPr>
          <w:rFonts w:ascii="Arial" w:eastAsia="Arial" w:hAnsi="Arial" w:cs="Arial"/>
        </w:rPr>
        <w:t>-A promotes better neuromuscular progression and muscle control ⁽¹²⁾.</w:t>
      </w:r>
    </w:p>
    <w:p w14:paraId="295141BB" w14:textId="77777777" w:rsidR="00D7422B" w:rsidRDefault="004C02FD">
      <w:pPr>
        <w:jc w:val="both"/>
        <w:rPr>
          <w:rFonts w:ascii="Arial" w:eastAsia="Arial" w:hAnsi="Arial" w:cs="Arial"/>
        </w:rPr>
      </w:pPr>
      <w:r>
        <w:rPr>
          <w:rFonts w:ascii="Arial" w:eastAsia="Arial" w:hAnsi="Arial" w:cs="Arial"/>
        </w:rPr>
        <w:t xml:space="preserve">Studies have shown that applications of </w:t>
      </w:r>
      <w:proofErr w:type="spellStart"/>
      <w:r>
        <w:rPr>
          <w:rFonts w:ascii="Arial" w:eastAsia="Arial" w:hAnsi="Arial" w:cs="Arial"/>
        </w:rPr>
        <w:t>onabotulinumtoxinA</w:t>
      </w:r>
      <w:proofErr w:type="spellEnd"/>
      <w:r>
        <w:rPr>
          <w:rFonts w:ascii="Arial" w:eastAsia="Arial" w:hAnsi="Arial" w:cs="Arial"/>
        </w:rPr>
        <w:t xml:space="preserve"> (BOTOX) lead to muscle relaxation by binding to nerve terminals and cle</w:t>
      </w:r>
      <w:r>
        <w:rPr>
          <w:rFonts w:ascii="Arial" w:eastAsia="Arial" w:hAnsi="Arial" w:cs="Arial"/>
        </w:rPr>
        <w:t xml:space="preserve">aving proteins associated with synaptic vesicles, thereby preventing the release of acetylcholine ⁽¹³⁾. This mechanism is fundamental in the treatment of spasticity and related conditions, such as facial dystonia, where the prolonged efficacy of botulinum </w:t>
      </w:r>
      <w:r>
        <w:rPr>
          <w:rFonts w:ascii="Arial" w:eastAsia="Arial" w:hAnsi="Arial" w:cs="Arial"/>
        </w:rPr>
        <w:t>toxin eliminates the need for other neurotoxins with lower long-term effectiveness. However, adverse effects like tearing, diplopia, and ptosis may occur due to the local action of the neurotoxin on adjacent muscles ⁽¹⁴⁾.</w:t>
      </w:r>
    </w:p>
    <w:p w14:paraId="2D53658C" w14:textId="77777777" w:rsidR="00D7422B" w:rsidRDefault="004C02FD">
      <w:pPr>
        <w:jc w:val="both"/>
        <w:rPr>
          <w:rFonts w:ascii="Arial" w:eastAsia="Arial" w:hAnsi="Arial" w:cs="Arial"/>
        </w:rPr>
      </w:pPr>
      <w:r>
        <w:rPr>
          <w:rFonts w:ascii="Arial" w:eastAsia="Arial" w:hAnsi="Arial" w:cs="Arial"/>
        </w:rPr>
        <w:t xml:space="preserve">Botulinum toxin is also effective </w:t>
      </w:r>
      <w:r>
        <w:rPr>
          <w:rFonts w:ascii="Arial" w:eastAsia="Arial" w:hAnsi="Arial" w:cs="Arial"/>
        </w:rPr>
        <w:t xml:space="preserve">in treating hemifacial spasms and spasticity. Recent studies have shown that males are more likely to require triceps treatment, while females tend to seek therapy to improve hip performance. Evidence shows that both </w:t>
      </w:r>
      <w:proofErr w:type="spellStart"/>
      <w:r>
        <w:rPr>
          <w:rFonts w:ascii="Arial" w:eastAsia="Arial" w:hAnsi="Arial" w:cs="Arial"/>
        </w:rPr>
        <w:t>onabotulinumtoxinA</w:t>
      </w:r>
      <w:proofErr w:type="spellEnd"/>
      <w:r>
        <w:rPr>
          <w:rFonts w:ascii="Arial" w:eastAsia="Arial" w:hAnsi="Arial" w:cs="Arial"/>
        </w:rPr>
        <w:t xml:space="preserve"> and </w:t>
      </w:r>
      <w:proofErr w:type="spellStart"/>
      <w:r>
        <w:rPr>
          <w:rFonts w:ascii="Arial" w:eastAsia="Arial" w:hAnsi="Arial" w:cs="Arial"/>
        </w:rPr>
        <w:t>incobotulinumtox</w:t>
      </w:r>
      <w:r>
        <w:rPr>
          <w:rFonts w:ascii="Arial" w:eastAsia="Arial" w:hAnsi="Arial" w:cs="Arial"/>
        </w:rPr>
        <w:t>inA</w:t>
      </w:r>
      <w:proofErr w:type="spellEnd"/>
      <w:r>
        <w:rPr>
          <w:rFonts w:ascii="Arial" w:eastAsia="Arial" w:hAnsi="Arial" w:cs="Arial"/>
        </w:rPr>
        <w:t xml:space="preserve"> are significantly important for controlling muscle tone, with positive results in various clinical conditions ⁽¹⁵⁾⁽¹⁶⁾. In children with cerebral palsy, for example, </w:t>
      </w:r>
      <w:proofErr w:type="spellStart"/>
      <w:r>
        <w:rPr>
          <w:rFonts w:ascii="Arial" w:eastAsia="Arial" w:hAnsi="Arial" w:cs="Arial"/>
        </w:rPr>
        <w:t>abobotulinumtoxinA</w:t>
      </w:r>
      <w:proofErr w:type="spellEnd"/>
      <w:r>
        <w:rPr>
          <w:rFonts w:ascii="Arial" w:eastAsia="Arial" w:hAnsi="Arial" w:cs="Arial"/>
        </w:rPr>
        <w:t xml:space="preserve"> has been effective in reducing spasticity and muscle tone, with mea</w:t>
      </w:r>
      <w:r>
        <w:rPr>
          <w:rFonts w:ascii="Arial" w:eastAsia="Arial" w:hAnsi="Arial" w:cs="Arial"/>
        </w:rPr>
        <w:t>surable improvements on specific scales such as the Modified Ashworth Scale and the Tardieu Scale ⁽¹⁷⁾⁽¹⁸⁾.</w:t>
      </w:r>
    </w:p>
    <w:p w14:paraId="736B71B1" w14:textId="77777777" w:rsidR="00D7422B" w:rsidRDefault="004C02FD">
      <w:pPr>
        <w:jc w:val="both"/>
        <w:rPr>
          <w:rFonts w:ascii="Arial" w:eastAsia="Arial" w:hAnsi="Arial" w:cs="Arial"/>
        </w:rPr>
      </w:pPr>
      <w:r>
        <w:rPr>
          <w:rFonts w:ascii="Arial" w:eastAsia="Arial" w:hAnsi="Arial" w:cs="Arial"/>
        </w:rPr>
        <w:lastRenderedPageBreak/>
        <w:t>However, there are challenges related to the adverse effects of botulinum toxin, such as generalized weakness and fatigue, often linked to the syste</w:t>
      </w:r>
      <w:r>
        <w:rPr>
          <w:rFonts w:ascii="Arial" w:eastAsia="Arial" w:hAnsi="Arial" w:cs="Arial"/>
        </w:rPr>
        <w:t>mic spread of the toxin. Studies indicate that these effects, though inconvenient, are temporary and can be minimized with proper application techniques and accurate dosing ⁽¹⁹⁾⁽²⁰⁾. Additionally, the muscle atrophy observed in patients treated over long p</w:t>
      </w:r>
      <w:r>
        <w:rPr>
          <w:rFonts w:ascii="Arial" w:eastAsia="Arial" w:hAnsi="Arial" w:cs="Arial"/>
        </w:rPr>
        <w:t>eriods does not significantly compromise motor function, reinforcing the treatment’s safety in appropriate cases ⁽²¹⁾.</w:t>
      </w:r>
    </w:p>
    <w:p w14:paraId="7BF5783A" w14:textId="77777777" w:rsidR="00D7422B" w:rsidRDefault="004C02FD">
      <w:pPr>
        <w:jc w:val="both"/>
        <w:rPr>
          <w:rFonts w:ascii="Arial" w:eastAsia="Arial" w:hAnsi="Arial" w:cs="Arial"/>
        </w:rPr>
      </w:pPr>
      <w:r>
        <w:rPr>
          <w:rFonts w:ascii="Arial" w:eastAsia="Arial" w:hAnsi="Arial" w:cs="Arial"/>
        </w:rPr>
        <w:t xml:space="preserve">Botulinum neurotoxin also has potential effects on the central nervous system (CNS), although the exact mechanism still requires further </w:t>
      </w:r>
      <w:r>
        <w:rPr>
          <w:rFonts w:ascii="Arial" w:eastAsia="Arial" w:hAnsi="Arial" w:cs="Arial"/>
        </w:rPr>
        <w:t>investigation. Studies suggest that retrograde axonal transport or blockages in afferent fibers may be involved. These findings highlight the need for further research into optimal dosages and the central effects of botulinum toxin, especially to explore i</w:t>
      </w:r>
      <w:r>
        <w:rPr>
          <w:rFonts w:ascii="Arial" w:eastAsia="Arial" w:hAnsi="Arial" w:cs="Arial"/>
        </w:rPr>
        <w:t>ts impact beyond peripheral muscle relaxation ⁽⁵⁾⁽⁴⁾.</w:t>
      </w:r>
    </w:p>
    <w:p w14:paraId="13123CB0" w14:textId="77777777" w:rsidR="00D7422B" w:rsidRDefault="004C02FD">
      <w:pPr>
        <w:jc w:val="both"/>
        <w:rPr>
          <w:rFonts w:ascii="Arial" w:eastAsia="Arial" w:hAnsi="Arial" w:cs="Arial"/>
        </w:rPr>
      </w:pPr>
      <w:r>
        <w:pict w14:anchorId="794F9D1E">
          <v:rect id="_x0000_i1025" style="width:0;height:1.5pt" o:hralign="center" o:hrstd="t" o:hr="t" fillcolor="#a0a0a0" stroked="f"/>
        </w:pict>
      </w:r>
    </w:p>
    <w:p w14:paraId="3DAEE9E7" w14:textId="77777777" w:rsidR="00D7422B" w:rsidRDefault="004C02FD">
      <w:pPr>
        <w:jc w:val="both"/>
        <w:rPr>
          <w:rFonts w:ascii="Arial" w:eastAsia="Arial" w:hAnsi="Arial" w:cs="Arial"/>
        </w:rPr>
      </w:pPr>
      <w:r>
        <w:rPr>
          <w:rFonts w:ascii="Arial" w:eastAsia="Arial" w:hAnsi="Arial" w:cs="Arial"/>
        </w:rPr>
        <w:t>3.2 The Impact of Botulinum Toxin on Migraine Cases</w:t>
      </w:r>
    </w:p>
    <w:p w14:paraId="7A502512" w14:textId="77777777" w:rsidR="00D7422B" w:rsidRDefault="004C02FD">
      <w:pPr>
        <w:jc w:val="both"/>
        <w:rPr>
          <w:rFonts w:ascii="Arial" w:eastAsia="Arial" w:hAnsi="Arial" w:cs="Arial"/>
        </w:rPr>
      </w:pPr>
      <w:r>
        <w:rPr>
          <w:rFonts w:ascii="Arial" w:eastAsia="Arial" w:hAnsi="Arial" w:cs="Arial"/>
        </w:rPr>
        <w:t>Botulinum toxin type A (</w:t>
      </w:r>
      <w:proofErr w:type="spellStart"/>
      <w:r>
        <w:rPr>
          <w:rFonts w:ascii="Arial" w:eastAsia="Arial" w:hAnsi="Arial" w:cs="Arial"/>
        </w:rPr>
        <w:t>BoNT</w:t>
      </w:r>
      <w:proofErr w:type="spellEnd"/>
      <w:r>
        <w:rPr>
          <w:rFonts w:ascii="Arial" w:eastAsia="Arial" w:hAnsi="Arial" w:cs="Arial"/>
        </w:rPr>
        <w:t>-A) has emerged as an effective therapy for chronic migraine prophylaxis, significantly reducing the frequency and inten</w:t>
      </w:r>
      <w:r>
        <w:rPr>
          <w:rFonts w:ascii="Arial" w:eastAsia="Arial" w:hAnsi="Arial" w:cs="Arial"/>
        </w:rPr>
        <w:t xml:space="preserve">sity of attacks. Its mechanism of action includes inhibiting pro-inflammatory neurotransmitters, such as calcitonin gene-related peptide (CGRP), and modulating central sensitization, contributing to pain relief ⁽²²⁾. Studies show that </w:t>
      </w:r>
      <w:proofErr w:type="spellStart"/>
      <w:r>
        <w:rPr>
          <w:rFonts w:ascii="Arial" w:eastAsia="Arial" w:hAnsi="Arial" w:cs="Arial"/>
        </w:rPr>
        <w:t>BoNT</w:t>
      </w:r>
      <w:proofErr w:type="spellEnd"/>
      <w:r>
        <w:rPr>
          <w:rFonts w:ascii="Arial" w:eastAsia="Arial" w:hAnsi="Arial" w:cs="Arial"/>
        </w:rPr>
        <w:t>-A not only reduc</w:t>
      </w:r>
      <w:r>
        <w:rPr>
          <w:rFonts w:ascii="Arial" w:eastAsia="Arial" w:hAnsi="Arial" w:cs="Arial"/>
        </w:rPr>
        <w:t>es headache days but also improves patients’ quality of life, with a favorable safety profile and few side effects ⁽²³⁾.</w:t>
      </w:r>
    </w:p>
    <w:p w14:paraId="6FAB21CA" w14:textId="77777777" w:rsidR="00D7422B" w:rsidRDefault="004C02FD">
      <w:pPr>
        <w:jc w:val="both"/>
        <w:rPr>
          <w:rFonts w:ascii="Arial" w:eastAsia="Arial" w:hAnsi="Arial" w:cs="Arial"/>
        </w:rPr>
      </w:pPr>
      <w:r>
        <w:rPr>
          <w:rFonts w:ascii="Arial" w:eastAsia="Arial" w:hAnsi="Arial" w:cs="Arial"/>
        </w:rPr>
        <w:t xml:space="preserve">The impact of </w:t>
      </w:r>
      <w:proofErr w:type="spellStart"/>
      <w:r>
        <w:rPr>
          <w:rFonts w:ascii="Arial" w:eastAsia="Arial" w:hAnsi="Arial" w:cs="Arial"/>
        </w:rPr>
        <w:t>BoNT</w:t>
      </w:r>
      <w:proofErr w:type="spellEnd"/>
      <w:r>
        <w:rPr>
          <w:rFonts w:ascii="Arial" w:eastAsia="Arial" w:hAnsi="Arial" w:cs="Arial"/>
        </w:rPr>
        <w:t>-A has also been observed in comparative studies with other migraine medications. Patients reported a faster onset an</w:t>
      </w:r>
      <w:r>
        <w:rPr>
          <w:rFonts w:ascii="Arial" w:eastAsia="Arial" w:hAnsi="Arial" w:cs="Arial"/>
        </w:rPr>
        <w:t>d longer-lasting response with botulinum toxin than with steroid-based treatments, anti-inflammatories, and anesthetic infiltrations. This positive effect is directly linked to the administered dose; single higher-dose applications resulted in more signifi</w:t>
      </w:r>
      <w:r>
        <w:rPr>
          <w:rFonts w:ascii="Arial" w:eastAsia="Arial" w:hAnsi="Arial" w:cs="Arial"/>
        </w:rPr>
        <w:t>cant reductions in attacks than regimens using smaller, more frequent doses ⁽²⁴⁾⁽²⁵⁾⁽²⁶⁾.</w:t>
      </w:r>
    </w:p>
    <w:p w14:paraId="133C4523" w14:textId="77777777" w:rsidR="00D7422B" w:rsidRDefault="004C02FD">
      <w:pPr>
        <w:jc w:val="both"/>
        <w:rPr>
          <w:rFonts w:ascii="Arial" w:eastAsia="Arial" w:hAnsi="Arial" w:cs="Arial"/>
        </w:rPr>
      </w:pPr>
      <w:r>
        <w:rPr>
          <w:rFonts w:ascii="Arial" w:eastAsia="Arial" w:hAnsi="Arial" w:cs="Arial"/>
        </w:rPr>
        <w:t xml:space="preserve">In addition to reducing attacks, </w:t>
      </w:r>
      <w:proofErr w:type="spellStart"/>
      <w:r>
        <w:rPr>
          <w:rFonts w:ascii="Arial" w:eastAsia="Arial" w:hAnsi="Arial" w:cs="Arial"/>
        </w:rPr>
        <w:t>BoNT</w:t>
      </w:r>
      <w:proofErr w:type="spellEnd"/>
      <w:r>
        <w:rPr>
          <w:rFonts w:ascii="Arial" w:eastAsia="Arial" w:hAnsi="Arial" w:cs="Arial"/>
        </w:rPr>
        <w:t>-A has provided benefits for specific groups, such as military personnel with a history of traumatic brain injury and patients wi</w:t>
      </w:r>
      <w:r>
        <w:rPr>
          <w:rFonts w:ascii="Arial" w:eastAsia="Arial" w:hAnsi="Arial" w:cs="Arial"/>
        </w:rPr>
        <w:t>th CADASIL (cerebral autosomal dominant arteriopathy with subcortical infarcts and leukoencephalopathy). In these populations, reduced pain intensity and significant improvements in quality of life were observed. However, despite the benefits, there have b</w:t>
      </w:r>
      <w:r>
        <w:rPr>
          <w:rFonts w:ascii="Arial" w:eastAsia="Arial" w:hAnsi="Arial" w:cs="Arial"/>
        </w:rPr>
        <w:t>een rare reports of more serious complications, such as encephalopathy, reinforcing the importance of clinical monitoring ⁽²⁷⁾⁽²⁸⁾.</w:t>
      </w:r>
    </w:p>
    <w:p w14:paraId="0A3501D8" w14:textId="77777777" w:rsidR="00D7422B" w:rsidRDefault="004C02FD">
      <w:pPr>
        <w:jc w:val="both"/>
        <w:rPr>
          <w:rFonts w:ascii="Arial" w:eastAsia="Arial" w:hAnsi="Arial" w:cs="Arial"/>
        </w:rPr>
      </w:pPr>
      <w:proofErr w:type="spellStart"/>
      <w:r>
        <w:rPr>
          <w:rFonts w:ascii="Arial" w:eastAsia="Arial" w:hAnsi="Arial" w:cs="Arial"/>
        </w:rPr>
        <w:t>BoNT</w:t>
      </w:r>
      <w:proofErr w:type="spellEnd"/>
      <w:r>
        <w:rPr>
          <w:rFonts w:ascii="Arial" w:eastAsia="Arial" w:hAnsi="Arial" w:cs="Arial"/>
        </w:rPr>
        <w:t>-A’s efficacy has been widely validated in long-term studies, with substantial reductions in attack frequency and the us</w:t>
      </w:r>
      <w:r>
        <w:rPr>
          <w:rFonts w:ascii="Arial" w:eastAsia="Arial" w:hAnsi="Arial" w:cs="Arial"/>
        </w:rPr>
        <w:t xml:space="preserve">e of acute relief medications. Patients showed better adherence to treatment compared to drugs like topiramate. Additionally, combining </w:t>
      </w:r>
      <w:proofErr w:type="spellStart"/>
      <w:r>
        <w:rPr>
          <w:rFonts w:ascii="Arial" w:eastAsia="Arial" w:hAnsi="Arial" w:cs="Arial"/>
        </w:rPr>
        <w:t>BoNT</w:t>
      </w:r>
      <w:proofErr w:type="spellEnd"/>
      <w:r>
        <w:rPr>
          <w:rFonts w:ascii="Arial" w:eastAsia="Arial" w:hAnsi="Arial" w:cs="Arial"/>
        </w:rPr>
        <w:t>-A with CGRP inhibitors, in cases of insufficient response to monotherapy, yielded additional benefits, enhancing tr</w:t>
      </w:r>
      <w:r>
        <w:rPr>
          <w:rFonts w:ascii="Arial" w:eastAsia="Arial" w:hAnsi="Arial" w:cs="Arial"/>
        </w:rPr>
        <w:t>eatment impact ⁽⁸⁾⁽²⁹⁾⁽³⁰⁾.</w:t>
      </w:r>
    </w:p>
    <w:p w14:paraId="2E9482CD" w14:textId="77777777" w:rsidR="00D7422B" w:rsidRDefault="004C02FD">
      <w:pPr>
        <w:jc w:val="both"/>
        <w:rPr>
          <w:rFonts w:ascii="Arial" w:eastAsia="Arial" w:hAnsi="Arial" w:cs="Arial"/>
        </w:rPr>
      </w:pPr>
      <w:r>
        <w:rPr>
          <w:rFonts w:ascii="Arial" w:eastAsia="Arial" w:hAnsi="Arial" w:cs="Arial"/>
        </w:rPr>
        <w:t>Although side effects associated with botulinum toxin are generally mild, such as injection site pain and neck stiffness, precise application techniques and careful dose management are essential to avoid complications. The resul</w:t>
      </w:r>
      <w:r>
        <w:rPr>
          <w:rFonts w:ascii="Arial" w:eastAsia="Arial" w:hAnsi="Arial" w:cs="Arial"/>
        </w:rPr>
        <w:t xml:space="preserve">ts show that </w:t>
      </w:r>
      <w:proofErr w:type="spellStart"/>
      <w:r>
        <w:rPr>
          <w:rFonts w:ascii="Arial" w:eastAsia="Arial" w:hAnsi="Arial" w:cs="Arial"/>
        </w:rPr>
        <w:t>BoNT</w:t>
      </w:r>
      <w:proofErr w:type="spellEnd"/>
      <w:r>
        <w:rPr>
          <w:rFonts w:ascii="Arial" w:eastAsia="Arial" w:hAnsi="Arial" w:cs="Arial"/>
        </w:rPr>
        <w:t>-A is a safe and effective option, especially for patients with refractory chronic migraine, promoting better quality of life and reducing the social and economic burden of the disease ⁽³¹⁾.</w:t>
      </w:r>
    </w:p>
    <w:p w14:paraId="126AC951" w14:textId="77777777" w:rsidR="00D7422B" w:rsidRDefault="004C02FD">
      <w:pPr>
        <w:jc w:val="both"/>
        <w:rPr>
          <w:rFonts w:ascii="Arial" w:eastAsia="Arial" w:hAnsi="Arial" w:cs="Arial"/>
        </w:rPr>
      </w:pPr>
      <w:r>
        <w:pict w14:anchorId="7E4B8134">
          <v:rect id="_x0000_i1026" style="width:0;height:1.5pt" o:hralign="center" o:hrstd="t" o:hr="t" fillcolor="#a0a0a0" stroked="f"/>
        </w:pict>
      </w:r>
    </w:p>
    <w:p w14:paraId="25B9EFE9" w14:textId="77777777" w:rsidR="00D7422B" w:rsidRDefault="004C02FD">
      <w:pPr>
        <w:jc w:val="both"/>
        <w:rPr>
          <w:rFonts w:ascii="Arial" w:eastAsia="Arial" w:hAnsi="Arial" w:cs="Arial"/>
        </w:rPr>
      </w:pPr>
      <w:r>
        <w:rPr>
          <w:rFonts w:ascii="Arial" w:eastAsia="Arial" w:hAnsi="Arial" w:cs="Arial"/>
        </w:rPr>
        <w:t>3.3 Mechanisms of Action of Botulinum Toxin in</w:t>
      </w:r>
      <w:r>
        <w:rPr>
          <w:rFonts w:ascii="Arial" w:eastAsia="Arial" w:hAnsi="Arial" w:cs="Arial"/>
        </w:rPr>
        <w:t xml:space="preserve"> the Nervous System</w:t>
      </w:r>
    </w:p>
    <w:p w14:paraId="69357C0F" w14:textId="77777777" w:rsidR="00D7422B" w:rsidRDefault="004C02FD">
      <w:pPr>
        <w:jc w:val="both"/>
        <w:rPr>
          <w:rFonts w:ascii="Arial" w:eastAsia="Arial" w:hAnsi="Arial" w:cs="Arial"/>
        </w:rPr>
      </w:pPr>
      <w:r>
        <w:rPr>
          <w:rFonts w:ascii="Arial" w:eastAsia="Arial" w:hAnsi="Arial" w:cs="Arial"/>
        </w:rPr>
        <w:t>Botulinum toxin type A (</w:t>
      </w:r>
      <w:proofErr w:type="spellStart"/>
      <w:r>
        <w:rPr>
          <w:rFonts w:ascii="Arial" w:eastAsia="Arial" w:hAnsi="Arial" w:cs="Arial"/>
        </w:rPr>
        <w:t>BoNT</w:t>
      </w:r>
      <w:proofErr w:type="spellEnd"/>
      <w:r>
        <w:rPr>
          <w:rFonts w:ascii="Arial" w:eastAsia="Arial" w:hAnsi="Arial" w:cs="Arial"/>
        </w:rPr>
        <w:t>-A) plays an essential role in treating various neurological and muscular disorders, including chronic migraine and neuropathic pain. Its mechanism involves inhibiting the release of acetylcholine at neuromus</w:t>
      </w:r>
      <w:r>
        <w:rPr>
          <w:rFonts w:ascii="Arial" w:eastAsia="Arial" w:hAnsi="Arial" w:cs="Arial"/>
        </w:rPr>
        <w:t xml:space="preserve">cular synapses, blocking nerve impulse transmission. Additionally, </w:t>
      </w:r>
      <w:proofErr w:type="spellStart"/>
      <w:r>
        <w:rPr>
          <w:rFonts w:ascii="Arial" w:eastAsia="Arial" w:hAnsi="Arial" w:cs="Arial"/>
        </w:rPr>
        <w:t>BoNT</w:t>
      </w:r>
      <w:proofErr w:type="spellEnd"/>
      <w:r>
        <w:rPr>
          <w:rFonts w:ascii="Arial" w:eastAsia="Arial" w:hAnsi="Arial" w:cs="Arial"/>
        </w:rPr>
        <w:t xml:space="preserve">-A modulates pro-inflammatory neurotransmitters, such as CGRP and substance P, reducing neurogenic inflammation and central sensitization—key factors in the development of chronic pain </w:t>
      </w:r>
      <w:r>
        <w:rPr>
          <w:rFonts w:ascii="Arial" w:eastAsia="Arial" w:hAnsi="Arial" w:cs="Arial"/>
        </w:rPr>
        <w:t>conditions ⁽³²⁾⁽³³⁾.</w:t>
      </w:r>
    </w:p>
    <w:p w14:paraId="43E5310D" w14:textId="77777777" w:rsidR="00D7422B" w:rsidRDefault="004C02FD">
      <w:pPr>
        <w:jc w:val="both"/>
        <w:rPr>
          <w:rFonts w:ascii="Arial" w:eastAsia="Arial" w:hAnsi="Arial" w:cs="Arial"/>
        </w:rPr>
      </w:pPr>
      <w:r>
        <w:rPr>
          <w:rFonts w:ascii="Arial" w:eastAsia="Arial" w:hAnsi="Arial" w:cs="Arial"/>
        </w:rPr>
        <w:t xml:space="preserve">In the treatment of chronic migraine, </w:t>
      </w:r>
      <w:proofErr w:type="spellStart"/>
      <w:r>
        <w:rPr>
          <w:rFonts w:ascii="Arial" w:eastAsia="Arial" w:hAnsi="Arial" w:cs="Arial"/>
        </w:rPr>
        <w:t>BoNT</w:t>
      </w:r>
      <w:proofErr w:type="spellEnd"/>
      <w:r>
        <w:rPr>
          <w:rFonts w:ascii="Arial" w:eastAsia="Arial" w:hAnsi="Arial" w:cs="Arial"/>
        </w:rPr>
        <w:t xml:space="preserve">-A has proven effective in reducing the frequency and intensity of attacks. This effect is attributed to blocking the release of </w:t>
      </w:r>
      <w:proofErr w:type="spellStart"/>
      <w:r>
        <w:rPr>
          <w:rFonts w:ascii="Arial" w:eastAsia="Arial" w:hAnsi="Arial" w:cs="Arial"/>
        </w:rPr>
        <w:t>algogenic</w:t>
      </w:r>
      <w:proofErr w:type="spellEnd"/>
      <w:r>
        <w:rPr>
          <w:rFonts w:ascii="Arial" w:eastAsia="Arial" w:hAnsi="Arial" w:cs="Arial"/>
        </w:rPr>
        <w:t xml:space="preserve"> neuropeptides such as neurokinin A and CGRP. The toxin</w:t>
      </w:r>
      <w:r>
        <w:rPr>
          <w:rFonts w:ascii="Arial" w:eastAsia="Arial" w:hAnsi="Arial" w:cs="Arial"/>
        </w:rPr>
        <w:t xml:space="preserve"> has also shown a positive impact </w:t>
      </w:r>
      <w:r>
        <w:rPr>
          <w:rFonts w:ascii="Arial" w:eastAsia="Arial" w:hAnsi="Arial" w:cs="Arial"/>
        </w:rPr>
        <w:lastRenderedPageBreak/>
        <w:t xml:space="preserve">by decreasing the use of fast-acting medications and improving patients’ quality of life ⁽²⁶⁾⁽²⁵⁾. Studies also suggest that </w:t>
      </w:r>
      <w:proofErr w:type="spellStart"/>
      <w:r>
        <w:rPr>
          <w:rFonts w:ascii="Arial" w:eastAsia="Arial" w:hAnsi="Arial" w:cs="Arial"/>
        </w:rPr>
        <w:t>BoNT</w:t>
      </w:r>
      <w:proofErr w:type="spellEnd"/>
      <w:r>
        <w:rPr>
          <w:rFonts w:ascii="Arial" w:eastAsia="Arial" w:hAnsi="Arial" w:cs="Arial"/>
        </w:rPr>
        <w:t>-A selectively targets TRPV1 receptors, directly affecting C and A-delta fibers, contributing</w:t>
      </w:r>
      <w:r>
        <w:rPr>
          <w:rFonts w:ascii="Arial" w:eastAsia="Arial" w:hAnsi="Arial" w:cs="Arial"/>
        </w:rPr>
        <w:t xml:space="preserve"> to its analgesic effect ⁽³⁴⁾⁽³⁵⁾.</w:t>
      </w:r>
    </w:p>
    <w:p w14:paraId="4A97A540" w14:textId="77777777" w:rsidR="00D7422B" w:rsidRDefault="004C02FD">
      <w:pPr>
        <w:jc w:val="both"/>
        <w:rPr>
          <w:rFonts w:ascii="Arial" w:eastAsia="Arial" w:hAnsi="Arial" w:cs="Arial"/>
        </w:rPr>
      </w:pPr>
      <w:r>
        <w:rPr>
          <w:rFonts w:ascii="Arial" w:eastAsia="Arial" w:hAnsi="Arial" w:cs="Arial"/>
        </w:rPr>
        <w:t xml:space="preserve">Although </w:t>
      </w:r>
      <w:proofErr w:type="spellStart"/>
      <w:r>
        <w:rPr>
          <w:rFonts w:ascii="Arial" w:eastAsia="Arial" w:hAnsi="Arial" w:cs="Arial"/>
        </w:rPr>
        <w:t>BoNT</w:t>
      </w:r>
      <w:proofErr w:type="spellEnd"/>
      <w:r>
        <w:rPr>
          <w:rFonts w:ascii="Arial" w:eastAsia="Arial" w:hAnsi="Arial" w:cs="Arial"/>
        </w:rPr>
        <w:t>-A is widely used in managing neuropathic pain and muscular conditions, its exact mechanism is not yet fully understood. Evidence suggests the toxin acts via retrograde axonal transport and by blocking SNAP-2</w:t>
      </w:r>
      <w:r>
        <w:rPr>
          <w:rFonts w:ascii="Arial" w:eastAsia="Arial" w:hAnsi="Arial" w:cs="Arial"/>
        </w:rPr>
        <w:t>5–mediated exocytosis, inhibiting excitatory neurotransmitters like glutamate. This indirect action also reduces activation of inflammatory pathways in the central nervous system, as shown in gene expression studies in sensory regions ⁽³⁶⁾⁽¹²⁾.</w:t>
      </w:r>
    </w:p>
    <w:p w14:paraId="36AB66CF" w14:textId="77777777" w:rsidR="00D7422B" w:rsidRDefault="004C02FD">
      <w:pPr>
        <w:jc w:val="both"/>
        <w:rPr>
          <w:rFonts w:ascii="Arial" w:eastAsia="Arial" w:hAnsi="Arial" w:cs="Arial"/>
        </w:rPr>
      </w:pPr>
      <w:r>
        <w:rPr>
          <w:rFonts w:ascii="Arial" w:eastAsia="Arial" w:hAnsi="Arial" w:cs="Arial"/>
        </w:rPr>
        <w:t xml:space="preserve">The safety </w:t>
      </w:r>
      <w:r>
        <w:rPr>
          <w:rFonts w:ascii="Arial" w:eastAsia="Arial" w:hAnsi="Arial" w:cs="Arial"/>
        </w:rPr>
        <w:t xml:space="preserve">of </w:t>
      </w:r>
      <w:proofErr w:type="spellStart"/>
      <w:r>
        <w:rPr>
          <w:rFonts w:ascii="Arial" w:eastAsia="Arial" w:hAnsi="Arial" w:cs="Arial"/>
        </w:rPr>
        <w:t>BoNT</w:t>
      </w:r>
      <w:proofErr w:type="spellEnd"/>
      <w:r>
        <w:rPr>
          <w:rFonts w:ascii="Arial" w:eastAsia="Arial" w:hAnsi="Arial" w:cs="Arial"/>
        </w:rPr>
        <w:t>-A treatment is highlighted in long-term studies, although complications can arise in specific cases. Mild side effects, such as injection site pain and muscle weakness, are more common, but more serious events like systemic botulism—though rare—req</w:t>
      </w:r>
      <w:r>
        <w:rPr>
          <w:rFonts w:ascii="Arial" w:eastAsia="Arial" w:hAnsi="Arial" w:cs="Arial"/>
        </w:rPr>
        <w:t>uire clinical attention. One example is the report of a 72-year-old patient who experienced head drop after toxin application, highlighting the importance of personalized dosing to minimize risks ⁽³⁷⁾⁽³⁸⁾.</w:t>
      </w:r>
    </w:p>
    <w:p w14:paraId="6893F5E1" w14:textId="77777777" w:rsidR="00D7422B" w:rsidRDefault="004C02FD">
      <w:pPr>
        <w:jc w:val="both"/>
        <w:rPr>
          <w:rFonts w:ascii="Arial" w:eastAsia="Arial" w:hAnsi="Arial" w:cs="Arial"/>
        </w:rPr>
      </w:pPr>
      <w:proofErr w:type="spellStart"/>
      <w:r>
        <w:rPr>
          <w:rFonts w:ascii="Arial" w:eastAsia="Arial" w:hAnsi="Arial" w:cs="Arial"/>
        </w:rPr>
        <w:t>BoNT</w:t>
      </w:r>
      <w:proofErr w:type="spellEnd"/>
      <w:r>
        <w:rPr>
          <w:rFonts w:ascii="Arial" w:eastAsia="Arial" w:hAnsi="Arial" w:cs="Arial"/>
        </w:rPr>
        <w:t>-A remains an effective and safe therapy for n</w:t>
      </w:r>
      <w:r>
        <w:rPr>
          <w:rFonts w:ascii="Arial" w:eastAsia="Arial" w:hAnsi="Arial" w:cs="Arial"/>
        </w:rPr>
        <w:t>euromuscular and neuropathic conditions. However, further studies are needed to fully understand its mechanisms of action and explore safer, better-tolerated alternatives. Continuous use and the development of advanced formulations aim to further improve o</w:t>
      </w:r>
      <w:r>
        <w:rPr>
          <w:rFonts w:ascii="Arial" w:eastAsia="Arial" w:hAnsi="Arial" w:cs="Arial"/>
        </w:rPr>
        <w:t>utcomes for patients with complex neurological disorders ⁽³⁹⁾⁽⁴⁰⁾.</w:t>
      </w:r>
    </w:p>
    <w:p w14:paraId="0F4C9B0C" w14:textId="77777777" w:rsidR="00D7422B" w:rsidRDefault="00D7422B">
      <w:pPr>
        <w:keepNext/>
        <w:pBdr>
          <w:top w:val="nil"/>
          <w:left w:val="nil"/>
          <w:bottom w:val="nil"/>
          <w:right w:val="nil"/>
          <w:between w:val="nil"/>
        </w:pBdr>
        <w:jc w:val="both"/>
        <w:rPr>
          <w:rFonts w:ascii="Arial" w:eastAsia="Arial" w:hAnsi="Arial" w:cs="Arial"/>
          <w:b/>
          <w:smallCaps/>
          <w:sz w:val="22"/>
          <w:szCs w:val="22"/>
        </w:rPr>
      </w:pPr>
    </w:p>
    <w:p w14:paraId="08E4DAD4" w14:textId="77777777" w:rsidR="00D7422B" w:rsidRDefault="00D7422B">
      <w:pPr>
        <w:pBdr>
          <w:top w:val="nil"/>
          <w:left w:val="nil"/>
          <w:bottom w:val="nil"/>
          <w:right w:val="nil"/>
          <w:between w:val="nil"/>
        </w:pBdr>
        <w:jc w:val="both"/>
        <w:rPr>
          <w:rFonts w:ascii="Arial" w:eastAsia="Arial" w:hAnsi="Arial" w:cs="Arial"/>
          <w:color w:val="000000"/>
        </w:rPr>
      </w:pPr>
    </w:p>
    <w:p w14:paraId="4EABA4B9" w14:textId="77777777" w:rsidR="00D7422B" w:rsidRDefault="004C02FD">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29DB1F68" w14:textId="77777777" w:rsidR="00D7422B" w:rsidRDefault="00D7422B">
      <w:pPr>
        <w:keepNext/>
        <w:pBdr>
          <w:top w:val="nil"/>
          <w:left w:val="nil"/>
          <w:bottom w:val="nil"/>
          <w:right w:val="nil"/>
          <w:between w:val="nil"/>
        </w:pBdr>
        <w:jc w:val="both"/>
        <w:rPr>
          <w:rFonts w:ascii="Arial" w:eastAsia="Arial" w:hAnsi="Arial" w:cs="Arial"/>
          <w:b/>
          <w:smallCaps/>
          <w:color w:val="000000"/>
          <w:sz w:val="22"/>
          <w:szCs w:val="22"/>
        </w:rPr>
      </w:pPr>
    </w:p>
    <w:p w14:paraId="56509639" w14:textId="77777777" w:rsidR="00D7422B" w:rsidRDefault="004C02FD">
      <w:pPr>
        <w:spacing w:before="240" w:after="240"/>
        <w:jc w:val="both"/>
        <w:rPr>
          <w:rFonts w:ascii="Arial" w:eastAsia="Arial" w:hAnsi="Arial" w:cs="Arial"/>
        </w:rPr>
      </w:pPr>
      <w:r>
        <w:rPr>
          <w:rFonts w:ascii="Arial" w:eastAsia="Arial" w:hAnsi="Arial" w:cs="Arial"/>
        </w:rPr>
        <w:t>Botulinum toxin type A (</w:t>
      </w:r>
      <w:proofErr w:type="spellStart"/>
      <w:r>
        <w:rPr>
          <w:rFonts w:ascii="Arial" w:eastAsia="Arial" w:hAnsi="Arial" w:cs="Arial"/>
        </w:rPr>
        <w:t>BoNT</w:t>
      </w:r>
      <w:proofErr w:type="spellEnd"/>
      <w:r>
        <w:rPr>
          <w:rFonts w:ascii="Arial" w:eastAsia="Arial" w:hAnsi="Arial" w:cs="Arial"/>
        </w:rPr>
        <w:t xml:space="preserve">-A) shows significant effects on motor function and neuromuscular coordination, standing out as an effective therapy for conditions such as </w:t>
      </w:r>
      <w:r>
        <w:rPr>
          <w:rFonts w:ascii="Arial" w:eastAsia="Arial" w:hAnsi="Arial" w:cs="Arial"/>
        </w:rPr>
        <w:t>spasticity, dystonia, and peripheral facial palsy. Its ability to block the release of acetylcholine at neuromuscular junctions results in controlled muscle relaxation, improving functionality and reducing spasms. However, prolonged use may lead to mild to</w:t>
      </w:r>
      <w:r>
        <w:rPr>
          <w:rFonts w:ascii="Arial" w:eastAsia="Arial" w:hAnsi="Arial" w:cs="Arial"/>
        </w:rPr>
        <w:t xml:space="preserve"> moderate adverse effects, such as muscle weakness and fatigue, which are generally transient and manageable with proper dosing and precise application techniques ⁽⁴¹⁾.</w:t>
      </w:r>
    </w:p>
    <w:p w14:paraId="6C9FE072" w14:textId="77777777" w:rsidR="00D7422B" w:rsidRDefault="004C02FD">
      <w:pPr>
        <w:spacing w:before="240" w:after="240"/>
        <w:jc w:val="both"/>
        <w:rPr>
          <w:rFonts w:ascii="Arial" w:eastAsia="Arial" w:hAnsi="Arial" w:cs="Arial"/>
        </w:rPr>
      </w:pPr>
      <w:r>
        <w:rPr>
          <w:rFonts w:ascii="Arial" w:eastAsia="Arial" w:hAnsi="Arial" w:cs="Arial"/>
        </w:rPr>
        <w:t xml:space="preserve">In the context of chronic migraine, </w:t>
      </w:r>
      <w:proofErr w:type="spellStart"/>
      <w:r>
        <w:rPr>
          <w:rFonts w:ascii="Arial" w:eastAsia="Arial" w:hAnsi="Arial" w:cs="Arial"/>
        </w:rPr>
        <w:t>BoNT</w:t>
      </w:r>
      <w:proofErr w:type="spellEnd"/>
      <w:r>
        <w:rPr>
          <w:rFonts w:ascii="Arial" w:eastAsia="Arial" w:hAnsi="Arial" w:cs="Arial"/>
        </w:rPr>
        <w:t xml:space="preserve">-A has a substantial positive impact, reducing </w:t>
      </w:r>
      <w:r>
        <w:rPr>
          <w:rFonts w:ascii="Arial" w:eastAsia="Arial" w:hAnsi="Arial" w:cs="Arial"/>
        </w:rPr>
        <w:t xml:space="preserve">the frequency and intensity of attacks through the modulation of pro-inflammatory neurotransmitters such as CGRP and central sensitization. In addition to improving patients’ quality of life, the therapy reduces the consumption of acute relief medications </w:t>
      </w:r>
      <w:r>
        <w:rPr>
          <w:rFonts w:ascii="Arial" w:eastAsia="Arial" w:hAnsi="Arial" w:cs="Arial"/>
        </w:rPr>
        <w:t>and enhances effectiveness when combined with other treatments, such as CGRP inhibitors ⁽⁴²⁾⁽⁴³⁾.</w:t>
      </w:r>
    </w:p>
    <w:p w14:paraId="4C726A27" w14:textId="77777777" w:rsidR="00D7422B" w:rsidRDefault="004C02FD">
      <w:pPr>
        <w:spacing w:before="240" w:after="240"/>
        <w:jc w:val="both"/>
        <w:rPr>
          <w:rFonts w:ascii="Arial" w:eastAsia="Arial" w:hAnsi="Arial" w:cs="Arial"/>
        </w:rPr>
      </w:pPr>
      <w:r>
        <w:rPr>
          <w:rFonts w:ascii="Arial" w:eastAsia="Arial" w:hAnsi="Arial" w:cs="Arial"/>
        </w:rPr>
        <w:t xml:space="preserve">As for the mechanisms of action, </w:t>
      </w:r>
      <w:proofErr w:type="spellStart"/>
      <w:r>
        <w:rPr>
          <w:rFonts w:ascii="Arial" w:eastAsia="Arial" w:hAnsi="Arial" w:cs="Arial"/>
        </w:rPr>
        <w:t>BoNT</w:t>
      </w:r>
      <w:proofErr w:type="spellEnd"/>
      <w:r>
        <w:rPr>
          <w:rFonts w:ascii="Arial" w:eastAsia="Arial" w:hAnsi="Arial" w:cs="Arial"/>
        </w:rPr>
        <w:t xml:space="preserve">-A not only inhibits peripheral acetylcholine release but also has potential central effects due to retrograde transport </w:t>
      </w:r>
      <w:r>
        <w:rPr>
          <w:rFonts w:ascii="Arial" w:eastAsia="Arial" w:hAnsi="Arial" w:cs="Arial"/>
        </w:rPr>
        <w:t>and modulation of inflammatory pathways and excitatory neurotransmitters such as glutamate ⁽⁴⁴⁾⁽³⁶⁾. This multifaceted mechanism supports its role in both motor and sensory conditions.</w:t>
      </w:r>
    </w:p>
    <w:p w14:paraId="5C5F3401" w14:textId="77777777" w:rsidR="00D7422B" w:rsidRDefault="004C02FD">
      <w:pPr>
        <w:spacing w:before="240" w:after="240"/>
        <w:jc w:val="both"/>
        <w:rPr>
          <w:rFonts w:ascii="Arial" w:eastAsia="Arial" w:hAnsi="Arial" w:cs="Arial"/>
        </w:rPr>
      </w:pPr>
      <w:r>
        <w:rPr>
          <w:rFonts w:ascii="Arial" w:eastAsia="Arial" w:hAnsi="Arial" w:cs="Arial"/>
        </w:rPr>
        <w:t xml:space="preserve">Although </w:t>
      </w:r>
      <w:proofErr w:type="spellStart"/>
      <w:r>
        <w:rPr>
          <w:rFonts w:ascii="Arial" w:eastAsia="Arial" w:hAnsi="Arial" w:cs="Arial"/>
        </w:rPr>
        <w:t>BoNT</w:t>
      </w:r>
      <w:proofErr w:type="spellEnd"/>
      <w:r>
        <w:rPr>
          <w:rFonts w:ascii="Arial" w:eastAsia="Arial" w:hAnsi="Arial" w:cs="Arial"/>
        </w:rPr>
        <w:t>-A is generally safe and effective, its long-term use requ</w:t>
      </w:r>
      <w:r>
        <w:rPr>
          <w:rFonts w:ascii="Arial" w:eastAsia="Arial" w:hAnsi="Arial" w:cs="Arial"/>
        </w:rPr>
        <w:t>ires careful monitoring to mitigate potential risks and ensure a balance between benefits and side effects. Further studies are needed to better understand the central impacts of the toxin and explore new strategies to improve clinical outcomes in patients</w:t>
      </w:r>
      <w:r>
        <w:rPr>
          <w:rFonts w:ascii="Arial" w:eastAsia="Arial" w:hAnsi="Arial" w:cs="Arial"/>
        </w:rPr>
        <w:t xml:space="preserve"> with neurological and muscular disorders ⁽⁴⁵⁾⁽⁴⁰⁾.</w:t>
      </w:r>
    </w:p>
    <w:p w14:paraId="4B5B0266" w14:textId="77777777" w:rsidR="00D7422B" w:rsidRDefault="00D7422B">
      <w:pPr>
        <w:pBdr>
          <w:top w:val="nil"/>
          <w:left w:val="nil"/>
          <w:bottom w:val="nil"/>
          <w:right w:val="nil"/>
          <w:between w:val="nil"/>
        </w:pBdr>
        <w:jc w:val="both"/>
        <w:rPr>
          <w:rFonts w:ascii="Arial" w:eastAsia="Arial" w:hAnsi="Arial" w:cs="Arial"/>
        </w:rPr>
      </w:pPr>
    </w:p>
    <w:p w14:paraId="5439726C" w14:textId="5AB1242E" w:rsidR="00EE4C0B" w:rsidRDefault="00EE4C0B">
      <w:pPr>
        <w:jc w:val="both"/>
      </w:pPr>
    </w:p>
    <w:p w14:paraId="58C5E488" w14:textId="3ADD1DDB" w:rsidR="00591BB0" w:rsidRDefault="00591BB0">
      <w:pPr>
        <w:jc w:val="both"/>
      </w:pPr>
    </w:p>
    <w:p w14:paraId="4FCF3C57" w14:textId="77777777" w:rsidR="00591BB0" w:rsidRDefault="00591BB0">
      <w:pPr>
        <w:jc w:val="both"/>
      </w:pPr>
      <w:bookmarkStart w:id="0" w:name="_GoBack"/>
      <w:bookmarkEnd w:id="0"/>
    </w:p>
    <w:p w14:paraId="693B68A9" w14:textId="77777777" w:rsidR="00EE4C0B" w:rsidRDefault="00EE4C0B" w:rsidP="00EE4C0B">
      <w:pPr>
        <w:jc w:val="both"/>
      </w:pPr>
      <w:r>
        <w:t>COMPETING INTERESTS DISCLAIMER:</w:t>
      </w:r>
    </w:p>
    <w:p w14:paraId="38B01E44" w14:textId="272B1B73" w:rsidR="00EE4C0B" w:rsidRDefault="00EE4C0B" w:rsidP="00EE4C0B">
      <w:pPr>
        <w:jc w:val="both"/>
      </w:pPr>
      <w:r>
        <w:t>Authors have declared that they have no known competing financial interests OR non-financial interests OR personal relationships that could have appeared to influence the work reported in this paper.</w:t>
      </w:r>
    </w:p>
    <w:p w14:paraId="35A3C890" w14:textId="77777777" w:rsidR="00D7422B" w:rsidRDefault="00D7422B">
      <w:pPr>
        <w:jc w:val="both"/>
      </w:pPr>
    </w:p>
    <w:p w14:paraId="67521DCB" w14:textId="77777777" w:rsidR="00D7422B" w:rsidRDefault="00D7422B">
      <w:pPr>
        <w:keepNext/>
        <w:pBdr>
          <w:top w:val="nil"/>
          <w:left w:val="nil"/>
          <w:bottom w:val="nil"/>
          <w:right w:val="nil"/>
          <w:between w:val="nil"/>
        </w:pBdr>
        <w:jc w:val="both"/>
        <w:rPr>
          <w:rFonts w:ascii="Arial" w:eastAsia="Arial" w:hAnsi="Arial" w:cs="Arial"/>
          <w:b/>
          <w:smallCaps/>
          <w:sz w:val="22"/>
          <w:szCs w:val="22"/>
        </w:rPr>
      </w:pPr>
    </w:p>
    <w:p w14:paraId="544DDAA6" w14:textId="77777777" w:rsidR="00D7422B" w:rsidRDefault="004C02FD">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49C9ED58" w14:textId="77777777" w:rsidR="00D7422B" w:rsidRDefault="00D7422B">
      <w:pPr>
        <w:keepNext/>
        <w:pBdr>
          <w:top w:val="nil"/>
          <w:left w:val="nil"/>
          <w:bottom w:val="nil"/>
          <w:right w:val="nil"/>
          <w:between w:val="nil"/>
        </w:pBdr>
        <w:jc w:val="both"/>
        <w:rPr>
          <w:rFonts w:ascii="Arial" w:eastAsia="Arial" w:hAnsi="Arial" w:cs="Arial"/>
          <w:b/>
          <w:smallCaps/>
          <w:color w:val="000000"/>
          <w:sz w:val="22"/>
          <w:szCs w:val="22"/>
        </w:rPr>
      </w:pPr>
    </w:p>
    <w:p w14:paraId="62A3170B"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Ferrari E, </w:t>
      </w:r>
      <w:proofErr w:type="spellStart"/>
      <w:r>
        <w:rPr>
          <w:rFonts w:ascii="Times New Roman" w:eastAsia="Times New Roman" w:hAnsi="Times New Roman" w:cs="Times New Roman"/>
          <w:sz w:val="24"/>
          <w:szCs w:val="24"/>
        </w:rPr>
        <w:t>Mészáros</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Scheps</w:t>
      </w:r>
      <w:proofErr w:type="spellEnd"/>
      <w:r>
        <w:rPr>
          <w:rFonts w:ascii="Times New Roman" w:eastAsia="Times New Roman" w:hAnsi="Times New Roman" w:cs="Times New Roman"/>
          <w:sz w:val="24"/>
          <w:szCs w:val="24"/>
        </w:rPr>
        <w:t xml:space="preserve"> D, et al. Re-assembled botulinum neurotoxin inhibits CNS functions without systemic toxicity. Toxins (Basel). 2011;3(4):345-55.</w:t>
      </w:r>
    </w:p>
    <w:p w14:paraId="25B7E52D"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Cernuda-Morollón</w:t>
      </w:r>
      <w:proofErr w:type="spellEnd"/>
      <w:r>
        <w:rPr>
          <w:rFonts w:ascii="Times New Roman" w:eastAsia="Times New Roman" w:hAnsi="Times New Roman" w:cs="Times New Roman"/>
          <w:sz w:val="24"/>
          <w:szCs w:val="24"/>
        </w:rPr>
        <w:t xml:space="preserve"> E, Ramón C, Pascual J. Long-term experience with </w:t>
      </w:r>
      <w:proofErr w:type="spellStart"/>
      <w:r>
        <w:rPr>
          <w:rFonts w:ascii="Times New Roman" w:eastAsia="Times New Roman" w:hAnsi="Times New Roman" w:cs="Times New Roman"/>
          <w:sz w:val="24"/>
          <w:szCs w:val="24"/>
        </w:rPr>
        <w:t>onabotulinumtoxinA</w:t>
      </w:r>
      <w:proofErr w:type="spellEnd"/>
      <w:r>
        <w:rPr>
          <w:rFonts w:ascii="Times New Roman" w:eastAsia="Times New Roman" w:hAnsi="Times New Roman" w:cs="Times New Roman"/>
          <w:sz w:val="24"/>
          <w:szCs w:val="24"/>
        </w:rPr>
        <w:t xml:space="preserve"> in the treatment of chronic migraine: what</w:t>
      </w:r>
      <w:r>
        <w:rPr>
          <w:rFonts w:ascii="Times New Roman" w:eastAsia="Times New Roman" w:hAnsi="Times New Roman" w:cs="Times New Roman"/>
          <w:sz w:val="24"/>
          <w:szCs w:val="24"/>
        </w:rPr>
        <w:t xml:space="preserve"> happens after one </w:t>
      </w:r>
      <w:proofErr w:type="gramStart"/>
      <w:r>
        <w:rPr>
          <w:rFonts w:ascii="Times New Roman" w:eastAsia="Times New Roman" w:hAnsi="Times New Roman" w:cs="Times New Roman"/>
          <w:sz w:val="24"/>
          <w:szCs w:val="24"/>
        </w:rPr>
        <w:t>year?.</w:t>
      </w:r>
      <w:proofErr w:type="gramEnd"/>
      <w:r>
        <w:rPr>
          <w:rFonts w:ascii="Times New Roman" w:eastAsia="Times New Roman" w:hAnsi="Times New Roman" w:cs="Times New Roman"/>
          <w:sz w:val="24"/>
          <w:szCs w:val="24"/>
        </w:rPr>
        <w:t xml:space="preserve"> Cephalalgia. 2015;35(10):864-8.</w:t>
      </w:r>
    </w:p>
    <w:p w14:paraId="1ADFC392"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Blaszczyk</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Janowska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Rutkowska</w:t>
      </w:r>
      <w:proofErr w:type="spellEnd"/>
      <w:r>
        <w:rPr>
          <w:rFonts w:ascii="Times New Roman" w:eastAsia="Times New Roman" w:hAnsi="Times New Roman" w:cs="Times New Roman"/>
          <w:sz w:val="24"/>
          <w:szCs w:val="24"/>
        </w:rPr>
        <w:t xml:space="preserve"> A, et al. Questionnaire about the adverse events and side effects following botulinum toxin A treatment in patients with cerebral palsy. Toxins (Basel). 2015;7(11)</w:t>
      </w:r>
      <w:r>
        <w:rPr>
          <w:rFonts w:ascii="Times New Roman" w:eastAsia="Times New Roman" w:hAnsi="Times New Roman" w:cs="Times New Roman"/>
          <w:sz w:val="24"/>
          <w:szCs w:val="24"/>
        </w:rPr>
        <w:t>:4645-54.</w:t>
      </w:r>
    </w:p>
    <w:p w14:paraId="155E71D0"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Hristova</w:t>
      </w:r>
      <w:proofErr w:type="spellEnd"/>
      <w:r>
        <w:rPr>
          <w:rFonts w:ascii="Times New Roman" w:eastAsia="Times New Roman" w:hAnsi="Times New Roman" w:cs="Times New Roman"/>
          <w:sz w:val="24"/>
          <w:szCs w:val="24"/>
        </w:rPr>
        <w:t xml:space="preserve"> AH, Evers S, </w:t>
      </w:r>
      <w:proofErr w:type="spellStart"/>
      <w:r>
        <w:rPr>
          <w:rFonts w:ascii="Times New Roman" w:eastAsia="Times New Roman" w:hAnsi="Times New Roman" w:cs="Times New Roman"/>
          <w:sz w:val="24"/>
          <w:szCs w:val="24"/>
        </w:rPr>
        <w:t>Tanislav</w:t>
      </w:r>
      <w:proofErr w:type="spellEnd"/>
      <w:r>
        <w:rPr>
          <w:rFonts w:ascii="Times New Roman" w:eastAsia="Times New Roman" w:hAnsi="Times New Roman" w:cs="Times New Roman"/>
          <w:sz w:val="24"/>
          <w:szCs w:val="24"/>
        </w:rPr>
        <w:t xml:space="preserve"> C. Severe nervous system complications after botulinum type A therapy: three case reports with reviews of FDA-reported nervous system adverse effects. PM R. 2012;4(8):613-23.</w:t>
      </w:r>
    </w:p>
    <w:p w14:paraId="6340EDC2"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Cavuş</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Güneş</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Yıldız</w:t>
      </w:r>
      <w:proofErr w:type="spellEnd"/>
      <w:r>
        <w:rPr>
          <w:rFonts w:ascii="Times New Roman" w:eastAsia="Times New Roman" w:hAnsi="Times New Roman" w:cs="Times New Roman"/>
          <w:sz w:val="24"/>
          <w:szCs w:val="24"/>
        </w:rPr>
        <w:t xml:space="preserve"> A, et al. </w:t>
      </w:r>
      <w:r>
        <w:rPr>
          <w:rFonts w:ascii="Times New Roman" w:eastAsia="Times New Roman" w:hAnsi="Times New Roman" w:cs="Times New Roman"/>
          <w:sz w:val="24"/>
          <w:szCs w:val="24"/>
        </w:rPr>
        <w:t>Evaluation of MR-tractography findings in hemifacial spasm patients injected with botulinum neurotoxin. Neurol India. 2022;70(2):543-7.</w:t>
      </w:r>
    </w:p>
    <w:p w14:paraId="4CEE2A54"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Delgado MR, Tilton A, </w:t>
      </w:r>
      <w:proofErr w:type="spellStart"/>
      <w:r>
        <w:rPr>
          <w:rFonts w:ascii="Times New Roman" w:eastAsia="Times New Roman" w:hAnsi="Times New Roman" w:cs="Times New Roman"/>
          <w:sz w:val="24"/>
          <w:szCs w:val="24"/>
        </w:rPr>
        <w:t>Russman</w:t>
      </w:r>
      <w:proofErr w:type="spellEnd"/>
      <w:r>
        <w:rPr>
          <w:rFonts w:ascii="Times New Roman" w:eastAsia="Times New Roman" w:hAnsi="Times New Roman" w:cs="Times New Roman"/>
          <w:sz w:val="24"/>
          <w:szCs w:val="24"/>
        </w:rPr>
        <w:t xml:space="preserve"> B, et al. Safety and efficacy of repeat open-label </w:t>
      </w:r>
      <w:proofErr w:type="spellStart"/>
      <w:r>
        <w:rPr>
          <w:rFonts w:ascii="Times New Roman" w:eastAsia="Times New Roman" w:hAnsi="Times New Roman" w:cs="Times New Roman"/>
          <w:sz w:val="24"/>
          <w:szCs w:val="24"/>
        </w:rPr>
        <w:t>abobotulinumtoxinA</w:t>
      </w:r>
      <w:proofErr w:type="spellEnd"/>
      <w:r>
        <w:rPr>
          <w:rFonts w:ascii="Times New Roman" w:eastAsia="Times New Roman" w:hAnsi="Times New Roman" w:cs="Times New Roman"/>
          <w:sz w:val="24"/>
          <w:szCs w:val="24"/>
        </w:rPr>
        <w:t xml:space="preserve"> treatment in pediatr</w:t>
      </w:r>
      <w:r>
        <w:rPr>
          <w:rFonts w:ascii="Times New Roman" w:eastAsia="Times New Roman" w:hAnsi="Times New Roman" w:cs="Times New Roman"/>
          <w:sz w:val="24"/>
          <w:szCs w:val="24"/>
        </w:rPr>
        <w:t>ic cerebral palsy. J Child Neurol. 2017;32(13):1058-64.</w:t>
      </w:r>
    </w:p>
    <w:p w14:paraId="67DAC635"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Toni T, Lambert C, Jarvis M, et al. Effectiveness of dual migraine therapy with CGRP inhibitors and </w:t>
      </w:r>
      <w:proofErr w:type="spellStart"/>
      <w:r>
        <w:rPr>
          <w:rFonts w:ascii="Times New Roman" w:eastAsia="Times New Roman" w:hAnsi="Times New Roman" w:cs="Times New Roman"/>
          <w:sz w:val="24"/>
          <w:szCs w:val="24"/>
        </w:rPr>
        <w:t>onabotulinumtoxinA</w:t>
      </w:r>
      <w:proofErr w:type="spellEnd"/>
      <w:r>
        <w:rPr>
          <w:rFonts w:ascii="Times New Roman" w:eastAsia="Times New Roman" w:hAnsi="Times New Roman" w:cs="Times New Roman"/>
          <w:sz w:val="24"/>
          <w:szCs w:val="24"/>
        </w:rPr>
        <w:t xml:space="preserve"> injections: case series. Neurol Sci. 2021;42(12):5373-6.</w:t>
      </w:r>
    </w:p>
    <w:p w14:paraId="4EF2DC75"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Cohen F, Kumar N, Hershe</w:t>
      </w:r>
      <w:r>
        <w:rPr>
          <w:rFonts w:ascii="Times New Roman" w:eastAsia="Times New Roman" w:hAnsi="Times New Roman" w:cs="Times New Roman"/>
          <w:sz w:val="24"/>
          <w:szCs w:val="24"/>
        </w:rPr>
        <w:t xml:space="preserve">y L. Efficacy and tolerability of calcitonin gene–related peptide–targeted monoclonal antibody medications as add-on therapy to </w:t>
      </w:r>
      <w:proofErr w:type="spellStart"/>
      <w:r>
        <w:rPr>
          <w:rFonts w:ascii="Times New Roman" w:eastAsia="Times New Roman" w:hAnsi="Times New Roman" w:cs="Times New Roman"/>
          <w:sz w:val="24"/>
          <w:szCs w:val="24"/>
        </w:rPr>
        <w:t>onabotulinumtoxinA</w:t>
      </w:r>
      <w:proofErr w:type="spellEnd"/>
      <w:r>
        <w:rPr>
          <w:rFonts w:ascii="Times New Roman" w:eastAsia="Times New Roman" w:hAnsi="Times New Roman" w:cs="Times New Roman"/>
          <w:sz w:val="24"/>
          <w:szCs w:val="24"/>
        </w:rPr>
        <w:t xml:space="preserve"> in patients with chronic migraine. Pain Med. 2021;22(8):1857-63.</w:t>
      </w:r>
    </w:p>
    <w:p w14:paraId="56006259"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 AC. </w:t>
      </w:r>
      <w:proofErr w:type="spellStart"/>
      <w:r>
        <w:rPr>
          <w:rFonts w:ascii="Times New Roman" w:eastAsia="Times New Roman" w:hAnsi="Times New Roman" w:cs="Times New Roman"/>
          <w:sz w:val="24"/>
          <w:szCs w:val="24"/>
        </w:rPr>
        <w:t>Métodos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técnicas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pesquisa</w:t>
      </w:r>
      <w:proofErr w:type="spellEnd"/>
      <w:r>
        <w:rPr>
          <w:rFonts w:ascii="Times New Roman" w:eastAsia="Times New Roman" w:hAnsi="Times New Roman" w:cs="Times New Roman"/>
          <w:sz w:val="24"/>
          <w:szCs w:val="24"/>
        </w:rPr>
        <w:t xml:space="preserve"> socia</w:t>
      </w:r>
      <w:r>
        <w:rPr>
          <w:rFonts w:ascii="Times New Roman" w:eastAsia="Times New Roman" w:hAnsi="Times New Roman" w:cs="Times New Roman"/>
          <w:sz w:val="24"/>
          <w:szCs w:val="24"/>
        </w:rPr>
        <w:t>l. 7ª ed. São Paulo: Atlas; 2022.</w:t>
      </w:r>
    </w:p>
    <w:p w14:paraId="67C9D51C"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Gonçalves JE. </w:t>
      </w:r>
      <w:proofErr w:type="spellStart"/>
      <w:r>
        <w:rPr>
          <w:rFonts w:ascii="Times New Roman" w:eastAsia="Times New Roman" w:hAnsi="Times New Roman" w:cs="Times New Roman"/>
          <w:sz w:val="24"/>
          <w:szCs w:val="24"/>
        </w:rPr>
        <w:t>Metodologia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científica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conceitos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teoria</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prática</w:t>
      </w:r>
      <w:proofErr w:type="spellEnd"/>
      <w:r>
        <w:rPr>
          <w:rFonts w:ascii="Times New Roman" w:eastAsia="Times New Roman" w:hAnsi="Times New Roman" w:cs="Times New Roman"/>
          <w:sz w:val="24"/>
          <w:szCs w:val="24"/>
        </w:rPr>
        <w:t>. São Paulo: Atlas; 2003.</w:t>
      </w:r>
    </w:p>
    <w:p w14:paraId="450178C6"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Minayo</w:t>
      </w:r>
      <w:proofErr w:type="spellEnd"/>
      <w:r>
        <w:rPr>
          <w:rFonts w:ascii="Times New Roman" w:eastAsia="Times New Roman" w:hAnsi="Times New Roman" w:cs="Times New Roman"/>
          <w:sz w:val="24"/>
          <w:szCs w:val="24"/>
        </w:rPr>
        <w:t xml:space="preserve"> MCS. O </w:t>
      </w:r>
      <w:proofErr w:type="spellStart"/>
      <w:r>
        <w:rPr>
          <w:rFonts w:ascii="Times New Roman" w:eastAsia="Times New Roman" w:hAnsi="Times New Roman" w:cs="Times New Roman"/>
          <w:sz w:val="24"/>
          <w:szCs w:val="24"/>
        </w:rPr>
        <w:t>desafio</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conhecimento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pesquisa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qualitativa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saúde</w:t>
      </w:r>
      <w:proofErr w:type="spellEnd"/>
      <w:r>
        <w:rPr>
          <w:rFonts w:ascii="Times New Roman" w:eastAsia="Times New Roman" w:hAnsi="Times New Roman" w:cs="Times New Roman"/>
          <w:sz w:val="24"/>
          <w:szCs w:val="24"/>
        </w:rPr>
        <w:t xml:space="preserve">. 5ª ed. São Paulo: </w:t>
      </w:r>
      <w:proofErr w:type="spellStart"/>
      <w:r>
        <w:rPr>
          <w:rFonts w:ascii="Times New Roman" w:eastAsia="Times New Roman" w:hAnsi="Times New Roman" w:cs="Times New Roman"/>
          <w:sz w:val="24"/>
          <w:szCs w:val="24"/>
        </w:rPr>
        <w:t>Hucitec</w:t>
      </w:r>
      <w:proofErr w:type="spellEnd"/>
      <w:r>
        <w:rPr>
          <w:rFonts w:ascii="Times New Roman" w:eastAsia="Times New Roman" w:hAnsi="Times New Roman" w:cs="Times New Roman"/>
          <w:sz w:val="24"/>
          <w:szCs w:val="24"/>
        </w:rPr>
        <w:t>; 1994.</w:t>
      </w:r>
    </w:p>
    <w:p w14:paraId="64832975"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Díaz-</w:t>
      </w:r>
      <w:proofErr w:type="spellStart"/>
      <w:r>
        <w:rPr>
          <w:rFonts w:ascii="Times New Roman" w:eastAsia="Times New Roman" w:hAnsi="Times New Roman" w:cs="Times New Roman"/>
          <w:sz w:val="24"/>
          <w:szCs w:val="24"/>
        </w:rPr>
        <w:t>Aristizábal</w:t>
      </w:r>
      <w:proofErr w:type="spellEnd"/>
      <w:r>
        <w:rPr>
          <w:rFonts w:ascii="Times New Roman" w:eastAsia="Times New Roman" w:hAnsi="Times New Roman" w:cs="Times New Roman"/>
          <w:sz w:val="24"/>
          <w:szCs w:val="24"/>
        </w:rPr>
        <w:t xml:space="preserve"> U, Gutiérre</w:t>
      </w:r>
      <w:r>
        <w:rPr>
          <w:rFonts w:ascii="Times New Roman" w:eastAsia="Times New Roman" w:hAnsi="Times New Roman" w:cs="Times New Roman"/>
          <w:sz w:val="24"/>
          <w:szCs w:val="24"/>
        </w:rPr>
        <w:t xml:space="preserve">z AM, Pulido MF, et al. </w:t>
      </w:r>
      <w:proofErr w:type="spellStart"/>
      <w:r>
        <w:rPr>
          <w:rFonts w:ascii="Times New Roman" w:eastAsia="Times New Roman" w:hAnsi="Times New Roman" w:cs="Times New Roman"/>
          <w:sz w:val="24"/>
          <w:szCs w:val="24"/>
        </w:rPr>
        <w:t>Efecto</w:t>
      </w:r>
      <w:proofErr w:type="spellEnd"/>
      <w:r>
        <w:rPr>
          <w:rFonts w:ascii="Times New Roman" w:eastAsia="Times New Roman" w:hAnsi="Times New Roman" w:cs="Times New Roman"/>
          <w:sz w:val="24"/>
          <w:szCs w:val="24"/>
        </w:rPr>
        <w:t xml:space="preserve"> de la </w:t>
      </w:r>
      <w:proofErr w:type="spellStart"/>
      <w:r>
        <w:rPr>
          <w:rFonts w:ascii="Times New Roman" w:eastAsia="Times New Roman" w:hAnsi="Times New Roman" w:cs="Times New Roman"/>
          <w:sz w:val="24"/>
          <w:szCs w:val="24"/>
        </w:rPr>
        <w:t>toxina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botulínica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tipo</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funcionalidad</w:t>
      </w:r>
      <w:proofErr w:type="spellEnd"/>
      <w:r>
        <w:rPr>
          <w:rFonts w:ascii="Times New Roman" w:eastAsia="Times New Roman" w:hAnsi="Times New Roman" w:cs="Times New Roman"/>
          <w:sz w:val="24"/>
          <w:szCs w:val="24"/>
        </w:rPr>
        <w:t xml:space="preserve">, las </w:t>
      </w:r>
      <w:proofErr w:type="spellStart"/>
      <w:r>
        <w:rPr>
          <w:rFonts w:ascii="Times New Roman" w:eastAsia="Times New Roman" w:hAnsi="Times New Roman" w:cs="Times New Roman"/>
          <w:sz w:val="24"/>
          <w:szCs w:val="24"/>
        </w:rPr>
        <w:t>sincinesias</w:t>
      </w:r>
      <w:proofErr w:type="spellEnd"/>
      <w:r>
        <w:rPr>
          <w:rFonts w:ascii="Times New Roman" w:eastAsia="Times New Roman" w:hAnsi="Times New Roman" w:cs="Times New Roman"/>
          <w:sz w:val="24"/>
          <w:szCs w:val="24"/>
        </w:rPr>
        <w:t xml:space="preserve"> y la </w:t>
      </w:r>
      <w:proofErr w:type="spellStart"/>
      <w:r>
        <w:rPr>
          <w:rFonts w:ascii="Times New Roman" w:eastAsia="Times New Roman" w:hAnsi="Times New Roman" w:cs="Times New Roman"/>
          <w:sz w:val="24"/>
          <w:szCs w:val="24"/>
        </w:rPr>
        <w:t>calidad</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vida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secuelas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parálisis</w:t>
      </w:r>
      <w:proofErr w:type="spellEnd"/>
      <w:r>
        <w:rPr>
          <w:rFonts w:ascii="Times New Roman" w:eastAsia="Times New Roman" w:hAnsi="Times New Roman" w:cs="Times New Roman"/>
          <w:sz w:val="24"/>
          <w:szCs w:val="24"/>
        </w:rPr>
        <w:t xml:space="preserve"> facial </w:t>
      </w:r>
      <w:proofErr w:type="spellStart"/>
      <w:r>
        <w:rPr>
          <w:rFonts w:ascii="Times New Roman" w:eastAsia="Times New Roman" w:hAnsi="Times New Roman" w:cs="Times New Roman"/>
          <w:sz w:val="24"/>
          <w:szCs w:val="24"/>
        </w:rPr>
        <w:t>periférica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Neurología</w:t>
      </w:r>
      <w:proofErr w:type="spellEnd"/>
      <w:r>
        <w:rPr>
          <w:rFonts w:ascii="Times New Roman" w:eastAsia="Times New Roman" w:hAnsi="Times New Roman" w:cs="Times New Roman"/>
          <w:sz w:val="24"/>
          <w:szCs w:val="24"/>
        </w:rPr>
        <w:t>. 2023;38(8):560-5.</w:t>
      </w:r>
    </w:p>
    <w:p w14:paraId="16DA4C11"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Michell TJ, </w:t>
      </w:r>
      <w:proofErr w:type="spellStart"/>
      <w:r>
        <w:rPr>
          <w:rFonts w:ascii="Times New Roman" w:eastAsia="Times New Roman" w:hAnsi="Times New Roman" w:cs="Times New Roman"/>
          <w:sz w:val="24"/>
          <w:szCs w:val="24"/>
        </w:rPr>
        <w:t>Bacino</w:t>
      </w:r>
      <w:proofErr w:type="spellEnd"/>
      <w:r>
        <w:rPr>
          <w:rFonts w:ascii="Times New Roman" w:eastAsia="Times New Roman" w:hAnsi="Times New Roman" w:cs="Times New Roman"/>
          <w:sz w:val="24"/>
          <w:szCs w:val="24"/>
        </w:rPr>
        <w:t xml:space="preserve"> C, Cohen S, et al. Mechanism of action of b</w:t>
      </w:r>
      <w:r>
        <w:rPr>
          <w:rFonts w:ascii="Times New Roman" w:eastAsia="Times New Roman" w:hAnsi="Times New Roman" w:cs="Times New Roman"/>
          <w:sz w:val="24"/>
          <w:szCs w:val="24"/>
        </w:rPr>
        <w:t>otulinum neurotoxin: binding and cleavage of SNARE proteins. Toxins (Basel). 2020;12(4):217.</w:t>
      </w:r>
    </w:p>
    <w:p w14:paraId="4FA4E47E"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Badarny</w:t>
      </w:r>
      <w:proofErr w:type="spellEnd"/>
      <w:r>
        <w:rPr>
          <w:rFonts w:ascii="Times New Roman" w:eastAsia="Times New Roman" w:hAnsi="Times New Roman" w:cs="Times New Roman"/>
          <w:sz w:val="24"/>
          <w:szCs w:val="24"/>
        </w:rPr>
        <w:t xml:space="preserve"> S, Halpern M, </w:t>
      </w:r>
      <w:proofErr w:type="spellStart"/>
      <w:r>
        <w:rPr>
          <w:rFonts w:ascii="Times New Roman" w:eastAsia="Times New Roman" w:hAnsi="Times New Roman" w:cs="Times New Roman"/>
          <w:sz w:val="24"/>
          <w:szCs w:val="24"/>
        </w:rPr>
        <w:t>Tunkel</w:t>
      </w:r>
      <w:proofErr w:type="spellEnd"/>
      <w:r>
        <w:rPr>
          <w:rFonts w:ascii="Times New Roman" w:eastAsia="Times New Roman" w:hAnsi="Times New Roman" w:cs="Times New Roman"/>
          <w:sz w:val="24"/>
          <w:szCs w:val="24"/>
        </w:rPr>
        <w:t xml:space="preserve"> O, et al. Long-term stable efficacy of botulinum toxin A in facial movement disorders with no need for increasing dose. Medicine (Balt</w:t>
      </w:r>
      <w:r>
        <w:rPr>
          <w:rFonts w:ascii="Times New Roman" w:eastAsia="Times New Roman" w:hAnsi="Times New Roman" w:cs="Times New Roman"/>
          <w:sz w:val="24"/>
          <w:szCs w:val="24"/>
        </w:rPr>
        <w:t>imore). 2021;100(25</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26481.</w:t>
      </w:r>
    </w:p>
    <w:p w14:paraId="03DE9815"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Prete</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Masciullo</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Currà</w:t>
      </w:r>
      <w:proofErr w:type="spellEnd"/>
      <w:r>
        <w:rPr>
          <w:rFonts w:ascii="Times New Roman" w:eastAsia="Times New Roman" w:hAnsi="Times New Roman" w:cs="Times New Roman"/>
          <w:sz w:val="24"/>
          <w:szCs w:val="24"/>
        </w:rPr>
        <w:t xml:space="preserve"> A, et al. Gender-related differences in treatment of spasticity using botulinum toxin. Toxins (Basel). 2022;14(1):35.</w:t>
      </w:r>
    </w:p>
    <w:p w14:paraId="0D7D1D19"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Wissel</w:t>
      </w:r>
      <w:proofErr w:type="spellEnd"/>
      <w:r>
        <w:rPr>
          <w:rFonts w:ascii="Times New Roman" w:eastAsia="Times New Roman" w:hAnsi="Times New Roman" w:cs="Times New Roman"/>
          <w:sz w:val="24"/>
          <w:szCs w:val="24"/>
        </w:rPr>
        <w:t xml:space="preserve"> J, Hecht MJ, </w:t>
      </w:r>
      <w:proofErr w:type="spellStart"/>
      <w:r>
        <w:rPr>
          <w:rFonts w:ascii="Times New Roman" w:eastAsia="Times New Roman" w:hAnsi="Times New Roman" w:cs="Times New Roman"/>
          <w:sz w:val="24"/>
          <w:szCs w:val="24"/>
        </w:rPr>
        <w:t>Schnur</w:t>
      </w:r>
      <w:proofErr w:type="spellEnd"/>
      <w:r>
        <w:rPr>
          <w:rFonts w:ascii="Times New Roman" w:eastAsia="Times New Roman" w:hAnsi="Times New Roman" w:cs="Times New Roman"/>
          <w:sz w:val="24"/>
          <w:szCs w:val="24"/>
        </w:rPr>
        <w:t xml:space="preserve"> N, et al. Safety and efficacy of </w:t>
      </w:r>
      <w:proofErr w:type="spellStart"/>
      <w:r>
        <w:rPr>
          <w:rFonts w:ascii="Times New Roman" w:eastAsia="Times New Roman" w:hAnsi="Times New Roman" w:cs="Times New Roman"/>
          <w:sz w:val="24"/>
          <w:szCs w:val="24"/>
        </w:rPr>
        <w:t>incobotulinumtoxinA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doses up to 800 U in limb spasticity: the TOWER study. Neurology. 2017;88(14):1321-8.</w:t>
      </w:r>
    </w:p>
    <w:p w14:paraId="13D1F5CB"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Delgado MR, Tilton A, </w:t>
      </w:r>
      <w:proofErr w:type="spellStart"/>
      <w:r>
        <w:rPr>
          <w:rFonts w:ascii="Times New Roman" w:eastAsia="Times New Roman" w:hAnsi="Times New Roman" w:cs="Times New Roman"/>
          <w:sz w:val="24"/>
          <w:szCs w:val="24"/>
        </w:rPr>
        <w:t>Russman</w:t>
      </w:r>
      <w:proofErr w:type="spellEnd"/>
      <w:r>
        <w:rPr>
          <w:rFonts w:ascii="Times New Roman" w:eastAsia="Times New Roman" w:hAnsi="Times New Roman" w:cs="Times New Roman"/>
          <w:sz w:val="24"/>
          <w:szCs w:val="24"/>
        </w:rPr>
        <w:t xml:space="preserve"> B, et al. Safety and efficacy of repeat open-label </w:t>
      </w:r>
      <w:proofErr w:type="spellStart"/>
      <w:r>
        <w:rPr>
          <w:rFonts w:ascii="Times New Roman" w:eastAsia="Times New Roman" w:hAnsi="Times New Roman" w:cs="Times New Roman"/>
          <w:sz w:val="24"/>
          <w:szCs w:val="24"/>
        </w:rPr>
        <w:t>abobotulinumtoxinA</w:t>
      </w:r>
      <w:proofErr w:type="spellEnd"/>
      <w:r>
        <w:rPr>
          <w:rFonts w:ascii="Times New Roman" w:eastAsia="Times New Roman" w:hAnsi="Times New Roman" w:cs="Times New Roman"/>
          <w:sz w:val="24"/>
          <w:szCs w:val="24"/>
        </w:rPr>
        <w:t xml:space="preserve"> treatment in pediatric cerebral palsy. J Child Neurol. 2017;32(13):105</w:t>
      </w:r>
      <w:r>
        <w:rPr>
          <w:rFonts w:ascii="Times New Roman" w:eastAsia="Times New Roman" w:hAnsi="Times New Roman" w:cs="Times New Roman"/>
          <w:sz w:val="24"/>
          <w:szCs w:val="24"/>
        </w:rPr>
        <w:t>8-64.</w:t>
      </w:r>
    </w:p>
    <w:p w14:paraId="78CF1893"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Picault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Mathe</w:t>
      </w:r>
      <w:proofErr w:type="spellEnd"/>
      <w:r>
        <w:rPr>
          <w:rFonts w:ascii="Times New Roman" w:eastAsia="Times New Roman" w:hAnsi="Times New Roman" w:cs="Times New Roman"/>
          <w:sz w:val="24"/>
          <w:szCs w:val="24"/>
        </w:rPr>
        <w:t xml:space="preserve"> JF, Aubert S, et al. Efficacy of botulinum toxin A in children with cerebral palsy using Tardieu Scale and Modified Ashworth Scale. Toxins (Basel). 2017;9(6):171.</w:t>
      </w:r>
    </w:p>
    <w:p w14:paraId="3BEEC992"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Reyes FI, López RS, Hernández JA, et al. Ultrasound-guided </w:t>
      </w:r>
      <w:proofErr w:type="spellStart"/>
      <w:r>
        <w:rPr>
          <w:rFonts w:ascii="Times New Roman" w:eastAsia="Times New Roman" w:hAnsi="Times New Roman" w:cs="Times New Roman"/>
          <w:sz w:val="24"/>
          <w:szCs w:val="24"/>
        </w:rPr>
        <w:t>onabotulinu</w:t>
      </w:r>
      <w:r>
        <w:rPr>
          <w:rFonts w:ascii="Times New Roman" w:eastAsia="Times New Roman" w:hAnsi="Times New Roman" w:cs="Times New Roman"/>
          <w:sz w:val="24"/>
          <w:szCs w:val="24"/>
        </w:rPr>
        <w:t>mtoxinA</w:t>
      </w:r>
      <w:proofErr w:type="spellEnd"/>
      <w:r>
        <w:rPr>
          <w:rFonts w:ascii="Times New Roman" w:eastAsia="Times New Roman" w:hAnsi="Times New Roman" w:cs="Times New Roman"/>
          <w:sz w:val="24"/>
          <w:szCs w:val="24"/>
        </w:rPr>
        <w:t xml:space="preserve"> injections to treat oromandibular dystonia in cerebral palsy. Toxins (Basel). 2022;14(3):158.</w:t>
      </w:r>
    </w:p>
    <w:p w14:paraId="52B7BDC7"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Foumane</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Sarr</w:t>
      </w:r>
      <w:proofErr w:type="spellEnd"/>
      <w:r>
        <w:rPr>
          <w:rFonts w:ascii="Times New Roman" w:eastAsia="Times New Roman" w:hAnsi="Times New Roman" w:cs="Times New Roman"/>
          <w:sz w:val="24"/>
          <w:szCs w:val="24"/>
        </w:rPr>
        <w:t xml:space="preserve"> MG, </w:t>
      </w:r>
      <w:proofErr w:type="spellStart"/>
      <w:r>
        <w:rPr>
          <w:rFonts w:ascii="Times New Roman" w:eastAsia="Times New Roman" w:hAnsi="Times New Roman" w:cs="Times New Roman"/>
          <w:sz w:val="24"/>
          <w:szCs w:val="24"/>
        </w:rPr>
        <w:t>Ouedraogo</w:t>
      </w:r>
      <w:proofErr w:type="spellEnd"/>
      <w:r>
        <w:rPr>
          <w:rFonts w:ascii="Times New Roman" w:eastAsia="Times New Roman" w:hAnsi="Times New Roman" w:cs="Times New Roman"/>
          <w:sz w:val="24"/>
          <w:szCs w:val="24"/>
        </w:rPr>
        <w:t xml:space="preserve"> D, et al. Adverse effects of botulinum toxin A treatment in neurology: experience from West Africa. Neurology International.</w:t>
      </w:r>
      <w:r>
        <w:rPr>
          <w:rFonts w:ascii="Times New Roman" w:eastAsia="Times New Roman" w:hAnsi="Times New Roman" w:cs="Times New Roman"/>
          <w:sz w:val="24"/>
          <w:szCs w:val="24"/>
        </w:rPr>
        <w:t xml:space="preserve"> 2015;7(3):5617.</w:t>
      </w:r>
    </w:p>
    <w:p w14:paraId="6DF87007"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Ramon-Cesar J, </w:t>
      </w:r>
      <w:proofErr w:type="spellStart"/>
      <w:r>
        <w:rPr>
          <w:rFonts w:ascii="Times New Roman" w:eastAsia="Times New Roman" w:hAnsi="Times New Roman" w:cs="Times New Roman"/>
          <w:sz w:val="24"/>
          <w:szCs w:val="24"/>
        </w:rPr>
        <w:t>Malm</w:t>
      </w:r>
      <w:proofErr w:type="spellEnd"/>
      <w:r>
        <w:rPr>
          <w:rFonts w:ascii="Times New Roman" w:eastAsia="Times New Roman" w:hAnsi="Times New Roman" w:cs="Times New Roman"/>
          <w:sz w:val="24"/>
          <w:szCs w:val="24"/>
        </w:rPr>
        <w:t xml:space="preserve"> C, Almeida G, et al. Impact of long-term botulinum toxin treatment on muscle volume and motor function. J Neurol Sci. 2014;344(1-2):123-9.</w:t>
      </w:r>
    </w:p>
    <w:p w14:paraId="6EEEBC98"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Dima L, </w:t>
      </w:r>
      <w:proofErr w:type="spellStart"/>
      <w:r>
        <w:rPr>
          <w:rFonts w:ascii="Times New Roman" w:eastAsia="Times New Roman" w:hAnsi="Times New Roman" w:cs="Times New Roman"/>
          <w:sz w:val="24"/>
          <w:szCs w:val="24"/>
        </w:rPr>
        <w:t>Trifanescu</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Caraiola</w:t>
      </w:r>
      <w:proofErr w:type="spellEnd"/>
      <w:r>
        <w:rPr>
          <w:rFonts w:ascii="Times New Roman" w:eastAsia="Times New Roman" w:hAnsi="Times New Roman" w:cs="Times New Roman"/>
          <w:sz w:val="24"/>
          <w:szCs w:val="24"/>
        </w:rPr>
        <w:t xml:space="preserve"> S, et al. Botulinum toxin a valuable prophylactic</w:t>
      </w:r>
      <w:r>
        <w:rPr>
          <w:rFonts w:ascii="Times New Roman" w:eastAsia="Times New Roman" w:hAnsi="Times New Roman" w:cs="Times New Roman"/>
          <w:sz w:val="24"/>
          <w:szCs w:val="24"/>
        </w:rPr>
        <w:t xml:space="preserve"> agent for migraines and a possible future option for the prevention of hormonal variations-triggered migraines. Toxins (Basel). 2019;11(8):465.</w:t>
      </w:r>
    </w:p>
    <w:p w14:paraId="57C5FD64"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Turkel</w:t>
      </w:r>
      <w:proofErr w:type="spellEnd"/>
      <w:r>
        <w:rPr>
          <w:rFonts w:ascii="Times New Roman" w:eastAsia="Times New Roman" w:hAnsi="Times New Roman" w:cs="Times New Roman"/>
          <w:sz w:val="24"/>
          <w:szCs w:val="24"/>
        </w:rPr>
        <w:t xml:space="preserve"> CC, Brin MF, et al. Treatment of chronic migraine with Botox (</w:t>
      </w:r>
      <w:proofErr w:type="spellStart"/>
      <w:r>
        <w:rPr>
          <w:rFonts w:ascii="Times New Roman" w:eastAsia="Times New Roman" w:hAnsi="Times New Roman" w:cs="Times New Roman"/>
          <w:sz w:val="24"/>
          <w:szCs w:val="24"/>
        </w:rPr>
        <w:t>onabotulinumtoxinA</w:t>
      </w:r>
      <w:proofErr w:type="spellEnd"/>
      <w:r>
        <w:rPr>
          <w:rFonts w:ascii="Times New Roman" w:eastAsia="Times New Roman" w:hAnsi="Times New Roman" w:cs="Times New Roman"/>
          <w:sz w:val="24"/>
          <w:szCs w:val="24"/>
        </w:rPr>
        <w:t>): development, insights</w:t>
      </w:r>
      <w:r>
        <w:rPr>
          <w:rFonts w:ascii="Times New Roman" w:eastAsia="Times New Roman" w:hAnsi="Times New Roman" w:cs="Times New Roman"/>
          <w:sz w:val="24"/>
          <w:szCs w:val="24"/>
        </w:rPr>
        <w:t>, and impact. Medicine (Baltimore). 2023;102(S1</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32600.</w:t>
      </w:r>
    </w:p>
    <w:p w14:paraId="6196CE00"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Matharu</w:t>
      </w:r>
      <w:proofErr w:type="spellEnd"/>
      <w:r>
        <w:rPr>
          <w:rFonts w:ascii="Times New Roman" w:eastAsia="Times New Roman" w:hAnsi="Times New Roman" w:cs="Times New Roman"/>
          <w:sz w:val="24"/>
          <w:szCs w:val="24"/>
        </w:rPr>
        <w:t xml:space="preserve"> M, Pascual J, </w:t>
      </w:r>
      <w:proofErr w:type="spellStart"/>
      <w:r>
        <w:rPr>
          <w:rFonts w:ascii="Times New Roman" w:eastAsia="Times New Roman" w:hAnsi="Times New Roman" w:cs="Times New Roman"/>
          <w:sz w:val="24"/>
          <w:szCs w:val="24"/>
        </w:rPr>
        <w:t>Hering</w:t>
      </w:r>
      <w:proofErr w:type="spellEnd"/>
      <w:r>
        <w:rPr>
          <w:rFonts w:ascii="Times New Roman" w:eastAsia="Times New Roman" w:hAnsi="Times New Roman" w:cs="Times New Roman"/>
          <w:sz w:val="24"/>
          <w:szCs w:val="24"/>
        </w:rPr>
        <w:t xml:space="preserve"> R, et al. Utilization and safety of </w:t>
      </w:r>
      <w:proofErr w:type="spellStart"/>
      <w:r>
        <w:rPr>
          <w:rFonts w:ascii="Times New Roman" w:eastAsia="Times New Roman" w:hAnsi="Times New Roman" w:cs="Times New Roman"/>
          <w:sz w:val="24"/>
          <w:szCs w:val="24"/>
        </w:rPr>
        <w:t>onabotulinumtoxinA</w:t>
      </w:r>
      <w:proofErr w:type="spellEnd"/>
      <w:r>
        <w:rPr>
          <w:rFonts w:ascii="Times New Roman" w:eastAsia="Times New Roman" w:hAnsi="Times New Roman" w:cs="Times New Roman"/>
          <w:sz w:val="24"/>
          <w:szCs w:val="24"/>
        </w:rPr>
        <w:t xml:space="preserve"> for the prophylactic treatment of chronic migraine from an observational study in Europe. Cephalalgia. 2017;37(14):</w:t>
      </w:r>
      <w:r>
        <w:rPr>
          <w:rFonts w:ascii="Times New Roman" w:eastAsia="Times New Roman" w:hAnsi="Times New Roman" w:cs="Times New Roman"/>
          <w:sz w:val="24"/>
          <w:szCs w:val="24"/>
        </w:rPr>
        <w:t>1384-97.</w:t>
      </w:r>
    </w:p>
    <w:p w14:paraId="7169CCAF"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Stovner</w:t>
      </w:r>
      <w:proofErr w:type="spellEnd"/>
      <w:r>
        <w:rPr>
          <w:rFonts w:ascii="Times New Roman" w:eastAsia="Times New Roman" w:hAnsi="Times New Roman" w:cs="Times New Roman"/>
          <w:sz w:val="24"/>
          <w:szCs w:val="24"/>
        </w:rPr>
        <w:t xml:space="preserve"> LJ, </w:t>
      </w:r>
      <w:proofErr w:type="spellStart"/>
      <w:r>
        <w:rPr>
          <w:rFonts w:ascii="Times New Roman" w:eastAsia="Times New Roman" w:hAnsi="Times New Roman" w:cs="Times New Roman"/>
          <w:sz w:val="24"/>
          <w:szCs w:val="24"/>
        </w:rPr>
        <w:t>Tronvik</w:t>
      </w:r>
      <w:proofErr w:type="spellEnd"/>
      <w:r>
        <w:rPr>
          <w:rFonts w:ascii="Times New Roman" w:eastAsia="Times New Roman" w:hAnsi="Times New Roman" w:cs="Times New Roman"/>
          <w:sz w:val="24"/>
          <w:szCs w:val="24"/>
        </w:rPr>
        <w:t xml:space="preserve"> E, Sand T, et al. </w:t>
      </w:r>
      <w:proofErr w:type="spellStart"/>
      <w:r>
        <w:rPr>
          <w:rFonts w:ascii="Times New Roman" w:eastAsia="Times New Roman" w:hAnsi="Times New Roman" w:cs="Times New Roman"/>
          <w:sz w:val="24"/>
          <w:szCs w:val="24"/>
        </w:rPr>
        <w:t>FollowTheSutures</w:t>
      </w:r>
      <w:proofErr w:type="spellEnd"/>
      <w:r>
        <w:rPr>
          <w:rFonts w:ascii="Times New Roman" w:eastAsia="Times New Roman" w:hAnsi="Times New Roman" w:cs="Times New Roman"/>
          <w:sz w:val="24"/>
          <w:szCs w:val="24"/>
        </w:rPr>
        <w:t xml:space="preserve">: piloting a new way to administer </w:t>
      </w:r>
      <w:proofErr w:type="spellStart"/>
      <w:r>
        <w:rPr>
          <w:rFonts w:ascii="Times New Roman" w:eastAsia="Times New Roman" w:hAnsi="Times New Roman" w:cs="Times New Roman"/>
          <w:sz w:val="24"/>
          <w:szCs w:val="24"/>
        </w:rPr>
        <w:t>onabotulinumtoxinA</w:t>
      </w:r>
      <w:proofErr w:type="spellEnd"/>
      <w:r>
        <w:rPr>
          <w:rFonts w:ascii="Times New Roman" w:eastAsia="Times New Roman" w:hAnsi="Times New Roman" w:cs="Times New Roman"/>
          <w:sz w:val="24"/>
          <w:szCs w:val="24"/>
        </w:rPr>
        <w:t xml:space="preserve"> for chronic migraine. Cephalalgia. 2022;42(7):590-7.</w:t>
      </w:r>
    </w:p>
    <w:p w14:paraId="02DE4AFE"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Jaimes</w:t>
      </w:r>
      <w:proofErr w:type="spellEnd"/>
      <w:r>
        <w:rPr>
          <w:rFonts w:ascii="Times New Roman" w:eastAsia="Times New Roman" w:hAnsi="Times New Roman" w:cs="Times New Roman"/>
          <w:sz w:val="24"/>
          <w:szCs w:val="24"/>
        </w:rPr>
        <w:t xml:space="preserve"> A, Avraham Y, Ramachandran R. </w:t>
      </w:r>
      <w:proofErr w:type="spellStart"/>
      <w:r>
        <w:rPr>
          <w:rFonts w:ascii="Times New Roman" w:eastAsia="Times New Roman" w:hAnsi="Times New Roman" w:cs="Times New Roman"/>
          <w:sz w:val="24"/>
          <w:szCs w:val="24"/>
        </w:rPr>
        <w:t>OnabotulinumtoxinA</w:t>
      </w:r>
      <w:proofErr w:type="spellEnd"/>
      <w:r>
        <w:rPr>
          <w:rFonts w:ascii="Times New Roman" w:eastAsia="Times New Roman" w:hAnsi="Times New Roman" w:cs="Times New Roman"/>
          <w:sz w:val="24"/>
          <w:szCs w:val="24"/>
        </w:rPr>
        <w:t xml:space="preserve"> as a promising treatment for p</w:t>
      </w:r>
      <w:r>
        <w:rPr>
          <w:rFonts w:ascii="Times New Roman" w:eastAsia="Times New Roman" w:hAnsi="Times New Roman" w:cs="Times New Roman"/>
          <w:sz w:val="24"/>
          <w:szCs w:val="24"/>
        </w:rPr>
        <w:t>rimary trochlear headache: a retrospective case series. Headache. 2024.</w:t>
      </w:r>
    </w:p>
    <w:p w14:paraId="24EF97AA"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Yerry</w:t>
      </w:r>
      <w:proofErr w:type="spellEnd"/>
      <w:r>
        <w:rPr>
          <w:rFonts w:ascii="Times New Roman" w:eastAsia="Times New Roman" w:hAnsi="Times New Roman" w:cs="Times New Roman"/>
          <w:sz w:val="24"/>
          <w:szCs w:val="24"/>
        </w:rPr>
        <w:t xml:space="preserve"> JA, Kuehn D, Finkel AG. </w:t>
      </w:r>
      <w:proofErr w:type="spellStart"/>
      <w:r>
        <w:rPr>
          <w:rFonts w:ascii="Times New Roman" w:eastAsia="Times New Roman" w:hAnsi="Times New Roman" w:cs="Times New Roman"/>
          <w:sz w:val="24"/>
          <w:szCs w:val="24"/>
        </w:rPr>
        <w:t>Onabotulinum</w:t>
      </w:r>
      <w:proofErr w:type="spellEnd"/>
      <w:r>
        <w:rPr>
          <w:rFonts w:ascii="Times New Roman" w:eastAsia="Times New Roman" w:hAnsi="Times New Roman" w:cs="Times New Roman"/>
          <w:sz w:val="24"/>
          <w:szCs w:val="24"/>
        </w:rPr>
        <w:t xml:space="preserve"> toxin A for the treatment of headache in service members with a history of mild traumatic brain injury: a cohort study. Headache. 2015;55(3):</w:t>
      </w:r>
      <w:r>
        <w:rPr>
          <w:rFonts w:ascii="Times New Roman" w:eastAsia="Times New Roman" w:hAnsi="Times New Roman" w:cs="Times New Roman"/>
          <w:sz w:val="24"/>
          <w:szCs w:val="24"/>
        </w:rPr>
        <w:t>395-406.</w:t>
      </w:r>
    </w:p>
    <w:p w14:paraId="169A20BE"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Anna H, </w:t>
      </w:r>
      <w:proofErr w:type="spellStart"/>
      <w:r>
        <w:rPr>
          <w:rFonts w:ascii="Times New Roman" w:eastAsia="Times New Roman" w:hAnsi="Times New Roman" w:cs="Times New Roman"/>
          <w:sz w:val="24"/>
          <w:szCs w:val="24"/>
        </w:rPr>
        <w:t>Thomassen</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Øygarden</w:t>
      </w:r>
      <w:proofErr w:type="spellEnd"/>
      <w:r>
        <w:rPr>
          <w:rFonts w:ascii="Times New Roman" w:eastAsia="Times New Roman" w:hAnsi="Times New Roman" w:cs="Times New Roman"/>
          <w:sz w:val="24"/>
          <w:szCs w:val="24"/>
        </w:rPr>
        <w:t xml:space="preserve"> H, et al. Botulinum toxin in CADASIL: clinical experience and safety considerations. Headache Currents. 2012;52(6):341-6.</w:t>
      </w:r>
    </w:p>
    <w:p w14:paraId="31E6C42F"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Rothrock JF, </w:t>
      </w:r>
      <w:proofErr w:type="spellStart"/>
      <w:r>
        <w:rPr>
          <w:rFonts w:ascii="Times New Roman" w:eastAsia="Times New Roman" w:hAnsi="Times New Roman" w:cs="Times New Roman"/>
          <w:sz w:val="24"/>
          <w:szCs w:val="24"/>
        </w:rPr>
        <w:t>Bloudek</w:t>
      </w:r>
      <w:proofErr w:type="spellEnd"/>
      <w:r>
        <w:rPr>
          <w:rFonts w:ascii="Times New Roman" w:eastAsia="Times New Roman" w:hAnsi="Times New Roman" w:cs="Times New Roman"/>
          <w:sz w:val="24"/>
          <w:szCs w:val="24"/>
        </w:rPr>
        <w:t xml:space="preserve"> LM, Houle TT, et al. FORWARD study: evaluating the comparative effectivene</w:t>
      </w:r>
      <w:r>
        <w:rPr>
          <w:rFonts w:ascii="Times New Roman" w:eastAsia="Times New Roman" w:hAnsi="Times New Roman" w:cs="Times New Roman"/>
          <w:sz w:val="24"/>
          <w:szCs w:val="24"/>
        </w:rPr>
        <w:t xml:space="preserve">ss of </w:t>
      </w:r>
      <w:proofErr w:type="spellStart"/>
      <w:r>
        <w:rPr>
          <w:rFonts w:ascii="Times New Roman" w:eastAsia="Times New Roman" w:hAnsi="Times New Roman" w:cs="Times New Roman"/>
          <w:sz w:val="24"/>
          <w:szCs w:val="24"/>
        </w:rPr>
        <w:t>onabotulinumtoxinA</w:t>
      </w:r>
      <w:proofErr w:type="spellEnd"/>
      <w:r>
        <w:rPr>
          <w:rFonts w:ascii="Times New Roman" w:eastAsia="Times New Roman" w:hAnsi="Times New Roman" w:cs="Times New Roman"/>
          <w:sz w:val="24"/>
          <w:szCs w:val="24"/>
        </w:rPr>
        <w:t xml:space="preserve"> and topiramate for headache prevention in adults with chronic migraine. Headache. 2019;59(10):1700-13.</w:t>
      </w:r>
    </w:p>
    <w:p w14:paraId="7D010A86"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Toni T, Lambert C, Jarvis M, et al. Effectiveness of dual migraine therapy with CGRP inhibitors and </w:t>
      </w:r>
      <w:proofErr w:type="spellStart"/>
      <w:r>
        <w:rPr>
          <w:rFonts w:ascii="Times New Roman" w:eastAsia="Times New Roman" w:hAnsi="Times New Roman" w:cs="Times New Roman"/>
          <w:sz w:val="24"/>
          <w:szCs w:val="24"/>
        </w:rPr>
        <w:t>onabotulinumtoxinA</w:t>
      </w:r>
      <w:proofErr w:type="spellEnd"/>
      <w:r>
        <w:rPr>
          <w:rFonts w:ascii="Times New Roman" w:eastAsia="Times New Roman" w:hAnsi="Times New Roman" w:cs="Times New Roman"/>
          <w:sz w:val="24"/>
          <w:szCs w:val="24"/>
        </w:rPr>
        <w:t xml:space="preserve"> injection</w:t>
      </w:r>
      <w:r>
        <w:rPr>
          <w:rFonts w:ascii="Times New Roman" w:eastAsia="Times New Roman" w:hAnsi="Times New Roman" w:cs="Times New Roman"/>
          <w:sz w:val="24"/>
          <w:szCs w:val="24"/>
        </w:rPr>
        <w:t>s: case series. Neurol Sci. 2021;42(12):5373-6.</w:t>
      </w:r>
    </w:p>
    <w:p w14:paraId="2BFDB383"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Algahtani</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Almarzouqi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Alhazzani</w:t>
      </w:r>
      <w:proofErr w:type="spellEnd"/>
      <w:r>
        <w:rPr>
          <w:rFonts w:ascii="Times New Roman" w:eastAsia="Times New Roman" w:hAnsi="Times New Roman" w:cs="Times New Roman"/>
          <w:sz w:val="24"/>
          <w:szCs w:val="24"/>
        </w:rPr>
        <w:t xml:space="preserve"> A, et al. Complications and safety profile of botulinum toxin injection in migraine: a review. Medicine (Baltimore). 2021;100(25</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26481.</w:t>
      </w:r>
    </w:p>
    <w:p w14:paraId="3EDC73BE"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Domenico A, </w:t>
      </w:r>
      <w:proofErr w:type="spellStart"/>
      <w:r>
        <w:rPr>
          <w:rFonts w:ascii="Times New Roman" w:eastAsia="Times New Roman" w:hAnsi="Times New Roman" w:cs="Times New Roman"/>
          <w:sz w:val="24"/>
          <w:szCs w:val="24"/>
        </w:rPr>
        <w:t>Santamato</w:t>
      </w:r>
      <w:proofErr w:type="spellEnd"/>
      <w:r>
        <w:rPr>
          <w:rFonts w:ascii="Times New Roman" w:eastAsia="Times New Roman" w:hAnsi="Times New Roman" w:cs="Times New Roman"/>
          <w:sz w:val="24"/>
          <w:szCs w:val="24"/>
        </w:rPr>
        <w:t xml:space="preserve"> A, De Gigli</w:t>
      </w:r>
      <w:r>
        <w:rPr>
          <w:rFonts w:ascii="Times New Roman" w:eastAsia="Times New Roman" w:hAnsi="Times New Roman" w:cs="Times New Roman"/>
          <w:sz w:val="24"/>
          <w:szCs w:val="24"/>
        </w:rPr>
        <w:t xml:space="preserve">o M, et al. Botulinum toxin for chronic pain: a review of mechanisms, applications, and efficacy. </w:t>
      </w:r>
      <w:r>
        <w:rPr>
          <w:rFonts w:ascii="Times New Roman" w:eastAsia="Times New Roman" w:hAnsi="Times New Roman" w:cs="Times New Roman"/>
          <w:i/>
          <w:sz w:val="24"/>
          <w:szCs w:val="24"/>
        </w:rPr>
        <w:t>Toxins (Basel)</w:t>
      </w:r>
      <w:r>
        <w:rPr>
          <w:rFonts w:ascii="Times New Roman" w:eastAsia="Times New Roman" w:hAnsi="Times New Roman" w:cs="Times New Roman"/>
          <w:sz w:val="24"/>
          <w:szCs w:val="24"/>
        </w:rPr>
        <w:t>. 2020;12(11):713.</w:t>
      </w:r>
    </w:p>
    <w:p w14:paraId="2A5120FB"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Valente K, Vasconcelos LG, Del Rio JL. Botulinum toxin type A in pain management: from basic science to clinical applications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Pain Physician</w:t>
      </w:r>
      <w:r>
        <w:rPr>
          <w:rFonts w:ascii="Times New Roman" w:eastAsia="Times New Roman" w:hAnsi="Times New Roman" w:cs="Times New Roman"/>
          <w:sz w:val="24"/>
          <w:szCs w:val="24"/>
        </w:rPr>
        <w:t>. 2023;26(2</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135-E142.</w:t>
      </w:r>
    </w:p>
    <w:p w14:paraId="056B18AD"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Wei J, Zhu J, Wang X, et al. The efficacy and safety of botulinum toxin type A in treatment of trigeminal neuralgia and peripheral neuropathic pain: a meta‐analysis of randomized controlled trials. </w:t>
      </w:r>
      <w:r>
        <w:rPr>
          <w:rFonts w:ascii="Times New Roman" w:eastAsia="Times New Roman" w:hAnsi="Times New Roman" w:cs="Times New Roman"/>
          <w:i/>
          <w:sz w:val="24"/>
          <w:szCs w:val="24"/>
        </w:rPr>
        <w:t xml:space="preserve">Brain </w:t>
      </w:r>
      <w:proofErr w:type="spellStart"/>
      <w:r>
        <w:rPr>
          <w:rFonts w:ascii="Times New Roman" w:eastAsia="Times New Roman" w:hAnsi="Times New Roman" w:cs="Times New Roman"/>
          <w:i/>
          <w:sz w:val="24"/>
          <w:szCs w:val="24"/>
        </w:rPr>
        <w:t>Behav</w:t>
      </w:r>
      <w:proofErr w:type="spellEnd"/>
      <w:r>
        <w:rPr>
          <w:rFonts w:ascii="Times New Roman" w:eastAsia="Times New Roman" w:hAnsi="Times New Roman" w:cs="Times New Roman"/>
          <w:sz w:val="24"/>
          <w:szCs w:val="24"/>
        </w:rPr>
        <w:t>. 2019;</w:t>
      </w:r>
      <w:r>
        <w:rPr>
          <w:rFonts w:ascii="Times New Roman" w:eastAsia="Times New Roman" w:hAnsi="Times New Roman" w:cs="Times New Roman"/>
          <w:sz w:val="24"/>
          <w:szCs w:val="24"/>
        </w:rPr>
        <w:t>9(10</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01409.</w:t>
      </w:r>
    </w:p>
    <w:p w14:paraId="789E5001"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Bin Shen, Wang L. Botulinum toxin type A inhibits TRPV1 and TRPA1 expression in sensory neurons in a rat model of inflammatory pain. </w:t>
      </w:r>
      <w:proofErr w:type="spellStart"/>
      <w:r>
        <w:rPr>
          <w:rFonts w:ascii="Times New Roman" w:eastAsia="Times New Roman" w:hAnsi="Times New Roman" w:cs="Times New Roman"/>
          <w:i/>
          <w:sz w:val="24"/>
          <w:szCs w:val="24"/>
        </w:rPr>
        <w:t>Neurochem</w:t>
      </w:r>
      <w:proofErr w:type="spellEnd"/>
      <w:r>
        <w:rPr>
          <w:rFonts w:ascii="Times New Roman" w:eastAsia="Times New Roman" w:hAnsi="Times New Roman" w:cs="Times New Roman"/>
          <w:i/>
          <w:sz w:val="24"/>
          <w:szCs w:val="24"/>
        </w:rPr>
        <w:t xml:space="preserve"> Res</w:t>
      </w:r>
      <w:r>
        <w:rPr>
          <w:rFonts w:ascii="Times New Roman" w:eastAsia="Times New Roman" w:hAnsi="Times New Roman" w:cs="Times New Roman"/>
          <w:sz w:val="24"/>
          <w:szCs w:val="24"/>
        </w:rPr>
        <w:t>. 2020;45(5):1013-1020.</w:t>
      </w:r>
    </w:p>
    <w:p w14:paraId="6C70282D"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Gfrerer</w:t>
      </w:r>
      <w:proofErr w:type="spellEnd"/>
      <w:r>
        <w:rPr>
          <w:rFonts w:ascii="Times New Roman" w:eastAsia="Times New Roman" w:hAnsi="Times New Roman" w:cs="Times New Roman"/>
          <w:sz w:val="24"/>
          <w:szCs w:val="24"/>
        </w:rPr>
        <w:t xml:space="preserve"> L, Liu CY, Burns J, et al. </w:t>
      </w:r>
      <w:proofErr w:type="spellStart"/>
      <w:r>
        <w:rPr>
          <w:rFonts w:ascii="Times New Roman" w:eastAsia="Times New Roman" w:hAnsi="Times New Roman" w:cs="Times New Roman"/>
          <w:sz w:val="24"/>
          <w:szCs w:val="24"/>
        </w:rPr>
        <w:t>OnabotulinumtoxinA</w:t>
      </w:r>
      <w:proofErr w:type="spellEnd"/>
      <w:r>
        <w:rPr>
          <w:rFonts w:ascii="Times New Roman" w:eastAsia="Times New Roman" w:hAnsi="Times New Roman" w:cs="Times New Roman"/>
          <w:sz w:val="24"/>
          <w:szCs w:val="24"/>
        </w:rPr>
        <w:t xml:space="preserve"> alters inflammator</w:t>
      </w:r>
      <w:r>
        <w:rPr>
          <w:rFonts w:ascii="Times New Roman" w:eastAsia="Times New Roman" w:hAnsi="Times New Roman" w:cs="Times New Roman"/>
          <w:sz w:val="24"/>
          <w:szCs w:val="24"/>
        </w:rPr>
        <w:t xml:space="preserve">y gene expression and immune cells in chronic headache patients. </w:t>
      </w:r>
      <w:r>
        <w:rPr>
          <w:rFonts w:ascii="Times New Roman" w:eastAsia="Times New Roman" w:hAnsi="Times New Roman" w:cs="Times New Roman"/>
          <w:i/>
          <w:sz w:val="24"/>
          <w:szCs w:val="24"/>
        </w:rPr>
        <w:t>Brain</w:t>
      </w:r>
      <w:r>
        <w:rPr>
          <w:rFonts w:ascii="Times New Roman" w:eastAsia="Times New Roman" w:hAnsi="Times New Roman" w:cs="Times New Roman"/>
          <w:sz w:val="24"/>
          <w:szCs w:val="24"/>
        </w:rPr>
        <w:t>. 2022;145(7):2436-49.</w:t>
      </w:r>
    </w:p>
    <w:p w14:paraId="25C24341"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Szuch</w:t>
      </w:r>
      <w:proofErr w:type="spellEnd"/>
      <w:r>
        <w:rPr>
          <w:rFonts w:ascii="Times New Roman" w:eastAsia="Times New Roman" w:hAnsi="Times New Roman" w:cs="Times New Roman"/>
          <w:sz w:val="24"/>
          <w:szCs w:val="24"/>
        </w:rPr>
        <w:t xml:space="preserve"> E, Ruggieri PM, Miller JP. Head drop after </w:t>
      </w:r>
      <w:proofErr w:type="spellStart"/>
      <w:r>
        <w:rPr>
          <w:rFonts w:ascii="Times New Roman" w:eastAsia="Times New Roman" w:hAnsi="Times New Roman" w:cs="Times New Roman"/>
          <w:sz w:val="24"/>
          <w:szCs w:val="24"/>
        </w:rPr>
        <w:t>botox</w:t>
      </w:r>
      <w:proofErr w:type="spellEnd"/>
      <w:r>
        <w:rPr>
          <w:rFonts w:ascii="Times New Roman" w:eastAsia="Times New Roman" w:hAnsi="Times New Roman" w:cs="Times New Roman"/>
          <w:sz w:val="24"/>
          <w:szCs w:val="24"/>
        </w:rPr>
        <w:t xml:space="preserve">: electrodiagnostic evaluation of iatrogenic botulinum toxicity. </w:t>
      </w:r>
      <w:r>
        <w:rPr>
          <w:rFonts w:ascii="Times New Roman" w:eastAsia="Times New Roman" w:hAnsi="Times New Roman" w:cs="Times New Roman"/>
          <w:i/>
          <w:sz w:val="24"/>
          <w:szCs w:val="24"/>
        </w:rPr>
        <w:t xml:space="preserve">Clin Neurol </w:t>
      </w:r>
      <w:proofErr w:type="spellStart"/>
      <w:r>
        <w:rPr>
          <w:rFonts w:ascii="Times New Roman" w:eastAsia="Times New Roman" w:hAnsi="Times New Roman" w:cs="Times New Roman"/>
          <w:i/>
          <w:sz w:val="24"/>
          <w:szCs w:val="24"/>
        </w:rPr>
        <w:t>Neurosurg</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2017;156:1</w:t>
      </w:r>
      <w:proofErr w:type="gramEnd"/>
      <w:r>
        <w:rPr>
          <w:rFonts w:ascii="Times New Roman" w:eastAsia="Times New Roman" w:hAnsi="Times New Roman" w:cs="Times New Roman"/>
          <w:sz w:val="24"/>
          <w:szCs w:val="24"/>
        </w:rPr>
        <w:t>-3.</w:t>
      </w:r>
    </w:p>
    <w:p w14:paraId="289AE6A9"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Kazeroo</w:t>
      </w:r>
      <w:r>
        <w:rPr>
          <w:rFonts w:ascii="Times New Roman" w:eastAsia="Times New Roman" w:hAnsi="Times New Roman" w:cs="Times New Roman"/>
          <w:sz w:val="24"/>
          <w:szCs w:val="24"/>
        </w:rPr>
        <w:t>ni</w:t>
      </w:r>
      <w:proofErr w:type="spellEnd"/>
      <w:r>
        <w:rPr>
          <w:rFonts w:ascii="Times New Roman" w:eastAsia="Times New Roman" w:hAnsi="Times New Roman" w:cs="Times New Roman"/>
          <w:sz w:val="24"/>
          <w:szCs w:val="24"/>
        </w:rPr>
        <w:t xml:space="preserve"> R, Armstrong EP. Botulinum toxin type A overdoses: analysis of the FDA adverse event reporting system database. </w:t>
      </w:r>
      <w:r>
        <w:rPr>
          <w:rFonts w:ascii="Times New Roman" w:eastAsia="Times New Roman" w:hAnsi="Times New Roman" w:cs="Times New Roman"/>
          <w:i/>
          <w:sz w:val="24"/>
          <w:szCs w:val="24"/>
        </w:rPr>
        <w:t xml:space="preserve">Clin Drug </w:t>
      </w:r>
      <w:proofErr w:type="spellStart"/>
      <w:r>
        <w:rPr>
          <w:rFonts w:ascii="Times New Roman" w:eastAsia="Times New Roman" w:hAnsi="Times New Roman" w:cs="Times New Roman"/>
          <w:i/>
          <w:sz w:val="24"/>
          <w:szCs w:val="24"/>
        </w:rPr>
        <w:t>Investig</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2018;38:867</w:t>
      </w:r>
      <w:proofErr w:type="gramEnd"/>
      <w:r>
        <w:rPr>
          <w:rFonts w:ascii="Times New Roman" w:eastAsia="Times New Roman" w:hAnsi="Times New Roman" w:cs="Times New Roman"/>
          <w:sz w:val="24"/>
          <w:szCs w:val="24"/>
        </w:rPr>
        <w:t>-72.</w:t>
      </w:r>
    </w:p>
    <w:p w14:paraId="598FB743"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Wolfgang J, Dressler D, </w:t>
      </w:r>
      <w:proofErr w:type="spellStart"/>
      <w:r>
        <w:rPr>
          <w:rFonts w:ascii="Times New Roman" w:eastAsia="Times New Roman" w:hAnsi="Times New Roman" w:cs="Times New Roman"/>
          <w:sz w:val="24"/>
          <w:szCs w:val="24"/>
        </w:rPr>
        <w:t>Sieb</w:t>
      </w:r>
      <w:proofErr w:type="spellEnd"/>
      <w:r>
        <w:rPr>
          <w:rFonts w:ascii="Times New Roman" w:eastAsia="Times New Roman" w:hAnsi="Times New Roman" w:cs="Times New Roman"/>
          <w:sz w:val="24"/>
          <w:szCs w:val="24"/>
        </w:rPr>
        <w:t xml:space="preserve"> JP, et al. Pooled safety analysis of </w:t>
      </w:r>
      <w:proofErr w:type="spellStart"/>
      <w:r>
        <w:rPr>
          <w:rFonts w:ascii="Times New Roman" w:eastAsia="Times New Roman" w:hAnsi="Times New Roman" w:cs="Times New Roman"/>
          <w:sz w:val="24"/>
          <w:szCs w:val="24"/>
        </w:rPr>
        <w:t>incobotulinumtoxinA</w:t>
      </w:r>
      <w:proofErr w:type="spellEnd"/>
      <w:r>
        <w:rPr>
          <w:rFonts w:ascii="Times New Roman" w:eastAsia="Times New Roman" w:hAnsi="Times New Roman" w:cs="Times New Roman"/>
          <w:sz w:val="24"/>
          <w:szCs w:val="24"/>
        </w:rPr>
        <w:t xml:space="preserve"> in the treatment of neurological disorders in adults. </w:t>
      </w:r>
      <w:r>
        <w:rPr>
          <w:rFonts w:ascii="Times New Roman" w:eastAsia="Times New Roman" w:hAnsi="Times New Roman" w:cs="Times New Roman"/>
          <w:i/>
          <w:sz w:val="24"/>
          <w:szCs w:val="24"/>
        </w:rPr>
        <w:t>Toxins (Basel)</w:t>
      </w:r>
      <w:r>
        <w:rPr>
          <w:rFonts w:ascii="Times New Roman" w:eastAsia="Times New Roman" w:hAnsi="Times New Roman" w:cs="Times New Roman"/>
          <w:sz w:val="24"/>
          <w:szCs w:val="24"/>
        </w:rPr>
        <w:t>. 2023;15(6):353.</w:t>
      </w:r>
    </w:p>
    <w:p w14:paraId="79766552" w14:textId="77777777" w:rsidR="00D7422B" w:rsidRDefault="004C02FD">
      <w:pPr>
        <w:numPr>
          <w:ilvl w:val="0"/>
          <w:numId w:val="1"/>
        </w:numPr>
        <w:spacing w:after="120"/>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Intiso</w:t>
      </w:r>
      <w:proofErr w:type="spellEnd"/>
      <w:r>
        <w:rPr>
          <w:rFonts w:ascii="Times New Roman" w:eastAsia="Times New Roman" w:hAnsi="Times New Roman" w:cs="Times New Roman"/>
          <w:sz w:val="24"/>
          <w:szCs w:val="24"/>
        </w:rPr>
        <w:t xml:space="preserve"> D, Di </w:t>
      </w:r>
      <w:proofErr w:type="spellStart"/>
      <w:r>
        <w:rPr>
          <w:rFonts w:ascii="Times New Roman" w:eastAsia="Times New Roman" w:hAnsi="Times New Roman" w:cs="Times New Roman"/>
          <w:sz w:val="24"/>
          <w:szCs w:val="24"/>
        </w:rPr>
        <w:t>Rienzo</w:t>
      </w:r>
      <w:proofErr w:type="spellEnd"/>
      <w:r>
        <w:rPr>
          <w:rFonts w:ascii="Times New Roman" w:eastAsia="Times New Roman" w:hAnsi="Times New Roman" w:cs="Times New Roman"/>
          <w:sz w:val="24"/>
          <w:szCs w:val="24"/>
        </w:rPr>
        <w:t xml:space="preserve"> F, Fortunato F, et al. High dosage of botulinum toxin type A in </w:t>
      </w:r>
      <w:r>
        <w:rPr>
          <w:rFonts w:ascii="Times New Roman" w:eastAsia="Times New Roman" w:hAnsi="Times New Roman" w:cs="Times New Roman"/>
          <w:sz w:val="24"/>
          <w:szCs w:val="24"/>
        </w:rPr>
        <w:t xml:space="preserve">adult subjects with spasticity: where are we </w:t>
      </w:r>
      <w:proofErr w:type="gramStart"/>
      <w:r>
        <w:rPr>
          <w:rFonts w:ascii="Times New Roman" w:eastAsia="Times New Roman" w:hAnsi="Times New Roman" w:cs="Times New Roman"/>
          <w:sz w:val="24"/>
          <w:szCs w:val="24"/>
        </w:rPr>
        <w:t>at?.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Toxins (Basel)</w:t>
      </w:r>
      <w:r>
        <w:rPr>
          <w:rFonts w:ascii="Times New Roman" w:eastAsia="Times New Roman" w:hAnsi="Times New Roman" w:cs="Times New Roman"/>
          <w:sz w:val="24"/>
          <w:szCs w:val="24"/>
        </w:rPr>
        <w:t>. 2020;12(5):315.</w:t>
      </w:r>
    </w:p>
    <w:p w14:paraId="4E19EEC7" w14:textId="77777777" w:rsidR="00D7422B" w:rsidRDefault="004C02FD">
      <w:pPr>
        <w:numPr>
          <w:ilvl w:val="0"/>
          <w:numId w:val="1"/>
        </w:numPr>
        <w:spacing w:after="120"/>
        <w:ind w:left="357"/>
      </w:pPr>
      <w:r>
        <w:rPr>
          <w:rFonts w:ascii="Times New Roman" w:eastAsia="Times New Roman" w:hAnsi="Times New Roman" w:cs="Times New Roman"/>
          <w:sz w:val="24"/>
          <w:szCs w:val="24"/>
        </w:rPr>
        <w:t xml:space="preserve">Ramon-Cesar J, </w:t>
      </w:r>
      <w:proofErr w:type="spellStart"/>
      <w:r>
        <w:rPr>
          <w:rFonts w:ascii="Times New Roman" w:eastAsia="Times New Roman" w:hAnsi="Times New Roman" w:cs="Times New Roman"/>
          <w:sz w:val="24"/>
          <w:szCs w:val="24"/>
        </w:rPr>
        <w:t>Malm</w:t>
      </w:r>
      <w:proofErr w:type="spellEnd"/>
      <w:r>
        <w:rPr>
          <w:rFonts w:ascii="Times New Roman" w:eastAsia="Times New Roman" w:hAnsi="Times New Roman" w:cs="Times New Roman"/>
          <w:sz w:val="24"/>
          <w:szCs w:val="24"/>
        </w:rPr>
        <w:t xml:space="preserve"> C, Almeida G, et al. Impact of long-term botulinum toxin treatment on muscle volume and motor function. </w:t>
      </w:r>
      <w:r>
        <w:rPr>
          <w:rFonts w:ascii="Times New Roman" w:eastAsia="Times New Roman" w:hAnsi="Times New Roman" w:cs="Times New Roman"/>
          <w:i/>
          <w:sz w:val="24"/>
          <w:szCs w:val="24"/>
        </w:rPr>
        <w:t>J Neurol Sci</w:t>
      </w:r>
      <w:r>
        <w:rPr>
          <w:rFonts w:ascii="Times New Roman" w:eastAsia="Times New Roman" w:hAnsi="Times New Roman" w:cs="Times New Roman"/>
          <w:sz w:val="24"/>
          <w:szCs w:val="24"/>
        </w:rPr>
        <w:t>. 2014;344(1-2):123-9.</w:t>
      </w:r>
    </w:p>
    <w:p w14:paraId="53EA2906" w14:textId="77777777" w:rsidR="00D7422B" w:rsidRDefault="004C02FD">
      <w:pPr>
        <w:numPr>
          <w:ilvl w:val="0"/>
          <w:numId w:val="1"/>
        </w:numPr>
        <w:spacing w:after="120"/>
        <w:ind w:left="357"/>
      </w:pPr>
      <w:r>
        <w:rPr>
          <w:rFonts w:ascii="Times New Roman" w:eastAsia="Times New Roman" w:hAnsi="Times New Roman" w:cs="Times New Roman"/>
          <w:sz w:val="24"/>
          <w:szCs w:val="24"/>
        </w:rPr>
        <w:t>Toni T, Lambert</w:t>
      </w:r>
      <w:r>
        <w:rPr>
          <w:rFonts w:ascii="Times New Roman" w:eastAsia="Times New Roman" w:hAnsi="Times New Roman" w:cs="Times New Roman"/>
          <w:sz w:val="24"/>
          <w:szCs w:val="24"/>
        </w:rPr>
        <w:t xml:space="preserve"> C, Jarvis M, et al. Effectiveness of dual migraine therapy with CGRP inhibitors and </w:t>
      </w:r>
      <w:proofErr w:type="spellStart"/>
      <w:r>
        <w:rPr>
          <w:rFonts w:ascii="Times New Roman" w:eastAsia="Times New Roman" w:hAnsi="Times New Roman" w:cs="Times New Roman"/>
          <w:sz w:val="24"/>
          <w:szCs w:val="24"/>
        </w:rPr>
        <w:t>onabotulinumtoxinA</w:t>
      </w:r>
      <w:proofErr w:type="spellEnd"/>
      <w:r>
        <w:rPr>
          <w:rFonts w:ascii="Times New Roman" w:eastAsia="Times New Roman" w:hAnsi="Times New Roman" w:cs="Times New Roman"/>
          <w:sz w:val="24"/>
          <w:szCs w:val="24"/>
        </w:rPr>
        <w:t xml:space="preserve"> injections: case series. </w:t>
      </w:r>
      <w:r>
        <w:rPr>
          <w:rFonts w:ascii="Times New Roman" w:eastAsia="Times New Roman" w:hAnsi="Times New Roman" w:cs="Times New Roman"/>
          <w:i/>
          <w:sz w:val="24"/>
          <w:szCs w:val="24"/>
        </w:rPr>
        <w:t>Neurol Sci</w:t>
      </w:r>
      <w:r>
        <w:rPr>
          <w:rFonts w:ascii="Times New Roman" w:eastAsia="Times New Roman" w:hAnsi="Times New Roman" w:cs="Times New Roman"/>
          <w:sz w:val="24"/>
          <w:szCs w:val="24"/>
        </w:rPr>
        <w:t>. 2021;42(12):5373-6.</w:t>
      </w:r>
    </w:p>
    <w:p w14:paraId="5934B820" w14:textId="77777777" w:rsidR="00D7422B" w:rsidRDefault="004C02FD">
      <w:pPr>
        <w:numPr>
          <w:ilvl w:val="0"/>
          <w:numId w:val="1"/>
        </w:numPr>
        <w:spacing w:after="120"/>
        <w:ind w:left="357"/>
      </w:pPr>
      <w:r>
        <w:rPr>
          <w:rFonts w:ascii="Times New Roman" w:eastAsia="Times New Roman" w:hAnsi="Times New Roman" w:cs="Times New Roman"/>
          <w:sz w:val="24"/>
          <w:szCs w:val="24"/>
        </w:rPr>
        <w:lastRenderedPageBreak/>
        <w:t xml:space="preserve">Rothrock JF, </w:t>
      </w:r>
      <w:proofErr w:type="spellStart"/>
      <w:r>
        <w:rPr>
          <w:rFonts w:ascii="Times New Roman" w:eastAsia="Times New Roman" w:hAnsi="Times New Roman" w:cs="Times New Roman"/>
          <w:sz w:val="24"/>
          <w:szCs w:val="24"/>
        </w:rPr>
        <w:t>Bloudek</w:t>
      </w:r>
      <w:proofErr w:type="spellEnd"/>
      <w:r>
        <w:rPr>
          <w:rFonts w:ascii="Times New Roman" w:eastAsia="Times New Roman" w:hAnsi="Times New Roman" w:cs="Times New Roman"/>
          <w:sz w:val="24"/>
          <w:szCs w:val="24"/>
        </w:rPr>
        <w:t xml:space="preserve"> LM, Houle TT, et al. FORWARD study: evaluating the comparative effectiveness of </w:t>
      </w:r>
      <w:proofErr w:type="spellStart"/>
      <w:r>
        <w:rPr>
          <w:rFonts w:ascii="Times New Roman" w:eastAsia="Times New Roman" w:hAnsi="Times New Roman" w:cs="Times New Roman"/>
          <w:sz w:val="24"/>
          <w:szCs w:val="24"/>
        </w:rPr>
        <w:t>onabotulinumtoxinA</w:t>
      </w:r>
      <w:proofErr w:type="spellEnd"/>
      <w:r>
        <w:rPr>
          <w:rFonts w:ascii="Times New Roman" w:eastAsia="Times New Roman" w:hAnsi="Times New Roman" w:cs="Times New Roman"/>
          <w:sz w:val="24"/>
          <w:szCs w:val="24"/>
        </w:rPr>
        <w:t xml:space="preserve"> and topiramate for headache prevention in adults with chronic migraine. </w:t>
      </w:r>
      <w:r>
        <w:rPr>
          <w:rFonts w:ascii="Times New Roman" w:eastAsia="Times New Roman" w:hAnsi="Times New Roman" w:cs="Times New Roman"/>
          <w:i/>
          <w:sz w:val="24"/>
          <w:szCs w:val="24"/>
        </w:rPr>
        <w:t>Headache</w:t>
      </w:r>
      <w:r>
        <w:rPr>
          <w:rFonts w:ascii="Times New Roman" w:eastAsia="Times New Roman" w:hAnsi="Times New Roman" w:cs="Times New Roman"/>
          <w:sz w:val="24"/>
          <w:szCs w:val="24"/>
        </w:rPr>
        <w:t>. 2019;59(10):1700-13.</w:t>
      </w:r>
    </w:p>
    <w:p w14:paraId="56888182" w14:textId="77777777" w:rsidR="00D7422B" w:rsidRDefault="004C02FD">
      <w:pPr>
        <w:numPr>
          <w:ilvl w:val="0"/>
          <w:numId w:val="1"/>
        </w:numPr>
        <w:spacing w:after="120"/>
        <w:ind w:left="357"/>
      </w:pPr>
      <w:r>
        <w:rPr>
          <w:rFonts w:ascii="Times New Roman" w:eastAsia="Times New Roman" w:hAnsi="Times New Roman" w:cs="Times New Roman"/>
          <w:sz w:val="24"/>
          <w:szCs w:val="24"/>
        </w:rPr>
        <w:t xml:space="preserve">Domenico A, </w:t>
      </w:r>
      <w:proofErr w:type="spellStart"/>
      <w:r>
        <w:rPr>
          <w:rFonts w:ascii="Times New Roman" w:eastAsia="Times New Roman" w:hAnsi="Times New Roman" w:cs="Times New Roman"/>
          <w:sz w:val="24"/>
          <w:szCs w:val="24"/>
        </w:rPr>
        <w:t>Santamato</w:t>
      </w:r>
      <w:proofErr w:type="spellEnd"/>
      <w:r>
        <w:rPr>
          <w:rFonts w:ascii="Times New Roman" w:eastAsia="Times New Roman" w:hAnsi="Times New Roman" w:cs="Times New Roman"/>
          <w:sz w:val="24"/>
          <w:szCs w:val="24"/>
        </w:rPr>
        <w:t xml:space="preserve"> A, De Gigli</w:t>
      </w:r>
      <w:r>
        <w:rPr>
          <w:rFonts w:ascii="Times New Roman" w:eastAsia="Times New Roman" w:hAnsi="Times New Roman" w:cs="Times New Roman"/>
          <w:sz w:val="24"/>
          <w:szCs w:val="24"/>
        </w:rPr>
        <w:t xml:space="preserve">o M, et al. Botulinum toxin for chronic pain: a review of mechanisms, applications, and efficacy. </w:t>
      </w:r>
      <w:r>
        <w:rPr>
          <w:rFonts w:ascii="Times New Roman" w:eastAsia="Times New Roman" w:hAnsi="Times New Roman" w:cs="Times New Roman"/>
          <w:i/>
          <w:sz w:val="24"/>
          <w:szCs w:val="24"/>
        </w:rPr>
        <w:t>Toxins (Basel)</w:t>
      </w:r>
      <w:r>
        <w:rPr>
          <w:rFonts w:ascii="Times New Roman" w:eastAsia="Times New Roman" w:hAnsi="Times New Roman" w:cs="Times New Roman"/>
          <w:sz w:val="24"/>
          <w:szCs w:val="24"/>
        </w:rPr>
        <w:t>. 2020;12(11):713.</w:t>
      </w:r>
    </w:p>
    <w:p w14:paraId="4DDD48EB" w14:textId="77777777" w:rsidR="00D7422B" w:rsidRDefault="004C02FD">
      <w:pPr>
        <w:numPr>
          <w:ilvl w:val="0"/>
          <w:numId w:val="1"/>
        </w:numPr>
        <w:spacing w:after="120"/>
        <w:ind w:left="357"/>
        <w:sectPr w:rsidR="00D7422B" w:rsidSect="00591BB0">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2016" w:bottom="2016" w:left="2016" w:header="720" w:footer="1123" w:gutter="0"/>
          <w:cols w:space="720"/>
          <w:docGrid w:linePitch="272"/>
        </w:sectPr>
      </w:pPr>
      <w:proofErr w:type="spellStart"/>
      <w:r>
        <w:rPr>
          <w:rFonts w:ascii="Times New Roman" w:eastAsia="Times New Roman" w:hAnsi="Times New Roman" w:cs="Times New Roman"/>
          <w:sz w:val="24"/>
          <w:szCs w:val="24"/>
        </w:rPr>
        <w:t>Intiso</w:t>
      </w:r>
      <w:proofErr w:type="spellEnd"/>
      <w:r>
        <w:rPr>
          <w:rFonts w:ascii="Times New Roman" w:eastAsia="Times New Roman" w:hAnsi="Times New Roman" w:cs="Times New Roman"/>
          <w:sz w:val="24"/>
          <w:szCs w:val="24"/>
        </w:rPr>
        <w:t xml:space="preserve"> D, Di </w:t>
      </w:r>
      <w:proofErr w:type="spellStart"/>
      <w:r>
        <w:rPr>
          <w:rFonts w:ascii="Times New Roman" w:eastAsia="Times New Roman" w:hAnsi="Times New Roman" w:cs="Times New Roman"/>
          <w:sz w:val="24"/>
          <w:szCs w:val="24"/>
        </w:rPr>
        <w:t>Rienzo</w:t>
      </w:r>
      <w:proofErr w:type="spellEnd"/>
      <w:r>
        <w:rPr>
          <w:rFonts w:ascii="Times New Roman" w:eastAsia="Times New Roman" w:hAnsi="Times New Roman" w:cs="Times New Roman"/>
          <w:sz w:val="24"/>
          <w:szCs w:val="24"/>
        </w:rPr>
        <w:t xml:space="preserve"> F, Fortunato F, et al. High dosage of botulinum toxin type A in adult subjects with spasti</w:t>
      </w:r>
      <w:r>
        <w:rPr>
          <w:rFonts w:ascii="Times New Roman" w:eastAsia="Times New Roman" w:hAnsi="Times New Roman" w:cs="Times New Roman"/>
          <w:sz w:val="24"/>
          <w:szCs w:val="24"/>
        </w:rPr>
        <w:t xml:space="preserve">city: where are we </w:t>
      </w:r>
      <w:proofErr w:type="gramStart"/>
      <w:r>
        <w:rPr>
          <w:rFonts w:ascii="Times New Roman" w:eastAsia="Times New Roman" w:hAnsi="Times New Roman" w:cs="Times New Roman"/>
          <w:sz w:val="24"/>
          <w:szCs w:val="24"/>
        </w:rPr>
        <w:t>at?.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Toxins (Basel)</w:t>
      </w:r>
      <w:r>
        <w:rPr>
          <w:rFonts w:ascii="Times New Roman" w:eastAsia="Times New Roman" w:hAnsi="Times New Roman" w:cs="Times New Roman"/>
          <w:sz w:val="24"/>
          <w:szCs w:val="24"/>
        </w:rPr>
        <w:t>. 2020;12(5):315.</w:t>
      </w:r>
    </w:p>
    <w:p w14:paraId="3D434067" w14:textId="77777777" w:rsidR="00D7422B" w:rsidRDefault="00D7422B">
      <w:pPr>
        <w:keepNext/>
        <w:pBdr>
          <w:top w:val="nil"/>
          <w:left w:val="nil"/>
          <w:bottom w:val="nil"/>
          <w:right w:val="nil"/>
          <w:between w:val="nil"/>
        </w:pBdr>
        <w:jc w:val="both"/>
        <w:rPr>
          <w:rFonts w:ascii="Arial" w:eastAsia="Arial" w:hAnsi="Arial" w:cs="Arial"/>
          <w:smallCaps/>
          <w:color w:val="000000"/>
          <w:sz w:val="22"/>
          <w:szCs w:val="22"/>
        </w:rPr>
      </w:pPr>
    </w:p>
    <w:sectPr w:rsidR="00D7422B" w:rsidSect="00591BB0">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9E2E8" w14:textId="77777777" w:rsidR="004C02FD" w:rsidRDefault="004C02FD">
      <w:r>
        <w:separator/>
      </w:r>
    </w:p>
  </w:endnote>
  <w:endnote w:type="continuationSeparator" w:id="0">
    <w:p w14:paraId="360FFE4F" w14:textId="77777777" w:rsidR="004C02FD" w:rsidRDefault="004C0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Helvetica Neue">
    <w:altName w:val="SimSun"/>
    <w:charset w:val="00"/>
    <w:family w:val="auto"/>
    <w:pitch w:val="default"/>
    <w:embedRegular r:id="rId1" w:fontKey="{6672713C-D76B-4D7D-B2E2-E2A58047ACD5}"/>
    <w:embedBold r:id="rId2" w:fontKey="{2D75DD39-9F4E-476F-A529-7B0A311AF72D}"/>
  </w:font>
  <w:font w:name="Helvetica">
    <w:panose1 w:val="020B0604020202020204"/>
    <w:charset w:val="00"/>
    <w:family w:val="swiss"/>
    <w:pitch w:val="variable"/>
    <w:sig w:usb0="E0002EFF" w:usb1="C000785B" w:usb2="00000009" w:usb3="00000000" w:csb0="000001FF" w:csb1="00000000"/>
    <w:embedRegular r:id="rId3" w:fontKey="{EFD8A636-C1AC-4EF1-A132-BE14F96932AE}"/>
    <w:embedBold r:id="rId4" w:fontKey="{E9A71A45-7E33-4293-B984-8F3B0EED2A0B}"/>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5" w:fontKey="{9DC34BD3-F36F-4AFD-A177-1E3C47DBB2C7}"/>
  </w:font>
  <w:font w:name="Tahoma">
    <w:panose1 w:val="020B0604030504040204"/>
    <w:charset w:val="00"/>
    <w:family w:val="swiss"/>
    <w:pitch w:val="variable"/>
    <w:sig w:usb0="E1002EFF" w:usb1="C000605B" w:usb2="00000029" w:usb3="00000000" w:csb0="000101FF" w:csb1="00000000"/>
    <w:embedRegular r:id="rId6" w:fontKey="{8219F410-6A0B-48EC-9BD5-6079D703BAE5}"/>
  </w:font>
  <w:font w:name="Georgia">
    <w:panose1 w:val="02040502050405020303"/>
    <w:charset w:val="00"/>
    <w:family w:val="roman"/>
    <w:pitch w:val="variable"/>
    <w:sig w:usb0="00000287" w:usb1="00000000" w:usb2="00000000" w:usb3="00000000" w:csb0="0000009F" w:csb1="00000000"/>
    <w:embedRegular r:id="rId7" w:fontKey="{27A1848F-525D-46F6-A773-DE14358EC232}"/>
    <w:embedItalic r:id="rId8" w:fontKey="{4098A535-C481-4D5D-B12A-3EA279D43565}"/>
  </w:font>
  <w:font w:name="Cambria">
    <w:panose1 w:val="02040503050406030204"/>
    <w:charset w:val="00"/>
    <w:family w:val="roman"/>
    <w:pitch w:val="variable"/>
    <w:sig w:usb0="E00006FF" w:usb1="420024FF" w:usb2="02000000" w:usb3="00000000" w:csb0="0000019F" w:csb1="00000000"/>
    <w:embedRegular r:id="rId9" w:fontKey="{D7524BB5-D5B4-474E-BB2B-0B9046AF19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2C0F6" w14:textId="77777777" w:rsidR="00591BB0" w:rsidRDefault="00591B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1CBC2" w14:textId="77777777" w:rsidR="00D7422B" w:rsidRDefault="00D7422B">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E730A" w14:textId="77777777" w:rsidR="00591BB0" w:rsidRDefault="00591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1EF07" w14:textId="77777777" w:rsidR="004C02FD" w:rsidRDefault="004C02FD">
      <w:r>
        <w:separator/>
      </w:r>
    </w:p>
  </w:footnote>
  <w:footnote w:type="continuationSeparator" w:id="0">
    <w:p w14:paraId="081D65A6" w14:textId="77777777" w:rsidR="004C02FD" w:rsidRDefault="004C0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BEB2D" w14:textId="66E49CF0" w:rsidR="00591BB0" w:rsidRDefault="00591BB0">
    <w:pPr>
      <w:pStyle w:val="Header"/>
    </w:pPr>
    <w:r>
      <w:rPr>
        <w:noProof/>
      </w:rPr>
      <w:pict w14:anchorId="2E82B1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10004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0DD34" w14:textId="5E1AECC9" w:rsidR="00591BB0" w:rsidRDefault="00591BB0">
    <w:pPr>
      <w:pStyle w:val="Header"/>
    </w:pPr>
    <w:r>
      <w:rPr>
        <w:noProof/>
      </w:rPr>
      <w:pict w14:anchorId="6F279F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10004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8E0C9" w14:textId="626A9164" w:rsidR="00591BB0" w:rsidRDefault="00591BB0">
    <w:pPr>
      <w:pStyle w:val="Header"/>
    </w:pPr>
    <w:r>
      <w:rPr>
        <w:noProof/>
      </w:rPr>
      <w:pict w14:anchorId="36A7E7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1000421"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FE6D66"/>
    <w:multiLevelType w:val="multilevel"/>
    <w:tmpl w:val="57F498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63D10B92"/>
    <w:multiLevelType w:val="multilevel"/>
    <w:tmpl w:val="336296B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22B"/>
    <w:rsid w:val="00106548"/>
    <w:rsid w:val="001235B7"/>
    <w:rsid w:val="00187C7F"/>
    <w:rsid w:val="00205AEA"/>
    <w:rsid w:val="002C070B"/>
    <w:rsid w:val="003D6194"/>
    <w:rsid w:val="00455F97"/>
    <w:rsid w:val="004C02FD"/>
    <w:rsid w:val="004E69C9"/>
    <w:rsid w:val="00591BB0"/>
    <w:rsid w:val="006222CF"/>
    <w:rsid w:val="00664D1D"/>
    <w:rsid w:val="00770982"/>
    <w:rsid w:val="008073A6"/>
    <w:rsid w:val="00B9485C"/>
    <w:rsid w:val="00D7422B"/>
    <w:rsid w:val="00EE4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897A44"/>
  <w15:docId w15:val="{A4C47F0A-D9B0-4C38-8796-676470440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a4LCHs4/qijuKB9vSjFR37mtug==">CgMxLjA4AHIhMThYYk1WVFBqcDktTTk2eWRjdjJKdFNWR19ZZ21KMzV2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3770</Words>
  <Characters>21493</Characters>
  <Application>Microsoft Office Word</Application>
  <DocSecurity>0</DocSecurity>
  <Lines>179</Lines>
  <Paragraphs>50</Paragraphs>
  <ScaleCrop>false</ScaleCrop>
  <Company/>
  <LinksUpToDate>false</LinksUpToDate>
  <CharactersWithSpaces>25213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23</cp:revision>
  <dcterms:created xsi:type="dcterms:W3CDTF">2014-10-25T14:34:00Z</dcterms:created>
  <dcterms:modified xsi:type="dcterms:W3CDTF">2025-07-03T09:53:00Z</dcterms:modified>
</cp:coreProperties>
</file>