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3AF0E" w14:textId="77777777" w:rsidR="00754C9A" w:rsidRPr="008658BD" w:rsidRDefault="00754C9A" w:rsidP="00441B6F">
      <w:pPr>
        <w:pStyle w:val="Title"/>
        <w:spacing w:after="0"/>
        <w:jc w:val="both"/>
        <w:rPr>
          <w:rFonts w:ascii="Arial" w:hAnsi="Arial" w:cs="Arial"/>
          <w:u w:val="single"/>
        </w:rPr>
      </w:pPr>
    </w:p>
    <w:p w14:paraId="451F889F" w14:textId="0A5D9E37" w:rsidR="00163BC4" w:rsidRPr="00163BC4" w:rsidRDefault="004C1843" w:rsidP="00441B6F">
      <w:pPr>
        <w:pStyle w:val="Author"/>
        <w:spacing w:line="240" w:lineRule="auto"/>
        <w:rPr>
          <w:rFonts w:ascii="Arial" w:hAnsi="Arial" w:cs="Arial"/>
          <w:bCs/>
          <w:iCs/>
          <w:kern w:val="28"/>
          <w:sz w:val="36"/>
        </w:rPr>
      </w:pPr>
      <w:r w:rsidRPr="004C1843">
        <w:rPr>
          <w:rFonts w:ascii="Arial" w:hAnsi="Arial" w:cs="Arial"/>
          <w:bCs/>
          <w:iCs/>
          <w:kern w:val="28"/>
          <w:sz w:val="36"/>
        </w:rPr>
        <w:t xml:space="preserve">Patient Safety During Transport: Comparing Chest Radiographs </w:t>
      </w:r>
      <w:r>
        <w:rPr>
          <w:rFonts w:ascii="Arial" w:hAnsi="Arial" w:cs="Arial"/>
          <w:bCs/>
          <w:iCs/>
          <w:kern w:val="28"/>
          <w:sz w:val="36"/>
        </w:rPr>
        <w:t>a</w:t>
      </w:r>
      <w:r w:rsidRPr="004C1843">
        <w:rPr>
          <w:rFonts w:ascii="Arial" w:hAnsi="Arial" w:cs="Arial"/>
          <w:bCs/>
          <w:iCs/>
          <w:kern w:val="28"/>
          <w:sz w:val="36"/>
        </w:rPr>
        <w:t xml:space="preserve">t </w:t>
      </w:r>
      <w:r>
        <w:rPr>
          <w:rFonts w:ascii="Arial" w:hAnsi="Arial" w:cs="Arial"/>
          <w:bCs/>
          <w:iCs/>
          <w:kern w:val="28"/>
          <w:sz w:val="36"/>
        </w:rPr>
        <w:t>t</w:t>
      </w:r>
      <w:r w:rsidRPr="004C1843">
        <w:rPr>
          <w:rFonts w:ascii="Arial" w:hAnsi="Arial" w:cs="Arial"/>
          <w:bCs/>
          <w:iCs/>
          <w:kern w:val="28"/>
          <w:sz w:val="36"/>
        </w:rPr>
        <w:t xml:space="preserve">he Bedside </w:t>
      </w:r>
      <w:r>
        <w:rPr>
          <w:rFonts w:ascii="Arial" w:hAnsi="Arial" w:cs="Arial"/>
          <w:bCs/>
          <w:iCs/>
          <w:kern w:val="28"/>
          <w:sz w:val="36"/>
        </w:rPr>
        <w:t>a</w:t>
      </w:r>
      <w:r w:rsidRPr="004C1843">
        <w:rPr>
          <w:rFonts w:ascii="Arial" w:hAnsi="Arial" w:cs="Arial"/>
          <w:bCs/>
          <w:iCs/>
          <w:kern w:val="28"/>
          <w:sz w:val="36"/>
        </w:rPr>
        <w:t xml:space="preserve">nd </w:t>
      </w:r>
      <w:r>
        <w:rPr>
          <w:rFonts w:ascii="Arial" w:hAnsi="Arial" w:cs="Arial"/>
          <w:bCs/>
          <w:iCs/>
          <w:kern w:val="28"/>
          <w:sz w:val="36"/>
        </w:rPr>
        <w:t>i</w:t>
      </w:r>
      <w:r w:rsidRPr="004C1843">
        <w:rPr>
          <w:rFonts w:ascii="Arial" w:hAnsi="Arial" w:cs="Arial"/>
          <w:bCs/>
          <w:iCs/>
          <w:kern w:val="28"/>
          <w:sz w:val="36"/>
        </w:rPr>
        <w:t xml:space="preserve">n </w:t>
      </w:r>
      <w:r>
        <w:rPr>
          <w:rFonts w:ascii="Arial" w:hAnsi="Arial" w:cs="Arial"/>
          <w:bCs/>
          <w:iCs/>
          <w:kern w:val="28"/>
          <w:sz w:val="36"/>
        </w:rPr>
        <w:t>t</w:t>
      </w:r>
      <w:r w:rsidRPr="004C1843">
        <w:rPr>
          <w:rFonts w:ascii="Arial" w:hAnsi="Arial" w:cs="Arial"/>
          <w:bCs/>
          <w:iCs/>
          <w:kern w:val="28"/>
          <w:sz w:val="36"/>
        </w:rPr>
        <w:t>he Examination Room</w:t>
      </w:r>
    </w:p>
    <w:p w14:paraId="65C9221D" w14:textId="77777777" w:rsidR="00A258C3" w:rsidRPr="00790ADA" w:rsidRDefault="00A258C3" w:rsidP="00441B6F">
      <w:pPr>
        <w:pStyle w:val="Author"/>
        <w:spacing w:line="240" w:lineRule="auto"/>
        <w:jc w:val="both"/>
        <w:rPr>
          <w:rFonts w:ascii="Arial" w:hAnsi="Arial" w:cs="Arial"/>
          <w:sz w:val="36"/>
        </w:rPr>
      </w:pPr>
    </w:p>
    <w:p w14:paraId="398E9E14" w14:textId="77777777" w:rsidR="00790ADA" w:rsidRDefault="00790ADA" w:rsidP="00441B6F">
      <w:pPr>
        <w:pStyle w:val="Affiliation"/>
        <w:spacing w:after="0" w:line="240" w:lineRule="auto"/>
        <w:jc w:val="both"/>
        <w:rPr>
          <w:rFonts w:ascii="Arial" w:hAnsi="Arial" w:cs="Arial"/>
        </w:rPr>
      </w:pPr>
    </w:p>
    <w:p w14:paraId="2F534733" w14:textId="77777777" w:rsidR="002C57D2" w:rsidRPr="00FB3A86" w:rsidRDefault="002C57D2" w:rsidP="00441B6F">
      <w:pPr>
        <w:pStyle w:val="Affiliation"/>
        <w:spacing w:after="0" w:line="240" w:lineRule="auto"/>
        <w:jc w:val="both"/>
        <w:rPr>
          <w:rFonts w:ascii="Arial" w:hAnsi="Arial" w:cs="Arial"/>
        </w:rPr>
      </w:pPr>
    </w:p>
    <w:p w14:paraId="28DF3284" w14:textId="77777777" w:rsidR="00B01FCD" w:rsidRPr="00FB3A86" w:rsidRDefault="00786226" w:rsidP="00441B6F">
      <w:pPr>
        <w:pStyle w:val="Copyright"/>
        <w:spacing w:after="0" w:line="240" w:lineRule="auto"/>
        <w:jc w:val="both"/>
        <w:rPr>
          <w:rFonts w:ascii="Arial" w:hAnsi="Arial" w:cs="Arial"/>
        </w:rPr>
        <w:sectPr w:rsidR="00B01FCD" w:rsidRPr="00FB3A86" w:rsidSect="00273751">
          <w:headerReference w:type="even" r:id="rId8"/>
          <w:headerReference w:type="default" r:id="rId9"/>
          <w:footerReference w:type="even" r:id="rId10"/>
          <w:footerReference w:type="default" r:id="rId11"/>
          <w:headerReference w:type="first" r:id="rId12"/>
          <w:footerReference w:type="first" r:id="rId13"/>
          <w:pgSz w:w="12240" w:h="15840" w:code="1"/>
          <w:pgMar w:top="1440" w:right="2019" w:bottom="2019" w:left="2019" w:header="720" w:footer="1296" w:gutter="0"/>
          <w:cols w:space="720"/>
          <w:docGrid w:linePitch="272"/>
        </w:sectPr>
      </w:pPr>
      <w:r>
        <w:rPr>
          <w:rFonts w:ascii="Arial" w:hAnsi="Arial" w:cs="Arial"/>
        </w:rPr>
      </w:r>
      <w:r>
        <w:rPr>
          <w:rFonts w:ascii="Arial" w:hAnsi="Arial" w:cs="Arial"/>
        </w:rPr>
        <w:pict w14:anchorId="0A48F89D">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5A1B444" w14:textId="4AC59079" w:rsidR="00B01FCD" w:rsidRDefault="00B01FCD" w:rsidP="00441B6F">
      <w:pPr>
        <w:pStyle w:val="AbstHead"/>
        <w:spacing w:after="0"/>
        <w:jc w:val="both"/>
        <w:rPr>
          <w:rFonts w:ascii="Arial" w:hAnsi="Arial" w:cs="Arial"/>
        </w:rPr>
      </w:pPr>
      <w:r w:rsidRPr="00FB3A86">
        <w:rPr>
          <w:rFonts w:ascii="Arial" w:hAnsi="Arial" w:cs="Arial"/>
        </w:rPr>
        <w:t>ABSTRACT</w:t>
      </w:r>
    </w:p>
    <w:p w14:paraId="778D650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18"/>
      </w:tblGrid>
      <w:tr w:rsidR="00296529" w:rsidRPr="00630A82" w14:paraId="14E55EF0" w14:textId="77777777" w:rsidTr="001E44FE">
        <w:tc>
          <w:tcPr>
            <w:tcW w:w="9576" w:type="dxa"/>
            <w:shd w:val="clear" w:color="auto" w:fill="F2F2F2"/>
          </w:tcPr>
          <w:p w14:paraId="3140901C" w14:textId="01F4B025" w:rsidR="00505F06" w:rsidRPr="00CF2BE9" w:rsidRDefault="00630A82" w:rsidP="00575A74">
            <w:pPr>
              <w:pStyle w:val="Body"/>
              <w:spacing w:after="0"/>
              <w:rPr>
                <w:rFonts w:ascii="Arial" w:eastAsia="Calibri" w:hAnsi="Arial" w:cs="Arial"/>
                <w:szCs w:val="22"/>
                <w:u w:val="single"/>
              </w:rPr>
            </w:pPr>
            <w:r w:rsidRPr="00630A82">
              <w:rPr>
                <w:rFonts w:ascii="Arial" w:eastAsia="Calibri" w:hAnsi="Arial" w:cs="Arial"/>
                <w:szCs w:val="22"/>
              </w:rPr>
              <w:t>The transportation of critically ill patients for diagnostic exams requires extreme caution, as it may compromise their clinical stability. To minimize these risks, strict protocols must be followed to ensure patient safety. This study evaluated image quality (IQ) in bedside chest radiographs compared to those performed in the examination room. Ten semi-anatomical phantom images were analyzed while maintaining a constant exposure index. Results indicated that exams performed in the examination room increased contrast (27.19%) but also raised the entrance surface dose (371.70%) due to the use of an anti-scatter grid inherent to the examination room and reduced the signal-to-noise ratio (SNR) (21.38%). Conversely, bedside images had lower radiation dose and higher SNR but lower contrast. The decision to transport the patient should balance diagnostic accuracy and radiation safety, guided by clinical judgment. Future studies may optimize protocols to enhance IQ while minimizing radiation exposure.</w:t>
            </w:r>
            <w:r w:rsidR="00BA1B01" w:rsidRPr="00BA1B01">
              <w:rPr>
                <w:rFonts w:ascii="Arial" w:eastAsia="Calibri" w:hAnsi="Arial" w:cs="Arial"/>
                <w:szCs w:val="22"/>
              </w:rPr>
              <w:t xml:space="preserve"> </w:t>
            </w:r>
          </w:p>
        </w:tc>
      </w:tr>
    </w:tbl>
    <w:p w14:paraId="3E77CBB8" w14:textId="77777777" w:rsidR="00636EB2" w:rsidRDefault="00636EB2" w:rsidP="00441B6F">
      <w:pPr>
        <w:pStyle w:val="Body"/>
        <w:spacing w:after="0"/>
        <w:rPr>
          <w:rFonts w:ascii="Arial" w:hAnsi="Arial" w:cs="Arial"/>
          <w:i/>
        </w:rPr>
      </w:pPr>
    </w:p>
    <w:p w14:paraId="4408FEA7" w14:textId="63E6A09F" w:rsidR="0024282C" w:rsidRPr="00630A82" w:rsidRDefault="00A24E7E" w:rsidP="00441B6F">
      <w:pPr>
        <w:pStyle w:val="Body"/>
        <w:spacing w:after="0"/>
        <w:rPr>
          <w:rFonts w:ascii="Arial" w:hAnsi="Arial" w:cs="Arial"/>
          <w:i/>
        </w:rPr>
      </w:pPr>
      <w:r>
        <w:rPr>
          <w:rFonts w:ascii="Arial" w:hAnsi="Arial" w:cs="Arial"/>
          <w:i/>
        </w:rPr>
        <w:t xml:space="preserve">Keywords: </w:t>
      </w:r>
      <w:r w:rsidR="00630A82" w:rsidRPr="00630A82">
        <w:rPr>
          <w:rFonts w:ascii="Arial" w:hAnsi="Arial" w:cs="Arial"/>
          <w:i/>
        </w:rPr>
        <w:t>Care in Radiology; Image Quality; Radiation Safety; Signal-to-Noise Ratio.</w:t>
      </w:r>
    </w:p>
    <w:p w14:paraId="281E2C6E" w14:textId="77777777" w:rsidR="00505F06" w:rsidRPr="00A24E7E" w:rsidRDefault="00505F06" w:rsidP="00441B6F">
      <w:pPr>
        <w:pStyle w:val="Body"/>
        <w:spacing w:after="0"/>
        <w:rPr>
          <w:rFonts w:ascii="Arial" w:hAnsi="Arial" w:cs="Arial"/>
          <w:i/>
        </w:rPr>
      </w:pPr>
    </w:p>
    <w:p w14:paraId="289B47B0" w14:textId="2CDBE29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819E89A" w14:textId="77777777" w:rsidR="00790ADA" w:rsidRPr="00FB3A86" w:rsidRDefault="00790ADA" w:rsidP="00441B6F">
      <w:pPr>
        <w:pStyle w:val="AbstHead"/>
        <w:spacing w:after="0"/>
        <w:jc w:val="both"/>
        <w:rPr>
          <w:rFonts w:ascii="Arial" w:hAnsi="Arial" w:cs="Arial"/>
        </w:rPr>
      </w:pPr>
    </w:p>
    <w:p w14:paraId="3B8F1972" w14:textId="77777777" w:rsidR="00575A74" w:rsidRDefault="00575A74" w:rsidP="00575A74">
      <w:pPr>
        <w:pStyle w:val="Body"/>
        <w:spacing w:after="0"/>
        <w:rPr>
          <w:rFonts w:ascii="Arial" w:hAnsi="Arial" w:cs="Arial"/>
        </w:rPr>
      </w:pPr>
      <w:r w:rsidRPr="00575A74">
        <w:rPr>
          <w:rFonts w:ascii="Arial" w:hAnsi="Arial" w:cs="Arial"/>
        </w:rPr>
        <w:t xml:space="preserve">The bedside chest radiograph is an essential diagnostic tool in Brazilian hospital routines (Ferreira, 2017). However, image quality (IQ) in this context may be compromised by various technical factors, such as the absence of an anti-scatter grid, for example (Sayed et al., 2023). Recent studies by </w:t>
      </w:r>
      <w:proofErr w:type="spellStart"/>
      <w:r w:rsidRPr="00575A74">
        <w:rPr>
          <w:rFonts w:ascii="Arial" w:hAnsi="Arial" w:cs="Arial"/>
        </w:rPr>
        <w:t>Cè</w:t>
      </w:r>
      <w:proofErr w:type="spellEnd"/>
      <w:r w:rsidRPr="00575A74">
        <w:rPr>
          <w:rFonts w:ascii="Arial" w:hAnsi="Arial" w:cs="Arial"/>
        </w:rPr>
        <w:t xml:space="preserve"> et al. (2024) have demonstrated that the use of new technologies associated with the digitization of radiographic images, such as image correction algorithms, can represent a significant advancement in achieving a balance between IQ and reduction of</w:t>
      </w:r>
      <w:r>
        <w:rPr>
          <w:rFonts w:ascii="Arial" w:hAnsi="Arial" w:cs="Arial"/>
        </w:rPr>
        <w:t xml:space="preserve"> </w:t>
      </w:r>
      <w:r w:rsidRPr="00575A74">
        <w:rPr>
          <w:rFonts w:ascii="Arial" w:hAnsi="Arial" w:cs="Arial"/>
        </w:rPr>
        <w:t>entrance surface dose (</w:t>
      </w:r>
      <w:proofErr w:type="spellStart"/>
      <w:r w:rsidRPr="00575A74">
        <w:rPr>
          <w:rFonts w:ascii="Arial" w:hAnsi="Arial" w:cs="Arial"/>
        </w:rPr>
        <w:t>K</w:t>
      </w:r>
      <w:r w:rsidRPr="008658BD">
        <w:rPr>
          <w:rFonts w:ascii="Arial" w:hAnsi="Arial" w:cs="Arial"/>
          <w:vertAlign w:val="subscript"/>
        </w:rPr>
        <w:t>a,e</w:t>
      </w:r>
      <w:proofErr w:type="spellEnd"/>
      <w:r w:rsidRPr="00575A74">
        <w:rPr>
          <w:rFonts w:ascii="Arial" w:hAnsi="Arial" w:cs="Arial"/>
        </w:rPr>
        <w:t xml:space="preserve">). Nonetheless, the use of anti-scatter grids, although traditional, increases the patient’s </w:t>
      </w:r>
      <w:proofErr w:type="spellStart"/>
      <w:proofErr w:type="gramStart"/>
      <w:r w:rsidRPr="008658BD">
        <w:rPr>
          <w:rFonts w:ascii="Arial" w:hAnsi="Arial" w:cs="Arial"/>
        </w:rPr>
        <w:t>K</w:t>
      </w:r>
      <w:r w:rsidRPr="008658BD">
        <w:rPr>
          <w:rFonts w:ascii="Arial" w:hAnsi="Arial" w:cs="Arial"/>
          <w:vertAlign w:val="subscript"/>
        </w:rPr>
        <w:t>a,e</w:t>
      </w:r>
      <w:proofErr w:type="spellEnd"/>
      <w:proofErr w:type="gramEnd"/>
      <w:r w:rsidRPr="00575A74">
        <w:rPr>
          <w:rFonts w:ascii="Arial" w:hAnsi="Arial" w:cs="Arial"/>
        </w:rPr>
        <w:t xml:space="preserve"> (Sayed et al., 2023). </w:t>
      </w:r>
    </w:p>
    <w:p w14:paraId="1E7ED5CC" w14:textId="77777777" w:rsidR="00575A74" w:rsidRPr="00575A74" w:rsidRDefault="00575A74" w:rsidP="00575A74">
      <w:pPr>
        <w:pStyle w:val="Body"/>
        <w:spacing w:after="0"/>
        <w:rPr>
          <w:rFonts w:ascii="Arial" w:hAnsi="Arial" w:cs="Arial"/>
        </w:rPr>
      </w:pPr>
    </w:p>
    <w:p w14:paraId="7BD008BF" w14:textId="77777777" w:rsidR="00575A74" w:rsidRDefault="00575A74" w:rsidP="00575A74">
      <w:pPr>
        <w:pStyle w:val="Body"/>
        <w:spacing w:after="0"/>
        <w:rPr>
          <w:rFonts w:ascii="Arial" w:hAnsi="Arial" w:cs="Arial"/>
        </w:rPr>
      </w:pPr>
      <w:r w:rsidRPr="00575A74">
        <w:rPr>
          <w:rFonts w:ascii="Arial" w:hAnsi="Arial" w:cs="Arial"/>
        </w:rPr>
        <w:t>The transportation of a critically ill patient for diagnostic exams or therapeutic procedures demands meticulous attention, given the complexity of their clinical condition. To minimize risks and prevent further deterioration of health, the decision to transport the patient must follow strict protocols and procedures established by ICU professionals, ensuring safety and stability throughout the process (Nascimento; Schweitzer; Moreira, 2018).</w:t>
      </w:r>
    </w:p>
    <w:p w14:paraId="3CBE49EB" w14:textId="77777777" w:rsidR="00575A74" w:rsidRPr="00575A74" w:rsidRDefault="00575A74" w:rsidP="00575A74">
      <w:pPr>
        <w:pStyle w:val="Body"/>
        <w:spacing w:after="0"/>
        <w:rPr>
          <w:rFonts w:ascii="Arial" w:hAnsi="Arial" w:cs="Arial"/>
        </w:rPr>
      </w:pPr>
    </w:p>
    <w:p w14:paraId="7DA1F36B" w14:textId="784AE1F1" w:rsidR="00790ADA" w:rsidRDefault="00575A74" w:rsidP="00575A74">
      <w:pPr>
        <w:pStyle w:val="Body"/>
        <w:spacing w:after="0"/>
        <w:rPr>
          <w:rFonts w:ascii="Arial" w:hAnsi="Arial" w:cs="Arial"/>
        </w:rPr>
      </w:pPr>
      <w:r w:rsidRPr="00575A74">
        <w:rPr>
          <w:rFonts w:ascii="Arial" w:hAnsi="Arial" w:cs="Arial"/>
        </w:rPr>
        <w:t xml:space="preserve">Although the increase in </w:t>
      </w:r>
      <w:proofErr w:type="spellStart"/>
      <w:proofErr w:type="gramStart"/>
      <w:r w:rsidRPr="00575A74">
        <w:rPr>
          <w:rFonts w:ascii="Arial" w:hAnsi="Arial" w:cs="Arial"/>
        </w:rPr>
        <w:t>K</w:t>
      </w:r>
      <w:r w:rsidRPr="008658BD">
        <w:rPr>
          <w:rFonts w:ascii="Arial" w:hAnsi="Arial" w:cs="Arial"/>
          <w:vertAlign w:val="subscript"/>
        </w:rPr>
        <w:t>a,e</w:t>
      </w:r>
      <w:proofErr w:type="spellEnd"/>
      <w:proofErr w:type="gramEnd"/>
      <w:r w:rsidRPr="00575A74">
        <w:rPr>
          <w:rFonts w:ascii="Arial" w:hAnsi="Arial" w:cs="Arial"/>
        </w:rPr>
        <w:t xml:space="preserve"> is a factor to be considered, it may be justified by the improvement in image quality. In this context, the Signal-to-Noise Ratio (SNR) and radiographic contrast (RC) emerge as descriptors of IQ (Dance et al., 2014). SNR, which expresses the relationship between useful signal and noise in the image, directly influences the visibility of anatomical details (</w:t>
      </w:r>
      <w:proofErr w:type="spellStart"/>
      <w:r w:rsidRPr="00575A74">
        <w:rPr>
          <w:rFonts w:ascii="Arial" w:hAnsi="Arial" w:cs="Arial"/>
        </w:rPr>
        <w:t>Bushberg</w:t>
      </w:r>
      <w:proofErr w:type="spellEnd"/>
      <w:r w:rsidRPr="00575A74">
        <w:rPr>
          <w:rFonts w:ascii="Arial" w:hAnsi="Arial" w:cs="Arial"/>
        </w:rPr>
        <w:t xml:space="preserve">; Boone, 2011; Moore et al., 2019). RC, in turn, arises from variations in X-ray beam attenuation across different tissues, highlighting </w:t>
      </w:r>
      <w:r w:rsidRPr="00575A74">
        <w:rPr>
          <w:rFonts w:ascii="Arial" w:hAnsi="Arial" w:cs="Arial"/>
        </w:rPr>
        <w:lastRenderedPageBreak/>
        <w:t>differences between anatomical structures and aiding in lesion detection (</w:t>
      </w:r>
      <w:proofErr w:type="spellStart"/>
      <w:r w:rsidRPr="00575A74">
        <w:rPr>
          <w:rFonts w:ascii="Arial" w:hAnsi="Arial" w:cs="Arial"/>
        </w:rPr>
        <w:t>Tompe</w:t>
      </w:r>
      <w:proofErr w:type="spellEnd"/>
      <w:r w:rsidRPr="00575A74">
        <w:rPr>
          <w:rFonts w:ascii="Arial" w:hAnsi="Arial" w:cs="Arial"/>
        </w:rPr>
        <w:t xml:space="preserve">; </w:t>
      </w:r>
      <w:proofErr w:type="spellStart"/>
      <w:r w:rsidRPr="00575A74">
        <w:rPr>
          <w:rFonts w:ascii="Arial" w:hAnsi="Arial" w:cs="Arial"/>
        </w:rPr>
        <w:t>Sargar</w:t>
      </w:r>
      <w:proofErr w:type="spellEnd"/>
      <w:r w:rsidRPr="00575A74">
        <w:rPr>
          <w:rFonts w:ascii="Arial" w:hAnsi="Arial" w:cs="Arial"/>
        </w:rPr>
        <w:t>, 2020).</w:t>
      </w:r>
    </w:p>
    <w:p w14:paraId="096D6975" w14:textId="77777777" w:rsidR="00575A74" w:rsidRDefault="00575A74" w:rsidP="00575A74">
      <w:pPr>
        <w:pStyle w:val="Body"/>
        <w:spacing w:after="0"/>
        <w:rPr>
          <w:rFonts w:ascii="Arial" w:hAnsi="Arial" w:cs="Arial"/>
        </w:rPr>
      </w:pPr>
    </w:p>
    <w:p w14:paraId="0F598538" w14:textId="63D66976" w:rsidR="00575A74" w:rsidRPr="00575A74" w:rsidRDefault="00575A74" w:rsidP="00575A74">
      <w:pPr>
        <w:pStyle w:val="Body"/>
        <w:spacing w:after="0"/>
        <w:rPr>
          <w:rFonts w:ascii="Arial" w:hAnsi="Arial" w:cs="Arial"/>
          <w:lang w:val="pt-BR"/>
        </w:rPr>
      </w:pPr>
      <w:r w:rsidRPr="00575A74">
        <w:rPr>
          <w:rFonts w:ascii="Arial" w:hAnsi="Arial" w:cs="Arial"/>
          <w:lang w:val="pt-BR"/>
        </w:rPr>
        <w:t>Given the relevance of bedside chest radiographs, especially for patients with reduced mobility (Häggmark et al., 2023), this study aims to investigate image quality and entrance surface dose in adult chest radiographs performed both at the bedside and in a dedicated examination room.</w:t>
      </w:r>
    </w:p>
    <w:p w14:paraId="1CA120FC" w14:textId="77777777" w:rsidR="00575A74" w:rsidRPr="00FB3A86" w:rsidRDefault="00575A74" w:rsidP="00575A74">
      <w:pPr>
        <w:pStyle w:val="Body"/>
        <w:spacing w:after="0"/>
        <w:rPr>
          <w:rFonts w:ascii="Arial" w:hAnsi="Arial" w:cs="Arial"/>
        </w:rPr>
      </w:pPr>
    </w:p>
    <w:p w14:paraId="4904406A" w14:textId="249EEE3C"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4327F5C1" w14:textId="77777777" w:rsidR="00790ADA" w:rsidRPr="00FB3A86" w:rsidRDefault="00790ADA" w:rsidP="00575A74">
      <w:pPr>
        <w:pStyle w:val="AbstHead"/>
        <w:spacing w:after="0"/>
        <w:jc w:val="both"/>
        <w:rPr>
          <w:rFonts w:ascii="Arial" w:hAnsi="Arial" w:cs="Arial"/>
        </w:rPr>
      </w:pPr>
    </w:p>
    <w:p w14:paraId="0C7D18A2" w14:textId="6D964FE3" w:rsidR="00575A74" w:rsidRDefault="00575A74" w:rsidP="00575A74">
      <w:pPr>
        <w:pStyle w:val="Body"/>
        <w:spacing w:after="0"/>
        <w:rPr>
          <w:rFonts w:ascii="Arial" w:hAnsi="Arial" w:cs="Arial"/>
        </w:rPr>
      </w:pPr>
      <w:r w:rsidRPr="00575A74">
        <w:rPr>
          <w:rFonts w:ascii="Arial" w:hAnsi="Arial" w:cs="Arial"/>
        </w:rPr>
        <w:t xml:space="preserve">This study was conducted in the </w:t>
      </w:r>
      <w:proofErr w:type="spellStart"/>
      <w:r w:rsidRPr="00575A74">
        <w:rPr>
          <w:rFonts w:ascii="Arial" w:hAnsi="Arial" w:cs="Arial"/>
        </w:rPr>
        <w:t>radiodiagnostic</w:t>
      </w:r>
      <w:proofErr w:type="spellEnd"/>
      <w:r w:rsidRPr="00575A74">
        <w:rPr>
          <w:rFonts w:ascii="Arial" w:hAnsi="Arial" w:cs="Arial"/>
        </w:rPr>
        <w:t xml:space="preserve"> laboratory of the Radiology and Medical Physics undergraduate programs at </w:t>
      </w:r>
      <w:proofErr w:type="spellStart"/>
      <w:r w:rsidRPr="00575A74">
        <w:rPr>
          <w:rFonts w:ascii="Arial" w:hAnsi="Arial" w:cs="Arial"/>
        </w:rPr>
        <w:t>Universidade</w:t>
      </w:r>
      <w:proofErr w:type="spellEnd"/>
      <w:r w:rsidRPr="00575A74">
        <w:rPr>
          <w:rFonts w:ascii="Arial" w:hAnsi="Arial" w:cs="Arial"/>
        </w:rPr>
        <w:t xml:space="preserve"> </w:t>
      </w:r>
      <w:proofErr w:type="spellStart"/>
      <w:r w:rsidRPr="00575A74">
        <w:rPr>
          <w:rFonts w:ascii="Arial" w:hAnsi="Arial" w:cs="Arial"/>
        </w:rPr>
        <w:t>Franciscana</w:t>
      </w:r>
      <w:proofErr w:type="spellEnd"/>
      <w:r w:rsidRPr="00575A74">
        <w:rPr>
          <w:rFonts w:ascii="Arial" w:hAnsi="Arial" w:cs="Arial"/>
        </w:rPr>
        <w:t xml:space="preserve"> (UFN), as part of research developed during the Image Processing course. For image acquisition, a high-frequency radiographic unit from </w:t>
      </w:r>
      <w:proofErr w:type="spellStart"/>
      <w:r w:rsidRPr="00575A74">
        <w:rPr>
          <w:rFonts w:ascii="Arial" w:hAnsi="Arial" w:cs="Arial"/>
        </w:rPr>
        <w:t>Intecal</w:t>
      </w:r>
      <w:proofErr w:type="spellEnd"/>
      <w:r w:rsidRPr="00575A74">
        <w:rPr>
          <w:rFonts w:ascii="Arial" w:hAnsi="Arial" w:cs="Arial"/>
        </w:rPr>
        <w:t xml:space="preserve"> (MAAF model) was utilized. A large focal spot (1.2 mm²) was chosen due to its suitability for chest examinations. The radiographs were performed using an anti-scatter grid with a ratio of 10:1 (52 lines/cm) and a source-to-image receptor distance (SID) of 1.40 meters. </w:t>
      </w:r>
    </w:p>
    <w:p w14:paraId="6A9E9E61" w14:textId="77777777" w:rsidR="00575A74" w:rsidRPr="00575A74" w:rsidRDefault="00575A74" w:rsidP="00575A74">
      <w:pPr>
        <w:pStyle w:val="Body"/>
        <w:spacing w:after="0"/>
        <w:rPr>
          <w:rFonts w:ascii="Arial" w:hAnsi="Arial" w:cs="Arial"/>
        </w:rPr>
      </w:pPr>
    </w:p>
    <w:p w14:paraId="0FE5384D" w14:textId="3626C91B" w:rsidR="00A03B96" w:rsidRDefault="00575A74" w:rsidP="00575A74">
      <w:pPr>
        <w:pStyle w:val="Body"/>
        <w:spacing w:after="0"/>
        <w:rPr>
          <w:rFonts w:ascii="Arial" w:hAnsi="Arial" w:cs="Arial"/>
        </w:rPr>
      </w:pPr>
      <w:r w:rsidRPr="00575A74">
        <w:rPr>
          <w:rFonts w:ascii="Arial" w:hAnsi="Arial" w:cs="Arial"/>
        </w:rPr>
        <w:t>Ten exposures were performed for each technique, simulating bedside imaging (without the anti-scatter grid) and table-based imaging (with the anti-scatter grid), as identified in Stage 1 of Figure 1, maintaining a tube voltage of 96 kV. For digital image capture, a computed radiography system from Carestream (Direct View Classic C model) was employed, featuring a 35 cm x 43 cm cassette, an image plate (IP) with a spatial resolution of 10 pixels/mm, and a bit depth of 16 bits. Image visualization was performed on the workstation monitor integrated into the system. Exposure measurements (K</w:t>
      </w:r>
      <w:r w:rsidRPr="00630A82">
        <w:rPr>
          <w:rFonts w:ascii="Arial" w:hAnsi="Arial" w:cs="Arial"/>
          <w:vertAlign w:val="subscript"/>
        </w:rPr>
        <w:t>AIR</w:t>
      </w:r>
      <w:r w:rsidRPr="00575A74">
        <w:rPr>
          <w:rFonts w:ascii="Arial" w:hAnsi="Arial" w:cs="Arial"/>
        </w:rPr>
        <w:t>) were obtained using a solid-state dosimeter, model RADICAL 9015 (Figure 1 (Stage 2)), previously calibrated in a reference laboratory.</w:t>
      </w:r>
    </w:p>
    <w:p w14:paraId="67AD9FF0" w14:textId="77777777" w:rsidR="00A03B96" w:rsidRPr="00AE27BF" w:rsidRDefault="00A03B96" w:rsidP="00441B6F">
      <w:pPr>
        <w:pStyle w:val="Body"/>
        <w:spacing w:after="0"/>
        <w:rPr>
          <w:rFonts w:ascii="Arial" w:hAnsi="Arial" w:cs="Arial"/>
          <w:u w:val="single"/>
        </w:rPr>
      </w:pPr>
    </w:p>
    <w:p w14:paraId="4ABE61AD" w14:textId="77777777" w:rsidR="00DD49DC" w:rsidRDefault="00DD49DC" w:rsidP="00DD49DC">
      <w:pPr>
        <w:autoSpaceDE w:val="0"/>
        <w:autoSpaceDN w:val="0"/>
        <w:adjustRightInd w:val="0"/>
        <w:jc w:val="both"/>
        <w:rPr>
          <w:rFonts w:ascii="Arial" w:hAnsi="Arial" w:cs="Arial"/>
          <w:b/>
          <w:bCs/>
          <w:sz w:val="22"/>
          <w:szCs w:val="22"/>
        </w:rPr>
      </w:pPr>
      <w:r>
        <w:rPr>
          <w:rFonts w:ascii="Arial" w:hAnsi="Arial" w:cs="Arial"/>
          <w:b/>
          <w:bCs/>
          <w:noProof/>
          <w:sz w:val="22"/>
          <w:szCs w:val="22"/>
        </w:rPr>
        <w:drawing>
          <wp:inline distT="0" distB="0" distL="0" distR="0" wp14:anchorId="0C18CE4C" wp14:editId="2EAEF27B">
            <wp:extent cx="4838700" cy="3629025"/>
            <wp:effectExtent l="0" t="0" r="0" b="0"/>
            <wp:docPr id="541030048" name="Imagem 1" descr="Uma imagem contendo Diagra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30048" name="Imagem 1" descr="Uma imagem contendo Diagrama&#10;&#10;O conteúdo gerado por IA pode estar incorret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44819" cy="3633614"/>
                    </a:xfrm>
                    <a:prstGeom prst="rect">
                      <a:avLst/>
                    </a:prstGeom>
                  </pic:spPr>
                </pic:pic>
              </a:graphicData>
            </a:graphic>
          </wp:inline>
        </w:drawing>
      </w:r>
    </w:p>
    <w:p w14:paraId="04B5FF6B" w14:textId="77777777" w:rsidR="00DD49DC" w:rsidRDefault="00DD49DC" w:rsidP="00DD49DC">
      <w:pPr>
        <w:autoSpaceDE w:val="0"/>
        <w:autoSpaceDN w:val="0"/>
        <w:adjustRightInd w:val="0"/>
        <w:jc w:val="both"/>
        <w:rPr>
          <w:rFonts w:ascii="Arial" w:hAnsi="Arial" w:cs="Arial"/>
          <w:b/>
          <w:bCs/>
          <w:szCs w:val="22"/>
        </w:rPr>
      </w:pPr>
    </w:p>
    <w:p w14:paraId="7DFE45B5" w14:textId="30356CFB" w:rsidR="00DD49DC" w:rsidRDefault="00DD49DC" w:rsidP="00DD49DC">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575A74">
        <w:rPr>
          <w:rFonts w:ascii="Arial" w:hAnsi="Arial" w:cs="Arial"/>
          <w:b/>
          <w:bCs/>
          <w:szCs w:val="22"/>
        </w:rPr>
        <w:t xml:space="preserve"> Exposure Geometry for Phantom Image Acquisition and </w:t>
      </w:r>
      <w:proofErr w:type="spellStart"/>
      <w:proofErr w:type="gramStart"/>
      <w:r w:rsidRPr="00575A74">
        <w:rPr>
          <w:rFonts w:ascii="Arial" w:hAnsi="Arial" w:cs="Arial"/>
          <w:b/>
          <w:bCs/>
          <w:szCs w:val="22"/>
        </w:rPr>
        <w:t>K</w:t>
      </w:r>
      <w:r w:rsidRPr="008658BD">
        <w:rPr>
          <w:rFonts w:ascii="Arial" w:hAnsi="Arial" w:cs="Arial"/>
          <w:b/>
          <w:bCs/>
          <w:szCs w:val="22"/>
          <w:vertAlign w:val="subscript"/>
        </w:rPr>
        <w:t>a,e</w:t>
      </w:r>
      <w:proofErr w:type="spellEnd"/>
      <w:proofErr w:type="gramEnd"/>
      <w:r w:rsidRPr="00575A74">
        <w:rPr>
          <w:rFonts w:ascii="Arial" w:hAnsi="Arial" w:cs="Arial"/>
          <w:b/>
          <w:bCs/>
          <w:szCs w:val="22"/>
        </w:rPr>
        <w:t xml:space="preserve"> Measurement</w:t>
      </w:r>
    </w:p>
    <w:p w14:paraId="04835ACE" w14:textId="77777777" w:rsidR="00630A82" w:rsidRDefault="00630A82" w:rsidP="00DD49DC">
      <w:pPr>
        <w:autoSpaceDE w:val="0"/>
        <w:autoSpaceDN w:val="0"/>
        <w:adjustRightInd w:val="0"/>
        <w:jc w:val="both"/>
        <w:rPr>
          <w:rFonts w:ascii="Arial" w:hAnsi="Arial" w:cs="Arial"/>
          <w:b/>
          <w:bCs/>
          <w:szCs w:val="22"/>
        </w:rPr>
      </w:pPr>
    </w:p>
    <w:p w14:paraId="408835E7" w14:textId="26430D6C" w:rsidR="00DD49DC" w:rsidRDefault="00DD49DC" w:rsidP="00DD49DC">
      <w:pPr>
        <w:pStyle w:val="Head1"/>
        <w:spacing w:after="0"/>
        <w:jc w:val="both"/>
        <w:rPr>
          <w:rFonts w:ascii="Arial" w:hAnsi="Arial" w:cs="Arial"/>
          <w:b w:val="0"/>
          <w:caps w:val="0"/>
          <w:sz w:val="20"/>
          <w:lang w:val="pt-BR"/>
        </w:rPr>
      </w:pPr>
      <w:r w:rsidRPr="00DD49DC">
        <w:rPr>
          <w:rFonts w:ascii="Arial" w:hAnsi="Arial" w:cs="Arial"/>
          <w:b w:val="0"/>
          <w:caps w:val="0"/>
          <w:sz w:val="20"/>
          <w:lang w:val="pt-BR"/>
        </w:rPr>
        <w:t>To compensate for the attenuation caused by the anti-scatter grid and maintain equivalent exposure indices, the product of tube current and exposure time (mA.s) was adjusted, resulting in values of 10 mA.s for the technique with the grid and 2 mA.s for the technique without the grid, as described in Equation 1.</w:t>
      </w:r>
    </w:p>
    <w:p w14:paraId="1B1D04D5" w14:textId="77777777" w:rsidR="00DD49DC" w:rsidRPr="00630A82" w:rsidRDefault="00DD49DC" w:rsidP="00DD49DC">
      <w:pPr>
        <w:pStyle w:val="Head1"/>
        <w:spacing w:after="0"/>
        <w:jc w:val="both"/>
        <w:rPr>
          <w:rFonts w:ascii="Arial" w:hAnsi="Arial" w:cs="Arial"/>
          <w:b w:val="0"/>
          <w:caps w:val="0"/>
          <w:sz w:val="20"/>
          <w:lang w:val="pt-BR"/>
        </w:rPr>
      </w:pPr>
    </w:p>
    <w:p w14:paraId="4488BB14" w14:textId="74D4FFA8" w:rsidR="00DD49DC" w:rsidRPr="00630A82" w:rsidRDefault="00786226" w:rsidP="00DD49DC">
      <w:pPr>
        <w:pStyle w:val="Head1"/>
        <w:spacing w:after="0"/>
        <w:jc w:val="right"/>
        <w:rPr>
          <w:rFonts w:ascii="Arial" w:hAnsi="Arial" w:cs="Arial"/>
          <w:b w:val="0"/>
          <w:caps w:val="0"/>
          <w:sz w:val="20"/>
          <w:lang w:val="pt-BR"/>
        </w:rPr>
      </w:pPr>
      <m:oMath>
        <m:sSub>
          <m:sSubPr>
            <m:ctrlPr>
              <w:rPr>
                <w:rFonts w:ascii="Cambria Math" w:hAnsi="Cambria Math" w:cs="Arial"/>
                <w:b w:val="0"/>
                <w:i/>
                <w:caps w:val="0"/>
                <w:sz w:val="20"/>
                <w:lang w:val="pt-BR"/>
              </w:rPr>
            </m:ctrlPr>
          </m:sSubPr>
          <m:e>
            <m:r>
              <m:rPr>
                <m:sty m:val="bi"/>
              </m:rPr>
              <w:rPr>
                <w:rFonts w:ascii="Cambria Math" w:hAnsi="Cambria Math" w:cs="Arial"/>
                <w:caps w:val="0"/>
                <w:sz w:val="20"/>
                <w:lang w:val="pt-BR"/>
              </w:rPr>
              <m:t>mA.s</m:t>
            </m:r>
          </m:e>
          <m:sub>
            <m:r>
              <m:rPr>
                <m:sty m:val="bi"/>
              </m:rPr>
              <w:rPr>
                <w:rFonts w:ascii="Cambria Math" w:hAnsi="Cambria Math" w:cs="Arial"/>
                <w:caps w:val="0"/>
                <w:sz w:val="20"/>
                <w:lang w:val="pt-BR"/>
              </w:rPr>
              <m:t>Without grid</m:t>
            </m:r>
          </m:sub>
        </m:sSub>
        <m:r>
          <m:rPr>
            <m:sty m:val="bi"/>
          </m:rPr>
          <w:rPr>
            <w:rFonts w:ascii="Cambria Math" w:hAnsi="Cambria Math" w:cs="Arial"/>
            <w:caps w:val="0"/>
            <w:sz w:val="20"/>
            <w:lang w:val="pt-BR"/>
          </w:rPr>
          <m:t>=</m:t>
        </m:r>
        <m:f>
          <m:fPr>
            <m:ctrlPr>
              <w:rPr>
                <w:rFonts w:ascii="Cambria Math" w:hAnsi="Cambria Math" w:cs="Arial"/>
                <w:b w:val="0"/>
                <w:i/>
                <w:caps w:val="0"/>
                <w:sz w:val="20"/>
                <w:lang w:val="pt-BR"/>
              </w:rPr>
            </m:ctrlPr>
          </m:fPr>
          <m:num>
            <m:sSub>
              <m:sSubPr>
                <m:ctrlPr>
                  <w:rPr>
                    <w:rFonts w:ascii="Cambria Math" w:hAnsi="Cambria Math" w:cs="Arial"/>
                    <w:b w:val="0"/>
                    <w:i/>
                    <w:caps w:val="0"/>
                    <w:sz w:val="20"/>
                    <w:lang w:val="pt-BR"/>
                  </w:rPr>
                </m:ctrlPr>
              </m:sSubPr>
              <m:e>
                <m:r>
                  <m:rPr>
                    <m:sty m:val="bi"/>
                  </m:rPr>
                  <w:rPr>
                    <w:rFonts w:ascii="Cambria Math" w:hAnsi="Cambria Math" w:cs="Arial"/>
                    <w:caps w:val="0"/>
                    <w:sz w:val="20"/>
                    <w:lang w:val="pt-BR"/>
                  </w:rPr>
                  <m:t>mA.s</m:t>
                </m:r>
              </m:e>
              <m:sub>
                <m:r>
                  <m:rPr>
                    <m:sty m:val="bi"/>
                  </m:rPr>
                  <w:rPr>
                    <w:rFonts w:ascii="Cambria Math" w:hAnsi="Cambria Math" w:cs="Arial"/>
                    <w:caps w:val="0"/>
                    <w:sz w:val="20"/>
                    <w:lang w:val="pt-BR"/>
                  </w:rPr>
                  <m:t>With grid</m:t>
                </m:r>
              </m:sub>
            </m:sSub>
          </m:num>
          <m:den>
            <m:r>
              <m:rPr>
                <m:sty m:val="bi"/>
              </m:rPr>
              <w:rPr>
                <w:rFonts w:ascii="Cambria Math" w:hAnsi="Cambria Math" w:cs="Arial"/>
                <w:caps w:val="0"/>
                <w:sz w:val="20"/>
                <w:lang w:val="pt-BR"/>
              </w:rPr>
              <m:t>4</m:t>
            </m:r>
          </m:den>
        </m:f>
      </m:oMath>
      <w:r w:rsidR="00DD49DC" w:rsidRPr="00630A82">
        <w:rPr>
          <w:rFonts w:ascii="Arial" w:hAnsi="Arial" w:cs="Arial"/>
          <w:b w:val="0"/>
          <w:caps w:val="0"/>
          <w:sz w:val="20"/>
          <w:lang w:val="pt-BR"/>
        </w:rPr>
        <w:t xml:space="preserve">                   </w:t>
      </w:r>
      <w:r w:rsidR="008658BD" w:rsidRPr="00630A82">
        <w:rPr>
          <w:rFonts w:ascii="Arial" w:hAnsi="Arial" w:cs="Arial"/>
          <w:b w:val="0"/>
          <w:caps w:val="0"/>
          <w:sz w:val="20"/>
          <w:lang w:val="pt-BR"/>
        </w:rPr>
        <w:t xml:space="preserve">    </w:t>
      </w:r>
      <w:r w:rsidR="00DD49DC" w:rsidRPr="00630A82">
        <w:rPr>
          <w:rFonts w:ascii="Arial" w:hAnsi="Arial" w:cs="Arial"/>
          <w:b w:val="0"/>
          <w:caps w:val="0"/>
          <w:sz w:val="20"/>
          <w:lang w:val="pt-BR"/>
        </w:rPr>
        <w:t xml:space="preserve">  </w:t>
      </w:r>
      <w:r w:rsidR="008658BD" w:rsidRPr="00630A82">
        <w:rPr>
          <w:rFonts w:ascii="Arial" w:hAnsi="Arial" w:cs="Arial"/>
          <w:b w:val="0"/>
          <w:caps w:val="0"/>
          <w:sz w:val="20"/>
          <w:lang w:val="pt-BR"/>
        </w:rPr>
        <w:t xml:space="preserve">       </w:t>
      </w:r>
      <w:r w:rsidR="00DD49DC" w:rsidRPr="00630A82">
        <w:rPr>
          <w:rFonts w:ascii="Arial" w:hAnsi="Arial" w:cs="Arial"/>
          <w:b w:val="0"/>
          <w:caps w:val="0"/>
          <w:sz w:val="20"/>
          <w:lang w:val="pt-BR"/>
        </w:rPr>
        <w:t xml:space="preserve">             (1)</w:t>
      </w:r>
    </w:p>
    <w:p w14:paraId="59B200CC" w14:textId="77777777" w:rsidR="00DD49DC" w:rsidRPr="00630A82" w:rsidRDefault="00DD49DC" w:rsidP="00DD49DC">
      <w:pPr>
        <w:pStyle w:val="Head1"/>
        <w:spacing w:after="0"/>
        <w:jc w:val="right"/>
        <w:rPr>
          <w:rFonts w:ascii="Arial" w:hAnsi="Arial" w:cs="Arial"/>
          <w:b w:val="0"/>
          <w:caps w:val="0"/>
          <w:sz w:val="20"/>
          <w:lang w:val="pt-BR"/>
        </w:rPr>
      </w:pPr>
    </w:p>
    <w:p w14:paraId="4C7DD824" w14:textId="7D316DF7" w:rsidR="00DD49DC" w:rsidRPr="00630A82" w:rsidRDefault="00DD49DC" w:rsidP="00DD49DC">
      <w:pPr>
        <w:pStyle w:val="Head1"/>
        <w:spacing w:after="0"/>
        <w:jc w:val="both"/>
        <w:rPr>
          <w:rFonts w:ascii="Arial" w:hAnsi="Arial" w:cs="Arial"/>
          <w:b w:val="0"/>
          <w:caps w:val="0"/>
          <w:sz w:val="20"/>
          <w:lang w:val="pt-BR"/>
        </w:rPr>
      </w:pPr>
      <w:r w:rsidRPr="00630A82">
        <w:rPr>
          <w:rFonts w:ascii="Arial" w:hAnsi="Arial" w:cs="Arial"/>
          <w:b w:val="0"/>
          <w:caps w:val="0"/>
          <w:sz w:val="20"/>
          <w:lang w:val="pt-BR"/>
        </w:rPr>
        <w:t>The analysis of IQ was conducted using the ImageJ software through the simultaneous analysis of regions of interest (ROIs). Six regions of interest were selected for each image in areas that appeared visually homogeneous and free of bone artifacts. For the PA projection, the first ROI was centered on the sternum, the second on the upper right lobe of the lung, the third on the upper left lobe, the fourth on the middle lobe, the fifth on the lower left lobe, and the sixth on the lateral edge of the image without anatomy, representing the image background. All ROIs were circular and had the same area, as identified in Stage 3 of Figure 1.</w:t>
      </w:r>
    </w:p>
    <w:p w14:paraId="44966ED8" w14:textId="77777777" w:rsidR="00DD49DC" w:rsidRPr="00630A82" w:rsidRDefault="00DD49DC" w:rsidP="00DD49DC">
      <w:pPr>
        <w:pStyle w:val="Head1"/>
        <w:spacing w:after="0"/>
        <w:jc w:val="both"/>
        <w:rPr>
          <w:rFonts w:ascii="Arial" w:hAnsi="Arial" w:cs="Arial"/>
          <w:b w:val="0"/>
          <w:caps w:val="0"/>
          <w:sz w:val="20"/>
          <w:lang w:val="pt-BR"/>
        </w:rPr>
      </w:pPr>
    </w:p>
    <w:p w14:paraId="12D9A9CF" w14:textId="77777777" w:rsidR="00DD49DC" w:rsidRPr="00630A82" w:rsidRDefault="00DD49DC" w:rsidP="00DD49DC">
      <w:pPr>
        <w:pStyle w:val="Head1"/>
        <w:spacing w:after="0"/>
        <w:jc w:val="both"/>
        <w:rPr>
          <w:rFonts w:ascii="Arial" w:hAnsi="Arial" w:cs="Arial"/>
          <w:b w:val="0"/>
          <w:caps w:val="0"/>
          <w:sz w:val="20"/>
          <w:lang w:val="pt-BR"/>
        </w:rPr>
      </w:pPr>
      <w:r w:rsidRPr="00630A82">
        <w:rPr>
          <w:rFonts w:ascii="Arial" w:hAnsi="Arial" w:cs="Arial"/>
          <w:b w:val="0"/>
          <w:caps w:val="0"/>
          <w:sz w:val="20"/>
          <w:lang w:val="pt-BR"/>
        </w:rPr>
        <w:t>The SNR was calculated to assess image quality. For this, the mean pixel intensity of signal-containing ROIs was compared to the mean intensity of the background ROI. Equation 2, proposed by Mraity et al. (2016), was used to calculate the SNR, considering the mean values of the signal ROIs divided by the value of the background ROI.</w:t>
      </w:r>
    </w:p>
    <w:p w14:paraId="43541DAD" w14:textId="5E3BE75C" w:rsidR="00DD49DC" w:rsidRPr="00630A82" w:rsidRDefault="00DD49DC" w:rsidP="00DD49DC">
      <w:pPr>
        <w:pStyle w:val="Head1"/>
        <w:spacing w:after="0"/>
        <w:jc w:val="both"/>
        <w:rPr>
          <w:rFonts w:ascii="Arial" w:hAnsi="Arial" w:cs="Arial"/>
          <w:b w:val="0"/>
          <w:caps w:val="0"/>
          <w:sz w:val="20"/>
          <w:lang w:val="pt-BR"/>
        </w:rPr>
      </w:pPr>
    </w:p>
    <w:p w14:paraId="61509AD4" w14:textId="69DB1787" w:rsidR="00DD49DC" w:rsidRPr="00630A82" w:rsidRDefault="00630A82" w:rsidP="00DD49DC">
      <w:pPr>
        <w:pStyle w:val="Head1"/>
        <w:spacing w:after="0"/>
        <w:jc w:val="right"/>
        <w:rPr>
          <w:rFonts w:ascii="Arial" w:hAnsi="Arial" w:cs="Arial"/>
          <w:b w:val="0"/>
          <w:caps w:val="0"/>
          <w:sz w:val="20"/>
          <w:lang w:val="pt-BR"/>
        </w:rPr>
      </w:pPr>
      <m:oMath>
        <m:r>
          <m:rPr>
            <m:sty m:val="bi"/>
          </m:rPr>
          <w:rPr>
            <w:rFonts w:ascii="Cambria Math" w:hAnsi="Cambria Math" w:cs="Arial"/>
            <w:caps w:val="0"/>
            <w:sz w:val="20"/>
            <w:lang w:val="pt-BR"/>
          </w:rPr>
          <m:t>SNR=</m:t>
        </m:r>
        <m:f>
          <m:fPr>
            <m:ctrlPr>
              <w:rPr>
                <w:rFonts w:ascii="Cambria Math" w:hAnsi="Cambria Math" w:cs="Arial"/>
                <w:b w:val="0"/>
                <w:i/>
                <w:caps w:val="0"/>
                <w:sz w:val="20"/>
                <w:lang w:val="pt-BR"/>
              </w:rPr>
            </m:ctrlPr>
          </m:fPr>
          <m:num>
            <m:r>
              <m:rPr>
                <m:sty m:val="bi"/>
              </m:rPr>
              <w:rPr>
                <w:rFonts w:ascii="Cambria Math" w:hAnsi="Cambria Math" w:cs="Arial"/>
                <w:caps w:val="0"/>
                <w:sz w:val="20"/>
              </w:rPr>
              <m:t>Signal Average ROIs 1;2;3;4 and 5</m:t>
            </m:r>
          </m:num>
          <m:den>
            <m:r>
              <m:rPr>
                <m:sty m:val="bi"/>
              </m:rPr>
              <w:rPr>
                <w:rFonts w:ascii="Cambria Math" w:hAnsi="Cambria Math" w:cs="Arial"/>
                <w:caps w:val="0"/>
                <w:sz w:val="20"/>
              </w:rPr>
              <m:t>Background Noise ROI 6</m:t>
            </m:r>
          </m:den>
        </m:f>
      </m:oMath>
      <w:r w:rsidR="00DD49DC" w:rsidRPr="00630A82">
        <w:rPr>
          <w:rFonts w:ascii="Arial" w:hAnsi="Arial" w:cs="Arial"/>
          <w:b w:val="0"/>
          <w:caps w:val="0"/>
          <w:sz w:val="20"/>
          <w:lang w:val="pt-BR"/>
        </w:rPr>
        <w:t xml:space="preserve">                    </w:t>
      </w:r>
      <w:r w:rsidR="008658BD" w:rsidRPr="00630A82">
        <w:rPr>
          <w:rFonts w:ascii="Arial" w:hAnsi="Arial" w:cs="Arial"/>
          <w:b w:val="0"/>
          <w:caps w:val="0"/>
          <w:sz w:val="20"/>
          <w:lang w:val="pt-BR"/>
        </w:rPr>
        <w:t xml:space="preserve">    </w:t>
      </w:r>
      <w:r w:rsidR="00DD49DC" w:rsidRPr="00630A82">
        <w:rPr>
          <w:rFonts w:ascii="Arial" w:hAnsi="Arial" w:cs="Arial"/>
          <w:b w:val="0"/>
          <w:caps w:val="0"/>
          <w:sz w:val="20"/>
          <w:lang w:val="pt-BR"/>
        </w:rPr>
        <w:t xml:space="preserve">                    (2)</w:t>
      </w:r>
    </w:p>
    <w:p w14:paraId="01D94D75" w14:textId="77777777" w:rsidR="00DD49DC" w:rsidRPr="00630A82" w:rsidRDefault="00DD49DC" w:rsidP="00DD49DC">
      <w:pPr>
        <w:pStyle w:val="Head1"/>
        <w:spacing w:after="0"/>
        <w:jc w:val="both"/>
        <w:rPr>
          <w:rFonts w:ascii="Arial" w:hAnsi="Arial" w:cs="Arial"/>
          <w:b w:val="0"/>
          <w:caps w:val="0"/>
          <w:sz w:val="20"/>
          <w:lang w:val="pt-BR"/>
        </w:rPr>
      </w:pPr>
    </w:p>
    <w:p w14:paraId="0D034786" w14:textId="77777777" w:rsidR="00DD49DC" w:rsidRPr="00630A82" w:rsidRDefault="00DD49DC" w:rsidP="00DD49DC">
      <w:pPr>
        <w:pStyle w:val="Head1"/>
        <w:spacing w:after="0"/>
        <w:jc w:val="both"/>
        <w:rPr>
          <w:rFonts w:ascii="Arial" w:hAnsi="Arial" w:cs="Arial"/>
          <w:b w:val="0"/>
          <w:caps w:val="0"/>
          <w:sz w:val="20"/>
          <w:lang w:val="pt-BR"/>
        </w:rPr>
      </w:pPr>
      <w:r w:rsidRPr="00630A82">
        <w:rPr>
          <w:rFonts w:ascii="Arial" w:hAnsi="Arial" w:cs="Arial"/>
          <w:b w:val="0"/>
          <w:caps w:val="0"/>
          <w:sz w:val="20"/>
          <w:lang w:val="pt-BR"/>
        </w:rPr>
        <w:t>Based on the signal and noise results, the mean values of SNR and RC were calculated using data from the ROIs according to Equation 2, proposed by Mraity et al. (2016). To evaluate RC in this study's images, those acquired with Technique 1 (using the grid) were used as the reference, following Equation 3.</w:t>
      </w:r>
    </w:p>
    <w:p w14:paraId="428D4E88" w14:textId="77777777" w:rsidR="00DD49DC" w:rsidRPr="00630A82" w:rsidRDefault="00DD49DC" w:rsidP="00DD49DC">
      <w:pPr>
        <w:pStyle w:val="Head1"/>
        <w:spacing w:after="0"/>
        <w:jc w:val="both"/>
        <w:rPr>
          <w:rFonts w:ascii="Arial" w:hAnsi="Arial" w:cs="Arial"/>
          <w:b w:val="0"/>
          <w:caps w:val="0"/>
          <w:sz w:val="20"/>
          <w:lang w:val="pt-BR"/>
        </w:rPr>
      </w:pPr>
    </w:p>
    <w:p w14:paraId="338E23BF" w14:textId="4520FFEE" w:rsidR="00DD49DC" w:rsidRPr="00630A82" w:rsidRDefault="00630A82" w:rsidP="00DD49DC">
      <w:pPr>
        <w:pStyle w:val="Head1"/>
        <w:spacing w:after="0"/>
        <w:jc w:val="right"/>
        <w:rPr>
          <w:rFonts w:ascii="Arial" w:hAnsi="Arial" w:cs="Arial"/>
          <w:b w:val="0"/>
          <w:caps w:val="0"/>
          <w:sz w:val="20"/>
          <w:lang w:val="pt-BR"/>
        </w:rPr>
      </w:pPr>
      <m:oMath>
        <m:r>
          <m:rPr>
            <m:sty m:val="bi"/>
          </m:rPr>
          <w:rPr>
            <w:rFonts w:ascii="Cambria Math" w:hAnsi="Cambria Math" w:cs="Arial"/>
            <w:caps w:val="0"/>
            <w:sz w:val="20"/>
            <w:lang w:val="pt-BR"/>
          </w:rPr>
          <m:t>RC=ROI 3-ROI 6</m:t>
        </m:r>
      </m:oMath>
      <w:r w:rsidR="00DD49DC" w:rsidRPr="00630A82">
        <w:rPr>
          <w:rFonts w:ascii="Arial" w:hAnsi="Arial" w:cs="Arial"/>
          <w:b w:val="0"/>
          <w:caps w:val="0"/>
          <w:sz w:val="20"/>
          <w:lang w:val="pt-BR"/>
        </w:rPr>
        <w:t xml:space="preserve">                </w:t>
      </w:r>
      <w:r w:rsidR="008658BD" w:rsidRPr="00630A82">
        <w:rPr>
          <w:rFonts w:ascii="Arial" w:hAnsi="Arial" w:cs="Arial"/>
          <w:b w:val="0"/>
          <w:caps w:val="0"/>
          <w:sz w:val="20"/>
          <w:lang w:val="pt-BR"/>
        </w:rPr>
        <w:t xml:space="preserve">               </w:t>
      </w:r>
      <w:r w:rsidR="00DD49DC" w:rsidRPr="00630A82">
        <w:rPr>
          <w:rFonts w:ascii="Arial" w:hAnsi="Arial" w:cs="Arial"/>
          <w:b w:val="0"/>
          <w:caps w:val="0"/>
          <w:sz w:val="20"/>
          <w:lang w:val="pt-BR"/>
        </w:rPr>
        <w:t xml:space="preserve">                         (3)</w:t>
      </w:r>
    </w:p>
    <w:p w14:paraId="3F1B68C3" w14:textId="77777777" w:rsidR="00DD49DC" w:rsidRPr="00630A82" w:rsidRDefault="00DD49DC" w:rsidP="00DD49DC">
      <w:pPr>
        <w:pStyle w:val="Head1"/>
        <w:spacing w:after="0"/>
        <w:jc w:val="both"/>
        <w:rPr>
          <w:rFonts w:ascii="Arial" w:hAnsi="Arial" w:cs="Arial"/>
          <w:b w:val="0"/>
          <w:caps w:val="0"/>
          <w:sz w:val="20"/>
          <w:lang w:val="pt-BR"/>
        </w:rPr>
      </w:pPr>
    </w:p>
    <w:p w14:paraId="6F97F7FA" w14:textId="77777777" w:rsidR="00DD49DC" w:rsidRPr="00630A82" w:rsidRDefault="00DD49DC" w:rsidP="00DD49DC">
      <w:pPr>
        <w:pStyle w:val="Head1"/>
        <w:spacing w:after="0"/>
        <w:jc w:val="both"/>
        <w:rPr>
          <w:rFonts w:ascii="Arial" w:hAnsi="Arial" w:cs="Arial"/>
          <w:b w:val="0"/>
          <w:caps w:val="0"/>
          <w:sz w:val="20"/>
          <w:lang w:val="pt-BR"/>
        </w:rPr>
      </w:pPr>
      <w:r w:rsidRPr="00630A82">
        <w:rPr>
          <w:rFonts w:ascii="Arial" w:hAnsi="Arial" w:cs="Arial"/>
          <w:b w:val="0"/>
          <w:caps w:val="0"/>
          <w:sz w:val="20"/>
          <w:lang w:val="pt-BR"/>
        </w:rPr>
        <w:t>Since no reference values exist to define the limits for IQ descriptors, the "reference" values were those measured in the images acquired with Technique 1 using the grid. The percentage deviation (D%) was used to compare images relative to the reference image, following Equation 4.</w:t>
      </w:r>
    </w:p>
    <w:p w14:paraId="63FFDE8F" w14:textId="77777777" w:rsidR="00DD49DC" w:rsidRPr="00630A82" w:rsidRDefault="00DD49DC" w:rsidP="00DD49DC">
      <w:pPr>
        <w:pStyle w:val="Head1"/>
        <w:spacing w:after="0"/>
        <w:jc w:val="both"/>
        <w:rPr>
          <w:rFonts w:ascii="Arial" w:hAnsi="Arial" w:cs="Arial"/>
          <w:b w:val="0"/>
          <w:caps w:val="0"/>
          <w:sz w:val="20"/>
          <w:lang w:val="pt-BR"/>
        </w:rPr>
      </w:pPr>
    </w:p>
    <w:p w14:paraId="6541F704" w14:textId="35405916" w:rsidR="00DD49DC" w:rsidRPr="00630A82" w:rsidRDefault="00630A82" w:rsidP="00DD49DC">
      <w:pPr>
        <w:pStyle w:val="Head1"/>
        <w:spacing w:after="0"/>
        <w:jc w:val="right"/>
        <w:rPr>
          <w:rFonts w:ascii="Arial" w:hAnsi="Arial" w:cs="Arial"/>
          <w:b w:val="0"/>
          <w:caps w:val="0"/>
          <w:sz w:val="20"/>
          <w:lang w:val="pt-BR"/>
        </w:rPr>
      </w:pPr>
      <m:oMath>
        <m:r>
          <m:rPr>
            <m:sty m:val="bi"/>
          </m:rPr>
          <w:rPr>
            <w:rFonts w:ascii="Cambria Math" w:hAnsi="Cambria Math" w:cs="Arial"/>
            <w:caps w:val="0"/>
            <w:sz w:val="20"/>
            <w:lang w:val="pt-BR"/>
          </w:rPr>
          <m:t>D</m:t>
        </m:r>
        <m:d>
          <m:dPr>
            <m:ctrlPr>
              <w:rPr>
                <w:rFonts w:ascii="Cambria Math" w:hAnsi="Cambria Math" w:cs="Arial"/>
                <w:b w:val="0"/>
                <w:i/>
                <w:caps w:val="0"/>
                <w:sz w:val="20"/>
                <w:lang w:val="pt-BR"/>
              </w:rPr>
            </m:ctrlPr>
          </m:dPr>
          <m:e>
            <m:r>
              <m:rPr>
                <m:sty m:val="bi"/>
              </m:rPr>
              <w:rPr>
                <w:rFonts w:ascii="Cambria Math" w:hAnsi="Cambria Math" w:cs="Arial"/>
                <w:caps w:val="0"/>
                <w:sz w:val="20"/>
                <w:lang w:val="pt-BR"/>
              </w:rPr>
              <m:t>%</m:t>
            </m:r>
          </m:e>
        </m:d>
        <m:r>
          <m:rPr>
            <m:sty m:val="bi"/>
          </m:rPr>
          <w:rPr>
            <w:rFonts w:ascii="Cambria Math" w:hAnsi="Cambria Math" w:cs="Arial"/>
            <w:caps w:val="0"/>
            <w:sz w:val="20"/>
            <w:lang w:val="pt-BR"/>
          </w:rPr>
          <m:t>=</m:t>
        </m:r>
        <m:d>
          <m:dPr>
            <m:begChr m:val="["/>
            <m:endChr m:val="]"/>
            <m:ctrlPr>
              <w:rPr>
                <w:rFonts w:ascii="Cambria Math" w:hAnsi="Cambria Math" w:cs="Arial"/>
                <w:b w:val="0"/>
                <w:i/>
                <w:caps w:val="0"/>
                <w:sz w:val="20"/>
                <w:lang w:val="pt-BR"/>
              </w:rPr>
            </m:ctrlPr>
          </m:dPr>
          <m:e>
            <m:d>
              <m:dPr>
                <m:ctrlPr>
                  <w:rPr>
                    <w:rFonts w:ascii="Cambria Math" w:hAnsi="Cambria Math" w:cs="Arial"/>
                    <w:b w:val="0"/>
                    <w:i/>
                    <w:caps w:val="0"/>
                    <w:sz w:val="20"/>
                    <w:lang w:val="pt-BR"/>
                  </w:rPr>
                </m:ctrlPr>
              </m:dPr>
              <m:e>
                <m:f>
                  <m:fPr>
                    <m:ctrlPr>
                      <w:rPr>
                        <w:rFonts w:ascii="Cambria Math" w:hAnsi="Cambria Math" w:cs="Arial"/>
                        <w:b w:val="0"/>
                        <w:i/>
                        <w:caps w:val="0"/>
                        <w:sz w:val="20"/>
                        <w:lang w:val="pt-BR"/>
                      </w:rPr>
                    </m:ctrlPr>
                  </m:fPr>
                  <m:num>
                    <m:r>
                      <m:rPr>
                        <m:sty m:val="bi"/>
                      </m:rPr>
                      <w:rPr>
                        <w:rFonts w:ascii="Cambria Math" w:hAnsi="Cambria Math" w:cs="Arial"/>
                        <w:caps w:val="0"/>
                        <w:sz w:val="20"/>
                      </w:rPr>
                      <m:t>Technique with grid</m:t>
                    </m:r>
                  </m:num>
                  <m:den>
                    <m:r>
                      <m:rPr>
                        <m:sty m:val="bi"/>
                      </m:rPr>
                      <w:rPr>
                        <w:rFonts w:ascii="Cambria Math" w:hAnsi="Cambria Math" w:cs="Arial"/>
                        <w:caps w:val="0"/>
                        <w:sz w:val="20"/>
                      </w:rPr>
                      <m:t>Technique without grid</m:t>
                    </m:r>
                  </m:den>
                </m:f>
                <m:r>
                  <m:rPr>
                    <m:sty m:val="bi"/>
                  </m:rPr>
                  <w:rPr>
                    <w:rFonts w:ascii="Cambria Math" w:hAnsi="Cambria Math" w:cs="Arial"/>
                    <w:caps w:val="0"/>
                    <w:sz w:val="20"/>
                    <w:lang w:val="pt-BR"/>
                  </w:rPr>
                  <m:t>-1</m:t>
                </m:r>
              </m:e>
            </m:d>
            <m:r>
              <m:rPr>
                <m:sty m:val="bi"/>
              </m:rPr>
              <w:rPr>
                <w:rFonts w:ascii="Cambria Math" w:hAnsi="Cambria Math" w:cs="Arial"/>
                <w:caps w:val="0"/>
                <w:sz w:val="20"/>
                <w:lang w:val="pt-BR"/>
              </w:rPr>
              <m:t>×100</m:t>
            </m:r>
          </m:e>
        </m:d>
      </m:oMath>
      <w:r w:rsidR="00DD49DC" w:rsidRPr="00630A82">
        <w:rPr>
          <w:rFonts w:ascii="Arial" w:hAnsi="Arial" w:cs="Arial"/>
          <w:b w:val="0"/>
          <w:caps w:val="0"/>
          <w:sz w:val="20"/>
          <w:lang w:val="pt-BR"/>
        </w:rPr>
        <w:t xml:space="preserve">                  </w:t>
      </w:r>
      <w:r w:rsidR="008658BD" w:rsidRPr="00630A82">
        <w:rPr>
          <w:rFonts w:ascii="Arial" w:hAnsi="Arial" w:cs="Arial"/>
          <w:b w:val="0"/>
          <w:caps w:val="0"/>
          <w:sz w:val="20"/>
          <w:lang w:val="pt-BR"/>
        </w:rPr>
        <w:t xml:space="preserve">       </w:t>
      </w:r>
      <w:r w:rsidR="00DD49DC" w:rsidRPr="00630A82">
        <w:rPr>
          <w:rFonts w:ascii="Arial" w:hAnsi="Arial" w:cs="Arial"/>
          <w:b w:val="0"/>
          <w:caps w:val="0"/>
          <w:sz w:val="20"/>
          <w:lang w:val="pt-BR"/>
        </w:rPr>
        <w:t xml:space="preserve">              (4)</w:t>
      </w:r>
    </w:p>
    <w:p w14:paraId="6D3D9120" w14:textId="77777777" w:rsidR="00DD49DC" w:rsidRPr="00630A82" w:rsidRDefault="00DD49DC" w:rsidP="00DD49DC">
      <w:pPr>
        <w:pStyle w:val="Head1"/>
        <w:spacing w:after="0"/>
        <w:jc w:val="both"/>
        <w:rPr>
          <w:rFonts w:ascii="Arial" w:hAnsi="Arial" w:cs="Arial"/>
          <w:b w:val="0"/>
        </w:rPr>
      </w:pPr>
    </w:p>
    <w:p w14:paraId="1E9FC889" w14:textId="229C67AC" w:rsidR="00902823" w:rsidRPr="00630A82" w:rsidRDefault="00000F8F" w:rsidP="00441B6F">
      <w:pPr>
        <w:pStyle w:val="Head1"/>
        <w:spacing w:after="0"/>
        <w:jc w:val="both"/>
        <w:rPr>
          <w:rFonts w:ascii="Arial" w:hAnsi="Arial" w:cs="Arial"/>
          <w:bCs/>
        </w:rPr>
      </w:pPr>
      <w:r w:rsidRPr="00630A82">
        <w:rPr>
          <w:rFonts w:ascii="Arial" w:hAnsi="Arial" w:cs="Arial"/>
          <w:bCs/>
        </w:rPr>
        <w:t>3</w:t>
      </w:r>
      <w:r w:rsidR="00902823" w:rsidRPr="00630A82">
        <w:rPr>
          <w:rFonts w:ascii="Arial" w:hAnsi="Arial" w:cs="Arial"/>
          <w:bCs/>
        </w:rPr>
        <w:t xml:space="preserve">. </w:t>
      </w:r>
      <w:r w:rsidRPr="00630A82">
        <w:rPr>
          <w:rFonts w:ascii="Arial" w:hAnsi="Arial" w:cs="Arial"/>
          <w:bCs/>
        </w:rPr>
        <w:t>results and discussion</w:t>
      </w:r>
    </w:p>
    <w:p w14:paraId="72DCEF62" w14:textId="77777777" w:rsidR="00790ADA" w:rsidRPr="00FB3A86" w:rsidRDefault="00790ADA" w:rsidP="00441B6F">
      <w:pPr>
        <w:pStyle w:val="Head1"/>
        <w:spacing w:after="0"/>
        <w:jc w:val="both"/>
        <w:rPr>
          <w:rFonts w:ascii="Arial" w:hAnsi="Arial" w:cs="Arial"/>
        </w:rPr>
      </w:pPr>
    </w:p>
    <w:p w14:paraId="796207F9" w14:textId="77777777" w:rsidR="00DD49DC" w:rsidRDefault="00DD49DC" w:rsidP="00DD49DC">
      <w:pPr>
        <w:pStyle w:val="Body"/>
        <w:spacing w:after="0"/>
        <w:rPr>
          <w:rFonts w:ascii="Arial" w:hAnsi="Arial" w:cs="Arial"/>
          <w:lang w:val="pt-BR"/>
        </w:rPr>
      </w:pPr>
      <w:r w:rsidRPr="00DD49DC">
        <w:rPr>
          <w:rFonts w:ascii="Arial" w:hAnsi="Arial" w:cs="Arial"/>
          <w:lang w:val="pt-BR"/>
        </w:rPr>
        <w:t>Table 1 presents the mean values of SNR, contrast and K</w:t>
      </w:r>
      <w:r w:rsidRPr="00DD49DC">
        <w:rPr>
          <w:rFonts w:ascii="Arial" w:hAnsi="Arial" w:cs="Arial"/>
          <w:vertAlign w:val="subscript"/>
          <w:lang w:val="pt-BR"/>
        </w:rPr>
        <w:t>a,e</w:t>
      </w:r>
      <w:r w:rsidRPr="00DD49DC">
        <w:rPr>
          <w:rFonts w:ascii="Arial" w:hAnsi="Arial" w:cs="Arial"/>
          <w:lang w:val="pt-BR"/>
        </w:rPr>
        <w:t xml:space="preserve"> for radiographs performed with and w</w:t>
      </w:r>
      <w:r>
        <w:rPr>
          <w:rFonts w:ascii="Arial" w:hAnsi="Arial" w:cs="Arial"/>
          <w:lang w:val="pt-BR"/>
        </w:rPr>
        <w:t>i</w:t>
      </w:r>
      <w:r w:rsidRPr="00DD49DC">
        <w:rPr>
          <w:rFonts w:ascii="Arial" w:hAnsi="Arial" w:cs="Arial"/>
          <w:lang w:val="pt-BR"/>
        </w:rPr>
        <w:t>thout the use of anti-scatter grids.</w:t>
      </w:r>
    </w:p>
    <w:p w14:paraId="40762886" w14:textId="77777777" w:rsidR="00DD49DC" w:rsidRDefault="00DD49DC" w:rsidP="00DD49DC">
      <w:pPr>
        <w:pStyle w:val="Body"/>
        <w:spacing w:after="0"/>
        <w:rPr>
          <w:rFonts w:ascii="Arial" w:hAnsi="Arial" w:cs="Arial"/>
          <w:lang w:val="pt-BR"/>
        </w:rPr>
      </w:pPr>
    </w:p>
    <w:p w14:paraId="15D928F3" w14:textId="62B48D16" w:rsidR="00863BD3" w:rsidRDefault="005D70A7" w:rsidP="00DD49DC">
      <w:pPr>
        <w:pStyle w:val="Body"/>
        <w:spacing w:after="0"/>
        <w:rPr>
          <w:rFonts w:ascii="Arial" w:hAnsi="Arial"/>
          <w:b/>
        </w:rPr>
      </w:pPr>
      <w:r w:rsidRPr="005D70A7">
        <w:rPr>
          <w:rFonts w:ascii="Arial" w:hAnsi="Arial"/>
          <w:b/>
        </w:rPr>
        <w:t>Table 1. Average Values of SNR and Contrast Calculated Using Equations 2 and 3, respectively.</w:t>
      </w:r>
    </w:p>
    <w:tbl>
      <w:tblPr>
        <w:tblW w:w="7624" w:type="dxa"/>
        <w:jc w:val="center"/>
        <w:tblCellMar>
          <w:top w:w="15" w:type="dxa"/>
          <w:left w:w="15" w:type="dxa"/>
          <w:bottom w:w="15" w:type="dxa"/>
          <w:right w:w="15" w:type="dxa"/>
        </w:tblCellMar>
        <w:tblLook w:val="04A0" w:firstRow="1" w:lastRow="0" w:firstColumn="1" w:lastColumn="0" w:noHBand="0" w:noVBand="1"/>
      </w:tblPr>
      <w:tblGrid>
        <w:gridCol w:w="1047"/>
        <w:gridCol w:w="1047"/>
        <w:gridCol w:w="1048"/>
        <w:gridCol w:w="1311"/>
        <w:gridCol w:w="1048"/>
        <w:gridCol w:w="1048"/>
        <w:gridCol w:w="661"/>
        <w:gridCol w:w="414"/>
      </w:tblGrid>
      <w:tr w:rsidR="005D70A7" w:rsidRPr="005D70A7" w14:paraId="27B0B18C" w14:textId="77777777" w:rsidTr="007C0D0D">
        <w:trPr>
          <w:trHeight w:val="221"/>
          <w:jc w:val="center"/>
        </w:trPr>
        <w:tc>
          <w:tcPr>
            <w:tcW w:w="1021" w:type="dxa"/>
            <w:tcBorders>
              <w:top w:val="single" w:sz="6" w:space="0" w:color="000000"/>
              <w:bottom w:val="single" w:sz="6" w:space="0" w:color="000000"/>
            </w:tcBorders>
            <w:tcMar>
              <w:top w:w="0" w:type="dxa"/>
              <w:left w:w="0" w:type="dxa"/>
              <w:bottom w:w="0" w:type="dxa"/>
              <w:right w:w="0" w:type="dxa"/>
            </w:tcMar>
            <w:hideMark/>
          </w:tcPr>
          <w:p w14:paraId="4645CE1B" w14:textId="77777777" w:rsidR="005D70A7" w:rsidRPr="005D70A7" w:rsidRDefault="005D70A7" w:rsidP="005D70A7">
            <w:pPr>
              <w:tabs>
                <w:tab w:val="left" w:pos="1080"/>
              </w:tabs>
              <w:jc w:val="both"/>
              <w:rPr>
                <w:rFonts w:ascii="Arial" w:hAnsi="Arial" w:cs="Arial"/>
                <w:b/>
                <w:lang w:val="pt-BR"/>
              </w:rPr>
            </w:pPr>
          </w:p>
        </w:tc>
        <w:tc>
          <w:tcPr>
            <w:tcW w:w="1021" w:type="dxa"/>
            <w:gridSpan w:val="4"/>
            <w:tcBorders>
              <w:top w:val="single" w:sz="6" w:space="0" w:color="000000"/>
              <w:bottom w:val="single" w:sz="6" w:space="0" w:color="000000"/>
            </w:tcBorders>
            <w:tcMar>
              <w:top w:w="0" w:type="dxa"/>
              <w:left w:w="0" w:type="dxa"/>
              <w:bottom w:w="0" w:type="dxa"/>
              <w:right w:w="0" w:type="dxa"/>
            </w:tcMar>
            <w:hideMark/>
          </w:tcPr>
          <w:p w14:paraId="7F00B55A"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IQ Descriptors</w:t>
            </w:r>
          </w:p>
        </w:tc>
        <w:tc>
          <w:tcPr>
            <w:tcW w:w="1021" w:type="dxa"/>
            <w:gridSpan w:val="3"/>
            <w:tcBorders>
              <w:top w:val="single" w:sz="6" w:space="0" w:color="000000"/>
              <w:bottom w:val="single" w:sz="6" w:space="0" w:color="000000"/>
            </w:tcBorders>
            <w:tcMar>
              <w:top w:w="0" w:type="dxa"/>
              <w:left w:w="0" w:type="dxa"/>
              <w:bottom w:w="0" w:type="dxa"/>
              <w:right w:w="0" w:type="dxa"/>
            </w:tcMar>
            <w:hideMark/>
          </w:tcPr>
          <w:p w14:paraId="593A2BD7"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Radiation Dose</w:t>
            </w:r>
          </w:p>
        </w:tc>
      </w:tr>
      <w:tr w:rsidR="005D70A7" w:rsidRPr="005D70A7" w14:paraId="11CBBB35" w14:textId="77777777" w:rsidTr="007C0D0D">
        <w:trPr>
          <w:gridAfter w:val="1"/>
          <w:wAfter w:w="403" w:type="dxa"/>
          <w:trHeight w:val="221"/>
          <w:jc w:val="center"/>
        </w:trPr>
        <w:tc>
          <w:tcPr>
            <w:tcW w:w="1021" w:type="dxa"/>
            <w:tcBorders>
              <w:top w:val="single" w:sz="6" w:space="0" w:color="000000"/>
              <w:bottom w:val="single" w:sz="6" w:space="0" w:color="000000"/>
            </w:tcBorders>
            <w:tcMar>
              <w:top w:w="0" w:type="dxa"/>
              <w:left w:w="0" w:type="dxa"/>
              <w:bottom w:w="0" w:type="dxa"/>
              <w:right w:w="0" w:type="dxa"/>
            </w:tcMar>
            <w:hideMark/>
          </w:tcPr>
          <w:p w14:paraId="4098048D" w14:textId="77777777" w:rsidR="005D70A7" w:rsidRPr="005D70A7" w:rsidRDefault="005D70A7" w:rsidP="005D70A7">
            <w:pPr>
              <w:tabs>
                <w:tab w:val="left" w:pos="1080"/>
              </w:tabs>
              <w:jc w:val="both"/>
              <w:rPr>
                <w:rFonts w:ascii="Arial" w:hAnsi="Arial" w:cs="Arial"/>
                <w:b/>
                <w:lang w:val="pt-BR"/>
              </w:rPr>
            </w:pPr>
          </w:p>
        </w:tc>
        <w:tc>
          <w:tcPr>
            <w:tcW w:w="1021" w:type="dxa"/>
            <w:tcBorders>
              <w:top w:val="single" w:sz="6" w:space="0" w:color="000000"/>
              <w:bottom w:val="single" w:sz="6" w:space="0" w:color="000000"/>
            </w:tcBorders>
            <w:tcMar>
              <w:top w:w="0" w:type="dxa"/>
              <w:left w:w="0" w:type="dxa"/>
              <w:bottom w:w="0" w:type="dxa"/>
              <w:right w:w="0" w:type="dxa"/>
            </w:tcMar>
            <w:hideMark/>
          </w:tcPr>
          <w:p w14:paraId="22F37402"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Without</w:t>
            </w:r>
          </w:p>
        </w:tc>
        <w:tc>
          <w:tcPr>
            <w:tcW w:w="1021" w:type="dxa"/>
            <w:tcBorders>
              <w:top w:val="single" w:sz="6" w:space="0" w:color="000000"/>
              <w:bottom w:val="single" w:sz="6" w:space="0" w:color="000000"/>
            </w:tcBorders>
            <w:tcMar>
              <w:top w:w="0" w:type="dxa"/>
              <w:left w:w="0" w:type="dxa"/>
              <w:bottom w:w="0" w:type="dxa"/>
              <w:right w:w="0" w:type="dxa"/>
            </w:tcMar>
            <w:hideMark/>
          </w:tcPr>
          <w:p w14:paraId="70B641F2"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With</w:t>
            </w:r>
          </w:p>
        </w:tc>
        <w:tc>
          <w:tcPr>
            <w:tcW w:w="1021" w:type="dxa"/>
            <w:tcBorders>
              <w:top w:val="single" w:sz="6" w:space="0" w:color="000000"/>
              <w:bottom w:val="single" w:sz="6" w:space="0" w:color="000000"/>
            </w:tcBorders>
            <w:tcMar>
              <w:top w:w="0" w:type="dxa"/>
              <w:left w:w="0" w:type="dxa"/>
              <w:bottom w:w="0" w:type="dxa"/>
              <w:right w:w="0" w:type="dxa"/>
            </w:tcMar>
            <w:hideMark/>
          </w:tcPr>
          <w:p w14:paraId="1B0CDD39"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Without</w:t>
            </w:r>
          </w:p>
        </w:tc>
        <w:tc>
          <w:tcPr>
            <w:tcW w:w="1021" w:type="dxa"/>
            <w:tcBorders>
              <w:top w:val="single" w:sz="6" w:space="0" w:color="000000"/>
              <w:bottom w:val="single" w:sz="6" w:space="0" w:color="000000"/>
            </w:tcBorders>
            <w:tcMar>
              <w:top w:w="0" w:type="dxa"/>
              <w:left w:w="0" w:type="dxa"/>
              <w:bottom w:w="0" w:type="dxa"/>
              <w:right w:w="0" w:type="dxa"/>
            </w:tcMar>
            <w:hideMark/>
          </w:tcPr>
          <w:p w14:paraId="578F945E"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With</w:t>
            </w:r>
          </w:p>
        </w:tc>
        <w:tc>
          <w:tcPr>
            <w:tcW w:w="1021" w:type="dxa"/>
            <w:tcBorders>
              <w:top w:val="single" w:sz="6" w:space="0" w:color="000000"/>
              <w:bottom w:val="single" w:sz="6" w:space="0" w:color="000000"/>
            </w:tcBorders>
            <w:tcMar>
              <w:top w:w="0" w:type="dxa"/>
              <w:left w:w="0" w:type="dxa"/>
              <w:bottom w:w="0" w:type="dxa"/>
              <w:right w:w="0" w:type="dxa"/>
            </w:tcMar>
            <w:hideMark/>
          </w:tcPr>
          <w:p w14:paraId="3A3BD0FC"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Without</w:t>
            </w:r>
          </w:p>
        </w:tc>
        <w:tc>
          <w:tcPr>
            <w:tcW w:w="644" w:type="dxa"/>
            <w:tcBorders>
              <w:top w:val="single" w:sz="6" w:space="0" w:color="000000"/>
              <w:bottom w:val="single" w:sz="6" w:space="0" w:color="000000"/>
            </w:tcBorders>
            <w:tcMar>
              <w:top w:w="0" w:type="dxa"/>
              <w:left w:w="0" w:type="dxa"/>
              <w:bottom w:w="0" w:type="dxa"/>
              <w:right w:w="0" w:type="dxa"/>
            </w:tcMar>
            <w:vAlign w:val="bottom"/>
            <w:hideMark/>
          </w:tcPr>
          <w:p w14:paraId="23CD3089"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With</w:t>
            </w:r>
          </w:p>
        </w:tc>
      </w:tr>
      <w:tr w:rsidR="00630A82" w:rsidRPr="005D70A7" w14:paraId="661F3C30" w14:textId="77777777" w:rsidTr="007C0D0D">
        <w:trPr>
          <w:trHeight w:val="221"/>
          <w:jc w:val="center"/>
        </w:trPr>
        <w:tc>
          <w:tcPr>
            <w:tcW w:w="1021" w:type="dxa"/>
            <w:tcBorders>
              <w:top w:val="single" w:sz="6" w:space="0" w:color="000000"/>
              <w:bottom w:val="single" w:sz="6" w:space="0" w:color="000000"/>
            </w:tcBorders>
            <w:tcMar>
              <w:top w:w="0" w:type="dxa"/>
              <w:left w:w="0" w:type="dxa"/>
              <w:bottom w:w="0" w:type="dxa"/>
              <w:right w:w="0" w:type="dxa"/>
            </w:tcMar>
            <w:hideMark/>
          </w:tcPr>
          <w:p w14:paraId="4FD9A603"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Image</w:t>
            </w:r>
          </w:p>
        </w:tc>
        <w:tc>
          <w:tcPr>
            <w:tcW w:w="1021" w:type="dxa"/>
            <w:gridSpan w:val="2"/>
            <w:tcBorders>
              <w:top w:val="single" w:sz="6" w:space="0" w:color="000000"/>
              <w:bottom w:val="single" w:sz="6" w:space="0" w:color="000000"/>
            </w:tcBorders>
            <w:tcMar>
              <w:top w:w="0" w:type="dxa"/>
              <w:left w:w="0" w:type="dxa"/>
              <w:bottom w:w="0" w:type="dxa"/>
              <w:right w:w="0" w:type="dxa"/>
            </w:tcMar>
            <w:hideMark/>
          </w:tcPr>
          <w:p w14:paraId="6BC29F0C"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SNR</w:t>
            </w:r>
          </w:p>
        </w:tc>
        <w:tc>
          <w:tcPr>
            <w:tcW w:w="1021" w:type="dxa"/>
            <w:tcBorders>
              <w:top w:val="single" w:sz="6" w:space="0" w:color="000000"/>
              <w:bottom w:val="single" w:sz="6" w:space="0" w:color="000000"/>
            </w:tcBorders>
            <w:tcMar>
              <w:top w:w="0" w:type="dxa"/>
              <w:left w:w="0" w:type="dxa"/>
              <w:bottom w:w="0" w:type="dxa"/>
              <w:right w:w="0" w:type="dxa"/>
            </w:tcMar>
            <w:hideMark/>
          </w:tcPr>
          <w:p w14:paraId="245C8706"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Radiographic Contrast</w:t>
            </w:r>
          </w:p>
        </w:tc>
        <w:tc>
          <w:tcPr>
            <w:tcW w:w="1021" w:type="dxa"/>
            <w:tcBorders>
              <w:top w:val="single" w:sz="6" w:space="0" w:color="000000"/>
              <w:bottom w:val="single" w:sz="6" w:space="0" w:color="000000"/>
            </w:tcBorders>
            <w:tcMar>
              <w:top w:w="0" w:type="dxa"/>
              <w:left w:w="0" w:type="dxa"/>
              <w:bottom w:w="0" w:type="dxa"/>
              <w:right w:w="0" w:type="dxa"/>
            </w:tcMar>
            <w:hideMark/>
          </w:tcPr>
          <w:p w14:paraId="0CB4A7CE" w14:textId="77777777" w:rsidR="005D70A7" w:rsidRPr="005D70A7" w:rsidRDefault="005D70A7" w:rsidP="005D70A7">
            <w:pPr>
              <w:tabs>
                <w:tab w:val="left" w:pos="1080"/>
              </w:tabs>
              <w:jc w:val="both"/>
              <w:rPr>
                <w:rFonts w:ascii="Arial" w:hAnsi="Arial" w:cs="Arial"/>
                <w:b/>
                <w:lang w:val="pt-BR"/>
              </w:rPr>
            </w:pPr>
          </w:p>
        </w:tc>
        <w:tc>
          <w:tcPr>
            <w:tcW w:w="1021" w:type="dxa"/>
            <w:gridSpan w:val="3"/>
            <w:tcBorders>
              <w:top w:val="single" w:sz="6" w:space="0" w:color="000000"/>
              <w:bottom w:val="single" w:sz="6" w:space="0" w:color="000000"/>
            </w:tcBorders>
            <w:tcMar>
              <w:top w:w="0" w:type="dxa"/>
              <w:left w:w="0" w:type="dxa"/>
              <w:bottom w:w="0" w:type="dxa"/>
              <w:right w:w="0" w:type="dxa"/>
            </w:tcMar>
            <w:hideMark/>
          </w:tcPr>
          <w:p w14:paraId="09964D46"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K</w:t>
            </w:r>
            <w:r w:rsidRPr="005D70A7">
              <w:rPr>
                <w:rFonts w:ascii="Arial" w:hAnsi="Arial" w:cs="Arial"/>
                <w:b/>
                <w:bCs/>
                <w:vertAlign w:val="subscript"/>
                <w:lang w:val="pt-BR"/>
              </w:rPr>
              <w:t>a,e</w:t>
            </w:r>
            <w:r w:rsidRPr="005D70A7">
              <w:rPr>
                <w:rFonts w:ascii="Arial" w:hAnsi="Arial" w:cs="Arial"/>
                <w:b/>
                <w:bCs/>
                <w:lang w:val="pt-BR"/>
              </w:rPr>
              <w:t xml:space="preserve"> (mGy)</w:t>
            </w:r>
          </w:p>
        </w:tc>
      </w:tr>
      <w:tr w:rsidR="005D70A7" w:rsidRPr="005D70A7" w14:paraId="5532E600" w14:textId="77777777" w:rsidTr="007C0D0D">
        <w:trPr>
          <w:trHeight w:val="221"/>
          <w:jc w:val="center"/>
        </w:trPr>
        <w:tc>
          <w:tcPr>
            <w:tcW w:w="1021" w:type="dxa"/>
            <w:tcBorders>
              <w:top w:val="single" w:sz="6" w:space="0" w:color="000000"/>
            </w:tcBorders>
            <w:tcMar>
              <w:top w:w="0" w:type="dxa"/>
              <w:left w:w="0" w:type="dxa"/>
              <w:bottom w:w="0" w:type="dxa"/>
              <w:right w:w="0" w:type="dxa"/>
            </w:tcMar>
            <w:hideMark/>
          </w:tcPr>
          <w:p w14:paraId="5754DB65"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lastRenderedPageBreak/>
              <w:t>1</w:t>
            </w:r>
          </w:p>
        </w:tc>
        <w:tc>
          <w:tcPr>
            <w:tcW w:w="1021" w:type="dxa"/>
            <w:tcBorders>
              <w:top w:val="single" w:sz="6" w:space="0" w:color="000000"/>
            </w:tcBorders>
            <w:tcMar>
              <w:top w:w="0" w:type="dxa"/>
              <w:left w:w="0" w:type="dxa"/>
              <w:bottom w:w="0" w:type="dxa"/>
              <w:right w:w="0" w:type="dxa"/>
            </w:tcMar>
            <w:hideMark/>
          </w:tcPr>
          <w:p w14:paraId="6D71A959"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38,17</w:t>
            </w:r>
          </w:p>
        </w:tc>
        <w:tc>
          <w:tcPr>
            <w:tcW w:w="1021" w:type="dxa"/>
            <w:tcBorders>
              <w:top w:val="single" w:sz="6" w:space="0" w:color="000000"/>
            </w:tcBorders>
            <w:tcMar>
              <w:top w:w="0" w:type="dxa"/>
              <w:left w:w="0" w:type="dxa"/>
              <w:bottom w:w="0" w:type="dxa"/>
              <w:right w:w="0" w:type="dxa"/>
            </w:tcMar>
            <w:hideMark/>
          </w:tcPr>
          <w:p w14:paraId="3C7ABE9B"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21,73</w:t>
            </w:r>
          </w:p>
        </w:tc>
        <w:tc>
          <w:tcPr>
            <w:tcW w:w="1021" w:type="dxa"/>
            <w:tcBorders>
              <w:top w:val="single" w:sz="6" w:space="0" w:color="000000"/>
            </w:tcBorders>
            <w:tcMar>
              <w:top w:w="0" w:type="dxa"/>
              <w:left w:w="0" w:type="dxa"/>
              <w:bottom w:w="0" w:type="dxa"/>
              <w:right w:w="0" w:type="dxa"/>
            </w:tcMar>
            <w:hideMark/>
          </w:tcPr>
          <w:p w14:paraId="4BEF2323"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796,07</w:t>
            </w:r>
          </w:p>
        </w:tc>
        <w:tc>
          <w:tcPr>
            <w:tcW w:w="1021" w:type="dxa"/>
            <w:tcBorders>
              <w:top w:val="single" w:sz="6" w:space="0" w:color="000000"/>
            </w:tcBorders>
            <w:tcMar>
              <w:top w:w="0" w:type="dxa"/>
              <w:left w:w="0" w:type="dxa"/>
              <w:bottom w:w="0" w:type="dxa"/>
              <w:right w:w="0" w:type="dxa"/>
            </w:tcMar>
            <w:hideMark/>
          </w:tcPr>
          <w:p w14:paraId="3023E5F5"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1033,33</w:t>
            </w:r>
          </w:p>
        </w:tc>
        <w:tc>
          <w:tcPr>
            <w:tcW w:w="1021" w:type="dxa"/>
            <w:tcBorders>
              <w:top w:val="single" w:sz="6" w:space="0" w:color="000000"/>
            </w:tcBorders>
            <w:tcMar>
              <w:top w:w="0" w:type="dxa"/>
              <w:left w:w="0" w:type="dxa"/>
              <w:bottom w:w="0" w:type="dxa"/>
              <w:right w:w="0" w:type="dxa"/>
            </w:tcMar>
            <w:hideMark/>
          </w:tcPr>
          <w:p w14:paraId="6C39C596"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0,2699</w:t>
            </w:r>
          </w:p>
        </w:tc>
        <w:tc>
          <w:tcPr>
            <w:tcW w:w="1047" w:type="dxa"/>
            <w:gridSpan w:val="2"/>
            <w:tcBorders>
              <w:top w:val="single" w:sz="6" w:space="0" w:color="000000"/>
            </w:tcBorders>
            <w:tcMar>
              <w:top w:w="0" w:type="dxa"/>
              <w:left w:w="0" w:type="dxa"/>
              <w:bottom w:w="0" w:type="dxa"/>
              <w:right w:w="0" w:type="dxa"/>
            </w:tcMar>
            <w:vAlign w:val="bottom"/>
            <w:hideMark/>
          </w:tcPr>
          <w:p w14:paraId="7F5E06AC"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1,26</w:t>
            </w:r>
          </w:p>
        </w:tc>
      </w:tr>
      <w:tr w:rsidR="005D70A7" w:rsidRPr="005D70A7" w14:paraId="0D4BBB08" w14:textId="77777777" w:rsidTr="007C0D0D">
        <w:trPr>
          <w:trHeight w:val="221"/>
          <w:jc w:val="center"/>
        </w:trPr>
        <w:tc>
          <w:tcPr>
            <w:tcW w:w="1021" w:type="dxa"/>
            <w:tcMar>
              <w:top w:w="0" w:type="dxa"/>
              <w:left w:w="0" w:type="dxa"/>
              <w:bottom w:w="0" w:type="dxa"/>
              <w:right w:w="0" w:type="dxa"/>
            </w:tcMar>
            <w:hideMark/>
          </w:tcPr>
          <w:p w14:paraId="1CAE6F09"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2</w:t>
            </w:r>
          </w:p>
        </w:tc>
        <w:tc>
          <w:tcPr>
            <w:tcW w:w="1021" w:type="dxa"/>
            <w:tcMar>
              <w:top w:w="0" w:type="dxa"/>
              <w:left w:w="0" w:type="dxa"/>
              <w:bottom w:w="0" w:type="dxa"/>
              <w:right w:w="0" w:type="dxa"/>
            </w:tcMar>
            <w:hideMark/>
          </w:tcPr>
          <w:p w14:paraId="6AE6685C"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38,06</w:t>
            </w:r>
          </w:p>
        </w:tc>
        <w:tc>
          <w:tcPr>
            <w:tcW w:w="1021" w:type="dxa"/>
            <w:tcMar>
              <w:top w:w="0" w:type="dxa"/>
              <w:left w:w="0" w:type="dxa"/>
              <w:bottom w:w="0" w:type="dxa"/>
              <w:right w:w="0" w:type="dxa"/>
            </w:tcMar>
            <w:hideMark/>
          </w:tcPr>
          <w:p w14:paraId="243E8530"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24,55</w:t>
            </w:r>
          </w:p>
        </w:tc>
        <w:tc>
          <w:tcPr>
            <w:tcW w:w="1021" w:type="dxa"/>
            <w:tcMar>
              <w:top w:w="0" w:type="dxa"/>
              <w:left w:w="0" w:type="dxa"/>
              <w:bottom w:w="0" w:type="dxa"/>
              <w:right w:w="0" w:type="dxa"/>
            </w:tcMar>
            <w:hideMark/>
          </w:tcPr>
          <w:p w14:paraId="0D884E58"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814,4</w:t>
            </w:r>
          </w:p>
        </w:tc>
        <w:tc>
          <w:tcPr>
            <w:tcW w:w="1021" w:type="dxa"/>
            <w:tcMar>
              <w:top w:w="0" w:type="dxa"/>
              <w:left w:w="0" w:type="dxa"/>
              <w:bottom w:w="0" w:type="dxa"/>
              <w:right w:w="0" w:type="dxa"/>
            </w:tcMar>
            <w:hideMark/>
          </w:tcPr>
          <w:p w14:paraId="41323985"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1072,86</w:t>
            </w:r>
          </w:p>
        </w:tc>
        <w:tc>
          <w:tcPr>
            <w:tcW w:w="1021" w:type="dxa"/>
            <w:tcMar>
              <w:top w:w="0" w:type="dxa"/>
              <w:left w:w="0" w:type="dxa"/>
              <w:bottom w:w="0" w:type="dxa"/>
              <w:right w:w="0" w:type="dxa"/>
            </w:tcMar>
            <w:hideMark/>
          </w:tcPr>
          <w:p w14:paraId="3ED57BF5"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0,2723</w:t>
            </w:r>
          </w:p>
        </w:tc>
        <w:tc>
          <w:tcPr>
            <w:tcW w:w="1047" w:type="dxa"/>
            <w:gridSpan w:val="2"/>
            <w:tcMar>
              <w:top w:w="0" w:type="dxa"/>
              <w:left w:w="0" w:type="dxa"/>
              <w:bottom w:w="0" w:type="dxa"/>
              <w:right w:w="0" w:type="dxa"/>
            </w:tcMar>
            <w:vAlign w:val="bottom"/>
            <w:hideMark/>
          </w:tcPr>
          <w:p w14:paraId="1F013B46"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1,22</w:t>
            </w:r>
          </w:p>
        </w:tc>
      </w:tr>
      <w:tr w:rsidR="005D70A7" w:rsidRPr="005D70A7" w14:paraId="3C8B0825" w14:textId="77777777" w:rsidTr="007C0D0D">
        <w:trPr>
          <w:trHeight w:val="221"/>
          <w:jc w:val="center"/>
        </w:trPr>
        <w:tc>
          <w:tcPr>
            <w:tcW w:w="1021" w:type="dxa"/>
            <w:tcMar>
              <w:top w:w="0" w:type="dxa"/>
              <w:left w:w="0" w:type="dxa"/>
              <w:bottom w:w="0" w:type="dxa"/>
              <w:right w:w="0" w:type="dxa"/>
            </w:tcMar>
            <w:hideMark/>
          </w:tcPr>
          <w:p w14:paraId="2D52EA23"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3</w:t>
            </w:r>
          </w:p>
        </w:tc>
        <w:tc>
          <w:tcPr>
            <w:tcW w:w="1021" w:type="dxa"/>
            <w:tcMar>
              <w:top w:w="0" w:type="dxa"/>
              <w:left w:w="0" w:type="dxa"/>
              <w:bottom w:w="0" w:type="dxa"/>
              <w:right w:w="0" w:type="dxa"/>
            </w:tcMar>
            <w:hideMark/>
          </w:tcPr>
          <w:p w14:paraId="60ED1E73"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36,34</w:t>
            </w:r>
          </w:p>
        </w:tc>
        <w:tc>
          <w:tcPr>
            <w:tcW w:w="1021" w:type="dxa"/>
            <w:tcMar>
              <w:top w:w="0" w:type="dxa"/>
              <w:left w:w="0" w:type="dxa"/>
              <w:bottom w:w="0" w:type="dxa"/>
              <w:right w:w="0" w:type="dxa"/>
            </w:tcMar>
            <w:hideMark/>
          </w:tcPr>
          <w:p w14:paraId="03B60489"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22,92</w:t>
            </w:r>
          </w:p>
        </w:tc>
        <w:tc>
          <w:tcPr>
            <w:tcW w:w="1021" w:type="dxa"/>
            <w:tcMar>
              <w:top w:w="0" w:type="dxa"/>
              <w:left w:w="0" w:type="dxa"/>
              <w:bottom w:w="0" w:type="dxa"/>
              <w:right w:w="0" w:type="dxa"/>
            </w:tcMar>
            <w:hideMark/>
          </w:tcPr>
          <w:p w14:paraId="78D8BEAD"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786,56</w:t>
            </w:r>
          </w:p>
        </w:tc>
        <w:tc>
          <w:tcPr>
            <w:tcW w:w="1021" w:type="dxa"/>
            <w:tcMar>
              <w:top w:w="0" w:type="dxa"/>
              <w:left w:w="0" w:type="dxa"/>
              <w:bottom w:w="0" w:type="dxa"/>
              <w:right w:w="0" w:type="dxa"/>
            </w:tcMar>
            <w:hideMark/>
          </w:tcPr>
          <w:p w14:paraId="2E17FAEB"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1049,88</w:t>
            </w:r>
          </w:p>
        </w:tc>
        <w:tc>
          <w:tcPr>
            <w:tcW w:w="1021" w:type="dxa"/>
            <w:tcMar>
              <w:top w:w="0" w:type="dxa"/>
              <w:left w:w="0" w:type="dxa"/>
              <w:bottom w:w="0" w:type="dxa"/>
              <w:right w:w="0" w:type="dxa"/>
            </w:tcMar>
            <w:hideMark/>
          </w:tcPr>
          <w:p w14:paraId="6901DDD0"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0,2697</w:t>
            </w:r>
          </w:p>
        </w:tc>
        <w:tc>
          <w:tcPr>
            <w:tcW w:w="1047" w:type="dxa"/>
            <w:gridSpan w:val="2"/>
            <w:tcMar>
              <w:top w:w="0" w:type="dxa"/>
              <w:left w:w="0" w:type="dxa"/>
              <w:bottom w:w="0" w:type="dxa"/>
              <w:right w:w="0" w:type="dxa"/>
            </w:tcMar>
            <w:vAlign w:val="bottom"/>
            <w:hideMark/>
          </w:tcPr>
          <w:p w14:paraId="07A7699B"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1,25</w:t>
            </w:r>
          </w:p>
        </w:tc>
      </w:tr>
      <w:tr w:rsidR="005D70A7" w:rsidRPr="005D70A7" w14:paraId="34B4B58B" w14:textId="77777777" w:rsidTr="007C0D0D">
        <w:trPr>
          <w:trHeight w:val="221"/>
          <w:jc w:val="center"/>
        </w:trPr>
        <w:tc>
          <w:tcPr>
            <w:tcW w:w="1021" w:type="dxa"/>
            <w:tcMar>
              <w:top w:w="0" w:type="dxa"/>
              <w:left w:w="0" w:type="dxa"/>
              <w:bottom w:w="0" w:type="dxa"/>
              <w:right w:w="0" w:type="dxa"/>
            </w:tcMar>
            <w:hideMark/>
          </w:tcPr>
          <w:p w14:paraId="3CC44D0E"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4</w:t>
            </w:r>
          </w:p>
        </w:tc>
        <w:tc>
          <w:tcPr>
            <w:tcW w:w="1021" w:type="dxa"/>
            <w:tcMar>
              <w:top w:w="0" w:type="dxa"/>
              <w:left w:w="0" w:type="dxa"/>
              <w:bottom w:w="0" w:type="dxa"/>
              <w:right w:w="0" w:type="dxa"/>
            </w:tcMar>
            <w:hideMark/>
          </w:tcPr>
          <w:p w14:paraId="51CCF537"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39,33</w:t>
            </w:r>
          </w:p>
        </w:tc>
        <w:tc>
          <w:tcPr>
            <w:tcW w:w="1021" w:type="dxa"/>
            <w:tcMar>
              <w:top w:w="0" w:type="dxa"/>
              <w:left w:w="0" w:type="dxa"/>
              <w:bottom w:w="0" w:type="dxa"/>
              <w:right w:w="0" w:type="dxa"/>
            </w:tcMar>
            <w:hideMark/>
          </w:tcPr>
          <w:p w14:paraId="3EE824BC"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19,66</w:t>
            </w:r>
          </w:p>
        </w:tc>
        <w:tc>
          <w:tcPr>
            <w:tcW w:w="1021" w:type="dxa"/>
            <w:tcMar>
              <w:top w:w="0" w:type="dxa"/>
              <w:left w:w="0" w:type="dxa"/>
              <w:bottom w:w="0" w:type="dxa"/>
              <w:right w:w="0" w:type="dxa"/>
            </w:tcMar>
            <w:hideMark/>
          </w:tcPr>
          <w:p w14:paraId="6AD60D65"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824,76</w:t>
            </w:r>
          </w:p>
        </w:tc>
        <w:tc>
          <w:tcPr>
            <w:tcW w:w="1021" w:type="dxa"/>
            <w:tcMar>
              <w:top w:w="0" w:type="dxa"/>
              <w:left w:w="0" w:type="dxa"/>
              <w:bottom w:w="0" w:type="dxa"/>
              <w:right w:w="0" w:type="dxa"/>
            </w:tcMar>
            <w:hideMark/>
          </w:tcPr>
          <w:p w14:paraId="30CCD860"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967,65</w:t>
            </w:r>
          </w:p>
        </w:tc>
        <w:tc>
          <w:tcPr>
            <w:tcW w:w="1021" w:type="dxa"/>
            <w:tcMar>
              <w:top w:w="0" w:type="dxa"/>
              <w:left w:w="0" w:type="dxa"/>
              <w:bottom w:w="0" w:type="dxa"/>
              <w:right w:w="0" w:type="dxa"/>
            </w:tcMar>
            <w:hideMark/>
          </w:tcPr>
          <w:p w14:paraId="3D9597F1"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0,2654</w:t>
            </w:r>
          </w:p>
        </w:tc>
        <w:tc>
          <w:tcPr>
            <w:tcW w:w="1047" w:type="dxa"/>
            <w:gridSpan w:val="2"/>
            <w:tcMar>
              <w:top w:w="0" w:type="dxa"/>
              <w:left w:w="0" w:type="dxa"/>
              <w:bottom w:w="0" w:type="dxa"/>
              <w:right w:w="0" w:type="dxa"/>
            </w:tcMar>
            <w:vAlign w:val="bottom"/>
            <w:hideMark/>
          </w:tcPr>
          <w:p w14:paraId="2EF2D3D1"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1,25</w:t>
            </w:r>
          </w:p>
        </w:tc>
      </w:tr>
      <w:tr w:rsidR="005D70A7" w:rsidRPr="005D70A7" w14:paraId="0A369CB1" w14:textId="77777777" w:rsidTr="007C0D0D">
        <w:trPr>
          <w:trHeight w:val="221"/>
          <w:jc w:val="center"/>
        </w:trPr>
        <w:tc>
          <w:tcPr>
            <w:tcW w:w="1021" w:type="dxa"/>
            <w:tcBorders>
              <w:bottom w:val="single" w:sz="6" w:space="0" w:color="000000"/>
            </w:tcBorders>
            <w:tcMar>
              <w:top w:w="0" w:type="dxa"/>
              <w:left w:w="0" w:type="dxa"/>
              <w:bottom w:w="0" w:type="dxa"/>
              <w:right w:w="0" w:type="dxa"/>
            </w:tcMar>
            <w:hideMark/>
          </w:tcPr>
          <w:p w14:paraId="13A56D51"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5</w:t>
            </w:r>
          </w:p>
        </w:tc>
        <w:tc>
          <w:tcPr>
            <w:tcW w:w="1021" w:type="dxa"/>
            <w:tcBorders>
              <w:bottom w:val="single" w:sz="6" w:space="0" w:color="000000"/>
            </w:tcBorders>
            <w:tcMar>
              <w:top w:w="0" w:type="dxa"/>
              <w:left w:w="0" w:type="dxa"/>
              <w:bottom w:w="0" w:type="dxa"/>
              <w:right w:w="0" w:type="dxa"/>
            </w:tcMar>
            <w:hideMark/>
          </w:tcPr>
          <w:p w14:paraId="4C5F6B68"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40,09</w:t>
            </w:r>
          </w:p>
        </w:tc>
        <w:tc>
          <w:tcPr>
            <w:tcW w:w="1021" w:type="dxa"/>
            <w:tcBorders>
              <w:bottom w:val="single" w:sz="6" w:space="0" w:color="000000"/>
            </w:tcBorders>
            <w:tcMar>
              <w:top w:w="0" w:type="dxa"/>
              <w:left w:w="0" w:type="dxa"/>
              <w:bottom w:w="0" w:type="dxa"/>
              <w:right w:w="0" w:type="dxa"/>
            </w:tcMar>
            <w:hideMark/>
          </w:tcPr>
          <w:p w14:paraId="03A84A5A"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21,6</w:t>
            </w:r>
          </w:p>
        </w:tc>
        <w:tc>
          <w:tcPr>
            <w:tcW w:w="1021" w:type="dxa"/>
            <w:tcBorders>
              <w:bottom w:val="single" w:sz="6" w:space="0" w:color="000000"/>
            </w:tcBorders>
            <w:tcMar>
              <w:top w:w="0" w:type="dxa"/>
              <w:left w:w="0" w:type="dxa"/>
              <w:bottom w:w="0" w:type="dxa"/>
              <w:right w:w="0" w:type="dxa"/>
            </w:tcMar>
            <w:hideMark/>
          </w:tcPr>
          <w:p w14:paraId="6A3922CE"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827,89</w:t>
            </w:r>
          </w:p>
        </w:tc>
        <w:tc>
          <w:tcPr>
            <w:tcW w:w="1021" w:type="dxa"/>
            <w:tcBorders>
              <w:bottom w:val="single" w:sz="6" w:space="0" w:color="000000"/>
            </w:tcBorders>
            <w:tcMar>
              <w:top w:w="0" w:type="dxa"/>
              <w:left w:w="0" w:type="dxa"/>
              <w:bottom w:w="0" w:type="dxa"/>
              <w:right w:w="0" w:type="dxa"/>
            </w:tcMar>
            <w:hideMark/>
          </w:tcPr>
          <w:p w14:paraId="2CF916F3"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1027,33</w:t>
            </w:r>
          </w:p>
        </w:tc>
        <w:tc>
          <w:tcPr>
            <w:tcW w:w="1021" w:type="dxa"/>
            <w:tcBorders>
              <w:bottom w:val="single" w:sz="6" w:space="0" w:color="000000"/>
            </w:tcBorders>
            <w:tcMar>
              <w:top w:w="0" w:type="dxa"/>
              <w:left w:w="0" w:type="dxa"/>
              <w:bottom w:w="0" w:type="dxa"/>
              <w:right w:w="0" w:type="dxa"/>
            </w:tcMar>
            <w:hideMark/>
          </w:tcPr>
          <w:p w14:paraId="6AF22125"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0,2478</w:t>
            </w:r>
          </w:p>
        </w:tc>
        <w:tc>
          <w:tcPr>
            <w:tcW w:w="1047" w:type="dxa"/>
            <w:gridSpan w:val="2"/>
            <w:tcBorders>
              <w:bottom w:val="single" w:sz="6" w:space="0" w:color="000000"/>
            </w:tcBorders>
            <w:tcMar>
              <w:top w:w="0" w:type="dxa"/>
              <w:left w:w="0" w:type="dxa"/>
              <w:bottom w:w="0" w:type="dxa"/>
              <w:right w:w="0" w:type="dxa"/>
            </w:tcMar>
            <w:vAlign w:val="bottom"/>
            <w:hideMark/>
          </w:tcPr>
          <w:p w14:paraId="65EE8379"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1,25</w:t>
            </w:r>
          </w:p>
        </w:tc>
      </w:tr>
      <w:tr w:rsidR="005D70A7" w:rsidRPr="005D70A7" w14:paraId="7B71F6F0" w14:textId="77777777" w:rsidTr="007C0D0D">
        <w:trPr>
          <w:trHeight w:val="221"/>
          <w:jc w:val="center"/>
        </w:trPr>
        <w:tc>
          <w:tcPr>
            <w:tcW w:w="1021" w:type="dxa"/>
            <w:tcBorders>
              <w:top w:val="single" w:sz="6" w:space="0" w:color="000000"/>
            </w:tcBorders>
            <w:shd w:val="clear" w:color="auto" w:fill="F3F3F3"/>
            <w:tcMar>
              <w:top w:w="0" w:type="dxa"/>
              <w:left w:w="0" w:type="dxa"/>
              <w:bottom w:w="0" w:type="dxa"/>
              <w:right w:w="0" w:type="dxa"/>
            </w:tcMar>
            <w:hideMark/>
          </w:tcPr>
          <w:p w14:paraId="6C25DCB5"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Average</w:t>
            </w:r>
          </w:p>
        </w:tc>
        <w:tc>
          <w:tcPr>
            <w:tcW w:w="1021" w:type="dxa"/>
            <w:tcBorders>
              <w:top w:val="single" w:sz="6" w:space="0" w:color="000000"/>
            </w:tcBorders>
            <w:shd w:val="clear" w:color="auto" w:fill="F3F3F3"/>
            <w:tcMar>
              <w:top w:w="0" w:type="dxa"/>
              <w:left w:w="0" w:type="dxa"/>
              <w:bottom w:w="0" w:type="dxa"/>
              <w:right w:w="0" w:type="dxa"/>
            </w:tcMar>
            <w:hideMark/>
          </w:tcPr>
          <w:p w14:paraId="0391049E"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38,4</w:t>
            </w:r>
          </w:p>
        </w:tc>
        <w:tc>
          <w:tcPr>
            <w:tcW w:w="1021" w:type="dxa"/>
            <w:tcBorders>
              <w:top w:val="single" w:sz="6" w:space="0" w:color="000000"/>
            </w:tcBorders>
            <w:shd w:val="clear" w:color="auto" w:fill="F3F3F3"/>
            <w:tcMar>
              <w:top w:w="0" w:type="dxa"/>
              <w:left w:w="0" w:type="dxa"/>
              <w:bottom w:w="0" w:type="dxa"/>
              <w:right w:w="0" w:type="dxa"/>
            </w:tcMar>
            <w:hideMark/>
          </w:tcPr>
          <w:p w14:paraId="6D6AD46C"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22,09</w:t>
            </w:r>
          </w:p>
        </w:tc>
        <w:tc>
          <w:tcPr>
            <w:tcW w:w="1021" w:type="dxa"/>
            <w:tcBorders>
              <w:top w:val="single" w:sz="6" w:space="0" w:color="000000"/>
            </w:tcBorders>
            <w:shd w:val="clear" w:color="auto" w:fill="F3F3F3"/>
            <w:tcMar>
              <w:top w:w="0" w:type="dxa"/>
              <w:left w:w="0" w:type="dxa"/>
              <w:bottom w:w="0" w:type="dxa"/>
              <w:right w:w="0" w:type="dxa"/>
            </w:tcMar>
            <w:hideMark/>
          </w:tcPr>
          <w:p w14:paraId="366427D3"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809,93</w:t>
            </w:r>
          </w:p>
        </w:tc>
        <w:tc>
          <w:tcPr>
            <w:tcW w:w="1021" w:type="dxa"/>
            <w:tcBorders>
              <w:top w:val="single" w:sz="6" w:space="0" w:color="000000"/>
            </w:tcBorders>
            <w:shd w:val="clear" w:color="auto" w:fill="F3F3F3"/>
            <w:tcMar>
              <w:top w:w="0" w:type="dxa"/>
              <w:left w:w="0" w:type="dxa"/>
              <w:bottom w:w="0" w:type="dxa"/>
              <w:right w:w="0" w:type="dxa"/>
            </w:tcMar>
            <w:hideMark/>
          </w:tcPr>
          <w:p w14:paraId="3B589568"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1030,21</w:t>
            </w:r>
          </w:p>
        </w:tc>
        <w:tc>
          <w:tcPr>
            <w:tcW w:w="1021" w:type="dxa"/>
            <w:tcBorders>
              <w:top w:val="single" w:sz="6" w:space="0" w:color="000000"/>
            </w:tcBorders>
            <w:shd w:val="clear" w:color="auto" w:fill="F3F3F3"/>
            <w:tcMar>
              <w:top w:w="0" w:type="dxa"/>
              <w:left w:w="0" w:type="dxa"/>
              <w:bottom w:w="0" w:type="dxa"/>
              <w:right w:w="0" w:type="dxa"/>
            </w:tcMar>
            <w:hideMark/>
          </w:tcPr>
          <w:p w14:paraId="506882C2"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0,265</w:t>
            </w:r>
          </w:p>
        </w:tc>
        <w:tc>
          <w:tcPr>
            <w:tcW w:w="1047" w:type="dxa"/>
            <w:gridSpan w:val="2"/>
            <w:tcBorders>
              <w:top w:val="single" w:sz="6" w:space="0" w:color="000000"/>
            </w:tcBorders>
            <w:shd w:val="clear" w:color="auto" w:fill="F3F3F3"/>
            <w:tcMar>
              <w:top w:w="0" w:type="dxa"/>
              <w:left w:w="0" w:type="dxa"/>
              <w:bottom w:w="0" w:type="dxa"/>
              <w:right w:w="0" w:type="dxa"/>
            </w:tcMar>
            <w:vAlign w:val="bottom"/>
            <w:hideMark/>
          </w:tcPr>
          <w:p w14:paraId="546D2D5C"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1,25</w:t>
            </w:r>
          </w:p>
        </w:tc>
      </w:tr>
      <w:tr w:rsidR="005D70A7" w:rsidRPr="005D70A7" w14:paraId="429D74F4" w14:textId="77777777" w:rsidTr="007C0D0D">
        <w:trPr>
          <w:trHeight w:val="221"/>
          <w:jc w:val="center"/>
        </w:trPr>
        <w:tc>
          <w:tcPr>
            <w:tcW w:w="1021" w:type="dxa"/>
            <w:tcBorders>
              <w:bottom w:val="single" w:sz="6" w:space="0" w:color="000000"/>
            </w:tcBorders>
            <w:tcMar>
              <w:top w:w="0" w:type="dxa"/>
              <w:left w:w="0" w:type="dxa"/>
              <w:bottom w:w="0" w:type="dxa"/>
              <w:right w:w="0" w:type="dxa"/>
            </w:tcMar>
            <w:hideMark/>
          </w:tcPr>
          <w:p w14:paraId="5E1B5131"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D%</w:t>
            </w:r>
          </w:p>
        </w:tc>
        <w:tc>
          <w:tcPr>
            <w:tcW w:w="1021" w:type="dxa"/>
            <w:gridSpan w:val="2"/>
            <w:tcBorders>
              <w:bottom w:val="single" w:sz="6" w:space="0" w:color="000000"/>
            </w:tcBorders>
            <w:tcMar>
              <w:top w:w="0" w:type="dxa"/>
              <w:left w:w="0" w:type="dxa"/>
              <w:bottom w:w="0" w:type="dxa"/>
              <w:right w:w="0" w:type="dxa"/>
            </w:tcMar>
            <w:hideMark/>
          </w:tcPr>
          <w:p w14:paraId="5906B651"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-42%</w:t>
            </w:r>
          </w:p>
        </w:tc>
        <w:tc>
          <w:tcPr>
            <w:tcW w:w="1021" w:type="dxa"/>
            <w:gridSpan w:val="2"/>
            <w:tcBorders>
              <w:bottom w:val="single" w:sz="6" w:space="0" w:color="000000"/>
            </w:tcBorders>
            <w:tcMar>
              <w:top w:w="0" w:type="dxa"/>
              <w:left w:w="0" w:type="dxa"/>
              <w:bottom w:w="0" w:type="dxa"/>
              <w:right w:w="0" w:type="dxa"/>
            </w:tcMar>
            <w:hideMark/>
          </w:tcPr>
          <w:p w14:paraId="718D2261"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27,20%</w:t>
            </w:r>
          </w:p>
        </w:tc>
        <w:tc>
          <w:tcPr>
            <w:tcW w:w="1021" w:type="dxa"/>
            <w:gridSpan w:val="3"/>
            <w:tcBorders>
              <w:bottom w:val="single" w:sz="6" w:space="0" w:color="000000"/>
            </w:tcBorders>
            <w:tcMar>
              <w:top w:w="0" w:type="dxa"/>
              <w:left w:w="0" w:type="dxa"/>
              <w:bottom w:w="0" w:type="dxa"/>
              <w:right w:w="0" w:type="dxa"/>
            </w:tcMar>
            <w:hideMark/>
          </w:tcPr>
          <w:p w14:paraId="4E6CE517"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371,70%</w:t>
            </w:r>
          </w:p>
        </w:tc>
      </w:tr>
    </w:tbl>
    <w:p w14:paraId="4704B962" w14:textId="77777777" w:rsidR="00863BD3" w:rsidRPr="005D70A7" w:rsidRDefault="00863BD3" w:rsidP="00DD49DC">
      <w:pPr>
        <w:tabs>
          <w:tab w:val="left" w:pos="1080"/>
        </w:tabs>
        <w:jc w:val="both"/>
        <w:rPr>
          <w:rFonts w:ascii="Arial" w:hAnsi="Arial" w:cs="Arial"/>
          <w:b/>
        </w:rPr>
      </w:pPr>
    </w:p>
    <w:p w14:paraId="24FB25F4" w14:textId="77777777" w:rsidR="007C0D0D" w:rsidRDefault="007C0D0D" w:rsidP="007C0D0D">
      <w:pPr>
        <w:pStyle w:val="Body"/>
        <w:spacing w:after="0"/>
        <w:rPr>
          <w:rFonts w:ascii="Arial" w:hAnsi="Arial" w:cs="Arial"/>
        </w:rPr>
      </w:pPr>
      <w:r w:rsidRPr="007C0D0D">
        <w:rPr>
          <w:rFonts w:ascii="Arial" w:hAnsi="Arial" w:cs="Arial"/>
        </w:rPr>
        <w:t>It can be observed in Table 1 that the mean contrast with the grid was 1030.21, significantly higher than the 809.93 obtained without the grid, representing an increase of 27.20%. This result highlights the grid's ability to enhance the definition of areas of interest, a critical element for accurate diagnoses in radiographic imaging.</w:t>
      </w:r>
    </w:p>
    <w:p w14:paraId="7BAA3D20" w14:textId="77777777" w:rsidR="007C0D0D" w:rsidRPr="007C0D0D" w:rsidRDefault="007C0D0D" w:rsidP="007C0D0D">
      <w:pPr>
        <w:pStyle w:val="Body"/>
        <w:spacing w:after="0"/>
        <w:rPr>
          <w:rFonts w:ascii="Arial" w:hAnsi="Arial" w:cs="Arial"/>
        </w:rPr>
      </w:pPr>
    </w:p>
    <w:p w14:paraId="51EBC30D" w14:textId="77777777" w:rsidR="007C0D0D" w:rsidRPr="007C0D0D" w:rsidRDefault="007C0D0D" w:rsidP="007C0D0D">
      <w:pPr>
        <w:pStyle w:val="Body"/>
        <w:spacing w:after="0"/>
        <w:rPr>
          <w:rFonts w:ascii="Arial" w:hAnsi="Arial" w:cs="Arial"/>
        </w:rPr>
      </w:pPr>
      <w:r w:rsidRPr="007C0D0D">
        <w:rPr>
          <w:rFonts w:ascii="Arial" w:hAnsi="Arial" w:cs="Arial"/>
        </w:rPr>
        <w:t xml:space="preserve">The use of the grid also led to a considerable increase in </w:t>
      </w:r>
      <w:proofErr w:type="spellStart"/>
      <w:proofErr w:type="gramStart"/>
      <w:r w:rsidRPr="007C0D0D">
        <w:rPr>
          <w:rFonts w:ascii="Arial" w:hAnsi="Arial" w:cs="Arial"/>
        </w:rPr>
        <w:t>K</w:t>
      </w:r>
      <w:r w:rsidRPr="008658BD">
        <w:rPr>
          <w:rFonts w:ascii="Arial" w:hAnsi="Arial" w:cs="Arial"/>
          <w:vertAlign w:val="subscript"/>
        </w:rPr>
        <w:t>a,e</w:t>
      </w:r>
      <w:proofErr w:type="spellEnd"/>
      <w:r w:rsidRPr="007C0D0D">
        <w:rPr>
          <w:rFonts w:ascii="Arial" w:hAnsi="Arial" w:cs="Arial"/>
        </w:rPr>
        <w:t>.</w:t>
      </w:r>
      <w:proofErr w:type="gramEnd"/>
      <w:r w:rsidRPr="007C0D0D">
        <w:rPr>
          <w:rFonts w:ascii="Arial" w:hAnsi="Arial" w:cs="Arial"/>
        </w:rPr>
        <w:t xml:space="preserve"> While the average dose without the grid was 0.265 </w:t>
      </w:r>
      <w:proofErr w:type="spellStart"/>
      <w:r w:rsidRPr="007C0D0D">
        <w:rPr>
          <w:rFonts w:ascii="Arial" w:hAnsi="Arial" w:cs="Arial"/>
        </w:rPr>
        <w:t>mGy</w:t>
      </w:r>
      <w:proofErr w:type="spellEnd"/>
      <w:r w:rsidRPr="007C0D0D">
        <w:rPr>
          <w:rFonts w:ascii="Arial" w:hAnsi="Arial" w:cs="Arial"/>
        </w:rPr>
        <w:t xml:space="preserve">, it reached 1.25 </w:t>
      </w:r>
      <w:proofErr w:type="spellStart"/>
      <w:r w:rsidRPr="007C0D0D">
        <w:rPr>
          <w:rFonts w:ascii="Arial" w:hAnsi="Arial" w:cs="Arial"/>
        </w:rPr>
        <w:t>mGy</w:t>
      </w:r>
      <w:proofErr w:type="spellEnd"/>
      <w:r w:rsidRPr="007C0D0D">
        <w:rPr>
          <w:rFonts w:ascii="Arial" w:hAnsi="Arial" w:cs="Arial"/>
        </w:rPr>
        <w:t xml:space="preserve"> with the grid, representing a 371.7% increase. This highlights the need for careful consideration of the trade-off between improved image quality and the risks associated with patient radiation exposure.</w:t>
      </w:r>
    </w:p>
    <w:p w14:paraId="5CA6B984" w14:textId="77777777" w:rsidR="007C0D0D" w:rsidRDefault="007C0D0D" w:rsidP="007C0D0D">
      <w:pPr>
        <w:pStyle w:val="Body"/>
        <w:spacing w:after="0"/>
        <w:rPr>
          <w:rFonts w:ascii="Arial" w:hAnsi="Arial" w:cs="Arial"/>
        </w:rPr>
      </w:pPr>
      <w:r w:rsidRPr="007C0D0D">
        <w:rPr>
          <w:rFonts w:ascii="Arial" w:hAnsi="Arial" w:cs="Arial"/>
        </w:rPr>
        <w:t>On the other hand, SNR showed a 42% reduction with the grid, decreasing from 38.40 to 22.09, indicating an increase in image degradation, which may compromise overall image quality despite superior contrast.</w:t>
      </w:r>
    </w:p>
    <w:p w14:paraId="0F31C1FA" w14:textId="77777777" w:rsidR="007C0D0D" w:rsidRPr="007C0D0D" w:rsidRDefault="007C0D0D" w:rsidP="007C0D0D">
      <w:pPr>
        <w:pStyle w:val="Body"/>
        <w:spacing w:after="0"/>
        <w:rPr>
          <w:rFonts w:ascii="Arial" w:hAnsi="Arial" w:cs="Arial"/>
        </w:rPr>
      </w:pPr>
    </w:p>
    <w:p w14:paraId="0327D719" w14:textId="77777777" w:rsidR="007C0D0D" w:rsidRDefault="007C0D0D" w:rsidP="007C0D0D">
      <w:pPr>
        <w:pStyle w:val="Body"/>
        <w:spacing w:after="0"/>
        <w:rPr>
          <w:rFonts w:ascii="Arial" w:hAnsi="Arial" w:cs="Arial"/>
        </w:rPr>
      </w:pPr>
      <w:r w:rsidRPr="007C0D0D">
        <w:rPr>
          <w:rFonts w:ascii="Arial" w:hAnsi="Arial" w:cs="Arial"/>
        </w:rPr>
        <w:t xml:space="preserve">When comparing our results with those of Cassol et al. (2024), both studies demonstrate the effectiveness of anti-scatter grids in increasing contrast and </w:t>
      </w:r>
      <w:proofErr w:type="spellStart"/>
      <w:r w:rsidRPr="007C0D0D">
        <w:rPr>
          <w:rFonts w:ascii="Arial" w:hAnsi="Arial" w:cs="Arial"/>
        </w:rPr>
        <w:t>K</w:t>
      </w:r>
      <w:r w:rsidRPr="008658BD">
        <w:rPr>
          <w:rFonts w:ascii="Arial" w:hAnsi="Arial" w:cs="Arial"/>
          <w:vertAlign w:val="subscript"/>
        </w:rPr>
        <w:t>a,e</w:t>
      </w:r>
      <w:proofErr w:type="spellEnd"/>
      <w:r w:rsidRPr="007C0D0D">
        <w:rPr>
          <w:rFonts w:ascii="Arial" w:hAnsi="Arial" w:cs="Arial"/>
        </w:rPr>
        <w:t>, aligning with the literature (Dance et al., 2014). However, while Cassol et al. reported noise reduction in knee radiographs, our chest radiograph results did not follow this trend. This difference can be attributed to several factors, including variations in anatomical regions studied, radiographic techniques, protocols used, and equipment characteristics.</w:t>
      </w:r>
    </w:p>
    <w:p w14:paraId="4C1524C6" w14:textId="77777777" w:rsidR="007C0D0D" w:rsidRPr="007C0D0D" w:rsidRDefault="007C0D0D" w:rsidP="007C0D0D">
      <w:pPr>
        <w:pStyle w:val="Body"/>
        <w:spacing w:after="0"/>
        <w:rPr>
          <w:rFonts w:ascii="Arial" w:hAnsi="Arial" w:cs="Arial"/>
        </w:rPr>
      </w:pPr>
    </w:p>
    <w:p w14:paraId="2A737AE7" w14:textId="77777777" w:rsidR="007C0D0D" w:rsidRDefault="007C0D0D" w:rsidP="007C0D0D">
      <w:pPr>
        <w:pStyle w:val="Body"/>
        <w:spacing w:after="0"/>
        <w:rPr>
          <w:rFonts w:ascii="Arial" w:hAnsi="Arial" w:cs="Arial"/>
        </w:rPr>
      </w:pPr>
      <w:r w:rsidRPr="007C0D0D">
        <w:rPr>
          <w:rFonts w:ascii="Arial" w:hAnsi="Arial" w:cs="Arial"/>
        </w:rPr>
        <w:t>The findings of this study are consistent with previous research, emphasizing the importance of high contrast for effective differentiation of tissues and anatomical structures (</w:t>
      </w:r>
      <w:proofErr w:type="spellStart"/>
      <w:r w:rsidRPr="007C0D0D">
        <w:rPr>
          <w:rFonts w:ascii="Arial" w:hAnsi="Arial" w:cs="Arial"/>
        </w:rPr>
        <w:t>Tompe</w:t>
      </w:r>
      <w:proofErr w:type="spellEnd"/>
      <w:r w:rsidRPr="007C0D0D">
        <w:rPr>
          <w:rFonts w:ascii="Arial" w:hAnsi="Arial" w:cs="Arial"/>
        </w:rPr>
        <w:t xml:space="preserve">; </w:t>
      </w:r>
      <w:proofErr w:type="spellStart"/>
      <w:r w:rsidRPr="007C0D0D">
        <w:rPr>
          <w:rFonts w:ascii="Arial" w:hAnsi="Arial" w:cs="Arial"/>
        </w:rPr>
        <w:t>Sargar</w:t>
      </w:r>
      <w:proofErr w:type="spellEnd"/>
      <w:r w:rsidRPr="007C0D0D">
        <w:rPr>
          <w:rFonts w:ascii="Arial" w:hAnsi="Arial" w:cs="Arial"/>
        </w:rPr>
        <w:t>, 2020). This scenario underscores the need for a careful risk-benefit analysis tailored to clinical and diagnostic requirements, prioritizing both image quality and patient safety.</w:t>
      </w:r>
    </w:p>
    <w:p w14:paraId="23C43693" w14:textId="77777777" w:rsidR="007C0D0D" w:rsidRPr="007C0D0D" w:rsidRDefault="007C0D0D" w:rsidP="007C0D0D">
      <w:pPr>
        <w:pStyle w:val="Body"/>
        <w:spacing w:after="0"/>
        <w:rPr>
          <w:rFonts w:ascii="Arial" w:hAnsi="Arial" w:cs="Arial"/>
        </w:rPr>
      </w:pPr>
    </w:p>
    <w:p w14:paraId="39F8A935" w14:textId="609B3AE9" w:rsidR="00E053D0" w:rsidRDefault="007C0D0D" w:rsidP="00441B6F">
      <w:pPr>
        <w:pStyle w:val="Body"/>
        <w:spacing w:after="0"/>
        <w:rPr>
          <w:rFonts w:ascii="Arial" w:hAnsi="Arial" w:cs="Arial"/>
        </w:rPr>
      </w:pPr>
      <w:r w:rsidRPr="007C0D0D">
        <w:rPr>
          <w:rFonts w:ascii="Arial" w:hAnsi="Arial" w:cs="Arial"/>
        </w:rPr>
        <w:t xml:space="preserve">Moreover, the results support Ferreira (2017), who emphasized the importance of anti-scatter grids for obtaining high diagnostic-quality images. Thus, in examinations requiring high precision, the benefits of using grids often outweigh the risks associated with increased </w:t>
      </w:r>
      <w:proofErr w:type="spellStart"/>
      <w:proofErr w:type="gramStart"/>
      <w:r w:rsidRPr="007C0D0D">
        <w:rPr>
          <w:rFonts w:ascii="Arial" w:hAnsi="Arial" w:cs="Arial"/>
        </w:rPr>
        <w:t>K</w:t>
      </w:r>
      <w:r w:rsidRPr="008658BD">
        <w:rPr>
          <w:rFonts w:ascii="Arial" w:hAnsi="Arial" w:cs="Arial"/>
          <w:vertAlign w:val="subscript"/>
        </w:rPr>
        <w:t>a,e</w:t>
      </w:r>
      <w:proofErr w:type="spellEnd"/>
      <w:proofErr w:type="gramEnd"/>
      <w:r w:rsidRPr="007C0D0D">
        <w:rPr>
          <w:rFonts w:ascii="Arial" w:hAnsi="Arial" w:cs="Arial"/>
        </w:rPr>
        <w:t>, highlighting their significance in high-demand diagnostic contexts. Nonetheless, the clinical decision between performing a bedside chest radiograph and transporting the patient to the radiographic table requires a thorough assessment by a multidisciplinary team, including physicians and nurses. The attending physician evaluates the patient’s clinical condition and the risks associated with transport, weighing them against the need for high-quality diagnostic images. Radiology professionals, in turn, employ optimized techniques to minimize image quality loss in bedside examinations. Although our study demonstrates that the signal-to-noise ratio is preserved, a slight reduction in contrast is observed in bedside exams. However, patient transport carries significant risks, including falls and hemodynamic instability. The implementation of strict safety protocols and interprofessional collaboration is essential to ensure a safe and effective examination, aiming to optimize diagnostic outcomes.</w:t>
      </w:r>
    </w:p>
    <w:p w14:paraId="1380344B" w14:textId="77777777" w:rsidR="00790ADA" w:rsidRPr="00FB3A86" w:rsidRDefault="00790ADA" w:rsidP="00441B6F">
      <w:pPr>
        <w:pStyle w:val="Body"/>
        <w:spacing w:after="0"/>
        <w:rPr>
          <w:rFonts w:ascii="Arial" w:hAnsi="Arial" w:cs="Arial"/>
        </w:rPr>
      </w:pPr>
    </w:p>
    <w:p w14:paraId="3862D32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24B3198" w14:textId="77777777" w:rsidR="00790ADA" w:rsidRPr="00FB3A86" w:rsidRDefault="00790ADA" w:rsidP="00441B6F">
      <w:pPr>
        <w:pStyle w:val="ConcHead"/>
        <w:spacing w:after="0"/>
        <w:jc w:val="both"/>
        <w:rPr>
          <w:rFonts w:ascii="Arial" w:hAnsi="Arial" w:cs="Arial"/>
        </w:rPr>
      </w:pPr>
    </w:p>
    <w:p w14:paraId="38A909C3" w14:textId="6DF34C4A" w:rsidR="007C0D0D" w:rsidRDefault="007C0D0D" w:rsidP="007C0D0D">
      <w:pPr>
        <w:pStyle w:val="Body"/>
        <w:spacing w:after="0"/>
        <w:rPr>
          <w:rFonts w:ascii="Arial" w:hAnsi="Arial" w:cs="Arial"/>
        </w:rPr>
      </w:pPr>
      <w:r w:rsidRPr="007C0D0D">
        <w:rPr>
          <w:rFonts w:ascii="Arial" w:hAnsi="Arial" w:cs="Arial"/>
        </w:rPr>
        <w:t xml:space="preserve">The results of this study demonstrate that, in chest radiographic exams conducted in an examination room, the use of anti-scatter grids significantly enhances radiographic contrast. </w:t>
      </w:r>
      <w:r w:rsidRPr="007C0D0D">
        <w:rPr>
          <w:rFonts w:ascii="Arial" w:hAnsi="Arial" w:cs="Arial"/>
        </w:rPr>
        <w:lastRenderedPageBreak/>
        <w:t>However, a reduction in SNR was noted compared to images acquired at the bedside without a grid. The decision to use a grid should be individualized, balancing the need for high diagnostic accuracy with radiation protection considerations. It should also be guided by the physician's clinical judgment to ensure patient safety and minimize risks, ultimately achieving a secure and effective diagnostic procedure.</w:t>
      </w:r>
    </w:p>
    <w:p w14:paraId="79B48243" w14:textId="77777777" w:rsidR="007C0D0D" w:rsidRPr="007C0D0D" w:rsidRDefault="007C0D0D" w:rsidP="007C0D0D">
      <w:pPr>
        <w:pStyle w:val="Body"/>
        <w:spacing w:after="0"/>
        <w:rPr>
          <w:rFonts w:ascii="Arial" w:hAnsi="Arial" w:cs="Arial"/>
        </w:rPr>
      </w:pPr>
    </w:p>
    <w:p w14:paraId="618456F4" w14:textId="47E85BA6" w:rsidR="00790ADA" w:rsidRDefault="007C0D0D" w:rsidP="007C0D0D">
      <w:pPr>
        <w:pStyle w:val="Body"/>
        <w:spacing w:after="0"/>
        <w:rPr>
          <w:rFonts w:ascii="Arial" w:hAnsi="Arial" w:cs="Arial"/>
        </w:rPr>
      </w:pPr>
      <w:r w:rsidRPr="007C0D0D">
        <w:rPr>
          <w:rFonts w:ascii="Arial" w:hAnsi="Arial" w:cs="Arial"/>
        </w:rPr>
        <w:t xml:space="preserve">Future studies involving different imaging systems could help generalize the findings, while the implementation of standardized acquisition protocols may contribute to improving image quality and reducing </w:t>
      </w:r>
      <w:proofErr w:type="spellStart"/>
      <w:r w:rsidRPr="007C0D0D">
        <w:rPr>
          <w:rFonts w:ascii="Arial" w:hAnsi="Arial" w:cs="Arial"/>
        </w:rPr>
        <w:t>K</w:t>
      </w:r>
      <w:r w:rsidRPr="007C0D0D">
        <w:rPr>
          <w:rFonts w:ascii="Arial" w:hAnsi="Arial" w:cs="Arial"/>
          <w:vertAlign w:val="subscript"/>
        </w:rPr>
        <w:t>a,e</w:t>
      </w:r>
      <w:proofErr w:type="spellEnd"/>
      <w:r w:rsidRPr="007C0D0D">
        <w:rPr>
          <w:rFonts w:ascii="Arial" w:hAnsi="Arial" w:cs="Arial"/>
        </w:rPr>
        <w:t>.</w:t>
      </w:r>
    </w:p>
    <w:p w14:paraId="689CA4F5" w14:textId="77777777" w:rsidR="007C0D0D" w:rsidRDefault="007C0D0D" w:rsidP="007C0D0D">
      <w:pPr>
        <w:pStyle w:val="Body"/>
        <w:spacing w:after="0"/>
        <w:rPr>
          <w:rFonts w:ascii="Arial" w:hAnsi="Arial" w:cs="Arial"/>
        </w:rPr>
      </w:pPr>
    </w:p>
    <w:p w14:paraId="16882B03" w14:textId="3A91BDFA" w:rsidR="00860000" w:rsidRDefault="00860000" w:rsidP="00441B6F">
      <w:pPr>
        <w:pStyle w:val="ReferHead"/>
        <w:spacing w:after="0"/>
        <w:jc w:val="both"/>
        <w:rPr>
          <w:rFonts w:ascii="Arial" w:hAnsi="Arial" w:cs="Arial"/>
        </w:rPr>
      </w:pPr>
    </w:p>
    <w:p w14:paraId="0431EA61" w14:textId="77777777" w:rsidR="00273751" w:rsidRDefault="00273751" w:rsidP="00441B6F">
      <w:pPr>
        <w:pStyle w:val="ReferHead"/>
        <w:spacing w:after="0"/>
        <w:jc w:val="both"/>
        <w:rPr>
          <w:rFonts w:ascii="Arial" w:hAnsi="Arial" w:cs="Arial"/>
        </w:rPr>
      </w:pPr>
    </w:p>
    <w:p w14:paraId="2592A734" w14:textId="4D453F6A" w:rsidR="003763C1" w:rsidRPr="005C1A1F" w:rsidRDefault="00B01FCD" w:rsidP="005C1A1F">
      <w:pPr>
        <w:pStyle w:val="ReferHead"/>
        <w:spacing w:after="0"/>
        <w:jc w:val="both"/>
        <w:rPr>
          <w:rFonts w:ascii="Arial" w:hAnsi="Arial" w:cs="Arial"/>
        </w:rPr>
      </w:pPr>
      <w:r w:rsidRPr="00FB3A86">
        <w:rPr>
          <w:rFonts w:ascii="Arial" w:hAnsi="Arial" w:cs="Arial"/>
        </w:rPr>
        <w:t>References</w:t>
      </w:r>
    </w:p>
    <w:p w14:paraId="6B289695" w14:textId="77777777" w:rsidR="00441B6F" w:rsidRPr="008658BD" w:rsidRDefault="00441B6F" w:rsidP="00441B6F">
      <w:pPr>
        <w:pStyle w:val="Body"/>
        <w:spacing w:after="0"/>
        <w:jc w:val="left"/>
      </w:pPr>
    </w:p>
    <w:p w14:paraId="6557374F" w14:textId="77777777" w:rsidR="00F57A7E" w:rsidRPr="008658BD" w:rsidRDefault="00F57A7E" w:rsidP="00F57A7E">
      <w:pPr>
        <w:jc w:val="both"/>
        <w:rPr>
          <w:rFonts w:ascii="Arial" w:hAnsi="Arial" w:cs="Arial"/>
          <w:lang w:val="pt-BR" w:eastAsia="pt-BR"/>
        </w:rPr>
      </w:pPr>
      <w:r w:rsidRPr="00F57A7E">
        <w:rPr>
          <w:rFonts w:ascii="Arial" w:hAnsi="Arial" w:cs="Arial"/>
          <w:lang w:val="pt-BR" w:eastAsia="pt-BR"/>
        </w:rPr>
        <w:t>Bushberg, J. T., &amp; Boone, J. M. (2011). The essential physics of medical imaging. Lippincott Williams &amp; Wilkins.</w:t>
      </w:r>
    </w:p>
    <w:p w14:paraId="6152955F" w14:textId="77777777" w:rsidR="00B01FCD" w:rsidRPr="008658BD" w:rsidRDefault="00B01FCD" w:rsidP="00441B6F">
      <w:pPr>
        <w:pStyle w:val="Appendix"/>
        <w:spacing w:after="0"/>
        <w:jc w:val="both"/>
        <w:rPr>
          <w:rFonts w:ascii="Arial" w:hAnsi="Arial" w:cs="Arial"/>
          <w:b w:val="0"/>
          <w:sz w:val="20"/>
        </w:rPr>
      </w:pPr>
    </w:p>
    <w:p w14:paraId="31902F9C" w14:textId="77777777" w:rsidR="00F57A7E" w:rsidRPr="008658BD" w:rsidRDefault="00F57A7E" w:rsidP="00F57A7E">
      <w:pPr>
        <w:jc w:val="both"/>
        <w:rPr>
          <w:rFonts w:ascii="Arial" w:hAnsi="Arial" w:cs="Arial"/>
          <w:lang w:val="pt-BR" w:eastAsia="pt-BR"/>
        </w:rPr>
      </w:pPr>
      <w:r w:rsidRPr="00F57A7E">
        <w:rPr>
          <w:rFonts w:ascii="Arial" w:hAnsi="Arial" w:cs="Arial"/>
          <w:lang w:val="pt-BR" w:eastAsia="pt-BR"/>
        </w:rPr>
        <w:t>Cassol, L. V., Favarin, N. N., De Bail, F., Buss, E. L. R., Nogueira, L. P. T., da Costa Rosa, J. F., &amp; Claus, T. V. (2024). The Influence of Anti-scatter Grid Usage for Knee Computerized Radiography. Physical Science International Journal, 28(4), 29-41.</w:t>
      </w:r>
    </w:p>
    <w:p w14:paraId="4F8DBB9C" w14:textId="77777777" w:rsidR="00F57A7E" w:rsidRPr="008658BD" w:rsidRDefault="00F57A7E" w:rsidP="00441B6F">
      <w:pPr>
        <w:pStyle w:val="Appendix"/>
        <w:spacing w:after="0"/>
        <w:jc w:val="both"/>
        <w:rPr>
          <w:rFonts w:ascii="Arial" w:hAnsi="Arial" w:cs="Arial"/>
          <w:b w:val="0"/>
          <w:sz w:val="20"/>
        </w:rPr>
      </w:pPr>
    </w:p>
    <w:p w14:paraId="7BE4DBAF" w14:textId="77777777" w:rsidR="00F57A7E" w:rsidRPr="008658BD" w:rsidRDefault="00F57A7E" w:rsidP="00F57A7E">
      <w:pPr>
        <w:jc w:val="both"/>
        <w:rPr>
          <w:rFonts w:ascii="Arial" w:hAnsi="Arial" w:cs="Arial"/>
          <w:lang w:val="pt-BR" w:eastAsia="pt-BR"/>
        </w:rPr>
      </w:pPr>
      <w:r w:rsidRPr="00F57A7E">
        <w:rPr>
          <w:rFonts w:ascii="Arial" w:hAnsi="Arial" w:cs="Arial"/>
          <w:lang w:val="pt-BR" w:eastAsia="pt-BR"/>
        </w:rPr>
        <w:t>Cè, M., Oliva, G., Rabaiotti, F. L., Macrì, L., Zollo, S., Aquila, A., &amp; Cellina, M. (2024). Portable dynamic chest radiography: literature review and potential bedside applications. Medical Sciences, 12(1), 10.</w:t>
      </w:r>
    </w:p>
    <w:p w14:paraId="025F2088" w14:textId="77777777" w:rsidR="00F57A7E" w:rsidRPr="008658BD" w:rsidRDefault="00F57A7E" w:rsidP="00441B6F">
      <w:pPr>
        <w:pStyle w:val="Appendix"/>
        <w:spacing w:after="0"/>
        <w:jc w:val="both"/>
        <w:rPr>
          <w:rFonts w:ascii="Arial" w:hAnsi="Arial" w:cs="Arial"/>
          <w:b w:val="0"/>
          <w:sz w:val="20"/>
        </w:rPr>
      </w:pPr>
    </w:p>
    <w:p w14:paraId="5420EC14" w14:textId="77777777" w:rsidR="00F57A7E" w:rsidRPr="008658BD" w:rsidRDefault="00F57A7E" w:rsidP="00F57A7E">
      <w:pPr>
        <w:jc w:val="both"/>
        <w:rPr>
          <w:rFonts w:ascii="Arial" w:hAnsi="Arial" w:cs="Arial"/>
          <w:lang w:val="pt-BR" w:eastAsia="pt-BR"/>
        </w:rPr>
      </w:pPr>
      <w:r w:rsidRPr="00F57A7E">
        <w:rPr>
          <w:rFonts w:ascii="Arial" w:hAnsi="Arial" w:cs="Arial"/>
          <w:lang w:val="pt-BR" w:eastAsia="pt-BR"/>
        </w:rPr>
        <w:t>Dance, D. R., Christofides, S., Maidment, A. D. A., McLean, I. D., &amp; Ng, K. H. (2014). Diagnostic radiology physics: A handbook for teachers and students. endorsed by: American association of physicists in medicine, asia-oceania federation of organizations for medical physics, european federation of organisations for medical physics.</w:t>
      </w:r>
    </w:p>
    <w:p w14:paraId="1CA8F709" w14:textId="77777777" w:rsidR="00F57A7E" w:rsidRPr="008658BD" w:rsidRDefault="00F57A7E" w:rsidP="00441B6F">
      <w:pPr>
        <w:pStyle w:val="Appendix"/>
        <w:spacing w:after="0"/>
        <w:jc w:val="both"/>
        <w:rPr>
          <w:rFonts w:ascii="Arial" w:hAnsi="Arial" w:cs="Arial"/>
          <w:b w:val="0"/>
          <w:sz w:val="20"/>
        </w:rPr>
      </w:pPr>
    </w:p>
    <w:p w14:paraId="774ABBB1" w14:textId="77777777" w:rsidR="00F57A7E" w:rsidRPr="008658BD" w:rsidRDefault="00F57A7E" w:rsidP="00F57A7E">
      <w:pPr>
        <w:jc w:val="both"/>
        <w:rPr>
          <w:rFonts w:ascii="Arial" w:hAnsi="Arial" w:cs="Arial"/>
          <w:lang w:val="pt-BR" w:eastAsia="pt-BR"/>
        </w:rPr>
      </w:pPr>
      <w:r w:rsidRPr="00F57A7E">
        <w:rPr>
          <w:rFonts w:ascii="Arial" w:hAnsi="Arial" w:cs="Arial"/>
          <w:lang w:val="pt-BR" w:eastAsia="pt-BR"/>
        </w:rPr>
        <w:t>Ferreira, D. H. G. (2017). Comparação de radiografias digitais de tórax adquiridas no leito e no bucky por meio de regiões de interesse.</w:t>
      </w:r>
    </w:p>
    <w:p w14:paraId="36101CC3" w14:textId="77777777" w:rsidR="00F57A7E" w:rsidRPr="008658BD" w:rsidRDefault="00F57A7E" w:rsidP="00441B6F">
      <w:pPr>
        <w:pStyle w:val="Appendix"/>
        <w:spacing w:after="0"/>
        <w:jc w:val="both"/>
        <w:rPr>
          <w:rFonts w:ascii="Arial" w:hAnsi="Arial" w:cs="Arial"/>
          <w:b w:val="0"/>
          <w:sz w:val="20"/>
        </w:rPr>
      </w:pPr>
    </w:p>
    <w:p w14:paraId="3D693047" w14:textId="4F1E0239" w:rsidR="005C1A1F" w:rsidRPr="008658BD" w:rsidRDefault="005C1A1F" w:rsidP="005C1A1F">
      <w:pPr>
        <w:jc w:val="both"/>
        <w:rPr>
          <w:rFonts w:ascii="Arial" w:hAnsi="Arial" w:cs="Arial"/>
          <w:lang w:val="pt-BR" w:eastAsia="pt-BR"/>
        </w:rPr>
      </w:pPr>
      <w:r w:rsidRPr="005C1A1F">
        <w:rPr>
          <w:rFonts w:ascii="Arial" w:hAnsi="Arial" w:cs="Arial"/>
          <w:lang w:val="pt-BR" w:eastAsia="pt-BR"/>
        </w:rPr>
        <w:t>Häggmark, I., Shaker, K., Nyrén, S., Al-Amiry, B., Abadi, E., P. Segars, W</w:t>
      </w:r>
      <w:r w:rsidRPr="008658BD">
        <w:rPr>
          <w:rFonts w:ascii="Arial" w:hAnsi="Arial" w:cs="Arial"/>
          <w:lang w:val="pt-BR" w:eastAsia="pt-BR"/>
        </w:rPr>
        <w:t>., et al</w:t>
      </w:r>
      <w:r w:rsidRPr="005C1A1F">
        <w:rPr>
          <w:rFonts w:ascii="Arial" w:hAnsi="Arial" w:cs="Arial"/>
          <w:lang w:val="pt-BR" w:eastAsia="pt-BR"/>
        </w:rPr>
        <w:t>. (2023). Phase-contrast virtual chest radiography. Proceedings of the National Academy of Sciences, 120(1), e2210214120.</w:t>
      </w:r>
    </w:p>
    <w:p w14:paraId="2FE716B4" w14:textId="77777777" w:rsidR="00F57A7E" w:rsidRPr="008658BD" w:rsidRDefault="00F57A7E" w:rsidP="00441B6F">
      <w:pPr>
        <w:pStyle w:val="Appendix"/>
        <w:spacing w:after="0"/>
        <w:jc w:val="both"/>
        <w:rPr>
          <w:rFonts w:ascii="Arial" w:hAnsi="Arial" w:cs="Arial"/>
          <w:b w:val="0"/>
          <w:sz w:val="20"/>
        </w:rPr>
      </w:pPr>
    </w:p>
    <w:p w14:paraId="3138C8B0" w14:textId="77777777" w:rsidR="005C1A1F" w:rsidRPr="008658BD" w:rsidRDefault="005C1A1F" w:rsidP="005C1A1F">
      <w:pPr>
        <w:jc w:val="both"/>
        <w:rPr>
          <w:rFonts w:ascii="Arial" w:hAnsi="Arial" w:cs="Arial"/>
          <w:lang w:val="pt-BR" w:eastAsia="pt-BR"/>
        </w:rPr>
      </w:pPr>
      <w:r w:rsidRPr="005C1A1F">
        <w:rPr>
          <w:rFonts w:ascii="Arial" w:hAnsi="Arial" w:cs="Arial"/>
          <w:lang w:val="pt-BR" w:eastAsia="pt-BR"/>
        </w:rPr>
        <w:t>Moore, C. S., Wood, T. J., Jones, S., Saunderson, J. R., &amp; Beavis, A. W. (2019). A practical method to calibrate and optimise automatic exposure control devices for computed radiography (CR) and digital radiography (DR) imaging systems using the signal-to-noise ratio (SNR) metric. Biomedical Physics &amp; Engineering Express, 5(3), 035027.</w:t>
      </w:r>
    </w:p>
    <w:p w14:paraId="2AE12081" w14:textId="77777777" w:rsidR="005C1A1F" w:rsidRPr="008658BD" w:rsidRDefault="005C1A1F" w:rsidP="00441B6F">
      <w:pPr>
        <w:pStyle w:val="Appendix"/>
        <w:spacing w:after="0"/>
        <w:jc w:val="both"/>
        <w:rPr>
          <w:rFonts w:ascii="Arial" w:hAnsi="Arial" w:cs="Arial"/>
          <w:b w:val="0"/>
          <w:sz w:val="20"/>
        </w:rPr>
      </w:pPr>
    </w:p>
    <w:p w14:paraId="515260E9" w14:textId="77777777" w:rsidR="005C1A1F" w:rsidRPr="008658BD" w:rsidRDefault="005C1A1F" w:rsidP="005C1A1F">
      <w:pPr>
        <w:jc w:val="both"/>
        <w:rPr>
          <w:rFonts w:ascii="Arial" w:hAnsi="Arial" w:cs="Arial"/>
          <w:lang w:val="pt-BR" w:eastAsia="pt-BR"/>
        </w:rPr>
      </w:pPr>
      <w:r w:rsidRPr="005C1A1F">
        <w:rPr>
          <w:rFonts w:ascii="Arial" w:hAnsi="Arial" w:cs="Arial"/>
          <w:lang w:val="pt-BR" w:eastAsia="pt-BR"/>
        </w:rPr>
        <w:t>Mraity, H. A., England, A., Cassidy, S., Eachus, P., Dominguez, A., &amp; Hogg, P. (2016). Development and validation of a visual grading scale for assessing image quality of AP pelvis radiographic images. The British journal of radiology, 89(1061), 20150430.</w:t>
      </w:r>
    </w:p>
    <w:p w14:paraId="21286B6B" w14:textId="77777777" w:rsidR="005C1A1F" w:rsidRPr="008658BD" w:rsidRDefault="005C1A1F" w:rsidP="00441B6F">
      <w:pPr>
        <w:pStyle w:val="Appendix"/>
        <w:spacing w:after="0"/>
        <w:jc w:val="both"/>
        <w:rPr>
          <w:rFonts w:ascii="Arial" w:hAnsi="Arial" w:cs="Arial"/>
          <w:b w:val="0"/>
          <w:sz w:val="20"/>
        </w:rPr>
      </w:pPr>
    </w:p>
    <w:p w14:paraId="0E3A865F" w14:textId="4208C52E" w:rsidR="005C1A1F" w:rsidRPr="008658BD" w:rsidRDefault="005C1A1F" w:rsidP="00441B6F">
      <w:pPr>
        <w:pStyle w:val="Appendix"/>
        <w:spacing w:after="0"/>
        <w:jc w:val="both"/>
        <w:rPr>
          <w:rFonts w:ascii="Arial" w:hAnsi="Arial" w:cs="Arial"/>
          <w:b w:val="0"/>
          <w:sz w:val="20"/>
        </w:rPr>
      </w:pPr>
      <w:r w:rsidRPr="008658BD">
        <w:rPr>
          <w:rFonts w:ascii="Arial" w:hAnsi="Arial" w:cs="Arial"/>
          <w:b w:val="0"/>
          <w:caps w:val="0"/>
          <w:sz w:val="20"/>
        </w:rPr>
        <w:t>Nascimento, K. C.</w:t>
      </w:r>
      <w:r w:rsidR="008658BD" w:rsidRPr="008658BD">
        <w:rPr>
          <w:rFonts w:ascii="Arial" w:hAnsi="Arial" w:cs="Arial"/>
          <w:b w:val="0"/>
          <w:caps w:val="0"/>
          <w:sz w:val="20"/>
        </w:rPr>
        <w:t>,</w:t>
      </w:r>
      <w:r w:rsidRPr="008658BD">
        <w:rPr>
          <w:rFonts w:ascii="Arial" w:hAnsi="Arial" w:cs="Arial"/>
          <w:b w:val="0"/>
          <w:caps w:val="0"/>
          <w:sz w:val="20"/>
        </w:rPr>
        <w:t xml:space="preserve"> Schweitzer, G.</w:t>
      </w:r>
      <w:r w:rsidR="008658BD" w:rsidRPr="008658BD">
        <w:rPr>
          <w:rFonts w:ascii="Arial" w:hAnsi="Arial" w:cs="Arial"/>
          <w:b w:val="0"/>
          <w:caps w:val="0"/>
          <w:sz w:val="20"/>
        </w:rPr>
        <w:t>,</w:t>
      </w:r>
      <w:r w:rsidRPr="008658BD">
        <w:rPr>
          <w:rFonts w:ascii="Arial" w:hAnsi="Arial" w:cs="Arial"/>
          <w:b w:val="0"/>
          <w:caps w:val="0"/>
          <w:sz w:val="20"/>
        </w:rPr>
        <w:t xml:space="preserve"> </w:t>
      </w:r>
      <w:r w:rsidR="008658BD" w:rsidRPr="008658BD">
        <w:rPr>
          <w:rFonts w:ascii="Arial" w:hAnsi="Arial" w:cs="Arial"/>
          <w:b w:val="0"/>
          <w:caps w:val="0"/>
          <w:sz w:val="20"/>
        </w:rPr>
        <w:t xml:space="preserve">&amp; </w:t>
      </w:r>
      <w:r w:rsidRPr="008658BD">
        <w:rPr>
          <w:rFonts w:ascii="Arial" w:hAnsi="Arial" w:cs="Arial"/>
          <w:b w:val="0"/>
          <w:caps w:val="0"/>
          <w:sz w:val="20"/>
        </w:rPr>
        <w:t xml:space="preserve">Moreira, A. R. </w:t>
      </w:r>
      <w:r w:rsidR="008658BD" w:rsidRPr="008658BD">
        <w:rPr>
          <w:rFonts w:ascii="Arial" w:hAnsi="Arial" w:cs="Arial"/>
          <w:b w:val="0"/>
          <w:caps w:val="0"/>
          <w:sz w:val="20"/>
        </w:rPr>
        <w:t>(2018)</w:t>
      </w:r>
      <w:r w:rsidRPr="008658BD">
        <w:rPr>
          <w:rFonts w:ascii="Arial" w:hAnsi="Arial" w:cs="Arial"/>
          <w:b w:val="0"/>
          <w:caps w:val="0"/>
          <w:sz w:val="20"/>
        </w:rPr>
        <w:t xml:space="preserve">. </w:t>
      </w:r>
      <w:proofErr w:type="spellStart"/>
      <w:r w:rsidRPr="008658BD">
        <w:rPr>
          <w:rFonts w:ascii="Arial" w:hAnsi="Arial" w:cs="Arial"/>
          <w:b w:val="0"/>
          <w:caps w:val="0"/>
          <w:sz w:val="20"/>
        </w:rPr>
        <w:t>Elementos</w:t>
      </w:r>
      <w:proofErr w:type="spellEnd"/>
      <w:r w:rsidRPr="008658BD">
        <w:rPr>
          <w:rFonts w:ascii="Arial" w:hAnsi="Arial" w:cs="Arial"/>
          <w:b w:val="0"/>
          <w:caps w:val="0"/>
          <w:sz w:val="20"/>
        </w:rPr>
        <w:t xml:space="preserve"> </w:t>
      </w:r>
      <w:proofErr w:type="spellStart"/>
      <w:r w:rsidRPr="008658BD">
        <w:rPr>
          <w:rFonts w:ascii="Arial" w:hAnsi="Arial" w:cs="Arial"/>
          <w:b w:val="0"/>
          <w:caps w:val="0"/>
          <w:sz w:val="20"/>
        </w:rPr>
        <w:t>Fundamentais</w:t>
      </w:r>
      <w:proofErr w:type="spellEnd"/>
      <w:r w:rsidRPr="008658BD">
        <w:rPr>
          <w:rFonts w:ascii="Arial" w:hAnsi="Arial" w:cs="Arial"/>
          <w:b w:val="0"/>
          <w:caps w:val="0"/>
          <w:sz w:val="20"/>
        </w:rPr>
        <w:t xml:space="preserve"> Para </w:t>
      </w:r>
      <w:proofErr w:type="spellStart"/>
      <w:r w:rsidRPr="008658BD">
        <w:rPr>
          <w:rFonts w:ascii="Arial" w:hAnsi="Arial" w:cs="Arial"/>
          <w:b w:val="0"/>
          <w:caps w:val="0"/>
          <w:sz w:val="20"/>
        </w:rPr>
        <w:t>Segurança</w:t>
      </w:r>
      <w:proofErr w:type="spellEnd"/>
      <w:r w:rsidRPr="008658BD">
        <w:rPr>
          <w:rFonts w:ascii="Arial" w:hAnsi="Arial" w:cs="Arial"/>
          <w:b w:val="0"/>
          <w:caps w:val="0"/>
          <w:sz w:val="20"/>
        </w:rPr>
        <w:t xml:space="preserve"> No </w:t>
      </w:r>
      <w:proofErr w:type="spellStart"/>
      <w:r w:rsidRPr="008658BD">
        <w:rPr>
          <w:rFonts w:ascii="Arial" w:hAnsi="Arial" w:cs="Arial"/>
          <w:b w:val="0"/>
          <w:caps w:val="0"/>
          <w:sz w:val="20"/>
        </w:rPr>
        <w:t>Transporte</w:t>
      </w:r>
      <w:proofErr w:type="spellEnd"/>
      <w:r w:rsidRPr="008658BD">
        <w:rPr>
          <w:rFonts w:ascii="Arial" w:hAnsi="Arial" w:cs="Arial"/>
          <w:b w:val="0"/>
          <w:caps w:val="0"/>
          <w:sz w:val="20"/>
        </w:rPr>
        <w:t xml:space="preserve"> Do </w:t>
      </w:r>
      <w:proofErr w:type="spellStart"/>
      <w:r w:rsidRPr="008658BD">
        <w:rPr>
          <w:rFonts w:ascii="Arial" w:hAnsi="Arial" w:cs="Arial"/>
          <w:b w:val="0"/>
          <w:caps w:val="0"/>
          <w:sz w:val="20"/>
        </w:rPr>
        <w:t>Paciente</w:t>
      </w:r>
      <w:proofErr w:type="spellEnd"/>
      <w:r w:rsidRPr="008658BD">
        <w:rPr>
          <w:rFonts w:ascii="Arial" w:hAnsi="Arial" w:cs="Arial"/>
          <w:b w:val="0"/>
          <w:caps w:val="0"/>
          <w:sz w:val="20"/>
        </w:rPr>
        <w:t xml:space="preserve"> </w:t>
      </w:r>
      <w:proofErr w:type="spellStart"/>
      <w:r w:rsidRPr="008658BD">
        <w:rPr>
          <w:rFonts w:ascii="Arial" w:hAnsi="Arial" w:cs="Arial"/>
          <w:b w:val="0"/>
          <w:caps w:val="0"/>
          <w:sz w:val="20"/>
        </w:rPr>
        <w:t>Crítico</w:t>
      </w:r>
      <w:proofErr w:type="spellEnd"/>
      <w:r w:rsidRPr="008658BD">
        <w:rPr>
          <w:rFonts w:ascii="Arial" w:hAnsi="Arial" w:cs="Arial"/>
          <w:b w:val="0"/>
          <w:caps w:val="0"/>
          <w:sz w:val="20"/>
        </w:rPr>
        <w:t>. In:</w:t>
      </w:r>
      <w:r w:rsidR="008658BD" w:rsidRPr="008658BD">
        <w:rPr>
          <w:rFonts w:ascii="Arial" w:hAnsi="Arial" w:cs="Arial"/>
          <w:b w:val="0"/>
          <w:caps w:val="0"/>
          <w:sz w:val="20"/>
        </w:rPr>
        <w:t xml:space="preserve"> </w:t>
      </w:r>
      <w:r w:rsidRPr="008658BD">
        <w:rPr>
          <w:rFonts w:ascii="Arial" w:hAnsi="Arial" w:cs="Arial"/>
          <w:b w:val="0"/>
          <w:caps w:val="0"/>
          <w:sz w:val="20"/>
        </w:rPr>
        <w:t>Vargas</w:t>
      </w:r>
      <w:r w:rsidR="008658BD" w:rsidRPr="008658BD">
        <w:rPr>
          <w:rFonts w:ascii="Arial" w:hAnsi="Arial" w:cs="Arial"/>
          <w:b w:val="0"/>
          <w:caps w:val="0"/>
          <w:sz w:val="20"/>
        </w:rPr>
        <w:t xml:space="preserve"> M. A. O. &amp;</w:t>
      </w:r>
      <w:r w:rsidRPr="008658BD">
        <w:rPr>
          <w:rFonts w:ascii="Arial" w:hAnsi="Arial" w:cs="Arial"/>
          <w:b w:val="0"/>
          <w:caps w:val="0"/>
          <w:sz w:val="20"/>
        </w:rPr>
        <w:t xml:space="preserve"> Nascimento</w:t>
      </w:r>
      <w:r w:rsidR="008658BD" w:rsidRPr="008658BD">
        <w:rPr>
          <w:rFonts w:ascii="Arial" w:hAnsi="Arial" w:cs="Arial"/>
          <w:b w:val="0"/>
          <w:caps w:val="0"/>
          <w:sz w:val="20"/>
        </w:rPr>
        <w:t xml:space="preserve"> E. R. P</w:t>
      </w:r>
      <w:r w:rsidRPr="008658BD">
        <w:rPr>
          <w:rFonts w:ascii="Arial" w:hAnsi="Arial" w:cs="Arial"/>
          <w:b w:val="0"/>
          <w:caps w:val="0"/>
          <w:sz w:val="20"/>
        </w:rPr>
        <w:t>. (</w:t>
      </w:r>
      <w:r w:rsidR="008658BD" w:rsidRPr="008658BD">
        <w:rPr>
          <w:rFonts w:ascii="Arial" w:hAnsi="Arial" w:cs="Arial"/>
          <w:b w:val="0"/>
          <w:caps w:val="0"/>
          <w:sz w:val="20"/>
        </w:rPr>
        <w:t>Eds</w:t>
      </w:r>
      <w:r w:rsidRPr="008658BD">
        <w:rPr>
          <w:rFonts w:ascii="Arial" w:hAnsi="Arial" w:cs="Arial"/>
          <w:b w:val="0"/>
          <w:caps w:val="0"/>
          <w:sz w:val="20"/>
        </w:rPr>
        <w:t xml:space="preserve">.). </w:t>
      </w:r>
      <w:proofErr w:type="spellStart"/>
      <w:r w:rsidRPr="008658BD">
        <w:rPr>
          <w:rFonts w:ascii="Arial" w:hAnsi="Arial" w:cs="Arial"/>
          <w:b w:val="0"/>
          <w:caps w:val="0"/>
          <w:sz w:val="20"/>
        </w:rPr>
        <w:t>Proenf</w:t>
      </w:r>
      <w:proofErr w:type="spellEnd"/>
      <w:r w:rsidRPr="008658BD">
        <w:rPr>
          <w:rFonts w:ascii="Arial" w:hAnsi="Arial" w:cs="Arial"/>
          <w:b w:val="0"/>
          <w:caps w:val="0"/>
          <w:sz w:val="20"/>
        </w:rPr>
        <w:t xml:space="preserve"> </w:t>
      </w:r>
      <w:proofErr w:type="spellStart"/>
      <w:r w:rsidRPr="008658BD">
        <w:rPr>
          <w:rFonts w:ascii="Arial" w:hAnsi="Arial" w:cs="Arial"/>
          <w:b w:val="0"/>
          <w:caps w:val="0"/>
          <w:sz w:val="20"/>
        </w:rPr>
        <w:t>Programa</w:t>
      </w:r>
      <w:proofErr w:type="spellEnd"/>
      <w:r w:rsidRPr="008658BD">
        <w:rPr>
          <w:rFonts w:ascii="Arial" w:hAnsi="Arial" w:cs="Arial"/>
          <w:b w:val="0"/>
          <w:caps w:val="0"/>
          <w:sz w:val="20"/>
        </w:rPr>
        <w:t xml:space="preserve"> De </w:t>
      </w:r>
      <w:proofErr w:type="spellStart"/>
      <w:r w:rsidRPr="008658BD">
        <w:rPr>
          <w:rFonts w:ascii="Arial" w:hAnsi="Arial" w:cs="Arial"/>
          <w:b w:val="0"/>
          <w:caps w:val="0"/>
          <w:sz w:val="20"/>
        </w:rPr>
        <w:t>Atualização</w:t>
      </w:r>
      <w:proofErr w:type="spellEnd"/>
      <w:r w:rsidRPr="008658BD">
        <w:rPr>
          <w:rFonts w:ascii="Arial" w:hAnsi="Arial" w:cs="Arial"/>
          <w:b w:val="0"/>
          <w:caps w:val="0"/>
          <w:sz w:val="20"/>
        </w:rPr>
        <w:t xml:space="preserve"> </w:t>
      </w:r>
      <w:proofErr w:type="spellStart"/>
      <w:r w:rsidRPr="008658BD">
        <w:rPr>
          <w:rFonts w:ascii="Arial" w:hAnsi="Arial" w:cs="Arial"/>
          <w:b w:val="0"/>
          <w:caps w:val="0"/>
          <w:sz w:val="20"/>
        </w:rPr>
        <w:t>Em</w:t>
      </w:r>
      <w:proofErr w:type="spellEnd"/>
      <w:r w:rsidRPr="008658BD">
        <w:rPr>
          <w:rFonts w:ascii="Arial" w:hAnsi="Arial" w:cs="Arial"/>
          <w:b w:val="0"/>
          <w:caps w:val="0"/>
          <w:sz w:val="20"/>
        </w:rPr>
        <w:t xml:space="preserve"> </w:t>
      </w:r>
      <w:proofErr w:type="spellStart"/>
      <w:r w:rsidRPr="008658BD">
        <w:rPr>
          <w:rFonts w:ascii="Arial" w:hAnsi="Arial" w:cs="Arial"/>
          <w:b w:val="0"/>
          <w:caps w:val="0"/>
          <w:sz w:val="20"/>
        </w:rPr>
        <w:t>Enfermagem</w:t>
      </w:r>
      <w:proofErr w:type="spellEnd"/>
      <w:r w:rsidRPr="008658BD">
        <w:rPr>
          <w:rFonts w:ascii="Arial" w:hAnsi="Arial" w:cs="Arial"/>
          <w:b w:val="0"/>
          <w:caps w:val="0"/>
          <w:sz w:val="20"/>
        </w:rPr>
        <w:t xml:space="preserve">: </w:t>
      </w:r>
      <w:proofErr w:type="spellStart"/>
      <w:r w:rsidRPr="008658BD">
        <w:rPr>
          <w:rFonts w:ascii="Arial" w:hAnsi="Arial" w:cs="Arial"/>
          <w:b w:val="0"/>
          <w:caps w:val="0"/>
          <w:sz w:val="20"/>
        </w:rPr>
        <w:t>Terapia</w:t>
      </w:r>
      <w:proofErr w:type="spellEnd"/>
      <w:r w:rsidRPr="008658BD">
        <w:rPr>
          <w:rFonts w:ascii="Arial" w:hAnsi="Arial" w:cs="Arial"/>
          <w:b w:val="0"/>
          <w:caps w:val="0"/>
          <w:sz w:val="20"/>
        </w:rPr>
        <w:t xml:space="preserve"> </w:t>
      </w:r>
      <w:proofErr w:type="spellStart"/>
      <w:r w:rsidRPr="008658BD">
        <w:rPr>
          <w:rFonts w:ascii="Arial" w:hAnsi="Arial" w:cs="Arial"/>
          <w:b w:val="0"/>
          <w:caps w:val="0"/>
          <w:sz w:val="20"/>
        </w:rPr>
        <w:t>Intensiva</w:t>
      </w:r>
      <w:proofErr w:type="spellEnd"/>
      <w:r w:rsidR="008658BD" w:rsidRPr="008658BD">
        <w:rPr>
          <w:rFonts w:ascii="Arial" w:hAnsi="Arial" w:cs="Arial"/>
          <w:b w:val="0"/>
          <w:caps w:val="0"/>
          <w:sz w:val="20"/>
        </w:rPr>
        <w:t xml:space="preserve"> (1</w:t>
      </w:r>
      <w:r w:rsidR="008658BD" w:rsidRPr="008658BD">
        <w:rPr>
          <w:rFonts w:ascii="Arial" w:hAnsi="Arial" w:cs="Arial"/>
          <w:b w:val="0"/>
          <w:caps w:val="0"/>
          <w:sz w:val="20"/>
          <w:vertAlign w:val="superscript"/>
        </w:rPr>
        <w:t>st</w:t>
      </w:r>
      <w:r w:rsidR="008658BD" w:rsidRPr="008658BD">
        <w:rPr>
          <w:rFonts w:ascii="Arial" w:hAnsi="Arial" w:cs="Arial"/>
          <w:b w:val="0"/>
          <w:caps w:val="0"/>
          <w:sz w:val="20"/>
        </w:rPr>
        <w:t xml:space="preserve"> ed., pp. 33-66)</w:t>
      </w:r>
      <w:r w:rsidRPr="008658BD">
        <w:rPr>
          <w:rFonts w:ascii="Arial" w:hAnsi="Arial" w:cs="Arial"/>
          <w:b w:val="0"/>
          <w:caps w:val="0"/>
          <w:sz w:val="20"/>
        </w:rPr>
        <w:t>.</w:t>
      </w:r>
      <w:r w:rsidR="008658BD" w:rsidRPr="008658BD">
        <w:rPr>
          <w:rFonts w:ascii="Arial" w:hAnsi="Arial" w:cs="Arial"/>
          <w:b w:val="0"/>
          <w:caps w:val="0"/>
          <w:sz w:val="20"/>
        </w:rPr>
        <w:t xml:space="preserve"> </w:t>
      </w:r>
      <w:r w:rsidRPr="008658BD">
        <w:rPr>
          <w:rFonts w:ascii="Arial" w:hAnsi="Arial" w:cs="Arial"/>
          <w:b w:val="0"/>
          <w:caps w:val="0"/>
          <w:sz w:val="20"/>
        </w:rPr>
        <w:t xml:space="preserve">Porto Alegre: </w:t>
      </w:r>
      <w:proofErr w:type="spellStart"/>
      <w:r w:rsidRPr="008658BD">
        <w:rPr>
          <w:rFonts w:ascii="Arial" w:hAnsi="Arial" w:cs="Arial"/>
          <w:b w:val="0"/>
          <w:caps w:val="0"/>
          <w:sz w:val="20"/>
        </w:rPr>
        <w:t>Artmed</w:t>
      </w:r>
      <w:proofErr w:type="spellEnd"/>
      <w:r w:rsidRPr="008658BD">
        <w:rPr>
          <w:rFonts w:ascii="Arial" w:hAnsi="Arial" w:cs="Arial"/>
          <w:b w:val="0"/>
          <w:caps w:val="0"/>
          <w:sz w:val="20"/>
        </w:rPr>
        <w:t xml:space="preserve"> </w:t>
      </w:r>
      <w:proofErr w:type="spellStart"/>
      <w:r w:rsidRPr="008658BD">
        <w:rPr>
          <w:rFonts w:ascii="Arial" w:hAnsi="Arial" w:cs="Arial"/>
          <w:b w:val="0"/>
          <w:caps w:val="0"/>
          <w:sz w:val="20"/>
        </w:rPr>
        <w:t>Panamericana</w:t>
      </w:r>
      <w:proofErr w:type="spellEnd"/>
    </w:p>
    <w:p w14:paraId="303856E1" w14:textId="77777777" w:rsidR="005C1A1F" w:rsidRPr="008658BD" w:rsidRDefault="005C1A1F" w:rsidP="00441B6F">
      <w:pPr>
        <w:pStyle w:val="Appendix"/>
        <w:spacing w:after="0"/>
        <w:jc w:val="both"/>
        <w:rPr>
          <w:rFonts w:ascii="Arial" w:hAnsi="Arial" w:cs="Arial"/>
          <w:b w:val="0"/>
          <w:sz w:val="20"/>
        </w:rPr>
      </w:pPr>
    </w:p>
    <w:p w14:paraId="57EB7EE5" w14:textId="77777777" w:rsidR="005C1A1F" w:rsidRPr="008658BD" w:rsidRDefault="005C1A1F" w:rsidP="005C1A1F">
      <w:pPr>
        <w:jc w:val="both"/>
        <w:rPr>
          <w:rFonts w:ascii="Arial" w:hAnsi="Arial" w:cs="Arial"/>
          <w:lang w:val="pt-BR" w:eastAsia="pt-BR"/>
        </w:rPr>
      </w:pPr>
      <w:r w:rsidRPr="005C1A1F">
        <w:rPr>
          <w:rFonts w:ascii="Arial" w:hAnsi="Arial" w:cs="Arial"/>
          <w:lang w:val="pt-BR" w:eastAsia="pt-BR"/>
        </w:rPr>
        <w:t>Sayed, M., Knapp, K. M., Fulford, J., Heales, C., &amp; Alqahtani, S. J. (2023). The principles and effectiveness of X-ray scatter correction software for diagnostic X-ray imaging: A scoping review. European Journal of Radiology, 158, 110600.</w:t>
      </w:r>
    </w:p>
    <w:p w14:paraId="2F5FAD84" w14:textId="77777777" w:rsidR="005C1A1F" w:rsidRPr="008658BD" w:rsidRDefault="005C1A1F" w:rsidP="00441B6F">
      <w:pPr>
        <w:pStyle w:val="Appendix"/>
        <w:spacing w:after="0"/>
        <w:jc w:val="both"/>
        <w:rPr>
          <w:rFonts w:ascii="Arial" w:hAnsi="Arial" w:cs="Arial"/>
          <w:b w:val="0"/>
          <w:sz w:val="20"/>
        </w:rPr>
      </w:pPr>
    </w:p>
    <w:p w14:paraId="1B420C7A" w14:textId="77777777" w:rsidR="005C1A1F" w:rsidRPr="008658BD" w:rsidRDefault="005C1A1F" w:rsidP="005C1A1F">
      <w:pPr>
        <w:jc w:val="both"/>
        <w:rPr>
          <w:rFonts w:ascii="Arial" w:hAnsi="Arial" w:cs="Arial"/>
          <w:lang w:val="pt-BR" w:eastAsia="pt-BR"/>
        </w:rPr>
      </w:pPr>
      <w:r w:rsidRPr="005C1A1F">
        <w:rPr>
          <w:rFonts w:ascii="Arial" w:hAnsi="Arial" w:cs="Arial"/>
          <w:lang w:val="pt-BR" w:eastAsia="pt-BR"/>
        </w:rPr>
        <w:t>Tompe, A., &amp; Sargar, K. (2020). X-ray image quality assurance.</w:t>
      </w:r>
    </w:p>
    <w:p w14:paraId="0605FD25" w14:textId="7D5E147B" w:rsidR="005C1A1F" w:rsidRPr="00FB3A86" w:rsidRDefault="005C1A1F" w:rsidP="005C1A1F">
      <w:pPr>
        <w:pStyle w:val="Appendix"/>
        <w:spacing w:after="0"/>
        <w:jc w:val="both"/>
        <w:rPr>
          <w:rFonts w:ascii="Arial" w:hAnsi="Arial" w:cs="Arial"/>
          <w:b w:val="0"/>
        </w:rPr>
      </w:pPr>
    </w:p>
    <w:sectPr w:rsidR="005C1A1F" w:rsidRPr="00FB3A86" w:rsidSect="00273751">
      <w:headerReference w:type="even" r:id="rId15"/>
      <w:headerReference w:type="default" r:id="rId16"/>
      <w:footerReference w:type="default" r:id="rId17"/>
      <w:headerReference w:type="first" r:id="rId18"/>
      <w:type w:val="continuous"/>
      <w:pgSz w:w="12240" w:h="15840" w:code="1"/>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8B614" w14:textId="77777777" w:rsidR="00786226" w:rsidRDefault="00786226" w:rsidP="00C37E61">
      <w:r>
        <w:separator/>
      </w:r>
    </w:p>
  </w:endnote>
  <w:endnote w:type="continuationSeparator" w:id="0">
    <w:p w14:paraId="6E65C1DD" w14:textId="77777777" w:rsidR="00786226" w:rsidRDefault="0078622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0A2B8" w14:textId="77777777" w:rsidR="00273751" w:rsidRDefault="00273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24C98" w14:textId="77777777" w:rsidR="00273751" w:rsidRDefault="002737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6C660" w14:textId="4ECF75C4" w:rsidR="00754C9A" w:rsidRPr="00273751" w:rsidRDefault="00754C9A" w:rsidP="00273751">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B95D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C1AA9" w14:textId="77777777" w:rsidR="00786226" w:rsidRDefault="00786226" w:rsidP="00C37E61">
      <w:r>
        <w:separator/>
      </w:r>
    </w:p>
  </w:footnote>
  <w:footnote w:type="continuationSeparator" w:id="0">
    <w:p w14:paraId="38813C5F" w14:textId="77777777" w:rsidR="00786226" w:rsidRDefault="0078622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4A57" w14:textId="78189D62" w:rsidR="00273751" w:rsidRDefault="00273751">
    <w:pPr>
      <w:pStyle w:val="Header"/>
    </w:pPr>
    <w:r>
      <w:rPr>
        <w:noProof/>
      </w:rPr>
      <w:pict w14:anchorId="09D2D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025688"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DB952" w14:textId="2E4246A3" w:rsidR="00273751" w:rsidRDefault="00273751">
    <w:pPr>
      <w:pStyle w:val="Header"/>
    </w:pPr>
    <w:r>
      <w:rPr>
        <w:noProof/>
      </w:rPr>
      <w:pict w14:anchorId="33B7D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025689"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17E4" w14:textId="29E106DB" w:rsidR="00296529" w:rsidRPr="00296529" w:rsidRDefault="00273751" w:rsidP="00296529">
    <w:pPr>
      <w:ind w:left="2160"/>
      <w:jc w:val="center"/>
      <w:rPr>
        <w:rFonts w:ascii="Times New Roman" w:eastAsia="Calibri" w:hAnsi="Times New Roman"/>
        <w:i/>
        <w:sz w:val="18"/>
        <w:szCs w:val="22"/>
      </w:rPr>
    </w:pPr>
    <w:r>
      <w:rPr>
        <w:noProof/>
      </w:rPr>
      <w:pict w14:anchorId="1812F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025687"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7936AD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D77B17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E12FB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0F0BD3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E97241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74F989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0821B" w14:textId="4A8F878F" w:rsidR="00273751" w:rsidRDefault="00273751">
    <w:pPr>
      <w:pStyle w:val="Header"/>
    </w:pPr>
    <w:r>
      <w:rPr>
        <w:noProof/>
      </w:rPr>
      <w:pict w14:anchorId="0DA9E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025691" o:spid="_x0000_s2053"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E9461" w14:textId="521A41A9" w:rsidR="00273751" w:rsidRDefault="00273751">
    <w:pPr>
      <w:pStyle w:val="Header"/>
    </w:pPr>
    <w:r>
      <w:rPr>
        <w:noProof/>
      </w:rPr>
      <w:pict w14:anchorId="57361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025692" o:spid="_x0000_s2054"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879ED" w14:textId="77B8E6CA" w:rsidR="00273751" w:rsidRDefault="00273751">
    <w:pPr>
      <w:pStyle w:val="Header"/>
    </w:pPr>
    <w:r>
      <w:rPr>
        <w:noProof/>
      </w:rPr>
      <w:pict w14:anchorId="52ADF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025690" o:spid="_x0000_s2052"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B37B3"/>
    <w:rsid w:val="001D3A51"/>
    <w:rsid w:val="001E10D2"/>
    <w:rsid w:val="001E25B4"/>
    <w:rsid w:val="001E44FE"/>
    <w:rsid w:val="00200595"/>
    <w:rsid w:val="00204835"/>
    <w:rsid w:val="00231920"/>
    <w:rsid w:val="0023195C"/>
    <w:rsid w:val="0024282C"/>
    <w:rsid w:val="002460DC"/>
    <w:rsid w:val="00250985"/>
    <w:rsid w:val="002556F6"/>
    <w:rsid w:val="00273751"/>
    <w:rsid w:val="00283105"/>
    <w:rsid w:val="00284C4C"/>
    <w:rsid w:val="00287E68"/>
    <w:rsid w:val="00296529"/>
    <w:rsid w:val="002B27FB"/>
    <w:rsid w:val="002B685A"/>
    <w:rsid w:val="002C57D2"/>
    <w:rsid w:val="002E0D56"/>
    <w:rsid w:val="002F2A20"/>
    <w:rsid w:val="00315186"/>
    <w:rsid w:val="0033343E"/>
    <w:rsid w:val="003512C2"/>
    <w:rsid w:val="00371FB6"/>
    <w:rsid w:val="003763C1"/>
    <w:rsid w:val="00376BBE"/>
    <w:rsid w:val="0039224F"/>
    <w:rsid w:val="003A43A4"/>
    <w:rsid w:val="003A7E18"/>
    <w:rsid w:val="003C4C86"/>
    <w:rsid w:val="003C6258"/>
    <w:rsid w:val="003E2904"/>
    <w:rsid w:val="00401927"/>
    <w:rsid w:val="00403864"/>
    <w:rsid w:val="0041027F"/>
    <w:rsid w:val="00412475"/>
    <w:rsid w:val="00423789"/>
    <w:rsid w:val="00440F43"/>
    <w:rsid w:val="00441B6F"/>
    <w:rsid w:val="00446221"/>
    <w:rsid w:val="00450E62"/>
    <w:rsid w:val="004539DB"/>
    <w:rsid w:val="00471A80"/>
    <w:rsid w:val="004C1843"/>
    <w:rsid w:val="004D305E"/>
    <w:rsid w:val="004D4277"/>
    <w:rsid w:val="00502516"/>
    <w:rsid w:val="00505F06"/>
    <w:rsid w:val="00506828"/>
    <w:rsid w:val="0053056E"/>
    <w:rsid w:val="00554FDA"/>
    <w:rsid w:val="00575A74"/>
    <w:rsid w:val="005C1A1F"/>
    <w:rsid w:val="005C784C"/>
    <w:rsid w:val="005D17F6"/>
    <w:rsid w:val="005D70A7"/>
    <w:rsid w:val="005E5539"/>
    <w:rsid w:val="00602BF5"/>
    <w:rsid w:val="006178AB"/>
    <w:rsid w:val="00617FDD"/>
    <w:rsid w:val="00621E08"/>
    <w:rsid w:val="00630A82"/>
    <w:rsid w:val="00633614"/>
    <w:rsid w:val="00633F68"/>
    <w:rsid w:val="00636EB2"/>
    <w:rsid w:val="006375B8"/>
    <w:rsid w:val="0066510A"/>
    <w:rsid w:val="00673F9F"/>
    <w:rsid w:val="006846BD"/>
    <w:rsid w:val="00686953"/>
    <w:rsid w:val="00687DEA"/>
    <w:rsid w:val="00687E67"/>
    <w:rsid w:val="006967F7"/>
    <w:rsid w:val="006A250C"/>
    <w:rsid w:val="006B21D3"/>
    <w:rsid w:val="006B571D"/>
    <w:rsid w:val="006B57D0"/>
    <w:rsid w:val="006D30FF"/>
    <w:rsid w:val="006D6940"/>
    <w:rsid w:val="006F11EC"/>
    <w:rsid w:val="006F1F92"/>
    <w:rsid w:val="0070082C"/>
    <w:rsid w:val="007369E6"/>
    <w:rsid w:val="00743D47"/>
    <w:rsid w:val="00746E59"/>
    <w:rsid w:val="00754C9A"/>
    <w:rsid w:val="0075599A"/>
    <w:rsid w:val="00761D52"/>
    <w:rsid w:val="0077749E"/>
    <w:rsid w:val="00786226"/>
    <w:rsid w:val="00790ADA"/>
    <w:rsid w:val="007C0D0D"/>
    <w:rsid w:val="007D2288"/>
    <w:rsid w:val="007E088F"/>
    <w:rsid w:val="007F7B32"/>
    <w:rsid w:val="00804BC2"/>
    <w:rsid w:val="0081431A"/>
    <w:rsid w:val="0083216F"/>
    <w:rsid w:val="00860000"/>
    <w:rsid w:val="00863BD3"/>
    <w:rsid w:val="008641ED"/>
    <w:rsid w:val="008658BD"/>
    <w:rsid w:val="00866D66"/>
    <w:rsid w:val="008671C6"/>
    <w:rsid w:val="00875803"/>
    <w:rsid w:val="008B459E"/>
    <w:rsid w:val="008E13AE"/>
    <w:rsid w:val="008E1506"/>
    <w:rsid w:val="008E710C"/>
    <w:rsid w:val="008F69D6"/>
    <w:rsid w:val="0090001C"/>
    <w:rsid w:val="00902823"/>
    <w:rsid w:val="009139D5"/>
    <w:rsid w:val="00915CA6"/>
    <w:rsid w:val="00927834"/>
    <w:rsid w:val="009500A6"/>
    <w:rsid w:val="00957C18"/>
    <w:rsid w:val="009659BA"/>
    <w:rsid w:val="00983040"/>
    <w:rsid w:val="00992BA1"/>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4344"/>
    <w:rsid w:val="00A94063"/>
    <w:rsid w:val="00AA6219"/>
    <w:rsid w:val="00AA74E0"/>
    <w:rsid w:val="00AB703F"/>
    <w:rsid w:val="00AC6BB8"/>
    <w:rsid w:val="00AE008F"/>
    <w:rsid w:val="00AE27BF"/>
    <w:rsid w:val="00B01FCD"/>
    <w:rsid w:val="00B1776C"/>
    <w:rsid w:val="00B52583"/>
    <w:rsid w:val="00B52896"/>
    <w:rsid w:val="00B95236"/>
    <w:rsid w:val="00B96BD9"/>
    <w:rsid w:val="00BA1B01"/>
    <w:rsid w:val="00BA2641"/>
    <w:rsid w:val="00BB05A7"/>
    <w:rsid w:val="00BB37AA"/>
    <w:rsid w:val="00BC53A0"/>
    <w:rsid w:val="00BE62AD"/>
    <w:rsid w:val="00BF121F"/>
    <w:rsid w:val="00BF1F80"/>
    <w:rsid w:val="00C166EF"/>
    <w:rsid w:val="00C17EB0"/>
    <w:rsid w:val="00C27F5F"/>
    <w:rsid w:val="00C30A0F"/>
    <w:rsid w:val="00C37E61"/>
    <w:rsid w:val="00C54E8D"/>
    <w:rsid w:val="00C70F1B"/>
    <w:rsid w:val="00C71A47"/>
    <w:rsid w:val="00C7464C"/>
    <w:rsid w:val="00C85588"/>
    <w:rsid w:val="00CA0810"/>
    <w:rsid w:val="00CD6755"/>
    <w:rsid w:val="00CD6856"/>
    <w:rsid w:val="00CE0089"/>
    <w:rsid w:val="00CE793C"/>
    <w:rsid w:val="00CF193C"/>
    <w:rsid w:val="00CF2BE9"/>
    <w:rsid w:val="00D173F1"/>
    <w:rsid w:val="00D74CB0"/>
    <w:rsid w:val="00D8295D"/>
    <w:rsid w:val="00DC2A65"/>
    <w:rsid w:val="00DD49DC"/>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0E04"/>
    <w:rsid w:val="00F53273"/>
    <w:rsid w:val="00F57A7E"/>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2ACE6E4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PlaceholderText">
    <w:name w:val="Placeholder Text"/>
    <w:basedOn w:val="DefaultParagraphFont"/>
    <w:uiPriority w:val="99"/>
    <w:semiHidden/>
    <w:rsid w:val="00DD49D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8826153">
      <w:bodyDiv w:val="1"/>
      <w:marLeft w:val="0"/>
      <w:marRight w:val="0"/>
      <w:marTop w:val="0"/>
      <w:marBottom w:val="0"/>
      <w:divBdr>
        <w:top w:val="none" w:sz="0" w:space="0" w:color="auto"/>
        <w:left w:val="none" w:sz="0" w:space="0" w:color="auto"/>
        <w:bottom w:val="none" w:sz="0" w:space="0" w:color="auto"/>
        <w:right w:val="none" w:sz="0" w:space="0" w:color="auto"/>
      </w:divBdr>
      <w:divsChild>
        <w:div w:id="814566538">
          <w:marLeft w:val="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0263274">
      <w:bodyDiv w:val="1"/>
      <w:marLeft w:val="0"/>
      <w:marRight w:val="0"/>
      <w:marTop w:val="0"/>
      <w:marBottom w:val="0"/>
      <w:divBdr>
        <w:top w:val="none" w:sz="0" w:space="0" w:color="auto"/>
        <w:left w:val="none" w:sz="0" w:space="0" w:color="auto"/>
        <w:bottom w:val="none" w:sz="0" w:space="0" w:color="auto"/>
        <w:right w:val="none" w:sz="0" w:space="0" w:color="auto"/>
      </w:divBdr>
      <w:divsChild>
        <w:div w:id="1348099814">
          <w:marLeft w:val="0"/>
          <w:marRight w:val="0"/>
          <w:marTop w:val="0"/>
          <w:marBottom w:val="0"/>
          <w:divBdr>
            <w:top w:val="none" w:sz="0" w:space="0" w:color="auto"/>
            <w:left w:val="none" w:sz="0" w:space="0" w:color="auto"/>
            <w:bottom w:val="none" w:sz="0" w:space="0" w:color="auto"/>
            <w:right w:val="none" w:sz="0" w:space="0" w:color="auto"/>
          </w:divBdr>
        </w:div>
      </w:divsChild>
    </w:div>
    <w:div w:id="421994409">
      <w:bodyDiv w:val="1"/>
      <w:marLeft w:val="0"/>
      <w:marRight w:val="0"/>
      <w:marTop w:val="0"/>
      <w:marBottom w:val="0"/>
      <w:divBdr>
        <w:top w:val="none" w:sz="0" w:space="0" w:color="auto"/>
        <w:left w:val="none" w:sz="0" w:space="0" w:color="auto"/>
        <w:bottom w:val="none" w:sz="0" w:space="0" w:color="auto"/>
        <w:right w:val="none" w:sz="0" w:space="0" w:color="auto"/>
      </w:divBdr>
    </w:div>
    <w:div w:id="622419432">
      <w:bodyDiv w:val="1"/>
      <w:marLeft w:val="0"/>
      <w:marRight w:val="0"/>
      <w:marTop w:val="0"/>
      <w:marBottom w:val="0"/>
      <w:divBdr>
        <w:top w:val="none" w:sz="0" w:space="0" w:color="auto"/>
        <w:left w:val="none" w:sz="0" w:space="0" w:color="auto"/>
        <w:bottom w:val="none" w:sz="0" w:space="0" w:color="auto"/>
        <w:right w:val="none" w:sz="0" w:space="0" w:color="auto"/>
      </w:divBdr>
      <w:divsChild>
        <w:div w:id="790048823">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9502347">
      <w:bodyDiv w:val="1"/>
      <w:marLeft w:val="0"/>
      <w:marRight w:val="0"/>
      <w:marTop w:val="0"/>
      <w:marBottom w:val="0"/>
      <w:divBdr>
        <w:top w:val="none" w:sz="0" w:space="0" w:color="auto"/>
        <w:left w:val="none" w:sz="0" w:space="0" w:color="auto"/>
        <w:bottom w:val="none" w:sz="0" w:space="0" w:color="auto"/>
        <w:right w:val="none" w:sz="0" w:space="0" w:color="auto"/>
      </w:divBdr>
      <w:divsChild>
        <w:div w:id="1785417846">
          <w:marLeft w:val="0"/>
          <w:marRight w:val="0"/>
          <w:marTop w:val="0"/>
          <w:marBottom w:val="0"/>
          <w:divBdr>
            <w:top w:val="none" w:sz="0" w:space="0" w:color="auto"/>
            <w:left w:val="none" w:sz="0" w:space="0" w:color="auto"/>
            <w:bottom w:val="none" w:sz="0" w:space="0" w:color="auto"/>
            <w:right w:val="none" w:sz="0" w:space="0" w:color="auto"/>
          </w:divBdr>
        </w:div>
      </w:divsChild>
    </w:div>
    <w:div w:id="680207594">
      <w:bodyDiv w:val="1"/>
      <w:marLeft w:val="0"/>
      <w:marRight w:val="0"/>
      <w:marTop w:val="0"/>
      <w:marBottom w:val="0"/>
      <w:divBdr>
        <w:top w:val="none" w:sz="0" w:space="0" w:color="auto"/>
        <w:left w:val="none" w:sz="0" w:space="0" w:color="auto"/>
        <w:bottom w:val="none" w:sz="0" w:space="0" w:color="auto"/>
        <w:right w:val="none" w:sz="0" w:space="0" w:color="auto"/>
      </w:divBdr>
      <w:divsChild>
        <w:div w:id="783112608">
          <w:marLeft w:val="0"/>
          <w:marRight w:val="0"/>
          <w:marTop w:val="0"/>
          <w:marBottom w:val="0"/>
          <w:divBdr>
            <w:top w:val="none" w:sz="0" w:space="0" w:color="auto"/>
            <w:left w:val="none" w:sz="0" w:space="0" w:color="auto"/>
            <w:bottom w:val="none" w:sz="0" w:space="0" w:color="auto"/>
            <w:right w:val="none" w:sz="0" w:space="0" w:color="auto"/>
          </w:divBdr>
        </w:div>
        <w:div w:id="1695038593">
          <w:marLeft w:val="0"/>
          <w:marRight w:val="0"/>
          <w:marTop w:val="0"/>
          <w:marBottom w:val="0"/>
          <w:divBdr>
            <w:top w:val="none" w:sz="0" w:space="0" w:color="auto"/>
            <w:left w:val="none" w:sz="0" w:space="0" w:color="auto"/>
            <w:bottom w:val="none" w:sz="0" w:space="0" w:color="auto"/>
            <w:right w:val="none" w:sz="0" w:space="0" w:color="auto"/>
          </w:divBdr>
        </w:div>
        <w:div w:id="992097595">
          <w:marLeft w:val="0"/>
          <w:marRight w:val="0"/>
          <w:marTop w:val="0"/>
          <w:marBottom w:val="0"/>
          <w:divBdr>
            <w:top w:val="none" w:sz="0" w:space="0" w:color="auto"/>
            <w:left w:val="none" w:sz="0" w:space="0" w:color="auto"/>
            <w:bottom w:val="none" w:sz="0" w:space="0" w:color="auto"/>
            <w:right w:val="none" w:sz="0" w:space="0" w:color="auto"/>
          </w:divBdr>
        </w:div>
      </w:divsChild>
    </w:div>
    <w:div w:id="765613888">
      <w:bodyDiv w:val="1"/>
      <w:marLeft w:val="0"/>
      <w:marRight w:val="0"/>
      <w:marTop w:val="0"/>
      <w:marBottom w:val="0"/>
      <w:divBdr>
        <w:top w:val="none" w:sz="0" w:space="0" w:color="auto"/>
        <w:left w:val="none" w:sz="0" w:space="0" w:color="auto"/>
        <w:bottom w:val="none" w:sz="0" w:space="0" w:color="auto"/>
        <w:right w:val="none" w:sz="0" w:space="0" w:color="auto"/>
      </w:divBdr>
    </w:div>
    <w:div w:id="802113958">
      <w:bodyDiv w:val="1"/>
      <w:marLeft w:val="0"/>
      <w:marRight w:val="0"/>
      <w:marTop w:val="0"/>
      <w:marBottom w:val="0"/>
      <w:divBdr>
        <w:top w:val="none" w:sz="0" w:space="0" w:color="auto"/>
        <w:left w:val="none" w:sz="0" w:space="0" w:color="auto"/>
        <w:bottom w:val="none" w:sz="0" w:space="0" w:color="auto"/>
        <w:right w:val="none" w:sz="0" w:space="0" w:color="auto"/>
      </w:divBdr>
    </w:div>
    <w:div w:id="96326789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7146428">
      <w:bodyDiv w:val="1"/>
      <w:marLeft w:val="0"/>
      <w:marRight w:val="0"/>
      <w:marTop w:val="0"/>
      <w:marBottom w:val="0"/>
      <w:divBdr>
        <w:top w:val="none" w:sz="0" w:space="0" w:color="auto"/>
        <w:left w:val="none" w:sz="0" w:space="0" w:color="auto"/>
        <w:bottom w:val="none" w:sz="0" w:space="0" w:color="auto"/>
        <w:right w:val="none" w:sz="0" w:space="0" w:color="auto"/>
      </w:divBdr>
    </w:div>
    <w:div w:id="99722266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55085800">
      <w:bodyDiv w:val="1"/>
      <w:marLeft w:val="0"/>
      <w:marRight w:val="0"/>
      <w:marTop w:val="0"/>
      <w:marBottom w:val="0"/>
      <w:divBdr>
        <w:top w:val="none" w:sz="0" w:space="0" w:color="auto"/>
        <w:left w:val="none" w:sz="0" w:space="0" w:color="auto"/>
        <w:bottom w:val="none" w:sz="0" w:space="0" w:color="auto"/>
        <w:right w:val="none" w:sz="0" w:space="0" w:color="auto"/>
      </w:divBdr>
    </w:div>
    <w:div w:id="1064062798">
      <w:bodyDiv w:val="1"/>
      <w:marLeft w:val="0"/>
      <w:marRight w:val="0"/>
      <w:marTop w:val="0"/>
      <w:marBottom w:val="0"/>
      <w:divBdr>
        <w:top w:val="none" w:sz="0" w:space="0" w:color="auto"/>
        <w:left w:val="none" w:sz="0" w:space="0" w:color="auto"/>
        <w:bottom w:val="none" w:sz="0" w:space="0" w:color="auto"/>
        <w:right w:val="none" w:sz="0" w:space="0" w:color="auto"/>
      </w:divBdr>
      <w:divsChild>
        <w:div w:id="108010289">
          <w:marLeft w:val="0"/>
          <w:marRight w:val="0"/>
          <w:marTop w:val="0"/>
          <w:marBottom w:val="0"/>
          <w:divBdr>
            <w:top w:val="none" w:sz="0" w:space="0" w:color="auto"/>
            <w:left w:val="none" w:sz="0" w:space="0" w:color="auto"/>
            <w:bottom w:val="none" w:sz="0" w:space="0" w:color="auto"/>
            <w:right w:val="none" w:sz="0" w:space="0" w:color="auto"/>
          </w:divBdr>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716723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30312582">
      <w:bodyDiv w:val="1"/>
      <w:marLeft w:val="0"/>
      <w:marRight w:val="0"/>
      <w:marTop w:val="0"/>
      <w:marBottom w:val="0"/>
      <w:divBdr>
        <w:top w:val="none" w:sz="0" w:space="0" w:color="auto"/>
        <w:left w:val="none" w:sz="0" w:space="0" w:color="auto"/>
        <w:bottom w:val="none" w:sz="0" w:space="0" w:color="auto"/>
        <w:right w:val="none" w:sz="0" w:space="0" w:color="auto"/>
      </w:divBdr>
      <w:divsChild>
        <w:div w:id="563292882">
          <w:marLeft w:val="0"/>
          <w:marRight w:val="0"/>
          <w:marTop w:val="0"/>
          <w:marBottom w:val="0"/>
          <w:divBdr>
            <w:top w:val="none" w:sz="0" w:space="0" w:color="auto"/>
            <w:left w:val="none" w:sz="0" w:space="0" w:color="auto"/>
            <w:bottom w:val="none" w:sz="0" w:space="0" w:color="auto"/>
            <w:right w:val="none" w:sz="0" w:space="0" w:color="auto"/>
          </w:divBdr>
        </w:div>
      </w:divsChild>
    </w:div>
    <w:div w:id="1571846944">
      <w:bodyDiv w:val="1"/>
      <w:marLeft w:val="0"/>
      <w:marRight w:val="0"/>
      <w:marTop w:val="0"/>
      <w:marBottom w:val="0"/>
      <w:divBdr>
        <w:top w:val="none" w:sz="0" w:space="0" w:color="auto"/>
        <w:left w:val="none" w:sz="0" w:space="0" w:color="auto"/>
        <w:bottom w:val="none" w:sz="0" w:space="0" w:color="auto"/>
        <w:right w:val="none" w:sz="0" w:space="0" w:color="auto"/>
      </w:divBdr>
    </w:div>
    <w:div w:id="1588999066">
      <w:bodyDiv w:val="1"/>
      <w:marLeft w:val="0"/>
      <w:marRight w:val="0"/>
      <w:marTop w:val="0"/>
      <w:marBottom w:val="0"/>
      <w:divBdr>
        <w:top w:val="none" w:sz="0" w:space="0" w:color="auto"/>
        <w:left w:val="none" w:sz="0" w:space="0" w:color="auto"/>
        <w:bottom w:val="none" w:sz="0" w:space="0" w:color="auto"/>
        <w:right w:val="none" w:sz="0" w:space="0" w:color="auto"/>
      </w:divBdr>
      <w:divsChild>
        <w:div w:id="573467641">
          <w:marLeft w:val="0"/>
          <w:marRight w:val="0"/>
          <w:marTop w:val="0"/>
          <w:marBottom w:val="0"/>
          <w:divBdr>
            <w:top w:val="none" w:sz="0" w:space="0" w:color="auto"/>
            <w:left w:val="none" w:sz="0" w:space="0" w:color="auto"/>
            <w:bottom w:val="none" w:sz="0" w:space="0" w:color="auto"/>
            <w:right w:val="none" w:sz="0" w:space="0" w:color="auto"/>
          </w:divBdr>
        </w:div>
        <w:div w:id="1540624481">
          <w:marLeft w:val="0"/>
          <w:marRight w:val="0"/>
          <w:marTop w:val="0"/>
          <w:marBottom w:val="0"/>
          <w:divBdr>
            <w:top w:val="none" w:sz="0" w:space="0" w:color="auto"/>
            <w:left w:val="none" w:sz="0" w:space="0" w:color="auto"/>
            <w:bottom w:val="none" w:sz="0" w:space="0" w:color="auto"/>
            <w:right w:val="none" w:sz="0" w:space="0" w:color="auto"/>
          </w:divBdr>
        </w:div>
        <w:div w:id="1823034793">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2230075">
      <w:bodyDiv w:val="1"/>
      <w:marLeft w:val="0"/>
      <w:marRight w:val="0"/>
      <w:marTop w:val="0"/>
      <w:marBottom w:val="0"/>
      <w:divBdr>
        <w:top w:val="none" w:sz="0" w:space="0" w:color="auto"/>
        <w:left w:val="none" w:sz="0" w:space="0" w:color="auto"/>
        <w:bottom w:val="none" w:sz="0" w:space="0" w:color="auto"/>
        <w:right w:val="none" w:sz="0" w:space="0" w:color="auto"/>
      </w:divBdr>
    </w:div>
    <w:div w:id="1833988201">
      <w:bodyDiv w:val="1"/>
      <w:marLeft w:val="0"/>
      <w:marRight w:val="0"/>
      <w:marTop w:val="0"/>
      <w:marBottom w:val="0"/>
      <w:divBdr>
        <w:top w:val="none" w:sz="0" w:space="0" w:color="auto"/>
        <w:left w:val="none" w:sz="0" w:space="0" w:color="auto"/>
        <w:bottom w:val="none" w:sz="0" w:space="0" w:color="auto"/>
        <w:right w:val="none" w:sz="0" w:space="0" w:color="auto"/>
      </w:divBdr>
      <w:divsChild>
        <w:div w:id="1818957452">
          <w:marLeft w:val="0"/>
          <w:marRight w:val="0"/>
          <w:marTop w:val="0"/>
          <w:marBottom w:val="0"/>
          <w:divBdr>
            <w:top w:val="none" w:sz="0" w:space="0" w:color="auto"/>
            <w:left w:val="none" w:sz="0" w:space="0" w:color="auto"/>
            <w:bottom w:val="none" w:sz="0" w:space="0" w:color="auto"/>
            <w:right w:val="none" w:sz="0" w:space="0" w:color="auto"/>
          </w:divBdr>
        </w:div>
      </w:divsChild>
    </w:div>
    <w:div w:id="1926645048">
      <w:bodyDiv w:val="1"/>
      <w:marLeft w:val="0"/>
      <w:marRight w:val="0"/>
      <w:marTop w:val="0"/>
      <w:marBottom w:val="0"/>
      <w:divBdr>
        <w:top w:val="none" w:sz="0" w:space="0" w:color="auto"/>
        <w:left w:val="none" w:sz="0" w:space="0" w:color="auto"/>
        <w:bottom w:val="none" w:sz="0" w:space="0" w:color="auto"/>
        <w:right w:val="none" w:sz="0" w:space="0" w:color="auto"/>
      </w:divBdr>
    </w:div>
    <w:div w:id="1934241074">
      <w:bodyDiv w:val="1"/>
      <w:marLeft w:val="0"/>
      <w:marRight w:val="0"/>
      <w:marTop w:val="0"/>
      <w:marBottom w:val="0"/>
      <w:divBdr>
        <w:top w:val="none" w:sz="0" w:space="0" w:color="auto"/>
        <w:left w:val="none" w:sz="0" w:space="0" w:color="auto"/>
        <w:bottom w:val="none" w:sz="0" w:space="0" w:color="auto"/>
        <w:right w:val="none" w:sz="0" w:space="0" w:color="auto"/>
      </w:divBdr>
      <w:divsChild>
        <w:div w:id="1390422473">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6126421">
      <w:bodyDiv w:val="1"/>
      <w:marLeft w:val="0"/>
      <w:marRight w:val="0"/>
      <w:marTop w:val="0"/>
      <w:marBottom w:val="0"/>
      <w:divBdr>
        <w:top w:val="none" w:sz="0" w:space="0" w:color="auto"/>
        <w:left w:val="none" w:sz="0" w:space="0" w:color="auto"/>
        <w:bottom w:val="none" w:sz="0" w:space="0" w:color="auto"/>
        <w:right w:val="none" w:sz="0" w:space="0" w:color="auto"/>
      </w:divBdr>
      <w:divsChild>
        <w:div w:id="1414469149">
          <w:marLeft w:val="0"/>
          <w:marRight w:val="0"/>
          <w:marTop w:val="0"/>
          <w:marBottom w:val="0"/>
          <w:divBdr>
            <w:top w:val="none" w:sz="0" w:space="0" w:color="auto"/>
            <w:left w:val="none" w:sz="0" w:space="0" w:color="auto"/>
            <w:bottom w:val="none" w:sz="0" w:space="0" w:color="auto"/>
            <w:right w:val="none" w:sz="0" w:space="0" w:color="auto"/>
          </w:divBdr>
        </w:div>
      </w:divsChild>
    </w:div>
    <w:div w:id="2069112796">
      <w:bodyDiv w:val="1"/>
      <w:marLeft w:val="0"/>
      <w:marRight w:val="0"/>
      <w:marTop w:val="0"/>
      <w:marBottom w:val="0"/>
      <w:divBdr>
        <w:top w:val="none" w:sz="0" w:space="0" w:color="auto"/>
        <w:left w:val="none" w:sz="0" w:space="0" w:color="auto"/>
        <w:bottom w:val="none" w:sz="0" w:space="0" w:color="auto"/>
        <w:right w:val="none" w:sz="0" w:space="0" w:color="auto"/>
      </w:divBdr>
    </w:div>
    <w:div w:id="2141217267">
      <w:bodyDiv w:val="1"/>
      <w:marLeft w:val="0"/>
      <w:marRight w:val="0"/>
      <w:marTop w:val="0"/>
      <w:marBottom w:val="0"/>
      <w:divBdr>
        <w:top w:val="none" w:sz="0" w:space="0" w:color="auto"/>
        <w:left w:val="none" w:sz="0" w:space="0" w:color="auto"/>
        <w:bottom w:val="none" w:sz="0" w:space="0" w:color="auto"/>
        <w:right w:val="none" w:sz="0" w:space="0" w:color="auto"/>
      </w:divBdr>
      <w:divsChild>
        <w:div w:id="618684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FAC45-D0C2-4483-94BF-F93874CC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295</TotalTime>
  <Pages>6</Pages>
  <Words>2112</Words>
  <Characters>12043</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14127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15</cp:revision>
  <cp:lastPrinted>1999-07-06T11:00:00Z</cp:lastPrinted>
  <dcterms:created xsi:type="dcterms:W3CDTF">2014-10-25T14:34:00Z</dcterms:created>
  <dcterms:modified xsi:type="dcterms:W3CDTF">2025-07-21T13:28:00Z</dcterms:modified>
</cp:coreProperties>
</file>