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46973" w14:textId="60F508D7" w:rsidR="008E65AB" w:rsidRPr="00101FB6" w:rsidRDefault="003B6D1C" w:rsidP="00101FB6">
      <w:pPr>
        <w:spacing w:after="120" w:line="240" w:lineRule="auto"/>
        <w:jc w:val="center"/>
        <w:rPr>
          <w:rFonts w:ascii="Arial" w:hAnsi="Arial" w:cs="Arial"/>
          <w:b/>
          <w:bCs/>
          <w:sz w:val="28"/>
          <w:szCs w:val="28"/>
        </w:rPr>
      </w:pPr>
      <w:r w:rsidRPr="003B6D1C">
        <w:rPr>
          <w:rFonts w:ascii="Arial" w:hAnsi="Arial" w:cs="Arial"/>
          <w:b/>
          <w:bCs/>
          <w:sz w:val="28"/>
          <w:szCs w:val="28"/>
        </w:rPr>
        <w:t>Effectiveness of Specific Nutritional Interventions in Reducing Stunting Prevalence in Batu Bara District, Indonesia</w:t>
      </w:r>
    </w:p>
    <w:p w14:paraId="1617C78E" w14:textId="2EBE264F" w:rsidR="002A4F24" w:rsidRDefault="002A4F24" w:rsidP="002A4F24">
      <w:pPr>
        <w:spacing w:after="0" w:line="240" w:lineRule="auto"/>
        <w:jc w:val="center"/>
        <w:outlineLvl w:val="0"/>
        <w:rPr>
          <w:rFonts w:ascii="Arial" w:hAnsi="Arial" w:cs="Arial"/>
        </w:rPr>
      </w:pPr>
    </w:p>
    <w:p w14:paraId="4FD05F98" w14:textId="77777777" w:rsidR="00DA5567" w:rsidRPr="00101FB6" w:rsidRDefault="00DA5567" w:rsidP="002A4F24">
      <w:pPr>
        <w:spacing w:after="0" w:line="240" w:lineRule="auto"/>
        <w:jc w:val="center"/>
        <w:outlineLvl w:val="0"/>
        <w:rPr>
          <w:rFonts w:ascii="Arial" w:hAnsi="Arial" w:cs="Arial"/>
        </w:rPr>
      </w:pPr>
      <w:bookmarkStart w:id="0" w:name="_GoBack"/>
      <w:bookmarkEnd w:id="0"/>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51129F8" w:rsidR="008E65AB" w:rsidRPr="00101FB6" w:rsidRDefault="003B6D1C" w:rsidP="00075AE4">
      <w:pPr>
        <w:spacing w:after="120" w:line="240" w:lineRule="auto"/>
        <w:jc w:val="both"/>
        <w:rPr>
          <w:rFonts w:ascii="Arial" w:hAnsi="Arial" w:cs="Arial"/>
        </w:rPr>
      </w:pPr>
      <w:r w:rsidRPr="003B6D1C">
        <w:rPr>
          <w:rFonts w:ascii="Arial" w:hAnsi="Arial" w:cs="Arial"/>
        </w:rPr>
        <w:t xml:space="preserve">Stunting is a persistent public health issue in Indonesia, particularly in districts such as Batu Bara, which has historically reported high prevalence rates. This study examines the effectiveness of specific nutritional interventions—namely Vitamin A supplementation and supplementary feeding—in reducing stunting prevalence from 2021 to 2023. Utilizing a cross-sectional design, secondary data from 12 sub-districts were analyzed through multiple regression modeling using EViews version 10, employing the Fixed Effect Model to determine statistical significance. Results indicate a substantial reduction in stunting prevalence, from 30.9% in 2021 to 15.7% in 2023. Vitamin A supplementation coverage reached 87.6%, while supplementary feeding achieved 78.6% coverage. Both interventions were found to significantly contribute to stunting reduction (p &lt; 0.05), with the most notable impact observed in </w:t>
      </w:r>
      <w:proofErr w:type="spellStart"/>
      <w:r w:rsidRPr="003B6D1C">
        <w:rPr>
          <w:rFonts w:ascii="Arial" w:hAnsi="Arial" w:cs="Arial"/>
        </w:rPr>
        <w:t>Medang</w:t>
      </w:r>
      <w:proofErr w:type="spellEnd"/>
      <w:r w:rsidRPr="003B6D1C">
        <w:rPr>
          <w:rFonts w:ascii="Arial" w:hAnsi="Arial" w:cs="Arial"/>
        </w:rPr>
        <w:t xml:space="preserve"> </w:t>
      </w:r>
      <w:proofErr w:type="spellStart"/>
      <w:r w:rsidRPr="003B6D1C">
        <w:rPr>
          <w:rFonts w:ascii="Arial" w:hAnsi="Arial" w:cs="Arial"/>
        </w:rPr>
        <w:t>Deras</w:t>
      </w:r>
      <w:proofErr w:type="spellEnd"/>
      <w:r w:rsidRPr="003B6D1C">
        <w:rPr>
          <w:rFonts w:ascii="Arial" w:hAnsi="Arial" w:cs="Arial"/>
        </w:rPr>
        <w:t xml:space="preserve"> and Ujung Kubu. These findings underscore the importance of sustained inter-sectoral coordination and community engagement to close implementation gaps and meet Indonesia’s national target of 14% by 2024.</w:t>
      </w:r>
    </w:p>
    <w:p w14:paraId="16D8ED83" w14:textId="4B795EA6"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w:t>
      </w:r>
      <w:r w:rsidR="003B6D1C" w:rsidRPr="003B6D1C">
        <w:rPr>
          <w:rFonts w:ascii="Arial" w:hAnsi="Arial" w:cs="Arial"/>
        </w:rPr>
        <w:t>Stunting, Vitamin A, Nutritional Interventions, Supplementary Feeding, Public Health, Indonesia, Batu Bara</w:t>
      </w:r>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Introduction</w:t>
      </w:r>
    </w:p>
    <w:p w14:paraId="5A309055" w14:textId="173D986D" w:rsidR="003B6D1C" w:rsidRPr="003B6D1C" w:rsidRDefault="003B6D1C" w:rsidP="003B6D1C">
      <w:pPr>
        <w:spacing w:after="120" w:line="240" w:lineRule="auto"/>
        <w:jc w:val="both"/>
        <w:rPr>
          <w:rFonts w:ascii="Arial" w:hAnsi="Arial" w:cs="Arial"/>
        </w:rPr>
      </w:pPr>
      <w:r w:rsidRPr="003B6D1C">
        <w:rPr>
          <w:rFonts w:ascii="Arial" w:hAnsi="Arial" w:cs="Arial"/>
        </w:rPr>
        <w:t>Stunting is a chronic linear growth disorder that serves not only as an indicator of long-term nutritional deficiency but also as a reflection of broader socio-economic disparities. The World Health Organization (WHO) defines stunting as a child's height being more than two standard deviations below the median height-for-age and has consistently linked it to diminished cognitive development, economic productivity, and long-term health outcomes (</w:t>
      </w:r>
      <w:r w:rsidR="00B401DA" w:rsidRPr="00B401DA">
        <w:rPr>
          <w:rFonts w:ascii="Arial" w:hAnsi="Arial" w:cs="Arial"/>
        </w:rPr>
        <w:t>Deshpande</w:t>
      </w:r>
      <w:r w:rsidR="00B401DA">
        <w:rPr>
          <w:rFonts w:ascii="Arial" w:hAnsi="Arial" w:cs="Arial"/>
        </w:rPr>
        <w:t>.,</w:t>
      </w:r>
      <w:r w:rsidRPr="003B6D1C">
        <w:rPr>
          <w:rFonts w:ascii="Arial" w:hAnsi="Arial" w:cs="Arial"/>
        </w:rPr>
        <w:t xml:space="preserve"> 202</w:t>
      </w:r>
      <w:r w:rsidR="00B401DA">
        <w:rPr>
          <w:rFonts w:ascii="Arial" w:hAnsi="Arial" w:cs="Arial"/>
        </w:rPr>
        <w:t xml:space="preserve">2, </w:t>
      </w:r>
      <w:proofErr w:type="spellStart"/>
      <w:r w:rsidR="00B401DA" w:rsidRPr="00B401DA">
        <w:rPr>
          <w:rFonts w:ascii="Arial" w:hAnsi="Arial" w:cs="Arial"/>
        </w:rPr>
        <w:t>Ekholuenetale</w:t>
      </w:r>
      <w:proofErr w:type="spellEnd"/>
      <w:r w:rsidR="00B401DA">
        <w:rPr>
          <w:rFonts w:ascii="Arial" w:hAnsi="Arial" w:cs="Arial"/>
        </w:rPr>
        <w:t>., 2020</w:t>
      </w:r>
      <w:r w:rsidRPr="003B6D1C">
        <w:rPr>
          <w:rFonts w:ascii="Arial" w:hAnsi="Arial" w:cs="Arial"/>
        </w:rPr>
        <w:t>).</w:t>
      </w:r>
    </w:p>
    <w:p w14:paraId="5ED4BCB7" w14:textId="508D8B30" w:rsidR="003B6D1C" w:rsidRPr="003B6D1C" w:rsidRDefault="003B6D1C" w:rsidP="003B6D1C">
      <w:pPr>
        <w:spacing w:after="120" w:line="240" w:lineRule="auto"/>
        <w:jc w:val="both"/>
        <w:rPr>
          <w:rFonts w:ascii="Arial" w:hAnsi="Arial" w:cs="Arial"/>
        </w:rPr>
      </w:pPr>
      <w:r w:rsidRPr="003B6D1C">
        <w:rPr>
          <w:rFonts w:ascii="Arial" w:hAnsi="Arial" w:cs="Arial"/>
        </w:rPr>
        <w:t>Indonesia is among the countries with the highest burden of stunting globally, with a national prevalence of 21.6% in 2022 according to the Indonesian Nutrition Status Survey (SSGI). The Indonesian government, through national policy instruments including Presidential Regulation No. 72 of 2021, aims to reduce this figure to 14% by the end of 2024. The role of local governments is particularly pivotal, as the implementation of nutritional programs occurs at the community and household levels (</w:t>
      </w:r>
      <w:r w:rsidR="00B401DA">
        <w:rPr>
          <w:rFonts w:ascii="Arial" w:hAnsi="Arial" w:cs="Arial"/>
        </w:rPr>
        <w:t>Belinda</w:t>
      </w:r>
      <w:r w:rsidRPr="003B6D1C">
        <w:rPr>
          <w:rFonts w:ascii="Arial" w:hAnsi="Arial" w:cs="Arial"/>
        </w:rPr>
        <w:t>, 202</w:t>
      </w:r>
      <w:r w:rsidR="00B401DA">
        <w:rPr>
          <w:rFonts w:ascii="Arial" w:hAnsi="Arial" w:cs="Arial"/>
        </w:rPr>
        <w:t>0</w:t>
      </w:r>
      <w:r w:rsidRPr="003B6D1C">
        <w:rPr>
          <w:rFonts w:ascii="Arial" w:hAnsi="Arial" w:cs="Arial"/>
        </w:rPr>
        <w:t>).</w:t>
      </w:r>
    </w:p>
    <w:p w14:paraId="3CACD18C" w14:textId="4ECCBD5E" w:rsidR="003B6D1C" w:rsidRPr="003B6D1C" w:rsidRDefault="003B6D1C" w:rsidP="003B6D1C">
      <w:pPr>
        <w:spacing w:after="120" w:line="240" w:lineRule="auto"/>
        <w:jc w:val="both"/>
        <w:rPr>
          <w:rFonts w:ascii="Arial" w:hAnsi="Arial" w:cs="Arial"/>
        </w:rPr>
      </w:pPr>
      <w:r w:rsidRPr="003B6D1C">
        <w:rPr>
          <w:rFonts w:ascii="Arial" w:hAnsi="Arial" w:cs="Arial"/>
        </w:rPr>
        <w:t>Stunting has a multifactorial etiology, encompassing biomedical, behavioral, and environmental dimensions. Multiple studies have identified critical risk factors contributing to stunting in Indonesia, such as maternal chronic energy deficiency (CED) during pregnancy, suboptimal exclusive breastfeeding practices, poor sanitation, and limited household nutritional knowledge (</w:t>
      </w:r>
      <w:r w:rsidR="00B401DA">
        <w:rPr>
          <w:rFonts w:ascii="Arial" w:hAnsi="Arial" w:cs="Arial"/>
        </w:rPr>
        <w:t>Wati</w:t>
      </w:r>
      <w:r w:rsidRPr="003B6D1C">
        <w:rPr>
          <w:rFonts w:ascii="Arial" w:hAnsi="Arial" w:cs="Arial"/>
        </w:rPr>
        <w:t>., 202</w:t>
      </w:r>
      <w:r w:rsidR="00B401DA">
        <w:rPr>
          <w:rFonts w:ascii="Arial" w:hAnsi="Arial" w:cs="Arial"/>
        </w:rPr>
        <w:t xml:space="preserve">4, </w:t>
      </w:r>
      <w:proofErr w:type="spellStart"/>
      <w:r w:rsidR="00E87A0B">
        <w:rPr>
          <w:rFonts w:ascii="Arial" w:hAnsi="Arial" w:cs="Arial"/>
        </w:rPr>
        <w:t>Rachmi</w:t>
      </w:r>
      <w:proofErr w:type="spellEnd"/>
      <w:r w:rsidR="00E87A0B">
        <w:rPr>
          <w:rFonts w:ascii="Arial" w:hAnsi="Arial" w:cs="Arial"/>
        </w:rPr>
        <w:t>., 2024</w:t>
      </w:r>
      <w:r w:rsidRPr="003B6D1C">
        <w:rPr>
          <w:rFonts w:ascii="Arial" w:hAnsi="Arial" w:cs="Arial"/>
        </w:rPr>
        <w:t>).</w:t>
      </w:r>
    </w:p>
    <w:p w14:paraId="21B6666E" w14:textId="5EDB54F5" w:rsidR="003B6D1C" w:rsidRPr="003B6D1C" w:rsidRDefault="003B6D1C" w:rsidP="003B6D1C">
      <w:pPr>
        <w:spacing w:after="120" w:line="240" w:lineRule="auto"/>
        <w:jc w:val="both"/>
        <w:rPr>
          <w:rFonts w:ascii="Arial" w:hAnsi="Arial" w:cs="Arial"/>
        </w:rPr>
      </w:pPr>
      <w:r w:rsidRPr="003B6D1C">
        <w:rPr>
          <w:rFonts w:ascii="Arial" w:hAnsi="Arial" w:cs="Arial"/>
        </w:rPr>
        <w:t>Vitamin A is an essential micronutrient directly involved in child growth, immune function, and ocular health. Deficiency in vitamin A not only increases vulnerability to infections but is also strongly associated with growth impairment. In Indonesia, the government implements biannual vitamin A supplementation, although coverage remains inconsistent across regions (</w:t>
      </w:r>
      <w:r w:rsidR="00E87A0B">
        <w:rPr>
          <w:rFonts w:ascii="Arial" w:hAnsi="Arial" w:cs="Arial"/>
        </w:rPr>
        <w:t>Niguse</w:t>
      </w:r>
      <w:r w:rsidRPr="003B6D1C">
        <w:rPr>
          <w:rFonts w:ascii="Arial" w:hAnsi="Arial" w:cs="Arial"/>
        </w:rPr>
        <w:t>, 20</w:t>
      </w:r>
      <w:r w:rsidR="00E87A0B">
        <w:rPr>
          <w:rFonts w:ascii="Arial" w:hAnsi="Arial" w:cs="Arial"/>
        </w:rPr>
        <w:t xml:space="preserve">21, </w:t>
      </w:r>
      <w:r w:rsidR="00B950A4">
        <w:rPr>
          <w:rFonts w:ascii="Arial" w:hAnsi="Arial" w:cs="Arial"/>
        </w:rPr>
        <w:t xml:space="preserve">WHO 2011, </w:t>
      </w:r>
      <w:proofErr w:type="spellStart"/>
      <w:r w:rsidR="00B950A4">
        <w:rPr>
          <w:rFonts w:ascii="Arial" w:hAnsi="Arial" w:cs="Arial"/>
        </w:rPr>
        <w:t>Unicef</w:t>
      </w:r>
      <w:proofErr w:type="spellEnd"/>
      <w:r w:rsidR="00B950A4">
        <w:rPr>
          <w:rFonts w:ascii="Arial" w:hAnsi="Arial" w:cs="Arial"/>
        </w:rPr>
        <w:t xml:space="preserve"> 2022</w:t>
      </w:r>
      <w:r w:rsidRPr="003B6D1C">
        <w:rPr>
          <w:rFonts w:ascii="Arial" w:hAnsi="Arial" w:cs="Arial"/>
        </w:rPr>
        <w:t>).</w:t>
      </w:r>
    </w:p>
    <w:p w14:paraId="080FE284" w14:textId="69807C18" w:rsidR="003B6D1C" w:rsidRPr="003B6D1C" w:rsidRDefault="003B6D1C" w:rsidP="003B6D1C">
      <w:pPr>
        <w:spacing w:after="120" w:line="240" w:lineRule="auto"/>
        <w:jc w:val="both"/>
        <w:rPr>
          <w:rFonts w:ascii="Arial" w:hAnsi="Arial" w:cs="Arial"/>
        </w:rPr>
      </w:pPr>
      <w:r w:rsidRPr="003B6D1C">
        <w:rPr>
          <w:rFonts w:ascii="Arial" w:hAnsi="Arial" w:cs="Arial"/>
        </w:rPr>
        <w:lastRenderedPageBreak/>
        <w:t>The effectiveness of vitamin A supplementation in reducing stunting has been demonstrated in various intervention trials. Research across different countries shows that regular vitamin A intake accelerates growth and strengthens immune response in children. However, program success depends heavily on the consistency, coverage, and sustainability of implementation (</w:t>
      </w:r>
      <w:r w:rsidR="00B950A4">
        <w:rPr>
          <w:rFonts w:ascii="Arial" w:hAnsi="Arial" w:cs="Arial"/>
        </w:rPr>
        <w:t>Villamor</w:t>
      </w:r>
      <w:r w:rsidRPr="003B6D1C">
        <w:rPr>
          <w:rFonts w:ascii="Arial" w:hAnsi="Arial" w:cs="Arial"/>
        </w:rPr>
        <w:t>., 20</w:t>
      </w:r>
      <w:r w:rsidR="00B950A4">
        <w:rPr>
          <w:rFonts w:ascii="Arial" w:hAnsi="Arial" w:cs="Arial"/>
        </w:rPr>
        <w:t xml:space="preserve">05, </w:t>
      </w:r>
      <w:r w:rsidR="00225305">
        <w:rPr>
          <w:rFonts w:ascii="Arial" w:hAnsi="Arial" w:cs="Arial"/>
        </w:rPr>
        <w:t>Wirth., 2017</w:t>
      </w:r>
      <w:r w:rsidRPr="003B6D1C">
        <w:rPr>
          <w:rFonts w:ascii="Arial" w:hAnsi="Arial" w:cs="Arial"/>
        </w:rPr>
        <w:t>).</w:t>
      </w:r>
    </w:p>
    <w:p w14:paraId="72C9824A" w14:textId="6D1AF1B4" w:rsidR="003B6D1C" w:rsidRPr="003B6D1C" w:rsidRDefault="003B6D1C" w:rsidP="003B6D1C">
      <w:pPr>
        <w:spacing w:after="120" w:line="240" w:lineRule="auto"/>
        <w:jc w:val="both"/>
        <w:rPr>
          <w:rFonts w:ascii="Arial" w:hAnsi="Arial" w:cs="Arial"/>
        </w:rPr>
      </w:pPr>
      <w:r w:rsidRPr="003B6D1C">
        <w:rPr>
          <w:rFonts w:ascii="Arial" w:hAnsi="Arial" w:cs="Arial"/>
        </w:rPr>
        <w:t>In addition to vitamin A, supplementary feeding (PMT) is a crucial component of specific nutritional interventions. PMT addresses macro- and micronutrient gaps, particularly among underprivileged children. The Indonesian Ministry of Health operationalizes this through district-level health offices targeting children under five who are at high nutritional risk (</w:t>
      </w:r>
      <w:r w:rsidR="00225305">
        <w:rPr>
          <w:rFonts w:ascii="Arial" w:hAnsi="Arial" w:cs="Arial"/>
        </w:rPr>
        <w:t>UNICEF</w:t>
      </w:r>
      <w:r w:rsidRPr="003B6D1C">
        <w:rPr>
          <w:rFonts w:ascii="Arial" w:hAnsi="Arial" w:cs="Arial"/>
        </w:rPr>
        <w:t>, 202</w:t>
      </w:r>
      <w:r w:rsidR="00225305">
        <w:rPr>
          <w:rFonts w:ascii="Arial" w:hAnsi="Arial" w:cs="Arial"/>
        </w:rPr>
        <w:t>2</w:t>
      </w:r>
      <w:r w:rsidRPr="003B6D1C">
        <w:rPr>
          <w:rFonts w:ascii="Arial" w:hAnsi="Arial" w:cs="Arial"/>
        </w:rPr>
        <w:t>).</w:t>
      </w:r>
    </w:p>
    <w:p w14:paraId="657D7800" w14:textId="5C0F838E" w:rsidR="003B6D1C" w:rsidRPr="003B6D1C" w:rsidRDefault="003B6D1C" w:rsidP="003B6D1C">
      <w:pPr>
        <w:spacing w:after="120" w:line="240" w:lineRule="auto"/>
        <w:jc w:val="both"/>
        <w:rPr>
          <w:rFonts w:ascii="Arial" w:hAnsi="Arial" w:cs="Arial"/>
        </w:rPr>
      </w:pPr>
      <w:r w:rsidRPr="003B6D1C">
        <w:rPr>
          <w:rFonts w:ascii="Arial" w:hAnsi="Arial" w:cs="Arial"/>
        </w:rPr>
        <w:t>Beyond nutrition-specific actions, a multisectoral approach is indispensable. Longitudinal studies in Indonesia have shown that community-based interventions involving family, health services, education, and water and sanitation improvements yield significant and sustained reductions in stunting prevalence (</w:t>
      </w:r>
      <w:r w:rsidR="00225305">
        <w:rPr>
          <w:rFonts w:ascii="Arial" w:hAnsi="Arial" w:cs="Arial"/>
        </w:rPr>
        <w:t>Rah</w:t>
      </w:r>
      <w:r w:rsidRPr="003B6D1C">
        <w:rPr>
          <w:rFonts w:ascii="Arial" w:hAnsi="Arial" w:cs="Arial"/>
        </w:rPr>
        <w:t>, 2020).</w:t>
      </w:r>
    </w:p>
    <w:p w14:paraId="3492C3F4" w14:textId="7AFA39D2" w:rsidR="003B6D1C" w:rsidRPr="003B6D1C" w:rsidRDefault="003B6D1C" w:rsidP="003B6D1C">
      <w:pPr>
        <w:spacing w:after="120" w:line="240" w:lineRule="auto"/>
        <w:jc w:val="both"/>
        <w:rPr>
          <w:rFonts w:ascii="Arial" w:hAnsi="Arial" w:cs="Arial"/>
        </w:rPr>
      </w:pPr>
      <w:r w:rsidRPr="003B6D1C">
        <w:rPr>
          <w:rFonts w:ascii="Arial" w:hAnsi="Arial" w:cs="Arial"/>
        </w:rPr>
        <w:t>The first 1,000 days of life—from conception to a child’s second birthday—have been identified as the most critical window for stunting prevention. Interventions during this period, including maternal nutrition, antenatal care, early initiation of breastfeeding, and complementary feeding, are vital to ensuring optimal growth and development (</w:t>
      </w:r>
      <w:proofErr w:type="spellStart"/>
      <w:r w:rsidR="00225305">
        <w:rPr>
          <w:rFonts w:ascii="Arial" w:hAnsi="Arial" w:cs="Arial"/>
        </w:rPr>
        <w:t>Torlese</w:t>
      </w:r>
      <w:proofErr w:type="spellEnd"/>
      <w:r w:rsidRPr="003B6D1C">
        <w:rPr>
          <w:rFonts w:ascii="Arial" w:hAnsi="Arial" w:cs="Arial"/>
        </w:rPr>
        <w:t>., 20</w:t>
      </w:r>
      <w:r w:rsidR="00225305">
        <w:rPr>
          <w:rFonts w:ascii="Arial" w:hAnsi="Arial" w:cs="Arial"/>
        </w:rPr>
        <w:t>21</w:t>
      </w:r>
      <w:r w:rsidRPr="003B6D1C">
        <w:rPr>
          <w:rFonts w:ascii="Arial" w:hAnsi="Arial" w:cs="Arial"/>
        </w:rPr>
        <w:t>).</w:t>
      </w:r>
    </w:p>
    <w:p w14:paraId="6EB08C7C" w14:textId="50C3D1EF" w:rsidR="003B6D1C" w:rsidRPr="003B6D1C" w:rsidRDefault="003B6D1C" w:rsidP="003B6D1C">
      <w:pPr>
        <w:spacing w:after="120" w:line="240" w:lineRule="auto"/>
        <w:jc w:val="both"/>
        <w:rPr>
          <w:rFonts w:ascii="Arial" w:hAnsi="Arial" w:cs="Arial"/>
        </w:rPr>
      </w:pPr>
      <w:r w:rsidRPr="003B6D1C">
        <w:rPr>
          <w:rFonts w:ascii="Arial" w:hAnsi="Arial" w:cs="Arial"/>
        </w:rPr>
        <w:t>However, disparities in implementation remain a major challenge. Districts with low healthcare access, inadequate health workforce distribution, and limited community engagement often struggle to meet program targets, despite national-level guidelines and support. Monitoring and evaluation mechanisms are thus essential to track intervention coverage and adapt strategies accordingly.</w:t>
      </w:r>
    </w:p>
    <w:p w14:paraId="065C6DAA" w14:textId="060A6052" w:rsidR="008E65AB" w:rsidRPr="00101FB6" w:rsidRDefault="003B6D1C" w:rsidP="003B6D1C">
      <w:pPr>
        <w:spacing w:after="120" w:line="240" w:lineRule="auto"/>
        <w:jc w:val="both"/>
        <w:rPr>
          <w:rFonts w:ascii="Arial" w:hAnsi="Arial" w:cs="Arial"/>
        </w:rPr>
      </w:pPr>
      <w:r w:rsidRPr="003B6D1C">
        <w:rPr>
          <w:rFonts w:ascii="Arial" w:hAnsi="Arial" w:cs="Arial"/>
        </w:rPr>
        <w:t>Batu Bara District in North Sumatra, once reporting stunting rates as high as 30.9%, has been a key focus of local government interventions. With the adoption of Vitamin A supplementation and supplementary feeding integrated into district and village development plans, stunting rates have significantly declined. Nevertheless, inter-subdistrict disparities and implementation gaps necessitate further empirical evaluation to inform strategic policy decisions and ensure equitable health outcomes by 2024.</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4A02A5AA" w14:textId="77777777" w:rsidR="00A27659" w:rsidRDefault="00A27659" w:rsidP="00075AE4">
      <w:pPr>
        <w:spacing w:after="120" w:line="240" w:lineRule="auto"/>
        <w:jc w:val="both"/>
        <w:rPr>
          <w:rFonts w:ascii="Arial" w:hAnsi="Arial" w:cs="Arial"/>
          <w:b/>
          <w:bCs/>
        </w:rPr>
      </w:pPr>
      <w:r w:rsidRPr="00A27659">
        <w:rPr>
          <w:rFonts w:ascii="Arial" w:hAnsi="Arial" w:cs="Arial"/>
          <w:b/>
          <w:bCs/>
        </w:rPr>
        <w:t>2.1 Research Approach and Design</w:t>
      </w:r>
    </w:p>
    <w:p w14:paraId="5D0AF78F" w14:textId="621CCA67" w:rsidR="008E65AB" w:rsidRDefault="00A27659" w:rsidP="00075AE4">
      <w:pPr>
        <w:spacing w:after="120" w:line="240" w:lineRule="auto"/>
        <w:jc w:val="both"/>
        <w:rPr>
          <w:rFonts w:ascii="Arial" w:hAnsi="Arial" w:cs="Arial"/>
        </w:rPr>
      </w:pPr>
      <w:r w:rsidRPr="00A27659">
        <w:rPr>
          <w:rFonts w:ascii="Arial" w:hAnsi="Arial" w:cs="Arial"/>
        </w:rPr>
        <w:t>This study utilized a quantitative cross-sectional research design to examine the relationship between specific nutritional interventions and stunting prevalence in Batu Bara District. A cross-sectional approach was chosen to capture a snapshot of intervention implementation and its outcomes across all 12 sub-districts during the year 2023</w:t>
      </w:r>
      <w:r w:rsidR="008E65AB" w:rsidRPr="00101FB6">
        <w:rPr>
          <w:rFonts w:ascii="Arial" w:hAnsi="Arial" w:cs="Arial"/>
        </w:rPr>
        <w:t>.</w:t>
      </w:r>
    </w:p>
    <w:p w14:paraId="058DC736" w14:textId="2B200469" w:rsidR="00A27659" w:rsidRDefault="00A27659" w:rsidP="00075AE4">
      <w:pPr>
        <w:spacing w:after="120" w:line="240" w:lineRule="auto"/>
        <w:jc w:val="both"/>
        <w:rPr>
          <w:rFonts w:ascii="Arial" w:hAnsi="Arial" w:cs="Arial"/>
        </w:rPr>
      </w:pPr>
    </w:p>
    <w:p w14:paraId="065606EA" w14:textId="77777777" w:rsidR="00A27659" w:rsidRPr="00101FB6" w:rsidRDefault="00A27659" w:rsidP="00075AE4">
      <w:pPr>
        <w:spacing w:after="120" w:line="240" w:lineRule="auto"/>
        <w:jc w:val="both"/>
        <w:rPr>
          <w:rFonts w:ascii="Arial" w:hAnsi="Arial" w:cs="Arial"/>
        </w:rPr>
      </w:pPr>
    </w:p>
    <w:p w14:paraId="08C804E4" w14:textId="24B1F51B"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w:t>
      </w:r>
      <w:r w:rsidR="00A27659" w:rsidRPr="00A27659">
        <w:rPr>
          <w:rFonts w:ascii="Arial" w:hAnsi="Arial" w:cs="Arial"/>
          <w:b/>
          <w:bCs/>
        </w:rPr>
        <w:t>Population and Sample</w:t>
      </w:r>
    </w:p>
    <w:p w14:paraId="7B577469" w14:textId="256166D5" w:rsidR="008E65AB" w:rsidRDefault="00A27659" w:rsidP="00075AE4">
      <w:pPr>
        <w:spacing w:after="120" w:line="240" w:lineRule="auto"/>
        <w:jc w:val="both"/>
        <w:rPr>
          <w:rFonts w:ascii="Arial" w:hAnsi="Arial" w:cs="Arial"/>
        </w:rPr>
      </w:pPr>
      <w:r w:rsidRPr="00A27659">
        <w:rPr>
          <w:rFonts w:ascii="Arial" w:hAnsi="Arial" w:cs="Arial"/>
        </w:rPr>
        <w:t>The population consisted of all children under the age of five residing in Batu Bara District from 2021 to 2023. The unit of analysis was at the sub-district level (</w:t>
      </w:r>
      <w:proofErr w:type="spellStart"/>
      <w:r w:rsidRPr="00A27659">
        <w:rPr>
          <w:rFonts w:ascii="Arial" w:hAnsi="Arial" w:cs="Arial"/>
        </w:rPr>
        <w:t>kecamatan</w:t>
      </w:r>
      <w:proofErr w:type="spellEnd"/>
      <w:r w:rsidRPr="00A27659">
        <w:rPr>
          <w:rFonts w:ascii="Arial" w:hAnsi="Arial" w:cs="Arial"/>
        </w:rPr>
        <w:t>), totaling 12 units. Given the census-like nature of the data, all 12 sub-districts were included, making the sampling exhaustive (total sampling technique).</w:t>
      </w:r>
    </w:p>
    <w:p w14:paraId="24B2B134" w14:textId="77777777" w:rsidR="00A27659" w:rsidRPr="00101FB6" w:rsidRDefault="00A27659" w:rsidP="00075AE4">
      <w:pPr>
        <w:spacing w:after="120" w:line="240" w:lineRule="auto"/>
        <w:jc w:val="both"/>
        <w:rPr>
          <w:rFonts w:ascii="Arial" w:hAnsi="Arial" w:cs="Arial"/>
        </w:rPr>
      </w:pPr>
    </w:p>
    <w:p w14:paraId="6519DF4C" w14:textId="425A8306"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2.3 </w:t>
      </w:r>
      <w:r w:rsidR="00A27659" w:rsidRPr="00A27659">
        <w:rPr>
          <w:rFonts w:ascii="Arial" w:hAnsi="Arial" w:cs="Arial"/>
          <w:b/>
          <w:bCs/>
        </w:rPr>
        <w:t>Data Collection</w:t>
      </w:r>
    </w:p>
    <w:p w14:paraId="6AE9EC93" w14:textId="1E930424" w:rsidR="008E65AB" w:rsidRDefault="00A27659" w:rsidP="00A27659">
      <w:pPr>
        <w:spacing w:after="120" w:line="240" w:lineRule="auto"/>
        <w:jc w:val="both"/>
        <w:rPr>
          <w:rFonts w:ascii="Arial" w:hAnsi="Arial" w:cs="Arial"/>
        </w:rPr>
      </w:pPr>
      <w:r w:rsidRPr="00A27659">
        <w:rPr>
          <w:rFonts w:ascii="Arial" w:hAnsi="Arial" w:cs="Arial"/>
        </w:rPr>
        <w:t xml:space="preserve">Data were obtained from secondary sources, including the District Health Office and </w:t>
      </w:r>
      <w:proofErr w:type="spellStart"/>
      <w:r w:rsidRPr="00A27659">
        <w:rPr>
          <w:rFonts w:ascii="Arial" w:hAnsi="Arial" w:cs="Arial"/>
        </w:rPr>
        <w:t>Bappeda</w:t>
      </w:r>
      <w:proofErr w:type="spellEnd"/>
      <w:r w:rsidRPr="00A27659">
        <w:rPr>
          <w:rFonts w:ascii="Arial" w:hAnsi="Arial" w:cs="Arial"/>
        </w:rPr>
        <w:t xml:space="preserve"> </w:t>
      </w:r>
      <w:proofErr w:type="spellStart"/>
      <w:r w:rsidRPr="00A27659">
        <w:rPr>
          <w:rFonts w:ascii="Arial" w:hAnsi="Arial" w:cs="Arial"/>
        </w:rPr>
        <w:t>Batu</w:t>
      </w:r>
      <w:proofErr w:type="spellEnd"/>
      <w:r w:rsidRPr="00A27659">
        <w:rPr>
          <w:rFonts w:ascii="Arial" w:hAnsi="Arial" w:cs="Arial"/>
        </w:rPr>
        <w:t xml:space="preserve"> Bara. Variables collected included the number of children receiving Vitamin A, children receiving supplementary food, and reported stunting cases in each sub-district. Observations also covered program coverage levels and health infrastructure data across different geographic areas.</w:t>
      </w:r>
    </w:p>
    <w:p w14:paraId="0912A2F6" w14:textId="77777777" w:rsidR="00A27659" w:rsidRPr="00101FB6" w:rsidRDefault="00A27659" w:rsidP="00A27659">
      <w:pPr>
        <w:spacing w:after="120" w:line="240" w:lineRule="auto"/>
        <w:jc w:val="both"/>
        <w:rPr>
          <w:rFonts w:ascii="Arial" w:hAnsi="Arial" w:cs="Arial"/>
        </w:rPr>
      </w:pPr>
    </w:p>
    <w:p w14:paraId="2B25C0D5" w14:textId="0D8E139C"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w:t>
      </w:r>
      <w:r w:rsidR="00A27659" w:rsidRPr="00A27659">
        <w:rPr>
          <w:rFonts w:ascii="Arial" w:hAnsi="Arial" w:cs="Arial"/>
          <w:b/>
          <w:bCs/>
        </w:rPr>
        <w:t>Operational Definitions and Variables</w:t>
      </w:r>
    </w:p>
    <w:p w14:paraId="16841584" w14:textId="32046B88" w:rsidR="00A27659" w:rsidRPr="00A27659" w:rsidRDefault="00A27659" w:rsidP="00A27659">
      <w:pPr>
        <w:spacing w:after="120" w:line="240" w:lineRule="auto"/>
        <w:jc w:val="both"/>
        <w:rPr>
          <w:rFonts w:ascii="Arial" w:hAnsi="Arial" w:cs="Arial"/>
        </w:rPr>
      </w:pPr>
      <w:r w:rsidRPr="00A27659">
        <w:rPr>
          <w:rFonts w:ascii="Arial" w:hAnsi="Arial" w:cs="Arial"/>
        </w:rPr>
        <w:t>The dependent variable was the prevalence of stunting, operationalized as the percentage of stunted children out of the total number of children under five in each sub-district. Independent variables included:</w:t>
      </w:r>
    </w:p>
    <w:p w14:paraId="27191A56" w14:textId="0B75AA94" w:rsidR="00A27659" w:rsidRPr="00A27659" w:rsidRDefault="00A27659" w:rsidP="00A27659">
      <w:pPr>
        <w:pStyle w:val="ListParagraph"/>
        <w:numPr>
          <w:ilvl w:val="0"/>
          <w:numId w:val="12"/>
        </w:numPr>
        <w:spacing w:after="120" w:line="240" w:lineRule="auto"/>
        <w:ind w:left="180" w:hanging="180"/>
        <w:jc w:val="both"/>
        <w:rPr>
          <w:rFonts w:ascii="Arial" w:hAnsi="Arial" w:cs="Arial"/>
        </w:rPr>
      </w:pPr>
      <w:r w:rsidRPr="00A27659">
        <w:rPr>
          <w:rFonts w:ascii="Arial" w:hAnsi="Arial" w:cs="Arial"/>
        </w:rPr>
        <w:t>Vitamin A Supplementation: the percentage of children who received vitamin A capsules during scheduled distribution periods.</w:t>
      </w:r>
    </w:p>
    <w:p w14:paraId="77D62F61" w14:textId="77777777" w:rsidR="00A27659" w:rsidRPr="00A27659" w:rsidRDefault="00A27659" w:rsidP="00A27659">
      <w:pPr>
        <w:pStyle w:val="ListParagraph"/>
        <w:numPr>
          <w:ilvl w:val="0"/>
          <w:numId w:val="12"/>
        </w:numPr>
        <w:spacing w:after="120" w:line="240" w:lineRule="auto"/>
        <w:ind w:left="180" w:hanging="180"/>
        <w:jc w:val="both"/>
        <w:rPr>
          <w:rFonts w:ascii="Arial" w:hAnsi="Arial" w:cs="Arial"/>
          <w:b/>
          <w:bCs/>
        </w:rPr>
      </w:pPr>
      <w:r w:rsidRPr="00A27659">
        <w:rPr>
          <w:rFonts w:ascii="Arial" w:hAnsi="Arial" w:cs="Arial"/>
        </w:rPr>
        <w:t>Supplementary Feeding: the percentage of under-five children who received additional nutrition through government-supported food programs.</w:t>
      </w:r>
    </w:p>
    <w:p w14:paraId="6EE49193" w14:textId="77777777" w:rsidR="00A27659" w:rsidRPr="00A27659" w:rsidRDefault="00A27659" w:rsidP="00A27659">
      <w:pPr>
        <w:pStyle w:val="ListParagraph"/>
        <w:rPr>
          <w:rFonts w:ascii="Arial" w:hAnsi="Arial" w:cs="Arial"/>
          <w:b/>
          <w:bCs/>
        </w:rPr>
      </w:pPr>
    </w:p>
    <w:p w14:paraId="63EF99F7" w14:textId="71A42856" w:rsidR="008E65AB" w:rsidRPr="00A27659" w:rsidRDefault="008E65AB" w:rsidP="00A27659">
      <w:pPr>
        <w:spacing w:after="120" w:line="240" w:lineRule="auto"/>
        <w:jc w:val="both"/>
        <w:rPr>
          <w:rFonts w:ascii="Arial" w:hAnsi="Arial" w:cs="Arial"/>
          <w:b/>
          <w:bCs/>
        </w:rPr>
      </w:pPr>
      <w:r w:rsidRPr="00A27659">
        <w:rPr>
          <w:rFonts w:ascii="Arial" w:hAnsi="Arial" w:cs="Arial"/>
          <w:b/>
          <w:bCs/>
        </w:rPr>
        <w:t xml:space="preserve">2.5 </w:t>
      </w:r>
      <w:r w:rsidR="00A27659" w:rsidRPr="00A27659">
        <w:rPr>
          <w:rFonts w:ascii="Arial" w:hAnsi="Arial" w:cs="Arial"/>
          <w:b/>
          <w:bCs/>
        </w:rPr>
        <w:t>Validity and Reliability Testing</w:t>
      </w:r>
    </w:p>
    <w:p w14:paraId="1E9E4682" w14:textId="220005E0" w:rsidR="008E65AB" w:rsidRPr="00101FB6" w:rsidRDefault="00A27659" w:rsidP="00075AE4">
      <w:pPr>
        <w:spacing w:after="120" w:line="240" w:lineRule="auto"/>
        <w:jc w:val="both"/>
        <w:rPr>
          <w:rFonts w:ascii="Arial" w:hAnsi="Arial" w:cs="Arial"/>
        </w:rPr>
      </w:pPr>
      <w:r w:rsidRPr="00A27659">
        <w:rPr>
          <w:rFonts w:ascii="Arial" w:hAnsi="Arial" w:cs="Arial"/>
        </w:rPr>
        <w:t>As secondary data from government institutions were used, content validity was ensured through official standardization of definitions and indicators. Reliability was assessed through consistency checks between multiple yearly reports, ensuring data coherence across 2021 to 2023. Any discrepancies were verified with source institutions.</w:t>
      </w:r>
    </w:p>
    <w:p w14:paraId="4B0DEF41" w14:textId="77777777" w:rsidR="00A27659" w:rsidRDefault="00A27659" w:rsidP="00075AE4">
      <w:pPr>
        <w:spacing w:after="120" w:line="240" w:lineRule="auto"/>
        <w:jc w:val="both"/>
        <w:rPr>
          <w:rFonts w:ascii="Arial" w:hAnsi="Arial" w:cs="Arial"/>
          <w:b/>
          <w:bCs/>
        </w:rPr>
      </w:pPr>
    </w:p>
    <w:p w14:paraId="3903B594" w14:textId="65A8DF0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w:t>
      </w:r>
      <w:r w:rsidR="00A27659" w:rsidRPr="00A27659">
        <w:rPr>
          <w:rFonts w:ascii="Arial" w:hAnsi="Arial" w:cs="Arial"/>
          <w:b/>
          <w:bCs/>
        </w:rPr>
        <w:t>Data Analysis</w:t>
      </w:r>
    </w:p>
    <w:p w14:paraId="4194CF87" w14:textId="77777777" w:rsidR="00A27659" w:rsidRPr="00A27659" w:rsidRDefault="00A27659" w:rsidP="00A27659">
      <w:pPr>
        <w:spacing w:after="120" w:line="240" w:lineRule="auto"/>
        <w:jc w:val="both"/>
        <w:rPr>
          <w:rFonts w:ascii="Arial" w:hAnsi="Arial" w:cs="Arial"/>
        </w:rPr>
      </w:pPr>
      <w:r w:rsidRPr="00A27659">
        <w:rPr>
          <w:rFonts w:ascii="Arial" w:hAnsi="Arial" w:cs="Arial"/>
        </w:rPr>
        <w:t>Multiple linear regression analysis was employed using EViews 10 software to evaluate the impact of both independent variables on stunting prevalence. The model used was:</w:t>
      </w:r>
    </w:p>
    <w:tbl>
      <w:tblPr>
        <w:tblStyle w:val="TableGrid"/>
        <w:tblW w:w="0" w:type="auto"/>
        <w:jc w:val="center"/>
        <w:tblLook w:val="04A0" w:firstRow="1" w:lastRow="0" w:firstColumn="1" w:lastColumn="0" w:noHBand="0" w:noVBand="1"/>
      </w:tblPr>
      <w:tblGrid>
        <w:gridCol w:w="2785"/>
      </w:tblGrid>
      <w:tr w:rsidR="00A27659" w:rsidRPr="00A27659" w14:paraId="4C513E56" w14:textId="77777777" w:rsidTr="00A27659">
        <w:trPr>
          <w:jc w:val="center"/>
        </w:trPr>
        <w:tc>
          <w:tcPr>
            <w:tcW w:w="2785" w:type="dxa"/>
          </w:tcPr>
          <w:p w14:paraId="5BF4759F" w14:textId="77777777" w:rsidR="00A27659" w:rsidRPr="00A27659" w:rsidRDefault="00A27659" w:rsidP="00A27659">
            <w:pPr>
              <w:spacing w:after="120"/>
              <w:jc w:val="center"/>
              <w:rPr>
                <w:rFonts w:ascii="Arial" w:hAnsi="Arial" w:cs="Arial"/>
                <w:b/>
                <w:bCs/>
              </w:rPr>
            </w:pPr>
            <w:r w:rsidRPr="00A27659">
              <w:rPr>
                <w:rFonts w:ascii="Arial" w:hAnsi="Arial" w:cs="Arial"/>
                <w:b/>
                <w:bCs/>
              </w:rPr>
              <w:t xml:space="preserve">Y = a + </w:t>
            </w:r>
            <w:proofErr w:type="spellStart"/>
            <w:r w:rsidRPr="00A27659">
              <w:rPr>
                <w:rFonts w:ascii="Arial" w:hAnsi="Arial" w:cs="Arial"/>
                <w:b/>
                <w:bCs/>
              </w:rPr>
              <w:t>b</w:t>
            </w:r>
            <w:r w:rsidRPr="00A27659">
              <w:rPr>
                <w:rFonts w:ascii="Cambria Math" w:hAnsi="Cambria Math" w:cs="Cambria Math"/>
                <w:b/>
                <w:bCs/>
              </w:rPr>
              <w:t>₁</w:t>
            </w:r>
            <w:r w:rsidRPr="00A27659">
              <w:rPr>
                <w:rFonts w:ascii="Arial" w:hAnsi="Arial" w:cs="Arial"/>
                <w:b/>
                <w:bCs/>
              </w:rPr>
              <w:t>X</w:t>
            </w:r>
            <w:proofErr w:type="spellEnd"/>
            <w:r w:rsidRPr="00A27659">
              <w:rPr>
                <w:rFonts w:ascii="Cambria Math" w:hAnsi="Cambria Math" w:cs="Cambria Math"/>
                <w:b/>
                <w:bCs/>
              </w:rPr>
              <w:t>₁</w:t>
            </w:r>
            <w:r w:rsidRPr="00A27659">
              <w:rPr>
                <w:rFonts w:ascii="Arial" w:hAnsi="Arial" w:cs="Arial"/>
                <w:b/>
                <w:bCs/>
              </w:rPr>
              <w:t xml:space="preserve"> + </w:t>
            </w:r>
            <w:proofErr w:type="spellStart"/>
            <w:r w:rsidRPr="00A27659">
              <w:rPr>
                <w:rFonts w:ascii="Arial" w:hAnsi="Arial" w:cs="Arial"/>
                <w:b/>
                <w:bCs/>
              </w:rPr>
              <w:t>b</w:t>
            </w:r>
            <w:r w:rsidRPr="00A27659">
              <w:rPr>
                <w:rFonts w:ascii="Cambria Math" w:hAnsi="Cambria Math" w:cs="Cambria Math"/>
                <w:b/>
                <w:bCs/>
              </w:rPr>
              <w:t>₂</w:t>
            </w:r>
            <w:r w:rsidRPr="00A27659">
              <w:rPr>
                <w:rFonts w:ascii="Arial" w:hAnsi="Arial" w:cs="Arial"/>
                <w:b/>
                <w:bCs/>
              </w:rPr>
              <w:t>X</w:t>
            </w:r>
            <w:proofErr w:type="spellEnd"/>
            <w:r w:rsidRPr="00A27659">
              <w:rPr>
                <w:rFonts w:ascii="Cambria Math" w:hAnsi="Cambria Math" w:cs="Cambria Math"/>
                <w:b/>
                <w:bCs/>
              </w:rPr>
              <w:t>₂</w:t>
            </w:r>
            <w:r w:rsidRPr="00A27659">
              <w:rPr>
                <w:rFonts w:ascii="Arial" w:hAnsi="Arial" w:cs="Arial"/>
                <w:b/>
                <w:bCs/>
              </w:rPr>
              <w:t xml:space="preserve"> + e</w:t>
            </w:r>
          </w:p>
        </w:tc>
      </w:tr>
    </w:tbl>
    <w:p w14:paraId="18B5B987" w14:textId="77777777" w:rsidR="00A27659" w:rsidRDefault="00A27659" w:rsidP="00A27659">
      <w:pPr>
        <w:spacing w:after="120" w:line="240" w:lineRule="auto"/>
        <w:jc w:val="both"/>
        <w:rPr>
          <w:rFonts w:ascii="Arial" w:hAnsi="Arial" w:cs="Arial"/>
        </w:rPr>
      </w:pPr>
      <w:r w:rsidRPr="00A27659">
        <w:rPr>
          <w:rFonts w:ascii="Arial" w:hAnsi="Arial" w:cs="Arial"/>
        </w:rPr>
        <w:t xml:space="preserve">Where </w:t>
      </w:r>
    </w:p>
    <w:p w14:paraId="18F5C1CF" w14:textId="13F6B1F3" w:rsidR="00A27659" w:rsidRDefault="00A27659" w:rsidP="00A27659">
      <w:pPr>
        <w:spacing w:after="120" w:line="240" w:lineRule="auto"/>
        <w:jc w:val="both"/>
        <w:rPr>
          <w:rFonts w:ascii="Arial" w:hAnsi="Arial" w:cs="Arial"/>
        </w:rPr>
      </w:pPr>
      <w:r w:rsidRPr="00A27659">
        <w:rPr>
          <w:rFonts w:ascii="Arial" w:hAnsi="Arial" w:cs="Arial"/>
        </w:rPr>
        <w:t xml:space="preserve">Y = stunting </w:t>
      </w:r>
      <w:proofErr w:type="gramStart"/>
      <w:r w:rsidRPr="00A27659">
        <w:rPr>
          <w:rFonts w:ascii="Arial" w:hAnsi="Arial" w:cs="Arial"/>
        </w:rPr>
        <w:t xml:space="preserve">prevalence </w:t>
      </w:r>
      <w:r>
        <w:rPr>
          <w:rFonts w:ascii="Arial" w:hAnsi="Arial" w:cs="Arial"/>
        </w:rPr>
        <w:t xml:space="preserve"> </w:t>
      </w:r>
      <w:r>
        <w:rPr>
          <w:rFonts w:ascii="Arial" w:hAnsi="Arial" w:cs="Arial"/>
        </w:rPr>
        <w:tab/>
      </w:r>
      <w:proofErr w:type="gramEnd"/>
      <w:r>
        <w:rPr>
          <w:rFonts w:ascii="Arial" w:hAnsi="Arial" w:cs="Arial"/>
        </w:rPr>
        <w:tab/>
      </w:r>
      <w:r w:rsidRPr="00A27659">
        <w:rPr>
          <w:rFonts w:ascii="Arial" w:hAnsi="Arial" w:cs="Arial"/>
        </w:rPr>
        <w:t>X</w:t>
      </w:r>
      <w:r w:rsidRPr="00A27659">
        <w:rPr>
          <w:rFonts w:ascii="Cambria Math" w:hAnsi="Cambria Math" w:cs="Cambria Math"/>
        </w:rPr>
        <w:t>₁</w:t>
      </w:r>
      <w:r w:rsidRPr="00A27659">
        <w:rPr>
          <w:rFonts w:ascii="Arial" w:hAnsi="Arial" w:cs="Arial"/>
        </w:rPr>
        <w:t xml:space="preserve"> = Vitamin A supplementation, </w:t>
      </w:r>
    </w:p>
    <w:p w14:paraId="5CE02111" w14:textId="792B50FF" w:rsidR="00A27659" w:rsidRDefault="00A27659" w:rsidP="00A27659">
      <w:pPr>
        <w:spacing w:after="120" w:line="240" w:lineRule="auto"/>
        <w:jc w:val="both"/>
        <w:rPr>
          <w:rFonts w:ascii="Arial" w:hAnsi="Arial" w:cs="Arial"/>
        </w:rPr>
      </w:pPr>
      <w:r w:rsidRPr="00A27659">
        <w:rPr>
          <w:rFonts w:ascii="Arial" w:hAnsi="Arial" w:cs="Arial"/>
        </w:rPr>
        <w:t>X</w:t>
      </w:r>
      <w:r w:rsidRPr="00A27659">
        <w:rPr>
          <w:rFonts w:ascii="Cambria Math" w:hAnsi="Cambria Math" w:cs="Cambria Math"/>
        </w:rPr>
        <w:t>₂</w:t>
      </w:r>
      <w:r w:rsidRPr="00A27659">
        <w:rPr>
          <w:rFonts w:ascii="Arial" w:hAnsi="Arial" w:cs="Arial"/>
        </w:rPr>
        <w:t xml:space="preserve"> = supplementary feeding</w:t>
      </w:r>
      <w:r>
        <w:rPr>
          <w:rFonts w:ascii="Arial" w:hAnsi="Arial" w:cs="Arial"/>
        </w:rPr>
        <w:tab/>
      </w:r>
      <w:r w:rsidRPr="00A27659">
        <w:rPr>
          <w:rFonts w:ascii="Arial" w:hAnsi="Arial" w:cs="Arial"/>
        </w:rPr>
        <w:t xml:space="preserve">a = constant, </w:t>
      </w:r>
    </w:p>
    <w:p w14:paraId="57961A29" w14:textId="44F21B27" w:rsidR="00A27659" w:rsidRDefault="00A27659" w:rsidP="00A27659">
      <w:pPr>
        <w:spacing w:after="120" w:line="240" w:lineRule="auto"/>
        <w:jc w:val="both"/>
        <w:rPr>
          <w:rFonts w:ascii="Arial" w:hAnsi="Arial" w:cs="Arial"/>
        </w:rPr>
      </w:pPr>
      <w:r w:rsidRPr="00A27659">
        <w:rPr>
          <w:rFonts w:ascii="Arial" w:hAnsi="Arial" w:cs="Arial"/>
        </w:rPr>
        <w:t>b</w:t>
      </w:r>
      <w:r w:rsidRPr="00A27659">
        <w:rPr>
          <w:rFonts w:ascii="Cambria Math" w:hAnsi="Cambria Math" w:cs="Cambria Math"/>
        </w:rPr>
        <w:t>₁</w:t>
      </w:r>
      <w:r w:rsidRPr="00A27659">
        <w:rPr>
          <w:rFonts w:ascii="Arial" w:hAnsi="Arial" w:cs="Arial"/>
        </w:rPr>
        <w:t>/b</w:t>
      </w:r>
      <w:r w:rsidRPr="00A27659">
        <w:rPr>
          <w:rFonts w:ascii="Cambria Math" w:hAnsi="Cambria Math" w:cs="Cambria Math"/>
        </w:rPr>
        <w:t>₂</w:t>
      </w:r>
      <w:r w:rsidRPr="00A27659">
        <w:rPr>
          <w:rFonts w:ascii="Arial" w:hAnsi="Arial" w:cs="Arial"/>
        </w:rPr>
        <w:t xml:space="preserve"> = coefficients </w:t>
      </w:r>
      <w:r>
        <w:rPr>
          <w:rFonts w:ascii="Arial" w:hAnsi="Arial" w:cs="Arial"/>
        </w:rPr>
        <w:tab/>
      </w:r>
      <w:r>
        <w:rPr>
          <w:rFonts w:ascii="Arial" w:hAnsi="Arial" w:cs="Arial"/>
        </w:rPr>
        <w:tab/>
      </w:r>
      <w:r>
        <w:rPr>
          <w:rFonts w:ascii="Arial" w:hAnsi="Arial" w:cs="Arial"/>
        </w:rPr>
        <w:tab/>
      </w:r>
      <w:r w:rsidRPr="00A27659">
        <w:rPr>
          <w:rFonts w:ascii="Arial" w:hAnsi="Arial" w:cs="Arial"/>
        </w:rPr>
        <w:t xml:space="preserve">e = error term. </w:t>
      </w:r>
    </w:p>
    <w:p w14:paraId="5E59CC20" w14:textId="1D336428" w:rsidR="008E65AB" w:rsidRPr="00101FB6" w:rsidRDefault="00A27659" w:rsidP="00A27659">
      <w:pPr>
        <w:spacing w:after="120" w:line="240" w:lineRule="auto"/>
        <w:jc w:val="both"/>
        <w:rPr>
          <w:rFonts w:ascii="Arial" w:hAnsi="Arial" w:cs="Arial"/>
        </w:rPr>
      </w:pPr>
      <w:r w:rsidRPr="00A27659">
        <w:rPr>
          <w:rFonts w:ascii="Arial" w:hAnsi="Arial" w:cs="Arial"/>
        </w:rPr>
        <w:t>Statistical tests included the Jarque-Bera test for normality and t-tests for individual variable significance. A 5% significance threshold was applied.</w:t>
      </w:r>
    </w:p>
    <w:p w14:paraId="1277F7BA" w14:textId="77777777" w:rsidR="00101FB6" w:rsidRDefault="00101FB6" w:rsidP="00075AE4">
      <w:pPr>
        <w:spacing w:after="120" w:line="240" w:lineRule="auto"/>
        <w:jc w:val="both"/>
        <w:rPr>
          <w:rFonts w:ascii="Arial" w:hAnsi="Arial" w:cs="Arial"/>
          <w:b/>
          <w:bCs/>
        </w:rPr>
      </w:pPr>
    </w:p>
    <w:p w14:paraId="35F8CDE7" w14:textId="2F600A4D" w:rsidR="008E65AB" w:rsidRPr="00101FB6" w:rsidRDefault="008E65AB" w:rsidP="00075AE4">
      <w:pPr>
        <w:spacing w:after="120" w:line="240" w:lineRule="auto"/>
        <w:jc w:val="both"/>
        <w:rPr>
          <w:rFonts w:ascii="Arial" w:hAnsi="Arial" w:cs="Arial"/>
          <w:b/>
          <w:bCs/>
        </w:rPr>
      </w:pPr>
      <w:r w:rsidRPr="00101FB6">
        <w:rPr>
          <w:rFonts w:ascii="Arial" w:hAnsi="Arial" w:cs="Arial"/>
          <w:b/>
          <w:bCs/>
        </w:rPr>
        <w:t>2.7 Ethical Considerations</w:t>
      </w:r>
    </w:p>
    <w:p w14:paraId="24FFEE70" w14:textId="17088787" w:rsidR="008E65AB" w:rsidRDefault="008E65AB" w:rsidP="00075AE4">
      <w:pPr>
        <w:spacing w:after="120" w:line="240" w:lineRule="auto"/>
        <w:jc w:val="both"/>
        <w:rPr>
          <w:rFonts w:ascii="Arial" w:hAnsi="Arial" w:cs="Arial"/>
        </w:rPr>
      </w:pPr>
      <w:r w:rsidRPr="00101FB6">
        <w:rPr>
          <w:rFonts w:ascii="Arial" w:hAnsi="Arial" w:cs="Arial"/>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3D441026" w14:textId="77777777" w:rsidR="00A27659" w:rsidRPr="00101FB6" w:rsidRDefault="00A27659" w:rsidP="00075AE4">
      <w:pPr>
        <w:spacing w:after="120" w:line="240" w:lineRule="auto"/>
        <w:jc w:val="both"/>
        <w:rPr>
          <w:rFonts w:ascii="Arial" w:hAnsi="Arial" w:cs="Arial"/>
        </w:rPr>
      </w:pP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Results and Discussion</w:t>
      </w:r>
    </w:p>
    <w:p w14:paraId="60B7AFFB" w14:textId="4548A7C1" w:rsidR="0043375F" w:rsidRPr="00075AE4" w:rsidRDefault="00075AE4" w:rsidP="00075AE4">
      <w:pPr>
        <w:spacing w:after="120" w:line="240" w:lineRule="auto"/>
        <w:jc w:val="both"/>
        <w:rPr>
          <w:rFonts w:ascii="Arial" w:hAnsi="Arial" w:cs="Arial"/>
          <w:b/>
          <w:bCs/>
        </w:rPr>
      </w:pPr>
      <w:r w:rsidRPr="00075AE4">
        <w:rPr>
          <w:rFonts w:ascii="Arial" w:hAnsi="Arial" w:cs="Arial"/>
          <w:b/>
          <w:bCs/>
        </w:rPr>
        <w:t xml:space="preserve">3.1 </w:t>
      </w:r>
      <w:r w:rsidR="005059FC" w:rsidRPr="005059FC">
        <w:rPr>
          <w:rFonts w:ascii="Arial" w:hAnsi="Arial" w:cs="Arial"/>
          <w:b/>
          <w:bCs/>
        </w:rPr>
        <w:t>Results</w:t>
      </w:r>
    </w:p>
    <w:p w14:paraId="1DEF59DD" w14:textId="27AF96C4" w:rsidR="00A91303" w:rsidRPr="002743CE" w:rsidRDefault="00A91303" w:rsidP="00A91303">
      <w:pPr>
        <w:spacing w:after="120" w:line="240" w:lineRule="auto"/>
        <w:jc w:val="both"/>
        <w:rPr>
          <w:rFonts w:ascii="Arial" w:hAnsi="Arial" w:cs="Arial"/>
          <w:b/>
          <w:bCs/>
        </w:rPr>
      </w:pPr>
      <w:r w:rsidRPr="002743CE">
        <w:rPr>
          <w:rFonts w:ascii="Arial" w:hAnsi="Arial" w:cs="Arial"/>
          <w:b/>
          <w:bCs/>
        </w:rPr>
        <w:t>3.1.1 Geographic and Administrative Profile of Batu Bara Regency</w:t>
      </w:r>
    </w:p>
    <w:p w14:paraId="2FAA4360" w14:textId="1840B184" w:rsidR="006B609C" w:rsidRPr="006B609C" w:rsidRDefault="006B609C" w:rsidP="006B609C">
      <w:pPr>
        <w:spacing w:after="120" w:line="240" w:lineRule="auto"/>
        <w:jc w:val="both"/>
        <w:rPr>
          <w:rFonts w:ascii="Arial" w:hAnsi="Arial" w:cs="Arial"/>
        </w:rPr>
      </w:pPr>
      <w:r w:rsidRPr="006B609C">
        <w:rPr>
          <w:rFonts w:ascii="Arial" w:hAnsi="Arial" w:cs="Arial"/>
        </w:rPr>
        <w:t xml:space="preserve">Batu Bara Regency is one of the regencies located in North Sumatra Province, Indonesia. Strategically positioned along the eastern coastline, it is bordered by </w:t>
      </w:r>
      <w:proofErr w:type="spellStart"/>
      <w:r w:rsidRPr="006B609C">
        <w:rPr>
          <w:rFonts w:ascii="Arial" w:hAnsi="Arial" w:cs="Arial"/>
        </w:rPr>
        <w:t>Asahan</w:t>
      </w:r>
      <w:proofErr w:type="spellEnd"/>
      <w:r w:rsidRPr="006B609C">
        <w:rPr>
          <w:rFonts w:ascii="Arial" w:hAnsi="Arial" w:cs="Arial"/>
        </w:rPr>
        <w:t xml:space="preserve"> Regency to the north and </w:t>
      </w:r>
      <w:proofErr w:type="spellStart"/>
      <w:r w:rsidRPr="006B609C">
        <w:rPr>
          <w:rFonts w:ascii="Arial" w:hAnsi="Arial" w:cs="Arial"/>
        </w:rPr>
        <w:t>Simalungun</w:t>
      </w:r>
      <w:proofErr w:type="spellEnd"/>
      <w:r w:rsidRPr="006B609C">
        <w:rPr>
          <w:rFonts w:ascii="Arial" w:hAnsi="Arial" w:cs="Arial"/>
        </w:rPr>
        <w:t xml:space="preserve"> Regency to the west. The regency comprises 12 sub-districts, each varying in population density, economic activity, and infrastructure development. This geographic distribution plays a crucial role in the disparities observed in public health indicators, including child nutrition and stunting.</w:t>
      </w:r>
    </w:p>
    <w:p w14:paraId="3D9E8976" w14:textId="31E77A04" w:rsidR="00A91303" w:rsidRDefault="006B609C" w:rsidP="006B609C">
      <w:pPr>
        <w:spacing w:after="120" w:line="240" w:lineRule="auto"/>
        <w:jc w:val="both"/>
        <w:rPr>
          <w:rFonts w:ascii="Arial" w:hAnsi="Arial" w:cs="Arial"/>
        </w:rPr>
      </w:pPr>
      <w:r w:rsidRPr="006B609C">
        <w:rPr>
          <w:rFonts w:ascii="Arial" w:hAnsi="Arial" w:cs="Arial"/>
        </w:rPr>
        <w:t>The geographic characteristics include a mix of coastal, lowland, and inland terrain, with significant portions of the population residing in rural and peri-urban areas. The distribution of health facilities, educational institutions, and access to clean water and sanitation services remains uneven, influencing the efficacy of community-based nutrition programs.</w:t>
      </w:r>
    </w:p>
    <w:p w14:paraId="7D2F0D66" w14:textId="3A8D15FD" w:rsidR="0043375F" w:rsidRDefault="006B609C" w:rsidP="00A91303">
      <w:pPr>
        <w:spacing w:after="120" w:line="240" w:lineRule="auto"/>
        <w:jc w:val="both"/>
        <w:rPr>
          <w:rFonts w:ascii="Arial" w:hAnsi="Arial" w:cs="Arial"/>
        </w:rPr>
      </w:pPr>
      <w:r w:rsidRPr="006B609C">
        <w:rPr>
          <w:rFonts w:ascii="Arial" w:hAnsi="Arial" w:cs="Arial"/>
        </w:rPr>
        <w:t>Figure 1 illustrates the administrative map of Batu Bara Regency, highlighting its sub-district boundaries and geographic features.</w:t>
      </w:r>
    </w:p>
    <w:p w14:paraId="2E0988D4" w14:textId="792D1592" w:rsidR="006B609C" w:rsidRDefault="006B609C" w:rsidP="006B609C">
      <w:pPr>
        <w:spacing w:after="120" w:line="240" w:lineRule="auto"/>
        <w:jc w:val="center"/>
        <w:rPr>
          <w:rFonts w:ascii="Arial" w:hAnsi="Arial" w:cs="Arial"/>
        </w:rPr>
      </w:pPr>
      <w:r>
        <w:rPr>
          <w:noProof/>
        </w:rPr>
        <w:drawing>
          <wp:inline distT="0" distB="0" distL="0" distR="0" wp14:anchorId="7C025A67" wp14:editId="14B1844C">
            <wp:extent cx="3810000" cy="3810000"/>
            <wp:effectExtent l="0" t="0" r="0" b="0"/>
            <wp:docPr id="683626176" name="Picture 6836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1A18A8F" w14:textId="5D1F4BA3" w:rsidR="006B609C" w:rsidRDefault="006B609C" w:rsidP="006B609C">
      <w:pPr>
        <w:spacing w:after="120" w:line="240" w:lineRule="auto"/>
        <w:jc w:val="center"/>
        <w:rPr>
          <w:rFonts w:ascii="Arial" w:hAnsi="Arial" w:cs="Arial"/>
        </w:rPr>
      </w:pPr>
      <w:r w:rsidRPr="006B609C">
        <w:rPr>
          <w:rFonts w:ascii="Arial" w:hAnsi="Arial" w:cs="Arial"/>
          <w:b/>
          <w:bCs/>
        </w:rPr>
        <w:t>Figure 1</w:t>
      </w:r>
      <w:r>
        <w:rPr>
          <w:rFonts w:ascii="Arial" w:hAnsi="Arial" w:cs="Arial"/>
        </w:rPr>
        <w:t xml:space="preserve"> </w:t>
      </w:r>
      <w:r w:rsidRPr="006B609C">
        <w:rPr>
          <w:rFonts w:ascii="Arial" w:hAnsi="Arial" w:cs="Arial"/>
        </w:rPr>
        <w:t>Administrative Map of Batu Bara Regency</w:t>
      </w:r>
    </w:p>
    <w:p w14:paraId="14A5A753" w14:textId="162D8918" w:rsidR="006B609C" w:rsidRDefault="006B609C" w:rsidP="006B609C">
      <w:pPr>
        <w:spacing w:after="120" w:line="240" w:lineRule="auto"/>
        <w:jc w:val="center"/>
        <w:rPr>
          <w:rFonts w:ascii="Arial" w:hAnsi="Arial" w:cs="Arial"/>
        </w:rPr>
      </w:pPr>
      <w:r w:rsidRPr="006B609C">
        <w:rPr>
          <w:rFonts w:ascii="Arial" w:hAnsi="Arial" w:cs="Arial"/>
        </w:rPr>
        <w:t>Source: Regional Planning Agency (</w:t>
      </w:r>
      <w:proofErr w:type="spellStart"/>
      <w:r w:rsidRPr="006B609C">
        <w:rPr>
          <w:rFonts w:ascii="Arial" w:hAnsi="Arial" w:cs="Arial"/>
        </w:rPr>
        <w:t>Bappeda</w:t>
      </w:r>
      <w:proofErr w:type="spellEnd"/>
      <w:r w:rsidRPr="006B609C">
        <w:rPr>
          <w:rFonts w:ascii="Arial" w:hAnsi="Arial" w:cs="Arial"/>
        </w:rPr>
        <w:t xml:space="preserve">) of </w:t>
      </w:r>
      <w:proofErr w:type="spellStart"/>
      <w:r w:rsidRPr="006B609C">
        <w:rPr>
          <w:rFonts w:ascii="Arial" w:hAnsi="Arial" w:cs="Arial"/>
        </w:rPr>
        <w:t>Batu</w:t>
      </w:r>
      <w:proofErr w:type="spellEnd"/>
      <w:r w:rsidRPr="006B609C">
        <w:rPr>
          <w:rFonts w:ascii="Arial" w:hAnsi="Arial" w:cs="Arial"/>
        </w:rPr>
        <w:t xml:space="preserve"> Bara, 2023.</w:t>
      </w:r>
    </w:p>
    <w:p w14:paraId="214D2795" w14:textId="01E718CA" w:rsidR="00A91303" w:rsidRPr="002743CE" w:rsidRDefault="00A91303" w:rsidP="00A91303">
      <w:pPr>
        <w:spacing w:after="120" w:line="240" w:lineRule="auto"/>
        <w:jc w:val="both"/>
        <w:rPr>
          <w:rFonts w:ascii="Arial" w:hAnsi="Arial" w:cs="Arial"/>
          <w:b/>
          <w:bCs/>
        </w:rPr>
      </w:pPr>
      <w:r w:rsidRPr="002743CE">
        <w:rPr>
          <w:rFonts w:ascii="Arial" w:hAnsi="Arial" w:cs="Arial"/>
          <w:b/>
          <w:bCs/>
        </w:rPr>
        <w:t xml:space="preserve">3.1.2 </w:t>
      </w:r>
      <w:r w:rsidR="0043375F" w:rsidRPr="002743CE">
        <w:rPr>
          <w:rFonts w:ascii="Arial" w:hAnsi="Arial" w:cs="Arial"/>
          <w:b/>
          <w:bCs/>
        </w:rPr>
        <w:t>Trends in Stunting Prevalence (2021–2023)</w:t>
      </w:r>
    </w:p>
    <w:p w14:paraId="7E14163B" w14:textId="1EB6E8D5" w:rsidR="0043375F" w:rsidRPr="0043375F" w:rsidRDefault="0043375F" w:rsidP="0043375F">
      <w:pPr>
        <w:spacing w:after="120" w:line="240" w:lineRule="auto"/>
        <w:jc w:val="both"/>
        <w:rPr>
          <w:rFonts w:ascii="Arial" w:hAnsi="Arial" w:cs="Arial"/>
        </w:rPr>
      </w:pPr>
      <w:r w:rsidRPr="0043375F">
        <w:rPr>
          <w:rFonts w:ascii="Arial" w:hAnsi="Arial" w:cs="Arial"/>
        </w:rPr>
        <w:t xml:space="preserve">Between 2021 and 2023, Batu Bara Regency demonstrated notable progress in reducing stunting prevalence. The rate declined from 30.9% in 2021 to 15.7% in 2023, surpassing the national average reduction target. This achievement highlights the </w:t>
      </w:r>
      <w:r w:rsidRPr="0043375F">
        <w:rPr>
          <w:rFonts w:ascii="Arial" w:hAnsi="Arial" w:cs="Arial"/>
        </w:rPr>
        <w:lastRenderedPageBreak/>
        <w:t>effectiveness of district-wide health interventions and policy alignment with national stunting reduction goals.</w:t>
      </w:r>
    </w:p>
    <w:p w14:paraId="311A7626" w14:textId="1AB496C3" w:rsidR="0043375F" w:rsidRDefault="0043375F" w:rsidP="0043375F">
      <w:pPr>
        <w:spacing w:after="120" w:line="240" w:lineRule="auto"/>
        <w:jc w:val="both"/>
        <w:rPr>
          <w:rFonts w:ascii="Arial" w:hAnsi="Arial" w:cs="Arial"/>
        </w:rPr>
      </w:pPr>
      <w:r w:rsidRPr="0043375F">
        <w:rPr>
          <w:rFonts w:ascii="Arial" w:hAnsi="Arial" w:cs="Arial"/>
        </w:rPr>
        <w:t xml:space="preserve">Prevalence varied across districts. In 2023, the highest rates were observed in </w:t>
      </w:r>
      <w:proofErr w:type="spellStart"/>
      <w:r w:rsidRPr="0043375F">
        <w:rPr>
          <w:rFonts w:ascii="Arial" w:hAnsi="Arial" w:cs="Arial"/>
        </w:rPr>
        <w:t>Medang</w:t>
      </w:r>
      <w:proofErr w:type="spellEnd"/>
      <w:r w:rsidRPr="0043375F">
        <w:rPr>
          <w:rFonts w:ascii="Arial" w:hAnsi="Arial" w:cs="Arial"/>
        </w:rPr>
        <w:t xml:space="preserve"> </w:t>
      </w:r>
      <w:proofErr w:type="spellStart"/>
      <w:r w:rsidRPr="0043375F">
        <w:rPr>
          <w:rFonts w:ascii="Arial" w:hAnsi="Arial" w:cs="Arial"/>
        </w:rPr>
        <w:t>Deras</w:t>
      </w:r>
      <w:proofErr w:type="spellEnd"/>
      <w:r w:rsidRPr="0043375F">
        <w:rPr>
          <w:rFonts w:ascii="Arial" w:hAnsi="Arial" w:cs="Arial"/>
        </w:rPr>
        <w:t xml:space="preserve"> (27.2%) and </w:t>
      </w:r>
      <w:proofErr w:type="spellStart"/>
      <w:r w:rsidRPr="0043375F">
        <w:rPr>
          <w:rFonts w:ascii="Arial" w:hAnsi="Arial" w:cs="Arial"/>
        </w:rPr>
        <w:t>Tanjung</w:t>
      </w:r>
      <w:proofErr w:type="spellEnd"/>
      <w:r w:rsidRPr="0043375F">
        <w:rPr>
          <w:rFonts w:ascii="Arial" w:hAnsi="Arial" w:cs="Arial"/>
        </w:rPr>
        <w:t xml:space="preserve"> </w:t>
      </w:r>
      <w:proofErr w:type="spellStart"/>
      <w:r w:rsidRPr="0043375F">
        <w:rPr>
          <w:rFonts w:ascii="Arial" w:hAnsi="Arial" w:cs="Arial"/>
        </w:rPr>
        <w:t>Tiram</w:t>
      </w:r>
      <w:proofErr w:type="spellEnd"/>
      <w:r w:rsidRPr="0043375F">
        <w:rPr>
          <w:rFonts w:ascii="Arial" w:hAnsi="Arial" w:cs="Arial"/>
        </w:rPr>
        <w:t xml:space="preserve"> (20.6%), while the lowest were in Lima </w:t>
      </w:r>
      <w:proofErr w:type="spellStart"/>
      <w:r w:rsidRPr="0043375F">
        <w:rPr>
          <w:rFonts w:ascii="Arial" w:hAnsi="Arial" w:cs="Arial"/>
        </w:rPr>
        <w:t>Puluh</w:t>
      </w:r>
      <w:proofErr w:type="spellEnd"/>
      <w:r w:rsidRPr="0043375F">
        <w:rPr>
          <w:rFonts w:ascii="Arial" w:hAnsi="Arial" w:cs="Arial"/>
        </w:rPr>
        <w:t xml:space="preserve"> (10.0%) and Datuk Lima </w:t>
      </w:r>
      <w:proofErr w:type="spellStart"/>
      <w:r w:rsidRPr="0043375F">
        <w:rPr>
          <w:rFonts w:ascii="Arial" w:hAnsi="Arial" w:cs="Arial"/>
        </w:rPr>
        <w:t>Puluh</w:t>
      </w:r>
      <w:proofErr w:type="spellEnd"/>
      <w:r w:rsidRPr="0043375F">
        <w:rPr>
          <w:rFonts w:ascii="Arial" w:hAnsi="Arial" w:cs="Arial"/>
        </w:rPr>
        <w:t xml:space="preserve"> </w:t>
      </w:r>
      <w:proofErr w:type="spellStart"/>
      <w:r w:rsidRPr="0043375F">
        <w:rPr>
          <w:rFonts w:ascii="Arial" w:hAnsi="Arial" w:cs="Arial"/>
        </w:rPr>
        <w:t>Pesisir</w:t>
      </w:r>
      <w:proofErr w:type="spellEnd"/>
      <w:r w:rsidRPr="0043375F">
        <w:rPr>
          <w:rFonts w:ascii="Arial" w:hAnsi="Arial" w:cs="Arial"/>
        </w:rPr>
        <w:t xml:space="preserve"> (11.7%). These figures underscore geographic disparities and the importance of localized strategies.</w:t>
      </w:r>
    </w:p>
    <w:p w14:paraId="1D086812" w14:textId="77777777" w:rsidR="006B609C" w:rsidRDefault="006B609C" w:rsidP="0043375F">
      <w:pPr>
        <w:spacing w:after="120" w:line="240" w:lineRule="auto"/>
        <w:jc w:val="both"/>
        <w:rPr>
          <w:rFonts w:ascii="Arial" w:hAnsi="Arial" w:cs="Arial"/>
        </w:rPr>
      </w:pPr>
    </w:p>
    <w:p w14:paraId="153962AD" w14:textId="4998F677" w:rsidR="0043375F" w:rsidRDefault="0043375F" w:rsidP="00A910BA">
      <w:pPr>
        <w:spacing w:after="120" w:line="240" w:lineRule="auto"/>
        <w:jc w:val="center"/>
        <w:rPr>
          <w:rFonts w:ascii="Arial" w:hAnsi="Arial" w:cs="Arial"/>
        </w:rPr>
      </w:pPr>
      <w:r w:rsidRPr="00A910BA">
        <w:rPr>
          <w:rFonts w:ascii="Arial" w:hAnsi="Arial" w:cs="Arial"/>
          <w:b/>
          <w:bCs/>
        </w:rPr>
        <w:t>Table 1</w:t>
      </w:r>
      <w:r>
        <w:rPr>
          <w:rFonts w:ascii="Arial" w:hAnsi="Arial" w:cs="Arial"/>
        </w:rPr>
        <w:t xml:space="preserve"> </w:t>
      </w:r>
      <w:r w:rsidRPr="0043375F">
        <w:rPr>
          <w:rFonts w:ascii="Arial" w:hAnsi="Arial" w:cs="Arial"/>
        </w:rPr>
        <w:t>Stunting Prevalence by District, 2021–2023</w:t>
      </w:r>
    </w:p>
    <w:tbl>
      <w:tblPr>
        <w:tblStyle w:val="TableGrid"/>
        <w:tblW w:w="0" w:type="auto"/>
        <w:tblLook w:val="04A0" w:firstRow="1" w:lastRow="0" w:firstColumn="1" w:lastColumn="0" w:noHBand="0" w:noVBand="1"/>
      </w:tblPr>
      <w:tblGrid>
        <w:gridCol w:w="873"/>
        <w:gridCol w:w="658"/>
        <w:gridCol w:w="657"/>
        <w:gridCol w:w="834"/>
        <w:gridCol w:w="577"/>
        <w:gridCol w:w="657"/>
        <w:gridCol w:w="657"/>
        <w:gridCol w:w="834"/>
        <w:gridCol w:w="577"/>
        <w:gridCol w:w="650"/>
        <w:gridCol w:w="650"/>
        <w:gridCol w:w="827"/>
        <w:gridCol w:w="566"/>
      </w:tblGrid>
      <w:tr w:rsidR="00A910BA" w14:paraId="2392322D" w14:textId="6E1A8D3A" w:rsidTr="00B04A6B">
        <w:tc>
          <w:tcPr>
            <w:tcW w:w="872" w:type="dxa"/>
            <w:vMerge w:val="restart"/>
          </w:tcPr>
          <w:p w14:paraId="50E2DA21" w14:textId="0EF2D29F" w:rsidR="00A910BA" w:rsidRPr="00A910BA" w:rsidRDefault="00A910BA" w:rsidP="0043375F">
            <w:pPr>
              <w:spacing w:after="120"/>
              <w:jc w:val="both"/>
              <w:rPr>
                <w:rFonts w:ascii="Times New Roman" w:hAnsi="Times New Roman" w:cs="Times New Roman"/>
                <w:sz w:val="20"/>
                <w:szCs w:val="20"/>
              </w:rPr>
            </w:pPr>
            <w:r w:rsidRPr="00A910BA">
              <w:rPr>
                <w:rFonts w:ascii="Times New Roman" w:hAnsi="Times New Roman" w:cs="Times New Roman"/>
                <w:sz w:val="20"/>
                <w:szCs w:val="20"/>
              </w:rPr>
              <w:t>District</w:t>
            </w:r>
          </w:p>
        </w:tc>
        <w:tc>
          <w:tcPr>
            <w:tcW w:w="2813" w:type="dxa"/>
            <w:gridSpan w:val="4"/>
          </w:tcPr>
          <w:p w14:paraId="3F7D48A1" w14:textId="0968CED3"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2021</w:t>
            </w:r>
          </w:p>
        </w:tc>
        <w:tc>
          <w:tcPr>
            <w:tcW w:w="2814" w:type="dxa"/>
            <w:gridSpan w:val="4"/>
          </w:tcPr>
          <w:p w14:paraId="447466DF" w14:textId="4DCE823C"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2022</w:t>
            </w:r>
          </w:p>
        </w:tc>
        <w:tc>
          <w:tcPr>
            <w:tcW w:w="2518" w:type="dxa"/>
            <w:gridSpan w:val="4"/>
          </w:tcPr>
          <w:p w14:paraId="0BA8E2DC" w14:textId="30FE3D92"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2023</w:t>
            </w:r>
          </w:p>
        </w:tc>
      </w:tr>
      <w:tr w:rsidR="00B04A6B" w14:paraId="57C67951" w14:textId="6913BDE7" w:rsidTr="00B04A6B">
        <w:tc>
          <w:tcPr>
            <w:tcW w:w="872" w:type="dxa"/>
            <w:vMerge/>
          </w:tcPr>
          <w:p w14:paraId="3A9BBA8B" w14:textId="77777777" w:rsidR="00A910BA" w:rsidRPr="00A910BA" w:rsidRDefault="00A910BA" w:rsidP="00A910BA">
            <w:pPr>
              <w:spacing w:after="120"/>
              <w:jc w:val="both"/>
              <w:rPr>
                <w:rFonts w:ascii="Times New Roman" w:hAnsi="Times New Roman" w:cs="Times New Roman"/>
                <w:sz w:val="20"/>
                <w:szCs w:val="20"/>
              </w:rPr>
            </w:pPr>
          </w:p>
        </w:tc>
        <w:tc>
          <w:tcPr>
            <w:tcW w:w="676" w:type="dxa"/>
          </w:tcPr>
          <w:p w14:paraId="03504A4E" w14:textId="4C168BC0"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3A3F43B7" w14:textId="454169F2"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281591DC" w14:textId="077525E8"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5E896F40" w14:textId="343BFA7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77" w:type="dxa"/>
          </w:tcPr>
          <w:p w14:paraId="597DCB48" w14:textId="1AACEA4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49EC6B9D" w14:textId="76A40CF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0DE93371" w14:textId="0E93416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46671B84" w14:textId="4240805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50" w:type="dxa"/>
          </w:tcPr>
          <w:p w14:paraId="7C9769E5" w14:textId="4DEEFEC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50" w:type="dxa"/>
          </w:tcPr>
          <w:p w14:paraId="78908545" w14:textId="64B185B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27" w:type="dxa"/>
          </w:tcPr>
          <w:p w14:paraId="00C342F2" w14:textId="0964954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391" w:type="dxa"/>
          </w:tcPr>
          <w:p w14:paraId="356938A9" w14:textId="72BEA02C"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r>
      <w:tr w:rsidR="00B04A6B" w14:paraId="37A8BFEE" w14:textId="20AF7AE5" w:rsidTr="00B04A6B">
        <w:tc>
          <w:tcPr>
            <w:tcW w:w="872" w:type="dxa"/>
          </w:tcPr>
          <w:p w14:paraId="7428ED77" w14:textId="1079D0A1"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Balai</w:t>
            </w:r>
          </w:p>
        </w:tc>
        <w:tc>
          <w:tcPr>
            <w:tcW w:w="676" w:type="dxa"/>
            <w:vAlign w:val="bottom"/>
          </w:tcPr>
          <w:p w14:paraId="612AF4A6" w14:textId="68205B4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77" w:type="dxa"/>
            <w:vAlign w:val="bottom"/>
          </w:tcPr>
          <w:p w14:paraId="47F87F69" w14:textId="150B45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233CC9B2" w14:textId="758D370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1609</w:t>
            </w:r>
          </w:p>
        </w:tc>
        <w:tc>
          <w:tcPr>
            <w:tcW w:w="607" w:type="dxa"/>
            <w:vAlign w:val="bottom"/>
          </w:tcPr>
          <w:p w14:paraId="6E127060" w14:textId="1D7FD2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20.2</w:t>
            </w:r>
          </w:p>
        </w:tc>
        <w:tc>
          <w:tcPr>
            <w:tcW w:w="677" w:type="dxa"/>
            <w:vAlign w:val="bottom"/>
          </w:tcPr>
          <w:p w14:paraId="546E145A" w14:textId="72D19E7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1E0F95BE" w14:textId="6EB8325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853" w:type="dxa"/>
            <w:vAlign w:val="bottom"/>
          </w:tcPr>
          <w:p w14:paraId="56F053B8" w14:textId="2B6FECA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1570</w:t>
            </w:r>
          </w:p>
        </w:tc>
        <w:tc>
          <w:tcPr>
            <w:tcW w:w="607" w:type="dxa"/>
            <w:vAlign w:val="bottom"/>
          </w:tcPr>
          <w:p w14:paraId="5CC88E70" w14:textId="7FD598C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650" w:type="dxa"/>
            <w:vAlign w:val="bottom"/>
          </w:tcPr>
          <w:p w14:paraId="150D3B4D" w14:textId="1EEF9DE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w:t>
            </w:r>
          </w:p>
        </w:tc>
        <w:tc>
          <w:tcPr>
            <w:tcW w:w="650" w:type="dxa"/>
            <w:vAlign w:val="bottom"/>
          </w:tcPr>
          <w:p w14:paraId="7D08F4B5" w14:textId="698920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w:t>
            </w:r>
          </w:p>
        </w:tc>
        <w:tc>
          <w:tcPr>
            <w:tcW w:w="827" w:type="dxa"/>
            <w:vAlign w:val="bottom"/>
          </w:tcPr>
          <w:p w14:paraId="3E988683" w14:textId="4CB28A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1872</w:t>
            </w:r>
          </w:p>
        </w:tc>
        <w:tc>
          <w:tcPr>
            <w:tcW w:w="391" w:type="dxa"/>
            <w:vAlign w:val="bottom"/>
          </w:tcPr>
          <w:p w14:paraId="070A7252" w14:textId="786CC39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10.8</w:t>
            </w:r>
          </w:p>
        </w:tc>
      </w:tr>
      <w:tr w:rsidR="00B04A6B" w14:paraId="0FDEAF77" w14:textId="36D06013" w:rsidTr="00B04A6B">
        <w:tc>
          <w:tcPr>
            <w:tcW w:w="872" w:type="dxa"/>
          </w:tcPr>
          <w:p w14:paraId="5FD7E7D3" w14:textId="7EADDFAB"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Tanjung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Tiram</w:t>
            </w:r>
            <w:proofErr w:type="spellEnd"/>
          </w:p>
        </w:tc>
        <w:tc>
          <w:tcPr>
            <w:tcW w:w="676" w:type="dxa"/>
            <w:vAlign w:val="bottom"/>
          </w:tcPr>
          <w:p w14:paraId="78E565BC" w14:textId="3C5B62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77" w:type="dxa"/>
            <w:vAlign w:val="bottom"/>
          </w:tcPr>
          <w:p w14:paraId="137CE692" w14:textId="6C802FA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613</w:t>
            </w:r>
          </w:p>
        </w:tc>
        <w:tc>
          <w:tcPr>
            <w:tcW w:w="853" w:type="dxa"/>
            <w:vAlign w:val="bottom"/>
          </w:tcPr>
          <w:p w14:paraId="39A61986" w14:textId="458440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2633</w:t>
            </w:r>
          </w:p>
        </w:tc>
        <w:tc>
          <w:tcPr>
            <w:tcW w:w="607" w:type="dxa"/>
            <w:vAlign w:val="bottom"/>
          </w:tcPr>
          <w:p w14:paraId="342E0325" w14:textId="4BBC4F1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42.6</w:t>
            </w:r>
          </w:p>
        </w:tc>
        <w:tc>
          <w:tcPr>
            <w:tcW w:w="677" w:type="dxa"/>
            <w:vAlign w:val="bottom"/>
          </w:tcPr>
          <w:p w14:paraId="643B77A2" w14:textId="4053F92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309</w:t>
            </w:r>
          </w:p>
        </w:tc>
        <w:tc>
          <w:tcPr>
            <w:tcW w:w="677" w:type="dxa"/>
            <w:vAlign w:val="bottom"/>
          </w:tcPr>
          <w:p w14:paraId="58696FD8" w14:textId="7089BF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318</w:t>
            </w:r>
          </w:p>
        </w:tc>
        <w:tc>
          <w:tcPr>
            <w:tcW w:w="853" w:type="dxa"/>
            <w:vAlign w:val="bottom"/>
          </w:tcPr>
          <w:p w14:paraId="5FF4A42F" w14:textId="6F93FB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2647</w:t>
            </w:r>
          </w:p>
        </w:tc>
        <w:tc>
          <w:tcPr>
            <w:tcW w:w="607" w:type="dxa"/>
            <w:vAlign w:val="bottom"/>
          </w:tcPr>
          <w:p w14:paraId="474B7C6F" w14:textId="1B1E7E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23.6</w:t>
            </w:r>
          </w:p>
        </w:tc>
        <w:tc>
          <w:tcPr>
            <w:tcW w:w="650" w:type="dxa"/>
            <w:vAlign w:val="bottom"/>
          </w:tcPr>
          <w:p w14:paraId="35F1949A" w14:textId="7F980B0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267</w:t>
            </w:r>
          </w:p>
        </w:tc>
        <w:tc>
          <w:tcPr>
            <w:tcW w:w="650" w:type="dxa"/>
            <w:vAlign w:val="bottom"/>
          </w:tcPr>
          <w:p w14:paraId="422878B6" w14:textId="06EC454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411</w:t>
            </w:r>
          </w:p>
        </w:tc>
        <w:tc>
          <w:tcPr>
            <w:tcW w:w="827" w:type="dxa"/>
            <w:vAlign w:val="bottom"/>
          </w:tcPr>
          <w:p w14:paraId="01FAFCB9" w14:textId="312B0C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2718</w:t>
            </w:r>
          </w:p>
        </w:tc>
        <w:tc>
          <w:tcPr>
            <w:tcW w:w="391" w:type="dxa"/>
            <w:vAlign w:val="bottom"/>
          </w:tcPr>
          <w:p w14:paraId="730279CA" w14:textId="5B9754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r>
      <w:tr w:rsidR="00B04A6B" w14:paraId="45BD29FA" w14:textId="41071FC3" w:rsidTr="00B04A6B">
        <w:tc>
          <w:tcPr>
            <w:tcW w:w="872" w:type="dxa"/>
          </w:tcPr>
          <w:p w14:paraId="6CFE21B3" w14:textId="3DF0321F"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Ujung Kubu</w:t>
            </w:r>
          </w:p>
        </w:tc>
        <w:tc>
          <w:tcPr>
            <w:tcW w:w="676" w:type="dxa"/>
            <w:vAlign w:val="bottom"/>
          </w:tcPr>
          <w:p w14:paraId="6C5FB614" w14:textId="18EF02A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219</w:t>
            </w:r>
          </w:p>
        </w:tc>
        <w:tc>
          <w:tcPr>
            <w:tcW w:w="677" w:type="dxa"/>
            <w:vAlign w:val="bottom"/>
          </w:tcPr>
          <w:p w14:paraId="2ED90664" w14:textId="0CB18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254</w:t>
            </w:r>
          </w:p>
        </w:tc>
        <w:tc>
          <w:tcPr>
            <w:tcW w:w="853" w:type="dxa"/>
            <w:vAlign w:val="bottom"/>
          </w:tcPr>
          <w:p w14:paraId="56D6FE2C" w14:textId="7DAE93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1411</w:t>
            </w:r>
          </w:p>
        </w:tc>
        <w:tc>
          <w:tcPr>
            <w:tcW w:w="607" w:type="dxa"/>
            <w:vAlign w:val="bottom"/>
          </w:tcPr>
          <w:p w14:paraId="10E1C1A4" w14:textId="1232511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33.5</w:t>
            </w:r>
          </w:p>
        </w:tc>
        <w:tc>
          <w:tcPr>
            <w:tcW w:w="677" w:type="dxa"/>
            <w:vAlign w:val="bottom"/>
          </w:tcPr>
          <w:p w14:paraId="3FCE7A62" w14:textId="7BD6377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F39D837" w14:textId="641A0D3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53" w:type="dxa"/>
            <w:vAlign w:val="bottom"/>
          </w:tcPr>
          <w:p w14:paraId="1928B549" w14:textId="567AF50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1140</w:t>
            </w:r>
          </w:p>
        </w:tc>
        <w:tc>
          <w:tcPr>
            <w:tcW w:w="607" w:type="dxa"/>
            <w:vAlign w:val="bottom"/>
          </w:tcPr>
          <w:p w14:paraId="49BF7C5F" w14:textId="4617619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50" w:type="dxa"/>
            <w:vAlign w:val="bottom"/>
          </w:tcPr>
          <w:p w14:paraId="521333F5" w14:textId="579AB3F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650" w:type="dxa"/>
            <w:vAlign w:val="bottom"/>
          </w:tcPr>
          <w:p w14:paraId="4A498652" w14:textId="64F62A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279</w:t>
            </w:r>
          </w:p>
        </w:tc>
        <w:tc>
          <w:tcPr>
            <w:tcW w:w="827" w:type="dxa"/>
            <w:vAlign w:val="bottom"/>
          </w:tcPr>
          <w:p w14:paraId="59168AEF" w14:textId="52BEA85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2144</w:t>
            </w:r>
          </w:p>
        </w:tc>
        <w:tc>
          <w:tcPr>
            <w:tcW w:w="391" w:type="dxa"/>
            <w:vAlign w:val="bottom"/>
          </w:tcPr>
          <w:p w14:paraId="495A4C8A" w14:textId="774D176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r>
      <w:tr w:rsidR="00B04A6B" w14:paraId="3D1FF03C" w14:textId="283715AA" w:rsidTr="00B04A6B">
        <w:tc>
          <w:tcPr>
            <w:tcW w:w="872" w:type="dxa"/>
          </w:tcPr>
          <w:p w14:paraId="05002BD9" w14:textId="0057379C"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Talawi</w:t>
            </w:r>
            <w:proofErr w:type="spellEnd"/>
          </w:p>
        </w:tc>
        <w:tc>
          <w:tcPr>
            <w:tcW w:w="676" w:type="dxa"/>
            <w:vAlign w:val="bottom"/>
          </w:tcPr>
          <w:p w14:paraId="729ED701" w14:textId="2445915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234</w:t>
            </w:r>
          </w:p>
        </w:tc>
        <w:tc>
          <w:tcPr>
            <w:tcW w:w="677" w:type="dxa"/>
            <w:vAlign w:val="bottom"/>
          </w:tcPr>
          <w:p w14:paraId="52AB43E3" w14:textId="119C35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53" w:type="dxa"/>
            <w:vAlign w:val="bottom"/>
          </w:tcPr>
          <w:p w14:paraId="0F58457E" w14:textId="2D6C135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1776</w:t>
            </w:r>
          </w:p>
        </w:tc>
        <w:tc>
          <w:tcPr>
            <w:tcW w:w="607" w:type="dxa"/>
            <w:vAlign w:val="bottom"/>
          </w:tcPr>
          <w:p w14:paraId="486EA713" w14:textId="2F5C9F6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30.4</w:t>
            </w:r>
          </w:p>
        </w:tc>
        <w:tc>
          <w:tcPr>
            <w:tcW w:w="677" w:type="dxa"/>
            <w:vAlign w:val="bottom"/>
          </w:tcPr>
          <w:p w14:paraId="580C5580" w14:textId="0A07B9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C38E1EB" w14:textId="655E36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5D3FED14" w14:textId="6A5D4B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1592</w:t>
            </w:r>
          </w:p>
        </w:tc>
        <w:tc>
          <w:tcPr>
            <w:tcW w:w="607" w:type="dxa"/>
            <w:vAlign w:val="bottom"/>
          </w:tcPr>
          <w:p w14:paraId="78770A14" w14:textId="181BC68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22.5</w:t>
            </w:r>
          </w:p>
        </w:tc>
        <w:tc>
          <w:tcPr>
            <w:tcW w:w="650" w:type="dxa"/>
            <w:vAlign w:val="bottom"/>
          </w:tcPr>
          <w:p w14:paraId="09CA9E1A" w14:textId="63889A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72</w:t>
            </w:r>
          </w:p>
        </w:tc>
        <w:tc>
          <w:tcPr>
            <w:tcW w:w="650" w:type="dxa"/>
            <w:vAlign w:val="bottom"/>
          </w:tcPr>
          <w:p w14:paraId="41D9596A" w14:textId="0A8F61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827" w:type="dxa"/>
            <w:vAlign w:val="bottom"/>
          </w:tcPr>
          <w:p w14:paraId="43E62D6F" w14:textId="3993ABB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1959</w:t>
            </w:r>
          </w:p>
        </w:tc>
        <w:tc>
          <w:tcPr>
            <w:tcW w:w="391" w:type="dxa"/>
            <w:vAlign w:val="bottom"/>
          </w:tcPr>
          <w:p w14:paraId="6446D1D4" w14:textId="712FA4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w:t>
            </w:r>
          </w:p>
        </w:tc>
      </w:tr>
      <w:tr w:rsidR="00B04A6B" w14:paraId="6391ED04" w14:textId="0BEC9F44" w:rsidTr="00B04A6B">
        <w:tc>
          <w:tcPr>
            <w:tcW w:w="872" w:type="dxa"/>
          </w:tcPr>
          <w:p w14:paraId="0D500EC2" w14:textId="2153839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Tanah Datar</w:t>
            </w:r>
          </w:p>
        </w:tc>
        <w:tc>
          <w:tcPr>
            <w:tcW w:w="676" w:type="dxa"/>
            <w:vAlign w:val="bottom"/>
          </w:tcPr>
          <w:p w14:paraId="5352DD9A" w14:textId="1BE68EA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186</w:t>
            </w:r>
          </w:p>
        </w:tc>
        <w:tc>
          <w:tcPr>
            <w:tcW w:w="677" w:type="dxa"/>
            <w:vAlign w:val="bottom"/>
          </w:tcPr>
          <w:p w14:paraId="2D0C2E78" w14:textId="30AFBE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243</w:t>
            </w:r>
          </w:p>
        </w:tc>
        <w:tc>
          <w:tcPr>
            <w:tcW w:w="853" w:type="dxa"/>
            <w:vAlign w:val="bottom"/>
          </w:tcPr>
          <w:p w14:paraId="475F7D0C" w14:textId="262E494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1252</w:t>
            </w:r>
          </w:p>
        </w:tc>
        <w:tc>
          <w:tcPr>
            <w:tcW w:w="607" w:type="dxa"/>
            <w:vAlign w:val="bottom"/>
          </w:tcPr>
          <w:p w14:paraId="354D0BD4" w14:textId="0F5B8B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34.3</w:t>
            </w:r>
          </w:p>
        </w:tc>
        <w:tc>
          <w:tcPr>
            <w:tcW w:w="677" w:type="dxa"/>
            <w:vAlign w:val="bottom"/>
          </w:tcPr>
          <w:p w14:paraId="67CB8F04" w14:textId="7C9C672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97</w:t>
            </w:r>
          </w:p>
        </w:tc>
        <w:tc>
          <w:tcPr>
            <w:tcW w:w="677" w:type="dxa"/>
            <w:vAlign w:val="bottom"/>
          </w:tcPr>
          <w:p w14:paraId="073A85D7" w14:textId="172D7C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210</w:t>
            </w:r>
          </w:p>
        </w:tc>
        <w:tc>
          <w:tcPr>
            <w:tcW w:w="853" w:type="dxa"/>
            <w:vAlign w:val="bottom"/>
          </w:tcPr>
          <w:p w14:paraId="6B2D4678" w14:textId="47171C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1254</w:t>
            </w:r>
          </w:p>
        </w:tc>
        <w:tc>
          <w:tcPr>
            <w:tcW w:w="607" w:type="dxa"/>
            <w:vAlign w:val="bottom"/>
          </w:tcPr>
          <w:p w14:paraId="42F560BB" w14:textId="5C9B095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24.5</w:t>
            </w:r>
          </w:p>
        </w:tc>
        <w:tc>
          <w:tcPr>
            <w:tcW w:w="650" w:type="dxa"/>
            <w:vAlign w:val="bottom"/>
          </w:tcPr>
          <w:p w14:paraId="5A8CB894" w14:textId="4BBD5FD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89</w:t>
            </w:r>
          </w:p>
        </w:tc>
        <w:tc>
          <w:tcPr>
            <w:tcW w:w="650" w:type="dxa"/>
            <w:vAlign w:val="bottom"/>
          </w:tcPr>
          <w:p w14:paraId="48A09996" w14:textId="3B12189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178</w:t>
            </w:r>
          </w:p>
        </w:tc>
        <w:tc>
          <w:tcPr>
            <w:tcW w:w="827" w:type="dxa"/>
            <w:vAlign w:val="bottom"/>
          </w:tcPr>
          <w:p w14:paraId="296B03AE" w14:textId="4045304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1539</w:t>
            </w:r>
          </w:p>
        </w:tc>
        <w:tc>
          <w:tcPr>
            <w:tcW w:w="391" w:type="dxa"/>
            <w:vAlign w:val="bottom"/>
          </w:tcPr>
          <w:p w14:paraId="0FA6A0BD" w14:textId="3959866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17.3</w:t>
            </w:r>
          </w:p>
        </w:tc>
      </w:tr>
      <w:tr w:rsidR="00B04A6B" w14:paraId="43E1918B" w14:textId="06712C82" w:rsidTr="00B04A6B">
        <w:tc>
          <w:tcPr>
            <w:tcW w:w="872" w:type="dxa"/>
          </w:tcPr>
          <w:p w14:paraId="703E97D4" w14:textId="4C7EF615"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p>
        </w:tc>
        <w:tc>
          <w:tcPr>
            <w:tcW w:w="676" w:type="dxa"/>
            <w:vAlign w:val="bottom"/>
          </w:tcPr>
          <w:p w14:paraId="2C539701" w14:textId="76FC60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136</w:t>
            </w:r>
          </w:p>
        </w:tc>
        <w:tc>
          <w:tcPr>
            <w:tcW w:w="677" w:type="dxa"/>
            <w:vAlign w:val="bottom"/>
          </w:tcPr>
          <w:p w14:paraId="1DD4C5ED" w14:textId="611FE09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211</w:t>
            </w:r>
          </w:p>
        </w:tc>
        <w:tc>
          <w:tcPr>
            <w:tcW w:w="853" w:type="dxa"/>
            <w:vAlign w:val="bottom"/>
          </w:tcPr>
          <w:p w14:paraId="06B9D04B" w14:textId="58BDA8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1340</w:t>
            </w:r>
          </w:p>
        </w:tc>
        <w:tc>
          <w:tcPr>
            <w:tcW w:w="607" w:type="dxa"/>
            <w:vAlign w:val="bottom"/>
          </w:tcPr>
          <w:p w14:paraId="217893C1" w14:textId="45F930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25.9</w:t>
            </w:r>
          </w:p>
        </w:tc>
        <w:tc>
          <w:tcPr>
            <w:tcW w:w="677" w:type="dxa"/>
            <w:vAlign w:val="bottom"/>
          </w:tcPr>
          <w:p w14:paraId="29C92A08" w14:textId="42C13AE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255E435C" w14:textId="09FE490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213</w:t>
            </w:r>
          </w:p>
        </w:tc>
        <w:tc>
          <w:tcPr>
            <w:tcW w:w="853" w:type="dxa"/>
            <w:vAlign w:val="bottom"/>
          </w:tcPr>
          <w:p w14:paraId="2C4ADAB8" w14:textId="7B453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1494</w:t>
            </w:r>
          </w:p>
        </w:tc>
        <w:tc>
          <w:tcPr>
            <w:tcW w:w="607" w:type="dxa"/>
            <w:vAlign w:val="bottom"/>
          </w:tcPr>
          <w:p w14:paraId="4EB58475" w14:textId="2A8DF30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20.1</w:t>
            </w:r>
          </w:p>
        </w:tc>
        <w:tc>
          <w:tcPr>
            <w:tcW w:w="650" w:type="dxa"/>
            <w:vAlign w:val="bottom"/>
          </w:tcPr>
          <w:p w14:paraId="24A75E83" w14:textId="3A8523B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67</w:t>
            </w:r>
          </w:p>
        </w:tc>
        <w:tc>
          <w:tcPr>
            <w:tcW w:w="650" w:type="dxa"/>
            <w:vAlign w:val="bottom"/>
          </w:tcPr>
          <w:p w14:paraId="73A2317B" w14:textId="20B8BD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130</w:t>
            </w:r>
          </w:p>
        </w:tc>
        <w:tc>
          <w:tcPr>
            <w:tcW w:w="827" w:type="dxa"/>
            <w:vAlign w:val="bottom"/>
          </w:tcPr>
          <w:p w14:paraId="7DEBAE73" w14:textId="6A53B85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3EC53365" w14:textId="28D4337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w:t>
            </w:r>
          </w:p>
        </w:tc>
      </w:tr>
      <w:tr w:rsidR="00B04A6B" w14:paraId="3DE79CCE" w14:textId="77777777" w:rsidTr="00B04A6B">
        <w:tc>
          <w:tcPr>
            <w:tcW w:w="872" w:type="dxa"/>
          </w:tcPr>
          <w:p w14:paraId="0B732A7A" w14:textId="44ACB17E"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Pesisir</w:t>
            </w:r>
            <w:proofErr w:type="spellEnd"/>
          </w:p>
        </w:tc>
        <w:tc>
          <w:tcPr>
            <w:tcW w:w="676" w:type="dxa"/>
            <w:vAlign w:val="bottom"/>
          </w:tcPr>
          <w:p w14:paraId="5C314E81" w14:textId="4B06976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77" w:type="dxa"/>
            <w:vAlign w:val="bottom"/>
          </w:tcPr>
          <w:p w14:paraId="6A9D8FF0" w14:textId="1EF736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354</w:t>
            </w:r>
          </w:p>
        </w:tc>
        <w:tc>
          <w:tcPr>
            <w:tcW w:w="853" w:type="dxa"/>
            <w:vAlign w:val="bottom"/>
          </w:tcPr>
          <w:p w14:paraId="39A7EBAA" w14:textId="7EE48EE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2734</w:t>
            </w:r>
          </w:p>
        </w:tc>
        <w:tc>
          <w:tcPr>
            <w:tcW w:w="607" w:type="dxa"/>
            <w:vAlign w:val="bottom"/>
          </w:tcPr>
          <w:p w14:paraId="7A08ADCC" w14:textId="03C09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23.8</w:t>
            </w:r>
          </w:p>
        </w:tc>
        <w:tc>
          <w:tcPr>
            <w:tcW w:w="677" w:type="dxa"/>
            <w:vAlign w:val="bottom"/>
          </w:tcPr>
          <w:p w14:paraId="3A007188" w14:textId="22B252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w:t>
            </w:r>
          </w:p>
        </w:tc>
        <w:tc>
          <w:tcPr>
            <w:tcW w:w="677" w:type="dxa"/>
            <w:vAlign w:val="bottom"/>
          </w:tcPr>
          <w:p w14:paraId="3E104327" w14:textId="2E0860D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344</w:t>
            </w:r>
          </w:p>
        </w:tc>
        <w:tc>
          <w:tcPr>
            <w:tcW w:w="853" w:type="dxa"/>
            <w:vAlign w:val="bottom"/>
          </w:tcPr>
          <w:p w14:paraId="10ECF35B" w14:textId="1279058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2233</w:t>
            </w:r>
          </w:p>
        </w:tc>
        <w:tc>
          <w:tcPr>
            <w:tcW w:w="607" w:type="dxa"/>
            <w:vAlign w:val="bottom"/>
          </w:tcPr>
          <w:p w14:paraId="6D40A8C5" w14:textId="47D60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22.9</w:t>
            </w:r>
          </w:p>
        </w:tc>
        <w:tc>
          <w:tcPr>
            <w:tcW w:w="650" w:type="dxa"/>
            <w:vAlign w:val="bottom"/>
          </w:tcPr>
          <w:p w14:paraId="64978F0A" w14:textId="6FC7C6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c>
          <w:tcPr>
            <w:tcW w:w="650" w:type="dxa"/>
            <w:vAlign w:val="bottom"/>
          </w:tcPr>
          <w:p w14:paraId="25576E0B" w14:textId="5E2688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168</w:t>
            </w:r>
          </w:p>
        </w:tc>
        <w:tc>
          <w:tcPr>
            <w:tcW w:w="827" w:type="dxa"/>
            <w:vAlign w:val="bottom"/>
          </w:tcPr>
          <w:p w14:paraId="262555B1" w14:textId="0744D9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2556</w:t>
            </w:r>
          </w:p>
        </w:tc>
        <w:tc>
          <w:tcPr>
            <w:tcW w:w="391" w:type="dxa"/>
            <w:vAlign w:val="bottom"/>
          </w:tcPr>
          <w:p w14:paraId="01553BE6" w14:textId="7761D1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11.7</w:t>
            </w:r>
          </w:p>
        </w:tc>
      </w:tr>
      <w:tr w:rsidR="00B04A6B" w14:paraId="6950A67A" w14:textId="77777777" w:rsidTr="00B04A6B">
        <w:tc>
          <w:tcPr>
            <w:tcW w:w="872" w:type="dxa"/>
          </w:tcPr>
          <w:p w14:paraId="4C72C15A" w14:textId="1A4C735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Datuk Lima </w:t>
            </w:r>
            <w:proofErr w:type="spellStart"/>
            <w:r w:rsidRPr="00A910BA">
              <w:rPr>
                <w:rFonts w:ascii="Times New Roman" w:hAnsi="Times New Roman" w:cs="Times New Roman"/>
                <w:sz w:val="20"/>
                <w:szCs w:val="20"/>
              </w:rPr>
              <w:t>Puluh</w:t>
            </w:r>
            <w:proofErr w:type="spellEnd"/>
          </w:p>
        </w:tc>
        <w:tc>
          <w:tcPr>
            <w:tcW w:w="676" w:type="dxa"/>
            <w:vAlign w:val="bottom"/>
          </w:tcPr>
          <w:p w14:paraId="69706692" w14:textId="56EB1DF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118</w:t>
            </w:r>
          </w:p>
        </w:tc>
        <w:tc>
          <w:tcPr>
            <w:tcW w:w="677" w:type="dxa"/>
            <w:vAlign w:val="bottom"/>
          </w:tcPr>
          <w:p w14:paraId="181BD6D1" w14:textId="0CF3ABB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362</w:t>
            </w:r>
          </w:p>
        </w:tc>
        <w:tc>
          <w:tcPr>
            <w:tcW w:w="853" w:type="dxa"/>
            <w:vAlign w:val="bottom"/>
          </w:tcPr>
          <w:p w14:paraId="7F0CD95A" w14:textId="214A22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1749</w:t>
            </w:r>
          </w:p>
        </w:tc>
        <w:tc>
          <w:tcPr>
            <w:tcW w:w="607" w:type="dxa"/>
            <w:vAlign w:val="bottom"/>
          </w:tcPr>
          <w:p w14:paraId="2AFB5233" w14:textId="0F9F8BB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27.4</w:t>
            </w:r>
          </w:p>
        </w:tc>
        <w:tc>
          <w:tcPr>
            <w:tcW w:w="677" w:type="dxa"/>
            <w:vAlign w:val="bottom"/>
          </w:tcPr>
          <w:p w14:paraId="068D35CA" w14:textId="78D487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77" w:type="dxa"/>
            <w:vAlign w:val="bottom"/>
          </w:tcPr>
          <w:p w14:paraId="72552FE4" w14:textId="0C684F1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853" w:type="dxa"/>
            <w:vAlign w:val="bottom"/>
          </w:tcPr>
          <w:p w14:paraId="491B2FCB" w14:textId="18AF72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1348</w:t>
            </w:r>
          </w:p>
        </w:tc>
        <w:tc>
          <w:tcPr>
            <w:tcW w:w="607" w:type="dxa"/>
            <w:vAlign w:val="bottom"/>
          </w:tcPr>
          <w:p w14:paraId="3305633A" w14:textId="1DCBABA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18.9</w:t>
            </w:r>
          </w:p>
        </w:tc>
        <w:tc>
          <w:tcPr>
            <w:tcW w:w="650" w:type="dxa"/>
            <w:vAlign w:val="bottom"/>
          </w:tcPr>
          <w:p w14:paraId="70BC71CC" w14:textId="7EB94F8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93</w:t>
            </w:r>
          </w:p>
        </w:tc>
        <w:tc>
          <w:tcPr>
            <w:tcW w:w="650" w:type="dxa"/>
            <w:vAlign w:val="bottom"/>
          </w:tcPr>
          <w:p w14:paraId="08669520" w14:textId="262DBE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w:t>
            </w:r>
          </w:p>
        </w:tc>
        <w:tc>
          <w:tcPr>
            <w:tcW w:w="827" w:type="dxa"/>
            <w:vAlign w:val="bottom"/>
          </w:tcPr>
          <w:p w14:paraId="6273A365" w14:textId="43E291E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1506</w:t>
            </w:r>
          </w:p>
        </w:tc>
        <w:tc>
          <w:tcPr>
            <w:tcW w:w="391" w:type="dxa"/>
            <w:vAlign w:val="bottom"/>
          </w:tcPr>
          <w:p w14:paraId="0950516E" w14:textId="66036BE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14.7</w:t>
            </w:r>
          </w:p>
        </w:tc>
      </w:tr>
      <w:tr w:rsidR="00B04A6B" w14:paraId="02F0F47C" w14:textId="77777777" w:rsidTr="00B04A6B">
        <w:tc>
          <w:tcPr>
            <w:tcW w:w="872" w:type="dxa"/>
          </w:tcPr>
          <w:p w14:paraId="59C3E148" w14:textId="0EE8FCA9"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Air Putih</w:t>
            </w:r>
          </w:p>
        </w:tc>
        <w:tc>
          <w:tcPr>
            <w:tcW w:w="676" w:type="dxa"/>
            <w:vAlign w:val="bottom"/>
          </w:tcPr>
          <w:p w14:paraId="4AA672D4" w14:textId="14E9548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247</w:t>
            </w:r>
          </w:p>
        </w:tc>
        <w:tc>
          <w:tcPr>
            <w:tcW w:w="677" w:type="dxa"/>
            <w:vAlign w:val="bottom"/>
          </w:tcPr>
          <w:p w14:paraId="6E900987" w14:textId="7B0E66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409</w:t>
            </w:r>
          </w:p>
        </w:tc>
        <w:tc>
          <w:tcPr>
            <w:tcW w:w="853" w:type="dxa"/>
            <w:vAlign w:val="bottom"/>
          </w:tcPr>
          <w:p w14:paraId="26CA6A12" w14:textId="3411139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1678</w:t>
            </w:r>
          </w:p>
        </w:tc>
        <w:tc>
          <w:tcPr>
            <w:tcW w:w="607" w:type="dxa"/>
            <w:vAlign w:val="bottom"/>
          </w:tcPr>
          <w:p w14:paraId="3E53E8EA" w14:textId="76C02D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39.1</w:t>
            </w:r>
          </w:p>
        </w:tc>
        <w:tc>
          <w:tcPr>
            <w:tcW w:w="677" w:type="dxa"/>
            <w:vAlign w:val="bottom"/>
          </w:tcPr>
          <w:p w14:paraId="341B3193" w14:textId="2985D4C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c>
          <w:tcPr>
            <w:tcW w:w="677" w:type="dxa"/>
            <w:vAlign w:val="bottom"/>
          </w:tcPr>
          <w:p w14:paraId="1249A2B5" w14:textId="0E3FBFD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311</w:t>
            </w:r>
          </w:p>
        </w:tc>
        <w:tc>
          <w:tcPr>
            <w:tcW w:w="853" w:type="dxa"/>
            <w:vAlign w:val="bottom"/>
          </w:tcPr>
          <w:p w14:paraId="2DF3A61D" w14:textId="3EAF58C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2510</w:t>
            </w:r>
          </w:p>
        </w:tc>
        <w:tc>
          <w:tcPr>
            <w:tcW w:w="607" w:type="dxa"/>
            <w:vAlign w:val="bottom"/>
          </w:tcPr>
          <w:p w14:paraId="77386E63" w14:textId="67ED6A3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650" w:type="dxa"/>
            <w:vAlign w:val="bottom"/>
          </w:tcPr>
          <w:p w14:paraId="4AEFD396" w14:textId="2C4F9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50" w:type="dxa"/>
            <w:vAlign w:val="bottom"/>
          </w:tcPr>
          <w:p w14:paraId="6D94F2A3" w14:textId="046832E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27" w:type="dxa"/>
            <w:vAlign w:val="bottom"/>
          </w:tcPr>
          <w:p w14:paraId="062D4C8E" w14:textId="2C769F2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12DEA873" w14:textId="5DC4EB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15.1</w:t>
            </w:r>
          </w:p>
        </w:tc>
      </w:tr>
      <w:tr w:rsidR="00B04A6B" w14:paraId="533AA9C6" w14:textId="77777777" w:rsidTr="00B04A6B">
        <w:tc>
          <w:tcPr>
            <w:tcW w:w="872" w:type="dxa"/>
          </w:tcPr>
          <w:p w14:paraId="7100676A" w14:textId="2D2E2ECB"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Suka</w:t>
            </w:r>
          </w:p>
        </w:tc>
        <w:tc>
          <w:tcPr>
            <w:tcW w:w="676" w:type="dxa"/>
            <w:vAlign w:val="bottom"/>
          </w:tcPr>
          <w:p w14:paraId="378C4F22" w14:textId="565BFF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216</w:t>
            </w:r>
          </w:p>
        </w:tc>
        <w:tc>
          <w:tcPr>
            <w:tcW w:w="677" w:type="dxa"/>
            <w:vAlign w:val="bottom"/>
          </w:tcPr>
          <w:p w14:paraId="1CC4AE7C" w14:textId="727324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351</w:t>
            </w:r>
          </w:p>
        </w:tc>
        <w:tc>
          <w:tcPr>
            <w:tcW w:w="853" w:type="dxa"/>
            <w:vAlign w:val="bottom"/>
          </w:tcPr>
          <w:p w14:paraId="40668A70" w14:textId="0E2A85D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2277</w:t>
            </w:r>
          </w:p>
        </w:tc>
        <w:tc>
          <w:tcPr>
            <w:tcW w:w="607" w:type="dxa"/>
            <w:vAlign w:val="bottom"/>
          </w:tcPr>
          <w:p w14:paraId="38D9B7CA" w14:textId="4591B93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c>
          <w:tcPr>
            <w:tcW w:w="677" w:type="dxa"/>
            <w:vAlign w:val="bottom"/>
          </w:tcPr>
          <w:p w14:paraId="136C96B4" w14:textId="1A1081F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185</w:t>
            </w:r>
          </w:p>
        </w:tc>
        <w:tc>
          <w:tcPr>
            <w:tcW w:w="677" w:type="dxa"/>
            <w:vAlign w:val="bottom"/>
          </w:tcPr>
          <w:p w14:paraId="47DE3475" w14:textId="0657C81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231</w:t>
            </w:r>
          </w:p>
        </w:tc>
        <w:tc>
          <w:tcPr>
            <w:tcW w:w="853" w:type="dxa"/>
            <w:vAlign w:val="bottom"/>
          </w:tcPr>
          <w:p w14:paraId="328F47C5" w14:textId="70A3D38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2221</w:t>
            </w:r>
          </w:p>
        </w:tc>
        <w:tc>
          <w:tcPr>
            <w:tcW w:w="607" w:type="dxa"/>
            <w:vAlign w:val="bottom"/>
          </w:tcPr>
          <w:p w14:paraId="3DC10D2F" w14:textId="57F6AC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20.4</w:t>
            </w:r>
          </w:p>
        </w:tc>
        <w:tc>
          <w:tcPr>
            <w:tcW w:w="650" w:type="dxa"/>
            <w:vAlign w:val="bottom"/>
          </w:tcPr>
          <w:p w14:paraId="32239BE4" w14:textId="6695B2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50" w:type="dxa"/>
            <w:vAlign w:val="bottom"/>
          </w:tcPr>
          <w:p w14:paraId="1B204F2D" w14:textId="17EA82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27" w:type="dxa"/>
            <w:vAlign w:val="bottom"/>
          </w:tcPr>
          <w:p w14:paraId="418A208D" w14:textId="1A8FA6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2300</w:t>
            </w:r>
          </w:p>
        </w:tc>
        <w:tc>
          <w:tcPr>
            <w:tcW w:w="391" w:type="dxa"/>
            <w:vAlign w:val="bottom"/>
          </w:tcPr>
          <w:p w14:paraId="6B0FABB2" w14:textId="13E1133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r>
      <w:tr w:rsidR="00B04A6B" w14:paraId="686DB16C" w14:textId="77777777" w:rsidTr="00B04A6B">
        <w:tc>
          <w:tcPr>
            <w:tcW w:w="872" w:type="dxa"/>
          </w:tcPr>
          <w:p w14:paraId="15CADF49" w14:textId="58E3ABD9"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Medang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Deras</w:t>
            </w:r>
            <w:proofErr w:type="spellEnd"/>
          </w:p>
        </w:tc>
        <w:tc>
          <w:tcPr>
            <w:tcW w:w="676" w:type="dxa"/>
            <w:vAlign w:val="bottom"/>
          </w:tcPr>
          <w:p w14:paraId="22E4A799" w14:textId="22742FD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612</w:t>
            </w:r>
          </w:p>
        </w:tc>
        <w:tc>
          <w:tcPr>
            <w:tcW w:w="677" w:type="dxa"/>
            <w:vAlign w:val="bottom"/>
          </w:tcPr>
          <w:p w14:paraId="38FE62EE" w14:textId="465836A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578</w:t>
            </w:r>
          </w:p>
        </w:tc>
        <w:tc>
          <w:tcPr>
            <w:tcW w:w="853" w:type="dxa"/>
            <w:vAlign w:val="bottom"/>
          </w:tcPr>
          <w:p w14:paraId="12261DA1" w14:textId="105D63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2926</w:t>
            </w:r>
          </w:p>
        </w:tc>
        <w:tc>
          <w:tcPr>
            <w:tcW w:w="607" w:type="dxa"/>
            <w:vAlign w:val="bottom"/>
          </w:tcPr>
          <w:p w14:paraId="5B4B62CF" w14:textId="027B50B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40.7</w:t>
            </w:r>
          </w:p>
        </w:tc>
        <w:tc>
          <w:tcPr>
            <w:tcW w:w="677" w:type="dxa"/>
            <w:vAlign w:val="bottom"/>
          </w:tcPr>
          <w:p w14:paraId="761A7750" w14:textId="2D39D9F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77" w:type="dxa"/>
            <w:vAlign w:val="bottom"/>
          </w:tcPr>
          <w:p w14:paraId="70602947" w14:textId="1F6B37E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393</w:t>
            </w:r>
          </w:p>
        </w:tc>
        <w:tc>
          <w:tcPr>
            <w:tcW w:w="853" w:type="dxa"/>
            <w:vAlign w:val="bottom"/>
          </w:tcPr>
          <w:p w14:paraId="341C7451" w14:textId="6F4CD0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3404</w:t>
            </w:r>
          </w:p>
        </w:tc>
        <w:tc>
          <w:tcPr>
            <w:tcW w:w="607" w:type="dxa"/>
            <w:vAlign w:val="bottom"/>
          </w:tcPr>
          <w:p w14:paraId="42A71414" w14:textId="70E46C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c>
          <w:tcPr>
            <w:tcW w:w="650" w:type="dxa"/>
            <w:vAlign w:val="bottom"/>
          </w:tcPr>
          <w:p w14:paraId="1EBA1624" w14:textId="3CA9FE9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50" w:type="dxa"/>
            <w:vAlign w:val="bottom"/>
          </w:tcPr>
          <w:p w14:paraId="63F01282" w14:textId="6097CA4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454</w:t>
            </w:r>
          </w:p>
        </w:tc>
        <w:tc>
          <w:tcPr>
            <w:tcW w:w="827" w:type="dxa"/>
            <w:vAlign w:val="bottom"/>
          </w:tcPr>
          <w:p w14:paraId="0C02DE3F" w14:textId="3A3707B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3083</w:t>
            </w:r>
          </w:p>
        </w:tc>
        <w:tc>
          <w:tcPr>
            <w:tcW w:w="391" w:type="dxa"/>
            <w:vAlign w:val="bottom"/>
          </w:tcPr>
          <w:p w14:paraId="6514C245" w14:textId="6C2ED03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r>
      <w:tr w:rsidR="00B04A6B" w14:paraId="3D012A41" w14:textId="77777777" w:rsidTr="00B04A6B">
        <w:tc>
          <w:tcPr>
            <w:tcW w:w="872" w:type="dxa"/>
          </w:tcPr>
          <w:p w14:paraId="0B074C36" w14:textId="58589C43"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Laut Tador</w:t>
            </w:r>
          </w:p>
        </w:tc>
        <w:tc>
          <w:tcPr>
            <w:tcW w:w="676" w:type="dxa"/>
            <w:vAlign w:val="bottom"/>
          </w:tcPr>
          <w:p w14:paraId="32036AC4" w14:textId="5E5CCB9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56</w:t>
            </w:r>
          </w:p>
        </w:tc>
        <w:tc>
          <w:tcPr>
            <w:tcW w:w="677" w:type="dxa"/>
            <w:vAlign w:val="bottom"/>
          </w:tcPr>
          <w:p w14:paraId="4823AF0E" w14:textId="413463B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77</w:t>
            </w:r>
          </w:p>
        </w:tc>
        <w:tc>
          <w:tcPr>
            <w:tcW w:w="853" w:type="dxa"/>
            <w:vAlign w:val="bottom"/>
          </w:tcPr>
          <w:p w14:paraId="1BFF7B5D" w14:textId="69AF6F5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07" w:type="dxa"/>
            <w:vAlign w:val="bottom"/>
          </w:tcPr>
          <w:p w14:paraId="332C5901" w14:textId="4FD45F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26.2</w:t>
            </w:r>
          </w:p>
        </w:tc>
        <w:tc>
          <w:tcPr>
            <w:tcW w:w="677" w:type="dxa"/>
            <w:vAlign w:val="bottom"/>
          </w:tcPr>
          <w:p w14:paraId="475F5A5F" w14:textId="0622EC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77" w:type="dxa"/>
            <w:vAlign w:val="bottom"/>
          </w:tcPr>
          <w:p w14:paraId="301AD4A4" w14:textId="04D8A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102</w:t>
            </w:r>
          </w:p>
        </w:tc>
        <w:tc>
          <w:tcPr>
            <w:tcW w:w="853" w:type="dxa"/>
            <w:vAlign w:val="bottom"/>
          </w:tcPr>
          <w:p w14:paraId="105C6129" w14:textId="0688883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1000</w:t>
            </w:r>
          </w:p>
        </w:tc>
        <w:tc>
          <w:tcPr>
            <w:tcW w:w="607" w:type="dxa"/>
            <w:vAlign w:val="bottom"/>
          </w:tcPr>
          <w:p w14:paraId="4308239B" w14:textId="3EDDC5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50" w:type="dxa"/>
            <w:vAlign w:val="bottom"/>
          </w:tcPr>
          <w:p w14:paraId="2A4AD69D" w14:textId="5AF7A42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50" w:type="dxa"/>
            <w:vAlign w:val="bottom"/>
          </w:tcPr>
          <w:p w14:paraId="14180EB1" w14:textId="6962417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112</w:t>
            </w:r>
          </w:p>
        </w:tc>
        <w:tc>
          <w:tcPr>
            <w:tcW w:w="827" w:type="dxa"/>
            <w:vAlign w:val="bottom"/>
          </w:tcPr>
          <w:p w14:paraId="79F864FA" w14:textId="79765A6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1136</w:t>
            </w:r>
          </w:p>
        </w:tc>
        <w:tc>
          <w:tcPr>
            <w:tcW w:w="391" w:type="dxa"/>
            <w:vAlign w:val="bottom"/>
          </w:tcPr>
          <w:p w14:paraId="4946D25E" w14:textId="4C76278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12.6</w:t>
            </w:r>
          </w:p>
        </w:tc>
      </w:tr>
      <w:tr w:rsidR="00B04A6B" w14:paraId="3C0241FD" w14:textId="77777777" w:rsidTr="00B04A6B">
        <w:tc>
          <w:tcPr>
            <w:tcW w:w="872" w:type="dxa"/>
          </w:tcPr>
          <w:p w14:paraId="622CA5A1" w14:textId="6E839823" w:rsidR="00B04A6B" w:rsidRPr="00D66962" w:rsidRDefault="00D66962" w:rsidP="00B04A6B">
            <w:pPr>
              <w:spacing w:after="120"/>
              <w:jc w:val="both"/>
              <w:rPr>
                <w:rFonts w:ascii="Times New Roman" w:hAnsi="Times New Roman" w:cs="Times New Roman"/>
                <w:b/>
                <w:bCs/>
                <w:sz w:val="20"/>
                <w:szCs w:val="20"/>
              </w:rPr>
            </w:pPr>
            <w:r w:rsidRPr="00D66962">
              <w:rPr>
                <w:rFonts w:ascii="Times New Roman" w:hAnsi="Times New Roman" w:cs="Times New Roman"/>
                <w:b/>
                <w:bCs/>
                <w:sz w:val="20"/>
                <w:szCs w:val="20"/>
              </w:rPr>
              <w:t>Total</w:t>
            </w:r>
          </w:p>
        </w:tc>
        <w:tc>
          <w:tcPr>
            <w:tcW w:w="676" w:type="dxa"/>
            <w:vAlign w:val="bottom"/>
          </w:tcPr>
          <w:p w14:paraId="65DAF6DD" w14:textId="2FA9B27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2940</w:t>
            </w:r>
          </w:p>
        </w:tc>
        <w:tc>
          <w:tcPr>
            <w:tcW w:w="677" w:type="dxa"/>
            <w:vAlign w:val="bottom"/>
          </w:tcPr>
          <w:p w14:paraId="1C3D7346" w14:textId="1A34F772"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3973</w:t>
            </w:r>
          </w:p>
        </w:tc>
        <w:tc>
          <w:tcPr>
            <w:tcW w:w="853" w:type="dxa"/>
            <w:vAlign w:val="bottom"/>
          </w:tcPr>
          <w:p w14:paraId="7C7C08FC" w14:textId="0CF16F0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21893</w:t>
            </w:r>
          </w:p>
        </w:tc>
        <w:tc>
          <w:tcPr>
            <w:tcW w:w="607" w:type="dxa"/>
            <w:vAlign w:val="bottom"/>
          </w:tcPr>
          <w:p w14:paraId="3D71B378" w14:textId="3CB7E09F"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30,8</w:t>
            </w:r>
          </w:p>
        </w:tc>
        <w:tc>
          <w:tcPr>
            <w:tcW w:w="677" w:type="dxa"/>
            <w:vAlign w:val="bottom"/>
          </w:tcPr>
          <w:p w14:paraId="4DFEC940" w14:textId="28CD94C6"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2073</w:t>
            </w:r>
          </w:p>
        </w:tc>
        <w:tc>
          <w:tcPr>
            <w:tcW w:w="677" w:type="dxa"/>
            <w:vAlign w:val="bottom"/>
          </w:tcPr>
          <w:p w14:paraId="427B811B" w14:textId="0247447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2866</w:t>
            </w:r>
          </w:p>
        </w:tc>
        <w:tc>
          <w:tcPr>
            <w:tcW w:w="853" w:type="dxa"/>
            <w:vAlign w:val="bottom"/>
          </w:tcPr>
          <w:p w14:paraId="1714AF05" w14:textId="10C7D9D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22269</w:t>
            </w:r>
          </w:p>
        </w:tc>
        <w:tc>
          <w:tcPr>
            <w:tcW w:w="607" w:type="dxa"/>
            <w:vAlign w:val="bottom"/>
          </w:tcPr>
          <w:p w14:paraId="0F8B0DDD" w14:textId="09AA8CE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21,7</w:t>
            </w:r>
          </w:p>
        </w:tc>
        <w:tc>
          <w:tcPr>
            <w:tcW w:w="650" w:type="dxa"/>
            <w:vAlign w:val="bottom"/>
          </w:tcPr>
          <w:p w14:paraId="649F8FDB" w14:textId="49AF43EB"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1773</w:t>
            </w:r>
          </w:p>
        </w:tc>
        <w:tc>
          <w:tcPr>
            <w:tcW w:w="650" w:type="dxa"/>
            <w:vAlign w:val="bottom"/>
          </w:tcPr>
          <w:p w14:paraId="585EA3B7" w14:textId="29990B67"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2741</w:t>
            </w:r>
          </w:p>
        </w:tc>
        <w:tc>
          <w:tcPr>
            <w:tcW w:w="827" w:type="dxa"/>
            <w:vAlign w:val="bottom"/>
          </w:tcPr>
          <w:p w14:paraId="41BB978B" w14:textId="62B5C9D1"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26919</w:t>
            </w:r>
          </w:p>
        </w:tc>
        <w:tc>
          <w:tcPr>
            <w:tcW w:w="391" w:type="dxa"/>
            <w:vAlign w:val="bottom"/>
          </w:tcPr>
          <w:p w14:paraId="54B19732" w14:textId="2B8858B8"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15,7</w:t>
            </w:r>
          </w:p>
        </w:tc>
      </w:tr>
    </w:tbl>
    <w:p w14:paraId="55C866B8" w14:textId="77777777" w:rsidR="00A910BA" w:rsidRPr="0043375F" w:rsidRDefault="00A910BA" w:rsidP="0043375F">
      <w:pPr>
        <w:spacing w:after="120" w:line="240" w:lineRule="auto"/>
        <w:jc w:val="both"/>
        <w:rPr>
          <w:rFonts w:ascii="Arial" w:hAnsi="Arial" w:cs="Arial"/>
        </w:rPr>
      </w:pPr>
    </w:p>
    <w:p w14:paraId="19AEA061" w14:textId="233D7DC2" w:rsidR="0043375F" w:rsidRDefault="0043375F" w:rsidP="0043375F">
      <w:pPr>
        <w:spacing w:after="120" w:line="240" w:lineRule="auto"/>
        <w:jc w:val="both"/>
        <w:rPr>
          <w:rFonts w:ascii="Arial" w:hAnsi="Arial" w:cs="Arial"/>
        </w:rPr>
      </w:pPr>
      <w:r w:rsidRPr="0043375F">
        <w:rPr>
          <w:rFonts w:ascii="Arial" w:hAnsi="Arial" w:cs="Arial"/>
        </w:rPr>
        <w:t xml:space="preserve">A closer look at birth-related stunting reveals improvements as well. The prevalence of infants born with stunting decreased significantly, with </w:t>
      </w:r>
      <w:proofErr w:type="spellStart"/>
      <w:r w:rsidRPr="0043375F">
        <w:rPr>
          <w:rFonts w:ascii="Arial" w:hAnsi="Arial" w:cs="Arial"/>
        </w:rPr>
        <w:t>Nibung</w:t>
      </w:r>
      <w:proofErr w:type="spellEnd"/>
      <w:r w:rsidRPr="0043375F">
        <w:rPr>
          <w:rFonts w:ascii="Arial" w:hAnsi="Arial" w:cs="Arial"/>
        </w:rPr>
        <w:t xml:space="preserve"> </w:t>
      </w:r>
      <w:proofErr w:type="spellStart"/>
      <w:r w:rsidRPr="0043375F">
        <w:rPr>
          <w:rFonts w:ascii="Arial" w:hAnsi="Arial" w:cs="Arial"/>
        </w:rPr>
        <w:t>Hangus</w:t>
      </w:r>
      <w:proofErr w:type="spellEnd"/>
      <w:r w:rsidRPr="0043375F">
        <w:rPr>
          <w:rFonts w:ascii="Arial" w:hAnsi="Arial" w:cs="Arial"/>
        </w:rPr>
        <w:t xml:space="preserve"> showing the highest early-life stunting rate at 0.025%, while </w:t>
      </w:r>
      <w:proofErr w:type="spellStart"/>
      <w:r w:rsidRPr="0043375F">
        <w:rPr>
          <w:rFonts w:ascii="Arial" w:hAnsi="Arial" w:cs="Arial"/>
        </w:rPr>
        <w:t>Talawi</w:t>
      </w:r>
      <w:proofErr w:type="spellEnd"/>
      <w:r w:rsidRPr="0043375F">
        <w:rPr>
          <w:rFonts w:ascii="Arial" w:hAnsi="Arial" w:cs="Arial"/>
        </w:rPr>
        <w:t xml:space="preserve"> and Lima </w:t>
      </w:r>
      <w:proofErr w:type="spellStart"/>
      <w:r w:rsidRPr="0043375F">
        <w:rPr>
          <w:rFonts w:ascii="Arial" w:hAnsi="Arial" w:cs="Arial"/>
        </w:rPr>
        <w:t>Puluh</w:t>
      </w:r>
      <w:proofErr w:type="spellEnd"/>
      <w:r w:rsidRPr="0043375F">
        <w:rPr>
          <w:rFonts w:ascii="Arial" w:hAnsi="Arial" w:cs="Arial"/>
        </w:rPr>
        <w:t xml:space="preserve"> recorded nearly zero prevalence.</w:t>
      </w:r>
    </w:p>
    <w:p w14:paraId="090E3207" w14:textId="00A1F304" w:rsidR="0043375F" w:rsidRDefault="0043375F" w:rsidP="0043375F">
      <w:pPr>
        <w:spacing w:after="120" w:line="240" w:lineRule="auto"/>
        <w:jc w:val="both"/>
        <w:rPr>
          <w:rFonts w:ascii="Arial" w:hAnsi="Arial" w:cs="Arial"/>
        </w:rPr>
      </w:pPr>
    </w:p>
    <w:p w14:paraId="5FF483F8" w14:textId="531C6AC0" w:rsidR="0043375F" w:rsidRPr="002743CE" w:rsidRDefault="006B609C" w:rsidP="0043375F">
      <w:pPr>
        <w:spacing w:after="120" w:line="240" w:lineRule="auto"/>
        <w:jc w:val="both"/>
        <w:rPr>
          <w:rFonts w:ascii="Arial" w:hAnsi="Arial" w:cs="Arial"/>
          <w:b/>
          <w:bCs/>
        </w:rPr>
      </w:pPr>
      <w:r>
        <w:rPr>
          <w:rFonts w:ascii="Arial" w:hAnsi="Arial" w:cs="Arial"/>
          <w:b/>
          <w:bCs/>
        </w:rPr>
        <w:t>3</w:t>
      </w:r>
      <w:r w:rsidR="0043375F" w:rsidRPr="002743CE">
        <w:rPr>
          <w:rFonts w:ascii="Arial" w:hAnsi="Arial" w:cs="Arial"/>
          <w:b/>
          <w:bCs/>
        </w:rPr>
        <w:t>.1.3 Impact of Vitamin A Supplementation on Nutritional Outcomes</w:t>
      </w:r>
    </w:p>
    <w:p w14:paraId="1796236D" w14:textId="40403984"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lastRenderedPageBreak/>
        <w:t>The Batu Bara Regency government has taken strategic steps to combat stunting through targeted nutritional interventions, including the widespread distribution of vitamin A supplements. This initiative, reinforced by local regulation Perbup No. 41 of 2021, emphasizes integrated efforts combining promotive, preventive, and rehabilitative approaches in community health programs. Field implementation is carried out through coordinated activities in local health centers (Posyandu), clinics, and district hospitals, involving nutritionists and health cadres.</w:t>
      </w:r>
    </w:p>
    <w:p w14:paraId="3F00898D" w14:textId="0CFD2530" w:rsidR="00E21608" w:rsidRDefault="00E21608" w:rsidP="00E21608">
      <w:pPr>
        <w:spacing w:after="120" w:line="240" w:lineRule="auto"/>
        <w:jc w:val="both"/>
        <w:rPr>
          <w:rFonts w:ascii="Arial" w:hAnsi="Arial" w:cs="Arial"/>
          <w:lang w:val="id-ID"/>
        </w:rPr>
      </w:pPr>
      <w:r w:rsidRPr="00E21608">
        <w:rPr>
          <w:rFonts w:ascii="Arial" w:hAnsi="Arial" w:cs="Arial"/>
          <w:lang w:val="id-ID"/>
        </w:rPr>
        <w:t xml:space="preserve">As illustrated in </w:t>
      </w:r>
      <w:r w:rsidRPr="00E21608">
        <w:rPr>
          <w:rFonts w:ascii="Arial" w:hAnsi="Arial" w:cs="Arial"/>
          <w:b/>
          <w:bCs/>
          <w:lang w:val="id-ID"/>
        </w:rPr>
        <w:t>Table 2</w:t>
      </w:r>
      <w:r w:rsidRPr="00E21608">
        <w:rPr>
          <w:rFonts w:ascii="Arial" w:hAnsi="Arial" w:cs="Arial"/>
          <w:lang w:val="id-ID"/>
        </w:rPr>
        <w:t>, vitamin A supplementation coverage varied across districts in 2023. The highest coverage was recorded in Lima Puluh (89.94%) and Sei Balai (89.16%), while the lowest was seen in Tanjung Tiram (72.41%) and Medang Deras (72.82%). Despite notable progress, a coverage gap of 5,455 children was still observed against the total target of 31,433 children.</w:t>
      </w:r>
    </w:p>
    <w:p w14:paraId="19E42632" w14:textId="77777777" w:rsidR="00646514" w:rsidRDefault="00646514" w:rsidP="00646514">
      <w:pPr>
        <w:spacing w:after="120" w:line="240" w:lineRule="auto"/>
        <w:jc w:val="center"/>
        <w:rPr>
          <w:rFonts w:ascii="Arial" w:hAnsi="Arial" w:cs="Arial"/>
          <w:lang w:val="id-ID"/>
        </w:rPr>
      </w:pPr>
      <w:r w:rsidRPr="00A910BA">
        <w:rPr>
          <w:rFonts w:ascii="Arial" w:hAnsi="Arial" w:cs="Arial"/>
          <w:b/>
          <w:bCs/>
          <w:lang w:val="id-ID"/>
        </w:rPr>
        <w:t>Table</w:t>
      </w:r>
      <w:r w:rsidRPr="00A910BA">
        <w:rPr>
          <w:rFonts w:ascii="Arial" w:hAnsi="Arial" w:cs="Arial"/>
          <w:b/>
          <w:bCs/>
        </w:rPr>
        <w:t xml:space="preserve"> 2</w:t>
      </w:r>
      <w:r w:rsidRPr="0043375F">
        <w:rPr>
          <w:rFonts w:ascii="Arial" w:hAnsi="Arial" w:cs="Arial"/>
          <w:lang w:val="id-ID"/>
        </w:rPr>
        <w:t xml:space="preserve"> Vitamin A Coverage by District, 2023</w:t>
      </w:r>
    </w:p>
    <w:tbl>
      <w:tblPr>
        <w:tblStyle w:val="TableGrid"/>
        <w:tblW w:w="7560" w:type="dxa"/>
        <w:jc w:val="center"/>
        <w:tblLook w:val="04A0" w:firstRow="1" w:lastRow="0" w:firstColumn="1" w:lastColumn="0" w:noHBand="0" w:noVBand="1"/>
      </w:tblPr>
      <w:tblGrid>
        <w:gridCol w:w="1706"/>
        <w:gridCol w:w="960"/>
        <w:gridCol w:w="960"/>
        <w:gridCol w:w="960"/>
        <w:gridCol w:w="960"/>
        <w:gridCol w:w="960"/>
        <w:gridCol w:w="1054"/>
      </w:tblGrid>
      <w:tr w:rsidR="00646514" w:rsidRPr="0043375F" w14:paraId="5C035453" w14:textId="77777777" w:rsidTr="00B401DA">
        <w:trPr>
          <w:trHeight w:val="300"/>
          <w:jc w:val="center"/>
        </w:trPr>
        <w:tc>
          <w:tcPr>
            <w:tcW w:w="1706" w:type="dxa"/>
            <w:noWrap/>
            <w:hideMark/>
          </w:tcPr>
          <w:p w14:paraId="609A12A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District</w:t>
            </w:r>
          </w:p>
        </w:tc>
        <w:tc>
          <w:tcPr>
            <w:tcW w:w="960" w:type="dxa"/>
            <w:noWrap/>
            <w:hideMark/>
          </w:tcPr>
          <w:p w14:paraId="11CB276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Normal</w:t>
            </w:r>
          </w:p>
        </w:tc>
        <w:tc>
          <w:tcPr>
            <w:tcW w:w="960" w:type="dxa"/>
            <w:noWrap/>
            <w:hideMark/>
          </w:tcPr>
          <w:p w14:paraId="39B368D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Short</w:t>
            </w:r>
          </w:p>
        </w:tc>
        <w:tc>
          <w:tcPr>
            <w:tcW w:w="960" w:type="dxa"/>
            <w:noWrap/>
            <w:hideMark/>
          </w:tcPr>
          <w:p w14:paraId="32CAED4F"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Very Short</w:t>
            </w:r>
          </w:p>
        </w:tc>
        <w:tc>
          <w:tcPr>
            <w:tcW w:w="960" w:type="dxa"/>
            <w:noWrap/>
            <w:hideMark/>
          </w:tcPr>
          <w:p w14:paraId="2DFEAF51"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Total</w:t>
            </w:r>
          </w:p>
        </w:tc>
        <w:tc>
          <w:tcPr>
            <w:tcW w:w="960" w:type="dxa"/>
            <w:noWrap/>
            <w:hideMark/>
          </w:tcPr>
          <w:p w14:paraId="1E98721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Vitamin A Given</w:t>
            </w:r>
          </w:p>
        </w:tc>
        <w:tc>
          <w:tcPr>
            <w:tcW w:w="1054" w:type="dxa"/>
            <w:noWrap/>
            <w:hideMark/>
          </w:tcPr>
          <w:p w14:paraId="595CE67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Coverage (%)</w:t>
            </w:r>
          </w:p>
        </w:tc>
      </w:tr>
      <w:tr w:rsidR="00646514" w:rsidRPr="0043375F" w14:paraId="36F84F25" w14:textId="77777777" w:rsidTr="00B401DA">
        <w:trPr>
          <w:trHeight w:val="300"/>
          <w:jc w:val="center"/>
        </w:trPr>
        <w:tc>
          <w:tcPr>
            <w:tcW w:w="1706" w:type="dxa"/>
            <w:noWrap/>
            <w:hideMark/>
          </w:tcPr>
          <w:p w14:paraId="06C6EB3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Balai</w:t>
            </w:r>
          </w:p>
        </w:tc>
        <w:tc>
          <w:tcPr>
            <w:tcW w:w="960" w:type="dxa"/>
            <w:noWrap/>
            <w:hideMark/>
          </w:tcPr>
          <w:p w14:paraId="183A688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1872</w:t>
            </w:r>
          </w:p>
        </w:tc>
        <w:tc>
          <w:tcPr>
            <w:tcW w:w="960" w:type="dxa"/>
            <w:noWrap/>
            <w:hideMark/>
          </w:tcPr>
          <w:p w14:paraId="13C820A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134</w:t>
            </w:r>
          </w:p>
        </w:tc>
        <w:tc>
          <w:tcPr>
            <w:tcW w:w="960" w:type="dxa"/>
            <w:noWrap/>
            <w:hideMark/>
          </w:tcPr>
          <w:p w14:paraId="7F99E0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69</w:t>
            </w:r>
          </w:p>
        </w:tc>
        <w:tc>
          <w:tcPr>
            <w:tcW w:w="960" w:type="dxa"/>
            <w:noWrap/>
            <w:hideMark/>
          </w:tcPr>
          <w:p w14:paraId="4D4BC6F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2075</w:t>
            </w:r>
          </w:p>
        </w:tc>
        <w:tc>
          <w:tcPr>
            <w:tcW w:w="960" w:type="dxa"/>
            <w:noWrap/>
            <w:hideMark/>
          </w:tcPr>
          <w:p w14:paraId="6F1D1EB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1850</w:t>
            </w:r>
          </w:p>
        </w:tc>
        <w:tc>
          <w:tcPr>
            <w:tcW w:w="1054" w:type="dxa"/>
            <w:noWrap/>
            <w:hideMark/>
          </w:tcPr>
          <w:p w14:paraId="4B3122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89.16</w:t>
            </w:r>
          </w:p>
        </w:tc>
      </w:tr>
      <w:tr w:rsidR="00646514" w:rsidRPr="0043375F" w14:paraId="42688F71" w14:textId="77777777" w:rsidTr="00B401DA">
        <w:trPr>
          <w:trHeight w:val="300"/>
          <w:jc w:val="center"/>
        </w:trPr>
        <w:tc>
          <w:tcPr>
            <w:tcW w:w="1706" w:type="dxa"/>
            <w:noWrap/>
            <w:hideMark/>
          </w:tcPr>
          <w:p w14:paraId="6F010685"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Tanjung Tiram</w:t>
            </w:r>
          </w:p>
        </w:tc>
        <w:tc>
          <w:tcPr>
            <w:tcW w:w="960" w:type="dxa"/>
            <w:noWrap/>
            <w:hideMark/>
          </w:tcPr>
          <w:p w14:paraId="1564127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2718</w:t>
            </w:r>
          </w:p>
        </w:tc>
        <w:tc>
          <w:tcPr>
            <w:tcW w:w="960" w:type="dxa"/>
            <w:noWrap/>
            <w:hideMark/>
          </w:tcPr>
          <w:p w14:paraId="3B25BD6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411</w:t>
            </w:r>
          </w:p>
        </w:tc>
        <w:tc>
          <w:tcPr>
            <w:tcW w:w="960" w:type="dxa"/>
            <w:noWrap/>
            <w:hideMark/>
          </w:tcPr>
          <w:p w14:paraId="31DF94D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267</w:t>
            </w:r>
          </w:p>
        </w:tc>
        <w:tc>
          <w:tcPr>
            <w:tcW w:w="960" w:type="dxa"/>
            <w:noWrap/>
            <w:hideMark/>
          </w:tcPr>
          <w:p w14:paraId="695D20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3396</w:t>
            </w:r>
          </w:p>
        </w:tc>
        <w:tc>
          <w:tcPr>
            <w:tcW w:w="960" w:type="dxa"/>
            <w:noWrap/>
            <w:hideMark/>
          </w:tcPr>
          <w:p w14:paraId="34C4AF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2459</w:t>
            </w:r>
          </w:p>
        </w:tc>
        <w:tc>
          <w:tcPr>
            <w:tcW w:w="1054" w:type="dxa"/>
            <w:noWrap/>
            <w:hideMark/>
          </w:tcPr>
          <w:p w14:paraId="787BDA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72.41</w:t>
            </w:r>
          </w:p>
        </w:tc>
      </w:tr>
      <w:tr w:rsidR="00646514" w:rsidRPr="0043375F" w14:paraId="16C526E2" w14:textId="77777777" w:rsidTr="00B401DA">
        <w:trPr>
          <w:trHeight w:val="300"/>
          <w:jc w:val="center"/>
        </w:trPr>
        <w:tc>
          <w:tcPr>
            <w:tcW w:w="1706" w:type="dxa"/>
            <w:noWrap/>
            <w:hideMark/>
          </w:tcPr>
          <w:p w14:paraId="4053CBC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Nibung Hangus</w:t>
            </w:r>
          </w:p>
        </w:tc>
        <w:tc>
          <w:tcPr>
            <w:tcW w:w="960" w:type="dxa"/>
            <w:noWrap/>
            <w:hideMark/>
          </w:tcPr>
          <w:p w14:paraId="69BD50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2144</w:t>
            </w:r>
          </w:p>
        </w:tc>
        <w:tc>
          <w:tcPr>
            <w:tcW w:w="960" w:type="dxa"/>
            <w:noWrap/>
            <w:hideMark/>
          </w:tcPr>
          <w:p w14:paraId="1EB617B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279</w:t>
            </w:r>
          </w:p>
        </w:tc>
        <w:tc>
          <w:tcPr>
            <w:tcW w:w="960" w:type="dxa"/>
            <w:noWrap/>
            <w:hideMark/>
          </w:tcPr>
          <w:p w14:paraId="4AB872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20FBCA1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2537</w:t>
            </w:r>
          </w:p>
        </w:tc>
        <w:tc>
          <w:tcPr>
            <w:tcW w:w="960" w:type="dxa"/>
            <w:noWrap/>
            <w:hideMark/>
          </w:tcPr>
          <w:p w14:paraId="7683BF3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2072</w:t>
            </w:r>
          </w:p>
        </w:tc>
        <w:tc>
          <w:tcPr>
            <w:tcW w:w="1054" w:type="dxa"/>
            <w:noWrap/>
            <w:hideMark/>
          </w:tcPr>
          <w:p w14:paraId="374CC24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81.67</w:t>
            </w:r>
          </w:p>
        </w:tc>
      </w:tr>
      <w:tr w:rsidR="00646514" w:rsidRPr="0043375F" w14:paraId="5BD1588E" w14:textId="77777777" w:rsidTr="00B401DA">
        <w:trPr>
          <w:trHeight w:val="300"/>
          <w:jc w:val="center"/>
        </w:trPr>
        <w:tc>
          <w:tcPr>
            <w:tcW w:w="1706" w:type="dxa"/>
            <w:noWrap/>
            <w:hideMark/>
          </w:tcPr>
          <w:p w14:paraId="24717BD4"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Talawi</w:t>
            </w:r>
          </w:p>
        </w:tc>
        <w:tc>
          <w:tcPr>
            <w:tcW w:w="960" w:type="dxa"/>
            <w:noWrap/>
            <w:hideMark/>
          </w:tcPr>
          <w:p w14:paraId="30A831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1959</w:t>
            </w:r>
          </w:p>
        </w:tc>
        <w:tc>
          <w:tcPr>
            <w:tcW w:w="960" w:type="dxa"/>
            <w:noWrap/>
            <w:hideMark/>
          </w:tcPr>
          <w:p w14:paraId="3F86C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316DD5E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122</w:t>
            </w:r>
          </w:p>
        </w:tc>
        <w:tc>
          <w:tcPr>
            <w:tcW w:w="960" w:type="dxa"/>
            <w:noWrap/>
            <w:hideMark/>
          </w:tcPr>
          <w:p w14:paraId="5DB50C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2195</w:t>
            </w:r>
          </w:p>
        </w:tc>
        <w:tc>
          <w:tcPr>
            <w:tcW w:w="960" w:type="dxa"/>
            <w:noWrap/>
            <w:hideMark/>
          </w:tcPr>
          <w:p w14:paraId="05B2A8C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1931</w:t>
            </w:r>
          </w:p>
        </w:tc>
        <w:tc>
          <w:tcPr>
            <w:tcW w:w="1054" w:type="dxa"/>
            <w:noWrap/>
            <w:hideMark/>
          </w:tcPr>
          <w:p w14:paraId="320097E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87.97</w:t>
            </w:r>
          </w:p>
        </w:tc>
      </w:tr>
      <w:tr w:rsidR="00646514" w:rsidRPr="0043375F" w14:paraId="393FC1EB" w14:textId="77777777" w:rsidTr="00B401DA">
        <w:trPr>
          <w:trHeight w:val="300"/>
          <w:jc w:val="center"/>
        </w:trPr>
        <w:tc>
          <w:tcPr>
            <w:tcW w:w="1706" w:type="dxa"/>
            <w:noWrap/>
            <w:hideMark/>
          </w:tcPr>
          <w:p w14:paraId="093F2A4A"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Tanah Datar</w:t>
            </w:r>
          </w:p>
        </w:tc>
        <w:tc>
          <w:tcPr>
            <w:tcW w:w="960" w:type="dxa"/>
            <w:noWrap/>
            <w:hideMark/>
          </w:tcPr>
          <w:p w14:paraId="5745FF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1539</w:t>
            </w:r>
          </w:p>
        </w:tc>
        <w:tc>
          <w:tcPr>
            <w:tcW w:w="960" w:type="dxa"/>
            <w:noWrap/>
            <w:hideMark/>
          </w:tcPr>
          <w:p w14:paraId="335B0D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189</w:t>
            </w:r>
          </w:p>
        </w:tc>
        <w:tc>
          <w:tcPr>
            <w:tcW w:w="960" w:type="dxa"/>
            <w:noWrap/>
            <w:hideMark/>
          </w:tcPr>
          <w:p w14:paraId="472F605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78</w:t>
            </w:r>
          </w:p>
        </w:tc>
        <w:tc>
          <w:tcPr>
            <w:tcW w:w="960" w:type="dxa"/>
            <w:noWrap/>
            <w:hideMark/>
          </w:tcPr>
          <w:p w14:paraId="7F9035B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1806</w:t>
            </w:r>
          </w:p>
        </w:tc>
        <w:tc>
          <w:tcPr>
            <w:tcW w:w="960" w:type="dxa"/>
            <w:noWrap/>
            <w:hideMark/>
          </w:tcPr>
          <w:p w14:paraId="5A6958D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1493</w:t>
            </w:r>
          </w:p>
        </w:tc>
        <w:tc>
          <w:tcPr>
            <w:tcW w:w="1054" w:type="dxa"/>
            <w:noWrap/>
            <w:hideMark/>
          </w:tcPr>
          <w:p w14:paraId="1682F6B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82.67</w:t>
            </w:r>
          </w:p>
        </w:tc>
      </w:tr>
      <w:tr w:rsidR="00646514" w:rsidRPr="0043375F" w14:paraId="478EDE23" w14:textId="77777777" w:rsidTr="00B401DA">
        <w:trPr>
          <w:trHeight w:val="300"/>
          <w:jc w:val="center"/>
        </w:trPr>
        <w:tc>
          <w:tcPr>
            <w:tcW w:w="1706" w:type="dxa"/>
            <w:noWrap/>
            <w:hideMark/>
          </w:tcPr>
          <w:p w14:paraId="5DFF1C6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w:t>
            </w:r>
          </w:p>
        </w:tc>
        <w:tc>
          <w:tcPr>
            <w:tcW w:w="960" w:type="dxa"/>
            <w:noWrap/>
            <w:hideMark/>
          </w:tcPr>
          <w:p w14:paraId="1EF07E1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1961</w:t>
            </w:r>
          </w:p>
        </w:tc>
        <w:tc>
          <w:tcPr>
            <w:tcW w:w="960" w:type="dxa"/>
            <w:noWrap/>
            <w:hideMark/>
          </w:tcPr>
          <w:p w14:paraId="0B21414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130</w:t>
            </w:r>
          </w:p>
        </w:tc>
        <w:tc>
          <w:tcPr>
            <w:tcW w:w="960" w:type="dxa"/>
            <w:noWrap/>
            <w:hideMark/>
          </w:tcPr>
          <w:p w14:paraId="15D2C26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67</w:t>
            </w:r>
          </w:p>
        </w:tc>
        <w:tc>
          <w:tcPr>
            <w:tcW w:w="960" w:type="dxa"/>
            <w:noWrap/>
            <w:hideMark/>
          </w:tcPr>
          <w:p w14:paraId="517888F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2158</w:t>
            </w:r>
          </w:p>
        </w:tc>
        <w:tc>
          <w:tcPr>
            <w:tcW w:w="960" w:type="dxa"/>
            <w:noWrap/>
            <w:hideMark/>
          </w:tcPr>
          <w:p w14:paraId="182B314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1941</w:t>
            </w:r>
          </w:p>
        </w:tc>
        <w:tc>
          <w:tcPr>
            <w:tcW w:w="1054" w:type="dxa"/>
            <w:noWrap/>
            <w:hideMark/>
          </w:tcPr>
          <w:p w14:paraId="4C0DC6C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89.94</w:t>
            </w:r>
          </w:p>
        </w:tc>
      </w:tr>
      <w:tr w:rsidR="00646514" w:rsidRPr="0043375F" w14:paraId="0D62086D" w14:textId="77777777" w:rsidTr="00B401DA">
        <w:trPr>
          <w:trHeight w:val="300"/>
          <w:jc w:val="center"/>
        </w:trPr>
        <w:tc>
          <w:tcPr>
            <w:tcW w:w="1706" w:type="dxa"/>
            <w:noWrap/>
            <w:hideMark/>
          </w:tcPr>
          <w:p w14:paraId="4EECC0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 Pesisir</w:t>
            </w:r>
          </w:p>
        </w:tc>
        <w:tc>
          <w:tcPr>
            <w:tcW w:w="960" w:type="dxa"/>
            <w:noWrap/>
            <w:hideMark/>
          </w:tcPr>
          <w:p w14:paraId="6BA1DBE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2556</w:t>
            </w:r>
          </w:p>
        </w:tc>
        <w:tc>
          <w:tcPr>
            <w:tcW w:w="960" w:type="dxa"/>
            <w:noWrap/>
            <w:hideMark/>
          </w:tcPr>
          <w:p w14:paraId="3B7DC18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168</w:t>
            </w:r>
          </w:p>
        </w:tc>
        <w:tc>
          <w:tcPr>
            <w:tcW w:w="960" w:type="dxa"/>
            <w:noWrap/>
            <w:hideMark/>
          </w:tcPr>
          <w:p w14:paraId="627609B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132</w:t>
            </w:r>
          </w:p>
        </w:tc>
        <w:tc>
          <w:tcPr>
            <w:tcW w:w="960" w:type="dxa"/>
            <w:noWrap/>
            <w:hideMark/>
          </w:tcPr>
          <w:p w14:paraId="655FC21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2856</w:t>
            </w:r>
          </w:p>
        </w:tc>
        <w:tc>
          <w:tcPr>
            <w:tcW w:w="960" w:type="dxa"/>
            <w:noWrap/>
            <w:hideMark/>
          </w:tcPr>
          <w:p w14:paraId="25A5DBE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2521</w:t>
            </w:r>
          </w:p>
        </w:tc>
        <w:tc>
          <w:tcPr>
            <w:tcW w:w="1054" w:type="dxa"/>
            <w:noWrap/>
            <w:hideMark/>
          </w:tcPr>
          <w:p w14:paraId="66F2D85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88.27</w:t>
            </w:r>
          </w:p>
        </w:tc>
      </w:tr>
      <w:tr w:rsidR="00646514" w:rsidRPr="0043375F" w14:paraId="7C9DDF1F" w14:textId="77777777" w:rsidTr="00B401DA">
        <w:trPr>
          <w:trHeight w:val="300"/>
          <w:jc w:val="center"/>
        </w:trPr>
        <w:tc>
          <w:tcPr>
            <w:tcW w:w="1706" w:type="dxa"/>
            <w:noWrap/>
            <w:hideMark/>
          </w:tcPr>
          <w:p w14:paraId="04EA056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Limapuluh</w:t>
            </w:r>
          </w:p>
        </w:tc>
        <w:tc>
          <w:tcPr>
            <w:tcW w:w="960" w:type="dxa"/>
            <w:noWrap/>
            <w:hideMark/>
          </w:tcPr>
          <w:p w14:paraId="20DD348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1506</w:t>
            </w:r>
          </w:p>
        </w:tc>
        <w:tc>
          <w:tcPr>
            <w:tcW w:w="960" w:type="dxa"/>
            <w:noWrap/>
            <w:hideMark/>
          </w:tcPr>
          <w:p w14:paraId="6134F4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159</w:t>
            </w:r>
          </w:p>
        </w:tc>
        <w:tc>
          <w:tcPr>
            <w:tcW w:w="960" w:type="dxa"/>
            <w:noWrap/>
            <w:hideMark/>
          </w:tcPr>
          <w:p w14:paraId="4787AFE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63</w:t>
            </w:r>
          </w:p>
        </w:tc>
        <w:tc>
          <w:tcPr>
            <w:tcW w:w="960" w:type="dxa"/>
            <w:noWrap/>
            <w:hideMark/>
          </w:tcPr>
          <w:p w14:paraId="3B74C13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1728</w:t>
            </w:r>
          </w:p>
        </w:tc>
        <w:tc>
          <w:tcPr>
            <w:tcW w:w="960" w:type="dxa"/>
            <w:noWrap/>
            <w:hideMark/>
          </w:tcPr>
          <w:p w14:paraId="0924EB3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1473</w:t>
            </w:r>
          </w:p>
        </w:tc>
        <w:tc>
          <w:tcPr>
            <w:tcW w:w="1054" w:type="dxa"/>
            <w:noWrap/>
            <w:hideMark/>
          </w:tcPr>
          <w:p w14:paraId="68616CF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85.24</w:t>
            </w:r>
          </w:p>
        </w:tc>
      </w:tr>
      <w:tr w:rsidR="00646514" w:rsidRPr="0043375F" w14:paraId="7FEB5F65" w14:textId="77777777" w:rsidTr="00B401DA">
        <w:trPr>
          <w:trHeight w:val="300"/>
          <w:jc w:val="center"/>
        </w:trPr>
        <w:tc>
          <w:tcPr>
            <w:tcW w:w="1706" w:type="dxa"/>
            <w:noWrap/>
            <w:hideMark/>
          </w:tcPr>
          <w:p w14:paraId="4F85AC9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Air Putih</w:t>
            </w:r>
          </w:p>
        </w:tc>
        <w:tc>
          <w:tcPr>
            <w:tcW w:w="960" w:type="dxa"/>
            <w:noWrap/>
            <w:hideMark/>
          </w:tcPr>
          <w:p w14:paraId="563AC7F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3196</w:t>
            </w:r>
          </w:p>
        </w:tc>
        <w:tc>
          <w:tcPr>
            <w:tcW w:w="960" w:type="dxa"/>
            <w:noWrap/>
            <w:hideMark/>
          </w:tcPr>
          <w:p w14:paraId="28152D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306</w:t>
            </w:r>
          </w:p>
        </w:tc>
        <w:tc>
          <w:tcPr>
            <w:tcW w:w="960" w:type="dxa"/>
            <w:noWrap/>
            <w:hideMark/>
          </w:tcPr>
          <w:p w14:paraId="4F6D8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176</w:t>
            </w:r>
          </w:p>
        </w:tc>
        <w:tc>
          <w:tcPr>
            <w:tcW w:w="960" w:type="dxa"/>
            <w:noWrap/>
            <w:hideMark/>
          </w:tcPr>
          <w:p w14:paraId="38C19E8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3678</w:t>
            </w:r>
          </w:p>
        </w:tc>
        <w:tc>
          <w:tcPr>
            <w:tcW w:w="960" w:type="dxa"/>
            <w:noWrap/>
            <w:hideMark/>
          </w:tcPr>
          <w:p w14:paraId="76EC5DC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3123</w:t>
            </w:r>
          </w:p>
        </w:tc>
        <w:tc>
          <w:tcPr>
            <w:tcW w:w="1054" w:type="dxa"/>
            <w:noWrap/>
            <w:hideMark/>
          </w:tcPr>
          <w:p w14:paraId="64D5FA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84.91</w:t>
            </w:r>
          </w:p>
        </w:tc>
      </w:tr>
      <w:tr w:rsidR="00646514" w:rsidRPr="0043375F" w14:paraId="7F494A08" w14:textId="77777777" w:rsidTr="00B401DA">
        <w:trPr>
          <w:trHeight w:val="300"/>
          <w:jc w:val="center"/>
        </w:trPr>
        <w:tc>
          <w:tcPr>
            <w:tcW w:w="1706" w:type="dxa"/>
            <w:noWrap/>
            <w:hideMark/>
          </w:tcPr>
          <w:p w14:paraId="03B797B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Suka</w:t>
            </w:r>
          </w:p>
        </w:tc>
        <w:tc>
          <w:tcPr>
            <w:tcW w:w="960" w:type="dxa"/>
            <w:noWrap/>
            <w:hideMark/>
          </w:tcPr>
          <w:p w14:paraId="3544CC7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2330</w:t>
            </w:r>
          </w:p>
        </w:tc>
        <w:tc>
          <w:tcPr>
            <w:tcW w:w="960" w:type="dxa"/>
            <w:noWrap/>
            <w:hideMark/>
          </w:tcPr>
          <w:p w14:paraId="2B6471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197</w:t>
            </w:r>
          </w:p>
        </w:tc>
        <w:tc>
          <w:tcPr>
            <w:tcW w:w="960" w:type="dxa"/>
            <w:noWrap/>
            <w:hideMark/>
          </w:tcPr>
          <w:p w14:paraId="4752FE8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110</w:t>
            </w:r>
          </w:p>
        </w:tc>
        <w:tc>
          <w:tcPr>
            <w:tcW w:w="960" w:type="dxa"/>
            <w:noWrap/>
            <w:hideMark/>
          </w:tcPr>
          <w:p w14:paraId="55FB815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2637</w:t>
            </w:r>
          </w:p>
        </w:tc>
        <w:tc>
          <w:tcPr>
            <w:tcW w:w="960" w:type="dxa"/>
            <w:noWrap/>
            <w:hideMark/>
          </w:tcPr>
          <w:p w14:paraId="2C9CFF6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2290</w:t>
            </w:r>
          </w:p>
        </w:tc>
        <w:tc>
          <w:tcPr>
            <w:tcW w:w="1054" w:type="dxa"/>
            <w:noWrap/>
            <w:hideMark/>
          </w:tcPr>
          <w:p w14:paraId="1DFFF43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86.84</w:t>
            </w:r>
          </w:p>
        </w:tc>
      </w:tr>
      <w:tr w:rsidR="00646514" w:rsidRPr="0043375F" w14:paraId="3403CFC6" w14:textId="77777777" w:rsidTr="00B401DA">
        <w:trPr>
          <w:trHeight w:val="300"/>
          <w:jc w:val="center"/>
        </w:trPr>
        <w:tc>
          <w:tcPr>
            <w:tcW w:w="1706" w:type="dxa"/>
            <w:noWrap/>
            <w:hideMark/>
          </w:tcPr>
          <w:p w14:paraId="39AA03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Medang Deras</w:t>
            </w:r>
          </w:p>
        </w:tc>
        <w:tc>
          <w:tcPr>
            <w:tcW w:w="960" w:type="dxa"/>
            <w:noWrap/>
            <w:hideMark/>
          </w:tcPr>
          <w:p w14:paraId="4A55233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3992</w:t>
            </w:r>
          </w:p>
        </w:tc>
        <w:tc>
          <w:tcPr>
            <w:tcW w:w="960" w:type="dxa"/>
            <w:noWrap/>
            <w:hideMark/>
          </w:tcPr>
          <w:p w14:paraId="3F35978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542</w:t>
            </w:r>
          </w:p>
        </w:tc>
        <w:tc>
          <w:tcPr>
            <w:tcW w:w="960" w:type="dxa"/>
            <w:noWrap/>
            <w:hideMark/>
          </w:tcPr>
          <w:p w14:paraId="0603E58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543</w:t>
            </w:r>
          </w:p>
        </w:tc>
        <w:tc>
          <w:tcPr>
            <w:tcW w:w="960" w:type="dxa"/>
            <w:noWrap/>
            <w:hideMark/>
          </w:tcPr>
          <w:p w14:paraId="5E881AD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5077</w:t>
            </w:r>
          </w:p>
        </w:tc>
        <w:tc>
          <w:tcPr>
            <w:tcW w:w="960" w:type="dxa"/>
            <w:noWrap/>
            <w:hideMark/>
          </w:tcPr>
          <w:p w14:paraId="267AA4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3697</w:t>
            </w:r>
          </w:p>
        </w:tc>
        <w:tc>
          <w:tcPr>
            <w:tcW w:w="1054" w:type="dxa"/>
            <w:noWrap/>
            <w:hideMark/>
          </w:tcPr>
          <w:p w14:paraId="4A1573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72.82</w:t>
            </w:r>
          </w:p>
        </w:tc>
      </w:tr>
      <w:tr w:rsidR="00646514" w:rsidRPr="0043375F" w14:paraId="261319CC" w14:textId="77777777" w:rsidTr="00B401DA">
        <w:trPr>
          <w:trHeight w:val="300"/>
          <w:jc w:val="center"/>
        </w:trPr>
        <w:tc>
          <w:tcPr>
            <w:tcW w:w="1706" w:type="dxa"/>
            <w:noWrap/>
            <w:hideMark/>
          </w:tcPr>
          <w:p w14:paraId="1146B88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Laut Tador</w:t>
            </w:r>
          </w:p>
        </w:tc>
        <w:tc>
          <w:tcPr>
            <w:tcW w:w="960" w:type="dxa"/>
            <w:noWrap/>
            <w:hideMark/>
          </w:tcPr>
          <w:p w14:paraId="61228FA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1146</w:t>
            </w:r>
          </w:p>
        </w:tc>
        <w:tc>
          <w:tcPr>
            <w:tcW w:w="960" w:type="dxa"/>
            <w:noWrap/>
            <w:hideMark/>
          </w:tcPr>
          <w:p w14:paraId="05ECD2E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w:t>
            </w:r>
          </w:p>
        </w:tc>
        <w:tc>
          <w:tcPr>
            <w:tcW w:w="960" w:type="dxa"/>
            <w:noWrap/>
            <w:hideMark/>
          </w:tcPr>
          <w:p w14:paraId="6962CED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32</w:t>
            </w:r>
          </w:p>
        </w:tc>
        <w:tc>
          <w:tcPr>
            <w:tcW w:w="960" w:type="dxa"/>
            <w:noWrap/>
            <w:hideMark/>
          </w:tcPr>
          <w:p w14:paraId="0EA5E46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1290</w:t>
            </w:r>
          </w:p>
        </w:tc>
        <w:tc>
          <w:tcPr>
            <w:tcW w:w="960" w:type="dxa"/>
            <w:noWrap/>
            <w:hideMark/>
          </w:tcPr>
          <w:p w14:paraId="0D38E6A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1128</w:t>
            </w:r>
          </w:p>
        </w:tc>
        <w:tc>
          <w:tcPr>
            <w:tcW w:w="1054" w:type="dxa"/>
            <w:noWrap/>
            <w:hideMark/>
          </w:tcPr>
          <w:p w14:paraId="5AF5E30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87.44</w:t>
            </w:r>
          </w:p>
        </w:tc>
      </w:tr>
      <w:tr w:rsidR="00646514" w:rsidRPr="0043375F" w14:paraId="34C3816B" w14:textId="77777777" w:rsidTr="00B401DA">
        <w:trPr>
          <w:trHeight w:val="300"/>
          <w:jc w:val="center"/>
        </w:trPr>
        <w:tc>
          <w:tcPr>
            <w:tcW w:w="1706" w:type="dxa"/>
            <w:noWrap/>
          </w:tcPr>
          <w:p w14:paraId="45D17EED" w14:textId="77777777" w:rsidR="00646514" w:rsidRPr="00D66962" w:rsidRDefault="00646514" w:rsidP="00B401DA">
            <w:pPr>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Total</w:t>
            </w:r>
          </w:p>
        </w:tc>
        <w:tc>
          <w:tcPr>
            <w:tcW w:w="960" w:type="dxa"/>
            <w:noWrap/>
          </w:tcPr>
          <w:p w14:paraId="10FF1F72"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26919</w:t>
            </w:r>
          </w:p>
        </w:tc>
        <w:tc>
          <w:tcPr>
            <w:tcW w:w="960" w:type="dxa"/>
            <w:noWrap/>
          </w:tcPr>
          <w:p w14:paraId="2666079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2741</w:t>
            </w:r>
          </w:p>
        </w:tc>
        <w:tc>
          <w:tcPr>
            <w:tcW w:w="960" w:type="dxa"/>
            <w:noWrap/>
          </w:tcPr>
          <w:p w14:paraId="333F22D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1773</w:t>
            </w:r>
          </w:p>
        </w:tc>
        <w:tc>
          <w:tcPr>
            <w:tcW w:w="960" w:type="dxa"/>
            <w:noWrap/>
          </w:tcPr>
          <w:p w14:paraId="1829A32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31433</w:t>
            </w:r>
          </w:p>
        </w:tc>
        <w:tc>
          <w:tcPr>
            <w:tcW w:w="960" w:type="dxa"/>
            <w:noWrap/>
          </w:tcPr>
          <w:p w14:paraId="1063BB8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25978</w:t>
            </w:r>
          </w:p>
        </w:tc>
        <w:tc>
          <w:tcPr>
            <w:tcW w:w="1054" w:type="dxa"/>
            <w:noWrap/>
          </w:tcPr>
          <w:p w14:paraId="5D1CCBCE"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82,65</w:t>
            </w:r>
          </w:p>
        </w:tc>
      </w:tr>
    </w:tbl>
    <w:p w14:paraId="4B48A8B5" w14:textId="77777777" w:rsidR="00646514" w:rsidRPr="00E21608" w:rsidRDefault="00646514" w:rsidP="00646514">
      <w:pPr>
        <w:spacing w:after="120" w:line="240" w:lineRule="auto"/>
        <w:jc w:val="both"/>
        <w:rPr>
          <w:i/>
          <w:iCs/>
        </w:rPr>
      </w:pPr>
      <w:r>
        <w:rPr>
          <w:rStyle w:val="Strong"/>
        </w:rPr>
        <w:t>Source:</w:t>
      </w:r>
      <w:r>
        <w:t xml:space="preserve"> </w:t>
      </w:r>
      <w:r>
        <w:rPr>
          <w:rStyle w:val="Emphasis"/>
        </w:rPr>
        <w:t>Batu Bara District Health, Population Control, and Family Planning Office, 2023 (Processed Data)</w:t>
      </w:r>
    </w:p>
    <w:p w14:paraId="668866FF" w14:textId="77777777" w:rsidR="00646514" w:rsidRPr="00646514" w:rsidRDefault="00646514" w:rsidP="00E21608">
      <w:pPr>
        <w:spacing w:after="120" w:line="240" w:lineRule="auto"/>
        <w:jc w:val="both"/>
        <w:rPr>
          <w:rFonts w:ascii="Arial" w:hAnsi="Arial" w:cs="Arial"/>
        </w:rPr>
      </w:pPr>
    </w:p>
    <w:p w14:paraId="16DDA49B" w14:textId="32C0AC29"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t>The effectiveness of this intervention is also supported by essential health infrastructure, detailed in Table 1 (place Table 1 here), which documents the number of hospitals, clinics, and nutritionists distributed across districts. This infrastructure is crucial in facilitating vitamin A delivery.</w:t>
      </w:r>
    </w:p>
    <w:p w14:paraId="6CB2D080" w14:textId="77777777" w:rsidR="00646514" w:rsidRDefault="00E21608" w:rsidP="00E21608">
      <w:pPr>
        <w:spacing w:after="120" w:line="240" w:lineRule="auto"/>
        <w:jc w:val="both"/>
        <w:rPr>
          <w:rFonts w:ascii="Arial" w:hAnsi="Arial" w:cs="Arial"/>
          <w:lang w:val="id-ID"/>
        </w:rPr>
      </w:pPr>
      <w:r w:rsidRPr="00E21608">
        <w:rPr>
          <w:rFonts w:ascii="Arial" w:hAnsi="Arial" w:cs="Arial"/>
          <w:lang w:val="id-ID"/>
        </w:rPr>
        <w:t>Furthermore, Figure</w:t>
      </w:r>
      <w:r w:rsidR="00646514">
        <w:rPr>
          <w:rFonts w:ascii="Arial" w:hAnsi="Arial" w:cs="Arial"/>
        </w:rPr>
        <w:t xml:space="preserve"> 2</w:t>
      </w:r>
      <w:r w:rsidRPr="00E21608">
        <w:rPr>
          <w:rFonts w:ascii="Arial" w:hAnsi="Arial" w:cs="Arial"/>
          <w:lang w:val="id-ID"/>
        </w:rPr>
        <w:t xml:space="preserve"> visualizes the performance of essential stunting reduction programs, highlighting a 73.51% achievement rate for vitamin A coverage in 2023, slightly short of the 90% national target. These insights underscore the need for continuous monitoring and localized strategies to enhance the effectiveness and equity of supplementation programs across Batu Bara Regency.</w:t>
      </w:r>
    </w:p>
    <w:p w14:paraId="51D00B8D" w14:textId="25288568" w:rsidR="0027480A" w:rsidRDefault="0027480A" w:rsidP="00E21608">
      <w:pPr>
        <w:spacing w:after="120" w:line="240" w:lineRule="auto"/>
        <w:jc w:val="both"/>
        <w:rPr>
          <w:rFonts w:ascii="Arial" w:hAnsi="Arial" w:cs="Arial"/>
          <w:lang w:val="id-ID"/>
        </w:rPr>
      </w:pPr>
      <w:r w:rsidRPr="00B32B65">
        <w:rPr>
          <w:rFonts w:ascii="Arial" w:hAnsi="Arial" w:cs="Arial"/>
          <w:b/>
          <w:bCs/>
          <w:lang w:val="id-ID"/>
        </w:rPr>
        <w:t>FIG 2.</w:t>
      </w:r>
      <w:r>
        <w:rPr>
          <w:rFonts w:ascii="Arial" w:hAnsi="Arial" w:cs="Arial"/>
          <w:lang w:val="id-ID"/>
        </w:rPr>
        <w:t xml:space="preserve"> </w:t>
      </w:r>
      <w:r w:rsidR="00F162A9">
        <w:rPr>
          <w:rFonts w:ascii="Arial" w:hAnsi="Arial" w:cs="Arial"/>
          <w:lang w:val="id-ID"/>
        </w:rPr>
        <w:t xml:space="preserve">Graph indicating </w:t>
      </w:r>
      <w:r w:rsidR="00F162A9" w:rsidRPr="00E21608">
        <w:rPr>
          <w:rFonts w:ascii="Arial" w:hAnsi="Arial" w:cs="Arial"/>
          <w:lang w:val="id-ID"/>
        </w:rPr>
        <w:t>the performance of essential stunting reduction programs</w:t>
      </w:r>
    </w:p>
    <w:p w14:paraId="315FDB83" w14:textId="22F5ABBF" w:rsidR="00B04A6B" w:rsidRPr="00B04A6B" w:rsidRDefault="0019344F" w:rsidP="0043375F">
      <w:pPr>
        <w:spacing w:after="120" w:line="240" w:lineRule="auto"/>
        <w:jc w:val="both"/>
        <w:rPr>
          <w:rFonts w:ascii="Arial" w:hAnsi="Arial" w:cs="Arial"/>
          <w:lang w:val="id-ID"/>
        </w:rPr>
      </w:pPr>
      <w:r w:rsidRPr="0019344F">
        <w:rPr>
          <w:rFonts w:ascii="Arial" w:hAnsi="Arial" w:cs="Arial"/>
          <w:noProof/>
          <w:lang w:val="id-ID"/>
        </w:rPr>
        <w:lastRenderedPageBreak/>
        <w:drawing>
          <wp:inline distT="0" distB="0" distL="0" distR="0" wp14:anchorId="12F49097" wp14:editId="64A43BD5">
            <wp:extent cx="5739874"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3006" cy="1896836"/>
                    </a:xfrm>
                    <a:prstGeom prst="rect">
                      <a:avLst/>
                    </a:prstGeom>
                  </pic:spPr>
                </pic:pic>
              </a:graphicData>
            </a:graphic>
          </wp:inline>
        </w:drawing>
      </w:r>
    </w:p>
    <w:p w14:paraId="3D253059" w14:textId="7AC074C1" w:rsidR="00A910BA" w:rsidRPr="00A910BA" w:rsidRDefault="006B609C" w:rsidP="00A910BA">
      <w:pPr>
        <w:spacing w:after="120" w:line="240" w:lineRule="auto"/>
        <w:jc w:val="both"/>
        <w:rPr>
          <w:rFonts w:ascii="Arial" w:hAnsi="Arial" w:cs="Arial"/>
          <w:b/>
          <w:bCs/>
        </w:rPr>
      </w:pPr>
      <w:r>
        <w:rPr>
          <w:rFonts w:ascii="Arial" w:hAnsi="Arial" w:cs="Arial"/>
          <w:b/>
          <w:bCs/>
        </w:rPr>
        <w:t>3</w:t>
      </w:r>
      <w:r w:rsidR="00A910BA" w:rsidRPr="00A910BA">
        <w:rPr>
          <w:rFonts w:ascii="Arial" w:hAnsi="Arial" w:cs="Arial"/>
          <w:b/>
          <w:bCs/>
        </w:rPr>
        <w:t>.1.4 Efficacy of Supplementary Feeding Programs in Stunting Reduction</w:t>
      </w:r>
    </w:p>
    <w:p w14:paraId="56BCAC29" w14:textId="77777777" w:rsidR="00A910BA" w:rsidRPr="00A910BA" w:rsidRDefault="00A910BA" w:rsidP="00A910BA">
      <w:pPr>
        <w:spacing w:after="120" w:line="240" w:lineRule="auto"/>
        <w:jc w:val="both"/>
        <w:rPr>
          <w:rFonts w:ascii="Arial" w:hAnsi="Arial" w:cs="Arial"/>
        </w:rPr>
      </w:pPr>
      <w:r w:rsidRPr="00A910BA">
        <w:rPr>
          <w:rFonts w:ascii="Arial" w:hAnsi="Arial" w:cs="Arial"/>
        </w:rPr>
        <w:t xml:space="preserve">Another pivotal intervention is the provision of supplementary feeding for stunted children. The 2023 coverage stood at 72.75%, with Lima </w:t>
      </w:r>
      <w:proofErr w:type="spellStart"/>
      <w:r w:rsidRPr="00A910BA">
        <w:rPr>
          <w:rFonts w:ascii="Arial" w:hAnsi="Arial" w:cs="Arial"/>
        </w:rPr>
        <w:t>Puluh</w:t>
      </w:r>
      <w:proofErr w:type="spellEnd"/>
      <w:r w:rsidRPr="00A910BA">
        <w:rPr>
          <w:rFonts w:ascii="Arial" w:hAnsi="Arial" w:cs="Arial"/>
        </w:rPr>
        <w:t xml:space="preserve"> again achieving the highest reach (87.16%) and </w:t>
      </w:r>
      <w:proofErr w:type="spellStart"/>
      <w:r w:rsidRPr="00A910BA">
        <w:rPr>
          <w:rFonts w:ascii="Arial" w:hAnsi="Arial" w:cs="Arial"/>
        </w:rPr>
        <w:t>Tanjung</w:t>
      </w:r>
      <w:proofErr w:type="spellEnd"/>
      <w:r w:rsidRPr="00A910BA">
        <w:rPr>
          <w:rFonts w:ascii="Arial" w:hAnsi="Arial" w:cs="Arial"/>
        </w:rPr>
        <w:t xml:space="preserve"> </w:t>
      </w:r>
      <w:proofErr w:type="spellStart"/>
      <w:r w:rsidRPr="00A910BA">
        <w:rPr>
          <w:rFonts w:ascii="Arial" w:hAnsi="Arial" w:cs="Arial"/>
        </w:rPr>
        <w:t>Tiram</w:t>
      </w:r>
      <w:proofErr w:type="spellEnd"/>
      <w:r w:rsidRPr="00A910BA">
        <w:rPr>
          <w:rFonts w:ascii="Arial" w:hAnsi="Arial" w:cs="Arial"/>
        </w:rPr>
        <w:t xml:space="preserve"> the lowest (48.14%).</w:t>
      </w:r>
    </w:p>
    <w:p w14:paraId="1F2574F7" w14:textId="77777777" w:rsidR="00A910BA" w:rsidRPr="00A910BA" w:rsidRDefault="00A910BA" w:rsidP="00A910BA">
      <w:pPr>
        <w:spacing w:after="120" w:line="240" w:lineRule="auto"/>
        <w:jc w:val="both"/>
        <w:rPr>
          <w:rFonts w:ascii="Arial" w:hAnsi="Arial" w:cs="Arial"/>
        </w:rPr>
      </w:pPr>
    </w:p>
    <w:p w14:paraId="7B04F9EC" w14:textId="09C43C2E" w:rsidR="00A910BA" w:rsidRDefault="00A910BA" w:rsidP="00A910BA">
      <w:pPr>
        <w:spacing w:after="120" w:line="240" w:lineRule="auto"/>
        <w:jc w:val="center"/>
        <w:rPr>
          <w:rFonts w:ascii="Arial" w:hAnsi="Arial" w:cs="Arial"/>
        </w:rPr>
      </w:pPr>
      <w:r w:rsidRPr="00A910BA">
        <w:rPr>
          <w:rFonts w:ascii="Arial" w:hAnsi="Arial" w:cs="Arial"/>
        </w:rPr>
        <w:t>Table</w:t>
      </w:r>
      <w:r>
        <w:rPr>
          <w:rFonts w:ascii="Arial" w:hAnsi="Arial" w:cs="Arial"/>
        </w:rPr>
        <w:t xml:space="preserve"> 3</w:t>
      </w:r>
      <w:r w:rsidRPr="00A910BA">
        <w:rPr>
          <w:rFonts w:ascii="Arial" w:hAnsi="Arial" w:cs="Arial"/>
        </w:rPr>
        <w:t xml:space="preserve"> Supplementary Feeding Coverage for Stunted Children, 2023</w:t>
      </w:r>
    </w:p>
    <w:tbl>
      <w:tblPr>
        <w:tblStyle w:val="TableGrid"/>
        <w:tblW w:w="9265" w:type="dxa"/>
        <w:tblLook w:val="04A0" w:firstRow="1" w:lastRow="0" w:firstColumn="1" w:lastColumn="0" w:noHBand="0" w:noVBand="1"/>
      </w:tblPr>
      <w:tblGrid>
        <w:gridCol w:w="1435"/>
        <w:gridCol w:w="1170"/>
        <w:gridCol w:w="990"/>
        <w:gridCol w:w="720"/>
        <w:gridCol w:w="990"/>
        <w:gridCol w:w="810"/>
        <w:gridCol w:w="630"/>
        <w:gridCol w:w="966"/>
        <w:gridCol w:w="744"/>
        <w:gridCol w:w="810"/>
      </w:tblGrid>
      <w:tr w:rsidR="00D66962" w:rsidRPr="00D66962" w14:paraId="6082335E" w14:textId="77777777" w:rsidTr="007E2B90">
        <w:trPr>
          <w:trHeight w:val="300"/>
        </w:trPr>
        <w:tc>
          <w:tcPr>
            <w:tcW w:w="1435" w:type="dxa"/>
            <w:vMerge w:val="restart"/>
            <w:noWrap/>
            <w:hideMark/>
          </w:tcPr>
          <w:p w14:paraId="37EBCB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District</w:t>
            </w:r>
          </w:p>
        </w:tc>
        <w:tc>
          <w:tcPr>
            <w:tcW w:w="2880" w:type="dxa"/>
            <w:gridSpan w:val="3"/>
            <w:noWrap/>
            <w:hideMark/>
          </w:tcPr>
          <w:p w14:paraId="6BECC7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2021</w:t>
            </w:r>
          </w:p>
        </w:tc>
        <w:tc>
          <w:tcPr>
            <w:tcW w:w="2430" w:type="dxa"/>
            <w:gridSpan w:val="3"/>
            <w:noWrap/>
            <w:hideMark/>
          </w:tcPr>
          <w:p w14:paraId="75BE91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2022</w:t>
            </w:r>
          </w:p>
        </w:tc>
        <w:tc>
          <w:tcPr>
            <w:tcW w:w="2520" w:type="dxa"/>
            <w:gridSpan w:val="3"/>
            <w:noWrap/>
            <w:hideMark/>
          </w:tcPr>
          <w:p w14:paraId="2AE2F94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2023</w:t>
            </w:r>
          </w:p>
        </w:tc>
      </w:tr>
      <w:tr w:rsidR="007E2B90" w:rsidRPr="00D66962" w14:paraId="26B4A534" w14:textId="77777777" w:rsidTr="007E2B90">
        <w:trPr>
          <w:trHeight w:val="300"/>
        </w:trPr>
        <w:tc>
          <w:tcPr>
            <w:tcW w:w="1435" w:type="dxa"/>
            <w:vMerge/>
            <w:hideMark/>
          </w:tcPr>
          <w:p w14:paraId="7DF992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p>
        </w:tc>
        <w:tc>
          <w:tcPr>
            <w:tcW w:w="1170" w:type="dxa"/>
            <w:noWrap/>
            <w:hideMark/>
          </w:tcPr>
          <w:p w14:paraId="6A8109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990" w:type="dxa"/>
            <w:noWrap/>
            <w:hideMark/>
          </w:tcPr>
          <w:p w14:paraId="735A38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720" w:type="dxa"/>
            <w:noWrap/>
            <w:hideMark/>
          </w:tcPr>
          <w:p w14:paraId="672451A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90" w:type="dxa"/>
            <w:noWrap/>
            <w:hideMark/>
          </w:tcPr>
          <w:p w14:paraId="775CC6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810" w:type="dxa"/>
            <w:noWrap/>
            <w:hideMark/>
          </w:tcPr>
          <w:p w14:paraId="3D262FB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630" w:type="dxa"/>
            <w:noWrap/>
            <w:hideMark/>
          </w:tcPr>
          <w:p w14:paraId="7D0187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66" w:type="dxa"/>
            <w:noWrap/>
            <w:hideMark/>
          </w:tcPr>
          <w:p w14:paraId="3EC2A04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744" w:type="dxa"/>
            <w:noWrap/>
            <w:hideMark/>
          </w:tcPr>
          <w:p w14:paraId="4B8BAC9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810" w:type="dxa"/>
            <w:noWrap/>
            <w:hideMark/>
          </w:tcPr>
          <w:p w14:paraId="486A07A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r>
      <w:tr w:rsidR="007E2B90" w:rsidRPr="00D66962" w14:paraId="2C00DF3C" w14:textId="77777777" w:rsidTr="007E2B90">
        <w:trPr>
          <w:trHeight w:val="300"/>
        </w:trPr>
        <w:tc>
          <w:tcPr>
            <w:tcW w:w="1435" w:type="dxa"/>
            <w:noWrap/>
            <w:hideMark/>
          </w:tcPr>
          <w:p w14:paraId="7B32885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BALAI</w:t>
            </w:r>
          </w:p>
        </w:tc>
        <w:tc>
          <w:tcPr>
            <w:tcW w:w="1170" w:type="dxa"/>
            <w:noWrap/>
            <w:hideMark/>
          </w:tcPr>
          <w:p w14:paraId="5CA46FC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325</w:t>
            </w:r>
          </w:p>
        </w:tc>
        <w:tc>
          <w:tcPr>
            <w:tcW w:w="990" w:type="dxa"/>
            <w:noWrap/>
            <w:hideMark/>
          </w:tcPr>
          <w:p w14:paraId="2B60215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187</w:t>
            </w:r>
          </w:p>
        </w:tc>
        <w:tc>
          <w:tcPr>
            <w:tcW w:w="720" w:type="dxa"/>
            <w:noWrap/>
            <w:hideMark/>
          </w:tcPr>
          <w:p w14:paraId="21EC0BD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57.5</w:t>
            </w:r>
          </w:p>
        </w:tc>
        <w:tc>
          <w:tcPr>
            <w:tcW w:w="990" w:type="dxa"/>
            <w:noWrap/>
            <w:hideMark/>
          </w:tcPr>
          <w:p w14:paraId="778E9C3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243</w:t>
            </w:r>
          </w:p>
        </w:tc>
        <w:tc>
          <w:tcPr>
            <w:tcW w:w="810" w:type="dxa"/>
            <w:noWrap/>
            <w:hideMark/>
          </w:tcPr>
          <w:p w14:paraId="350B6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182</w:t>
            </w:r>
          </w:p>
        </w:tc>
        <w:tc>
          <w:tcPr>
            <w:tcW w:w="630" w:type="dxa"/>
            <w:noWrap/>
            <w:hideMark/>
          </w:tcPr>
          <w:p w14:paraId="12B1133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74.9</w:t>
            </w:r>
          </w:p>
        </w:tc>
        <w:tc>
          <w:tcPr>
            <w:tcW w:w="966" w:type="dxa"/>
            <w:noWrap/>
            <w:hideMark/>
          </w:tcPr>
          <w:p w14:paraId="2E3B84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203</w:t>
            </w:r>
          </w:p>
        </w:tc>
        <w:tc>
          <w:tcPr>
            <w:tcW w:w="744" w:type="dxa"/>
            <w:noWrap/>
            <w:hideMark/>
          </w:tcPr>
          <w:p w14:paraId="3C53C9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167</w:t>
            </w:r>
          </w:p>
        </w:tc>
        <w:tc>
          <w:tcPr>
            <w:tcW w:w="810" w:type="dxa"/>
            <w:noWrap/>
            <w:hideMark/>
          </w:tcPr>
          <w:p w14:paraId="75612CC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82.3</w:t>
            </w:r>
          </w:p>
        </w:tc>
      </w:tr>
      <w:tr w:rsidR="007E2B90" w:rsidRPr="00D66962" w14:paraId="134EEAD2" w14:textId="77777777" w:rsidTr="007E2B90">
        <w:trPr>
          <w:trHeight w:val="300"/>
        </w:trPr>
        <w:tc>
          <w:tcPr>
            <w:tcW w:w="1435" w:type="dxa"/>
            <w:noWrap/>
            <w:hideMark/>
          </w:tcPr>
          <w:p w14:paraId="3880D923"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TANJUNG TIRAM</w:t>
            </w:r>
          </w:p>
        </w:tc>
        <w:tc>
          <w:tcPr>
            <w:tcW w:w="1170" w:type="dxa"/>
            <w:noWrap/>
            <w:hideMark/>
          </w:tcPr>
          <w:p w14:paraId="4216F37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1121</w:t>
            </w:r>
          </w:p>
        </w:tc>
        <w:tc>
          <w:tcPr>
            <w:tcW w:w="990" w:type="dxa"/>
            <w:noWrap/>
            <w:hideMark/>
          </w:tcPr>
          <w:p w14:paraId="0587480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415</w:t>
            </w:r>
          </w:p>
        </w:tc>
        <w:tc>
          <w:tcPr>
            <w:tcW w:w="720" w:type="dxa"/>
            <w:noWrap/>
            <w:hideMark/>
          </w:tcPr>
          <w:p w14:paraId="31E394B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37</w:t>
            </w:r>
          </w:p>
        </w:tc>
        <w:tc>
          <w:tcPr>
            <w:tcW w:w="990" w:type="dxa"/>
            <w:noWrap/>
            <w:hideMark/>
          </w:tcPr>
          <w:p w14:paraId="02CD8F6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627</w:t>
            </w:r>
          </w:p>
        </w:tc>
        <w:tc>
          <w:tcPr>
            <w:tcW w:w="810" w:type="dxa"/>
            <w:noWrap/>
            <w:hideMark/>
          </w:tcPr>
          <w:p w14:paraId="2302D7C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410</w:t>
            </w:r>
          </w:p>
        </w:tc>
        <w:tc>
          <w:tcPr>
            <w:tcW w:w="630" w:type="dxa"/>
            <w:noWrap/>
            <w:hideMark/>
          </w:tcPr>
          <w:p w14:paraId="3F1CC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66" w:type="dxa"/>
            <w:noWrap/>
            <w:hideMark/>
          </w:tcPr>
          <w:p w14:paraId="4F40FE5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744" w:type="dxa"/>
            <w:noWrap/>
            <w:hideMark/>
          </w:tcPr>
          <w:p w14:paraId="0B6951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395</w:t>
            </w:r>
          </w:p>
        </w:tc>
        <w:tc>
          <w:tcPr>
            <w:tcW w:w="810" w:type="dxa"/>
            <w:noWrap/>
            <w:hideMark/>
          </w:tcPr>
          <w:p w14:paraId="625FE13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58.3</w:t>
            </w:r>
          </w:p>
        </w:tc>
      </w:tr>
      <w:tr w:rsidR="007E2B90" w:rsidRPr="00D66962" w14:paraId="7C9349DF" w14:textId="77777777" w:rsidTr="007E2B90">
        <w:trPr>
          <w:trHeight w:val="300"/>
        </w:trPr>
        <w:tc>
          <w:tcPr>
            <w:tcW w:w="1435" w:type="dxa"/>
            <w:noWrap/>
            <w:hideMark/>
          </w:tcPr>
          <w:p w14:paraId="559341D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UJUNG KUBU</w:t>
            </w:r>
          </w:p>
        </w:tc>
        <w:tc>
          <w:tcPr>
            <w:tcW w:w="1170" w:type="dxa"/>
            <w:noWrap/>
            <w:hideMark/>
          </w:tcPr>
          <w:p w14:paraId="0D51E73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473</w:t>
            </w:r>
          </w:p>
        </w:tc>
        <w:tc>
          <w:tcPr>
            <w:tcW w:w="990" w:type="dxa"/>
            <w:noWrap/>
            <w:hideMark/>
          </w:tcPr>
          <w:p w14:paraId="1A200A7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311</w:t>
            </w:r>
          </w:p>
        </w:tc>
        <w:tc>
          <w:tcPr>
            <w:tcW w:w="720" w:type="dxa"/>
            <w:noWrap/>
            <w:hideMark/>
          </w:tcPr>
          <w:p w14:paraId="5A3E36C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65.8</w:t>
            </w:r>
          </w:p>
        </w:tc>
        <w:tc>
          <w:tcPr>
            <w:tcW w:w="990" w:type="dxa"/>
            <w:noWrap/>
            <w:hideMark/>
          </w:tcPr>
          <w:p w14:paraId="1FC7FE9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340</w:t>
            </w:r>
          </w:p>
        </w:tc>
        <w:tc>
          <w:tcPr>
            <w:tcW w:w="810" w:type="dxa"/>
            <w:noWrap/>
            <w:hideMark/>
          </w:tcPr>
          <w:p w14:paraId="567F4E6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306</w:t>
            </w:r>
          </w:p>
        </w:tc>
        <w:tc>
          <w:tcPr>
            <w:tcW w:w="630" w:type="dxa"/>
            <w:noWrap/>
            <w:hideMark/>
          </w:tcPr>
          <w:p w14:paraId="6CEEE9C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w:t>
            </w:r>
          </w:p>
        </w:tc>
        <w:tc>
          <w:tcPr>
            <w:tcW w:w="966" w:type="dxa"/>
            <w:noWrap/>
            <w:hideMark/>
          </w:tcPr>
          <w:p w14:paraId="248B71E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393</w:t>
            </w:r>
          </w:p>
        </w:tc>
        <w:tc>
          <w:tcPr>
            <w:tcW w:w="744" w:type="dxa"/>
            <w:noWrap/>
            <w:hideMark/>
          </w:tcPr>
          <w:p w14:paraId="149C7E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291</w:t>
            </w:r>
          </w:p>
        </w:tc>
        <w:tc>
          <w:tcPr>
            <w:tcW w:w="810" w:type="dxa"/>
            <w:noWrap/>
            <w:hideMark/>
          </w:tcPr>
          <w:p w14:paraId="52AE1CC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w:t>
            </w:r>
          </w:p>
        </w:tc>
      </w:tr>
      <w:tr w:rsidR="007E2B90" w:rsidRPr="00D66962" w14:paraId="24FA8FC5" w14:textId="77777777" w:rsidTr="007E2B90">
        <w:trPr>
          <w:trHeight w:val="300"/>
        </w:trPr>
        <w:tc>
          <w:tcPr>
            <w:tcW w:w="1435" w:type="dxa"/>
            <w:noWrap/>
            <w:hideMark/>
          </w:tcPr>
          <w:p w14:paraId="3985DDB5"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TALAWI</w:t>
            </w:r>
          </w:p>
        </w:tc>
        <w:tc>
          <w:tcPr>
            <w:tcW w:w="1170" w:type="dxa"/>
            <w:noWrap/>
            <w:hideMark/>
          </w:tcPr>
          <w:p w14:paraId="5F973F9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540</w:t>
            </w:r>
          </w:p>
        </w:tc>
        <w:tc>
          <w:tcPr>
            <w:tcW w:w="990" w:type="dxa"/>
            <w:noWrap/>
            <w:hideMark/>
          </w:tcPr>
          <w:p w14:paraId="486F981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233</w:t>
            </w:r>
          </w:p>
        </w:tc>
        <w:tc>
          <w:tcPr>
            <w:tcW w:w="720" w:type="dxa"/>
            <w:noWrap/>
            <w:hideMark/>
          </w:tcPr>
          <w:p w14:paraId="7C29829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43.1</w:t>
            </w:r>
          </w:p>
        </w:tc>
        <w:tc>
          <w:tcPr>
            <w:tcW w:w="990" w:type="dxa"/>
            <w:noWrap/>
            <w:hideMark/>
          </w:tcPr>
          <w:p w14:paraId="5F83C0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358</w:t>
            </w:r>
          </w:p>
        </w:tc>
        <w:tc>
          <w:tcPr>
            <w:tcW w:w="810" w:type="dxa"/>
            <w:noWrap/>
            <w:hideMark/>
          </w:tcPr>
          <w:p w14:paraId="5C7B2E0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228</w:t>
            </w:r>
          </w:p>
        </w:tc>
        <w:tc>
          <w:tcPr>
            <w:tcW w:w="630" w:type="dxa"/>
            <w:noWrap/>
            <w:hideMark/>
          </w:tcPr>
          <w:p w14:paraId="7CA1C77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63.7</w:t>
            </w:r>
          </w:p>
        </w:tc>
        <w:tc>
          <w:tcPr>
            <w:tcW w:w="966" w:type="dxa"/>
            <w:noWrap/>
            <w:hideMark/>
          </w:tcPr>
          <w:p w14:paraId="656E02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236</w:t>
            </w:r>
          </w:p>
        </w:tc>
        <w:tc>
          <w:tcPr>
            <w:tcW w:w="744" w:type="dxa"/>
            <w:noWrap/>
            <w:hideMark/>
          </w:tcPr>
          <w:p w14:paraId="4872870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213</w:t>
            </w:r>
          </w:p>
        </w:tc>
        <w:tc>
          <w:tcPr>
            <w:tcW w:w="810" w:type="dxa"/>
            <w:noWrap/>
            <w:hideMark/>
          </w:tcPr>
          <w:p w14:paraId="6CB2DD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90.3</w:t>
            </w:r>
          </w:p>
        </w:tc>
      </w:tr>
      <w:tr w:rsidR="007E2B90" w:rsidRPr="00D66962" w14:paraId="05061BD5" w14:textId="77777777" w:rsidTr="007E2B90">
        <w:trPr>
          <w:trHeight w:val="300"/>
        </w:trPr>
        <w:tc>
          <w:tcPr>
            <w:tcW w:w="1435" w:type="dxa"/>
            <w:noWrap/>
            <w:hideMark/>
          </w:tcPr>
          <w:p w14:paraId="3B6A4B3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TANAH DATAR</w:t>
            </w:r>
          </w:p>
        </w:tc>
        <w:tc>
          <w:tcPr>
            <w:tcW w:w="1170" w:type="dxa"/>
            <w:noWrap/>
            <w:hideMark/>
          </w:tcPr>
          <w:p w14:paraId="77D43DD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990" w:type="dxa"/>
            <w:noWrap/>
            <w:hideMark/>
          </w:tcPr>
          <w:p w14:paraId="245653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278</w:t>
            </w:r>
          </w:p>
        </w:tc>
        <w:tc>
          <w:tcPr>
            <w:tcW w:w="720" w:type="dxa"/>
            <w:noWrap/>
            <w:hideMark/>
          </w:tcPr>
          <w:p w14:paraId="1EBC043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64.8</w:t>
            </w:r>
          </w:p>
        </w:tc>
        <w:tc>
          <w:tcPr>
            <w:tcW w:w="990" w:type="dxa"/>
            <w:noWrap/>
            <w:hideMark/>
          </w:tcPr>
          <w:p w14:paraId="2DFB8A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810" w:type="dxa"/>
            <w:noWrap/>
            <w:hideMark/>
          </w:tcPr>
          <w:p w14:paraId="25EBF22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273</w:t>
            </w:r>
          </w:p>
        </w:tc>
        <w:tc>
          <w:tcPr>
            <w:tcW w:w="630" w:type="dxa"/>
            <w:noWrap/>
            <w:hideMark/>
          </w:tcPr>
          <w:p w14:paraId="67B5D5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88.9</w:t>
            </w:r>
          </w:p>
        </w:tc>
        <w:tc>
          <w:tcPr>
            <w:tcW w:w="966" w:type="dxa"/>
            <w:noWrap/>
            <w:hideMark/>
          </w:tcPr>
          <w:p w14:paraId="45D706B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744" w:type="dxa"/>
            <w:noWrap/>
            <w:hideMark/>
          </w:tcPr>
          <w:p w14:paraId="65286E2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258</w:t>
            </w:r>
          </w:p>
        </w:tc>
        <w:tc>
          <w:tcPr>
            <w:tcW w:w="810" w:type="dxa"/>
            <w:noWrap/>
            <w:hideMark/>
          </w:tcPr>
          <w:p w14:paraId="5B1663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96.6</w:t>
            </w:r>
          </w:p>
        </w:tc>
      </w:tr>
      <w:tr w:rsidR="007E2B90" w:rsidRPr="00D66962" w14:paraId="3F6B172D" w14:textId="77777777" w:rsidTr="007E2B90">
        <w:trPr>
          <w:trHeight w:val="300"/>
        </w:trPr>
        <w:tc>
          <w:tcPr>
            <w:tcW w:w="1435" w:type="dxa"/>
            <w:noWrap/>
            <w:hideMark/>
          </w:tcPr>
          <w:p w14:paraId="56665BB9"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w:t>
            </w:r>
          </w:p>
        </w:tc>
        <w:tc>
          <w:tcPr>
            <w:tcW w:w="1170" w:type="dxa"/>
            <w:noWrap/>
            <w:hideMark/>
          </w:tcPr>
          <w:p w14:paraId="2FD99B8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347</w:t>
            </w:r>
          </w:p>
        </w:tc>
        <w:tc>
          <w:tcPr>
            <w:tcW w:w="990" w:type="dxa"/>
            <w:noWrap/>
            <w:hideMark/>
          </w:tcPr>
          <w:p w14:paraId="4A3063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212</w:t>
            </w:r>
          </w:p>
        </w:tc>
        <w:tc>
          <w:tcPr>
            <w:tcW w:w="720" w:type="dxa"/>
            <w:noWrap/>
            <w:hideMark/>
          </w:tcPr>
          <w:p w14:paraId="3D5DA7CF"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61.1</w:t>
            </w:r>
          </w:p>
        </w:tc>
        <w:tc>
          <w:tcPr>
            <w:tcW w:w="990" w:type="dxa"/>
            <w:noWrap/>
            <w:hideMark/>
          </w:tcPr>
          <w:p w14:paraId="4CFB843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810" w:type="dxa"/>
            <w:noWrap/>
            <w:hideMark/>
          </w:tcPr>
          <w:p w14:paraId="680B3D6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207</w:t>
            </w:r>
          </w:p>
        </w:tc>
        <w:tc>
          <w:tcPr>
            <w:tcW w:w="630" w:type="dxa"/>
            <w:noWrap/>
            <w:hideMark/>
          </w:tcPr>
          <w:p w14:paraId="123F0D4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69</w:t>
            </w:r>
          </w:p>
        </w:tc>
        <w:tc>
          <w:tcPr>
            <w:tcW w:w="966" w:type="dxa"/>
            <w:noWrap/>
            <w:hideMark/>
          </w:tcPr>
          <w:p w14:paraId="17EC4DF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197</w:t>
            </w:r>
          </w:p>
        </w:tc>
        <w:tc>
          <w:tcPr>
            <w:tcW w:w="744" w:type="dxa"/>
            <w:noWrap/>
            <w:hideMark/>
          </w:tcPr>
          <w:p w14:paraId="5F7868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192</w:t>
            </w:r>
          </w:p>
        </w:tc>
        <w:tc>
          <w:tcPr>
            <w:tcW w:w="810" w:type="dxa"/>
            <w:noWrap/>
            <w:hideMark/>
          </w:tcPr>
          <w:p w14:paraId="293DB5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97.5</w:t>
            </w:r>
          </w:p>
        </w:tc>
      </w:tr>
      <w:tr w:rsidR="007E2B90" w:rsidRPr="00D66962" w14:paraId="29AE7377" w14:textId="77777777" w:rsidTr="007E2B90">
        <w:trPr>
          <w:trHeight w:val="300"/>
        </w:trPr>
        <w:tc>
          <w:tcPr>
            <w:tcW w:w="1435" w:type="dxa"/>
            <w:noWrap/>
            <w:hideMark/>
          </w:tcPr>
          <w:p w14:paraId="0A64E63A"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 PESISIR</w:t>
            </w:r>
          </w:p>
        </w:tc>
        <w:tc>
          <w:tcPr>
            <w:tcW w:w="1170" w:type="dxa"/>
            <w:noWrap/>
            <w:hideMark/>
          </w:tcPr>
          <w:p w14:paraId="5BE1007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652</w:t>
            </w:r>
          </w:p>
        </w:tc>
        <w:tc>
          <w:tcPr>
            <w:tcW w:w="990" w:type="dxa"/>
            <w:noWrap/>
            <w:hideMark/>
          </w:tcPr>
          <w:p w14:paraId="61DC5E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254</w:t>
            </w:r>
          </w:p>
        </w:tc>
        <w:tc>
          <w:tcPr>
            <w:tcW w:w="720" w:type="dxa"/>
            <w:noWrap/>
            <w:hideMark/>
          </w:tcPr>
          <w:p w14:paraId="5E2148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w:t>
            </w:r>
          </w:p>
        </w:tc>
        <w:tc>
          <w:tcPr>
            <w:tcW w:w="990" w:type="dxa"/>
            <w:noWrap/>
            <w:hideMark/>
          </w:tcPr>
          <w:p w14:paraId="3DE59E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501</w:t>
            </w:r>
          </w:p>
        </w:tc>
        <w:tc>
          <w:tcPr>
            <w:tcW w:w="810" w:type="dxa"/>
            <w:noWrap/>
            <w:hideMark/>
          </w:tcPr>
          <w:p w14:paraId="2CED21A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249</w:t>
            </w:r>
          </w:p>
        </w:tc>
        <w:tc>
          <w:tcPr>
            <w:tcW w:w="630" w:type="dxa"/>
            <w:noWrap/>
            <w:hideMark/>
          </w:tcPr>
          <w:p w14:paraId="202FED3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49.7</w:t>
            </w:r>
          </w:p>
        </w:tc>
        <w:tc>
          <w:tcPr>
            <w:tcW w:w="966" w:type="dxa"/>
            <w:noWrap/>
            <w:hideMark/>
          </w:tcPr>
          <w:p w14:paraId="69AC14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744" w:type="dxa"/>
            <w:noWrap/>
            <w:hideMark/>
          </w:tcPr>
          <w:p w14:paraId="09A0EA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234</w:t>
            </w:r>
          </w:p>
        </w:tc>
        <w:tc>
          <w:tcPr>
            <w:tcW w:w="810" w:type="dxa"/>
            <w:noWrap/>
            <w:hideMark/>
          </w:tcPr>
          <w:p w14:paraId="7D5464D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78</w:t>
            </w:r>
          </w:p>
        </w:tc>
      </w:tr>
      <w:tr w:rsidR="007E2B90" w:rsidRPr="00D66962" w14:paraId="79997A72" w14:textId="77777777" w:rsidTr="007E2B90">
        <w:trPr>
          <w:trHeight w:val="300"/>
        </w:trPr>
        <w:tc>
          <w:tcPr>
            <w:tcW w:w="1435" w:type="dxa"/>
            <w:noWrap/>
            <w:hideMark/>
          </w:tcPr>
          <w:p w14:paraId="2490556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DATUK LIMA PULUH</w:t>
            </w:r>
          </w:p>
        </w:tc>
        <w:tc>
          <w:tcPr>
            <w:tcW w:w="1170" w:type="dxa"/>
            <w:noWrap/>
            <w:hideMark/>
          </w:tcPr>
          <w:p w14:paraId="50291A9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480</w:t>
            </w:r>
          </w:p>
        </w:tc>
        <w:tc>
          <w:tcPr>
            <w:tcW w:w="990" w:type="dxa"/>
            <w:noWrap/>
            <w:hideMark/>
          </w:tcPr>
          <w:p w14:paraId="53EE32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209</w:t>
            </w:r>
          </w:p>
        </w:tc>
        <w:tc>
          <w:tcPr>
            <w:tcW w:w="720" w:type="dxa"/>
            <w:noWrap/>
            <w:hideMark/>
          </w:tcPr>
          <w:p w14:paraId="741B018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43.5</w:t>
            </w:r>
          </w:p>
        </w:tc>
        <w:tc>
          <w:tcPr>
            <w:tcW w:w="990" w:type="dxa"/>
            <w:noWrap/>
            <w:hideMark/>
          </w:tcPr>
          <w:p w14:paraId="4B1724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274</w:t>
            </w:r>
          </w:p>
        </w:tc>
        <w:tc>
          <w:tcPr>
            <w:tcW w:w="810" w:type="dxa"/>
            <w:noWrap/>
            <w:hideMark/>
          </w:tcPr>
          <w:p w14:paraId="51E0888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204</w:t>
            </w:r>
          </w:p>
        </w:tc>
        <w:tc>
          <w:tcPr>
            <w:tcW w:w="630" w:type="dxa"/>
            <w:noWrap/>
            <w:hideMark/>
          </w:tcPr>
          <w:p w14:paraId="2DE2CC8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74.5</w:t>
            </w:r>
          </w:p>
        </w:tc>
        <w:tc>
          <w:tcPr>
            <w:tcW w:w="966" w:type="dxa"/>
            <w:noWrap/>
            <w:hideMark/>
          </w:tcPr>
          <w:p w14:paraId="70CD524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222</w:t>
            </w:r>
          </w:p>
        </w:tc>
        <w:tc>
          <w:tcPr>
            <w:tcW w:w="744" w:type="dxa"/>
            <w:noWrap/>
            <w:hideMark/>
          </w:tcPr>
          <w:p w14:paraId="0FDB261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189</w:t>
            </w:r>
          </w:p>
        </w:tc>
        <w:tc>
          <w:tcPr>
            <w:tcW w:w="810" w:type="dxa"/>
            <w:noWrap/>
            <w:hideMark/>
          </w:tcPr>
          <w:p w14:paraId="655143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85.1</w:t>
            </w:r>
          </w:p>
        </w:tc>
      </w:tr>
      <w:tr w:rsidR="007E2B90" w:rsidRPr="00D66962" w14:paraId="7816B923" w14:textId="77777777" w:rsidTr="007E2B90">
        <w:trPr>
          <w:trHeight w:val="300"/>
        </w:trPr>
        <w:tc>
          <w:tcPr>
            <w:tcW w:w="1435" w:type="dxa"/>
            <w:noWrap/>
            <w:hideMark/>
          </w:tcPr>
          <w:p w14:paraId="0FFB5B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AIR PUTIH</w:t>
            </w:r>
          </w:p>
        </w:tc>
        <w:tc>
          <w:tcPr>
            <w:tcW w:w="1170" w:type="dxa"/>
            <w:noWrap/>
            <w:hideMark/>
          </w:tcPr>
          <w:p w14:paraId="38FCBE9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656</w:t>
            </w:r>
          </w:p>
        </w:tc>
        <w:tc>
          <w:tcPr>
            <w:tcW w:w="990" w:type="dxa"/>
            <w:noWrap/>
            <w:hideMark/>
          </w:tcPr>
          <w:p w14:paraId="5328131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720" w:type="dxa"/>
            <w:noWrap/>
            <w:hideMark/>
          </w:tcPr>
          <w:p w14:paraId="43709B8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90" w:type="dxa"/>
            <w:noWrap/>
            <w:hideMark/>
          </w:tcPr>
          <w:p w14:paraId="520BDC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494</w:t>
            </w:r>
          </w:p>
        </w:tc>
        <w:tc>
          <w:tcPr>
            <w:tcW w:w="810" w:type="dxa"/>
            <w:noWrap/>
            <w:hideMark/>
          </w:tcPr>
          <w:p w14:paraId="2C1A766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424</w:t>
            </w:r>
          </w:p>
        </w:tc>
        <w:tc>
          <w:tcPr>
            <w:tcW w:w="630" w:type="dxa"/>
            <w:noWrap/>
            <w:hideMark/>
          </w:tcPr>
          <w:p w14:paraId="0E3E31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85.8</w:t>
            </w:r>
          </w:p>
        </w:tc>
        <w:tc>
          <w:tcPr>
            <w:tcW w:w="966" w:type="dxa"/>
            <w:noWrap/>
            <w:hideMark/>
          </w:tcPr>
          <w:p w14:paraId="02F175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482</w:t>
            </w:r>
          </w:p>
        </w:tc>
        <w:tc>
          <w:tcPr>
            <w:tcW w:w="744" w:type="dxa"/>
            <w:noWrap/>
            <w:hideMark/>
          </w:tcPr>
          <w:p w14:paraId="043C17A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409</w:t>
            </w:r>
          </w:p>
        </w:tc>
        <w:tc>
          <w:tcPr>
            <w:tcW w:w="810" w:type="dxa"/>
            <w:noWrap/>
            <w:hideMark/>
          </w:tcPr>
          <w:p w14:paraId="10646F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84.9</w:t>
            </w:r>
          </w:p>
        </w:tc>
      </w:tr>
      <w:tr w:rsidR="007E2B90" w:rsidRPr="00D66962" w14:paraId="74F528D1" w14:textId="77777777" w:rsidTr="007E2B90">
        <w:trPr>
          <w:trHeight w:val="300"/>
        </w:trPr>
        <w:tc>
          <w:tcPr>
            <w:tcW w:w="1435" w:type="dxa"/>
            <w:noWrap/>
            <w:hideMark/>
          </w:tcPr>
          <w:p w14:paraId="1AC96C64"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SUKA</w:t>
            </w:r>
          </w:p>
        </w:tc>
        <w:tc>
          <w:tcPr>
            <w:tcW w:w="1170" w:type="dxa"/>
            <w:noWrap/>
            <w:hideMark/>
          </w:tcPr>
          <w:p w14:paraId="3C4FED2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567</w:t>
            </w:r>
          </w:p>
        </w:tc>
        <w:tc>
          <w:tcPr>
            <w:tcW w:w="990" w:type="dxa"/>
            <w:noWrap/>
            <w:hideMark/>
          </w:tcPr>
          <w:p w14:paraId="6149CD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287</w:t>
            </w:r>
          </w:p>
        </w:tc>
        <w:tc>
          <w:tcPr>
            <w:tcW w:w="720" w:type="dxa"/>
            <w:noWrap/>
            <w:hideMark/>
          </w:tcPr>
          <w:p w14:paraId="675139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50.6</w:t>
            </w:r>
          </w:p>
        </w:tc>
        <w:tc>
          <w:tcPr>
            <w:tcW w:w="990" w:type="dxa"/>
            <w:noWrap/>
            <w:hideMark/>
          </w:tcPr>
          <w:p w14:paraId="321D6A4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416</w:t>
            </w:r>
          </w:p>
        </w:tc>
        <w:tc>
          <w:tcPr>
            <w:tcW w:w="810" w:type="dxa"/>
            <w:noWrap/>
            <w:hideMark/>
          </w:tcPr>
          <w:p w14:paraId="2D82D88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282</w:t>
            </w:r>
          </w:p>
        </w:tc>
        <w:tc>
          <w:tcPr>
            <w:tcW w:w="630" w:type="dxa"/>
            <w:noWrap/>
            <w:hideMark/>
          </w:tcPr>
          <w:p w14:paraId="0FB93F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966" w:type="dxa"/>
            <w:noWrap/>
            <w:hideMark/>
          </w:tcPr>
          <w:p w14:paraId="50B3F22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744" w:type="dxa"/>
            <w:noWrap/>
            <w:hideMark/>
          </w:tcPr>
          <w:p w14:paraId="225D3F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810" w:type="dxa"/>
            <w:noWrap/>
            <w:hideMark/>
          </w:tcPr>
          <w:p w14:paraId="6E6A095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87</w:t>
            </w:r>
          </w:p>
        </w:tc>
      </w:tr>
      <w:tr w:rsidR="007E2B90" w:rsidRPr="00D66962" w14:paraId="5E366A8E" w14:textId="77777777" w:rsidTr="007E2B90">
        <w:trPr>
          <w:trHeight w:val="300"/>
        </w:trPr>
        <w:tc>
          <w:tcPr>
            <w:tcW w:w="1435" w:type="dxa"/>
            <w:noWrap/>
            <w:hideMark/>
          </w:tcPr>
          <w:p w14:paraId="7C2BCE7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MEDANG DERAS</w:t>
            </w:r>
          </w:p>
        </w:tc>
        <w:tc>
          <w:tcPr>
            <w:tcW w:w="1170" w:type="dxa"/>
            <w:noWrap/>
            <w:hideMark/>
          </w:tcPr>
          <w:p w14:paraId="379B89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1190</w:t>
            </w:r>
          </w:p>
        </w:tc>
        <w:tc>
          <w:tcPr>
            <w:tcW w:w="990" w:type="dxa"/>
            <w:noWrap/>
            <w:hideMark/>
          </w:tcPr>
          <w:p w14:paraId="650686C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815</w:t>
            </w:r>
          </w:p>
        </w:tc>
        <w:tc>
          <w:tcPr>
            <w:tcW w:w="720" w:type="dxa"/>
            <w:noWrap/>
            <w:hideMark/>
          </w:tcPr>
          <w:p w14:paraId="466DB0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68.5</w:t>
            </w:r>
          </w:p>
        </w:tc>
        <w:tc>
          <w:tcPr>
            <w:tcW w:w="990" w:type="dxa"/>
            <w:noWrap/>
            <w:hideMark/>
          </w:tcPr>
          <w:p w14:paraId="791427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936</w:t>
            </w:r>
          </w:p>
        </w:tc>
        <w:tc>
          <w:tcPr>
            <w:tcW w:w="810" w:type="dxa"/>
            <w:noWrap/>
            <w:hideMark/>
          </w:tcPr>
          <w:p w14:paraId="152F83B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810</w:t>
            </w:r>
          </w:p>
        </w:tc>
        <w:tc>
          <w:tcPr>
            <w:tcW w:w="630" w:type="dxa"/>
            <w:noWrap/>
            <w:hideMark/>
          </w:tcPr>
          <w:p w14:paraId="5ADD27A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86.5</w:t>
            </w:r>
          </w:p>
        </w:tc>
        <w:tc>
          <w:tcPr>
            <w:tcW w:w="966" w:type="dxa"/>
            <w:noWrap/>
            <w:hideMark/>
          </w:tcPr>
          <w:p w14:paraId="7146E4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1085</w:t>
            </w:r>
          </w:p>
        </w:tc>
        <w:tc>
          <w:tcPr>
            <w:tcW w:w="744" w:type="dxa"/>
            <w:noWrap/>
            <w:hideMark/>
          </w:tcPr>
          <w:p w14:paraId="47AC2FC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795</w:t>
            </w:r>
          </w:p>
        </w:tc>
        <w:tc>
          <w:tcPr>
            <w:tcW w:w="810" w:type="dxa"/>
            <w:noWrap/>
            <w:hideMark/>
          </w:tcPr>
          <w:p w14:paraId="33B2676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73.3</w:t>
            </w:r>
          </w:p>
        </w:tc>
      </w:tr>
      <w:tr w:rsidR="007E2B90" w:rsidRPr="00D66962" w14:paraId="247646D1" w14:textId="77777777" w:rsidTr="007E2B90">
        <w:trPr>
          <w:trHeight w:val="300"/>
        </w:trPr>
        <w:tc>
          <w:tcPr>
            <w:tcW w:w="1435" w:type="dxa"/>
            <w:noWrap/>
            <w:hideMark/>
          </w:tcPr>
          <w:p w14:paraId="68A2BEFF"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LAUT TADOR</w:t>
            </w:r>
          </w:p>
        </w:tc>
        <w:tc>
          <w:tcPr>
            <w:tcW w:w="1170" w:type="dxa"/>
            <w:noWrap/>
            <w:hideMark/>
          </w:tcPr>
          <w:p w14:paraId="46862E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133</w:t>
            </w:r>
          </w:p>
        </w:tc>
        <w:tc>
          <w:tcPr>
            <w:tcW w:w="990" w:type="dxa"/>
            <w:noWrap/>
            <w:hideMark/>
          </w:tcPr>
          <w:p w14:paraId="24B98E3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158</w:t>
            </w:r>
          </w:p>
        </w:tc>
        <w:tc>
          <w:tcPr>
            <w:tcW w:w="720" w:type="dxa"/>
            <w:noWrap/>
            <w:hideMark/>
          </w:tcPr>
          <w:p w14:paraId="7D91DF5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118.8</w:t>
            </w:r>
          </w:p>
        </w:tc>
        <w:tc>
          <w:tcPr>
            <w:tcW w:w="990" w:type="dxa"/>
            <w:noWrap/>
            <w:hideMark/>
          </w:tcPr>
          <w:p w14:paraId="60322D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143</w:t>
            </w:r>
          </w:p>
        </w:tc>
        <w:tc>
          <w:tcPr>
            <w:tcW w:w="810" w:type="dxa"/>
            <w:noWrap/>
            <w:hideMark/>
          </w:tcPr>
          <w:p w14:paraId="00077A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153</w:t>
            </w:r>
          </w:p>
        </w:tc>
        <w:tc>
          <w:tcPr>
            <w:tcW w:w="630" w:type="dxa"/>
            <w:noWrap/>
            <w:hideMark/>
          </w:tcPr>
          <w:p w14:paraId="39F5A6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107</w:t>
            </w:r>
          </w:p>
        </w:tc>
        <w:tc>
          <w:tcPr>
            <w:tcW w:w="966" w:type="dxa"/>
            <w:noWrap/>
            <w:hideMark/>
          </w:tcPr>
          <w:p w14:paraId="200535F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144</w:t>
            </w:r>
          </w:p>
        </w:tc>
        <w:tc>
          <w:tcPr>
            <w:tcW w:w="744" w:type="dxa"/>
            <w:noWrap/>
            <w:hideMark/>
          </w:tcPr>
          <w:p w14:paraId="02F337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138</w:t>
            </w:r>
          </w:p>
        </w:tc>
        <w:tc>
          <w:tcPr>
            <w:tcW w:w="810" w:type="dxa"/>
            <w:noWrap/>
            <w:hideMark/>
          </w:tcPr>
          <w:p w14:paraId="47A1C7A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95.8</w:t>
            </w:r>
          </w:p>
        </w:tc>
      </w:tr>
    </w:tbl>
    <w:p w14:paraId="08F4DCE8" w14:textId="77777777" w:rsidR="00A910BA" w:rsidRPr="00A910BA" w:rsidRDefault="00A910BA" w:rsidP="00A910BA">
      <w:pPr>
        <w:spacing w:after="120" w:line="240" w:lineRule="auto"/>
        <w:jc w:val="both"/>
        <w:rPr>
          <w:rFonts w:ascii="Arial" w:hAnsi="Arial" w:cs="Arial"/>
        </w:rPr>
      </w:pPr>
    </w:p>
    <w:p w14:paraId="796E5EC4" w14:textId="599E094E" w:rsidR="00A910BA" w:rsidRPr="00A910BA" w:rsidRDefault="00A910BA" w:rsidP="00A910BA">
      <w:pPr>
        <w:spacing w:after="120" w:line="240" w:lineRule="auto"/>
        <w:jc w:val="both"/>
        <w:rPr>
          <w:rFonts w:ascii="Arial" w:hAnsi="Arial" w:cs="Arial"/>
        </w:rPr>
      </w:pPr>
      <w:r w:rsidRPr="00A910BA">
        <w:rPr>
          <w:rFonts w:ascii="Arial" w:hAnsi="Arial" w:cs="Arial"/>
        </w:rPr>
        <w:t xml:space="preserve">Temporal data reveal substantial progress since 2021, when the coverage was only 54.8%. However, geographic disparities persist. The gap between the current achievement and the 90% target—especially in districts like </w:t>
      </w:r>
      <w:proofErr w:type="spellStart"/>
      <w:r w:rsidRPr="00A910BA">
        <w:rPr>
          <w:rFonts w:ascii="Arial" w:hAnsi="Arial" w:cs="Arial"/>
        </w:rPr>
        <w:t>Medang</w:t>
      </w:r>
      <w:proofErr w:type="spellEnd"/>
      <w:r w:rsidRPr="00A910BA">
        <w:rPr>
          <w:rFonts w:ascii="Arial" w:hAnsi="Arial" w:cs="Arial"/>
        </w:rPr>
        <w:t xml:space="preserve"> </w:t>
      </w:r>
      <w:proofErr w:type="spellStart"/>
      <w:r w:rsidRPr="00A910BA">
        <w:rPr>
          <w:rFonts w:ascii="Arial" w:hAnsi="Arial" w:cs="Arial"/>
        </w:rPr>
        <w:t>Deras</w:t>
      </w:r>
      <w:proofErr w:type="spellEnd"/>
      <w:r w:rsidRPr="00A910BA">
        <w:rPr>
          <w:rFonts w:ascii="Arial" w:hAnsi="Arial" w:cs="Arial"/>
        </w:rPr>
        <w:t xml:space="preserve"> and </w:t>
      </w:r>
      <w:proofErr w:type="spellStart"/>
      <w:r w:rsidRPr="00A910BA">
        <w:rPr>
          <w:rFonts w:ascii="Arial" w:hAnsi="Arial" w:cs="Arial"/>
        </w:rPr>
        <w:t>Nibung</w:t>
      </w:r>
      <w:proofErr w:type="spellEnd"/>
      <w:r w:rsidRPr="00A910BA">
        <w:rPr>
          <w:rFonts w:ascii="Arial" w:hAnsi="Arial" w:cs="Arial"/>
        </w:rPr>
        <w:t xml:space="preserve"> </w:t>
      </w:r>
      <w:proofErr w:type="spellStart"/>
      <w:r w:rsidRPr="00A910BA">
        <w:rPr>
          <w:rFonts w:ascii="Arial" w:hAnsi="Arial" w:cs="Arial"/>
        </w:rPr>
        <w:t>Hangus</w:t>
      </w:r>
      <w:proofErr w:type="spellEnd"/>
      <w:r w:rsidRPr="00A910BA">
        <w:rPr>
          <w:rFonts w:ascii="Arial" w:hAnsi="Arial" w:cs="Arial"/>
        </w:rPr>
        <w:t>—calls for intensified local engagement and monitoring mechanisms.</w:t>
      </w:r>
    </w:p>
    <w:p w14:paraId="0F7F08F5" w14:textId="14D333B4" w:rsidR="00A910BA" w:rsidRDefault="00A910BA" w:rsidP="00A910BA">
      <w:pPr>
        <w:spacing w:after="120" w:line="240" w:lineRule="auto"/>
        <w:jc w:val="both"/>
        <w:rPr>
          <w:rFonts w:ascii="Arial" w:hAnsi="Arial" w:cs="Arial"/>
        </w:rPr>
      </w:pPr>
      <w:r w:rsidRPr="00A910BA">
        <w:rPr>
          <w:rFonts w:ascii="Arial" w:hAnsi="Arial" w:cs="Arial"/>
        </w:rPr>
        <w:t>Supplementary feeding programs are jointly executed by local government units, health departments, and family planning personnel, forming a multi-sectoral approach aligned with national development goals.</w:t>
      </w:r>
    </w:p>
    <w:p w14:paraId="3A43E895" w14:textId="77777777" w:rsidR="00646514" w:rsidRPr="00646514" w:rsidRDefault="00646514" w:rsidP="00646514">
      <w:pPr>
        <w:spacing w:after="120" w:line="240" w:lineRule="auto"/>
        <w:jc w:val="both"/>
        <w:rPr>
          <w:rFonts w:ascii="Arial" w:hAnsi="Arial" w:cs="Arial"/>
          <w:b/>
          <w:bCs/>
        </w:rPr>
      </w:pPr>
      <w:r w:rsidRPr="00646514">
        <w:rPr>
          <w:rFonts w:ascii="Arial" w:hAnsi="Arial" w:cs="Arial"/>
          <w:b/>
          <w:bCs/>
        </w:rPr>
        <w:t>3.1.5 Statistical Analysis of the Effects of Nutrition Interventions on Stunting Prevalence</w:t>
      </w:r>
    </w:p>
    <w:p w14:paraId="6906E4C0" w14:textId="1945FCE5"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 xml:space="preserve">Understanding the multifaceted dynamics of stunting reduction requires not only the implementation of programs but also a rigorous examination of their statistical impact across regions. This study employed a descriptive and inferential approach to analyze the effectiveness of two key nutrition-specific interventions—vitamin A supplementation and supplementary feeding—on stunting prevalence in Batu Bara Regency between 2021 and 2023. The dataset encompassed 36 observations, representing 12 districts over a three-year span, and was derived from credible governmental sources including the District Health Office and </w:t>
      </w:r>
      <w:proofErr w:type="spellStart"/>
      <w:r w:rsidRPr="00C51119">
        <w:rPr>
          <w:rFonts w:ascii="Arial" w:hAnsi="Arial" w:cs="Arial"/>
        </w:rPr>
        <w:t>Bappelitbangda</w:t>
      </w:r>
      <w:proofErr w:type="spellEnd"/>
      <w:r w:rsidRPr="00C51119">
        <w:rPr>
          <w:rFonts w:ascii="Arial" w:hAnsi="Arial" w:cs="Arial"/>
        </w:rPr>
        <w:t>.</w:t>
      </w:r>
    </w:p>
    <w:p w14:paraId="488290F6" w14:textId="6F410F04" w:rsidR="00C51119" w:rsidRPr="00C51119" w:rsidRDefault="00C51119" w:rsidP="00C51119">
      <w:pPr>
        <w:spacing w:after="120" w:line="240" w:lineRule="auto"/>
        <w:jc w:val="both"/>
        <w:rPr>
          <w:rFonts w:ascii="Arial" w:hAnsi="Arial" w:cs="Arial"/>
          <w:b/>
          <w:bCs/>
        </w:rPr>
      </w:pPr>
      <w:r w:rsidRPr="00C51119">
        <w:rPr>
          <w:rFonts w:ascii="Arial" w:hAnsi="Arial" w:cs="Arial"/>
          <w:b/>
          <w:bCs/>
        </w:rPr>
        <w:t>3.1.5.1. Descriptive Summary of Core Variables</w:t>
      </w:r>
    </w:p>
    <w:p w14:paraId="2012EE93" w14:textId="2DE9FC53" w:rsidR="00C51119" w:rsidRPr="00C51119" w:rsidRDefault="00C51119" w:rsidP="00C51119">
      <w:pPr>
        <w:spacing w:after="120" w:line="240" w:lineRule="auto"/>
        <w:jc w:val="both"/>
        <w:rPr>
          <w:rFonts w:ascii="Arial" w:hAnsi="Arial" w:cs="Arial"/>
        </w:rPr>
      </w:pPr>
      <w:r w:rsidRPr="00C51119">
        <w:rPr>
          <w:rFonts w:ascii="Arial" w:hAnsi="Arial" w:cs="Arial"/>
        </w:rPr>
        <w:t>At the outset, descriptive statistics provided a general picture of how stunting and the two interventions varied across districts. The average stunting prevalence stood at 454 children per year per district, with a noticeable spread indicating heterogeneity in both health outcomes and service delivery. Vitamin A supplementation reached an average of approximately 340 children per district, while supplementary feeding programs recorded a slightly lower average of 307 children. Importantly, statistical tests of normality (e.g., Jarque-Bera) confirmed that the data distributions were reasonably normal across all variables, allowing for the application of panel regression models with confidence.</w:t>
      </w:r>
    </w:p>
    <w:p w14:paraId="11574509" w14:textId="77777777"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data highlighted considerable disparities between districts. For example,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and Sei Balai consistently exhibited high outreach in vitamin A supplementation, which coincided with relatively lower rates of stunting. In contrast, districts such as Lima </w:t>
      </w:r>
      <w:proofErr w:type="spellStart"/>
      <w:r w:rsidRPr="00C51119">
        <w:rPr>
          <w:rFonts w:ascii="Arial" w:hAnsi="Arial" w:cs="Arial"/>
        </w:rPr>
        <w:t>Puluh</w:t>
      </w:r>
      <w:proofErr w:type="spellEnd"/>
      <w:r w:rsidRPr="00C51119">
        <w:rPr>
          <w:rFonts w:ascii="Arial" w:hAnsi="Arial" w:cs="Arial"/>
        </w:rPr>
        <w:t xml:space="preserve"> </w:t>
      </w:r>
      <w:proofErr w:type="spellStart"/>
      <w:r w:rsidRPr="00C51119">
        <w:rPr>
          <w:rFonts w:ascii="Arial" w:hAnsi="Arial" w:cs="Arial"/>
        </w:rPr>
        <w:t>Pesisir</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reported lower intervention coverage and persistently higher stunting rates, suggesting gaps in implementation or contextual challenges.</w:t>
      </w:r>
    </w:p>
    <w:p w14:paraId="5C00369F" w14:textId="77777777" w:rsidR="00C51119" w:rsidRPr="00C51119" w:rsidRDefault="00C51119" w:rsidP="00C51119">
      <w:pPr>
        <w:spacing w:after="120" w:line="240" w:lineRule="auto"/>
        <w:jc w:val="both"/>
        <w:rPr>
          <w:rFonts w:ascii="Arial" w:hAnsi="Arial" w:cs="Arial"/>
        </w:rPr>
      </w:pPr>
    </w:p>
    <w:p w14:paraId="0F3C4F20" w14:textId="59B94BC5" w:rsidR="00C51119" w:rsidRPr="00C51119" w:rsidRDefault="00C51119" w:rsidP="00C51119">
      <w:pPr>
        <w:spacing w:after="120" w:line="240" w:lineRule="auto"/>
        <w:jc w:val="both"/>
        <w:rPr>
          <w:rFonts w:ascii="Arial" w:hAnsi="Arial" w:cs="Arial"/>
          <w:b/>
          <w:bCs/>
        </w:rPr>
      </w:pPr>
      <w:r w:rsidRPr="00C51119">
        <w:rPr>
          <w:rFonts w:ascii="Arial" w:hAnsi="Arial" w:cs="Arial"/>
          <w:b/>
          <w:bCs/>
        </w:rPr>
        <w:t>3.1.5.2. Modeling the Impact: Regression Analysis Using Panel Data</w:t>
      </w:r>
    </w:p>
    <w:p w14:paraId="78D00BA5" w14:textId="349CB509" w:rsidR="00C51119" w:rsidRPr="00C51119" w:rsidRDefault="00C51119" w:rsidP="00C51119">
      <w:pPr>
        <w:spacing w:after="120" w:line="240" w:lineRule="auto"/>
        <w:jc w:val="both"/>
        <w:rPr>
          <w:rFonts w:ascii="Arial" w:hAnsi="Arial" w:cs="Arial"/>
        </w:rPr>
      </w:pPr>
      <w:r w:rsidRPr="00C51119">
        <w:rPr>
          <w:rFonts w:ascii="Arial" w:hAnsi="Arial" w:cs="Arial"/>
        </w:rPr>
        <w:t>To identify the causal linkages between the interventions and stunting, three econometric models were estimated: the Common Effect Model (CEM), Fixed Effect Model (FEM), and Random Effect Model (REM).</w:t>
      </w:r>
    </w:p>
    <w:p w14:paraId="3AC087D8" w14:textId="7AD9E665" w:rsidR="00C51119" w:rsidRPr="00C51119" w:rsidRDefault="00C51119" w:rsidP="00C51119">
      <w:pPr>
        <w:spacing w:after="120" w:line="240" w:lineRule="auto"/>
        <w:jc w:val="both"/>
        <w:rPr>
          <w:rFonts w:ascii="Arial" w:hAnsi="Arial" w:cs="Arial"/>
        </w:rPr>
      </w:pPr>
      <w:r w:rsidRPr="00C51119">
        <w:rPr>
          <w:rFonts w:ascii="Arial" w:hAnsi="Arial" w:cs="Arial"/>
        </w:rPr>
        <w:t>The Common Effect Model, which assumes homogeneous intercepts across districts, showed that vitamin A supplementation was significantly associated with a reduction in stunting (p = 0.0045), whereas supplementary feeding did not reach statistical significance (p &gt; 0.75). This model, though informative, failed to account for unobserved district-specific factors, limiting its utility for policy targeting.</w:t>
      </w:r>
    </w:p>
    <w:p w14:paraId="0728330D" w14:textId="77777777" w:rsidR="00C51119" w:rsidRPr="00C51119" w:rsidRDefault="00C51119" w:rsidP="00C51119">
      <w:pPr>
        <w:spacing w:after="120" w:line="240" w:lineRule="auto"/>
        <w:jc w:val="both"/>
        <w:rPr>
          <w:rFonts w:ascii="Arial" w:hAnsi="Arial" w:cs="Arial"/>
        </w:rPr>
      </w:pPr>
      <w:r w:rsidRPr="00C51119">
        <w:rPr>
          <w:rFonts w:ascii="Arial" w:hAnsi="Arial" w:cs="Arial"/>
        </w:rPr>
        <w:t>Recognizing this limitation, the Fixed Effect Model was then applied to control for district-level heterogeneity. The FEM results demonstrated substantial improvement in explanatory power, with an adjusted R-squared value exceeding 0.90. Notably, both vitamin A supplementation (p = 0.0010) and supplementary feeding (p = 0.0373) showed statistically significant impacts on reducing stunting rates. These results underline the importance of considering localized factors—such as infrastructure, staffing, and socio-cultural practices—when evaluating program outcomes.</w:t>
      </w:r>
    </w:p>
    <w:p w14:paraId="2C3B3B70" w14:textId="77777777" w:rsidR="00C51119" w:rsidRPr="00C51119" w:rsidRDefault="00C51119" w:rsidP="00C51119">
      <w:pPr>
        <w:spacing w:after="120" w:line="240" w:lineRule="auto"/>
        <w:jc w:val="both"/>
        <w:rPr>
          <w:rFonts w:ascii="Arial" w:hAnsi="Arial" w:cs="Arial"/>
        </w:rPr>
      </w:pPr>
    </w:p>
    <w:p w14:paraId="50F94824" w14:textId="14689F83" w:rsidR="00C51119" w:rsidRPr="00C51119" w:rsidRDefault="00C51119" w:rsidP="00C51119">
      <w:pPr>
        <w:spacing w:after="120" w:line="240" w:lineRule="auto"/>
        <w:jc w:val="both"/>
        <w:rPr>
          <w:rFonts w:ascii="Arial" w:hAnsi="Arial" w:cs="Arial"/>
        </w:rPr>
      </w:pPr>
      <w:r w:rsidRPr="00C51119">
        <w:rPr>
          <w:rFonts w:ascii="Arial" w:hAnsi="Arial" w:cs="Arial"/>
        </w:rPr>
        <w:t>To validate the superiority of FEM over CEM, the Chow Test was conducted. The results strongly favored FEM (p &lt; 0.01), confirming that district-specific intercepts provided a more accurate depiction of intervention effects.</w:t>
      </w:r>
    </w:p>
    <w:p w14:paraId="06517C33" w14:textId="77777777"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Subsequently, the Random Effect Model was explored under the assumption of uncorrelated district-specific errors. While vitamin A supplementation remained significant (p = 0.0035), supplementary feeding again lost significance (p = 0.8039), echoing the inconsistencies observed in the CEM. However, a Hausman Test comparing FEM and REM ultimately endorsed the fixed effects approach (p &lt; 0.01), indicating that unobserved heterogeneity was correlated with the independent variables—a violation of the REM assumption.</w:t>
      </w:r>
    </w:p>
    <w:p w14:paraId="7F167250" w14:textId="77777777" w:rsidR="00C51119" w:rsidRPr="00C51119" w:rsidRDefault="00C51119" w:rsidP="00C51119">
      <w:pPr>
        <w:spacing w:after="120" w:line="240" w:lineRule="auto"/>
        <w:jc w:val="both"/>
        <w:rPr>
          <w:rFonts w:ascii="Arial" w:hAnsi="Arial" w:cs="Arial"/>
        </w:rPr>
      </w:pPr>
    </w:p>
    <w:p w14:paraId="1B2C5356" w14:textId="14D6252C" w:rsidR="00C51119" w:rsidRPr="00C51119" w:rsidRDefault="00C51119" w:rsidP="00C51119">
      <w:pPr>
        <w:spacing w:after="120" w:line="240" w:lineRule="auto"/>
        <w:jc w:val="both"/>
        <w:rPr>
          <w:rFonts w:ascii="Arial" w:hAnsi="Arial" w:cs="Arial"/>
          <w:b/>
          <w:bCs/>
        </w:rPr>
      </w:pPr>
      <w:r w:rsidRPr="00C51119">
        <w:rPr>
          <w:rFonts w:ascii="Arial" w:hAnsi="Arial" w:cs="Arial"/>
          <w:b/>
          <w:bCs/>
        </w:rPr>
        <w:t>3.1.5.3. District-Level Insights and Policy Implications</w:t>
      </w:r>
    </w:p>
    <w:p w14:paraId="3E83AE38" w14:textId="765CC8F8"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final FEM specification provided nuanced insights at the district level.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emerged as the most responsive district, with the strongest negative fixed effects, suggesting that combined nutrition interventions had the most pronounced impact there. Similarly, districts such as Ujung </w:t>
      </w:r>
      <w:proofErr w:type="spellStart"/>
      <w:r w:rsidRPr="00C51119">
        <w:rPr>
          <w:rFonts w:ascii="Arial" w:hAnsi="Arial" w:cs="Arial"/>
        </w:rPr>
        <w:t>Kubu</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showed considerable reductions in stunting correlated with increased program coverage. These areas likely benefitted from better program targeting, community engagement, or health infrastructure.</w:t>
      </w:r>
    </w:p>
    <w:p w14:paraId="37CD8144" w14:textId="6096D6F1" w:rsidR="00C51119" w:rsidRPr="00C51119" w:rsidRDefault="00C51119" w:rsidP="00C51119">
      <w:pPr>
        <w:spacing w:after="120" w:line="240" w:lineRule="auto"/>
        <w:jc w:val="both"/>
        <w:rPr>
          <w:rFonts w:ascii="Arial" w:hAnsi="Arial" w:cs="Arial"/>
        </w:rPr>
      </w:pPr>
      <w:r w:rsidRPr="00C51119">
        <w:rPr>
          <w:rFonts w:ascii="Arial" w:hAnsi="Arial" w:cs="Arial"/>
        </w:rPr>
        <w:t xml:space="preserve">Conversely, districts like Laut </w:t>
      </w:r>
      <w:proofErr w:type="spellStart"/>
      <w:r w:rsidRPr="00C51119">
        <w:rPr>
          <w:rFonts w:ascii="Arial" w:hAnsi="Arial" w:cs="Arial"/>
        </w:rPr>
        <w:t>Tador</w:t>
      </w:r>
      <w:proofErr w:type="spellEnd"/>
      <w:r w:rsidRPr="00C51119">
        <w:rPr>
          <w:rFonts w:ascii="Arial" w:hAnsi="Arial" w:cs="Arial"/>
        </w:rPr>
        <w:t xml:space="preserve"> and Lima </w:t>
      </w:r>
      <w:proofErr w:type="spellStart"/>
      <w:r w:rsidRPr="00C51119">
        <w:rPr>
          <w:rFonts w:ascii="Arial" w:hAnsi="Arial" w:cs="Arial"/>
        </w:rPr>
        <w:t>Puluh</w:t>
      </w:r>
      <w:proofErr w:type="spellEnd"/>
      <w:r w:rsidRPr="00C51119">
        <w:rPr>
          <w:rFonts w:ascii="Arial" w:hAnsi="Arial" w:cs="Arial"/>
        </w:rPr>
        <w:t>, despite moderate levels of intervention coverage, showed weaker associations, implying either operational inefficiencies or demographic factors that muted program effectiveness. Such disparities highlight the necessity of tailoring interventions not only by need but also by capacity and contextual fit.</w:t>
      </w:r>
    </w:p>
    <w:p w14:paraId="223AF7B6" w14:textId="15C0B757" w:rsidR="00C51119" w:rsidRPr="00C51119" w:rsidRDefault="00C51119" w:rsidP="00C51119">
      <w:pPr>
        <w:spacing w:after="120" w:line="240" w:lineRule="auto"/>
        <w:jc w:val="both"/>
        <w:rPr>
          <w:rFonts w:ascii="Arial" w:hAnsi="Arial" w:cs="Arial"/>
        </w:rPr>
      </w:pPr>
      <w:r w:rsidRPr="00C51119">
        <w:rPr>
          <w:rFonts w:ascii="Arial" w:hAnsi="Arial" w:cs="Arial"/>
        </w:rPr>
        <w:t>In aggregate, the findings affirm that vitamin A supplementation is a statistically robust predictor of reduced stunting, reinforcing its prioritization in child health programs. Supplementary feeding, while theoretically impactful, demonstrated more variable results, suggesting it may require more consistent delivery, higher nutritional quality, or complementary behavioral interventions to realize its full potential.</w:t>
      </w:r>
    </w:p>
    <w:p w14:paraId="0573410F" w14:textId="2CD08D8C" w:rsidR="00646514" w:rsidRDefault="00C51119" w:rsidP="00A910BA">
      <w:pPr>
        <w:spacing w:after="120" w:line="240" w:lineRule="auto"/>
        <w:jc w:val="both"/>
        <w:rPr>
          <w:rFonts w:ascii="Arial" w:hAnsi="Arial" w:cs="Arial"/>
        </w:rPr>
      </w:pPr>
      <w:r w:rsidRPr="00C51119">
        <w:rPr>
          <w:rFonts w:ascii="Arial" w:hAnsi="Arial" w:cs="Arial"/>
        </w:rPr>
        <w:t>Moreover, the superiority of the fixed effects model underscores the importance of localized policy frameworks. Centralized program targets must be accompanied by flexibility at the local level, enabling adaptations to specific community needs and challenges. The statistical significance of the FEM model provides empirical support for continuing and scaling up district-focused strategies that combine data-driven targeting with community-based implementation.</w:t>
      </w:r>
    </w:p>
    <w:p w14:paraId="57D30BD3" w14:textId="77777777" w:rsidR="00C51119" w:rsidRPr="00A910BA" w:rsidRDefault="00C51119" w:rsidP="00A910BA">
      <w:pPr>
        <w:spacing w:after="120" w:line="240" w:lineRule="auto"/>
        <w:jc w:val="both"/>
        <w:rPr>
          <w:rFonts w:ascii="Arial" w:hAnsi="Arial" w:cs="Arial"/>
        </w:rPr>
      </w:pPr>
    </w:p>
    <w:p w14:paraId="10CA459A" w14:textId="77777777" w:rsidR="005059FC" w:rsidRDefault="00075AE4" w:rsidP="00075AE4">
      <w:pPr>
        <w:spacing w:after="120" w:line="240" w:lineRule="auto"/>
        <w:jc w:val="both"/>
        <w:rPr>
          <w:rFonts w:ascii="Arial" w:hAnsi="Arial" w:cs="Arial"/>
          <w:b/>
          <w:bCs/>
        </w:rPr>
      </w:pPr>
      <w:r w:rsidRPr="00075AE4">
        <w:rPr>
          <w:rFonts w:ascii="Arial" w:hAnsi="Arial" w:cs="Arial"/>
          <w:b/>
          <w:bCs/>
        </w:rPr>
        <w:t xml:space="preserve">3.2 </w:t>
      </w:r>
      <w:r w:rsidR="005059FC" w:rsidRPr="005059FC">
        <w:rPr>
          <w:rFonts w:ascii="Arial" w:hAnsi="Arial" w:cs="Arial"/>
          <w:b/>
          <w:bCs/>
        </w:rPr>
        <w:t>Discussion</w:t>
      </w:r>
    </w:p>
    <w:p w14:paraId="3D607823" w14:textId="77777777" w:rsidR="00C51119" w:rsidRPr="00C51119" w:rsidRDefault="00C51119" w:rsidP="00C51119">
      <w:pPr>
        <w:spacing w:after="120" w:line="240" w:lineRule="auto"/>
        <w:jc w:val="both"/>
        <w:rPr>
          <w:rFonts w:ascii="Arial" w:hAnsi="Arial" w:cs="Arial"/>
        </w:rPr>
      </w:pPr>
      <w:r w:rsidRPr="00C51119">
        <w:rPr>
          <w:rFonts w:ascii="Arial" w:hAnsi="Arial" w:cs="Arial"/>
        </w:rPr>
        <w:t>This study highlights the progress and challenges in reducing stunting prevalence in Batu Bara Regency between 2021 and 2023. The observed reduction in stunting—from 30.9% to 15.7%—suggests that ongoing efforts, including vitamin A supplementation and supplementary feeding programs, have yielded meaningful impacts. Nevertheless, the regression models employed in this study underscore the critical importance of local context and variation in the effectiveness of these interventions.</w:t>
      </w:r>
    </w:p>
    <w:p w14:paraId="38EDAC5C" w14:textId="77777777" w:rsidR="00C51119" w:rsidRPr="00C51119" w:rsidRDefault="00C51119" w:rsidP="00C51119">
      <w:pPr>
        <w:spacing w:after="120" w:line="240" w:lineRule="auto"/>
        <w:jc w:val="both"/>
        <w:rPr>
          <w:rFonts w:ascii="Arial" w:hAnsi="Arial" w:cs="Arial"/>
        </w:rPr>
      </w:pPr>
    </w:p>
    <w:p w14:paraId="6457D87D" w14:textId="09864189"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fixed effects model revealed that vitamin A supplementation has a consistent and statistically significant association with lower stunting prevalence across districts. This aligns with global literature indicating the essential role of micronutrients, especially </w:t>
      </w:r>
      <w:r w:rsidRPr="00C51119">
        <w:rPr>
          <w:rFonts w:ascii="Arial" w:hAnsi="Arial" w:cs="Arial"/>
        </w:rPr>
        <w:lastRenderedPageBreak/>
        <w:t>vitamin A, in child growth and immunity. The significant p-value (0.0010) obtained in the FEM confirms this relationship within the Batu Bara context, where targeted vitamin A delivery appears to be an effective tool in stunting prevention.</w:t>
      </w:r>
    </w:p>
    <w:p w14:paraId="71FB77F6" w14:textId="74AF70C6" w:rsidR="00C51119" w:rsidRPr="00C51119" w:rsidRDefault="00C51119" w:rsidP="00C51119">
      <w:pPr>
        <w:spacing w:after="120" w:line="240" w:lineRule="auto"/>
        <w:jc w:val="both"/>
        <w:rPr>
          <w:rFonts w:ascii="Arial" w:hAnsi="Arial" w:cs="Arial"/>
        </w:rPr>
      </w:pPr>
      <w:r w:rsidRPr="00C51119">
        <w:rPr>
          <w:rFonts w:ascii="Arial" w:hAnsi="Arial" w:cs="Arial"/>
        </w:rPr>
        <w:t xml:space="preserve">In contrast, supplementary feeding interventions demonstrated more variable outcomes. While the FEM indicated statistical significance (p = 0.0373), both the common and random effect models showed weaker associations. This discrepancy may be attributed to inconsistent program implementation, disparities in food quality, or lack of concurrent behavioral education. Furthermore, geographic disparities in stunting prevalence—especially in districts like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and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—highlight the need for refined delivery strategies and more robust local monitoring systems.</w:t>
      </w:r>
    </w:p>
    <w:p w14:paraId="4FB89D9D" w14:textId="538A1E0B" w:rsidR="00C51119" w:rsidRPr="00C51119" w:rsidRDefault="00C51119" w:rsidP="00C51119">
      <w:pPr>
        <w:spacing w:after="120" w:line="240" w:lineRule="auto"/>
        <w:jc w:val="both"/>
        <w:rPr>
          <w:rFonts w:ascii="Arial" w:hAnsi="Arial" w:cs="Arial"/>
        </w:rPr>
      </w:pPr>
      <w:r w:rsidRPr="00C51119">
        <w:rPr>
          <w:rFonts w:ascii="Arial" w:hAnsi="Arial" w:cs="Arial"/>
        </w:rPr>
        <w:t>Importantly, the geographic and administrative profile of Batu Bara plays a foundational role in shaping health outcomes. Rural and peri-urban regions, with limited infrastructure and lower health service access, exhibited both higher stunting rates and lower intervention coverage. This contextual insight justifies the use of the fixed effects model, which effectively accounts for such unobserved heterogeneity and emphasizes that "one-size-fits-all" strategies are insufficient in a diverse administrative landscape.</w:t>
      </w:r>
    </w:p>
    <w:p w14:paraId="64172CD4" w14:textId="083E27D0" w:rsidR="00C51119" w:rsidRPr="00C51119" w:rsidRDefault="00C51119" w:rsidP="00C51119">
      <w:pPr>
        <w:spacing w:after="120" w:line="240" w:lineRule="auto"/>
        <w:jc w:val="both"/>
        <w:rPr>
          <w:rFonts w:ascii="Arial" w:hAnsi="Arial" w:cs="Arial"/>
        </w:rPr>
      </w:pPr>
      <w:r w:rsidRPr="00C51119">
        <w:rPr>
          <w:rFonts w:ascii="Arial" w:hAnsi="Arial" w:cs="Arial"/>
        </w:rPr>
        <w:t>Finally, the study's panel regression analysis, validated by robust statistical tests such as the Chow and Hausman tests, affirms the superiority of the Fixed Effect Model in this setting. The use of district-level data over a three-year period offers strong empirical grounding for targeted policy decisions.</w:t>
      </w:r>
    </w:p>
    <w:p w14:paraId="4A5316C1" w14:textId="25109558" w:rsidR="00D77E67" w:rsidRDefault="00C51119" w:rsidP="002743CE">
      <w:pPr>
        <w:spacing w:after="120" w:line="240" w:lineRule="auto"/>
        <w:jc w:val="both"/>
        <w:rPr>
          <w:rFonts w:ascii="Arial" w:hAnsi="Arial" w:cs="Arial"/>
        </w:rPr>
      </w:pPr>
      <w:r w:rsidRPr="00C51119">
        <w:rPr>
          <w:rFonts w:ascii="Arial" w:hAnsi="Arial" w:cs="Arial"/>
        </w:rPr>
        <w:t>In summary, while Batu Bara Regency has made commendable progress in addressing child stunting, this discussion suggests that sustainable success depends on localized, evidence-driven strategies that integrate nutritional, infrastructural, and behavioral components.</w:t>
      </w:r>
    </w:p>
    <w:p w14:paraId="13711DFE" w14:textId="77777777" w:rsidR="002743CE" w:rsidRPr="0046681B" w:rsidRDefault="002743CE" w:rsidP="002743CE">
      <w:pPr>
        <w:spacing w:after="120" w:line="240" w:lineRule="auto"/>
        <w:jc w:val="both"/>
        <w:rPr>
          <w:rFonts w:ascii="Arial" w:hAnsi="Arial" w:cs="Arial"/>
        </w:rPr>
      </w:pPr>
    </w:p>
    <w:p w14:paraId="636FD44E" w14:textId="79633ADF" w:rsidR="008E65AB" w:rsidRPr="002743CE" w:rsidRDefault="0046681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44D73D1" w14:textId="16DADBDD" w:rsidR="002743CE" w:rsidRPr="002743CE" w:rsidRDefault="002743CE" w:rsidP="002743CE">
      <w:pPr>
        <w:spacing w:after="120" w:line="240" w:lineRule="auto"/>
        <w:jc w:val="both"/>
        <w:rPr>
          <w:rFonts w:ascii="Arial" w:hAnsi="Arial" w:cs="Arial"/>
        </w:rPr>
      </w:pPr>
      <w:r w:rsidRPr="002743CE">
        <w:rPr>
          <w:rFonts w:ascii="Arial" w:hAnsi="Arial" w:cs="Arial"/>
        </w:rPr>
        <w:t>This study analyzed the relationship between stunting prevalence and two primary health interventions—Vitamin A supplementation and the provision of supplementary food (PMT)—in Batu Bara Regency from 2021 to 2023. Using a panel regression approach, the Fixed Effect Model was identified as the best-fitting model based on Chow and Hausman test results, with an adjusted R² of 0.908. This indicates that over 90% of the variation in stunting across districts can be explained by these two interventions.</w:t>
      </w:r>
    </w:p>
    <w:p w14:paraId="24709953" w14:textId="65317524" w:rsidR="002743CE" w:rsidRPr="002743CE" w:rsidRDefault="002743CE" w:rsidP="002743CE">
      <w:pPr>
        <w:spacing w:after="120" w:line="240" w:lineRule="auto"/>
        <w:jc w:val="both"/>
        <w:rPr>
          <w:rFonts w:ascii="Arial" w:hAnsi="Arial" w:cs="Arial"/>
        </w:rPr>
      </w:pPr>
      <w:r w:rsidRPr="002743CE">
        <w:rPr>
          <w:rFonts w:ascii="Arial" w:hAnsi="Arial" w:cs="Arial"/>
        </w:rPr>
        <w:t xml:space="preserve">The analysis demonstrated that Vitamin A supplementation had a significant negative effect on stunting prevalence (p = 0.0010), underscoring its crucial role in child growth and immunity. Supplementary feeding also showed a significant effect (p = 0.0373), although the magnitude was more modest. District-level results further highlighted spatial disparities, with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showing the most significant improvements, while others such as Laut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were less responsive.</w:t>
      </w:r>
    </w:p>
    <w:p w14:paraId="6956FF3D" w14:textId="77777777" w:rsidR="002743CE" w:rsidRDefault="002743CE" w:rsidP="002743CE">
      <w:pPr>
        <w:spacing w:after="120" w:line="240" w:lineRule="auto"/>
        <w:jc w:val="both"/>
        <w:rPr>
          <w:rFonts w:ascii="Arial" w:hAnsi="Arial" w:cs="Arial"/>
        </w:rPr>
      </w:pPr>
      <w:r w:rsidRPr="002743CE">
        <w:rPr>
          <w:rFonts w:ascii="Arial" w:hAnsi="Arial" w:cs="Arial"/>
        </w:rPr>
        <w:t>Overall, this study affirms the critical impact of nutrition-based interventions on child health outcomes and supports the continued prioritization of these programs within regional development strategies.</w:t>
      </w:r>
    </w:p>
    <w:p w14:paraId="6A2673D7" w14:textId="3567C756" w:rsidR="008E65AB" w:rsidRPr="00101FB6" w:rsidRDefault="0046681B" w:rsidP="002743CE">
      <w:pPr>
        <w:spacing w:after="120" w:line="240" w:lineRule="auto"/>
        <w:jc w:val="both"/>
        <w:rPr>
          <w:rFonts w:ascii="Arial" w:hAnsi="Arial" w:cs="Arial"/>
          <w:b/>
          <w:bCs/>
        </w:rPr>
      </w:pPr>
      <w:r w:rsidRPr="00101FB6">
        <w:rPr>
          <w:rFonts w:ascii="Arial" w:hAnsi="Arial" w:cs="Arial"/>
          <w:b/>
          <w:bCs/>
        </w:rPr>
        <w:lastRenderedPageBreak/>
        <w:t>4.2 RECOMMENDATIONS</w:t>
      </w:r>
    </w:p>
    <w:p w14:paraId="282BC9D2" w14:textId="77777777" w:rsidR="002743CE" w:rsidRDefault="002743CE" w:rsidP="007E2B90">
      <w:pPr>
        <w:jc w:val="both"/>
        <w:rPr>
          <w:rFonts w:ascii="Arial" w:hAnsi="Arial" w:cs="Arial"/>
        </w:rPr>
      </w:pPr>
      <w:r w:rsidRPr="002743CE">
        <w:rPr>
          <w:rFonts w:ascii="Arial" w:hAnsi="Arial" w:cs="Arial"/>
        </w:rPr>
        <w:t xml:space="preserve">To enhance the effectiveness of stunting reduction programs in Batu Bara Regency, several strategic recommendations emerge from the study. First, there is a clear need to scale up the implementation of Vitamin A supplementation and supplementary feeding programs, particularly in districts that have demonstrated strong responsiveness such as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The success in these areas suggests that with adequate coverage and community engagement, significant reductions in stunting are achievable. In contrast, districts such as Laut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require targeted interventions that address localized barriers—these may include infrastructure gaps, limited health worker capacity, or low caregiver awareness. Integrating nutrition-specific interventions with broader maternal and child health services, including immunization and routine growth monitoring, can create synergies that improve overall program impact. Equally important is the role of community engagement; increasing public awareness about the benefits of nutritional supplementation and ensuring consistent participation are essential for long-term success. Lastly, the establishment of a robust, real-time monitoring and evaluation system is crucial to inform evidence-based decision-making, allowing policymakers to adapt strategies dynamically and ensure that resources are allocated effectively and equitably across all districts.</w:t>
      </w:r>
    </w:p>
    <w:p w14:paraId="0809AEC6" w14:textId="77777777" w:rsidR="006E48C7" w:rsidRDefault="006E48C7" w:rsidP="007E2B90">
      <w:pPr>
        <w:jc w:val="both"/>
        <w:rPr>
          <w:rFonts w:ascii="Arial" w:hAnsi="Arial" w:cs="Arial"/>
        </w:rPr>
      </w:pPr>
    </w:p>
    <w:p w14:paraId="62548E88" w14:textId="77777777" w:rsidR="006E48C7" w:rsidRPr="006E48C7" w:rsidRDefault="006E48C7" w:rsidP="006E48C7">
      <w:pPr>
        <w:jc w:val="both"/>
        <w:rPr>
          <w:rFonts w:ascii="Arial" w:hAnsi="Arial" w:cs="Arial"/>
        </w:rPr>
      </w:pPr>
      <w:r w:rsidRPr="006E48C7">
        <w:rPr>
          <w:rFonts w:ascii="Arial" w:hAnsi="Arial" w:cs="Arial"/>
        </w:rPr>
        <w:t>COMPETING INTERESTS DISCLAIMER:</w:t>
      </w:r>
    </w:p>
    <w:p w14:paraId="0C3CF65A" w14:textId="60ECE972" w:rsidR="006E48C7" w:rsidRPr="002743CE" w:rsidRDefault="006E48C7" w:rsidP="006E48C7">
      <w:pPr>
        <w:jc w:val="both"/>
        <w:rPr>
          <w:rFonts w:ascii="Arial" w:hAnsi="Arial" w:cs="Arial"/>
        </w:rPr>
      </w:pPr>
      <w:r w:rsidRPr="006E48C7">
        <w:rPr>
          <w:rFonts w:ascii="Arial" w:hAnsi="Arial" w:cs="Arial"/>
        </w:rPr>
        <w:t>Authors have declared that they have no known competing financial interests OR non-financial interests OR personal relationships that could have appeared to influence the work reported in this paper.</w:t>
      </w:r>
    </w:p>
    <w:p w14:paraId="2565420C" w14:textId="77777777" w:rsidR="005059FC" w:rsidRPr="00101FB6" w:rsidRDefault="005059FC"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6636857C" w14:textId="66883340"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Deshpande, A., &amp; Ramachandran, R. (2022). Early childhood stunting and later life outcomes: A longitudinal analysis. Economics &amp; Human Biology, 44, 101099. </w:t>
      </w:r>
      <w:hyperlink r:id="rId9" w:history="1">
        <w:r w:rsidRPr="00140516">
          <w:rPr>
            <w:rStyle w:val="Hyperlink"/>
            <w:rFonts w:ascii="Arial" w:hAnsi="Arial" w:cs="Arial"/>
          </w:rPr>
          <w:t>https://doi.org/10.1016/j.ehb.2021.101099</w:t>
        </w:r>
      </w:hyperlink>
    </w:p>
    <w:p w14:paraId="53FA89C5" w14:textId="77777777" w:rsidR="009250A3" w:rsidRDefault="00B401DA" w:rsidP="00B401DA">
      <w:pPr>
        <w:spacing w:after="120" w:line="240" w:lineRule="auto"/>
        <w:ind w:left="567" w:hanging="567"/>
        <w:jc w:val="both"/>
        <w:rPr>
          <w:rFonts w:ascii="Arial" w:hAnsi="Arial" w:cs="Arial"/>
        </w:rPr>
      </w:pPr>
      <w:proofErr w:type="spellStart"/>
      <w:r w:rsidRPr="00B401DA">
        <w:rPr>
          <w:rFonts w:ascii="Arial" w:hAnsi="Arial" w:cs="Arial"/>
        </w:rPr>
        <w:t>Ekholuenetale</w:t>
      </w:r>
      <w:proofErr w:type="spellEnd"/>
      <w:r w:rsidRPr="00B401DA">
        <w:rPr>
          <w:rFonts w:ascii="Arial" w:hAnsi="Arial" w:cs="Arial"/>
        </w:rPr>
        <w:t xml:space="preserve">, M., Barrow, A., </w:t>
      </w:r>
      <w:proofErr w:type="spellStart"/>
      <w:r w:rsidRPr="00B401DA">
        <w:rPr>
          <w:rFonts w:ascii="Arial" w:hAnsi="Arial" w:cs="Arial"/>
        </w:rPr>
        <w:t>Ekholuenetale</w:t>
      </w:r>
      <w:proofErr w:type="spellEnd"/>
      <w:r w:rsidRPr="00B401DA">
        <w:rPr>
          <w:rFonts w:ascii="Arial" w:hAnsi="Arial" w:cs="Arial"/>
        </w:rPr>
        <w:t xml:space="preserve">, C.E. et al. Impact of stunting on early childhood cognitive development in Benin: evidence from Demographic and Health Survey. Egypt Pediatric Association Gaz 68, 31 (2020). </w:t>
      </w:r>
      <w:hyperlink r:id="rId10" w:history="1">
        <w:r w:rsidRPr="00140516">
          <w:rPr>
            <w:rStyle w:val="Hyperlink"/>
            <w:rFonts w:ascii="Arial" w:hAnsi="Arial" w:cs="Arial"/>
          </w:rPr>
          <w:t>https://doi.org/10.1186/s43054-020-00043-x</w:t>
        </w:r>
      </w:hyperlink>
    </w:p>
    <w:p w14:paraId="5FD0CB4E" w14:textId="66DB22F8"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Reeve, B., Thow, A. M., Baker, P., </w:t>
      </w:r>
      <w:proofErr w:type="spellStart"/>
      <w:r w:rsidRPr="00B401DA">
        <w:rPr>
          <w:rFonts w:ascii="Arial" w:hAnsi="Arial" w:cs="Arial"/>
        </w:rPr>
        <w:t>Hresc</w:t>
      </w:r>
      <w:proofErr w:type="spellEnd"/>
      <w:r w:rsidRPr="00B401DA">
        <w:rPr>
          <w:rFonts w:ascii="Arial" w:hAnsi="Arial" w:cs="Arial"/>
        </w:rPr>
        <w:t xml:space="preserve">, J., &amp; May, S. (2020). The role of Australian local governments in creating a healthy food environment: An analysis of policy documents from six Sydney local governments. Australian and New Zealand Journal of Public Health, 44(2), 137–144. </w:t>
      </w:r>
      <w:hyperlink r:id="rId11" w:history="1">
        <w:r w:rsidRPr="00140516">
          <w:rPr>
            <w:rStyle w:val="Hyperlink"/>
            <w:rFonts w:ascii="Arial" w:hAnsi="Arial" w:cs="Arial"/>
          </w:rPr>
          <w:t>https://doi.org/10.1111/1753-6405.12968</w:t>
        </w:r>
      </w:hyperlink>
    </w:p>
    <w:p w14:paraId="7FD96F16" w14:textId="569939F5"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Wati, E. K., </w:t>
      </w:r>
      <w:proofErr w:type="spellStart"/>
      <w:r w:rsidRPr="00B401DA">
        <w:rPr>
          <w:rFonts w:ascii="Arial" w:hAnsi="Arial" w:cs="Arial"/>
        </w:rPr>
        <w:t>Murwani</w:t>
      </w:r>
      <w:proofErr w:type="spellEnd"/>
      <w:r w:rsidRPr="00B401DA">
        <w:rPr>
          <w:rFonts w:ascii="Arial" w:hAnsi="Arial" w:cs="Arial"/>
        </w:rPr>
        <w:t xml:space="preserve">, R., </w:t>
      </w:r>
      <w:proofErr w:type="spellStart"/>
      <w:r w:rsidRPr="00B401DA">
        <w:rPr>
          <w:rFonts w:ascii="Arial" w:hAnsi="Arial" w:cs="Arial"/>
        </w:rPr>
        <w:t>Kartasurya</w:t>
      </w:r>
      <w:proofErr w:type="spellEnd"/>
      <w:r w:rsidRPr="00B401DA">
        <w:rPr>
          <w:rFonts w:ascii="Arial" w:hAnsi="Arial" w:cs="Arial"/>
        </w:rPr>
        <w:t xml:space="preserve">, M. I., &amp; Sulistiyani, S. (2024). Determinants of chronic energy deficiency (CED) incidence in pregnant women: A cross-sectional study in </w:t>
      </w:r>
      <w:proofErr w:type="spellStart"/>
      <w:r w:rsidRPr="00B401DA">
        <w:rPr>
          <w:rFonts w:ascii="Arial" w:hAnsi="Arial" w:cs="Arial"/>
        </w:rPr>
        <w:t>Banyumas</w:t>
      </w:r>
      <w:proofErr w:type="spellEnd"/>
      <w:r w:rsidRPr="00B401DA">
        <w:rPr>
          <w:rFonts w:ascii="Arial" w:hAnsi="Arial" w:cs="Arial"/>
        </w:rPr>
        <w:t xml:space="preserve">, Indonesia. Narra Journal, 4(1), e742. </w:t>
      </w:r>
      <w:hyperlink r:id="rId12" w:history="1">
        <w:r w:rsidRPr="00140516">
          <w:rPr>
            <w:rStyle w:val="Hyperlink"/>
            <w:rFonts w:ascii="Arial" w:hAnsi="Arial" w:cs="Arial"/>
          </w:rPr>
          <w:t>https://doi.org/10.52225/narra.v4i1.742</w:t>
        </w:r>
      </w:hyperlink>
    </w:p>
    <w:p w14:paraId="1F79B96F" w14:textId="77777777" w:rsidR="00E87A0B" w:rsidRDefault="00E87A0B" w:rsidP="00B401DA">
      <w:pPr>
        <w:spacing w:after="120" w:line="240" w:lineRule="auto"/>
        <w:ind w:left="567" w:hanging="567"/>
        <w:jc w:val="both"/>
        <w:rPr>
          <w:rFonts w:ascii="Arial" w:hAnsi="Arial" w:cs="Arial"/>
        </w:rPr>
      </w:pPr>
    </w:p>
    <w:p w14:paraId="6E4781B9" w14:textId="77777777" w:rsidR="00E87A0B" w:rsidRDefault="00E87A0B" w:rsidP="00B401DA">
      <w:pPr>
        <w:spacing w:after="120" w:line="240" w:lineRule="auto"/>
        <w:ind w:left="567" w:hanging="567"/>
        <w:jc w:val="both"/>
        <w:rPr>
          <w:rFonts w:ascii="Arial" w:hAnsi="Arial" w:cs="Arial"/>
        </w:rPr>
      </w:pPr>
    </w:p>
    <w:p w14:paraId="4F5155E1" w14:textId="3DF56DDE" w:rsidR="00B401DA" w:rsidRDefault="00B401DA" w:rsidP="00B401DA">
      <w:pPr>
        <w:spacing w:after="120" w:line="240" w:lineRule="auto"/>
        <w:ind w:left="567" w:hanging="567"/>
        <w:jc w:val="both"/>
        <w:rPr>
          <w:rFonts w:ascii="Arial" w:hAnsi="Arial" w:cs="Arial"/>
        </w:rPr>
      </w:pPr>
      <w:proofErr w:type="spellStart"/>
      <w:r w:rsidRPr="00B401DA">
        <w:rPr>
          <w:rFonts w:ascii="Arial" w:hAnsi="Arial" w:cs="Arial"/>
        </w:rPr>
        <w:t>Rachmi</w:t>
      </w:r>
      <w:proofErr w:type="spellEnd"/>
      <w:r w:rsidRPr="00B401DA">
        <w:rPr>
          <w:rFonts w:ascii="Arial" w:hAnsi="Arial" w:cs="Arial"/>
        </w:rPr>
        <w:t xml:space="preserve">, R., Marjan, A. Q., Sufyan, D. L., &amp; Wahyuningsih, U. (2024). Factors affecting chronic energy deficiency among pregnant women in East Nusa Tenggara Province, Indonesia. </w:t>
      </w:r>
      <w:proofErr w:type="spellStart"/>
      <w:r w:rsidRPr="00B401DA">
        <w:rPr>
          <w:rFonts w:ascii="Arial" w:hAnsi="Arial" w:cs="Arial"/>
        </w:rPr>
        <w:t>Jurnal</w:t>
      </w:r>
      <w:proofErr w:type="spellEnd"/>
      <w:r w:rsidRPr="00B401DA">
        <w:rPr>
          <w:rFonts w:ascii="Arial" w:hAnsi="Arial" w:cs="Arial"/>
        </w:rPr>
        <w:t xml:space="preserve"> </w:t>
      </w:r>
      <w:proofErr w:type="spellStart"/>
      <w:r w:rsidRPr="00B401DA">
        <w:rPr>
          <w:rFonts w:ascii="Arial" w:hAnsi="Arial" w:cs="Arial"/>
        </w:rPr>
        <w:t>Gizi</w:t>
      </w:r>
      <w:proofErr w:type="spellEnd"/>
      <w:r w:rsidRPr="00B401DA">
        <w:rPr>
          <w:rFonts w:ascii="Arial" w:hAnsi="Arial" w:cs="Arial"/>
        </w:rPr>
        <w:t xml:space="preserve"> dan </w:t>
      </w:r>
      <w:proofErr w:type="spellStart"/>
      <w:r w:rsidRPr="00B401DA">
        <w:rPr>
          <w:rFonts w:ascii="Arial" w:hAnsi="Arial" w:cs="Arial"/>
        </w:rPr>
        <w:t>Pangan</w:t>
      </w:r>
      <w:proofErr w:type="spellEnd"/>
      <w:r w:rsidRPr="00B401DA">
        <w:rPr>
          <w:rFonts w:ascii="Arial" w:hAnsi="Arial" w:cs="Arial"/>
        </w:rPr>
        <w:t xml:space="preserve">, 19(Supp.1), 95–104. </w:t>
      </w:r>
      <w:hyperlink r:id="rId13" w:history="1">
        <w:r w:rsidR="00E87A0B" w:rsidRPr="00140516">
          <w:rPr>
            <w:rStyle w:val="Hyperlink"/>
            <w:rFonts w:ascii="Arial" w:hAnsi="Arial" w:cs="Arial"/>
          </w:rPr>
          <w:t>https://doi.org/10.25182/jgp.2024.19.Supp.1.95-104</w:t>
        </w:r>
      </w:hyperlink>
    </w:p>
    <w:p w14:paraId="0A0F0FF6" w14:textId="21136D86" w:rsidR="00E87A0B" w:rsidRDefault="00E87A0B" w:rsidP="00E87A0B">
      <w:pPr>
        <w:spacing w:after="120" w:line="240" w:lineRule="auto"/>
        <w:ind w:left="567" w:hanging="567"/>
        <w:jc w:val="both"/>
        <w:rPr>
          <w:rFonts w:ascii="Arial" w:hAnsi="Arial" w:cs="Arial"/>
        </w:rPr>
      </w:pPr>
      <w:r w:rsidRPr="00E87A0B">
        <w:rPr>
          <w:rFonts w:ascii="Arial" w:hAnsi="Arial" w:cs="Arial"/>
        </w:rPr>
        <w:t xml:space="preserve">World Health Organization. (2011). Guideline: Vitamin A supplementation in infants and children 6–59 months of age. World Health Organization. </w:t>
      </w:r>
    </w:p>
    <w:p w14:paraId="4DF7D356" w14:textId="0125823C" w:rsidR="00E87A0B" w:rsidRDefault="00E87A0B" w:rsidP="00E87A0B">
      <w:pPr>
        <w:spacing w:after="120" w:line="240" w:lineRule="auto"/>
        <w:ind w:left="567" w:hanging="567"/>
        <w:jc w:val="both"/>
        <w:rPr>
          <w:rFonts w:ascii="Arial" w:hAnsi="Arial" w:cs="Arial"/>
        </w:rPr>
      </w:pPr>
      <w:r w:rsidRPr="00E87A0B">
        <w:rPr>
          <w:rFonts w:ascii="Arial" w:hAnsi="Arial" w:cs="Arial"/>
        </w:rPr>
        <w:t>UNICEF Indonesia. (2022). Formative evaluation of the National Strategy to Accelerate Stunting Prevention. United Nations Children’s Fund (UNICEF).</w:t>
      </w:r>
    </w:p>
    <w:p w14:paraId="1701DF49" w14:textId="64727AC1" w:rsidR="00225305" w:rsidRDefault="00225305" w:rsidP="00E87A0B">
      <w:pPr>
        <w:spacing w:after="120" w:line="240" w:lineRule="auto"/>
        <w:ind w:left="567" w:hanging="567"/>
        <w:jc w:val="both"/>
        <w:rPr>
          <w:rFonts w:ascii="Arial" w:hAnsi="Arial" w:cs="Arial"/>
        </w:rPr>
      </w:pPr>
      <w:r w:rsidRPr="00225305">
        <w:rPr>
          <w:rFonts w:ascii="Arial" w:hAnsi="Arial" w:cs="Arial"/>
        </w:rPr>
        <w:t xml:space="preserve">Wirth, J. P., Petry, N., </w:t>
      </w:r>
      <w:proofErr w:type="spellStart"/>
      <w:r w:rsidRPr="00225305">
        <w:rPr>
          <w:rFonts w:ascii="Arial" w:hAnsi="Arial" w:cs="Arial"/>
        </w:rPr>
        <w:t>Tanumihardjo</w:t>
      </w:r>
      <w:proofErr w:type="spellEnd"/>
      <w:r w:rsidRPr="00225305">
        <w:rPr>
          <w:rFonts w:ascii="Arial" w:hAnsi="Arial" w:cs="Arial"/>
        </w:rPr>
        <w:t xml:space="preserve">, S. A., Rogers, L. M., McLean, E., Greig, A., Garrett, G. S., Klemm, R. D. W., &amp; Rohner, F. (2017). Vitamin A Supplementation Programs and Country-Level Evidence of Vitamin A Deficiency. Nutrients, 9(3), 190. </w:t>
      </w:r>
      <w:hyperlink r:id="rId14" w:history="1">
        <w:r w:rsidRPr="00140516">
          <w:rPr>
            <w:rStyle w:val="Hyperlink"/>
            <w:rFonts w:ascii="Arial" w:hAnsi="Arial" w:cs="Arial"/>
          </w:rPr>
          <w:t>https://doi.org/10.3390/nu9030190</w:t>
        </w:r>
      </w:hyperlink>
    </w:p>
    <w:p w14:paraId="16DC242B" w14:textId="14D1C94B" w:rsidR="00225305" w:rsidRDefault="00225305" w:rsidP="00E87A0B">
      <w:pPr>
        <w:spacing w:after="120" w:line="240" w:lineRule="auto"/>
        <w:ind w:left="567" w:hanging="567"/>
        <w:jc w:val="both"/>
        <w:rPr>
          <w:rFonts w:ascii="Arial" w:hAnsi="Arial" w:cs="Arial"/>
        </w:rPr>
      </w:pPr>
      <w:r w:rsidRPr="00225305">
        <w:rPr>
          <w:rFonts w:ascii="Arial" w:hAnsi="Arial" w:cs="Arial"/>
        </w:rPr>
        <w:t>Save the Children Indonesia &amp; Nutrition International. (2024). A policy paper on integrated nutrition strategies for stunting reduction: BISA</w:t>
      </w:r>
    </w:p>
    <w:p w14:paraId="4F240934" w14:textId="6C241EC1" w:rsidR="00225305" w:rsidRDefault="00225305" w:rsidP="00E87A0B">
      <w:pPr>
        <w:spacing w:after="120" w:line="240" w:lineRule="auto"/>
        <w:ind w:left="567" w:hanging="567"/>
        <w:jc w:val="both"/>
        <w:rPr>
          <w:rFonts w:ascii="Arial" w:hAnsi="Arial" w:cs="Arial"/>
        </w:rPr>
      </w:pPr>
      <w:r w:rsidRPr="00225305">
        <w:rPr>
          <w:rFonts w:ascii="Arial" w:hAnsi="Arial" w:cs="Arial"/>
        </w:rPr>
        <w:t>UNICEF Indonesia. (2022). Delivering essential nutrition services through community action in Indonesia. United Nations Children’s Fund (UNICEF).</w:t>
      </w:r>
    </w:p>
    <w:p w14:paraId="197DAE25" w14:textId="614AA73A" w:rsidR="00225305" w:rsidRDefault="00225305" w:rsidP="00225305">
      <w:pPr>
        <w:spacing w:after="120" w:line="240" w:lineRule="auto"/>
        <w:ind w:left="567" w:hanging="567"/>
        <w:jc w:val="both"/>
        <w:rPr>
          <w:rFonts w:ascii="Arial" w:hAnsi="Arial" w:cs="Arial"/>
        </w:rPr>
      </w:pPr>
      <w:r w:rsidRPr="00225305">
        <w:rPr>
          <w:rFonts w:ascii="Arial" w:hAnsi="Arial" w:cs="Arial"/>
        </w:rPr>
        <w:t xml:space="preserve">Rah, J. H., Sukotjo, S., Badgaiyan, N., Cronin, A. A., &amp; </w:t>
      </w:r>
      <w:proofErr w:type="spellStart"/>
      <w:r w:rsidRPr="00225305">
        <w:rPr>
          <w:rFonts w:ascii="Arial" w:hAnsi="Arial" w:cs="Arial"/>
        </w:rPr>
        <w:t>Torlesse</w:t>
      </w:r>
      <w:proofErr w:type="spellEnd"/>
      <w:r w:rsidRPr="00225305">
        <w:rPr>
          <w:rFonts w:ascii="Arial" w:hAnsi="Arial" w:cs="Arial"/>
        </w:rPr>
        <w:t xml:space="preserve">, H. (2020). Improved sanitation is associated with reduced child stunting amongst Indonesian children under 3 years of age. Maternal &amp; Child Nutrition, 16(Suppl 2), e12741. </w:t>
      </w:r>
      <w:hyperlink r:id="rId15" w:history="1">
        <w:r w:rsidRPr="00140516">
          <w:rPr>
            <w:rStyle w:val="Hyperlink"/>
            <w:rFonts w:ascii="Arial" w:hAnsi="Arial" w:cs="Arial"/>
          </w:rPr>
          <w:t>https://doi.org/10.1111/mcn.12741</w:t>
        </w:r>
      </w:hyperlink>
    </w:p>
    <w:p w14:paraId="1B070658" w14:textId="451AD302" w:rsidR="008E65AB" w:rsidRPr="00101FB6" w:rsidRDefault="00225305" w:rsidP="00C15983">
      <w:pPr>
        <w:spacing w:after="120" w:line="240" w:lineRule="auto"/>
        <w:ind w:left="567" w:hanging="567"/>
        <w:jc w:val="both"/>
        <w:rPr>
          <w:rFonts w:ascii="Arial" w:hAnsi="Arial" w:cs="Arial"/>
        </w:rPr>
      </w:pPr>
      <w:proofErr w:type="spellStart"/>
      <w:r w:rsidRPr="00225305">
        <w:rPr>
          <w:rFonts w:ascii="Arial" w:hAnsi="Arial" w:cs="Arial"/>
        </w:rPr>
        <w:t>Torlesse</w:t>
      </w:r>
      <w:proofErr w:type="spellEnd"/>
      <w:r w:rsidRPr="00225305">
        <w:rPr>
          <w:rFonts w:ascii="Arial" w:hAnsi="Arial" w:cs="Arial"/>
        </w:rPr>
        <w:t xml:space="preserve">, H., Benedict, R. K., Craig, H. C., &amp; Stoltzfus, R. J. (2021). The quality of maternal nutrition and infant feeding counselling during antenatal care in South Asia. Maternal &amp; Child Nutrition, 17(3), e13153. </w:t>
      </w:r>
      <w:hyperlink r:id="rId16" w:history="1">
        <w:r w:rsidRPr="00140516">
          <w:rPr>
            <w:rStyle w:val="Hyperlink"/>
            <w:rFonts w:ascii="Arial" w:hAnsi="Arial" w:cs="Arial"/>
          </w:rPr>
          <w:t>https://doi.org/10.1111/mcn.13153</w:t>
        </w:r>
      </w:hyperlink>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60791" w14:textId="77777777" w:rsidR="004728BC" w:rsidRDefault="004728BC" w:rsidP="00DA5567">
      <w:pPr>
        <w:spacing w:after="0" w:line="240" w:lineRule="auto"/>
      </w:pPr>
      <w:r>
        <w:separator/>
      </w:r>
    </w:p>
  </w:endnote>
  <w:endnote w:type="continuationSeparator" w:id="0">
    <w:p w14:paraId="6D03930D" w14:textId="77777777" w:rsidR="004728BC" w:rsidRDefault="004728BC" w:rsidP="00DA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7CC3" w14:textId="77777777" w:rsidR="00DA5567" w:rsidRDefault="00DA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265B" w14:textId="77777777" w:rsidR="00DA5567" w:rsidRDefault="00DA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6DEE" w14:textId="77777777" w:rsidR="00DA5567" w:rsidRDefault="00DA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4C67" w14:textId="77777777" w:rsidR="004728BC" w:rsidRDefault="004728BC" w:rsidP="00DA5567">
      <w:pPr>
        <w:spacing w:after="0" w:line="240" w:lineRule="auto"/>
      </w:pPr>
      <w:r>
        <w:separator/>
      </w:r>
    </w:p>
  </w:footnote>
  <w:footnote w:type="continuationSeparator" w:id="0">
    <w:p w14:paraId="14C226F7" w14:textId="77777777" w:rsidR="004728BC" w:rsidRDefault="004728BC" w:rsidP="00DA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849A" w14:textId="4A6BF2C5" w:rsidR="00DA5567" w:rsidRDefault="00DA5567">
    <w:pPr>
      <w:pStyle w:val="Header"/>
    </w:pPr>
    <w:r>
      <w:rPr>
        <w:noProof/>
      </w:rPr>
      <w:pict w14:anchorId="7A63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B921" w14:textId="01D36C29" w:rsidR="00DA5567" w:rsidRDefault="00DA5567">
    <w:pPr>
      <w:pStyle w:val="Header"/>
    </w:pPr>
    <w:r>
      <w:rPr>
        <w:noProof/>
      </w:rPr>
      <w:pict w14:anchorId="16422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F49A" w14:textId="1AA5EE7F" w:rsidR="00DA5567" w:rsidRDefault="00DA5567">
    <w:pPr>
      <w:pStyle w:val="Header"/>
    </w:pPr>
    <w:r>
      <w:rPr>
        <w:noProof/>
      </w:rPr>
      <w:pict w14:anchorId="38C93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743E2"/>
    <w:multiLevelType w:val="hybridMultilevel"/>
    <w:tmpl w:val="8BA84E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22E01"/>
    <w:multiLevelType w:val="hybridMultilevel"/>
    <w:tmpl w:val="0AF0E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7"/>
  </w:num>
  <w:num w:numId="5">
    <w:abstractNumId w:val="10"/>
  </w:num>
  <w:num w:numId="6">
    <w:abstractNumId w:val="1"/>
  </w:num>
  <w:num w:numId="7">
    <w:abstractNumId w:val="0"/>
  </w:num>
  <w:num w:numId="8">
    <w:abstractNumId w:val="8"/>
  </w:num>
  <w:num w:numId="9">
    <w:abstractNumId w:val="4"/>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wMjA1tjS3NDA1NTJT0lEKTi0uzszPAykwrAUARKYWDSwAAAA="/>
  </w:docVars>
  <w:rsids>
    <w:rsidRoot w:val="008E65AB"/>
    <w:rsid w:val="00075AE4"/>
    <w:rsid w:val="000C4ECC"/>
    <w:rsid w:val="00101FB6"/>
    <w:rsid w:val="0019344F"/>
    <w:rsid w:val="001A6E7A"/>
    <w:rsid w:val="001D454D"/>
    <w:rsid w:val="00225305"/>
    <w:rsid w:val="002516FE"/>
    <w:rsid w:val="002743CE"/>
    <w:rsid w:val="0027480A"/>
    <w:rsid w:val="002A4F24"/>
    <w:rsid w:val="00310CF6"/>
    <w:rsid w:val="00371938"/>
    <w:rsid w:val="003B6D1C"/>
    <w:rsid w:val="0043375F"/>
    <w:rsid w:val="0046681B"/>
    <w:rsid w:val="004717F6"/>
    <w:rsid w:val="004728BC"/>
    <w:rsid w:val="005059FC"/>
    <w:rsid w:val="00646514"/>
    <w:rsid w:val="006B609C"/>
    <w:rsid w:val="006E48C7"/>
    <w:rsid w:val="007E2B90"/>
    <w:rsid w:val="008E65AB"/>
    <w:rsid w:val="009250A3"/>
    <w:rsid w:val="009A486E"/>
    <w:rsid w:val="009B69D8"/>
    <w:rsid w:val="00A27659"/>
    <w:rsid w:val="00A910BA"/>
    <w:rsid w:val="00A91303"/>
    <w:rsid w:val="00A95AAD"/>
    <w:rsid w:val="00B04A6B"/>
    <w:rsid w:val="00B32B65"/>
    <w:rsid w:val="00B401DA"/>
    <w:rsid w:val="00B950A4"/>
    <w:rsid w:val="00C15983"/>
    <w:rsid w:val="00C166FE"/>
    <w:rsid w:val="00C51119"/>
    <w:rsid w:val="00D66962"/>
    <w:rsid w:val="00D73792"/>
    <w:rsid w:val="00D77E67"/>
    <w:rsid w:val="00DA027F"/>
    <w:rsid w:val="00DA5567"/>
    <w:rsid w:val="00E21608"/>
    <w:rsid w:val="00E64368"/>
    <w:rsid w:val="00E87A0B"/>
    <w:rsid w:val="00E93FCD"/>
    <w:rsid w:val="00E96C84"/>
    <w:rsid w:val="00F16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E230AE"/>
  <w15:chartTrackingRefBased/>
  <w15:docId w15:val="{171A1762-8994-4A2D-AE5F-C2FF976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styleId="TableGridLight">
    <w:name w:val="Grid Table Light"/>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styleId="UnresolvedMention">
    <w:name w:val="Unresolved Mention"/>
    <w:basedOn w:val="DefaultParagraphFont"/>
    <w:uiPriority w:val="99"/>
    <w:semiHidden/>
    <w:unhideWhenUsed/>
    <w:rsid w:val="002A4F24"/>
    <w:rPr>
      <w:color w:val="605E5C"/>
      <w:shd w:val="clear" w:color="auto" w:fill="E1DFDD"/>
    </w:rPr>
  </w:style>
  <w:style w:type="character" w:styleId="Emphasis">
    <w:name w:val="Emphasis"/>
    <w:basedOn w:val="DefaultParagraphFont"/>
    <w:uiPriority w:val="20"/>
    <w:qFormat/>
    <w:rsid w:val="00D66962"/>
    <w:rPr>
      <w:i/>
      <w:iCs/>
    </w:rPr>
  </w:style>
  <w:style w:type="paragraph" w:styleId="Header">
    <w:name w:val="header"/>
    <w:basedOn w:val="Normal"/>
    <w:link w:val="HeaderChar"/>
    <w:uiPriority w:val="99"/>
    <w:unhideWhenUsed/>
    <w:rsid w:val="00D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67"/>
  </w:style>
  <w:style w:type="paragraph" w:styleId="Footer">
    <w:name w:val="footer"/>
    <w:basedOn w:val="Normal"/>
    <w:link w:val="FooterChar"/>
    <w:uiPriority w:val="99"/>
    <w:unhideWhenUsed/>
    <w:rsid w:val="00DA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238251269">
      <w:bodyDiv w:val="1"/>
      <w:marLeft w:val="0"/>
      <w:marRight w:val="0"/>
      <w:marTop w:val="0"/>
      <w:marBottom w:val="0"/>
      <w:divBdr>
        <w:top w:val="none" w:sz="0" w:space="0" w:color="auto"/>
        <w:left w:val="none" w:sz="0" w:space="0" w:color="auto"/>
        <w:bottom w:val="none" w:sz="0" w:space="0" w:color="auto"/>
        <w:right w:val="none" w:sz="0" w:space="0" w:color="auto"/>
      </w:divBdr>
    </w:div>
    <w:div w:id="263001679">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296">
      <w:bodyDiv w:val="1"/>
      <w:marLeft w:val="0"/>
      <w:marRight w:val="0"/>
      <w:marTop w:val="0"/>
      <w:marBottom w:val="0"/>
      <w:divBdr>
        <w:top w:val="none" w:sz="0" w:space="0" w:color="auto"/>
        <w:left w:val="none" w:sz="0" w:space="0" w:color="auto"/>
        <w:bottom w:val="none" w:sz="0" w:space="0" w:color="auto"/>
        <w:right w:val="none" w:sz="0" w:space="0" w:color="auto"/>
      </w:divBdr>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778644754">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886335554">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290017912">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0340">
      <w:bodyDiv w:val="1"/>
      <w:marLeft w:val="0"/>
      <w:marRight w:val="0"/>
      <w:marTop w:val="0"/>
      <w:marBottom w:val="0"/>
      <w:divBdr>
        <w:top w:val="none" w:sz="0" w:space="0" w:color="auto"/>
        <w:left w:val="none" w:sz="0" w:space="0" w:color="auto"/>
        <w:bottom w:val="none" w:sz="0" w:space="0" w:color="auto"/>
        <w:right w:val="none" w:sz="0" w:space="0" w:color="auto"/>
      </w:divBdr>
    </w:div>
    <w:div w:id="1589777987">
      <w:bodyDiv w:val="1"/>
      <w:marLeft w:val="0"/>
      <w:marRight w:val="0"/>
      <w:marTop w:val="0"/>
      <w:marBottom w:val="0"/>
      <w:divBdr>
        <w:top w:val="none" w:sz="0" w:space="0" w:color="auto"/>
        <w:left w:val="none" w:sz="0" w:space="0" w:color="auto"/>
        <w:bottom w:val="none" w:sz="0" w:space="0" w:color="auto"/>
        <w:right w:val="none" w:sz="0" w:space="0" w:color="auto"/>
      </w:divBdr>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8690">
      <w:bodyDiv w:val="1"/>
      <w:marLeft w:val="0"/>
      <w:marRight w:val="0"/>
      <w:marTop w:val="0"/>
      <w:marBottom w:val="0"/>
      <w:divBdr>
        <w:top w:val="none" w:sz="0" w:space="0" w:color="auto"/>
        <w:left w:val="none" w:sz="0" w:space="0" w:color="auto"/>
        <w:bottom w:val="none" w:sz="0" w:space="0" w:color="auto"/>
        <w:right w:val="none" w:sz="0" w:space="0" w:color="auto"/>
      </w:divBdr>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25182/jgp.2024.19.Supp.1.95-10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doi.org/10.52225/narra.v4i1.74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mcn.131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1753-6405.1296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mcn.12741" TargetMode="External"/><Relationship Id="rId23" Type="http://schemas.openxmlformats.org/officeDocument/2006/relationships/fontTable" Target="fontTable.xml"/><Relationship Id="rId10" Type="http://schemas.openxmlformats.org/officeDocument/2006/relationships/hyperlink" Target="https://doi.org/10.1186/s43054-020-00043-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ehb.2021.101099" TargetMode="External"/><Relationship Id="rId14" Type="http://schemas.openxmlformats.org/officeDocument/2006/relationships/hyperlink" Target="https://doi.org/10.3390/nu903019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1180</cp:lastModifiedBy>
  <cp:revision>20</cp:revision>
  <dcterms:created xsi:type="dcterms:W3CDTF">2025-07-03T09:49:00Z</dcterms:created>
  <dcterms:modified xsi:type="dcterms:W3CDTF">2025-07-04T13:39:00Z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ad1afdaa-16f6-4f62-9d78-9ce0727a0517</vt:lpwstr>
  </property>
</Properties>
</file>