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D1A60" w14:textId="77777777" w:rsidR="004E6B58" w:rsidRPr="00934FE7" w:rsidRDefault="00AA4368" w:rsidP="00E357AE">
      <w:pPr>
        <w:jc w:val="right"/>
        <w:rPr>
          <w:rFonts w:ascii="Arial" w:hAnsi="Arial" w:cs="Arial"/>
          <w:b/>
          <w:bCs/>
          <w:sz w:val="36"/>
          <w:szCs w:val="36"/>
        </w:rPr>
      </w:pPr>
      <w:r w:rsidRPr="00934FE7">
        <w:rPr>
          <w:rFonts w:ascii="Arial" w:hAnsi="Arial" w:cs="Arial"/>
          <w:b/>
          <w:bCs/>
          <w:sz w:val="36"/>
          <w:szCs w:val="36"/>
        </w:rPr>
        <w:t>Analysis of Shallot Price Volatility at Producer Level in West Nusa Tenggara Province</w:t>
      </w:r>
    </w:p>
    <w:p w14:paraId="6509B18F" w14:textId="77777777" w:rsidR="004E6B58" w:rsidRPr="00934FE7" w:rsidRDefault="004E6B58" w:rsidP="00E357AE">
      <w:pPr>
        <w:jc w:val="right"/>
        <w:rPr>
          <w:rFonts w:ascii="Arial" w:hAnsi="Arial" w:cs="Arial"/>
          <w:b/>
          <w:bCs/>
        </w:rPr>
      </w:pPr>
    </w:p>
    <w:p w14:paraId="6EFFAA2D" w14:textId="77777777" w:rsidR="004E6B58" w:rsidRDefault="004E6B58">
      <w:pPr>
        <w:pStyle w:val="Copyright"/>
        <w:spacing w:after="0" w:line="240" w:lineRule="auto"/>
        <w:jc w:val="both"/>
        <w:rPr>
          <w:rFonts w:ascii="Arial" w:hAnsi="Arial" w:cs="Arial"/>
        </w:rPr>
      </w:pPr>
    </w:p>
    <w:p w14:paraId="2FE027AB" w14:textId="77777777" w:rsidR="00E50DA7" w:rsidRDefault="00E50DA7">
      <w:pPr>
        <w:pStyle w:val="Copyright"/>
        <w:spacing w:after="0" w:line="240" w:lineRule="auto"/>
        <w:jc w:val="both"/>
        <w:rPr>
          <w:rFonts w:ascii="Arial" w:hAnsi="Arial" w:cs="Arial"/>
        </w:rPr>
      </w:pPr>
    </w:p>
    <w:p w14:paraId="5DC01062" w14:textId="1C02BB82" w:rsidR="00E50DA7" w:rsidRPr="00934FE7" w:rsidRDefault="00E50DA7">
      <w:pPr>
        <w:pStyle w:val="Copyright"/>
        <w:spacing w:after="0" w:line="240" w:lineRule="auto"/>
        <w:jc w:val="both"/>
        <w:rPr>
          <w:rFonts w:ascii="Arial" w:hAnsi="Arial" w:cs="Arial"/>
        </w:rPr>
        <w:sectPr w:rsidR="00E50DA7" w:rsidRPr="00934FE7" w:rsidSect="004815E9">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p>
    <w:p w14:paraId="2C417A09" w14:textId="77777777" w:rsidR="004E6B58" w:rsidRPr="00934FE7" w:rsidRDefault="00AA4368">
      <w:pPr>
        <w:pStyle w:val="AbstHead"/>
        <w:spacing w:after="0"/>
        <w:rPr>
          <w:rFonts w:ascii="Arial" w:hAnsi="Arial" w:cs="Arial"/>
        </w:rPr>
      </w:pPr>
      <w:r w:rsidRPr="00934FE7">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34FE7" w:rsidRPr="00934FE7" w14:paraId="26212209" w14:textId="77777777">
        <w:trPr>
          <w:trHeight w:val="3404"/>
        </w:trPr>
        <w:tc>
          <w:tcPr>
            <w:tcW w:w="8424" w:type="dxa"/>
            <w:shd w:val="clear" w:color="auto" w:fill="F2F2F2"/>
          </w:tcPr>
          <w:p w14:paraId="66F37D77" w14:textId="4EA9D94F" w:rsidR="004E6B58" w:rsidRPr="00934FE7" w:rsidRDefault="00AA4368">
            <w:pPr>
              <w:pStyle w:val="NoSpacing"/>
              <w:ind w:left="0" w:firstLine="0"/>
              <w:rPr>
                <w:rFonts w:ascii="Arial" w:hAnsi="Arial" w:cs="Arial"/>
                <w:color w:val="auto"/>
                <w:sz w:val="20"/>
                <w:szCs w:val="20"/>
              </w:rPr>
            </w:pPr>
            <w:bookmarkStart w:id="1" w:name="_Hlk153358081"/>
            <w:r w:rsidRPr="00934FE7">
              <w:rPr>
                <w:rFonts w:ascii="Arial" w:hAnsi="Arial" w:cs="Arial"/>
                <w:color w:val="auto"/>
                <w:sz w:val="20"/>
                <w:szCs w:val="20"/>
                <w:lang w:val="en-US"/>
              </w:rPr>
              <w:t xml:space="preserve">             </w:t>
            </w:r>
            <w:r w:rsidRPr="00934FE7">
              <w:rPr>
                <w:rFonts w:ascii="Arial" w:hAnsi="Arial" w:cs="Arial"/>
                <w:color w:val="auto"/>
                <w:sz w:val="20"/>
                <w:szCs w:val="20"/>
                <w:lang w:val="zh-CN"/>
              </w:rPr>
              <w:t xml:space="preserve">West Nusa Tenggara (NTB) </w:t>
            </w:r>
            <w:r w:rsidRPr="00934FE7">
              <w:rPr>
                <w:rFonts w:ascii="Arial" w:hAnsi="Arial" w:cs="Arial"/>
                <w:color w:val="auto"/>
                <w:sz w:val="20"/>
                <w:szCs w:val="20"/>
              </w:rPr>
              <w:t xml:space="preserve">is a shallot producing </w:t>
            </w:r>
            <w:r w:rsidRPr="00934FE7">
              <w:rPr>
                <w:rFonts w:ascii="Arial" w:hAnsi="Arial" w:cs="Arial"/>
                <w:color w:val="auto"/>
                <w:sz w:val="20"/>
                <w:szCs w:val="20"/>
                <w:lang w:val="en-US"/>
              </w:rPr>
              <w:t xml:space="preserve">vicinity in Indonesia, but the </w:t>
            </w:r>
            <w:r w:rsidRPr="00934FE7">
              <w:rPr>
                <w:rFonts w:ascii="Arial" w:hAnsi="Arial" w:cs="Arial"/>
                <w:color w:val="auto"/>
                <w:sz w:val="20"/>
                <w:szCs w:val="20"/>
                <w:lang w:val="en-US"/>
              </w:rPr>
              <w:t>price of shallots fluctuates every so often</w:t>
            </w:r>
            <w:r w:rsidRPr="00934FE7">
              <w:rPr>
                <w:rFonts w:ascii="Arial" w:hAnsi="Arial" w:cs="Arial"/>
                <w:color w:val="auto"/>
                <w:sz w:val="20"/>
                <w:szCs w:val="20"/>
              </w:rPr>
              <w:t>. This study aims to</w:t>
            </w:r>
            <w:r w:rsidRPr="00934FE7">
              <w:rPr>
                <w:rFonts w:ascii="Arial" w:hAnsi="Arial" w:cs="Arial"/>
                <w:color w:val="auto"/>
                <w:sz w:val="20"/>
                <w:szCs w:val="20"/>
                <w:lang w:val="id-ID"/>
              </w:rPr>
              <w:t xml:space="preserve"> </w:t>
            </w:r>
            <w:r w:rsidRPr="00934FE7">
              <w:rPr>
                <w:rFonts w:ascii="Arial" w:hAnsi="Arial" w:cs="Arial"/>
                <w:color w:val="auto"/>
                <w:sz w:val="20"/>
                <w:szCs w:val="20"/>
              </w:rPr>
              <w:t>analyze the volatility of shallot prices at the producer level. The analysis uses secondary data, namely the average monthly price of shallots from January 2019 to December 2023. The data were</w:t>
            </w:r>
            <w:r w:rsidRPr="00934FE7">
              <w:rPr>
                <w:rFonts w:ascii="Arial" w:hAnsi="Arial" w:cs="Arial"/>
                <w:color w:val="auto"/>
                <w:sz w:val="20"/>
                <w:szCs w:val="20"/>
              </w:rPr>
              <w:t xml:space="preserve"> analyzed for trends using </w:t>
            </w:r>
            <w:r w:rsidRPr="00934FE7">
              <w:rPr>
                <w:rFonts w:ascii="Arial" w:hAnsi="Arial" w:cs="Arial"/>
                <w:i/>
                <w:iCs/>
                <w:color w:val="auto"/>
                <w:sz w:val="20"/>
                <w:szCs w:val="20"/>
              </w:rPr>
              <w:t>Double Exponential Smoothing</w:t>
            </w:r>
            <w:r w:rsidRPr="00934FE7">
              <w:rPr>
                <w:rFonts w:ascii="Arial" w:hAnsi="Arial" w:cs="Arial"/>
                <w:color w:val="auto"/>
                <w:sz w:val="20"/>
                <w:szCs w:val="20"/>
              </w:rPr>
              <w:t xml:space="preserve">, and </w:t>
            </w:r>
            <w:r w:rsidRPr="00934FE7">
              <w:rPr>
                <w:rFonts w:ascii="Arial" w:hAnsi="Arial" w:cs="Arial"/>
                <w:i/>
                <w:iCs/>
                <w:color w:val="auto"/>
                <w:sz w:val="20"/>
                <w:szCs w:val="20"/>
              </w:rPr>
              <w:t xml:space="preserve">ARCH-GARCH </w:t>
            </w:r>
            <w:r w:rsidRPr="00934FE7">
              <w:rPr>
                <w:rFonts w:ascii="Arial" w:hAnsi="Arial" w:cs="Arial"/>
                <w:color w:val="auto"/>
                <w:sz w:val="20"/>
                <w:szCs w:val="20"/>
              </w:rPr>
              <w:t xml:space="preserve">to measure the level of volatility. The results show that shallot production in West Nusa Tenggara has experienced a downward trend, while prices at the shallot producer level tend to </w:t>
            </w:r>
            <w:r w:rsidRPr="00934FE7">
              <w:rPr>
                <w:rFonts w:ascii="Arial" w:hAnsi="Arial" w:cs="Arial"/>
                <w:color w:val="auto"/>
                <w:sz w:val="20"/>
                <w:szCs w:val="20"/>
              </w:rPr>
              <w:t xml:space="preserve">increase from IDR 21,490 in January 2024 to IDR 21,510 </w:t>
            </w:r>
            <w:r w:rsidR="00934FE7" w:rsidRPr="00934FE7">
              <w:rPr>
                <w:rFonts w:ascii="Arial" w:hAnsi="Arial" w:cs="Arial"/>
                <w:color w:val="auto"/>
                <w:sz w:val="20"/>
                <w:szCs w:val="20"/>
              </w:rPr>
              <w:t>per kilogram</w:t>
            </w:r>
            <w:r w:rsidRPr="00934FE7">
              <w:rPr>
                <w:rFonts w:ascii="Arial" w:hAnsi="Arial" w:cs="Arial"/>
                <w:color w:val="auto"/>
                <w:sz w:val="20"/>
                <w:szCs w:val="20"/>
              </w:rPr>
              <w:t xml:space="preserve"> in December 2024. Price volatility at the producer level is classified as extremely high, based on the total </w:t>
            </w:r>
            <w:r w:rsidRPr="00934FE7">
              <w:rPr>
                <w:rFonts w:ascii="Arial" w:hAnsi="Arial" w:cs="Arial"/>
                <w:i/>
                <w:iCs/>
                <w:color w:val="auto"/>
                <w:sz w:val="20"/>
                <w:szCs w:val="20"/>
              </w:rPr>
              <w:t xml:space="preserve">Arch </w:t>
            </w:r>
            <w:r w:rsidRPr="00934FE7">
              <w:rPr>
                <w:rFonts w:ascii="Arial" w:hAnsi="Arial" w:cs="Arial"/>
                <w:color w:val="auto"/>
                <w:sz w:val="20"/>
                <w:szCs w:val="20"/>
              </w:rPr>
              <w:t xml:space="preserve">and </w:t>
            </w:r>
            <w:proofErr w:type="spellStart"/>
            <w:r w:rsidRPr="00934FE7">
              <w:rPr>
                <w:rFonts w:ascii="Arial" w:hAnsi="Arial" w:cs="Arial"/>
                <w:i/>
                <w:iCs/>
                <w:color w:val="auto"/>
                <w:sz w:val="20"/>
                <w:szCs w:val="20"/>
              </w:rPr>
              <w:t>Garch</w:t>
            </w:r>
            <w:proofErr w:type="spellEnd"/>
            <w:r w:rsidRPr="00934FE7">
              <w:rPr>
                <w:rFonts w:ascii="Arial" w:hAnsi="Arial" w:cs="Arial"/>
                <w:i/>
                <w:iCs/>
                <w:color w:val="auto"/>
                <w:sz w:val="20"/>
                <w:szCs w:val="20"/>
              </w:rPr>
              <w:t xml:space="preserve"> value </w:t>
            </w:r>
            <w:r w:rsidRPr="00934FE7">
              <w:rPr>
                <w:rFonts w:ascii="Arial" w:hAnsi="Arial" w:cs="Arial"/>
                <w:color w:val="auto"/>
                <w:sz w:val="20"/>
                <w:szCs w:val="20"/>
              </w:rPr>
              <w:t>of 1.3439</w:t>
            </w:r>
            <w:bookmarkEnd w:id="1"/>
            <w:r w:rsidRPr="00934FE7">
              <w:rPr>
                <w:rFonts w:ascii="Arial" w:hAnsi="Arial" w:cs="Arial"/>
                <w:color w:val="auto"/>
                <w:sz w:val="20"/>
                <w:szCs w:val="20"/>
              </w:rPr>
              <w:t>. Price volatility at the producer level is cause</w:t>
            </w:r>
            <w:r w:rsidRPr="00934FE7">
              <w:rPr>
                <w:rFonts w:ascii="Arial" w:hAnsi="Arial" w:cs="Arial"/>
                <w:color w:val="auto"/>
                <w:sz w:val="20"/>
                <w:szCs w:val="20"/>
              </w:rPr>
              <w:t xml:space="preserve">d by dependence on the season, the position of farmers as </w:t>
            </w:r>
            <w:r w:rsidRPr="00934FE7">
              <w:rPr>
                <w:rFonts w:ascii="Arial" w:hAnsi="Arial" w:cs="Arial"/>
                <w:i/>
                <w:iCs/>
                <w:color w:val="auto"/>
                <w:sz w:val="20"/>
                <w:szCs w:val="20"/>
              </w:rPr>
              <w:t>price takers</w:t>
            </w:r>
            <w:r w:rsidRPr="00934FE7">
              <w:rPr>
                <w:rFonts w:ascii="Arial" w:hAnsi="Arial" w:cs="Arial"/>
                <w:color w:val="auto"/>
                <w:sz w:val="20"/>
                <w:szCs w:val="20"/>
              </w:rPr>
              <w:t xml:space="preserve">, weak farmer institutions, and minimal post-harvest facilities. </w:t>
            </w:r>
            <w:r w:rsidRPr="00934FE7">
              <w:rPr>
                <w:rFonts w:ascii="Arial" w:hAnsi="Arial" w:cs="Arial"/>
                <w:color w:val="auto"/>
                <w:sz w:val="20"/>
                <w:szCs w:val="20"/>
                <w:lang w:val="en-US"/>
              </w:rPr>
              <w:t>These results highlight the necessity for targeted policy measures to mitigate price volatility, enhance farmer organizat</w:t>
            </w:r>
            <w:r w:rsidRPr="00934FE7">
              <w:rPr>
                <w:rFonts w:ascii="Arial" w:hAnsi="Arial" w:cs="Arial"/>
                <w:color w:val="auto"/>
                <w:sz w:val="20"/>
                <w:szCs w:val="20"/>
                <w:lang w:val="en-US"/>
              </w:rPr>
              <w:t>ions, and upgrade infrastructure, all of which are essential for maintaining price stability and safeguarding farmers' incomes.</w:t>
            </w:r>
          </w:p>
        </w:tc>
      </w:tr>
    </w:tbl>
    <w:p w14:paraId="60238B02" w14:textId="77777777" w:rsidR="004E6B58" w:rsidRPr="00934FE7" w:rsidRDefault="00AA4368">
      <w:pPr>
        <w:pStyle w:val="NoSpacing"/>
        <w:ind w:left="0" w:firstLine="0"/>
        <w:rPr>
          <w:rFonts w:ascii="Arial" w:hAnsi="Arial" w:cs="Arial"/>
          <w:i/>
          <w:iCs/>
          <w:color w:val="auto"/>
          <w:sz w:val="20"/>
          <w:szCs w:val="20"/>
        </w:rPr>
      </w:pPr>
      <w:r w:rsidRPr="00934FE7">
        <w:rPr>
          <w:rFonts w:ascii="Arial" w:hAnsi="Arial" w:cs="Arial"/>
          <w:b/>
          <w:bCs/>
          <w:i/>
          <w:iCs/>
          <w:color w:val="auto"/>
          <w:sz w:val="20"/>
          <w:szCs w:val="20"/>
        </w:rPr>
        <w:t>Keywords:</w:t>
      </w:r>
      <w:r w:rsidRPr="00934FE7">
        <w:rPr>
          <w:rFonts w:ascii="Arial" w:hAnsi="Arial" w:cs="Arial"/>
          <w:b/>
          <w:bCs/>
          <w:color w:val="auto"/>
          <w:sz w:val="20"/>
          <w:szCs w:val="20"/>
        </w:rPr>
        <w:t xml:space="preserve"> </w:t>
      </w:r>
      <w:r w:rsidRPr="00934FE7">
        <w:rPr>
          <w:rFonts w:ascii="Arial" w:hAnsi="Arial" w:cs="Arial"/>
          <w:i/>
          <w:iCs/>
          <w:color w:val="auto"/>
          <w:sz w:val="20"/>
          <w:szCs w:val="20"/>
        </w:rPr>
        <w:t>arch-</w:t>
      </w:r>
      <w:proofErr w:type="spellStart"/>
      <w:r w:rsidRPr="00934FE7">
        <w:rPr>
          <w:rFonts w:ascii="Arial" w:hAnsi="Arial" w:cs="Arial"/>
          <w:i/>
          <w:iCs/>
          <w:color w:val="auto"/>
          <w:sz w:val="20"/>
          <w:szCs w:val="20"/>
        </w:rPr>
        <w:t>garch</w:t>
      </w:r>
      <w:proofErr w:type="spellEnd"/>
      <w:r w:rsidRPr="00934FE7">
        <w:rPr>
          <w:rFonts w:ascii="Arial" w:hAnsi="Arial" w:cs="Arial"/>
          <w:i/>
          <w:iCs/>
          <w:color w:val="auto"/>
          <w:sz w:val="20"/>
          <w:szCs w:val="20"/>
        </w:rPr>
        <w:t>, shallots, double exponential smoothing</w:t>
      </w:r>
      <w:r w:rsidRPr="00934FE7">
        <w:rPr>
          <w:rFonts w:ascii="Arial" w:hAnsi="Arial" w:cs="Arial"/>
          <w:b/>
          <w:bCs/>
          <w:i/>
          <w:iCs/>
          <w:color w:val="auto"/>
          <w:sz w:val="20"/>
          <w:szCs w:val="20"/>
        </w:rPr>
        <w:t xml:space="preserve">, </w:t>
      </w:r>
      <w:r w:rsidRPr="00934FE7">
        <w:rPr>
          <w:rFonts w:ascii="Arial" w:hAnsi="Arial" w:cs="Arial"/>
          <w:i/>
          <w:iCs/>
          <w:color w:val="auto"/>
          <w:sz w:val="20"/>
          <w:szCs w:val="20"/>
        </w:rPr>
        <w:t>price, volatility</w:t>
      </w:r>
    </w:p>
    <w:p w14:paraId="551C6EEB" w14:textId="74D95A9E" w:rsidR="004E6B58" w:rsidRPr="00934FE7" w:rsidRDefault="00AA4368" w:rsidP="00687484">
      <w:pPr>
        <w:pStyle w:val="Heading1"/>
        <w:spacing w:after="0"/>
        <w:rPr>
          <w:rFonts w:cs="Arial"/>
          <w:sz w:val="22"/>
          <w:szCs w:val="16"/>
        </w:rPr>
      </w:pPr>
      <w:r w:rsidRPr="00934FE7">
        <w:rPr>
          <w:rFonts w:cs="Arial"/>
          <w:sz w:val="22"/>
          <w:szCs w:val="16"/>
        </w:rPr>
        <w:t xml:space="preserve">INTRODUCTION </w:t>
      </w:r>
    </w:p>
    <w:p w14:paraId="3ED81778" w14:textId="77777777" w:rsidR="004E6B58" w:rsidRPr="00934FE7" w:rsidRDefault="00AA4368">
      <w:pPr>
        <w:ind w:firstLine="284"/>
        <w:jc w:val="both"/>
        <w:rPr>
          <w:rFonts w:ascii="Arial" w:hAnsi="Arial" w:cs="Arial"/>
        </w:rPr>
      </w:pPr>
      <w:r w:rsidRPr="00934FE7">
        <w:rPr>
          <w:rFonts w:ascii="Arial" w:hAnsi="Arial" w:cs="Arial"/>
        </w:rPr>
        <w:t xml:space="preserve">Indonesia is known as an </w:t>
      </w:r>
      <w:r w:rsidRPr="00934FE7">
        <w:rPr>
          <w:rFonts w:ascii="Arial" w:hAnsi="Arial" w:cs="Arial"/>
        </w:rPr>
        <w:t>agricultural country (</w:t>
      </w:r>
      <w:proofErr w:type="spellStart"/>
      <w:r w:rsidRPr="00934FE7">
        <w:rPr>
          <w:rFonts w:ascii="Arial" w:hAnsi="Arial" w:cs="Arial"/>
        </w:rPr>
        <w:t>Salasa</w:t>
      </w:r>
      <w:proofErr w:type="spellEnd"/>
      <w:r w:rsidRPr="00934FE7">
        <w:rPr>
          <w:rFonts w:ascii="Arial" w:hAnsi="Arial" w:cs="Arial"/>
        </w:rPr>
        <w:t>, 2021). As an agricultural country, most economic activities depend on the agricultural sector. An important sub-sector in the agricultural sector is horticulture (Klau et al, 2023). Horticulture includes vegetables, fruits, an</w:t>
      </w:r>
      <w:r w:rsidRPr="00934FE7">
        <w:rPr>
          <w:rFonts w:ascii="Arial" w:hAnsi="Arial" w:cs="Arial"/>
        </w:rPr>
        <w:t>d pharmaceutical plants (</w:t>
      </w:r>
      <w:proofErr w:type="spellStart"/>
      <w:r w:rsidRPr="00934FE7">
        <w:rPr>
          <w:rFonts w:ascii="Arial" w:hAnsi="Arial" w:cs="Arial"/>
        </w:rPr>
        <w:t>Suparwata</w:t>
      </w:r>
      <w:proofErr w:type="spellEnd"/>
      <w:r w:rsidRPr="00934FE7">
        <w:rPr>
          <w:rFonts w:ascii="Arial" w:hAnsi="Arial" w:cs="Arial"/>
        </w:rPr>
        <w:t>, et al, 2023). In the horticulture sub-sector, shallots (</w:t>
      </w:r>
      <w:r w:rsidRPr="00934FE7">
        <w:rPr>
          <w:rFonts w:ascii="Arial" w:hAnsi="Arial" w:cs="Arial"/>
          <w:i/>
          <w:iCs/>
        </w:rPr>
        <w:t>Allium ascalonicum</w:t>
      </w:r>
      <w:r w:rsidRPr="00934FE7">
        <w:rPr>
          <w:rFonts w:ascii="Arial" w:hAnsi="Arial" w:cs="Arial"/>
        </w:rPr>
        <w:t xml:space="preserve"> </w:t>
      </w:r>
      <w:r w:rsidRPr="00934FE7">
        <w:rPr>
          <w:rFonts w:ascii="Arial" w:hAnsi="Arial" w:cs="Arial"/>
          <w:i/>
          <w:iCs/>
        </w:rPr>
        <w:t>L.</w:t>
      </w:r>
      <w:r w:rsidRPr="00934FE7">
        <w:rPr>
          <w:rFonts w:ascii="Arial" w:hAnsi="Arial" w:cs="Arial"/>
        </w:rPr>
        <w:t xml:space="preserve">) have a very strategic role as a commodity with high economic value. Domestic consumption levels continue to increase from year to year along </w:t>
      </w:r>
      <w:r w:rsidRPr="00934FE7">
        <w:rPr>
          <w:rFonts w:ascii="Arial" w:hAnsi="Arial" w:cs="Arial"/>
        </w:rPr>
        <w:t>with the increase in the number of households, while the increase in demand is not balanced with the increase in supply (Agung, 2013). The imbalance in demand and supply leads to market price instability.</w:t>
      </w:r>
    </w:p>
    <w:p w14:paraId="0309383B" w14:textId="77777777" w:rsidR="004E6B58" w:rsidRPr="00934FE7" w:rsidRDefault="00AA4368">
      <w:pPr>
        <w:ind w:firstLine="284"/>
        <w:jc w:val="both"/>
        <w:rPr>
          <w:rFonts w:ascii="Arial" w:hAnsi="Arial" w:cs="Arial"/>
        </w:rPr>
      </w:pPr>
      <w:r w:rsidRPr="00934FE7">
        <w:rPr>
          <w:rFonts w:ascii="Arial" w:hAnsi="Arial" w:cs="Arial"/>
        </w:rPr>
        <w:t xml:space="preserve">Shallots as a primary commodity play a significant </w:t>
      </w:r>
      <w:r w:rsidRPr="00934FE7">
        <w:rPr>
          <w:rFonts w:ascii="Arial" w:hAnsi="Arial" w:cs="Arial"/>
        </w:rPr>
        <w:t>role in meeting household consumption needs, and shallot cultivation is the main source of livelihood for farmers (</w:t>
      </w:r>
      <w:proofErr w:type="spellStart"/>
      <w:r w:rsidRPr="00934FE7">
        <w:rPr>
          <w:rFonts w:ascii="Arial" w:hAnsi="Arial" w:cs="Arial"/>
        </w:rPr>
        <w:t>Harahap</w:t>
      </w:r>
      <w:proofErr w:type="spellEnd"/>
      <w:r w:rsidRPr="00934FE7">
        <w:rPr>
          <w:rFonts w:ascii="Arial" w:hAnsi="Arial" w:cs="Arial"/>
        </w:rPr>
        <w:t xml:space="preserve">, et al, 2023). West Nusa Tenggara Province (NTB) is one of the national shallot production centers, especially in areas such as </w:t>
      </w:r>
      <w:proofErr w:type="spellStart"/>
      <w:r w:rsidRPr="00934FE7">
        <w:rPr>
          <w:rFonts w:ascii="Arial" w:hAnsi="Arial" w:cs="Arial"/>
        </w:rPr>
        <w:t>Bima</w:t>
      </w:r>
      <w:proofErr w:type="spellEnd"/>
      <w:r w:rsidRPr="00934FE7">
        <w:rPr>
          <w:rFonts w:ascii="Arial" w:hAnsi="Arial" w:cs="Arial"/>
        </w:rPr>
        <w:t>,</w:t>
      </w:r>
      <w:r w:rsidRPr="00934FE7">
        <w:rPr>
          <w:rFonts w:ascii="Arial" w:hAnsi="Arial" w:cs="Arial"/>
        </w:rPr>
        <w:t xml:space="preserve"> </w:t>
      </w:r>
      <w:proofErr w:type="spellStart"/>
      <w:r w:rsidRPr="00934FE7">
        <w:rPr>
          <w:rFonts w:ascii="Arial" w:hAnsi="Arial" w:cs="Arial"/>
        </w:rPr>
        <w:t>Dompu</w:t>
      </w:r>
      <w:proofErr w:type="spellEnd"/>
      <w:r w:rsidRPr="00934FE7">
        <w:rPr>
          <w:rFonts w:ascii="Arial" w:hAnsi="Arial" w:cs="Arial"/>
        </w:rPr>
        <w:t>, and Sumbawa (Widia, et al, 2024). However, high production does not guarantee a stable income because farmers still face sharp price fluctuations.</w:t>
      </w:r>
    </w:p>
    <w:p w14:paraId="13BED68D" w14:textId="0408227C" w:rsidR="004E6B58" w:rsidRPr="00934FE7" w:rsidRDefault="00AA4368">
      <w:pPr>
        <w:ind w:firstLine="284"/>
        <w:jc w:val="both"/>
        <w:rPr>
          <w:rFonts w:ascii="Arial" w:hAnsi="Arial" w:cs="Arial"/>
        </w:rPr>
      </w:pPr>
      <w:r w:rsidRPr="00934FE7">
        <w:rPr>
          <w:rFonts w:ascii="Arial" w:hAnsi="Arial" w:cs="Arial"/>
        </w:rPr>
        <w:t>Fluctuations in the price of shallots are triggered by numerous factors, including physical propertie</w:t>
      </w:r>
      <w:r w:rsidRPr="00934FE7">
        <w:rPr>
          <w:rFonts w:ascii="Arial" w:hAnsi="Arial" w:cs="Arial"/>
        </w:rPr>
        <w:t xml:space="preserve">s, seasonality, weather, distribution, and market structure. In an oligopsony market structure, there are few buyers and many sellers. </w:t>
      </w:r>
      <w:r w:rsidR="00687484" w:rsidRPr="00934FE7">
        <w:rPr>
          <w:rFonts w:ascii="Arial" w:hAnsi="Arial" w:cs="Arial"/>
        </w:rPr>
        <w:t>A few</w:t>
      </w:r>
      <w:r w:rsidRPr="00934FE7">
        <w:rPr>
          <w:rFonts w:ascii="Arial" w:hAnsi="Arial" w:cs="Arial"/>
        </w:rPr>
        <w:t xml:space="preserve"> collectors buy from a number of farmers in one village, while large traders control prices. Farmers in large number</w:t>
      </w:r>
      <w:r w:rsidRPr="00934FE7">
        <w:rPr>
          <w:rFonts w:ascii="Arial" w:hAnsi="Arial" w:cs="Arial"/>
        </w:rPr>
        <w:t>s do not have bargaining power, because they do not have strong institutions (</w:t>
      </w:r>
      <w:r w:rsidRPr="00934FE7">
        <w:rPr>
          <w:rFonts w:ascii="Arial" w:hAnsi="Arial" w:cs="Arial"/>
          <w:i/>
          <w:iCs/>
        </w:rPr>
        <w:t>price takers)</w:t>
      </w:r>
      <w:r w:rsidRPr="00934FE7">
        <w:rPr>
          <w:rFonts w:ascii="Arial" w:hAnsi="Arial" w:cs="Arial"/>
        </w:rPr>
        <w:t xml:space="preserve"> (Asmara, et al, 2010).</w:t>
      </w:r>
    </w:p>
    <w:p w14:paraId="1B398BA9" w14:textId="77777777" w:rsidR="004E6B58" w:rsidRPr="00934FE7" w:rsidRDefault="00AA4368">
      <w:pPr>
        <w:ind w:firstLine="284"/>
        <w:jc w:val="both"/>
        <w:rPr>
          <w:rFonts w:ascii="Arial" w:hAnsi="Arial" w:cs="Arial"/>
        </w:rPr>
      </w:pPr>
      <w:r w:rsidRPr="00934FE7">
        <w:rPr>
          <w:rFonts w:ascii="Arial" w:hAnsi="Arial" w:cs="Arial"/>
        </w:rPr>
        <w:t>The price gap between producers and consumers indicates a disproportionate price transmission (</w:t>
      </w:r>
      <w:proofErr w:type="spellStart"/>
      <w:r w:rsidRPr="00934FE7">
        <w:rPr>
          <w:rFonts w:ascii="Arial" w:hAnsi="Arial" w:cs="Arial"/>
        </w:rPr>
        <w:t>Warsito</w:t>
      </w:r>
      <w:proofErr w:type="spellEnd"/>
      <w:r w:rsidRPr="00934FE7">
        <w:rPr>
          <w:rFonts w:ascii="Arial" w:hAnsi="Arial" w:cs="Arial"/>
        </w:rPr>
        <w:t>, et al, 2025). When prices rise at the</w:t>
      </w:r>
      <w:r w:rsidRPr="00934FE7">
        <w:rPr>
          <w:rFonts w:ascii="Arial" w:hAnsi="Arial" w:cs="Arial"/>
        </w:rPr>
        <w:t xml:space="preserve"> consumer level, profit margins do not have a direct impact on the prices received by farmers. Conversely, if prices fall to the consumer level, farmers are the most affected, because prices at the producer level will at once fall. This condition shows the</w:t>
      </w:r>
      <w:r w:rsidRPr="00934FE7">
        <w:rPr>
          <w:rFonts w:ascii="Arial" w:hAnsi="Arial" w:cs="Arial"/>
        </w:rPr>
        <w:t xml:space="preserve"> weak bargaining position of farmers in the shallot market (</w:t>
      </w:r>
      <w:proofErr w:type="spellStart"/>
      <w:r w:rsidRPr="00934FE7">
        <w:rPr>
          <w:rFonts w:ascii="Arial" w:hAnsi="Arial" w:cs="Arial"/>
        </w:rPr>
        <w:t>Kiloes</w:t>
      </w:r>
      <w:proofErr w:type="spellEnd"/>
      <w:r w:rsidRPr="00934FE7">
        <w:rPr>
          <w:rFonts w:ascii="Arial" w:hAnsi="Arial" w:cs="Arial"/>
        </w:rPr>
        <w:t>, et al, 2018).</w:t>
      </w:r>
    </w:p>
    <w:p w14:paraId="09AF91DD" w14:textId="77777777" w:rsidR="004E6B58" w:rsidRPr="00934FE7" w:rsidRDefault="00AA4368">
      <w:pPr>
        <w:ind w:firstLine="284"/>
        <w:jc w:val="both"/>
        <w:rPr>
          <w:rFonts w:ascii="Arial" w:hAnsi="Arial" w:cs="Arial"/>
        </w:rPr>
      </w:pPr>
      <w:r w:rsidRPr="00934FE7">
        <w:rPr>
          <w:rFonts w:ascii="Arial" w:hAnsi="Arial" w:cs="Arial"/>
        </w:rPr>
        <w:lastRenderedPageBreak/>
        <w:t xml:space="preserve">In addition, limited post-harvest facilities such as </w:t>
      </w:r>
      <w:r w:rsidRPr="00934FE7">
        <w:rPr>
          <w:rFonts w:ascii="Arial" w:hAnsi="Arial" w:cs="Arial"/>
          <w:i/>
          <w:iCs/>
        </w:rPr>
        <w:t xml:space="preserve">cold storage </w:t>
      </w:r>
      <w:r w:rsidRPr="00934FE7">
        <w:rPr>
          <w:rFonts w:ascii="Arial" w:hAnsi="Arial" w:cs="Arial"/>
        </w:rPr>
        <w:t>force farmers to sell their crops as quickly as possible, because shallots are a perishable crop. As a resul</w:t>
      </w:r>
      <w:r w:rsidRPr="00934FE7">
        <w:rPr>
          <w:rFonts w:ascii="Arial" w:hAnsi="Arial" w:cs="Arial"/>
        </w:rPr>
        <w:t>t, during the main harvest, supplies pile up in the market and caused prices to plummet (</w:t>
      </w:r>
      <w:proofErr w:type="spellStart"/>
      <w:r w:rsidRPr="00934FE7">
        <w:rPr>
          <w:rFonts w:ascii="Arial" w:hAnsi="Arial" w:cs="Arial"/>
        </w:rPr>
        <w:t>Nurmalia</w:t>
      </w:r>
      <w:proofErr w:type="spellEnd"/>
      <w:r w:rsidRPr="00934FE7">
        <w:rPr>
          <w:rFonts w:ascii="Arial" w:hAnsi="Arial" w:cs="Arial"/>
        </w:rPr>
        <w:t>, et al, 2021). The uncertainty of the minimum price from the government worsens the situation because farmers do not have a guaranteed floor price to reduce t</w:t>
      </w:r>
      <w:r w:rsidRPr="00934FE7">
        <w:rPr>
          <w:rFonts w:ascii="Arial" w:hAnsi="Arial" w:cs="Arial"/>
        </w:rPr>
        <w:t>he risk of loss.</w:t>
      </w:r>
    </w:p>
    <w:p w14:paraId="2F7B78FE" w14:textId="18D15F80" w:rsidR="004E6B58" w:rsidRPr="00934FE7" w:rsidRDefault="00AA4368">
      <w:pPr>
        <w:ind w:firstLine="284"/>
        <w:jc w:val="both"/>
        <w:rPr>
          <w:rFonts w:ascii="Arial" w:hAnsi="Arial" w:cs="Arial"/>
        </w:rPr>
      </w:pPr>
      <w:r w:rsidRPr="00934FE7">
        <w:rPr>
          <w:rFonts w:ascii="Arial" w:hAnsi="Arial" w:cs="Arial"/>
        </w:rPr>
        <w:t>According to Irawan (2020), problems occur in the downstream sector. Seasonal and perishable horticultural production makes it difficult to manage storage and distribution. The shallot agribusiness system involves farmers as producers, tra</w:t>
      </w:r>
      <w:r w:rsidRPr="00934FE7">
        <w:rPr>
          <w:rFonts w:ascii="Arial" w:hAnsi="Arial" w:cs="Arial"/>
        </w:rPr>
        <w:t xml:space="preserve">ders as distributors, and consumers as the end party. Intermedia </w:t>
      </w:r>
      <w:proofErr w:type="spellStart"/>
      <w:r w:rsidR="00687484" w:rsidRPr="00934FE7">
        <w:rPr>
          <w:rFonts w:ascii="Arial" w:hAnsi="Arial" w:cs="Arial"/>
        </w:rPr>
        <w:t>ry</w:t>
      </w:r>
      <w:proofErr w:type="spellEnd"/>
      <w:r w:rsidRPr="00934FE7">
        <w:rPr>
          <w:rFonts w:ascii="Arial" w:hAnsi="Arial" w:cs="Arial"/>
        </w:rPr>
        <w:t xml:space="preserve"> traders play a significant role in absorbing and distributing products, so they have an enormous influence on determining prices. With this dual role, traders often become the dominant par</w:t>
      </w:r>
      <w:r w:rsidRPr="00934FE7">
        <w:rPr>
          <w:rFonts w:ascii="Arial" w:hAnsi="Arial" w:cs="Arial"/>
        </w:rPr>
        <w:t>ty in the supply chain (</w:t>
      </w:r>
      <w:proofErr w:type="spellStart"/>
      <w:r w:rsidRPr="00934FE7">
        <w:rPr>
          <w:rFonts w:ascii="Arial" w:hAnsi="Arial" w:cs="Arial"/>
        </w:rPr>
        <w:t>Sukmawati</w:t>
      </w:r>
      <w:proofErr w:type="spellEnd"/>
      <w:r w:rsidRPr="00934FE7">
        <w:rPr>
          <w:rFonts w:ascii="Arial" w:hAnsi="Arial" w:cs="Arial"/>
        </w:rPr>
        <w:t>, et al, 2014). Asymmetric information triggers price instability and is detrimental to farmers. Therefore, government intervention is needed through price protection, strengthening farmer institutions, and improving post-h</w:t>
      </w:r>
      <w:r w:rsidRPr="00934FE7">
        <w:rPr>
          <w:rFonts w:ascii="Arial" w:hAnsi="Arial" w:cs="Arial"/>
        </w:rPr>
        <w:t>arvest infrastructure to strengthen farmers' bargaining position in the distribution system.</w:t>
      </w:r>
    </w:p>
    <w:p w14:paraId="2EDD7A79" w14:textId="77777777" w:rsidR="004E6B58" w:rsidRPr="00934FE7" w:rsidRDefault="00AA4368">
      <w:pPr>
        <w:ind w:firstLine="284"/>
        <w:jc w:val="both"/>
        <w:rPr>
          <w:rFonts w:ascii="Arial" w:hAnsi="Arial" w:cs="Arial"/>
        </w:rPr>
      </w:pPr>
      <w:r w:rsidRPr="00934FE7">
        <w:rPr>
          <w:rFonts w:ascii="Arial" w:hAnsi="Arial" w:cs="Arial"/>
        </w:rPr>
        <w:t>Based on the above background, a study was conducted with the aim of analyzing the development of production and price volatility of shallots at the manufacturer s</w:t>
      </w:r>
      <w:r w:rsidRPr="00934FE7">
        <w:rPr>
          <w:rFonts w:ascii="Arial" w:hAnsi="Arial" w:cs="Arial"/>
        </w:rPr>
        <w:t xml:space="preserve">tage in West Nusa Tenggara Province.   </w:t>
      </w:r>
    </w:p>
    <w:p w14:paraId="01B03167" w14:textId="77777777" w:rsidR="004E6B58" w:rsidRPr="00934FE7" w:rsidRDefault="004E6B58">
      <w:pPr>
        <w:ind w:hanging="11"/>
        <w:rPr>
          <w:rFonts w:ascii="Arial" w:hAnsi="Arial" w:cs="Arial"/>
          <w:b/>
          <w:kern w:val="28"/>
          <w:sz w:val="22"/>
          <w:szCs w:val="16"/>
        </w:rPr>
      </w:pPr>
    </w:p>
    <w:p w14:paraId="5F63EDCB" w14:textId="77777777" w:rsidR="004E6B58" w:rsidRPr="00934FE7" w:rsidRDefault="00AA4368">
      <w:pPr>
        <w:ind w:hanging="11"/>
        <w:rPr>
          <w:rFonts w:ascii="Arial" w:hAnsi="Arial" w:cs="Arial"/>
          <w:b/>
          <w:kern w:val="28"/>
          <w:sz w:val="22"/>
          <w:szCs w:val="16"/>
        </w:rPr>
      </w:pPr>
      <w:r w:rsidRPr="00934FE7">
        <w:rPr>
          <w:rFonts w:ascii="Arial" w:hAnsi="Arial" w:cs="Arial"/>
          <w:b/>
          <w:kern w:val="28"/>
          <w:sz w:val="22"/>
          <w:szCs w:val="16"/>
        </w:rPr>
        <w:t>MATERIAL AND METHODS</w:t>
      </w:r>
    </w:p>
    <w:p w14:paraId="17A6797D" w14:textId="77777777" w:rsidR="004E6B58" w:rsidRPr="00934FE7" w:rsidRDefault="00AA4368">
      <w:pPr>
        <w:pStyle w:val="ListParagraph"/>
        <w:numPr>
          <w:ilvl w:val="0"/>
          <w:numId w:val="2"/>
        </w:numPr>
        <w:ind w:left="426"/>
        <w:rPr>
          <w:rFonts w:ascii="Arial" w:hAnsi="Arial" w:cs="Arial"/>
          <w:b/>
          <w:color w:val="auto"/>
          <w:sz w:val="22"/>
          <w:szCs w:val="28"/>
        </w:rPr>
      </w:pPr>
      <w:r w:rsidRPr="00934FE7">
        <w:rPr>
          <w:rFonts w:ascii="Arial" w:hAnsi="Arial" w:cs="Arial"/>
          <w:b/>
          <w:color w:val="auto"/>
          <w:sz w:val="22"/>
          <w:szCs w:val="28"/>
        </w:rPr>
        <w:t>Research Methods</w:t>
      </w:r>
    </w:p>
    <w:p w14:paraId="688F7ABD" w14:textId="77777777" w:rsidR="004E6B58" w:rsidRPr="00934FE7" w:rsidRDefault="00AA4368" w:rsidP="00A51D25">
      <w:pPr>
        <w:ind w:firstLine="284"/>
        <w:jc w:val="both"/>
        <w:rPr>
          <w:rFonts w:ascii="Arial" w:hAnsi="Arial" w:cs="Arial"/>
        </w:rPr>
      </w:pPr>
      <w:r w:rsidRPr="00934FE7">
        <w:rPr>
          <w:rFonts w:ascii="Arial" w:hAnsi="Arial" w:cs="Arial"/>
        </w:rPr>
        <w:t>The method used in this study is a descriptive method. The method aims to solve actual problems by collecting data, analyzing, explaining, and concluding. The unit of analysis i</w:t>
      </w:r>
      <w:r w:rsidRPr="00934FE7">
        <w:rPr>
          <w:rFonts w:ascii="Arial" w:hAnsi="Arial" w:cs="Arial"/>
        </w:rPr>
        <w:t>n this study is the price of shallots per month from January 2019 to December 2023 in West Nusa Tenggara Province. The selection of research locations was carried out by purposive sampling. The data consists of quantitative and qualitative data. Quantitati</w:t>
      </w:r>
      <w:r w:rsidRPr="00934FE7">
        <w:rPr>
          <w:rFonts w:ascii="Arial" w:hAnsi="Arial" w:cs="Arial"/>
        </w:rPr>
        <w:t>ve data in the form of production data and shallot prices. While qualitative data in the form of information from quotes from journals or research reports that have been published or unpublished and stored in the library. Secondary data was obtained from t</w:t>
      </w:r>
      <w:r w:rsidRPr="00934FE7">
        <w:rPr>
          <w:rFonts w:ascii="Arial" w:hAnsi="Arial" w:cs="Arial"/>
        </w:rPr>
        <w:t>he Central Statistics Agency (BPS), the Trade Service, the Agriculture and Plantation Service of West Nusa Tenggara Province. and other agencies.</w:t>
      </w:r>
    </w:p>
    <w:p w14:paraId="636485B1" w14:textId="77777777" w:rsidR="004E6B58" w:rsidRPr="00934FE7" w:rsidRDefault="00AA4368" w:rsidP="00B54E47">
      <w:pPr>
        <w:pStyle w:val="ListParagraph"/>
        <w:numPr>
          <w:ilvl w:val="0"/>
          <w:numId w:val="2"/>
        </w:numPr>
        <w:spacing w:before="120" w:after="0" w:line="240" w:lineRule="auto"/>
        <w:ind w:left="426" w:hanging="426"/>
        <w:jc w:val="left"/>
        <w:rPr>
          <w:rFonts w:ascii="Arial" w:hAnsi="Arial" w:cs="Arial"/>
          <w:b/>
          <w:color w:val="auto"/>
          <w:sz w:val="22"/>
        </w:rPr>
      </w:pPr>
      <w:r w:rsidRPr="00934FE7">
        <w:rPr>
          <w:rFonts w:ascii="Arial" w:hAnsi="Arial" w:cs="Arial"/>
          <w:b/>
          <w:color w:val="auto"/>
          <w:sz w:val="22"/>
        </w:rPr>
        <w:t>Data Analysis</w:t>
      </w:r>
    </w:p>
    <w:p w14:paraId="2269B9C2" w14:textId="77777777" w:rsidR="004E6B58" w:rsidRPr="00934FE7" w:rsidRDefault="00AA4368" w:rsidP="00B54E47">
      <w:pPr>
        <w:pStyle w:val="ListParagraph"/>
        <w:numPr>
          <w:ilvl w:val="2"/>
          <w:numId w:val="3"/>
        </w:numPr>
        <w:tabs>
          <w:tab w:val="left" w:pos="851"/>
        </w:tabs>
        <w:spacing w:before="120" w:after="0" w:line="240" w:lineRule="auto"/>
        <w:ind w:left="567" w:hanging="567"/>
        <w:rPr>
          <w:rFonts w:ascii="Arial" w:hAnsi="Arial" w:cs="Arial"/>
          <w:b/>
          <w:color w:val="auto"/>
          <w:sz w:val="20"/>
          <w:szCs w:val="14"/>
          <w:u w:val="single"/>
        </w:rPr>
      </w:pPr>
      <w:r w:rsidRPr="00B54E47">
        <w:rPr>
          <w:rFonts w:ascii="Arial" w:hAnsi="Arial" w:cs="Arial"/>
          <w:b/>
          <w:color w:val="auto"/>
          <w:sz w:val="20"/>
          <w:szCs w:val="14"/>
        </w:rPr>
        <w:t>Trend</w:t>
      </w:r>
      <w:r w:rsidRPr="00934FE7">
        <w:rPr>
          <w:rFonts w:ascii="Arial" w:hAnsi="Arial" w:cs="Arial"/>
          <w:b/>
          <w:color w:val="auto"/>
          <w:sz w:val="20"/>
          <w:szCs w:val="14"/>
          <w:u w:val="single"/>
        </w:rPr>
        <w:t xml:space="preserve"> </w:t>
      </w:r>
      <w:r w:rsidRPr="00B54E47">
        <w:rPr>
          <w:rFonts w:ascii="Arial" w:hAnsi="Arial" w:cs="Arial"/>
          <w:b/>
          <w:color w:val="auto"/>
          <w:sz w:val="20"/>
          <w:szCs w:val="14"/>
        </w:rPr>
        <w:t>Analysis</w:t>
      </w:r>
    </w:p>
    <w:p w14:paraId="4D0814E1" w14:textId="23591872" w:rsidR="004E6B58" w:rsidRPr="00934FE7" w:rsidRDefault="00AA4368" w:rsidP="00A51D25">
      <w:pPr>
        <w:ind w:firstLine="284"/>
        <w:jc w:val="both"/>
        <w:rPr>
          <w:rFonts w:ascii="Arial" w:hAnsi="Arial" w:cs="Arial"/>
          <w:bCs/>
        </w:rPr>
      </w:pPr>
      <w:r w:rsidRPr="00934FE7">
        <w:rPr>
          <w:rFonts w:ascii="Arial" w:hAnsi="Arial" w:cs="Arial"/>
          <w:bCs/>
        </w:rPr>
        <w:t xml:space="preserve">Production data and prices of shallots were analyzed for trends. Trend analysis using the </w:t>
      </w:r>
      <w:r w:rsidRPr="00934FE7">
        <w:rPr>
          <w:rFonts w:ascii="Arial" w:hAnsi="Arial" w:cs="Arial"/>
        </w:rPr>
        <w:t xml:space="preserve">Double Exponential Smoothing (DES) method </w:t>
      </w:r>
      <w:r w:rsidRPr="00934FE7">
        <w:rPr>
          <w:rFonts w:ascii="Arial" w:hAnsi="Arial" w:cs="Arial"/>
          <w:bCs/>
        </w:rPr>
        <w:t>(Ilham, et al, 2024)</w:t>
      </w:r>
      <w:r w:rsidRPr="00934FE7">
        <w:rPr>
          <w:rFonts w:ascii="Arial" w:hAnsi="Arial" w:cs="Arial"/>
          <w:bCs/>
          <w:i/>
          <w:iCs/>
        </w:rPr>
        <w:t xml:space="preserve">. </w:t>
      </w:r>
      <w:r w:rsidRPr="00934FE7">
        <w:rPr>
          <w:rFonts w:ascii="Arial" w:hAnsi="Arial" w:cs="Arial"/>
          <w:bCs/>
        </w:rPr>
        <w:t>The software used is Microsoft Excel for trend forecasting and EViews 12 for ARCH-GARCH analysis.</w:t>
      </w:r>
    </w:p>
    <w:p w14:paraId="4A15C791" w14:textId="77777777" w:rsidR="004E6B58" w:rsidRPr="00934FE7" w:rsidRDefault="00AA4368" w:rsidP="00A51D25">
      <w:pPr>
        <w:ind w:firstLine="284"/>
        <w:jc w:val="both"/>
        <w:rPr>
          <w:rFonts w:ascii="Arial" w:hAnsi="Arial" w:cs="Arial"/>
        </w:rPr>
      </w:pPr>
      <w:r w:rsidRPr="00934FE7">
        <w:rPr>
          <w:rFonts w:ascii="Arial" w:hAnsi="Arial" w:cs="Arial"/>
        </w:rPr>
        <w:t>DEC</w:t>
      </w:r>
      <w:r w:rsidRPr="00934FE7">
        <w:rPr>
          <w:rFonts w:ascii="Arial" w:hAnsi="Arial" w:cs="Arial"/>
          <w:i/>
          <w:iCs/>
        </w:rPr>
        <w:t xml:space="preserve"> </w:t>
      </w:r>
      <w:r w:rsidRPr="00934FE7">
        <w:rPr>
          <w:rFonts w:ascii="Arial" w:hAnsi="Arial" w:cs="Arial"/>
        </w:rPr>
        <w:t>using two main components to analyze trend developments, namely:</w:t>
      </w:r>
    </w:p>
    <w:p w14:paraId="4095D89F" w14:textId="77777777" w:rsidR="004E6B58" w:rsidRPr="00934FE7" w:rsidRDefault="00AA4368">
      <w:pPr>
        <w:pStyle w:val="ListParagraph"/>
        <w:numPr>
          <w:ilvl w:val="0"/>
          <w:numId w:val="4"/>
        </w:numPr>
        <w:spacing w:after="0" w:line="240" w:lineRule="auto"/>
        <w:ind w:left="360"/>
        <w:rPr>
          <w:rFonts w:ascii="Arial" w:hAnsi="Arial" w:cs="Arial"/>
          <w:color w:val="auto"/>
          <w:sz w:val="20"/>
          <w:szCs w:val="20"/>
        </w:rPr>
      </w:pPr>
      <w:r w:rsidRPr="00934FE7">
        <w:rPr>
          <w:rFonts w:ascii="Arial" w:hAnsi="Arial" w:cs="Arial"/>
          <w:color w:val="auto"/>
          <w:sz w:val="20"/>
          <w:szCs w:val="20"/>
        </w:rPr>
        <w:t>Level</w:t>
      </w:r>
    </w:p>
    <w:p w14:paraId="4FA42886" w14:textId="77777777" w:rsidR="004E6B58" w:rsidRPr="00934FE7" w:rsidRDefault="00AA4368">
      <w:pPr>
        <w:pStyle w:val="ListParagraph"/>
        <w:spacing w:after="0" w:line="240" w:lineRule="auto"/>
        <w:ind w:hanging="360"/>
        <w:jc w:val="center"/>
        <w:rPr>
          <w:rFonts w:ascii="Arial" w:hAnsi="Arial" w:cs="Arial"/>
          <w:b/>
          <w:bCs/>
          <w:color w:val="auto"/>
          <w:sz w:val="20"/>
          <w:szCs w:val="20"/>
        </w:rPr>
      </w:pPr>
      <w:r w:rsidRPr="00934FE7">
        <w:rPr>
          <w:rFonts w:ascii="Arial" w:hAnsi="Arial" w:cs="Arial"/>
          <w:b/>
          <w:bCs/>
          <w:color w:val="auto"/>
          <w:sz w:val="20"/>
          <w:szCs w:val="20"/>
        </w:rPr>
        <w:t xml:space="preserve">S </w:t>
      </w:r>
      <w:r w:rsidRPr="00934FE7">
        <w:rPr>
          <w:rFonts w:ascii="Arial" w:hAnsi="Arial" w:cs="Arial"/>
          <w:b/>
          <w:bCs/>
          <w:i/>
          <w:iCs/>
          <w:color w:val="auto"/>
          <w:sz w:val="20"/>
          <w:szCs w:val="20"/>
          <w:vertAlign w:val="subscript"/>
        </w:rPr>
        <w:t xml:space="preserve">t </w:t>
      </w:r>
      <w:r w:rsidRPr="00934FE7">
        <w:rPr>
          <w:rFonts w:ascii="Arial" w:hAnsi="Arial" w:cs="Arial"/>
          <w:b/>
          <w:bCs/>
          <w:color w:val="auto"/>
          <w:sz w:val="20"/>
          <w:szCs w:val="20"/>
        </w:rPr>
        <w:t xml:space="preserve">= αY </w:t>
      </w:r>
      <w:r w:rsidRPr="00934FE7">
        <w:rPr>
          <w:rFonts w:ascii="Arial" w:hAnsi="Arial" w:cs="Arial"/>
          <w:b/>
          <w:bCs/>
          <w:color w:val="auto"/>
          <w:sz w:val="20"/>
          <w:szCs w:val="20"/>
          <w:vertAlign w:val="subscript"/>
        </w:rPr>
        <w:t xml:space="preserve">t </w:t>
      </w:r>
      <w:r w:rsidRPr="00934FE7">
        <w:rPr>
          <w:rFonts w:ascii="Arial" w:hAnsi="Arial" w:cs="Arial"/>
          <w:b/>
          <w:bCs/>
          <w:color w:val="auto"/>
          <w:sz w:val="20"/>
          <w:szCs w:val="20"/>
        </w:rPr>
        <w:t xml:space="preserve">+ (1 − α) (S </w:t>
      </w:r>
      <w:r w:rsidRPr="00934FE7">
        <w:rPr>
          <w:rFonts w:ascii="Arial" w:hAnsi="Arial" w:cs="Arial"/>
          <w:b/>
          <w:bCs/>
          <w:color w:val="auto"/>
          <w:sz w:val="20"/>
          <w:szCs w:val="20"/>
          <w:vertAlign w:val="subscript"/>
        </w:rPr>
        <w:t xml:space="preserve">t−1 </w:t>
      </w:r>
      <w:r w:rsidRPr="00934FE7">
        <w:rPr>
          <w:rFonts w:ascii="Arial" w:hAnsi="Arial" w:cs="Arial"/>
          <w:b/>
          <w:bCs/>
          <w:color w:val="auto"/>
          <w:sz w:val="20"/>
          <w:szCs w:val="20"/>
        </w:rPr>
        <w:t xml:space="preserve">+ T </w:t>
      </w:r>
      <w:r w:rsidRPr="00934FE7">
        <w:rPr>
          <w:rFonts w:ascii="Arial" w:hAnsi="Arial" w:cs="Arial"/>
          <w:b/>
          <w:bCs/>
          <w:color w:val="auto"/>
          <w:sz w:val="20"/>
          <w:szCs w:val="20"/>
          <w:vertAlign w:val="subscript"/>
        </w:rPr>
        <w:t>t−1)</w:t>
      </w:r>
    </w:p>
    <w:p w14:paraId="67B37192"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Information:</w:t>
      </w:r>
    </w:p>
    <w:p w14:paraId="6A18E686"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S </w:t>
      </w:r>
      <w:r w:rsidRPr="00934FE7">
        <w:rPr>
          <w:rFonts w:ascii="Arial" w:hAnsi="Arial" w:cs="Arial"/>
          <w:color w:val="auto"/>
          <w:sz w:val="20"/>
          <w:szCs w:val="20"/>
          <w:vertAlign w:val="subscript"/>
        </w:rPr>
        <w:t xml:space="preserve">t </w:t>
      </w:r>
      <w:r w:rsidRPr="00934FE7">
        <w:rPr>
          <w:rFonts w:ascii="Arial" w:hAnsi="Arial" w:cs="Arial"/>
          <w:color w:val="auto"/>
          <w:sz w:val="20"/>
          <w:szCs w:val="20"/>
          <w:vertAlign w:val="subscript"/>
        </w:rPr>
        <w:tab/>
      </w:r>
      <w:r w:rsidRPr="00934FE7">
        <w:rPr>
          <w:rFonts w:ascii="Arial" w:hAnsi="Arial" w:cs="Arial"/>
          <w:color w:val="auto"/>
          <w:sz w:val="20"/>
          <w:szCs w:val="20"/>
        </w:rPr>
        <w:t xml:space="preserve">= Smoothed level at time </w:t>
      </w:r>
      <w:r w:rsidRPr="00934FE7">
        <w:rPr>
          <w:rFonts w:ascii="Arial" w:hAnsi="Arial" w:cs="Arial"/>
          <w:i/>
          <w:iCs/>
          <w:color w:val="auto"/>
          <w:sz w:val="20"/>
          <w:szCs w:val="20"/>
        </w:rPr>
        <w:t>t</w:t>
      </w:r>
      <w:r w:rsidRPr="00934FE7">
        <w:rPr>
          <w:rFonts w:ascii="Arial" w:hAnsi="Arial" w:cs="Arial"/>
          <w:color w:val="auto"/>
          <w:sz w:val="20"/>
          <w:szCs w:val="20"/>
        </w:rPr>
        <w:t xml:space="preserve"> </w:t>
      </w:r>
    </w:p>
    <w:p w14:paraId="58507F84"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Y </w:t>
      </w:r>
      <w:r w:rsidRPr="00934FE7">
        <w:rPr>
          <w:rFonts w:ascii="Arial" w:hAnsi="Arial" w:cs="Arial"/>
          <w:color w:val="auto"/>
          <w:sz w:val="20"/>
          <w:szCs w:val="20"/>
          <w:vertAlign w:val="subscript"/>
        </w:rPr>
        <w:t>t</w:t>
      </w:r>
      <w:r w:rsidRPr="00934FE7">
        <w:rPr>
          <w:rFonts w:ascii="Arial" w:hAnsi="Arial" w:cs="Arial"/>
          <w:color w:val="auto"/>
          <w:sz w:val="20"/>
          <w:szCs w:val="20"/>
        </w:rPr>
        <w:t xml:space="preserve"> </w:t>
      </w:r>
      <w:r w:rsidRPr="00934FE7">
        <w:rPr>
          <w:rFonts w:ascii="Arial" w:hAnsi="Arial" w:cs="Arial"/>
          <w:color w:val="auto"/>
          <w:sz w:val="20"/>
          <w:szCs w:val="20"/>
        </w:rPr>
        <w:tab/>
        <w:t xml:space="preserve">= Actual data value at time </w:t>
      </w:r>
      <w:r w:rsidRPr="00934FE7">
        <w:rPr>
          <w:rFonts w:ascii="Arial" w:hAnsi="Arial" w:cs="Arial"/>
          <w:i/>
          <w:iCs/>
          <w:color w:val="auto"/>
          <w:sz w:val="20"/>
          <w:szCs w:val="20"/>
        </w:rPr>
        <w:t>t</w:t>
      </w:r>
    </w:p>
    <w:p w14:paraId="2338C6D1"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Α </w:t>
      </w:r>
      <w:r w:rsidRPr="00934FE7">
        <w:rPr>
          <w:rFonts w:ascii="Arial" w:hAnsi="Arial" w:cs="Arial"/>
          <w:color w:val="auto"/>
          <w:sz w:val="20"/>
          <w:szCs w:val="20"/>
        </w:rPr>
        <w:tab/>
        <w:t xml:space="preserve">= Constant </w:t>
      </w:r>
      <w:r w:rsidRPr="00934FE7">
        <w:rPr>
          <w:rFonts w:ascii="Arial" w:hAnsi="Arial" w:cs="Arial"/>
          <w:i/>
          <w:iCs/>
          <w:color w:val="auto"/>
          <w:sz w:val="20"/>
          <w:szCs w:val="20"/>
        </w:rPr>
        <w:t xml:space="preserve">smoothing </w:t>
      </w:r>
      <w:r w:rsidRPr="00934FE7">
        <w:rPr>
          <w:rFonts w:ascii="Arial" w:hAnsi="Arial" w:cs="Arial"/>
          <w:color w:val="auto"/>
          <w:sz w:val="20"/>
          <w:szCs w:val="20"/>
        </w:rPr>
        <w:t>for level (value between 0 and 1)</w:t>
      </w:r>
    </w:p>
    <w:p w14:paraId="54300DED"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S </w:t>
      </w:r>
      <w:r w:rsidRPr="00934FE7">
        <w:rPr>
          <w:rFonts w:ascii="Arial" w:hAnsi="Arial" w:cs="Arial"/>
          <w:color w:val="auto"/>
          <w:sz w:val="20"/>
          <w:szCs w:val="20"/>
          <w:vertAlign w:val="subscript"/>
        </w:rPr>
        <w:t>t−1</w:t>
      </w:r>
      <w:r w:rsidRPr="00934FE7">
        <w:rPr>
          <w:rFonts w:ascii="Arial" w:hAnsi="Arial" w:cs="Arial"/>
          <w:color w:val="auto"/>
          <w:sz w:val="20"/>
          <w:szCs w:val="20"/>
        </w:rPr>
        <w:t xml:space="preserve">​ = </w:t>
      </w:r>
      <w:r w:rsidRPr="00934FE7">
        <w:rPr>
          <w:rFonts w:ascii="Arial" w:hAnsi="Arial" w:cs="Arial"/>
          <w:color w:val="auto"/>
          <w:sz w:val="20"/>
          <w:szCs w:val="20"/>
        </w:rPr>
        <w:t>Smoothed level at time t−1</w:t>
      </w:r>
    </w:p>
    <w:p w14:paraId="52931A4F" w14:textId="77777777" w:rsidR="004E6B58" w:rsidRPr="00934FE7" w:rsidRDefault="00AA4368">
      <w:pPr>
        <w:pStyle w:val="ListParagraph"/>
        <w:spacing w:after="0" w:line="240" w:lineRule="auto"/>
        <w:ind w:left="360"/>
        <w:rPr>
          <w:rFonts w:ascii="Arial" w:hAnsi="Arial" w:cs="Arial"/>
          <w:i/>
          <w:iCs/>
          <w:color w:val="auto"/>
          <w:sz w:val="20"/>
          <w:szCs w:val="20"/>
        </w:rPr>
      </w:pPr>
      <w:r w:rsidRPr="00934FE7">
        <w:rPr>
          <w:rFonts w:ascii="Arial" w:hAnsi="Arial" w:cs="Arial"/>
          <w:color w:val="auto"/>
          <w:sz w:val="20"/>
          <w:szCs w:val="20"/>
        </w:rPr>
        <w:t xml:space="preserve">T </w:t>
      </w:r>
      <w:r w:rsidRPr="00934FE7">
        <w:rPr>
          <w:rFonts w:ascii="Arial" w:hAnsi="Arial" w:cs="Arial"/>
          <w:color w:val="auto"/>
          <w:sz w:val="20"/>
          <w:szCs w:val="20"/>
          <w:vertAlign w:val="subscript"/>
        </w:rPr>
        <w:t>t−1</w:t>
      </w:r>
      <w:r w:rsidRPr="00934FE7">
        <w:rPr>
          <w:rFonts w:ascii="Arial" w:hAnsi="Arial" w:cs="Arial"/>
          <w:color w:val="auto"/>
          <w:sz w:val="20"/>
          <w:szCs w:val="20"/>
        </w:rPr>
        <w:t xml:space="preserve">​ = Smoothed </w:t>
      </w:r>
      <w:r w:rsidRPr="00934FE7">
        <w:rPr>
          <w:rFonts w:ascii="Arial" w:hAnsi="Arial" w:cs="Arial"/>
          <w:i/>
          <w:iCs/>
          <w:color w:val="auto"/>
          <w:sz w:val="20"/>
          <w:szCs w:val="20"/>
        </w:rPr>
        <w:t>trend at time t−1</w:t>
      </w:r>
    </w:p>
    <w:p w14:paraId="72B15C63" w14:textId="77777777" w:rsidR="004E6B58" w:rsidRPr="00B54E47" w:rsidRDefault="004E6B58">
      <w:pPr>
        <w:pStyle w:val="ListParagraph"/>
        <w:spacing w:after="0" w:line="240" w:lineRule="auto"/>
        <w:ind w:left="360"/>
        <w:rPr>
          <w:rFonts w:ascii="Arial" w:hAnsi="Arial" w:cs="Arial"/>
          <w:color w:val="auto"/>
          <w:sz w:val="20"/>
          <w:szCs w:val="20"/>
        </w:rPr>
      </w:pPr>
    </w:p>
    <w:p w14:paraId="19324791" w14:textId="77777777" w:rsidR="004E6B58" w:rsidRPr="00934FE7" w:rsidRDefault="00AA4368">
      <w:pPr>
        <w:pStyle w:val="ListParagraph"/>
        <w:numPr>
          <w:ilvl w:val="0"/>
          <w:numId w:val="4"/>
        </w:numPr>
        <w:spacing w:after="0" w:line="240" w:lineRule="auto"/>
        <w:ind w:left="360"/>
        <w:rPr>
          <w:rFonts w:ascii="Arial" w:hAnsi="Arial" w:cs="Arial"/>
          <w:color w:val="auto"/>
          <w:sz w:val="20"/>
          <w:szCs w:val="20"/>
        </w:rPr>
      </w:pPr>
      <w:r w:rsidRPr="00934FE7">
        <w:rPr>
          <w:rFonts w:ascii="Arial" w:hAnsi="Arial" w:cs="Arial"/>
          <w:color w:val="auto"/>
          <w:sz w:val="20"/>
          <w:szCs w:val="20"/>
        </w:rPr>
        <w:t>Trend</w:t>
      </w:r>
    </w:p>
    <w:p w14:paraId="38F0340F" w14:textId="2D1F4CD6" w:rsidR="004E6B58" w:rsidRPr="00934FE7" w:rsidRDefault="00AA4368">
      <w:pPr>
        <w:pStyle w:val="ListParagraph"/>
        <w:spacing w:after="0" w:line="240" w:lineRule="auto"/>
        <w:ind w:left="360"/>
        <w:jc w:val="center"/>
        <w:rPr>
          <w:rFonts w:ascii="Arial" w:hAnsi="Arial" w:cs="Arial"/>
          <w:b/>
          <w:bCs/>
          <w:color w:val="auto"/>
          <w:sz w:val="20"/>
          <w:szCs w:val="20"/>
        </w:rPr>
      </w:pPr>
      <w:r w:rsidRPr="00934FE7">
        <w:rPr>
          <w:rFonts w:ascii="Arial" w:hAnsi="Arial" w:cs="Arial"/>
          <w:b/>
          <w:bCs/>
          <w:color w:val="auto"/>
          <w:sz w:val="20"/>
          <w:szCs w:val="20"/>
        </w:rPr>
        <w:t>Tt​ = β (St – S</w:t>
      </w:r>
      <w:r w:rsidRPr="00934FE7">
        <w:rPr>
          <w:rFonts w:ascii="Arial" w:hAnsi="Arial" w:cs="Arial"/>
          <w:b/>
          <w:bCs/>
          <w:color w:val="auto"/>
          <w:sz w:val="20"/>
          <w:szCs w:val="20"/>
          <w:vertAlign w:val="subscript"/>
        </w:rPr>
        <w:t>t − 1)</w:t>
      </w:r>
      <w:r w:rsidRPr="00934FE7">
        <w:rPr>
          <w:rFonts w:ascii="Arial" w:hAnsi="Arial" w:cs="Arial"/>
          <w:b/>
          <w:bCs/>
          <w:color w:val="auto"/>
          <w:sz w:val="20"/>
          <w:szCs w:val="20"/>
        </w:rPr>
        <w:t xml:space="preserve"> + (1−β) T</w:t>
      </w:r>
      <w:r w:rsidRPr="00934FE7">
        <w:rPr>
          <w:rFonts w:ascii="Arial" w:hAnsi="Arial" w:cs="Arial"/>
          <w:b/>
          <w:bCs/>
          <w:color w:val="auto"/>
          <w:sz w:val="20"/>
          <w:szCs w:val="20"/>
          <w:vertAlign w:val="subscript"/>
        </w:rPr>
        <w:t>t−1</w:t>
      </w:r>
    </w:p>
    <w:p w14:paraId="7209E7A2"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Information:</w:t>
      </w:r>
    </w:p>
    <w:p w14:paraId="010816EF"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T </w:t>
      </w:r>
      <w:proofErr w:type="spellStart"/>
      <w:r w:rsidRPr="00934FE7">
        <w:rPr>
          <w:rFonts w:ascii="Arial" w:hAnsi="Arial" w:cs="Arial"/>
          <w:color w:val="auto"/>
          <w:sz w:val="20"/>
          <w:szCs w:val="20"/>
          <w:vertAlign w:val="subscript"/>
        </w:rPr>
        <w:t>t</w:t>
      </w:r>
      <w:proofErr w:type="spellEnd"/>
      <w:r w:rsidRPr="00934FE7">
        <w:rPr>
          <w:rFonts w:ascii="Arial" w:hAnsi="Arial" w:cs="Arial"/>
          <w:color w:val="auto"/>
          <w:sz w:val="20"/>
          <w:szCs w:val="20"/>
          <w:vertAlign w:val="subscript"/>
        </w:rPr>
        <w:t xml:space="preserve"> </w:t>
      </w:r>
      <w:r w:rsidRPr="00934FE7">
        <w:rPr>
          <w:rFonts w:ascii="Arial" w:hAnsi="Arial" w:cs="Arial"/>
          <w:color w:val="auto"/>
          <w:sz w:val="20"/>
          <w:szCs w:val="20"/>
        </w:rPr>
        <w:tab/>
        <w:t>​= Smoothed trend at time t</w:t>
      </w:r>
    </w:p>
    <w:p w14:paraId="2E6483A6"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β </w:t>
      </w:r>
      <w:r w:rsidRPr="00934FE7">
        <w:rPr>
          <w:rFonts w:ascii="Arial" w:hAnsi="Arial" w:cs="Arial"/>
          <w:color w:val="auto"/>
          <w:sz w:val="20"/>
          <w:szCs w:val="20"/>
        </w:rPr>
        <w:tab/>
        <w:t>= Smoothing constant for trend (value between 0 and 1)</w:t>
      </w:r>
    </w:p>
    <w:p w14:paraId="611B5351"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S </w:t>
      </w:r>
      <w:r w:rsidRPr="00934FE7">
        <w:rPr>
          <w:rFonts w:ascii="Arial" w:hAnsi="Arial" w:cs="Arial"/>
          <w:color w:val="auto"/>
          <w:sz w:val="20"/>
          <w:szCs w:val="20"/>
          <w:vertAlign w:val="subscript"/>
        </w:rPr>
        <w:t>t</w:t>
      </w:r>
      <w:r w:rsidRPr="00934FE7">
        <w:rPr>
          <w:rFonts w:ascii="Arial" w:hAnsi="Arial" w:cs="Arial"/>
          <w:color w:val="auto"/>
          <w:sz w:val="20"/>
          <w:szCs w:val="20"/>
        </w:rPr>
        <w:t xml:space="preserve"> </w:t>
      </w:r>
      <w:r w:rsidRPr="00934FE7">
        <w:rPr>
          <w:rFonts w:ascii="Arial" w:hAnsi="Arial" w:cs="Arial"/>
          <w:color w:val="auto"/>
          <w:sz w:val="20"/>
          <w:szCs w:val="20"/>
        </w:rPr>
        <w:tab/>
        <w:t>= Smoothed level at time t</w:t>
      </w:r>
    </w:p>
    <w:p w14:paraId="705831DD"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lastRenderedPageBreak/>
        <w:t xml:space="preserve">S </w:t>
      </w:r>
      <w:r w:rsidRPr="00934FE7">
        <w:rPr>
          <w:rFonts w:ascii="Arial" w:hAnsi="Arial" w:cs="Arial"/>
          <w:color w:val="auto"/>
          <w:sz w:val="20"/>
          <w:szCs w:val="20"/>
          <w:vertAlign w:val="subscript"/>
        </w:rPr>
        <w:t>t−1</w:t>
      </w:r>
      <w:r w:rsidRPr="00934FE7">
        <w:rPr>
          <w:rFonts w:ascii="Arial" w:hAnsi="Arial" w:cs="Arial"/>
          <w:color w:val="auto"/>
          <w:sz w:val="20"/>
          <w:szCs w:val="20"/>
        </w:rPr>
        <w:t xml:space="preserve">​ = </w:t>
      </w:r>
      <w:r w:rsidRPr="00934FE7">
        <w:rPr>
          <w:rFonts w:ascii="Arial" w:hAnsi="Arial" w:cs="Arial"/>
          <w:color w:val="auto"/>
          <w:sz w:val="20"/>
          <w:szCs w:val="20"/>
        </w:rPr>
        <w:t>Smoothed level at time t−1</w:t>
      </w:r>
    </w:p>
    <w:p w14:paraId="027DCEF2" w14:textId="77777777" w:rsidR="004E6B58" w:rsidRPr="00934FE7" w:rsidRDefault="00AA4368">
      <w:pPr>
        <w:jc w:val="both"/>
        <w:rPr>
          <w:rFonts w:ascii="Arial" w:hAnsi="Arial" w:cs="Arial"/>
        </w:rPr>
      </w:pPr>
      <w:r w:rsidRPr="00934FE7">
        <w:rPr>
          <w:rFonts w:ascii="Arial" w:hAnsi="Arial" w:cs="Arial"/>
        </w:rPr>
        <w:t>For forecasting</w:t>
      </w:r>
      <w:r w:rsidRPr="00934FE7">
        <w:rPr>
          <w:rFonts w:ascii="Arial" w:hAnsi="Arial" w:cs="Arial"/>
          <w:i/>
          <w:iCs/>
        </w:rPr>
        <w:t xml:space="preserve">, </w:t>
      </w:r>
      <w:r w:rsidRPr="00934FE7">
        <w:rPr>
          <w:rFonts w:ascii="Arial" w:hAnsi="Arial" w:cs="Arial"/>
        </w:rPr>
        <w:t>the following formula is used:</w:t>
      </w:r>
    </w:p>
    <w:p w14:paraId="2F78BD82" w14:textId="45ACB59B" w:rsidR="004E6B58" w:rsidRPr="00934FE7" w:rsidRDefault="00AA4368">
      <w:pPr>
        <w:jc w:val="center"/>
        <w:rPr>
          <w:rFonts w:ascii="Arial" w:hAnsi="Arial" w:cs="Arial"/>
          <w:b/>
          <w:bCs/>
        </w:rPr>
      </w:pPr>
      <w:r w:rsidRPr="00934FE7">
        <w:rPr>
          <w:rFonts w:ascii="Arial" w:hAnsi="Arial" w:cs="Arial"/>
          <w:b/>
          <w:bCs/>
        </w:rPr>
        <w:t>F</w:t>
      </w:r>
      <w:r w:rsidRPr="00934FE7">
        <w:rPr>
          <w:rFonts w:ascii="Arial" w:hAnsi="Arial" w:cs="Arial"/>
          <w:b/>
          <w:bCs/>
          <w:vertAlign w:val="subscript"/>
        </w:rPr>
        <w:t xml:space="preserve">t+1 </w:t>
      </w:r>
      <w:r w:rsidRPr="00934FE7">
        <w:rPr>
          <w:rFonts w:ascii="Arial" w:hAnsi="Arial" w:cs="Arial"/>
          <w:b/>
          <w:bCs/>
        </w:rPr>
        <w:t>= S</w:t>
      </w:r>
      <w:r w:rsidRPr="00934FE7">
        <w:rPr>
          <w:rFonts w:ascii="Arial" w:hAnsi="Arial" w:cs="Arial"/>
          <w:b/>
          <w:bCs/>
          <w:vertAlign w:val="subscript"/>
        </w:rPr>
        <w:t xml:space="preserve">t </w:t>
      </w:r>
      <w:r w:rsidRPr="00934FE7">
        <w:rPr>
          <w:rFonts w:ascii="Arial" w:hAnsi="Arial" w:cs="Arial"/>
          <w:b/>
          <w:bCs/>
        </w:rPr>
        <w:t>+ T</w:t>
      </w:r>
      <w:r w:rsidRPr="00934FE7">
        <w:rPr>
          <w:rFonts w:ascii="Arial" w:hAnsi="Arial" w:cs="Arial"/>
          <w:b/>
          <w:bCs/>
          <w:vertAlign w:val="subscript"/>
        </w:rPr>
        <w:t>t</w:t>
      </w:r>
    </w:p>
    <w:p w14:paraId="460AE26B" w14:textId="77777777" w:rsidR="004E6B58" w:rsidRPr="00934FE7" w:rsidRDefault="00AA4368">
      <w:pPr>
        <w:jc w:val="both"/>
        <w:rPr>
          <w:rFonts w:ascii="Arial" w:hAnsi="Arial" w:cs="Arial"/>
        </w:rPr>
      </w:pPr>
      <w:r w:rsidRPr="00934FE7">
        <w:rPr>
          <w:rFonts w:ascii="Arial" w:hAnsi="Arial" w:cs="Arial"/>
        </w:rPr>
        <w:t>Information:</w:t>
      </w:r>
    </w:p>
    <w:p w14:paraId="2A9D0A93" w14:textId="77777777" w:rsidR="004E6B58" w:rsidRPr="00934FE7" w:rsidRDefault="00AA4368">
      <w:pPr>
        <w:jc w:val="both"/>
        <w:rPr>
          <w:rFonts w:ascii="Arial" w:hAnsi="Arial" w:cs="Arial"/>
        </w:rPr>
      </w:pPr>
      <w:r w:rsidRPr="00934FE7">
        <w:rPr>
          <w:rFonts w:ascii="Arial" w:hAnsi="Arial" w:cs="Arial"/>
        </w:rPr>
        <w:t xml:space="preserve">F </w:t>
      </w:r>
      <w:proofErr w:type="spellStart"/>
      <w:r w:rsidRPr="00934FE7">
        <w:rPr>
          <w:rFonts w:ascii="Arial" w:hAnsi="Arial" w:cs="Arial"/>
          <w:vertAlign w:val="subscript"/>
        </w:rPr>
        <w:t>t+k</w:t>
      </w:r>
      <w:proofErr w:type="spellEnd"/>
      <w:r w:rsidRPr="00934FE7">
        <w:rPr>
          <w:rFonts w:ascii="Arial" w:hAnsi="Arial" w:cs="Arial"/>
          <w:vertAlign w:val="subscript"/>
        </w:rPr>
        <w:t xml:space="preserve"> </w:t>
      </w:r>
      <w:r w:rsidRPr="00934FE7">
        <w:rPr>
          <w:rFonts w:ascii="Arial" w:hAnsi="Arial" w:cs="Arial"/>
          <w:i/>
          <w:iCs/>
          <w:vertAlign w:val="subscript"/>
        </w:rPr>
        <w:tab/>
      </w:r>
      <w:r w:rsidRPr="00934FE7">
        <w:rPr>
          <w:rFonts w:ascii="Arial" w:hAnsi="Arial" w:cs="Arial"/>
        </w:rPr>
        <w:t>= Forecast for period t + k</w:t>
      </w:r>
    </w:p>
    <w:p w14:paraId="65AB6BDD" w14:textId="77777777" w:rsidR="004E6B58" w:rsidRPr="00934FE7" w:rsidRDefault="00AA4368">
      <w:pPr>
        <w:jc w:val="both"/>
        <w:rPr>
          <w:rFonts w:ascii="Arial" w:hAnsi="Arial" w:cs="Arial"/>
          <w:i/>
          <w:iCs/>
        </w:rPr>
      </w:pPr>
      <w:r w:rsidRPr="00934FE7">
        <w:rPr>
          <w:rFonts w:ascii="Arial" w:hAnsi="Arial" w:cs="Arial"/>
        </w:rPr>
        <w:t xml:space="preserve">S </w:t>
      </w:r>
      <w:r w:rsidRPr="00934FE7">
        <w:rPr>
          <w:rFonts w:ascii="Arial" w:hAnsi="Arial" w:cs="Arial"/>
          <w:vertAlign w:val="subscript"/>
        </w:rPr>
        <w:t>t</w:t>
      </w:r>
      <w:r w:rsidRPr="00934FE7">
        <w:rPr>
          <w:rFonts w:ascii="Arial" w:hAnsi="Arial" w:cs="Arial"/>
        </w:rPr>
        <w:t xml:space="preserve"> </w:t>
      </w:r>
      <w:r w:rsidRPr="00934FE7">
        <w:rPr>
          <w:rFonts w:ascii="Arial" w:hAnsi="Arial" w:cs="Arial"/>
        </w:rPr>
        <w:tab/>
        <w:t>= Smoothed level at time t</w:t>
      </w:r>
      <w:r w:rsidRPr="00934FE7">
        <w:rPr>
          <w:rFonts w:ascii="Arial" w:hAnsi="Arial" w:cs="Arial"/>
          <w:i/>
          <w:iCs/>
        </w:rPr>
        <w:t>.</w:t>
      </w:r>
    </w:p>
    <w:p w14:paraId="7C55DB8B" w14:textId="77777777" w:rsidR="004E6B58" w:rsidRPr="00934FE7" w:rsidRDefault="004E6B58">
      <w:pPr>
        <w:jc w:val="both"/>
        <w:rPr>
          <w:rFonts w:ascii="Arial" w:hAnsi="Arial" w:cs="Arial"/>
          <w:i/>
          <w:iCs/>
        </w:rPr>
      </w:pPr>
    </w:p>
    <w:p w14:paraId="04D450AC" w14:textId="77777777" w:rsidR="004E6B58" w:rsidRPr="00B54E47" w:rsidRDefault="00AA4368">
      <w:pPr>
        <w:pStyle w:val="ListParagraph"/>
        <w:numPr>
          <w:ilvl w:val="2"/>
          <w:numId w:val="3"/>
        </w:numPr>
        <w:tabs>
          <w:tab w:val="left" w:pos="567"/>
        </w:tabs>
        <w:spacing w:line="240" w:lineRule="auto"/>
        <w:ind w:left="426" w:hanging="426"/>
        <w:rPr>
          <w:rFonts w:ascii="Arial" w:hAnsi="Arial" w:cs="Arial"/>
          <w:b/>
          <w:color w:val="auto"/>
          <w:szCs w:val="18"/>
        </w:rPr>
      </w:pPr>
      <w:r w:rsidRPr="00B54E47">
        <w:rPr>
          <w:rFonts w:ascii="Arial" w:hAnsi="Arial" w:cs="Arial"/>
          <w:b/>
          <w:color w:val="auto"/>
          <w:sz w:val="20"/>
          <w:szCs w:val="14"/>
        </w:rPr>
        <w:t>Volatility Analysis</w:t>
      </w:r>
    </w:p>
    <w:p w14:paraId="60277C9F" w14:textId="526DA90E" w:rsidR="004E6B58" w:rsidRPr="00934FE7" w:rsidRDefault="00AA4368" w:rsidP="00A51D25">
      <w:pPr>
        <w:ind w:firstLine="284"/>
        <w:jc w:val="both"/>
        <w:rPr>
          <w:rFonts w:ascii="Arial" w:hAnsi="Arial" w:cs="Arial"/>
          <w:bCs/>
        </w:rPr>
      </w:pPr>
      <w:r w:rsidRPr="00934FE7">
        <w:rPr>
          <w:rFonts w:ascii="Arial" w:hAnsi="Arial" w:cs="Arial"/>
          <w:bCs/>
        </w:rPr>
        <w:t xml:space="preserve">Measurement This study employs an approach to measure the volatility of shallot prices using the ARCH (Autoregressive Conditional Heteroskedasticity) and GARCH (Generalized ARCH) models that </w:t>
      </w:r>
      <w:r w:rsidR="00A51D25" w:rsidRPr="00934FE7">
        <w:rPr>
          <w:rFonts w:ascii="Arial" w:hAnsi="Arial" w:cs="Arial"/>
          <w:bCs/>
        </w:rPr>
        <w:t>can</w:t>
      </w:r>
      <w:r w:rsidRPr="00934FE7">
        <w:rPr>
          <w:rFonts w:ascii="Arial" w:hAnsi="Arial" w:cs="Arial"/>
          <w:bCs/>
        </w:rPr>
        <w:t xml:space="preserve"> detect changes in data variability dynamically. The ARCH-GARC</w:t>
      </w:r>
      <w:r w:rsidRPr="00934FE7">
        <w:rPr>
          <w:rFonts w:ascii="Arial" w:hAnsi="Arial" w:cs="Arial"/>
          <w:bCs/>
        </w:rPr>
        <w:t>H model analysis has several stages that must be carried out, namely: (1) data stationarity test, (2) ARIMA modeling, (3) ARCH-LM test, (4) selection of the best model and volatility forecasting (Pipit et al, 2019). Data processing is conducted using EView</w:t>
      </w:r>
      <w:r w:rsidRPr="00934FE7">
        <w:rPr>
          <w:rFonts w:ascii="Arial" w:hAnsi="Arial" w:cs="Arial"/>
          <w:bCs/>
        </w:rPr>
        <w:t>s 12 software.</w:t>
      </w:r>
    </w:p>
    <w:p w14:paraId="65E4CB0F" w14:textId="77777777" w:rsidR="004E6B58" w:rsidRPr="00934FE7" w:rsidRDefault="00AA4368" w:rsidP="00A51D25">
      <w:pPr>
        <w:ind w:firstLine="284"/>
        <w:jc w:val="both"/>
        <w:rPr>
          <w:rFonts w:ascii="Arial" w:hAnsi="Arial" w:cs="Arial"/>
          <w:bCs/>
        </w:rPr>
      </w:pPr>
      <w:r w:rsidRPr="00934FE7">
        <w:rPr>
          <w:rFonts w:ascii="Arial" w:hAnsi="Arial" w:cs="Arial"/>
          <w:bCs/>
        </w:rPr>
        <w:t>According to (Engle et al,</w:t>
      </w:r>
      <w:r w:rsidRPr="00934FE7">
        <w:rPr>
          <w:rFonts w:ascii="Arial" w:hAnsi="Arial" w:cs="Arial"/>
          <w:bCs/>
          <w:i/>
          <w:iCs/>
        </w:rPr>
        <w:t xml:space="preserve"> </w:t>
      </w:r>
      <w:r w:rsidRPr="00934FE7">
        <w:rPr>
          <w:rFonts w:ascii="Arial" w:hAnsi="Arial" w:cs="Arial"/>
          <w:bCs/>
        </w:rPr>
        <w:t>2022) the criteria for volatility are as follows:</w:t>
      </w:r>
    </w:p>
    <w:p w14:paraId="154EDC7D" w14:textId="77777777" w:rsidR="004E6B58" w:rsidRPr="00934FE7" w:rsidRDefault="00AA4368">
      <w:pPr>
        <w:pStyle w:val="ListParagraph"/>
        <w:numPr>
          <w:ilvl w:val="0"/>
          <w:numId w:val="5"/>
        </w:numPr>
        <w:spacing w:after="0" w:line="240" w:lineRule="auto"/>
        <w:rPr>
          <w:rFonts w:ascii="Arial" w:hAnsi="Arial" w:cs="Arial"/>
          <w:color w:val="auto"/>
          <w:sz w:val="20"/>
          <w:szCs w:val="20"/>
        </w:rPr>
      </w:pPr>
      <w:r w:rsidRPr="00934FE7">
        <w:rPr>
          <w:rFonts w:ascii="Arial" w:hAnsi="Arial" w:cs="Arial"/>
          <w:color w:val="auto"/>
          <w:sz w:val="20"/>
          <w:szCs w:val="20"/>
        </w:rPr>
        <w:t>If α1 + β1 &lt; 1, then price volatility is low (</w:t>
      </w:r>
      <w:r w:rsidRPr="00934FE7">
        <w:rPr>
          <w:rFonts w:ascii="Arial" w:hAnsi="Arial" w:cs="Arial"/>
          <w:i/>
          <w:iCs/>
          <w:color w:val="auto"/>
          <w:sz w:val="20"/>
          <w:szCs w:val="20"/>
        </w:rPr>
        <w:t>low volatility)</w:t>
      </w:r>
      <w:r w:rsidRPr="00934FE7">
        <w:rPr>
          <w:rFonts w:ascii="Arial" w:hAnsi="Arial" w:cs="Arial"/>
          <w:color w:val="auto"/>
          <w:sz w:val="20"/>
          <w:szCs w:val="20"/>
        </w:rPr>
        <w:t>.</w:t>
      </w:r>
    </w:p>
    <w:p w14:paraId="0D6D5951" w14:textId="77777777" w:rsidR="004E6B58" w:rsidRPr="00934FE7" w:rsidRDefault="00AA4368">
      <w:pPr>
        <w:pStyle w:val="ListParagraph"/>
        <w:numPr>
          <w:ilvl w:val="0"/>
          <w:numId w:val="5"/>
        </w:numPr>
        <w:spacing w:after="0" w:line="240" w:lineRule="auto"/>
        <w:rPr>
          <w:rFonts w:ascii="Arial" w:hAnsi="Arial" w:cs="Arial"/>
          <w:color w:val="auto"/>
          <w:sz w:val="20"/>
          <w:szCs w:val="20"/>
        </w:rPr>
      </w:pPr>
      <w:r w:rsidRPr="00934FE7">
        <w:rPr>
          <w:rFonts w:ascii="Arial" w:hAnsi="Arial" w:cs="Arial"/>
          <w:color w:val="auto"/>
          <w:sz w:val="20"/>
          <w:szCs w:val="20"/>
        </w:rPr>
        <w:t>If α1 + β1 = 1, then the price volatility that occurs is high (</w:t>
      </w:r>
      <w:r w:rsidRPr="00934FE7">
        <w:rPr>
          <w:rFonts w:ascii="Arial" w:hAnsi="Arial" w:cs="Arial"/>
          <w:i/>
          <w:iCs/>
          <w:color w:val="auto"/>
          <w:sz w:val="20"/>
          <w:szCs w:val="20"/>
        </w:rPr>
        <w:t>high volatility)</w:t>
      </w:r>
      <w:r w:rsidRPr="00934FE7">
        <w:rPr>
          <w:rFonts w:ascii="Arial" w:hAnsi="Arial" w:cs="Arial"/>
          <w:color w:val="auto"/>
          <w:sz w:val="20"/>
          <w:szCs w:val="20"/>
        </w:rPr>
        <w:t>.</w:t>
      </w:r>
    </w:p>
    <w:p w14:paraId="37082ADA" w14:textId="77777777" w:rsidR="004E6B58" w:rsidRPr="00934FE7" w:rsidRDefault="00AA4368">
      <w:pPr>
        <w:pStyle w:val="ListParagraph"/>
        <w:numPr>
          <w:ilvl w:val="0"/>
          <w:numId w:val="5"/>
        </w:numPr>
        <w:spacing w:after="0" w:line="240" w:lineRule="auto"/>
        <w:rPr>
          <w:rFonts w:ascii="Arial" w:hAnsi="Arial" w:cs="Arial"/>
          <w:color w:val="auto"/>
          <w:sz w:val="20"/>
          <w:szCs w:val="20"/>
        </w:rPr>
      </w:pPr>
      <w:r w:rsidRPr="00934FE7">
        <w:rPr>
          <w:rFonts w:ascii="Arial" w:hAnsi="Arial" w:cs="Arial"/>
          <w:color w:val="auto"/>
          <w:sz w:val="20"/>
          <w:szCs w:val="20"/>
        </w:rPr>
        <w:t>If α1 + β1 &gt; 1, then</w:t>
      </w:r>
      <w:r w:rsidRPr="00934FE7">
        <w:rPr>
          <w:rFonts w:ascii="Arial" w:hAnsi="Arial" w:cs="Arial"/>
          <w:color w:val="auto"/>
          <w:sz w:val="20"/>
          <w:szCs w:val="20"/>
        </w:rPr>
        <w:t xml:space="preserve"> the price volatility that occurs is extremely high (</w:t>
      </w:r>
      <w:r w:rsidRPr="00934FE7">
        <w:rPr>
          <w:rFonts w:ascii="Arial" w:hAnsi="Arial" w:cs="Arial"/>
          <w:i/>
          <w:iCs/>
          <w:color w:val="auto"/>
          <w:sz w:val="20"/>
          <w:szCs w:val="20"/>
        </w:rPr>
        <w:t>extremely high volatility)</w:t>
      </w:r>
      <w:r w:rsidRPr="00934FE7">
        <w:rPr>
          <w:rFonts w:ascii="Arial" w:hAnsi="Arial" w:cs="Arial"/>
          <w:color w:val="auto"/>
          <w:sz w:val="20"/>
          <w:szCs w:val="20"/>
        </w:rPr>
        <w:t>.</w:t>
      </w:r>
    </w:p>
    <w:p w14:paraId="4F60D066" w14:textId="77777777" w:rsidR="004E6B58" w:rsidRPr="00934FE7" w:rsidRDefault="004E6B58">
      <w:pPr>
        <w:rPr>
          <w:rFonts w:ascii="Arial" w:hAnsi="Arial" w:cs="Arial"/>
        </w:rPr>
      </w:pPr>
    </w:p>
    <w:p w14:paraId="5027C5C6" w14:textId="77777777" w:rsidR="004E6B58" w:rsidRPr="00934FE7" w:rsidRDefault="00AA4368">
      <w:pPr>
        <w:pStyle w:val="Heading1"/>
        <w:spacing w:before="0" w:after="0"/>
        <w:rPr>
          <w:sz w:val="22"/>
        </w:rPr>
      </w:pPr>
      <w:r w:rsidRPr="00934FE7">
        <w:rPr>
          <w:sz w:val="22"/>
          <w:szCs w:val="16"/>
        </w:rPr>
        <w:t>RESULTS AND DISCUSSION</w:t>
      </w:r>
    </w:p>
    <w:p w14:paraId="20DB2C46" w14:textId="77777777" w:rsidR="004E6B58" w:rsidRPr="00934FE7" w:rsidRDefault="00AA4368">
      <w:pPr>
        <w:pStyle w:val="ListParagraph"/>
        <w:numPr>
          <w:ilvl w:val="0"/>
          <w:numId w:val="6"/>
        </w:numPr>
        <w:spacing w:after="0" w:line="240" w:lineRule="auto"/>
        <w:ind w:right="8"/>
        <w:rPr>
          <w:rFonts w:ascii="Arial" w:hAnsi="Arial" w:cs="Arial"/>
          <w:b/>
          <w:color w:val="auto"/>
          <w:szCs w:val="24"/>
        </w:rPr>
      </w:pPr>
      <w:r w:rsidRPr="00934FE7">
        <w:rPr>
          <w:rFonts w:ascii="Arial" w:hAnsi="Arial" w:cs="Arial"/>
          <w:b/>
          <w:color w:val="auto"/>
          <w:sz w:val="22"/>
          <w:szCs w:val="28"/>
        </w:rPr>
        <w:t>Development of Production and Price of Red Onions in West Nusa Tenggara Province</w:t>
      </w:r>
      <w:r w:rsidRPr="00934FE7">
        <w:rPr>
          <w:rFonts w:ascii="Arial" w:hAnsi="Arial" w:cs="Arial"/>
          <w:b/>
          <w:color w:val="auto"/>
          <w:szCs w:val="24"/>
        </w:rPr>
        <w:t>.</w:t>
      </w:r>
    </w:p>
    <w:p w14:paraId="133E5020" w14:textId="77777777" w:rsidR="004E6B58" w:rsidRPr="00A51D25" w:rsidRDefault="00AA4368" w:rsidP="00A51D25">
      <w:pPr>
        <w:pStyle w:val="ListParagraph"/>
        <w:numPr>
          <w:ilvl w:val="2"/>
          <w:numId w:val="7"/>
        </w:numPr>
        <w:spacing w:before="120" w:after="0" w:line="240" w:lineRule="auto"/>
        <w:ind w:left="567" w:right="6" w:hanging="578"/>
        <w:rPr>
          <w:rFonts w:ascii="Arial" w:hAnsi="Arial" w:cs="Arial"/>
          <w:b/>
          <w:color w:val="auto"/>
          <w:szCs w:val="24"/>
        </w:rPr>
      </w:pPr>
      <w:r w:rsidRPr="00A51D25">
        <w:rPr>
          <w:rFonts w:ascii="Arial" w:hAnsi="Arial" w:cs="Arial"/>
          <w:b/>
          <w:color w:val="auto"/>
          <w:sz w:val="20"/>
          <w:szCs w:val="20"/>
        </w:rPr>
        <w:t>Production Development</w:t>
      </w:r>
    </w:p>
    <w:p w14:paraId="5894952B" w14:textId="77777777" w:rsidR="004E6B58" w:rsidRPr="00934FE7" w:rsidRDefault="00AA4368" w:rsidP="00A51D25">
      <w:pPr>
        <w:ind w:firstLine="284"/>
        <w:jc w:val="both"/>
        <w:rPr>
          <w:rFonts w:ascii="Arial" w:hAnsi="Arial" w:cs="Arial"/>
          <w:szCs w:val="24"/>
        </w:rPr>
      </w:pPr>
      <w:r w:rsidRPr="00934FE7">
        <w:rPr>
          <w:rFonts w:ascii="Arial" w:hAnsi="Arial" w:cs="Arial"/>
          <w:szCs w:val="24"/>
        </w:rPr>
        <w:t xml:space="preserve">The development of shallot production in West </w:t>
      </w:r>
      <w:r w:rsidRPr="00934FE7">
        <w:rPr>
          <w:rFonts w:ascii="Arial" w:hAnsi="Arial" w:cs="Arial"/>
          <w:szCs w:val="24"/>
        </w:rPr>
        <w:t>Nusa Tenggara Province over the past five years (2019–2023) has shown fluctuations from year to year. The development of shallot production in 2019-2023 can be seen in Table 1.</w:t>
      </w:r>
    </w:p>
    <w:p w14:paraId="572B7FA4" w14:textId="77777777" w:rsidR="004E6B58" w:rsidRPr="00934FE7" w:rsidRDefault="00AA4368" w:rsidP="008C5E62">
      <w:pPr>
        <w:spacing w:before="120" w:after="120"/>
        <w:ind w:left="851" w:hanging="851"/>
        <w:rPr>
          <w:rFonts w:ascii="Arial" w:hAnsi="Arial" w:cs="Arial"/>
          <w:szCs w:val="24"/>
        </w:rPr>
      </w:pPr>
      <w:r w:rsidRPr="00934FE7">
        <w:rPr>
          <w:rFonts w:ascii="Arial" w:hAnsi="Arial" w:cs="Arial"/>
          <w:szCs w:val="24"/>
        </w:rPr>
        <w:t xml:space="preserve">Table 1. Presents the annual shallot production in West Nusa Tenggara Province </w:t>
      </w:r>
      <w:r w:rsidRPr="00934FE7">
        <w:rPr>
          <w:rFonts w:ascii="Arial" w:hAnsi="Arial" w:cs="Arial"/>
          <w:szCs w:val="24"/>
        </w:rPr>
        <w:t>from 2019 to 2023.</w:t>
      </w:r>
    </w:p>
    <w:tbl>
      <w:tblPr>
        <w:tblStyle w:val="TableGrid"/>
        <w:tblW w:w="0" w:type="auto"/>
        <w:jc w:val="center"/>
        <w:tblLook w:val="04A0" w:firstRow="1" w:lastRow="0" w:firstColumn="1" w:lastColumn="0" w:noHBand="0" w:noVBand="1"/>
      </w:tblPr>
      <w:tblGrid>
        <w:gridCol w:w="4425"/>
        <w:gridCol w:w="3471"/>
      </w:tblGrid>
      <w:tr w:rsidR="00934FE7" w:rsidRPr="00934FE7" w14:paraId="3054BDD0" w14:textId="77777777">
        <w:trPr>
          <w:trHeight w:val="256"/>
          <w:jc w:val="center"/>
        </w:trPr>
        <w:tc>
          <w:tcPr>
            <w:tcW w:w="4425" w:type="dxa"/>
            <w:tcBorders>
              <w:left w:val="nil"/>
              <w:bottom w:val="single" w:sz="4" w:space="0" w:color="auto"/>
              <w:right w:val="nil"/>
            </w:tcBorders>
          </w:tcPr>
          <w:p w14:paraId="3ACC9B6F" w14:textId="77777777" w:rsidR="004E6B58" w:rsidRPr="00934FE7" w:rsidRDefault="00AA4368">
            <w:pPr>
              <w:jc w:val="center"/>
              <w:rPr>
                <w:rFonts w:ascii="Arial" w:hAnsi="Arial" w:cs="Arial"/>
                <w:b/>
                <w:bCs/>
                <w:szCs w:val="24"/>
              </w:rPr>
            </w:pPr>
            <w:r w:rsidRPr="00934FE7">
              <w:rPr>
                <w:rFonts w:ascii="Arial" w:hAnsi="Arial" w:cs="Arial"/>
                <w:b/>
                <w:bCs/>
                <w:szCs w:val="24"/>
              </w:rPr>
              <w:t>Year</w:t>
            </w:r>
          </w:p>
        </w:tc>
        <w:tc>
          <w:tcPr>
            <w:tcW w:w="3471" w:type="dxa"/>
            <w:tcBorders>
              <w:left w:val="nil"/>
              <w:bottom w:val="single" w:sz="4" w:space="0" w:color="auto"/>
              <w:right w:val="nil"/>
            </w:tcBorders>
          </w:tcPr>
          <w:p w14:paraId="5673B788" w14:textId="77777777" w:rsidR="004E6B58" w:rsidRPr="00934FE7" w:rsidRDefault="00AA4368">
            <w:pPr>
              <w:jc w:val="center"/>
              <w:rPr>
                <w:rFonts w:ascii="Arial" w:hAnsi="Arial" w:cs="Arial"/>
                <w:b/>
                <w:bCs/>
                <w:szCs w:val="24"/>
              </w:rPr>
            </w:pPr>
            <w:r w:rsidRPr="00934FE7">
              <w:rPr>
                <w:rFonts w:ascii="Arial" w:hAnsi="Arial" w:cs="Arial"/>
                <w:b/>
                <w:bCs/>
                <w:szCs w:val="24"/>
              </w:rPr>
              <w:t>Production (tons)</w:t>
            </w:r>
          </w:p>
        </w:tc>
      </w:tr>
      <w:tr w:rsidR="00934FE7" w:rsidRPr="00934FE7" w14:paraId="6D3EA74F" w14:textId="77777777">
        <w:trPr>
          <w:trHeight w:val="256"/>
          <w:jc w:val="center"/>
        </w:trPr>
        <w:tc>
          <w:tcPr>
            <w:tcW w:w="4425" w:type="dxa"/>
            <w:tcBorders>
              <w:left w:val="nil"/>
              <w:bottom w:val="nil"/>
              <w:right w:val="nil"/>
            </w:tcBorders>
          </w:tcPr>
          <w:p w14:paraId="3E02B37F" w14:textId="77777777" w:rsidR="004E6B58" w:rsidRPr="00934FE7" w:rsidRDefault="00AA4368">
            <w:pPr>
              <w:jc w:val="center"/>
              <w:rPr>
                <w:rFonts w:ascii="Arial" w:hAnsi="Arial" w:cs="Arial"/>
                <w:szCs w:val="24"/>
              </w:rPr>
            </w:pPr>
            <w:r w:rsidRPr="00934FE7">
              <w:rPr>
                <w:rFonts w:ascii="Arial" w:hAnsi="Arial" w:cs="Arial"/>
                <w:szCs w:val="24"/>
              </w:rPr>
              <w:t>2019</w:t>
            </w:r>
          </w:p>
        </w:tc>
        <w:tc>
          <w:tcPr>
            <w:tcW w:w="3471" w:type="dxa"/>
            <w:tcBorders>
              <w:left w:val="nil"/>
              <w:bottom w:val="nil"/>
              <w:right w:val="nil"/>
            </w:tcBorders>
          </w:tcPr>
          <w:p w14:paraId="08ACEE4D" w14:textId="77777777" w:rsidR="004E6B58" w:rsidRPr="00934FE7" w:rsidRDefault="00AA4368">
            <w:pPr>
              <w:jc w:val="right"/>
              <w:rPr>
                <w:rFonts w:ascii="Arial" w:hAnsi="Arial" w:cs="Arial"/>
                <w:szCs w:val="24"/>
              </w:rPr>
            </w:pPr>
            <w:r w:rsidRPr="00934FE7">
              <w:rPr>
                <w:rFonts w:ascii="Arial" w:hAnsi="Arial" w:cs="Arial"/>
                <w:szCs w:val="24"/>
              </w:rPr>
              <w:t>1.882,545</w:t>
            </w:r>
          </w:p>
        </w:tc>
      </w:tr>
      <w:tr w:rsidR="00934FE7" w:rsidRPr="00934FE7" w14:paraId="2A16D400" w14:textId="77777777">
        <w:trPr>
          <w:trHeight w:val="271"/>
          <w:jc w:val="center"/>
        </w:trPr>
        <w:tc>
          <w:tcPr>
            <w:tcW w:w="4425" w:type="dxa"/>
            <w:tcBorders>
              <w:top w:val="nil"/>
              <w:left w:val="nil"/>
              <w:bottom w:val="nil"/>
              <w:right w:val="nil"/>
            </w:tcBorders>
          </w:tcPr>
          <w:p w14:paraId="17A56967" w14:textId="77777777" w:rsidR="004E6B58" w:rsidRPr="00934FE7" w:rsidRDefault="00AA4368">
            <w:pPr>
              <w:jc w:val="center"/>
              <w:rPr>
                <w:rFonts w:ascii="Arial" w:hAnsi="Arial" w:cs="Arial"/>
                <w:szCs w:val="24"/>
              </w:rPr>
            </w:pPr>
            <w:r w:rsidRPr="00934FE7">
              <w:rPr>
                <w:rFonts w:ascii="Arial" w:hAnsi="Arial" w:cs="Arial"/>
                <w:szCs w:val="24"/>
              </w:rPr>
              <w:t>2020</w:t>
            </w:r>
          </w:p>
        </w:tc>
        <w:tc>
          <w:tcPr>
            <w:tcW w:w="3471" w:type="dxa"/>
            <w:tcBorders>
              <w:top w:val="nil"/>
              <w:left w:val="nil"/>
              <w:bottom w:val="nil"/>
              <w:right w:val="nil"/>
            </w:tcBorders>
          </w:tcPr>
          <w:p w14:paraId="3FC956E1" w14:textId="77777777" w:rsidR="004E6B58" w:rsidRPr="00934FE7" w:rsidRDefault="00AA4368">
            <w:pPr>
              <w:jc w:val="right"/>
              <w:rPr>
                <w:rFonts w:ascii="Arial" w:hAnsi="Arial" w:cs="Arial"/>
                <w:szCs w:val="24"/>
              </w:rPr>
            </w:pPr>
            <w:r w:rsidRPr="00934FE7">
              <w:rPr>
                <w:rFonts w:ascii="Arial" w:hAnsi="Arial" w:cs="Arial"/>
                <w:szCs w:val="24"/>
              </w:rPr>
              <w:t>1.857,954</w:t>
            </w:r>
          </w:p>
        </w:tc>
      </w:tr>
      <w:tr w:rsidR="00934FE7" w:rsidRPr="00934FE7" w14:paraId="445D6574" w14:textId="77777777">
        <w:trPr>
          <w:trHeight w:val="256"/>
          <w:jc w:val="center"/>
        </w:trPr>
        <w:tc>
          <w:tcPr>
            <w:tcW w:w="4425" w:type="dxa"/>
            <w:tcBorders>
              <w:top w:val="nil"/>
              <w:left w:val="nil"/>
              <w:bottom w:val="nil"/>
              <w:right w:val="nil"/>
            </w:tcBorders>
          </w:tcPr>
          <w:p w14:paraId="48CFCACF" w14:textId="77777777" w:rsidR="004E6B58" w:rsidRPr="00934FE7" w:rsidRDefault="00AA4368">
            <w:pPr>
              <w:jc w:val="center"/>
              <w:rPr>
                <w:rFonts w:ascii="Arial" w:hAnsi="Arial" w:cs="Arial"/>
                <w:szCs w:val="24"/>
              </w:rPr>
            </w:pPr>
            <w:r w:rsidRPr="00934FE7">
              <w:rPr>
                <w:rFonts w:ascii="Arial" w:hAnsi="Arial" w:cs="Arial"/>
                <w:szCs w:val="24"/>
              </w:rPr>
              <w:t>2021</w:t>
            </w:r>
          </w:p>
        </w:tc>
        <w:tc>
          <w:tcPr>
            <w:tcW w:w="3471" w:type="dxa"/>
            <w:tcBorders>
              <w:top w:val="nil"/>
              <w:left w:val="nil"/>
              <w:bottom w:val="nil"/>
              <w:right w:val="nil"/>
            </w:tcBorders>
          </w:tcPr>
          <w:p w14:paraId="66A433A0" w14:textId="77777777" w:rsidR="004E6B58" w:rsidRPr="00934FE7" w:rsidRDefault="00AA4368">
            <w:pPr>
              <w:jc w:val="right"/>
              <w:rPr>
                <w:rFonts w:ascii="Arial" w:hAnsi="Arial" w:cs="Arial"/>
                <w:szCs w:val="24"/>
              </w:rPr>
            </w:pPr>
            <w:r w:rsidRPr="00934FE7">
              <w:rPr>
                <w:rFonts w:ascii="Arial" w:hAnsi="Arial" w:cs="Arial"/>
                <w:szCs w:val="24"/>
              </w:rPr>
              <w:t>2.226,197</w:t>
            </w:r>
          </w:p>
        </w:tc>
      </w:tr>
      <w:tr w:rsidR="00934FE7" w:rsidRPr="00934FE7" w14:paraId="7661D6CF" w14:textId="77777777">
        <w:trPr>
          <w:trHeight w:val="271"/>
          <w:jc w:val="center"/>
        </w:trPr>
        <w:tc>
          <w:tcPr>
            <w:tcW w:w="4425" w:type="dxa"/>
            <w:tcBorders>
              <w:top w:val="nil"/>
              <w:left w:val="nil"/>
              <w:bottom w:val="nil"/>
              <w:right w:val="nil"/>
            </w:tcBorders>
          </w:tcPr>
          <w:p w14:paraId="4E09F54C" w14:textId="77777777" w:rsidR="004E6B58" w:rsidRPr="00934FE7" w:rsidRDefault="00AA4368">
            <w:pPr>
              <w:jc w:val="center"/>
              <w:rPr>
                <w:rFonts w:ascii="Arial" w:hAnsi="Arial" w:cs="Arial"/>
                <w:szCs w:val="24"/>
              </w:rPr>
            </w:pPr>
            <w:r w:rsidRPr="00934FE7">
              <w:rPr>
                <w:rFonts w:ascii="Arial" w:hAnsi="Arial" w:cs="Arial"/>
                <w:szCs w:val="24"/>
              </w:rPr>
              <w:t>2022</w:t>
            </w:r>
          </w:p>
        </w:tc>
        <w:tc>
          <w:tcPr>
            <w:tcW w:w="3471" w:type="dxa"/>
            <w:tcBorders>
              <w:top w:val="nil"/>
              <w:left w:val="nil"/>
              <w:bottom w:val="nil"/>
              <w:right w:val="nil"/>
            </w:tcBorders>
          </w:tcPr>
          <w:p w14:paraId="6F143C7F" w14:textId="77777777" w:rsidR="004E6B58" w:rsidRPr="00934FE7" w:rsidRDefault="00AA4368">
            <w:pPr>
              <w:jc w:val="right"/>
              <w:rPr>
                <w:rFonts w:ascii="Arial" w:hAnsi="Arial" w:cs="Arial"/>
                <w:szCs w:val="24"/>
              </w:rPr>
            </w:pPr>
            <w:r w:rsidRPr="00934FE7">
              <w:rPr>
                <w:rFonts w:ascii="Arial" w:hAnsi="Arial" w:cs="Arial"/>
                <w:szCs w:val="24"/>
              </w:rPr>
              <w:t>2.011,550</w:t>
            </w:r>
          </w:p>
        </w:tc>
      </w:tr>
      <w:tr w:rsidR="00934FE7" w:rsidRPr="00934FE7" w14:paraId="18888FDD" w14:textId="77777777">
        <w:trPr>
          <w:trHeight w:val="256"/>
          <w:jc w:val="center"/>
        </w:trPr>
        <w:tc>
          <w:tcPr>
            <w:tcW w:w="4425" w:type="dxa"/>
            <w:tcBorders>
              <w:top w:val="nil"/>
              <w:left w:val="nil"/>
              <w:right w:val="nil"/>
            </w:tcBorders>
          </w:tcPr>
          <w:p w14:paraId="227ABB03" w14:textId="77777777" w:rsidR="004E6B58" w:rsidRPr="00934FE7" w:rsidRDefault="00AA4368">
            <w:pPr>
              <w:jc w:val="center"/>
              <w:rPr>
                <w:rFonts w:ascii="Arial" w:hAnsi="Arial" w:cs="Arial"/>
                <w:szCs w:val="24"/>
              </w:rPr>
            </w:pPr>
            <w:r w:rsidRPr="00934FE7">
              <w:rPr>
                <w:rFonts w:ascii="Arial" w:hAnsi="Arial" w:cs="Arial"/>
                <w:szCs w:val="24"/>
              </w:rPr>
              <w:t>2023</w:t>
            </w:r>
          </w:p>
        </w:tc>
        <w:tc>
          <w:tcPr>
            <w:tcW w:w="3471" w:type="dxa"/>
            <w:tcBorders>
              <w:top w:val="nil"/>
              <w:left w:val="nil"/>
              <w:right w:val="nil"/>
            </w:tcBorders>
          </w:tcPr>
          <w:p w14:paraId="596526A6" w14:textId="77777777" w:rsidR="004E6B58" w:rsidRPr="00934FE7" w:rsidRDefault="00AA4368">
            <w:pPr>
              <w:jc w:val="right"/>
              <w:rPr>
                <w:rFonts w:ascii="Arial" w:hAnsi="Arial" w:cs="Arial"/>
                <w:szCs w:val="24"/>
              </w:rPr>
            </w:pPr>
            <w:r w:rsidRPr="00934FE7">
              <w:rPr>
                <w:rFonts w:ascii="Arial" w:hAnsi="Arial" w:cs="Arial"/>
                <w:szCs w:val="24"/>
              </w:rPr>
              <w:t>2.126,183</w:t>
            </w:r>
          </w:p>
        </w:tc>
      </w:tr>
    </w:tbl>
    <w:p w14:paraId="4A03D7CB" w14:textId="77777777" w:rsidR="004E6B58" w:rsidRPr="00934FE7" w:rsidRDefault="00AA4368">
      <w:pPr>
        <w:rPr>
          <w:rFonts w:ascii="Arial" w:hAnsi="Arial" w:cs="Arial"/>
          <w:szCs w:val="24"/>
        </w:rPr>
      </w:pPr>
      <w:r w:rsidRPr="00934FE7">
        <w:rPr>
          <w:rFonts w:ascii="Arial" w:hAnsi="Arial" w:cs="Arial"/>
          <w:szCs w:val="24"/>
        </w:rPr>
        <w:t xml:space="preserve">Source: </w:t>
      </w:r>
      <w:r w:rsidRPr="00934FE7">
        <w:rPr>
          <w:rFonts w:ascii="Arial" w:hAnsi="Arial" w:cs="Arial"/>
          <w:i/>
          <w:iCs/>
          <w:szCs w:val="24"/>
        </w:rPr>
        <w:t>Central Statistics Agency of West Nusa Tenggara</w:t>
      </w:r>
      <w:r w:rsidRPr="00934FE7">
        <w:rPr>
          <w:rFonts w:ascii="Arial" w:hAnsi="Arial" w:cs="Arial"/>
          <w:szCs w:val="24"/>
        </w:rPr>
        <w:t>, 2024.</w:t>
      </w:r>
    </w:p>
    <w:p w14:paraId="107A5DAB" w14:textId="77777777" w:rsidR="004E6B58" w:rsidRPr="00934FE7" w:rsidRDefault="004E6B58">
      <w:pPr>
        <w:ind w:firstLine="720"/>
        <w:rPr>
          <w:rFonts w:ascii="Arial" w:hAnsi="Arial" w:cs="Arial"/>
          <w:szCs w:val="24"/>
        </w:rPr>
      </w:pPr>
    </w:p>
    <w:p w14:paraId="41681135" w14:textId="77777777" w:rsidR="004E6B58" w:rsidRPr="00934FE7" w:rsidRDefault="00AA4368" w:rsidP="00A51D25">
      <w:pPr>
        <w:ind w:firstLine="284"/>
        <w:rPr>
          <w:rFonts w:ascii="Arial" w:hAnsi="Arial" w:cs="Arial"/>
          <w:szCs w:val="24"/>
        </w:rPr>
      </w:pPr>
      <w:r w:rsidRPr="00934FE7">
        <w:rPr>
          <w:rFonts w:ascii="Arial" w:hAnsi="Arial" w:cs="Arial"/>
          <w:szCs w:val="24"/>
        </w:rPr>
        <w:t xml:space="preserve">Based on Table 1, it appears that shallot production is fluctuating </w:t>
      </w:r>
      <w:r w:rsidRPr="00934FE7">
        <w:rPr>
          <w:rFonts w:ascii="Arial" w:hAnsi="Arial" w:cs="Arial"/>
          <w:szCs w:val="24"/>
        </w:rPr>
        <w:t>with a downward trend and a forecast graph of the development of shallot production in West Nusa Tenggara Province can be drawn as follows:</w:t>
      </w:r>
    </w:p>
    <w:p w14:paraId="5068FEE9" w14:textId="77777777" w:rsidR="004E6B58" w:rsidRPr="00687484" w:rsidRDefault="00AA4368">
      <w:pPr>
        <w:pStyle w:val="Body"/>
        <w:spacing w:after="0"/>
        <w:jc w:val="center"/>
        <w:rPr>
          <w:rFonts w:ascii="Arial" w:hAnsi="Arial" w:cs="Arial"/>
        </w:rPr>
      </w:pPr>
      <w:r w:rsidRPr="00687484">
        <w:rPr>
          <w:rFonts w:ascii="Arial" w:hAnsi="Arial" w:cs="Arial"/>
          <w:noProof/>
          <w:highlight w:val="black"/>
        </w:rPr>
        <w:lastRenderedPageBreak/>
        <w:drawing>
          <wp:inline distT="0" distB="0" distL="0" distR="0" wp14:anchorId="4CAE023A" wp14:editId="6979F5AC">
            <wp:extent cx="5113655" cy="2668270"/>
            <wp:effectExtent l="0" t="0" r="10795" b="17780"/>
            <wp:docPr id="133407037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08169F" w14:textId="60CF9297" w:rsidR="004E6B58" w:rsidRPr="00934FE7" w:rsidRDefault="00AA4368">
      <w:pPr>
        <w:ind w:left="993" w:hanging="851"/>
        <w:jc w:val="both"/>
        <w:rPr>
          <w:rFonts w:ascii="Arial" w:hAnsi="Arial" w:cs="Arial"/>
          <w:szCs w:val="24"/>
        </w:rPr>
      </w:pPr>
      <w:r w:rsidRPr="00934FE7">
        <w:rPr>
          <w:rFonts w:ascii="Arial" w:hAnsi="Arial" w:cs="Arial"/>
          <w:szCs w:val="24"/>
        </w:rPr>
        <w:t xml:space="preserve">Figure </w:t>
      </w:r>
      <w:r w:rsidR="00687484">
        <w:rPr>
          <w:rFonts w:ascii="Arial" w:hAnsi="Arial" w:cs="Arial"/>
          <w:szCs w:val="24"/>
        </w:rPr>
        <w:t>1</w:t>
      </w:r>
      <w:r w:rsidRPr="00934FE7">
        <w:rPr>
          <w:rFonts w:ascii="Arial" w:hAnsi="Arial" w:cs="Arial"/>
          <w:szCs w:val="24"/>
        </w:rPr>
        <w:t>. Graph of the Results of Forecasting the Production of Shallots in West Nusa Tenggara Province in 2019-20</w:t>
      </w:r>
      <w:r w:rsidRPr="00934FE7">
        <w:rPr>
          <w:rFonts w:ascii="Arial" w:hAnsi="Arial" w:cs="Arial"/>
          <w:szCs w:val="24"/>
        </w:rPr>
        <w:t xml:space="preserve">23. </w:t>
      </w:r>
    </w:p>
    <w:p w14:paraId="3C58B3C5" w14:textId="77777777" w:rsidR="004E6B58" w:rsidRPr="00934FE7" w:rsidRDefault="00AA4368">
      <w:pPr>
        <w:ind w:left="993" w:hanging="851"/>
        <w:jc w:val="both"/>
        <w:rPr>
          <w:rFonts w:ascii="Arial" w:hAnsi="Arial" w:cs="Arial"/>
          <w:szCs w:val="24"/>
        </w:rPr>
      </w:pPr>
      <w:r w:rsidRPr="00934FE7">
        <w:rPr>
          <w:rFonts w:ascii="Arial" w:hAnsi="Arial" w:cs="Arial"/>
          <w:szCs w:val="24"/>
        </w:rPr>
        <w:t>Source: Processed Secondary Data, 2025.</w:t>
      </w:r>
    </w:p>
    <w:p w14:paraId="31F55686" w14:textId="77777777" w:rsidR="004E6B58" w:rsidRPr="00934FE7" w:rsidRDefault="00AA4368" w:rsidP="00A51D25">
      <w:pPr>
        <w:ind w:firstLine="284"/>
        <w:jc w:val="both"/>
        <w:rPr>
          <w:rFonts w:ascii="Arial" w:hAnsi="Arial" w:cs="Arial"/>
          <w:szCs w:val="24"/>
        </w:rPr>
      </w:pPr>
      <w:r w:rsidRPr="00934FE7">
        <w:rPr>
          <w:rFonts w:ascii="Arial" w:hAnsi="Arial" w:cs="Arial"/>
          <w:szCs w:val="24"/>
        </w:rPr>
        <w:t>Based on the forecast results, shallot production is predicted to decline gradually in the next year. Estimated production in 2024 is 1,759,590 tons. This decline is influenced by many factors including: climate</w:t>
      </w:r>
      <w:r w:rsidRPr="00934FE7">
        <w:rPr>
          <w:rFonts w:ascii="Arial" w:hAnsi="Arial" w:cs="Arial"/>
          <w:szCs w:val="24"/>
        </w:rPr>
        <w:t xml:space="preserve"> change, extreme weather, pest attacks, limited capital, high production costs, shrinking planting area due to land conversion, and the price of shallots at harvest time (</w:t>
      </w:r>
      <w:proofErr w:type="spellStart"/>
      <w:r w:rsidRPr="00934FE7">
        <w:rPr>
          <w:rFonts w:ascii="Arial" w:hAnsi="Arial" w:cs="Arial"/>
          <w:szCs w:val="24"/>
        </w:rPr>
        <w:t>Sulistiowati</w:t>
      </w:r>
      <w:proofErr w:type="spellEnd"/>
      <w:r w:rsidRPr="00934FE7">
        <w:rPr>
          <w:rFonts w:ascii="Arial" w:hAnsi="Arial" w:cs="Arial"/>
          <w:szCs w:val="24"/>
        </w:rPr>
        <w:t xml:space="preserve"> et al 2021).</w:t>
      </w:r>
    </w:p>
    <w:p w14:paraId="2C0510DF" w14:textId="77777777" w:rsidR="004E6B58" w:rsidRPr="00A51D25" w:rsidRDefault="00AA4368" w:rsidP="00A51D25">
      <w:pPr>
        <w:pStyle w:val="ListParagraph"/>
        <w:numPr>
          <w:ilvl w:val="2"/>
          <w:numId w:val="7"/>
        </w:numPr>
        <w:spacing w:before="120" w:after="0" w:line="355" w:lineRule="auto"/>
        <w:ind w:left="567" w:hanging="578"/>
        <w:jc w:val="left"/>
        <w:rPr>
          <w:rFonts w:ascii="Arial" w:hAnsi="Arial" w:cs="Arial"/>
          <w:b/>
          <w:bCs/>
          <w:color w:val="auto"/>
          <w:sz w:val="20"/>
          <w:szCs w:val="20"/>
        </w:rPr>
      </w:pPr>
      <w:r w:rsidRPr="00A51D25">
        <w:rPr>
          <w:rFonts w:ascii="Arial" w:hAnsi="Arial" w:cs="Arial"/>
          <w:b/>
          <w:bCs/>
          <w:color w:val="auto"/>
          <w:sz w:val="20"/>
          <w:szCs w:val="20"/>
        </w:rPr>
        <w:t>Development of Shallot Prices</w:t>
      </w:r>
    </w:p>
    <w:p w14:paraId="59650BB5" w14:textId="77777777" w:rsidR="004E6B58" w:rsidRPr="00934FE7" w:rsidRDefault="00AA4368" w:rsidP="00A51D25">
      <w:pPr>
        <w:pStyle w:val="ListParagraph"/>
        <w:spacing w:after="0" w:line="240" w:lineRule="auto"/>
        <w:ind w:left="0" w:firstLine="284"/>
        <w:rPr>
          <w:rFonts w:ascii="Arial" w:hAnsi="Arial" w:cs="Arial"/>
          <w:color w:val="auto"/>
          <w:sz w:val="20"/>
          <w:szCs w:val="20"/>
        </w:rPr>
      </w:pPr>
      <w:bookmarkStart w:id="2" w:name="_Hlk202557050"/>
      <w:r w:rsidRPr="00934FE7">
        <w:rPr>
          <w:rFonts w:ascii="Arial" w:hAnsi="Arial" w:cs="Arial"/>
          <w:color w:val="auto"/>
          <w:sz w:val="20"/>
          <w:szCs w:val="20"/>
          <w:lang w:val="en-US"/>
        </w:rPr>
        <w:t>The fee of shallots on the pr</w:t>
      </w:r>
      <w:r w:rsidRPr="00934FE7">
        <w:rPr>
          <w:rFonts w:ascii="Arial" w:hAnsi="Arial" w:cs="Arial"/>
          <w:color w:val="auto"/>
          <w:sz w:val="20"/>
          <w:szCs w:val="20"/>
          <w:lang w:val="en-US"/>
        </w:rPr>
        <w:t>oducer level is</w:t>
      </w:r>
      <w:r w:rsidRPr="00934FE7">
        <w:rPr>
          <w:rFonts w:ascii="Arial" w:hAnsi="Arial" w:cs="Arial"/>
          <w:color w:val="auto"/>
          <w:sz w:val="20"/>
          <w:szCs w:val="20"/>
        </w:rPr>
        <w:t xml:space="preserve"> identical to farmer income </w:t>
      </w:r>
      <w:bookmarkEnd w:id="2"/>
      <w:r w:rsidRPr="00934FE7">
        <w:rPr>
          <w:rFonts w:ascii="Arial" w:hAnsi="Arial" w:cs="Arial"/>
          <w:color w:val="auto"/>
          <w:sz w:val="20"/>
          <w:szCs w:val="20"/>
        </w:rPr>
        <w:t>(</w:t>
      </w:r>
      <w:r w:rsidRPr="00934FE7">
        <w:rPr>
          <w:rFonts w:ascii="Arial" w:hAnsi="Arial" w:cs="Arial"/>
          <w:color w:val="auto"/>
          <w:sz w:val="20"/>
          <w:szCs w:val="20"/>
          <w:lang w:val="zh-CN"/>
        </w:rPr>
        <w:t>Putri</w:t>
      </w:r>
      <w:r w:rsidRPr="00934FE7">
        <w:rPr>
          <w:rFonts w:ascii="Arial" w:hAnsi="Arial" w:cs="Arial"/>
          <w:color w:val="auto"/>
          <w:sz w:val="20"/>
          <w:szCs w:val="20"/>
        </w:rPr>
        <w:t xml:space="preserve"> et al, 2021). If the price of shallots increases, farmer income also increases. Prices at the farmer level fluctuate, namely low during harvest and increasing outside the harvest season. During the main harvest, abundant supply causes prices to fall, whil</w:t>
      </w:r>
      <w:r w:rsidRPr="00934FE7">
        <w:rPr>
          <w:rFonts w:ascii="Arial" w:hAnsi="Arial" w:cs="Arial"/>
          <w:color w:val="auto"/>
          <w:sz w:val="20"/>
          <w:szCs w:val="20"/>
        </w:rPr>
        <w:t>e in the lean season prices tend to rise because production is limited (</w:t>
      </w:r>
      <w:proofErr w:type="spellStart"/>
      <w:r w:rsidRPr="00934FE7">
        <w:rPr>
          <w:rFonts w:ascii="Arial" w:hAnsi="Arial" w:cs="Arial"/>
          <w:color w:val="auto"/>
          <w:sz w:val="20"/>
          <w:szCs w:val="20"/>
        </w:rPr>
        <w:t>Purwaningsi</w:t>
      </w:r>
      <w:proofErr w:type="spellEnd"/>
      <w:r w:rsidRPr="00934FE7">
        <w:rPr>
          <w:rFonts w:ascii="Arial" w:hAnsi="Arial" w:cs="Arial"/>
          <w:color w:val="auto"/>
          <w:sz w:val="20"/>
          <w:szCs w:val="20"/>
        </w:rPr>
        <w:t>, 2008).</w:t>
      </w:r>
    </w:p>
    <w:p w14:paraId="147F10A6" w14:textId="77777777" w:rsidR="004E6B58" w:rsidRPr="00934FE7" w:rsidRDefault="00AA4368" w:rsidP="00A51D25">
      <w:pPr>
        <w:pStyle w:val="ListParagraph"/>
        <w:spacing w:after="0" w:line="240" w:lineRule="auto"/>
        <w:ind w:left="0" w:firstLine="284"/>
        <w:rPr>
          <w:rFonts w:ascii="Arial" w:hAnsi="Arial" w:cs="Arial"/>
          <w:color w:val="auto"/>
          <w:sz w:val="20"/>
          <w:szCs w:val="20"/>
        </w:rPr>
      </w:pPr>
      <w:bookmarkStart w:id="3" w:name="_Hlk202557783"/>
      <w:r w:rsidRPr="00934FE7">
        <w:rPr>
          <w:rFonts w:ascii="Arial" w:hAnsi="Arial" w:cs="Arial"/>
          <w:color w:val="auto"/>
          <w:sz w:val="20"/>
          <w:szCs w:val="20"/>
        </w:rPr>
        <w:t xml:space="preserve">In addition to seasonal factors, the prices of fertilizers, seeds, and labor also affect selling prices </w:t>
      </w:r>
      <w:bookmarkEnd w:id="3"/>
      <w:r w:rsidRPr="00934FE7">
        <w:rPr>
          <w:rFonts w:ascii="Arial" w:hAnsi="Arial" w:cs="Arial"/>
          <w:color w:val="auto"/>
          <w:sz w:val="20"/>
          <w:szCs w:val="20"/>
        </w:rPr>
        <w:t>(</w:t>
      </w:r>
      <w:proofErr w:type="spellStart"/>
      <w:r w:rsidRPr="00934FE7">
        <w:rPr>
          <w:rFonts w:ascii="Arial" w:hAnsi="Arial" w:cs="Arial"/>
          <w:color w:val="auto"/>
          <w:sz w:val="20"/>
          <w:szCs w:val="20"/>
        </w:rPr>
        <w:t>Sitinjak</w:t>
      </w:r>
      <w:proofErr w:type="spellEnd"/>
      <w:r w:rsidRPr="00934FE7">
        <w:rPr>
          <w:rFonts w:ascii="Arial" w:hAnsi="Arial" w:cs="Arial"/>
          <w:color w:val="auto"/>
          <w:sz w:val="20"/>
          <w:szCs w:val="20"/>
        </w:rPr>
        <w:t>, et al, 2022). Increasing production costs encoura</w:t>
      </w:r>
      <w:r w:rsidRPr="00934FE7">
        <w:rPr>
          <w:rFonts w:ascii="Arial" w:hAnsi="Arial" w:cs="Arial"/>
          <w:color w:val="auto"/>
          <w:sz w:val="20"/>
          <w:szCs w:val="20"/>
        </w:rPr>
        <w:t>ge farmers to raise prices to cover expenses. Extreme weather and pest attacks that cause crop failures also reduce supply and increase prices at the producer level.</w:t>
      </w:r>
    </w:p>
    <w:p w14:paraId="69AE6760" w14:textId="77777777" w:rsidR="004E6B58" w:rsidRPr="00934FE7" w:rsidRDefault="00AA4368" w:rsidP="00A51D25">
      <w:pPr>
        <w:pStyle w:val="ListParagraph"/>
        <w:spacing w:after="0" w:line="240" w:lineRule="auto"/>
        <w:ind w:left="0" w:firstLine="284"/>
        <w:rPr>
          <w:rFonts w:ascii="Arial" w:hAnsi="Arial" w:cs="Arial"/>
          <w:color w:val="auto"/>
          <w:sz w:val="20"/>
          <w:szCs w:val="20"/>
        </w:rPr>
      </w:pPr>
      <w:r w:rsidRPr="00934FE7">
        <w:rPr>
          <w:rFonts w:ascii="Arial" w:hAnsi="Arial" w:cs="Arial"/>
          <w:color w:val="auto"/>
          <w:sz w:val="20"/>
          <w:szCs w:val="20"/>
        </w:rPr>
        <w:t xml:space="preserve">Table 2 shows the price of shallots at the producer level per month in West Nusa Tenggara </w:t>
      </w:r>
      <w:r w:rsidRPr="00934FE7">
        <w:rPr>
          <w:rFonts w:ascii="Arial" w:hAnsi="Arial" w:cs="Arial"/>
          <w:color w:val="auto"/>
          <w:sz w:val="20"/>
          <w:szCs w:val="20"/>
        </w:rPr>
        <w:t>Province for the period 2019-2023.</w:t>
      </w:r>
    </w:p>
    <w:p w14:paraId="62C0BB1E" w14:textId="77777777" w:rsidR="004E6B58" w:rsidRPr="00934FE7" w:rsidRDefault="00AA4368" w:rsidP="008C5E62">
      <w:pPr>
        <w:spacing w:before="120" w:after="120"/>
        <w:ind w:left="851" w:hanging="851"/>
        <w:rPr>
          <w:rFonts w:ascii="Arial" w:hAnsi="Arial" w:cs="Arial"/>
        </w:rPr>
      </w:pPr>
      <w:r w:rsidRPr="00934FE7">
        <w:rPr>
          <w:rFonts w:ascii="Arial" w:hAnsi="Arial" w:cs="Arial"/>
        </w:rPr>
        <w:t>Table 2. Red Onion Price Data at Producer Level in West Nusa Tenggara Province for the 2019-2023 Period</w:t>
      </w:r>
    </w:p>
    <w:tbl>
      <w:tblPr>
        <w:tblStyle w:val="TableGrid"/>
        <w:tblW w:w="8508" w:type="dxa"/>
        <w:jc w:val="center"/>
        <w:tblLook w:val="04A0" w:firstRow="1" w:lastRow="0" w:firstColumn="1" w:lastColumn="0" w:noHBand="0" w:noVBand="1"/>
      </w:tblPr>
      <w:tblGrid>
        <w:gridCol w:w="1466"/>
        <w:gridCol w:w="1418"/>
        <w:gridCol w:w="786"/>
        <w:gridCol w:w="618"/>
        <w:gridCol w:w="1411"/>
        <w:gridCol w:w="645"/>
        <w:gridCol w:w="760"/>
        <w:gridCol w:w="1404"/>
      </w:tblGrid>
      <w:tr w:rsidR="00934FE7" w:rsidRPr="00934FE7" w14:paraId="5F6B0F3A" w14:textId="77777777" w:rsidTr="00B54E47">
        <w:trPr>
          <w:trHeight w:val="283"/>
          <w:tblHeader/>
          <w:jc w:val="center"/>
        </w:trPr>
        <w:tc>
          <w:tcPr>
            <w:tcW w:w="1466" w:type="dxa"/>
            <w:tcBorders>
              <w:left w:val="nil"/>
              <w:bottom w:val="nil"/>
              <w:right w:val="nil"/>
            </w:tcBorders>
          </w:tcPr>
          <w:p w14:paraId="16D767A9" w14:textId="77777777" w:rsidR="004E6B58" w:rsidRPr="00934FE7" w:rsidRDefault="00AA4368">
            <w:pPr>
              <w:rPr>
                <w:rFonts w:ascii="Arial" w:hAnsi="Arial" w:cs="Arial"/>
                <w:b/>
                <w:bCs/>
                <w:szCs w:val="24"/>
              </w:rPr>
            </w:pPr>
            <w:r w:rsidRPr="00934FE7">
              <w:rPr>
                <w:rFonts w:ascii="Arial" w:hAnsi="Arial" w:cs="Arial"/>
                <w:b/>
                <w:bCs/>
                <w:szCs w:val="24"/>
              </w:rPr>
              <w:t>Period</w:t>
            </w:r>
          </w:p>
        </w:tc>
        <w:tc>
          <w:tcPr>
            <w:tcW w:w="1418" w:type="dxa"/>
            <w:tcBorders>
              <w:left w:val="nil"/>
              <w:bottom w:val="single" w:sz="4" w:space="0" w:color="auto"/>
              <w:right w:val="nil"/>
            </w:tcBorders>
          </w:tcPr>
          <w:p w14:paraId="60B0783D" w14:textId="77777777" w:rsidR="004E6B58" w:rsidRPr="00934FE7" w:rsidRDefault="004E6B58">
            <w:pPr>
              <w:rPr>
                <w:rFonts w:ascii="Arial" w:hAnsi="Arial" w:cs="Arial"/>
                <w:szCs w:val="24"/>
              </w:rPr>
            </w:pPr>
          </w:p>
        </w:tc>
        <w:tc>
          <w:tcPr>
            <w:tcW w:w="786" w:type="dxa"/>
            <w:tcBorders>
              <w:left w:val="nil"/>
              <w:bottom w:val="single" w:sz="4" w:space="0" w:color="auto"/>
              <w:right w:val="nil"/>
            </w:tcBorders>
          </w:tcPr>
          <w:p w14:paraId="6D019EB0" w14:textId="77777777" w:rsidR="004E6B58" w:rsidRPr="00934FE7" w:rsidRDefault="004E6B58">
            <w:pPr>
              <w:rPr>
                <w:rFonts w:ascii="Arial" w:hAnsi="Arial" w:cs="Arial"/>
                <w:szCs w:val="24"/>
              </w:rPr>
            </w:pPr>
          </w:p>
        </w:tc>
        <w:tc>
          <w:tcPr>
            <w:tcW w:w="2674" w:type="dxa"/>
            <w:gridSpan w:val="3"/>
            <w:tcBorders>
              <w:left w:val="nil"/>
              <w:bottom w:val="single" w:sz="4" w:space="0" w:color="auto"/>
              <w:right w:val="nil"/>
            </w:tcBorders>
          </w:tcPr>
          <w:p w14:paraId="7231C0AB" w14:textId="77777777" w:rsidR="004E6B58" w:rsidRPr="00934FE7" w:rsidRDefault="00AA4368">
            <w:pPr>
              <w:rPr>
                <w:rFonts w:ascii="Arial" w:hAnsi="Arial" w:cs="Arial"/>
                <w:b/>
                <w:bCs/>
                <w:szCs w:val="24"/>
              </w:rPr>
            </w:pPr>
            <w:r w:rsidRPr="00934FE7">
              <w:rPr>
                <w:rFonts w:ascii="Arial" w:hAnsi="Arial" w:cs="Arial"/>
                <w:b/>
                <w:bCs/>
                <w:szCs w:val="24"/>
              </w:rPr>
              <w:t>Year (Rp/kg)</w:t>
            </w:r>
          </w:p>
        </w:tc>
        <w:tc>
          <w:tcPr>
            <w:tcW w:w="760" w:type="dxa"/>
            <w:tcBorders>
              <w:left w:val="nil"/>
              <w:bottom w:val="single" w:sz="4" w:space="0" w:color="auto"/>
              <w:right w:val="nil"/>
            </w:tcBorders>
          </w:tcPr>
          <w:p w14:paraId="79B94E56" w14:textId="77777777" w:rsidR="004E6B58" w:rsidRPr="00934FE7" w:rsidRDefault="004E6B58">
            <w:pPr>
              <w:rPr>
                <w:rFonts w:ascii="Arial" w:hAnsi="Arial" w:cs="Arial"/>
                <w:szCs w:val="24"/>
              </w:rPr>
            </w:pPr>
          </w:p>
        </w:tc>
        <w:tc>
          <w:tcPr>
            <w:tcW w:w="1404" w:type="dxa"/>
            <w:tcBorders>
              <w:left w:val="nil"/>
              <w:bottom w:val="single" w:sz="4" w:space="0" w:color="auto"/>
              <w:right w:val="nil"/>
            </w:tcBorders>
          </w:tcPr>
          <w:p w14:paraId="54FF40F0" w14:textId="77777777" w:rsidR="004E6B58" w:rsidRPr="00934FE7" w:rsidRDefault="004E6B58">
            <w:pPr>
              <w:rPr>
                <w:rFonts w:ascii="Arial" w:hAnsi="Arial" w:cs="Arial"/>
                <w:szCs w:val="24"/>
              </w:rPr>
            </w:pPr>
          </w:p>
        </w:tc>
      </w:tr>
      <w:tr w:rsidR="00934FE7" w:rsidRPr="00934FE7" w14:paraId="510185D3" w14:textId="77777777" w:rsidTr="00B54E47">
        <w:trPr>
          <w:trHeight w:val="283"/>
          <w:tblHeader/>
          <w:jc w:val="center"/>
        </w:trPr>
        <w:tc>
          <w:tcPr>
            <w:tcW w:w="1466" w:type="dxa"/>
            <w:tcBorders>
              <w:top w:val="nil"/>
              <w:left w:val="nil"/>
              <w:bottom w:val="single" w:sz="4" w:space="0" w:color="auto"/>
              <w:right w:val="nil"/>
            </w:tcBorders>
          </w:tcPr>
          <w:p w14:paraId="29340E52" w14:textId="77777777" w:rsidR="004E6B58" w:rsidRPr="00934FE7" w:rsidRDefault="004E6B58">
            <w:pPr>
              <w:rPr>
                <w:rFonts w:ascii="Arial" w:hAnsi="Arial" w:cs="Arial"/>
                <w:szCs w:val="24"/>
              </w:rPr>
            </w:pPr>
          </w:p>
        </w:tc>
        <w:tc>
          <w:tcPr>
            <w:tcW w:w="1418" w:type="dxa"/>
            <w:tcBorders>
              <w:left w:val="nil"/>
              <w:bottom w:val="single" w:sz="4" w:space="0" w:color="auto"/>
              <w:right w:val="nil"/>
            </w:tcBorders>
          </w:tcPr>
          <w:p w14:paraId="4D1628FE" w14:textId="77777777" w:rsidR="004E6B58" w:rsidRPr="00934FE7" w:rsidRDefault="00AA4368">
            <w:pPr>
              <w:rPr>
                <w:rFonts w:ascii="Arial" w:hAnsi="Arial" w:cs="Arial"/>
                <w:b/>
                <w:bCs/>
                <w:szCs w:val="24"/>
              </w:rPr>
            </w:pPr>
            <w:r w:rsidRPr="00934FE7">
              <w:rPr>
                <w:rFonts w:ascii="Arial" w:hAnsi="Arial" w:cs="Arial"/>
                <w:b/>
                <w:bCs/>
                <w:szCs w:val="24"/>
              </w:rPr>
              <w:t>2019</w:t>
            </w:r>
          </w:p>
        </w:tc>
        <w:tc>
          <w:tcPr>
            <w:tcW w:w="1404" w:type="dxa"/>
            <w:gridSpan w:val="2"/>
            <w:tcBorders>
              <w:left w:val="nil"/>
              <w:bottom w:val="single" w:sz="4" w:space="0" w:color="auto"/>
              <w:right w:val="nil"/>
            </w:tcBorders>
          </w:tcPr>
          <w:p w14:paraId="662F83DE" w14:textId="77777777" w:rsidR="004E6B58" w:rsidRPr="00934FE7" w:rsidRDefault="00AA4368">
            <w:pPr>
              <w:rPr>
                <w:rFonts w:ascii="Arial" w:hAnsi="Arial" w:cs="Arial"/>
                <w:b/>
                <w:bCs/>
                <w:szCs w:val="24"/>
              </w:rPr>
            </w:pPr>
            <w:r w:rsidRPr="00934FE7">
              <w:rPr>
                <w:rFonts w:ascii="Arial" w:hAnsi="Arial" w:cs="Arial"/>
                <w:b/>
                <w:bCs/>
                <w:szCs w:val="24"/>
              </w:rPr>
              <w:t>2020</w:t>
            </w:r>
          </w:p>
        </w:tc>
        <w:tc>
          <w:tcPr>
            <w:tcW w:w="1411" w:type="dxa"/>
            <w:tcBorders>
              <w:left w:val="nil"/>
              <w:bottom w:val="single" w:sz="4" w:space="0" w:color="auto"/>
              <w:right w:val="nil"/>
            </w:tcBorders>
          </w:tcPr>
          <w:p w14:paraId="47E2D58E" w14:textId="77777777" w:rsidR="004E6B58" w:rsidRPr="00934FE7" w:rsidRDefault="00AA4368">
            <w:pPr>
              <w:rPr>
                <w:rFonts w:ascii="Arial" w:hAnsi="Arial" w:cs="Arial"/>
                <w:b/>
                <w:bCs/>
                <w:szCs w:val="24"/>
              </w:rPr>
            </w:pPr>
            <w:r w:rsidRPr="00934FE7">
              <w:rPr>
                <w:rFonts w:ascii="Arial" w:hAnsi="Arial" w:cs="Arial"/>
                <w:b/>
                <w:bCs/>
                <w:szCs w:val="24"/>
              </w:rPr>
              <w:t>2021</w:t>
            </w:r>
          </w:p>
        </w:tc>
        <w:tc>
          <w:tcPr>
            <w:tcW w:w="1405" w:type="dxa"/>
            <w:gridSpan w:val="2"/>
            <w:tcBorders>
              <w:left w:val="nil"/>
              <w:bottom w:val="single" w:sz="4" w:space="0" w:color="auto"/>
              <w:right w:val="nil"/>
            </w:tcBorders>
          </w:tcPr>
          <w:p w14:paraId="642796BB" w14:textId="77777777" w:rsidR="004E6B58" w:rsidRPr="00934FE7" w:rsidRDefault="00AA4368">
            <w:pPr>
              <w:rPr>
                <w:rFonts w:ascii="Arial" w:hAnsi="Arial" w:cs="Arial"/>
                <w:b/>
                <w:bCs/>
                <w:szCs w:val="24"/>
              </w:rPr>
            </w:pPr>
            <w:r w:rsidRPr="00934FE7">
              <w:rPr>
                <w:rFonts w:ascii="Arial" w:hAnsi="Arial" w:cs="Arial"/>
                <w:b/>
                <w:bCs/>
                <w:szCs w:val="24"/>
              </w:rPr>
              <w:t>2022</w:t>
            </w:r>
          </w:p>
        </w:tc>
        <w:tc>
          <w:tcPr>
            <w:tcW w:w="1404" w:type="dxa"/>
            <w:tcBorders>
              <w:left w:val="nil"/>
              <w:bottom w:val="single" w:sz="4" w:space="0" w:color="auto"/>
              <w:right w:val="nil"/>
            </w:tcBorders>
          </w:tcPr>
          <w:p w14:paraId="5DCE5E38" w14:textId="77777777" w:rsidR="004E6B58" w:rsidRPr="00934FE7" w:rsidRDefault="00AA4368">
            <w:pPr>
              <w:rPr>
                <w:rFonts w:ascii="Arial" w:hAnsi="Arial" w:cs="Arial"/>
                <w:b/>
                <w:bCs/>
                <w:szCs w:val="24"/>
              </w:rPr>
            </w:pPr>
            <w:r w:rsidRPr="00934FE7">
              <w:rPr>
                <w:rFonts w:ascii="Arial" w:hAnsi="Arial" w:cs="Arial"/>
                <w:b/>
                <w:bCs/>
                <w:szCs w:val="24"/>
              </w:rPr>
              <w:t>2023</w:t>
            </w:r>
          </w:p>
        </w:tc>
      </w:tr>
      <w:tr w:rsidR="00934FE7" w:rsidRPr="00934FE7" w14:paraId="31F9109B" w14:textId="77777777">
        <w:trPr>
          <w:trHeight w:val="283"/>
          <w:jc w:val="center"/>
        </w:trPr>
        <w:tc>
          <w:tcPr>
            <w:tcW w:w="1466" w:type="dxa"/>
            <w:tcBorders>
              <w:left w:val="nil"/>
              <w:bottom w:val="nil"/>
              <w:right w:val="nil"/>
            </w:tcBorders>
          </w:tcPr>
          <w:p w14:paraId="4277D6AE" w14:textId="77777777" w:rsidR="004E6B58" w:rsidRPr="00934FE7" w:rsidRDefault="00AA4368">
            <w:pPr>
              <w:rPr>
                <w:rFonts w:ascii="Arial" w:hAnsi="Arial" w:cs="Arial"/>
                <w:szCs w:val="24"/>
              </w:rPr>
            </w:pPr>
            <w:r w:rsidRPr="00934FE7">
              <w:rPr>
                <w:rFonts w:ascii="Arial" w:hAnsi="Arial" w:cs="Arial"/>
                <w:szCs w:val="24"/>
              </w:rPr>
              <w:t>January</w:t>
            </w:r>
          </w:p>
        </w:tc>
        <w:tc>
          <w:tcPr>
            <w:tcW w:w="1418" w:type="dxa"/>
            <w:tcBorders>
              <w:left w:val="nil"/>
              <w:bottom w:val="nil"/>
              <w:right w:val="nil"/>
            </w:tcBorders>
          </w:tcPr>
          <w:p w14:paraId="0A73A1B0" w14:textId="77777777" w:rsidR="004E6B58" w:rsidRPr="00934FE7" w:rsidRDefault="00AA4368">
            <w:pPr>
              <w:rPr>
                <w:rFonts w:ascii="Arial" w:hAnsi="Arial" w:cs="Arial"/>
                <w:szCs w:val="24"/>
              </w:rPr>
            </w:pPr>
            <w:r w:rsidRPr="00934FE7">
              <w:rPr>
                <w:rFonts w:ascii="Arial" w:hAnsi="Arial" w:cs="Arial"/>
                <w:szCs w:val="24"/>
              </w:rPr>
              <w:t>10,145.24</w:t>
            </w:r>
          </w:p>
        </w:tc>
        <w:tc>
          <w:tcPr>
            <w:tcW w:w="1404" w:type="dxa"/>
            <w:gridSpan w:val="2"/>
            <w:tcBorders>
              <w:left w:val="nil"/>
              <w:bottom w:val="nil"/>
              <w:right w:val="nil"/>
            </w:tcBorders>
            <w:vAlign w:val="bottom"/>
          </w:tcPr>
          <w:p w14:paraId="110E9390" w14:textId="77777777" w:rsidR="004E6B58" w:rsidRPr="00934FE7" w:rsidRDefault="00AA4368">
            <w:pPr>
              <w:rPr>
                <w:rFonts w:ascii="Arial" w:hAnsi="Arial" w:cs="Arial"/>
                <w:szCs w:val="24"/>
              </w:rPr>
            </w:pPr>
            <w:r w:rsidRPr="00934FE7">
              <w:rPr>
                <w:rFonts w:ascii="Arial" w:hAnsi="Arial" w:cs="Arial"/>
                <w:szCs w:val="24"/>
              </w:rPr>
              <w:t>14,718.09</w:t>
            </w:r>
          </w:p>
        </w:tc>
        <w:tc>
          <w:tcPr>
            <w:tcW w:w="1411" w:type="dxa"/>
            <w:tcBorders>
              <w:left w:val="nil"/>
              <w:bottom w:val="nil"/>
              <w:right w:val="nil"/>
            </w:tcBorders>
            <w:vAlign w:val="bottom"/>
          </w:tcPr>
          <w:p w14:paraId="773FBEBF" w14:textId="77777777" w:rsidR="004E6B58" w:rsidRPr="00934FE7" w:rsidRDefault="00AA4368">
            <w:pPr>
              <w:rPr>
                <w:rFonts w:ascii="Arial" w:hAnsi="Arial" w:cs="Arial"/>
                <w:szCs w:val="24"/>
              </w:rPr>
            </w:pPr>
            <w:r w:rsidRPr="00934FE7">
              <w:rPr>
                <w:rFonts w:ascii="Arial" w:hAnsi="Arial" w:cs="Arial"/>
                <w:szCs w:val="24"/>
              </w:rPr>
              <w:t>10,727.38</w:t>
            </w:r>
          </w:p>
        </w:tc>
        <w:tc>
          <w:tcPr>
            <w:tcW w:w="1405" w:type="dxa"/>
            <w:gridSpan w:val="2"/>
            <w:tcBorders>
              <w:left w:val="nil"/>
              <w:bottom w:val="nil"/>
              <w:right w:val="nil"/>
            </w:tcBorders>
            <w:vAlign w:val="bottom"/>
          </w:tcPr>
          <w:p w14:paraId="63859182" w14:textId="77777777" w:rsidR="004E6B58" w:rsidRPr="00934FE7" w:rsidRDefault="00AA4368">
            <w:pPr>
              <w:rPr>
                <w:rFonts w:ascii="Arial" w:hAnsi="Arial" w:cs="Arial"/>
                <w:szCs w:val="24"/>
              </w:rPr>
            </w:pPr>
            <w:r w:rsidRPr="00934FE7">
              <w:rPr>
                <w:rFonts w:ascii="Arial" w:hAnsi="Arial" w:cs="Arial"/>
                <w:szCs w:val="24"/>
              </w:rPr>
              <w:t>8,736.24</w:t>
            </w:r>
          </w:p>
        </w:tc>
        <w:tc>
          <w:tcPr>
            <w:tcW w:w="1404" w:type="dxa"/>
            <w:tcBorders>
              <w:left w:val="nil"/>
              <w:bottom w:val="nil"/>
              <w:right w:val="nil"/>
            </w:tcBorders>
            <w:vAlign w:val="bottom"/>
          </w:tcPr>
          <w:p w14:paraId="162C0644" w14:textId="77777777" w:rsidR="004E6B58" w:rsidRPr="00934FE7" w:rsidRDefault="00AA4368">
            <w:pPr>
              <w:rPr>
                <w:rFonts w:ascii="Arial" w:hAnsi="Arial" w:cs="Arial"/>
                <w:szCs w:val="24"/>
              </w:rPr>
            </w:pPr>
            <w:r w:rsidRPr="00934FE7">
              <w:rPr>
                <w:rFonts w:ascii="Arial" w:hAnsi="Arial" w:cs="Arial"/>
                <w:szCs w:val="24"/>
              </w:rPr>
              <w:t>6,269.01</w:t>
            </w:r>
          </w:p>
        </w:tc>
      </w:tr>
      <w:tr w:rsidR="00934FE7" w:rsidRPr="00934FE7" w14:paraId="1CB1ADCC" w14:textId="77777777">
        <w:trPr>
          <w:trHeight w:val="301"/>
          <w:jc w:val="center"/>
        </w:trPr>
        <w:tc>
          <w:tcPr>
            <w:tcW w:w="1466" w:type="dxa"/>
            <w:tcBorders>
              <w:top w:val="nil"/>
              <w:left w:val="nil"/>
              <w:bottom w:val="nil"/>
              <w:right w:val="nil"/>
            </w:tcBorders>
            <w:vAlign w:val="bottom"/>
          </w:tcPr>
          <w:p w14:paraId="3AFEE319" w14:textId="77777777" w:rsidR="004E6B58" w:rsidRPr="00934FE7" w:rsidRDefault="00AA4368">
            <w:pPr>
              <w:rPr>
                <w:rFonts w:ascii="Arial" w:hAnsi="Arial" w:cs="Arial"/>
                <w:szCs w:val="24"/>
              </w:rPr>
            </w:pPr>
            <w:r w:rsidRPr="00934FE7">
              <w:rPr>
                <w:rFonts w:ascii="Arial" w:hAnsi="Arial" w:cs="Arial"/>
                <w:szCs w:val="24"/>
              </w:rPr>
              <w:t>February</w:t>
            </w:r>
          </w:p>
        </w:tc>
        <w:tc>
          <w:tcPr>
            <w:tcW w:w="1418" w:type="dxa"/>
            <w:tcBorders>
              <w:top w:val="nil"/>
              <w:left w:val="nil"/>
              <w:bottom w:val="nil"/>
              <w:right w:val="nil"/>
            </w:tcBorders>
            <w:vAlign w:val="bottom"/>
          </w:tcPr>
          <w:p w14:paraId="5F5B1949" w14:textId="77777777" w:rsidR="004E6B58" w:rsidRPr="00934FE7" w:rsidRDefault="00AA4368">
            <w:pPr>
              <w:rPr>
                <w:rFonts w:ascii="Arial" w:hAnsi="Arial" w:cs="Arial"/>
                <w:szCs w:val="24"/>
              </w:rPr>
            </w:pPr>
            <w:r w:rsidRPr="00934FE7">
              <w:rPr>
                <w:rFonts w:ascii="Arial" w:hAnsi="Arial" w:cs="Arial"/>
                <w:szCs w:val="24"/>
              </w:rPr>
              <w:t>14,139.21</w:t>
            </w:r>
          </w:p>
        </w:tc>
        <w:tc>
          <w:tcPr>
            <w:tcW w:w="1404" w:type="dxa"/>
            <w:gridSpan w:val="2"/>
            <w:tcBorders>
              <w:top w:val="nil"/>
              <w:left w:val="nil"/>
              <w:bottom w:val="nil"/>
              <w:right w:val="nil"/>
            </w:tcBorders>
            <w:vAlign w:val="bottom"/>
          </w:tcPr>
          <w:p w14:paraId="44E5F23E" w14:textId="77777777" w:rsidR="004E6B58" w:rsidRPr="00934FE7" w:rsidRDefault="00AA4368">
            <w:pPr>
              <w:rPr>
                <w:rFonts w:ascii="Arial" w:hAnsi="Arial" w:cs="Arial"/>
                <w:szCs w:val="24"/>
              </w:rPr>
            </w:pPr>
            <w:r w:rsidRPr="00934FE7">
              <w:rPr>
                <w:rFonts w:ascii="Arial" w:hAnsi="Arial" w:cs="Arial"/>
                <w:szCs w:val="24"/>
              </w:rPr>
              <w:t>12,279.32</w:t>
            </w:r>
          </w:p>
        </w:tc>
        <w:tc>
          <w:tcPr>
            <w:tcW w:w="1411" w:type="dxa"/>
            <w:tcBorders>
              <w:top w:val="nil"/>
              <w:left w:val="nil"/>
              <w:bottom w:val="nil"/>
              <w:right w:val="nil"/>
            </w:tcBorders>
            <w:vAlign w:val="bottom"/>
          </w:tcPr>
          <w:p w14:paraId="448AFD81" w14:textId="77777777" w:rsidR="004E6B58" w:rsidRPr="00934FE7" w:rsidRDefault="00AA4368">
            <w:pPr>
              <w:rPr>
                <w:rFonts w:ascii="Arial" w:hAnsi="Arial" w:cs="Arial"/>
                <w:szCs w:val="24"/>
              </w:rPr>
            </w:pPr>
            <w:r w:rsidRPr="00934FE7">
              <w:rPr>
                <w:rFonts w:ascii="Arial" w:hAnsi="Arial" w:cs="Arial"/>
                <w:szCs w:val="24"/>
              </w:rPr>
              <w:t>16,584.10</w:t>
            </w:r>
          </w:p>
        </w:tc>
        <w:tc>
          <w:tcPr>
            <w:tcW w:w="1405" w:type="dxa"/>
            <w:gridSpan w:val="2"/>
            <w:tcBorders>
              <w:top w:val="nil"/>
              <w:left w:val="nil"/>
              <w:bottom w:val="nil"/>
              <w:right w:val="nil"/>
            </w:tcBorders>
            <w:vAlign w:val="bottom"/>
          </w:tcPr>
          <w:p w14:paraId="232C148F" w14:textId="77777777" w:rsidR="004E6B58" w:rsidRPr="00934FE7" w:rsidRDefault="00AA4368">
            <w:pPr>
              <w:rPr>
                <w:rFonts w:ascii="Arial" w:hAnsi="Arial" w:cs="Arial"/>
                <w:szCs w:val="24"/>
              </w:rPr>
            </w:pPr>
            <w:r w:rsidRPr="00934FE7">
              <w:rPr>
                <w:rFonts w:ascii="Arial" w:hAnsi="Arial" w:cs="Arial"/>
                <w:szCs w:val="24"/>
              </w:rPr>
              <w:t>12,956.74</w:t>
            </w:r>
          </w:p>
        </w:tc>
        <w:tc>
          <w:tcPr>
            <w:tcW w:w="1404" w:type="dxa"/>
            <w:tcBorders>
              <w:top w:val="nil"/>
              <w:left w:val="nil"/>
              <w:bottom w:val="nil"/>
              <w:right w:val="nil"/>
            </w:tcBorders>
            <w:vAlign w:val="bottom"/>
          </w:tcPr>
          <w:p w14:paraId="6D1D6B7E" w14:textId="77777777" w:rsidR="004E6B58" w:rsidRPr="00934FE7" w:rsidRDefault="00AA4368">
            <w:pPr>
              <w:rPr>
                <w:rFonts w:ascii="Arial" w:hAnsi="Arial" w:cs="Arial"/>
                <w:szCs w:val="24"/>
              </w:rPr>
            </w:pPr>
            <w:r w:rsidRPr="00934FE7">
              <w:rPr>
                <w:rFonts w:ascii="Arial" w:hAnsi="Arial" w:cs="Arial"/>
                <w:szCs w:val="24"/>
              </w:rPr>
              <w:t>16,593.56</w:t>
            </w:r>
          </w:p>
        </w:tc>
      </w:tr>
      <w:tr w:rsidR="00934FE7" w:rsidRPr="00934FE7" w14:paraId="017A0739" w14:textId="77777777">
        <w:trPr>
          <w:trHeight w:val="283"/>
          <w:jc w:val="center"/>
        </w:trPr>
        <w:tc>
          <w:tcPr>
            <w:tcW w:w="1466" w:type="dxa"/>
            <w:tcBorders>
              <w:top w:val="nil"/>
              <w:left w:val="nil"/>
              <w:bottom w:val="nil"/>
              <w:right w:val="nil"/>
            </w:tcBorders>
            <w:vAlign w:val="bottom"/>
          </w:tcPr>
          <w:p w14:paraId="676529AC" w14:textId="77777777" w:rsidR="004E6B58" w:rsidRPr="00934FE7" w:rsidRDefault="00AA4368">
            <w:pPr>
              <w:rPr>
                <w:rFonts w:ascii="Arial" w:hAnsi="Arial" w:cs="Arial"/>
                <w:szCs w:val="24"/>
              </w:rPr>
            </w:pPr>
            <w:r w:rsidRPr="00934FE7">
              <w:rPr>
                <w:rFonts w:ascii="Arial" w:hAnsi="Arial" w:cs="Arial"/>
                <w:szCs w:val="24"/>
              </w:rPr>
              <w:t>March</w:t>
            </w:r>
          </w:p>
        </w:tc>
        <w:tc>
          <w:tcPr>
            <w:tcW w:w="1418" w:type="dxa"/>
            <w:tcBorders>
              <w:top w:val="nil"/>
              <w:left w:val="nil"/>
              <w:bottom w:val="nil"/>
              <w:right w:val="nil"/>
            </w:tcBorders>
            <w:vAlign w:val="bottom"/>
          </w:tcPr>
          <w:p w14:paraId="2EFC9F06" w14:textId="77777777" w:rsidR="004E6B58" w:rsidRPr="00934FE7" w:rsidRDefault="00AA4368">
            <w:pPr>
              <w:rPr>
                <w:rFonts w:ascii="Arial" w:hAnsi="Arial" w:cs="Arial"/>
                <w:szCs w:val="24"/>
              </w:rPr>
            </w:pPr>
            <w:r w:rsidRPr="00934FE7">
              <w:rPr>
                <w:rFonts w:ascii="Arial" w:hAnsi="Arial" w:cs="Arial"/>
                <w:szCs w:val="24"/>
              </w:rPr>
              <w:t>17,870.81</w:t>
            </w:r>
          </w:p>
        </w:tc>
        <w:tc>
          <w:tcPr>
            <w:tcW w:w="1404" w:type="dxa"/>
            <w:gridSpan w:val="2"/>
            <w:tcBorders>
              <w:top w:val="nil"/>
              <w:left w:val="nil"/>
              <w:bottom w:val="nil"/>
              <w:right w:val="nil"/>
            </w:tcBorders>
            <w:vAlign w:val="bottom"/>
          </w:tcPr>
          <w:p w14:paraId="2C6D8678" w14:textId="77777777" w:rsidR="004E6B58" w:rsidRPr="00934FE7" w:rsidRDefault="00AA4368">
            <w:pPr>
              <w:rPr>
                <w:rFonts w:ascii="Arial" w:hAnsi="Arial" w:cs="Arial"/>
                <w:szCs w:val="24"/>
              </w:rPr>
            </w:pPr>
            <w:r w:rsidRPr="00934FE7">
              <w:rPr>
                <w:rFonts w:ascii="Arial" w:hAnsi="Arial" w:cs="Arial"/>
                <w:szCs w:val="24"/>
              </w:rPr>
              <w:t>16,684.65</w:t>
            </w:r>
          </w:p>
        </w:tc>
        <w:tc>
          <w:tcPr>
            <w:tcW w:w="1411" w:type="dxa"/>
            <w:tcBorders>
              <w:top w:val="nil"/>
              <w:left w:val="nil"/>
              <w:bottom w:val="nil"/>
              <w:right w:val="nil"/>
            </w:tcBorders>
            <w:vAlign w:val="bottom"/>
          </w:tcPr>
          <w:p w14:paraId="00CC628B" w14:textId="77777777" w:rsidR="004E6B58" w:rsidRPr="00934FE7" w:rsidRDefault="00AA4368">
            <w:pPr>
              <w:rPr>
                <w:rFonts w:ascii="Arial" w:hAnsi="Arial" w:cs="Arial"/>
                <w:szCs w:val="24"/>
              </w:rPr>
            </w:pPr>
            <w:r w:rsidRPr="00934FE7">
              <w:rPr>
                <w:rFonts w:ascii="Arial" w:hAnsi="Arial" w:cs="Arial"/>
                <w:szCs w:val="24"/>
              </w:rPr>
              <w:t>17,395.91</w:t>
            </w:r>
          </w:p>
        </w:tc>
        <w:tc>
          <w:tcPr>
            <w:tcW w:w="1405" w:type="dxa"/>
            <w:gridSpan w:val="2"/>
            <w:tcBorders>
              <w:top w:val="nil"/>
              <w:left w:val="nil"/>
              <w:bottom w:val="nil"/>
              <w:right w:val="nil"/>
            </w:tcBorders>
            <w:vAlign w:val="bottom"/>
          </w:tcPr>
          <w:p w14:paraId="3BED23C5" w14:textId="77777777" w:rsidR="004E6B58" w:rsidRPr="00934FE7" w:rsidRDefault="00AA4368">
            <w:pPr>
              <w:rPr>
                <w:rFonts w:ascii="Arial" w:hAnsi="Arial" w:cs="Arial"/>
                <w:szCs w:val="24"/>
              </w:rPr>
            </w:pPr>
            <w:r w:rsidRPr="00934FE7">
              <w:rPr>
                <w:rFonts w:ascii="Arial" w:hAnsi="Arial" w:cs="Arial"/>
                <w:szCs w:val="24"/>
              </w:rPr>
              <w:t>15,500.64</w:t>
            </w:r>
          </w:p>
        </w:tc>
        <w:tc>
          <w:tcPr>
            <w:tcW w:w="1404" w:type="dxa"/>
            <w:tcBorders>
              <w:top w:val="nil"/>
              <w:left w:val="nil"/>
              <w:bottom w:val="nil"/>
              <w:right w:val="nil"/>
            </w:tcBorders>
            <w:vAlign w:val="bottom"/>
          </w:tcPr>
          <w:p w14:paraId="13821C07" w14:textId="77777777" w:rsidR="004E6B58" w:rsidRPr="00934FE7" w:rsidRDefault="00AA4368">
            <w:pPr>
              <w:rPr>
                <w:rFonts w:ascii="Arial" w:hAnsi="Arial" w:cs="Arial"/>
                <w:szCs w:val="24"/>
              </w:rPr>
            </w:pPr>
            <w:r w:rsidRPr="00934FE7">
              <w:rPr>
                <w:rFonts w:ascii="Arial" w:hAnsi="Arial" w:cs="Arial"/>
                <w:szCs w:val="24"/>
              </w:rPr>
              <w:t>20,483.17</w:t>
            </w:r>
          </w:p>
        </w:tc>
      </w:tr>
      <w:tr w:rsidR="00934FE7" w:rsidRPr="00934FE7" w14:paraId="4DA0FF5C" w14:textId="77777777">
        <w:trPr>
          <w:trHeight w:val="301"/>
          <w:jc w:val="center"/>
        </w:trPr>
        <w:tc>
          <w:tcPr>
            <w:tcW w:w="1466" w:type="dxa"/>
            <w:tcBorders>
              <w:top w:val="nil"/>
              <w:left w:val="nil"/>
              <w:bottom w:val="nil"/>
              <w:right w:val="nil"/>
            </w:tcBorders>
            <w:vAlign w:val="bottom"/>
          </w:tcPr>
          <w:p w14:paraId="4173BE8B" w14:textId="77777777" w:rsidR="004E6B58" w:rsidRPr="00934FE7" w:rsidRDefault="00AA4368">
            <w:pPr>
              <w:rPr>
                <w:rFonts w:ascii="Arial" w:hAnsi="Arial" w:cs="Arial"/>
                <w:szCs w:val="24"/>
              </w:rPr>
            </w:pPr>
            <w:r w:rsidRPr="00934FE7">
              <w:rPr>
                <w:rFonts w:ascii="Arial" w:hAnsi="Arial" w:cs="Arial"/>
                <w:szCs w:val="24"/>
              </w:rPr>
              <w:t>April</w:t>
            </w:r>
          </w:p>
        </w:tc>
        <w:tc>
          <w:tcPr>
            <w:tcW w:w="1418" w:type="dxa"/>
            <w:tcBorders>
              <w:top w:val="nil"/>
              <w:left w:val="nil"/>
              <w:bottom w:val="nil"/>
              <w:right w:val="nil"/>
            </w:tcBorders>
            <w:vAlign w:val="bottom"/>
          </w:tcPr>
          <w:p w14:paraId="1061B41D" w14:textId="77777777" w:rsidR="004E6B58" w:rsidRPr="00934FE7" w:rsidRDefault="00AA4368">
            <w:pPr>
              <w:rPr>
                <w:rFonts w:ascii="Arial" w:hAnsi="Arial" w:cs="Arial"/>
                <w:szCs w:val="24"/>
              </w:rPr>
            </w:pPr>
            <w:r w:rsidRPr="00934FE7">
              <w:rPr>
                <w:rFonts w:ascii="Arial" w:hAnsi="Arial" w:cs="Arial"/>
                <w:szCs w:val="24"/>
              </w:rPr>
              <w:t>19,821.39</w:t>
            </w:r>
          </w:p>
        </w:tc>
        <w:tc>
          <w:tcPr>
            <w:tcW w:w="1404" w:type="dxa"/>
            <w:gridSpan w:val="2"/>
            <w:tcBorders>
              <w:top w:val="nil"/>
              <w:left w:val="nil"/>
              <w:bottom w:val="nil"/>
              <w:right w:val="nil"/>
            </w:tcBorders>
            <w:vAlign w:val="bottom"/>
          </w:tcPr>
          <w:p w14:paraId="0F4784C5" w14:textId="77777777" w:rsidR="004E6B58" w:rsidRPr="00934FE7" w:rsidRDefault="00AA4368">
            <w:pPr>
              <w:rPr>
                <w:rFonts w:ascii="Arial" w:hAnsi="Arial" w:cs="Arial"/>
                <w:szCs w:val="24"/>
              </w:rPr>
            </w:pPr>
            <w:r w:rsidRPr="00934FE7">
              <w:rPr>
                <w:rFonts w:ascii="Arial" w:hAnsi="Arial" w:cs="Arial"/>
                <w:szCs w:val="24"/>
              </w:rPr>
              <w:t>25,783.67</w:t>
            </w:r>
          </w:p>
        </w:tc>
        <w:tc>
          <w:tcPr>
            <w:tcW w:w="1411" w:type="dxa"/>
            <w:tcBorders>
              <w:top w:val="nil"/>
              <w:left w:val="nil"/>
              <w:bottom w:val="nil"/>
              <w:right w:val="nil"/>
            </w:tcBorders>
            <w:vAlign w:val="bottom"/>
          </w:tcPr>
          <w:p w14:paraId="45BD30F0" w14:textId="77777777" w:rsidR="004E6B58" w:rsidRPr="00934FE7" w:rsidRDefault="00AA4368">
            <w:pPr>
              <w:rPr>
                <w:rFonts w:ascii="Arial" w:hAnsi="Arial" w:cs="Arial"/>
                <w:szCs w:val="24"/>
              </w:rPr>
            </w:pPr>
            <w:r w:rsidRPr="00934FE7">
              <w:rPr>
                <w:rFonts w:ascii="Arial" w:hAnsi="Arial" w:cs="Arial"/>
                <w:szCs w:val="24"/>
              </w:rPr>
              <w:t>14,983.59</w:t>
            </w:r>
          </w:p>
        </w:tc>
        <w:tc>
          <w:tcPr>
            <w:tcW w:w="1405" w:type="dxa"/>
            <w:gridSpan w:val="2"/>
            <w:tcBorders>
              <w:top w:val="nil"/>
              <w:left w:val="nil"/>
              <w:bottom w:val="nil"/>
              <w:right w:val="nil"/>
            </w:tcBorders>
            <w:vAlign w:val="bottom"/>
          </w:tcPr>
          <w:p w14:paraId="060B49F2" w14:textId="77777777" w:rsidR="004E6B58" w:rsidRPr="00934FE7" w:rsidRDefault="00AA4368">
            <w:pPr>
              <w:rPr>
                <w:rFonts w:ascii="Arial" w:hAnsi="Arial" w:cs="Arial"/>
                <w:szCs w:val="24"/>
              </w:rPr>
            </w:pPr>
            <w:r w:rsidRPr="00934FE7">
              <w:rPr>
                <w:rFonts w:ascii="Arial" w:hAnsi="Arial" w:cs="Arial"/>
                <w:szCs w:val="24"/>
              </w:rPr>
              <w:t>16,817.28</w:t>
            </w:r>
          </w:p>
        </w:tc>
        <w:tc>
          <w:tcPr>
            <w:tcW w:w="1404" w:type="dxa"/>
            <w:tcBorders>
              <w:top w:val="nil"/>
              <w:left w:val="nil"/>
              <w:bottom w:val="nil"/>
              <w:right w:val="nil"/>
            </w:tcBorders>
            <w:vAlign w:val="bottom"/>
          </w:tcPr>
          <w:p w14:paraId="7A208BD2" w14:textId="77777777" w:rsidR="004E6B58" w:rsidRPr="00934FE7" w:rsidRDefault="00AA4368">
            <w:pPr>
              <w:rPr>
                <w:rFonts w:ascii="Arial" w:hAnsi="Arial" w:cs="Arial"/>
                <w:szCs w:val="24"/>
              </w:rPr>
            </w:pPr>
            <w:r w:rsidRPr="00934FE7">
              <w:rPr>
                <w:rFonts w:ascii="Arial" w:hAnsi="Arial" w:cs="Arial"/>
                <w:szCs w:val="24"/>
              </w:rPr>
              <w:t>19,441.58</w:t>
            </w:r>
          </w:p>
        </w:tc>
      </w:tr>
      <w:tr w:rsidR="00934FE7" w:rsidRPr="00934FE7" w14:paraId="1E3E99DF" w14:textId="77777777">
        <w:trPr>
          <w:trHeight w:val="283"/>
          <w:jc w:val="center"/>
        </w:trPr>
        <w:tc>
          <w:tcPr>
            <w:tcW w:w="1466" w:type="dxa"/>
            <w:tcBorders>
              <w:top w:val="nil"/>
              <w:left w:val="nil"/>
              <w:bottom w:val="nil"/>
              <w:right w:val="nil"/>
            </w:tcBorders>
            <w:vAlign w:val="bottom"/>
          </w:tcPr>
          <w:p w14:paraId="347140DE" w14:textId="77777777" w:rsidR="004E6B58" w:rsidRPr="00934FE7" w:rsidRDefault="00AA4368">
            <w:pPr>
              <w:rPr>
                <w:rFonts w:ascii="Arial" w:hAnsi="Arial" w:cs="Arial"/>
                <w:szCs w:val="24"/>
              </w:rPr>
            </w:pPr>
            <w:r w:rsidRPr="00934FE7">
              <w:rPr>
                <w:rFonts w:ascii="Arial" w:hAnsi="Arial" w:cs="Arial"/>
                <w:szCs w:val="24"/>
              </w:rPr>
              <w:t>May</w:t>
            </w:r>
          </w:p>
        </w:tc>
        <w:tc>
          <w:tcPr>
            <w:tcW w:w="1418" w:type="dxa"/>
            <w:tcBorders>
              <w:top w:val="nil"/>
              <w:left w:val="nil"/>
              <w:bottom w:val="nil"/>
              <w:right w:val="nil"/>
            </w:tcBorders>
            <w:vAlign w:val="bottom"/>
          </w:tcPr>
          <w:p w14:paraId="77D25352" w14:textId="77777777" w:rsidR="004E6B58" w:rsidRPr="00934FE7" w:rsidRDefault="00AA4368">
            <w:pPr>
              <w:rPr>
                <w:rFonts w:ascii="Arial" w:hAnsi="Arial" w:cs="Arial"/>
                <w:szCs w:val="24"/>
              </w:rPr>
            </w:pPr>
            <w:r w:rsidRPr="00934FE7">
              <w:rPr>
                <w:rFonts w:ascii="Arial" w:hAnsi="Arial" w:cs="Arial"/>
                <w:szCs w:val="24"/>
              </w:rPr>
              <w:t>19,178.47</w:t>
            </w:r>
          </w:p>
        </w:tc>
        <w:tc>
          <w:tcPr>
            <w:tcW w:w="1404" w:type="dxa"/>
            <w:gridSpan w:val="2"/>
            <w:tcBorders>
              <w:top w:val="nil"/>
              <w:left w:val="nil"/>
              <w:bottom w:val="nil"/>
              <w:right w:val="nil"/>
            </w:tcBorders>
            <w:vAlign w:val="bottom"/>
          </w:tcPr>
          <w:p w14:paraId="5AD3665A" w14:textId="77777777" w:rsidR="004E6B58" w:rsidRPr="00934FE7" w:rsidRDefault="00AA4368">
            <w:pPr>
              <w:rPr>
                <w:rFonts w:ascii="Arial" w:hAnsi="Arial" w:cs="Arial"/>
                <w:szCs w:val="24"/>
              </w:rPr>
            </w:pPr>
            <w:r w:rsidRPr="00934FE7">
              <w:rPr>
                <w:rFonts w:ascii="Arial" w:hAnsi="Arial" w:cs="Arial"/>
                <w:szCs w:val="24"/>
              </w:rPr>
              <w:t>31,724.44</w:t>
            </w:r>
          </w:p>
        </w:tc>
        <w:tc>
          <w:tcPr>
            <w:tcW w:w="1411" w:type="dxa"/>
            <w:tcBorders>
              <w:top w:val="nil"/>
              <w:left w:val="nil"/>
              <w:bottom w:val="nil"/>
              <w:right w:val="nil"/>
            </w:tcBorders>
            <w:vAlign w:val="bottom"/>
          </w:tcPr>
          <w:p w14:paraId="7B0A6462" w14:textId="77777777" w:rsidR="004E6B58" w:rsidRPr="00934FE7" w:rsidRDefault="00AA4368">
            <w:pPr>
              <w:rPr>
                <w:rFonts w:ascii="Arial" w:hAnsi="Arial" w:cs="Arial"/>
                <w:szCs w:val="24"/>
              </w:rPr>
            </w:pPr>
            <w:r w:rsidRPr="00934FE7">
              <w:rPr>
                <w:rFonts w:ascii="Arial" w:hAnsi="Arial" w:cs="Arial"/>
                <w:szCs w:val="24"/>
              </w:rPr>
              <w:t>18,016.45</w:t>
            </w:r>
          </w:p>
        </w:tc>
        <w:tc>
          <w:tcPr>
            <w:tcW w:w="1405" w:type="dxa"/>
            <w:gridSpan w:val="2"/>
            <w:tcBorders>
              <w:top w:val="nil"/>
              <w:left w:val="nil"/>
              <w:bottom w:val="nil"/>
              <w:right w:val="nil"/>
            </w:tcBorders>
            <w:vAlign w:val="bottom"/>
          </w:tcPr>
          <w:p w14:paraId="58B9EDB3" w14:textId="77777777" w:rsidR="004E6B58" w:rsidRPr="00934FE7" w:rsidRDefault="00AA4368">
            <w:pPr>
              <w:rPr>
                <w:rFonts w:ascii="Arial" w:hAnsi="Arial" w:cs="Arial"/>
                <w:szCs w:val="24"/>
              </w:rPr>
            </w:pPr>
            <w:r w:rsidRPr="00934FE7">
              <w:rPr>
                <w:rFonts w:ascii="Arial" w:hAnsi="Arial" w:cs="Arial"/>
                <w:szCs w:val="24"/>
              </w:rPr>
              <w:t>16,391.03</w:t>
            </w:r>
          </w:p>
        </w:tc>
        <w:tc>
          <w:tcPr>
            <w:tcW w:w="1404" w:type="dxa"/>
            <w:tcBorders>
              <w:top w:val="nil"/>
              <w:left w:val="nil"/>
              <w:bottom w:val="nil"/>
              <w:right w:val="nil"/>
            </w:tcBorders>
            <w:vAlign w:val="bottom"/>
          </w:tcPr>
          <w:p w14:paraId="6FE0CDA8" w14:textId="77777777" w:rsidR="004E6B58" w:rsidRPr="00934FE7" w:rsidRDefault="00AA4368">
            <w:pPr>
              <w:rPr>
                <w:rFonts w:ascii="Arial" w:hAnsi="Arial" w:cs="Arial"/>
                <w:szCs w:val="24"/>
              </w:rPr>
            </w:pPr>
            <w:r w:rsidRPr="00934FE7">
              <w:rPr>
                <w:rFonts w:ascii="Arial" w:hAnsi="Arial" w:cs="Arial"/>
                <w:szCs w:val="24"/>
              </w:rPr>
              <w:t>22,460.02</w:t>
            </w:r>
          </w:p>
        </w:tc>
      </w:tr>
      <w:tr w:rsidR="00934FE7" w:rsidRPr="00934FE7" w14:paraId="6B021A6A" w14:textId="77777777">
        <w:trPr>
          <w:trHeight w:val="301"/>
          <w:jc w:val="center"/>
        </w:trPr>
        <w:tc>
          <w:tcPr>
            <w:tcW w:w="1466" w:type="dxa"/>
            <w:tcBorders>
              <w:top w:val="nil"/>
              <w:left w:val="nil"/>
              <w:bottom w:val="nil"/>
              <w:right w:val="nil"/>
            </w:tcBorders>
            <w:vAlign w:val="bottom"/>
          </w:tcPr>
          <w:p w14:paraId="62A1D2F5" w14:textId="77777777" w:rsidR="004E6B58" w:rsidRPr="00934FE7" w:rsidRDefault="00AA4368">
            <w:pPr>
              <w:rPr>
                <w:rFonts w:ascii="Arial" w:hAnsi="Arial" w:cs="Arial"/>
                <w:szCs w:val="24"/>
              </w:rPr>
            </w:pPr>
            <w:r w:rsidRPr="00934FE7">
              <w:rPr>
                <w:rFonts w:ascii="Arial" w:hAnsi="Arial" w:cs="Arial"/>
                <w:szCs w:val="24"/>
              </w:rPr>
              <w:t>June</w:t>
            </w:r>
          </w:p>
        </w:tc>
        <w:tc>
          <w:tcPr>
            <w:tcW w:w="1418" w:type="dxa"/>
            <w:tcBorders>
              <w:top w:val="nil"/>
              <w:left w:val="nil"/>
              <w:bottom w:val="nil"/>
              <w:right w:val="nil"/>
            </w:tcBorders>
            <w:vAlign w:val="bottom"/>
          </w:tcPr>
          <w:p w14:paraId="7526DDC3" w14:textId="77777777" w:rsidR="004E6B58" w:rsidRPr="00934FE7" w:rsidRDefault="00AA4368">
            <w:pPr>
              <w:rPr>
                <w:rFonts w:ascii="Arial" w:hAnsi="Arial" w:cs="Arial"/>
                <w:szCs w:val="24"/>
              </w:rPr>
            </w:pPr>
            <w:r w:rsidRPr="00934FE7">
              <w:rPr>
                <w:rFonts w:ascii="Arial" w:hAnsi="Arial" w:cs="Arial"/>
                <w:szCs w:val="24"/>
              </w:rPr>
              <w:t>17,224.54</w:t>
            </w:r>
          </w:p>
        </w:tc>
        <w:tc>
          <w:tcPr>
            <w:tcW w:w="1404" w:type="dxa"/>
            <w:gridSpan w:val="2"/>
            <w:tcBorders>
              <w:top w:val="nil"/>
              <w:left w:val="nil"/>
              <w:bottom w:val="nil"/>
              <w:right w:val="nil"/>
            </w:tcBorders>
            <w:vAlign w:val="bottom"/>
          </w:tcPr>
          <w:p w14:paraId="6F167D18" w14:textId="77777777" w:rsidR="004E6B58" w:rsidRPr="00934FE7" w:rsidRDefault="00AA4368">
            <w:pPr>
              <w:rPr>
                <w:rFonts w:ascii="Arial" w:hAnsi="Arial" w:cs="Arial"/>
                <w:szCs w:val="24"/>
              </w:rPr>
            </w:pPr>
            <w:r w:rsidRPr="00934FE7">
              <w:rPr>
                <w:rFonts w:ascii="Arial" w:hAnsi="Arial" w:cs="Arial"/>
                <w:szCs w:val="24"/>
              </w:rPr>
              <w:t>19,078.72</w:t>
            </w:r>
          </w:p>
        </w:tc>
        <w:tc>
          <w:tcPr>
            <w:tcW w:w="1411" w:type="dxa"/>
            <w:tcBorders>
              <w:top w:val="nil"/>
              <w:left w:val="nil"/>
              <w:bottom w:val="nil"/>
              <w:right w:val="nil"/>
            </w:tcBorders>
            <w:vAlign w:val="bottom"/>
          </w:tcPr>
          <w:p w14:paraId="4CC9FA47" w14:textId="77777777" w:rsidR="004E6B58" w:rsidRPr="00934FE7" w:rsidRDefault="00AA4368">
            <w:pPr>
              <w:rPr>
                <w:rFonts w:ascii="Arial" w:hAnsi="Arial" w:cs="Arial"/>
                <w:szCs w:val="24"/>
              </w:rPr>
            </w:pPr>
            <w:r w:rsidRPr="00934FE7">
              <w:rPr>
                <w:rFonts w:ascii="Arial" w:hAnsi="Arial" w:cs="Arial"/>
                <w:szCs w:val="24"/>
              </w:rPr>
              <w:t>17,193.17</w:t>
            </w:r>
          </w:p>
        </w:tc>
        <w:tc>
          <w:tcPr>
            <w:tcW w:w="1405" w:type="dxa"/>
            <w:gridSpan w:val="2"/>
            <w:tcBorders>
              <w:top w:val="nil"/>
              <w:left w:val="nil"/>
              <w:bottom w:val="nil"/>
              <w:right w:val="nil"/>
            </w:tcBorders>
            <w:vAlign w:val="bottom"/>
          </w:tcPr>
          <w:p w14:paraId="7B9359AB" w14:textId="77777777" w:rsidR="004E6B58" w:rsidRPr="00934FE7" w:rsidRDefault="00AA4368">
            <w:pPr>
              <w:rPr>
                <w:rFonts w:ascii="Arial" w:hAnsi="Arial" w:cs="Arial"/>
                <w:szCs w:val="24"/>
              </w:rPr>
            </w:pPr>
            <w:r w:rsidRPr="00934FE7">
              <w:rPr>
                <w:rFonts w:ascii="Arial" w:hAnsi="Arial" w:cs="Arial"/>
                <w:szCs w:val="24"/>
              </w:rPr>
              <w:t>31,524.75</w:t>
            </w:r>
          </w:p>
        </w:tc>
        <w:tc>
          <w:tcPr>
            <w:tcW w:w="1404" w:type="dxa"/>
            <w:tcBorders>
              <w:top w:val="nil"/>
              <w:left w:val="nil"/>
              <w:bottom w:val="nil"/>
              <w:right w:val="nil"/>
            </w:tcBorders>
            <w:vAlign w:val="bottom"/>
          </w:tcPr>
          <w:p w14:paraId="5EE3FA31" w14:textId="77777777" w:rsidR="004E6B58" w:rsidRPr="00934FE7" w:rsidRDefault="00AA4368">
            <w:pPr>
              <w:rPr>
                <w:rFonts w:ascii="Arial" w:hAnsi="Arial" w:cs="Arial"/>
                <w:szCs w:val="24"/>
              </w:rPr>
            </w:pPr>
            <w:r w:rsidRPr="00934FE7">
              <w:rPr>
                <w:rFonts w:ascii="Arial" w:hAnsi="Arial" w:cs="Arial"/>
                <w:szCs w:val="24"/>
              </w:rPr>
              <w:t>24,105.76</w:t>
            </w:r>
          </w:p>
        </w:tc>
      </w:tr>
      <w:tr w:rsidR="00934FE7" w:rsidRPr="00934FE7" w14:paraId="09A3F44D" w14:textId="77777777">
        <w:trPr>
          <w:trHeight w:val="283"/>
          <w:jc w:val="center"/>
        </w:trPr>
        <w:tc>
          <w:tcPr>
            <w:tcW w:w="1466" w:type="dxa"/>
            <w:tcBorders>
              <w:top w:val="nil"/>
              <w:left w:val="nil"/>
              <w:bottom w:val="nil"/>
              <w:right w:val="nil"/>
            </w:tcBorders>
            <w:vAlign w:val="bottom"/>
          </w:tcPr>
          <w:p w14:paraId="4ABC54EF" w14:textId="77777777" w:rsidR="004E6B58" w:rsidRPr="00934FE7" w:rsidRDefault="00AA4368">
            <w:pPr>
              <w:rPr>
                <w:rFonts w:ascii="Arial" w:hAnsi="Arial" w:cs="Arial"/>
                <w:szCs w:val="24"/>
              </w:rPr>
            </w:pPr>
            <w:r w:rsidRPr="00934FE7">
              <w:rPr>
                <w:rFonts w:ascii="Arial" w:hAnsi="Arial" w:cs="Arial"/>
                <w:szCs w:val="24"/>
              </w:rPr>
              <w:lastRenderedPageBreak/>
              <w:t>July</w:t>
            </w:r>
          </w:p>
        </w:tc>
        <w:tc>
          <w:tcPr>
            <w:tcW w:w="1418" w:type="dxa"/>
            <w:tcBorders>
              <w:top w:val="nil"/>
              <w:left w:val="nil"/>
              <w:bottom w:val="nil"/>
              <w:right w:val="nil"/>
            </w:tcBorders>
            <w:vAlign w:val="bottom"/>
          </w:tcPr>
          <w:p w14:paraId="36133B8D" w14:textId="77777777" w:rsidR="004E6B58" w:rsidRPr="00934FE7" w:rsidRDefault="00AA4368">
            <w:pPr>
              <w:rPr>
                <w:rFonts w:ascii="Arial" w:hAnsi="Arial" w:cs="Arial"/>
                <w:szCs w:val="24"/>
              </w:rPr>
            </w:pPr>
            <w:r w:rsidRPr="00934FE7">
              <w:rPr>
                <w:rFonts w:ascii="Arial" w:hAnsi="Arial" w:cs="Arial"/>
                <w:szCs w:val="24"/>
              </w:rPr>
              <w:t>15,581.48</w:t>
            </w:r>
          </w:p>
        </w:tc>
        <w:tc>
          <w:tcPr>
            <w:tcW w:w="1404" w:type="dxa"/>
            <w:gridSpan w:val="2"/>
            <w:tcBorders>
              <w:top w:val="nil"/>
              <w:left w:val="nil"/>
              <w:bottom w:val="nil"/>
              <w:right w:val="nil"/>
            </w:tcBorders>
            <w:vAlign w:val="bottom"/>
          </w:tcPr>
          <w:p w14:paraId="1AE06B30" w14:textId="77777777" w:rsidR="004E6B58" w:rsidRPr="00934FE7" w:rsidRDefault="00AA4368">
            <w:pPr>
              <w:rPr>
                <w:rFonts w:ascii="Arial" w:hAnsi="Arial" w:cs="Arial"/>
                <w:szCs w:val="24"/>
              </w:rPr>
            </w:pPr>
            <w:r w:rsidRPr="00934FE7">
              <w:rPr>
                <w:rFonts w:ascii="Arial" w:hAnsi="Arial" w:cs="Arial"/>
                <w:szCs w:val="24"/>
              </w:rPr>
              <w:t>18,184.85</w:t>
            </w:r>
          </w:p>
        </w:tc>
        <w:tc>
          <w:tcPr>
            <w:tcW w:w="1411" w:type="dxa"/>
            <w:tcBorders>
              <w:top w:val="nil"/>
              <w:left w:val="nil"/>
              <w:bottom w:val="nil"/>
              <w:right w:val="nil"/>
            </w:tcBorders>
            <w:vAlign w:val="bottom"/>
          </w:tcPr>
          <w:p w14:paraId="2E7CD78C" w14:textId="77777777" w:rsidR="004E6B58" w:rsidRPr="00934FE7" w:rsidRDefault="00AA4368">
            <w:pPr>
              <w:rPr>
                <w:rFonts w:ascii="Arial" w:hAnsi="Arial" w:cs="Arial"/>
                <w:szCs w:val="24"/>
              </w:rPr>
            </w:pPr>
            <w:r w:rsidRPr="00934FE7">
              <w:rPr>
                <w:rFonts w:ascii="Arial" w:hAnsi="Arial" w:cs="Arial"/>
                <w:szCs w:val="24"/>
              </w:rPr>
              <w:t>15,967.74</w:t>
            </w:r>
          </w:p>
        </w:tc>
        <w:tc>
          <w:tcPr>
            <w:tcW w:w="1405" w:type="dxa"/>
            <w:gridSpan w:val="2"/>
            <w:tcBorders>
              <w:top w:val="nil"/>
              <w:left w:val="nil"/>
              <w:bottom w:val="nil"/>
              <w:right w:val="nil"/>
            </w:tcBorders>
            <w:vAlign w:val="bottom"/>
          </w:tcPr>
          <w:p w14:paraId="0665D7CD" w14:textId="77777777" w:rsidR="004E6B58" w:rsidRPr="00934FE7" w:rsidRDefault="00AA4368">
            <w:pPr>
              <w:rPr>
                <w:rFonts w:ascii="Arial" w:hAnsi="Arial" w:cs="Arial"/>
                <w:szCs w:val="24"/>
              </w:rPr>
            </w:pPr>
            <w:r w:rsidRPr="00934FE7">
              <w:rPr>
                <w:rFonts w:ascii="Arial" w:hAnsi="Arial" w:cs="Arial"/>
                <w:szCs w:val="24"/>
              </w:rPr>
              <w:t>30,419.53</w:t>
            </w:r>
          </w:p>
        </w:tc>
        <w:tc>
          <w:tcPr>
            <w:tcW w:w="1404" w:type="dxa"/>
            <w:tcBorders>
              <w:top w:val="nil"/>
              <w:left w:val="nil"/>
              <w:bottom w:val="nil"/>
              <w:right w:val="nil"/>
            </w:tcBorders>
            <w:vAlign w:val="bottom"/>
          </w:tcPr>
          <w:p w14:paraId="0C1480F5" w14:textId="77777777" w:rsidR="004E6B58" w:rsidRPr="00934FE7" w:rsidRDefault="00AA4368">
            <w:pPr>
              <w:rPr>
                <w:rFonts w:ascii="Arial" w:hAnsi="Arial" w:cs="Arial"/>
                <w:szCs w:val="24"/>
              </w:rPr>
            </w:pPr>
            <w:r w:rsidRPr="00934FE7">
              <w:rPr>
                <w:rFonts w:ascii="Arial" w:hAnsi="Arial" w:cs="Arial"/>
                <w:szCs w:val="24"/>
              </w:rPr>
              <w:t>13,957.93</w:t>
            </w:r>
          </w:p>
        </w:tc>
      </w:tr>
      <w:tr w:rsidR="00934FE7" w:rsidRPr="00934FE7" w14:paraId="1346BB4C" w14:textId="77777777">
        <w:trPr>
          <w:trHeight w:val="301"/>
          <w:jc w:val="center"/>
        </w:trPr>
        <w:tc>
          <w:tcPr>
            <w:tcW w:w="1466" w:type="dxa"/>
            <w:tcBorders>
              <w:top w:val="nil"/>
              <w:left w:val="nil"/>
              <w:bottom w:val="nil"/>
              <w:right w:val="nil"/>
            </w:tcBorders>
            <w:vAlign w:val="bottom"/>
          </w:tcPr>
          <w:p w14:paraId="71DFD169" w14:textId="77777777" w:rsidR="004E6B58" w:rsidRPr="00934FE7" w:rsidRDefault="00AA4368">
            <w:pPr>
              <w:rPr>
                <w:rFonts w:ascii="Arial" w:hAnsi="Arial" w:cs="Arial"/>
                <w:szCs w:val="24"/>
              </w:rPr>
            </w:pPr>
            <w:r w:rsidRPr="00934FE7">
              <w:rPr>
                <w:rFonts w:ascii="Arial" w:hAnsi="Arial" w:cs="Arial"/>
                <w:szCs w:val="24"/>
              </w:rPr>
              <w:t>August</w:t>
            </w:r>
          </w:p>
        </w:tc>
        <w:tc>
          <w:tcPr>
            <w:tcW w:w="1418" w:type="dxa"/>
            <w:tcBorders>
              <w:top w:val="nil"/>
              <w:left w:val="nil"/>
              <w:bottom w:val="nil"/>
              <w:right w:val="nil"/>
            </w:tcBorders>
            <w:vAlign w:val="bottom"/>
          </w:tcPr>
          <w:p w14:paraId="3271A620" w14:textId="77777777" w:rsidR="004E6B58" w:rsidRPr="00934FE7" w:rsidRDefault="00AA4368">
            <w:pPr>
              <w:rPr>
                <w:rFonts w:ascii="Arial" w:hAnsi="Arial" w:cs="Arial"/>
                <w:szCs w:val="24"/>
              </w:rPr>
            </w:pPr>
            <w:r w:rsidRPr="00934FE7">
              <w:rPr>
                <w:rFonts w:ascii="Arial" w:hAnsi="Arial" w:cs="Arial"/>
                <w:szCs w:val="24"/>
              </w:rPr>
              <w:t>11,817.96</w:t>
            </w:r>
          </w:p>
        </w:tc>
        <w:tc>
          <w:tcPr>
            <w:tcW w:w="1404" w:type="dxa"/>
            <w:gridSpan w:val="2"/>
            <w:tcBorders>
              <w:top w:val="nil"/>
              <w:left w:val="nil"/>
              <w:bottom w:val="nil"/>
              <w:right w:val="nil"/>
            </w:tcBorders>
            <w:vAlign w:val="bottom"/>
          </w:tcPr>
          <w:p w14:paraId="4CFEF290" w14:textId="77777777" w:rsidR="004E6B58" w:rsidRPr="00934FE7" w:rsidRDefault="00AA4368">
            <w:pPr>
              <w:rPr>
                <w:rFonts w:ascii="Arial" w:hAnsi="Arial" w:cs="Arial"/>
                <w:szCs w:val="24"/>
              </w:rPr>
            </w:pPr>
            <w:r w:rsidRPr="00934FE7">
              <w:rPr>
                <w:rFonts w:ascii="Arial" w:hAnsi="Arial" w:cs="Arial"/>
                <w:szCs w:val="24"/>
              </w:rPr>
              <w:t>17,601.36</w:t>
            </w:r>
          </w:p>
        </w:tc>
        <w:tc>
          <w:tcPr>
            <w:tcW w:w="1411" w:type="dxa"/>
            <w:tcBorders>
              <w:top w:val="nil"/>
              <w:left w:val="nil"/>
              <w:bottom w:val="nil"/>
              <w:right w:val="nil"/>
            </w:tcBorders>
            <w:vAlign w:val="bottom"/>
          </w:tcPr>
          <w:p w14:paraId="6BAC6F74" w14:textId="77777777" w:rsidR="004E6B58" w:rsidRPr="00934FE7" w:rsidRDefault="00AA4368">
            <w:pPr>
              <w:rPr>
                <w:rFonts w:ascii="Arial" w:hAnsi="Arial" w:cs="Arial"/>
                <w:szCs w:val="24"/>
              </w:rPr>
            </w:pPr>
            <w:r w:rsidRPr="00934FE7">
              <w:rPr>
                <w:rFonts w:ascii="Arial" w:hAnsi="Arial" w:cs="Arial"/>
                <w:szCs w:val="24"/>
              </w:rPr>
              <w:t>17,039.84</w:t>
            </w:r>
          </w:p>
        </w:tc>
        <w:tc>
          <w:tcPr>
            <w:tcW w:w="1405" w:type="dxa"/>
            <w:gridSpan w:val="2"/>
            <w:tcBorders>
              <w:top w:val="nil"/>
              <w:left w:val="nil"/>
              <w:bottom w:val="nil"/>
              <w:right w:val="nil"/>
            </w:tcBorders>
            <w:vAlign w:val="bottom"/>
          </w:tcPr>
          <w:p w14:paraId="513C999E" w14:textId="77777777" w:rsidR="004E6B58" w:rsidRPr="00934FE7" w:rsidRDefault="00AA4368">
            <w:pPr>
              <w:rPr>
                <w:rFonts w:ascii="Arial" w:hAnsi="Arial" w:cs="Arial"/>
                <w:szCs w:val="24"/>
              </w:rPr>
            </w:pPr>
            <w:r w:rsidRPr="00934FE7">
              <w:rPr>
                <w:rFonts w:ascii="Arial" w:hAnsi="Arial" w:cs="Arial"/>
                <w:szCs w:val="24"/>
              </w:rPr>
              <w:t>26,167.60</w:t>
            </w:r>
          </w:p>
        </w:tc>
        <w:tc>
          <w:tcPr>
            <w:tcW w:w="1404" w:type="dxa"/>
            <w:tcBorders>
              <w:top w:val="nil"/>
              <w:left w:val="nil"/>
              <w:bottom w:val="nil"/>
              <w:right w:val="nil"/>
            </w:tcBorders>
            <w:vAlign w:val="bottom"/>
          </w:tcPr>
          <w:p w14:paraId="1CDE3292" w14:textId="77777777" w:rsidR="004E6B58" w:rsidRPr="00934FE7" w:rsidRDefault="00AA4368">
            <w:pPr>
              <w:rPr>
                <w:rFonts w:ascii="Arial" w:hAnsi="Arial" w:cs="Arial"/>
                <w:szCs w:val="24"/>
              </w:rPr>
            </w:pPr>
            <w:r w:rsidRPr="00934FE7">
              <w:rPr>
                <w:rFonts w:ascii="Arial" w:hAnsi="Arial" w:cs="Arial"/>
                <w:szCs w:val="24"/>
              </w:rPr>
              <w:t>11,074.95</w:t>
            </w:r>
          </w:p>
        </w:tc>
      </w:tr>
      <w:tr w:rsidR="00934FE7" w:rsidRPr="00934FE7" w14:paraId="0DE67E8C" w14:textId="77777777">
        <w:trPr>
          <w:trHeight w:val="283"/>
          <w:jc w:val="center"/>
        </w:trPr>
        <w:tc>
          <w:tcPr>
            <w:tcW w:w="1466" w:type="dxa"/>
            <w:tcBorders>
              <w:top w:val="nil"/>
              <w:left w:val="nil"/>
              <w:bottom w:val="nil"/>
              <w:right w:val="nil"/>
            </w:tcBorders>
            <w:vAlign w:val="bottom"/>
          </w:tcPr>
          <w:p w14:paraId="1B8C0530" w14:textId="77777777" w:rsidR="004E6B58" w:rsidRPr="00934FE7" w:rsidRDefault="00AA4368">
            <w:pPr>
              <w:rPr>
                <w:rFonts w:ascii="Arial" w:hAnsi="Arial" w:cs="Arial"/>
                <w:szCs w:val="24"/>
              </w:rPr>
            </w:pPr>
            <w:r w:rsidRPr="00934FE7">
              <w:rPr>
                <w:rFonts w:ascii="Arial" w:hAnsi="Arial" w:cs="Arial"/>
                <w:szCs w:val="24"/>
              </w:rPr>
              <w:t>September</w:t>
            </w:r>
          </w:p>
        </w:tc>
        <w:tc>
          <w:tcPr>
            <w:tcW w:w="1418" w:type="dxa"/>
            <w:tcBorders>
              <w:top w:val="nil"/>
              <w:left w:val="nil"/>
              <w:bottom w:val="nil"/>
              <w:right w:val="nil"/>
            </w:tcBorders>
            <w:vAlign w:val="bottom"/>
          </w:tcPr>
          <w:p w14:paraId="65AFCD37" w14:textId="77777777" w:rsidR="004E6B58" w:rsidRPr="00934FE7" w:rsidRDefault="00AA4368">
            <w:pPr>
              <w:rPr>
                <w:rFonts w:ascii="Arial" w:hAnsi="Arial" w:cs="Arial"/>
                <w:szCs w:val="24"/>
              </w:rPr>
            </w:pPr>
            <w:r w:rsidRPr="00934FE7">
              <w:rPr>
                <w:rFonts w:ascii="Arial" w:hAnsi="Arial" w:cs="Arial"/>
                <w:szCs w:val="24"/>
              </w:rPr>
              <w:t>11,265.15</w:t>
            </w:r>
          </w:p>
        </w:tc>
        <w:tc>
          <w:tcPr>
            <w:tcW w:w="1404" w:type="dxa"/>
            <w:gridSpan w:val="2"/>
            <w:tcBorders>
              <w:top w:val="nil"/>
              <w:left w:val="nil"/>
              <w:bottom w:val="nil"/>
              <w:right w:val="nil"/>
            </w:tcBorders>
            <w:vAlign w:val="bottom"/>
          </w:tcPr>
          <w:p w14:paraId="24609B76" w14:textId="77777777" w:rsidR="004E6B58" w:rsidRPr="00934FE7" w:rsidRDefault="00AA4368">
            <w:pPr>
              <w:rPr>
                <w:rFonts w:ascii="Arial" w:hAnsi="Arial" w:cs="Arial"/>
                <w:szCs w:val="24"/>
              </w:rPr>
            </w:pPr>
            <w:r w:rsidRPr="00934FE7">
              <w:rPr>
                <w:rFonts w:ascii="Arial" w:hAnsi="Arial" w:cs="Arial"/>
                <w:szCs w:val="24"/>
              </w:rPr>
              <w:t>15,446.61</w:t>
            </w:r>
          </w:p>
        </w:tc>
        <w:tc>
          <w:tcPr>
            <w:tcW w:w="1411" w:type="dxa"/>
            <w:tcBorders>
              <w:top w:val="nil"/>
              <w:left w:val="nil"/>
              <w:bottom w:val="nil"/>
              <w:right w:val="nil"/>
            </w:tcBorders>
            <w:vAlign w:val="bottom"/>
          </w:tcPr>
          <w:p w14:paraId="2938C799" w14:textId="77777777" w:rsidR="004E6B58" w:rsidRPr="00934FE7" w:rsidRDefault="00AA4368">
            <w:pPr>
              <w:rPr>
                <w:rFonts w:ascii="Arial" w:hAnsi="Arial" w:cs="Arial"/>
                <w:szCs w:val="24"/>
              </w:rPr>
            </w:pPr>
            <w:r w:rsidRPr="00934FE7">
              <w:rPr>
                <w:rFonts w:ascii="Arial" w:hAnsi="Arial" w:cs="Arial"/>
                <w:szCs w:val="24"/>
              </w:rPr>
              <w:t>11,169.05</w:t>
            </w:r>
          </w:p>
        </w:tc>
        <w:tc>
          <w:tcPr>
            <w:tcW w:w="1405" w:type="dxa"/>
            <w:gridSpan w:val="2"/>
            <w:tcBorders>
              <w:top w:val="nil"/>
              <w:left w:val="nil"/>
              <w:bottom w:val="nil"/>
              <w:right w:val="nil"/>
            </w:tcBorders>
            <w:vAlign w:val="bottom"/>
          </w:tcPr>
          <w:p w14:paraId="024E083C" w14:textId="77777777" w:rsidR="004E6B58" w:rsidRPr="00934FE7" w:rsidRDefault="00AA4368">
            <w:pPr>
              <w:rPr>
                <w:rFonts w:ascii="Arial" w:hAnsi="Arial" w:cs="Arial"/>
                <w:szCs w:val="24"/>
              </w:rPr>
            </w:pPr>
            <w:r w:rsidRPr="00934FE7">
              <w:rPr>
                <w:rFonts w:ascii="Arial" w:hAnsi="Arial" w:cs="Arial"/>
                <w:szCs w:val="24"/>
              </w:rPr>
              <w:t>17,612.17</w:t>
            </w:r>
          </w:p>
        </w:tc>
        <w:tc>
          <w:tcPr>
            <w:tcW w:w="1404" w:type="dxa"/>
            <w:tcBorders>
              <w:top w:val="nil"/>
              <w:left w:val="nil"/>
              <w:bottom w:val="nil"/>
              <w:right w:val="nil"/>
            </w:tcBorders>
            <w:vAlign w:val="bottom"/>
          </w:tcPr>
          <w:p w14:paraId="069E9C80" w14:textId="77777777" w:rsidR="004E6B58" w:rsidRPr="00934FE7" w:rsidRDefault="00AA4368">
            <w:pPr>
              <w:rPr>
                <w:rFonts w:ascii="Arial" w:hAnsi="Arial" w:cs="Arial"/>
                <w:szCs w:val="24"/>
              </w:rPr>
            </w:pPr>
            <w:r w:rsidRPr="00934FE7">
              <w:rPr>
                <w:rFonts w:ascii="Arial" w:hAnsi="Arial" w:cs="Arial"/>
                <w:szCs w:val="24"/>
              </w:rPr>
              <w:t>9,810.78</w:t>
            </w:r>
          </w:p>
        </w:tc>
      </w:tr>
      <w:tr w:rsidR="00934FE7" w:rsidRPr="00934FE7" w14:paraId="3CA1AA6A" w14:textId="77777777">
        <w:trPr>
          <w:trHeight w:val="301"/>
          <w:jc w:val="center"/>
        </w:trPr>
        <w:tc>
          <w:tcPr>
            <w:tcW w:w="1466" w:type="dxa"/>
            <w:tcBorders>
              <w:top w:val="nil"/>
              <w:left w:val="nil"/>
              <w:bottom w:val="nil"/>
              <w:right w:val="nil"/>
            </w:tcBorders>
            <w:vAlign w:val="bottom"/>
          </w:tcPr>
          <w:p w14:paraId="5E917320" w14:textId="77777777" w:rsidR="004E6B58" w:rsidRPr="00934FE7" w:rsidRDefault="00AA4368">
            <w:pPr>
              <w:rPr>
                <w:rFonts w:ascii="Arial" w:hAnsi="Arial" w:cs="Arial"/>
                <w:szCs w:val="24"/>
              </w:rPr>
            </w:pPr>
            <w:r w:rsidRPr="00934FE7">
              <w:rPr>
                <w:rFonts w:ascii="Arial" w:hAnsi="Arial" w:cs="Arial"/>
                <w:szCs w:val="24"/>
              </w:rPr>
              <w:t>October</w:t>
            </w:r>
          </w:p>
        </w:tc>
        <w:tc>
          <w:tcPr>
            <w:tcW w:w="1418" w:type="dxa"/>
            <w:tcBorders>
              <w:top w:val="nil"/>
              <w:left w:val="nil"/>
              <w:bottom w:val="nil"/>
              <w:right w:val="nil"/>
            </w:tcBorders>
            <w:vAlign w:val="bottom"/>
          </w:tcPr>
          <w:p w14:paraId="0CFA7F03" w14:textId="77777777" w:rsidR="004E6B58" w:rsidRPr="00934FE7" w:rsidRDefault="00AA4368">
            <w:pPr>
              <w:rPr>
                <w:rFonts w:ascii="Arial" w:hAnsi="Arial" w:cs="Arial"/>
                <w:szCs w:val="24"/>
              </w:rPr>
            </w:pPr>
            <w:r w:rsidRPr="00934FE7">
              <w:rPr>
                <w:rFonts w:ascii="Arial" w:hAnsi="Arial" w:cs="Arial"/>
                <w:szCs w:val="24"/>
              </w:rPr>
              <w:t>13,992.98</w:t>
            </w:r>
          </w:p>
        </w:tc>
        <w:tc>
          <w:tcPr>
            <w:tcW w:w="1404" w:type="dxa"/>
            <w:gridSpan w:val="2"/>
            <w:tcBorders>
              <w:top w:val="nil"/>
              <w:left w:val="nil"/>
              <w:bottom w:val="nil"/>
              <w:right w:val="nil"/>
            </w:tcBorders>
            <w:vAlign w:val="bottom"/>
          </w:tcPr>
          <w:p w14:paraId="00E752F0" w14:textId="77777777" w:rsidR="004E6B58" w:rsidRPr="00934FE7" w:rsidRDefault="00AA4368">
            <w:pPr>
              <w:rPr>
                <w:rFonts w:ascii="Arial" w:hAnsi="Arial" w:cs="Arial"/>
                <w:szCs w:val="24"/>
              </w:rPr>
            </w:pPr>
            <w:r w:rsidRPr="00934FE7">
              <w:rPr>
                <w:rFonts w:ascii="Arial" w:hAnsi="Arial" w:cs="Arial"/>
                <w:szCs w:val="24"/>
              </w:rPr>
              <w:t>17,522.48</w:t>
            </w:r>
          </w:p>
        </w:tc>
        <w:tc>
          <w:tcPr>
            <w:tcW w:w="1411" w:type="dxa"/>
            <w:tcBorders>
              <w:top w:val="nil"/>
              <w:left w:val="nil"/>
              <w:bottom w:val="nil"/>
              <w:right w:val="nil"/>
            </w:tcBorders>
            <w:vAlign w:val="bottom"/>
          </w:tcPr>
          <w:p w14:paraId="4565612F" w14:textId="77777777" w:rsidR="004E6B58" w:rsidRPr="00934FE7" w:rsidRDefault="00AA4368">
            <w:pPr>
              <w:rPr>
                <w:rFonts w:ascii="Arial" w:hAnsi="Arial" w:cs="Arial"/>
                <w:szCs w:val="24"/>
              </w:rPr>
            </w:pPr>
            <w:r w:rsidRPr="00934FE7">
              <w:rPr>
                <w:rFonts w:ascii="Arial" w:hAnsi="Arial" w:cs="Arial"/>
                <w:szCs w:val="24"/>
              </w:rPr>
              <w:t>12,293.58</w:t>
            </w:r>
          </w:p>
        </w:tc>
        <w:tc>
          <w:tcPr>
            <w:tcW w:w="1405" w:type="dxa"/>
            <w:gridSpan w:val="2"/>
            <w:tcBorders>
              <w:top w:val="nil"/>
              <w:left w:val="nil"/>
              <w:bottom w:val="nil"/>
              <w:right w:val="nil"/>
            </w:tcBorders>
            <w:vAlign w:val="bottom"/>
          </w:tcPr>
          <w:p w14:paraId="5D4E110E" w14:textId="77777777" w:rsidR="004E6B58" w:rsidRPr="00934FE7" w:rsidRDefault="00AA4368">
            <w:pPr>
              <w:rPr>
                <w:rFonts w:ascii="Arial" w:hAnsi="Arial" w:cs="Arial"/>
                <w:szCs w:val="24"/>
              </w:rPr>
            </w:pPr>
            <w:r w:rsidRPr="00934FE7">
              <w:rPr>
                <w:rFonts w:ascii="Arial" w:hAnsi="Arial" w:cs="Arial"/>
                <w:szCs w:val="24"/>
              </w:rPr>
              <w:t>20,081.48</w:t>
            </w:r>
          </w:p>
        </w:tc>
        <w:tc>
          <w:tcPr>
            <w:tcW w:w="1404" w:type="dxa"/>
            <w:tcBorders>
              <w:top w:val="nil"/>
              <w:left w:val="nil"/>
              <w:bottom w:val="nil"/>
              <w:right w:val="nil"/>
            </w:tcBorders>
            <w:vAlign w:val="bottom"/>
          </w:tcPr>
          <w:p w14:paraId="16F1283F" w14:textId="77777777" w:rsidR="004E6B58" w:rsidRPr="00934FE7" w:rsidRDefault="00AA4368">
            <w:pPr>
              <w:rPr>
                <w:rFonts w:ascii="Arial" w:hAnsi="Arial" w:cs="Arial"/>
                <w:szCs w:val="24"/>
              </w:rPr>
            </w:pPr>
            <w:r w:rsidRPr="00934FE7">
              <w:rPr>
                <w:rFonts w:ascii="Arial" w:hAnsi="Arial" w:cs="Arial"/>
                <w:szCs w:val="24"/>
              </w:rPr>
              <w:t>12,893.99</w:t>
            </w:r>
          </w:p>
        </w:tc>
      </w:tr>
      <w:tr w:rsidR="00934FE7" w:rsidRPr="00934FE7" w14:paraId="1995BDCC" w14:textId="77777777">
        <w:trPr>
          <w:trHeight w:val="283"/>
          <w:jc w:val="center"/>
        </w:trPr>
        <w:tc>
          <w:tcPr>
            <w:tcW w:w="1466" w:type="dxa"/>
            <w:tcBorders>
              <w:top w:val="nil"/>
              <w:left w:val="nil"/>
              <w:bottom w:val="nil"/>
              <w:right w:val="nil"/>
            </w:tcBorders>
            <w:vAlign w:val="bottom"/>
          </w:tcPr>
          <w:p w14:paraId="211380D2" w14:textId="77777777" w:rsidR="004E6B58" w:rsidRPr="00934FE7" w:rsidRDefault="00AA4368">
            <w:pPr>
              <w:rPr>
                <w:rFonts w:ascii="Arial" w:hAnsi="Arial" w:cs="Arial"/>
                <w:szCs w:val="24"/>
              </w:rPr>
            </w:pPr>
            <w:r w:rsidRPr="00934FE7">
              <w:rPr>
                <w:rFonts w:ascii="Arial" w:hAnsi="Arial" w:cs="Arial"/>
                <w:szCs w:val="24"/>
              </w:rPr>
              <w:t>November</w:t>
            </w:r>
          </w:p>
        </w:tc>
        <w:tc>
          <w:tcPr>
            <w:tcW w:w="1418" w:type="dxa"/>
            <w:tcBorders>
              <w:top w:val="nil"/>
              <w:left w:val="nil"/>
              <w:bottom w:val="nil"/>
              <w:right w:val="nil"/>
            </w:tcBorders>
            <w:vAlign w:val="bottom"/>
          </w:tcPr>
          <w:p w14:paraId="0441C9BD" w14:textId="77777777" w:rsidR="004E6B58" w:rsidRPr="00934FE7" w:rsidRDefault="00AA4368">
            <w:pPr>
              <w:rPr>
                <w:rFonts w:ascii="Arial" w:hAnsi="Arial" w:cs="Arial"/>
                <w:szCs w:val="24"/>
              </w:rPr>
            </w:pPr>
            <w:r w:rsidRPr="00934FE7">
              <w:rPr>
                <w:rFonts w:ascii="Arial" w:hAnsi="Arial" w:cs="Arial"/>
                <w:szCs w:val="24"/>
              </w:rPr>
              <w:t>14,555.35</w:t>
            </w:r>
          </w:p>
        </w:tc>
        <w:tc>
          <w:tcPr>
            <w:tcW w:w="1404" w:type="dxa"/>
            <w:gridSpan w:val="2"/>
            <w:tcBorders>
              <w:top w:val="nil"/>
              <w:left w:val="nil"/>
              <w:bottom w:val="nil"/>
              <w:right w:val="nil"/>
            </w:tcBorders>
            <w:vAlign w:val="bottom"/>
          </w:tcPr>
          <w:p w14:paraId="6AE51C24" w14:textId="77777777" w:rsidR="004E6B58" w:rsidRPr="00934FE7" w:rsidRDefault="00AA4368">
            <w:pPr>
              <w:rPr>
                <w:rFonts w:ascii="Arial" w:hAnsi="Arial" w:cs="Arial"/>
                <w:szCs w:val="24"/>
              </w:rPr>
            </w:pPr>
            <w:r w:rsidRPr="00934FE7">
              <w:rPr>
                <w:rFonts w:ascii="Arial" w:hAnsi="Arial" w:cs="Arial"/>
                <w:szCs w:val="24"/>
              </w:rPr>
              <w:t>19,387.59</w:t>
            </w:r>
          </w:p>
        </w:tc>
        <w:tc>
          <w:tcPr>
            <w:tcW w:w="1411" w:type="dxa"/>
            <w:tcBorders>
              <w:top w:val="nil"/>
              <w:left w:val="nil"/>
              <w:bottom w:val="nil"/>
              <w:right w:val="nil"/>
            </w:tcBorders>
            <w:vAlign w:val="bottom"/>
          </w:tcPr>
          <w:p w14:paraId="72759207" w14:textId="77777777" w:rsidR="004E6B58" w:rsidRPr="00934FE7" w:rsidRDefault="00AA4368">
            <w:pPr>
              <w:rPr>
                <w:rFonts w:ascii="Arial" w:hAnsi="Arial" w:cs="Arial"/>
                <w:szCs w:val="24"/>
              </w:rPr>
            </w:pPr>
            <w:r w:rsidRPr="00934FE7">
              <w:rPr>
                <w:rFonts w:ascii="Arial" w:hAnsi="Arial" w:cs="Arial"/>
                <w:szCs w:val="24"/>
              </w:rPr>
              <w:t>12,474.97</w:t>
            </w:r>
          </w:p>
        </w:tc>
        <w:tc>
          <w:tcPr>
            <w:tcW w:w="1405" w:type="dxa"/>
            <w:gridSpan w:val="2"/>
            <w:tcBorders>
              <w:top w:val="nil"/>
              <w:left w:val="nil"/>
              <w:bottom w:val="nil"/>
              <w:right w:val="nil"/>
            </w:tcBorders>
            <w:vAlign w:val="bottom"/>
          </w:tcPr>
          <w:p w14:paraId="2370079D" w14:textId="77777777" w:rsidR="004E6B58" w:rsidRPr="00934FE7" w:rsidRDefault="00AA4368">
            <w:pPr>
              <w:rPr>
                <w:rFonts w:ascii="Arial" w:hAnsi="Arial" w:cs="Arial"/>
                <w:szCs w:val="24"/>
              </w:rPr>
            </w:pPr>
            <w:r w:rsidRPr="00934FE7">
              <w:rPr>
                <w:rFonts w:ascii="Arial" w:hAnsi="Arial" w:cs="Arial"/>
                <w:szCs w:val="24"/>
              </w:rPr>
              <w:t>19,009.06</w:t>
            </w:r>
          </w:p>
        </w:tc>
        <w:tc>
          <w:tcPr>
            <w:tcW w:w="1404" w:type="dxa"/>
            <w:tcBorders>
              <w:top w:val="nil"/>
              <w:left w:val="nil"/>
              <w:bottom w:val="nil"/>
              <w:right w:val="nil"/>
            </w:tcBorders>
            <w:vAlign w:val="bottom"/>
          </w:tcPr>
          <w:p w14:paraId="1BE0C943" w14:textId="77777777" w:rsidR="004E6B58" w:rsidRPr="00934FE7" w:rsidRDefault="00AA4368">
            <w:pPr>
              <w:rPr>
                <w:rFonts w:ascii="Arial" w:hAnsi="Arial" w:cs="Arial"/>
                <w:szCs w:val="24"/>
              </w:rPr>
            </w:pPr>
            <w:r w:rsidRPr="00934FE7">
              <w:rPr>
                <w:rFonts w:ascii="Arial" w:hAnsi="Arial" w:cs="Arial"/>
                <w:szCs w:val="24"/>
              </w:rPr>
              <w:t>23,042.76</w:t>
            </w:r>
          </w:p>
        </w:tc>
      </w:tr>
      <w:tr w:rsidR="00934FE7" w:rsidRPr="00934FE7" w14:paraId="66BD65B3" w14:textId="77777777">
        <w:trPr>
          <w:trHeight w:val="301"/>
          <w:jc w:val="center"/>
        </w:trPr>
        <w:tc>
          <w:tcPr>
            <w:tcW w:w="1466" w:type="dxa"/>
            <w:tcBorders>
              <w:top w:val="nil"/>
              <w:left w:val="nil"/>
              <w:bottom w:val="single" w:sz="4" w:space="0" w:color="auto"/>
              <w:right w:val="nil"/>
            </w:tcBorders>
            <w:vAlign w:val="bottom"/>
          </w:tcPr>
          <w:p w14:paraId="209F0644" w14:textId="77777777" w:rsidR="004E6B58" w:rsidRPr="00934FE7" w:rsidRDefault="00AA4368">
            <w:pPr>
              <w:rPr>
                <w:rFonts w:ascii="Arial" w:hAnsi="Arial" w:cs="Arial"/>
                <w:szCs w:val="24"/>
              </w:rPr>
            </w:pPr>
            <w:r w:rsidRPr="00934FE7">
              <w:rPr>
                <w:rFonts w:ascii="Arial" w:hAnsi="Arial" w:cs="Arial"/>
                <w:szCs w:val="24"/>
              </w:rPr>
              <w:t>December</w:t>
            </w:r>
          </w:p>
        </w:tc>
        <w:tc>
          <w:tcPr>
            <w:tcW w:w="1418" w:type="dxa"/>
            <w:tcBorders>
              <w:top w:val="nil"/>
              <w:left w:val="nil"/>
              <w:bottom w:val="single" w:sz="4" w:space="0" w:color="auto"/>
              <w:right w:val="nil"/>
            </w:tcBorders>
            <w:vAlign w:val="bottom"/>
          </w:tcPr>
          <w:p w14:paraId="0FC0194D" w14:textId="77777777" w:rsidR="004E6B58" w:rsidRPr="00934FE7" w:rsidRDefault="00AA4368">
            <w:pPr>
              <w:rPr>
                <w:rFonts w:ascii="Arial" w:hAnsi="Arial" w:cs="Arial"/>
                <w:szCs w:val="24"/>
              </w:rPr>
            </w:pPr>
            <w:r w:rsidRPr="00934FE7">
              <w:rPr>
                <w:rFonts w:ascii="Arial" w:hAnsi="Arial" w:cs="Arial"/>
                <w:szCs w:val="24"/>
              </w:rPr>
              <w:t>12,446.62</w:t>
            </w:r>
          </w:p>
        </w:tc>
        <w:tc>
          <w:tcPr>
            <w:tcW w:w="1404" w:type="dxa"/>
            <w:gridSpan w:val="2"/>
            <w:tcBorders>
              <w:top w:val="nil"/>
              <w:left w:val="nil"/>
              <w:bottom w:val="single" w:sz="4" w:space="0" w:color="auto"/>
              <w:right w:val="nil"/>
            </w:tcBorders>
            <w:vAlign w:val="bottom"/>
          </w:tcPr>
          <w:p w14:paraId="57975419" w14:textId="77777777" w:rsidR="004E6B58" w:rsidRPr="00934FE7" w:rsidRDefault="00AA4368">
            <w:pPr>
              <w:rPr>
                <w:rFonts w:ascii="Arial" w:hAnsi="Arial" w:cs="Arial"/>
                <w:szCs w:val="24"/>
              </w:rPr>
            </w:pPr>
            <w:r w:rsidRPr="00934FE7">
              <w:rPr>
                <w:rFonts w:ascii="Arial" w:hAnsi="Arial" w:cs="Arial"/>
                <w:szCs w:val="24"/>
              </w:rPr>
              <w:t>17,958.48</w:t>
            </w:r>
          </w:p>
        </w:tc>
        <w:tc>
          <w:tcPr>
            <w:tcW w:w="1411" w:type="dxa"/>
            <w:tcBorders>
              <w:top w:val="nil"/>
              <w:left w:val="nil"/>
              <w:bottom w:val="single" w:sz="4" w:space="0" w:color="auto"/>
              <w:right w:val="nil"/>
            </w:tcBorders>
            <w:vAlign w:val="bottom"/>
          </w:tcPr>
          <w:p w14:paraId="6382149A" w14:textId="77777777" w:rsidR="004E6B58" w:rsidRPr="00934FE7" w:rsidRDefault="00AA4368">
            <w:pPr>
              <w:rPr>
                <w:rFonts w:ascii="Arial" w:hAnsi="Arial" w:cs="Arial"/>
                <w:szCs w:val="24"/>
              </w:rPr>
            </w:pPr>
            <w:r w:rsidRPr="00934FE7">
              <w:rPr>
                <w:rFonts w:ascii="Arial" w:hAnsi="Arial" w:cs="Arial"/>
                <w:szCs w:val="24"/>
              </w:rPr>
              <w:t>11,082.37</w:t>
            </w:r>
          </w:p>
        </w:tc>
        <w:tc>
          <w:tcPr>
            <w:tcW w:w="1405" w:type="dxa"/>
            <w:gridSpan w:val="2"/>
            <w:tcBorders>
              <w:top w:val="nil"/>
              <w:left w:val="nil"/>
              <w:bottom w:val="single" w:sz="4" w:space="0" w:color="auto"/>
              <w:right w:val="nil"/>
            </w:tcBorders>
            <w:vAlign w:val="bottom"/>
          </w:tcPr>
          <w:p w14:paraId="105D49C4" w14:textId="77777777" w:rsidR="004E6B58" w:rsidRPr="00934FE7" w:rsidRDefault="00AA4368">
            <w:pPr>
              <w:rPr>
                <w:rFonts w:ascii="Arial" w:hAnsi="Arial" w:cs="Arial"/>
                <w:szCs w:val="24"/>
              </w:rPr>
            </w:pPr>
            <w:r w:rsidRPr="00934FE7">
              <w:rPr>
                <w:rFonts w:ascii="Arial" w:hAnsi="Arial" w:cs="Arial"/>
                <w:szCs w:val="24"/>
              </w:rPr>
              <w:t>19,698.69</w:t>
            </w:r>
          </w:p>
        </w:tc>
        <w:tc>
          <w:tcPr>
            <w:tcW w:w="1404" w:type="dxa"/>
            <w:tcBorders>
              <w:top w:val="nil"/>
              <w:left w:val="nil"/>
              <w:bottom w:val="single" w:sz="4" w:space="0" w:color="auto"/>
              <w:right w:val="nil"/>
            </w:tcBorders>
            <w:vAlign w:val="bottom"/>
          </w:tcPr>
          <w:p w14:paraId="65E3944E" w14:textId="77777777" w:rsidR="004E6B58" w:rsidRPr="00934FE7" w:rsidRDefault="00AA4368">
            <w:pPr>
              <w:rPr>
                <w:rFonts w:ascii="Arial" w:hAnsi="Arial" w:cs="Arial"/>
                <w:szCs w:val="24"/>
              </w:rPr>
            </w:pPr>
            <w:r w:rsidRPr="00934FE7">
              <w:rPr>
                <w:rFonts w:ascii="Arial" w:hAnsi="Arial" w:cs="Arial"/>
                <w:szCs w:val="24"/>
              </w:rPr>
              <w:t>21,491.39</w:t>
            </w:r>
          </w:p>
        </w:tc>
      </w:tr>
      <w:tr w:rsidR="00934FE7" w:rsidRPr="00934FE7" w14:paraId="0F5193F4" w14:textId="77777777">
        <w:trPr>
          <w:trHeight w:val="265"/>
          <w:jc w:val="center"/>
        </w:trPr>
        <w:tc>
          <w:tcPr>
            <w:tcW w:w="1466" w:type="dxa"/>
            <w:tcBorders>
              <w:top w:val="single" w:sz="4" w:space="0" w:color="auto"/>
              <w:left w:val="nil"/>
              <w:right w:val="nil"/>
            </w:tcBorders>
            <w:vAlign w:val="bottom"/>
          </w:tcPr>
          <w:p w14:paraId="0AF37D6A" w14:textId="77777777" w:rsidR="004E6B58" w:rsidRPr="00934FE7" w:rsidRDefault="00AA4368">
            <w:pPr>
              <w:rPr>
                <w:rFonts w:ascii="Arial" w:hAnsi="Arial" w:cs="Arial"/>
                <w:b/>
                <w:bCs/>
                <w:szCs w:val="24"/>
              </w:rPr>
            </w:pPr>
            <w:r w:rsidRPr="00934FE7">
              <w:rPr>
                <w:rFonts w:ascii="Arial" w:hAnsi="Arial" w:cs="Arial"/>
                <w:b/>
                <w:bCs/>
                <w:szCs w:val="24"/>
              </w:rPr>
              <w:t>Average</w:t>
            </w:r>
          </w:p>
        </w:tc>
        <w:tc>
          <w:tcPr>
            <w:tcW w:w="1418" w:type="dxa"/>
            <w:tcBorders>
              <w:top w:val="single" w:sz="4" w:space="0" w:color="auto"/>
              <w:left w:val="nil"/>
              <w:right w:val="nil"/>
            </w:tcBorders>
            <w:vAlign w:val="bottom"/>
          </w:tcPr>
          <w:p w14:paraId="3A1F08E0" w14:textId="77777777" w:rsidR="004E6B58" w:rsidRPr="00934FE7" w:rsidRDefault="00AA4368">
            <w:pPr>
              <w:rPr>
                <w:rFonts w:ascii="Arial" w:hAnsi="Arial" w:cs="Arial"/>
                <w:szCs w:val="24"/>
              </w:rPr>
            </w:pPr>
            <w:r w:rsidRPr="00934FE7">
              <w:rPr>
                <w:rFonts w:ascii="Arial" w:hAnsi="Arial" w:cs="Arial"/>
                <w:b/>
                <w:bCs/>
                <w:szCs w:val="24"/>
              </w:rPr>
              <w:t>14,838.36</w:t>
            </w:r>
          </w:p>
        </w:tc>
        <w:tc>
          <w:tcPr>
            <w:tcW w:w="1404" w:type="dxa"/>
            <w:gridSpan w:val="2"/>
            <w:tcBorders>
              <w:top w:val="single" w:sz="4" w:space="0" w:color="auto"/>
              <w:left w:val="nil"/>
              <w:right w:val="nil"/>
            </w:tcBorders>
            <w:vAlign w:val="bottom"/>
          </w:tcPr>
          <w:p w14:paraId="53A44A26" w14:textId="77777777" w:rsidR="004E6B58" w:rsidRPr="00934FE7" w:rsidRDefault="00AA4368">
            <w:pPr>
              <w:rPr>
                <w:rFonts w:ascii="Arial" w:hAnsi="Arial" w:cs="Arial"/>
                <w:szCs w:val="24"/>
              </w:rPr>
            </w:pPr>
            <w:r w:rsidRPr="00934FE7">
              <w:rPr>
                <w:rFonts w:ascii="Arial" w:hAnsi="Arial" w:cs="Arial"/>
                <w:b/>
                <w:bCs/>
                <w:szCs w:val="24"/>
              </w:rPr>
              <w:t>18,631.34</w:t>
            </w:r>
          </w:p>
        </w:tc>
        <w:tc>
          <w:tcPr>
            <w:tcW w:w="1411" w:type="dxa"/>
            <w:tcBorders>
              <w:top w:val="single" w:sz="4" w:space="0" w:color="auto"/>
              <w:left w:val="nil"/>
              <w:right w:val="nil"/>
            </w:tcBorders>
            <w:vAlign w:val="bottom"/>
          </w:tcPr>
          <w:p w14:paraId="60BD664D" w14:textId="77777777" w:rsidR="004E6B58" w:rsidRPr="00934FE7" w:rsidRDefault="00AA4368">
            <w:pPr>
              <w:rPr>
                <w:rFonts w:ascii="Arial" w:hAnsi="Arial" w:cs="Arial"/>
                <w:szCs w:val="24"/>
              </w:rPr>
            </w:pPr>
            <w:r w:rsidRPr="00934FE7">
              <w:rPr>
                <w:rFonts w:ascii="Arial" w:hAnsi="Arial" w:cs="Arial"/>
                <w:b/>
                <w:bCs/>
                <w:szCs w:val="24"/>
              </w:rPr>
              <w:t>14,832.04</w:t>
            </w:r>
          </w:p>
        </w:tc>
        <w:tc>
          <w:tcPr>
            <w:tcW w:w="1405" w:type="dxa"/>
            <w:gridSpan w:val="2"/>
            <w:tcBorders>
              <w:top w:val="single" w:sz="4" w:space="0" w:color="auto"/>
              <w:left w:val="nil"/>
              <w:right w:val="nil"/>
            </w:tcBorders>
            <w:vAlign w:val="bottom"/>
          </w:tcPr>
          <w:p w14:paraId="5D0A7149" w14:textId="77777777" w:rsidR="004E6B58" w:rsidRPr="00934FE7" w:rsidRDefault="00AA4368">
            <w:pPr>
              <w:rPr>
                <w:rFonts w:ascii="Arial" w:hAnsi="Arial" w:cs="Arial"/>
                <w:szCs w:val="24"/>
              </w:rPr>
            </w:pPr>
            <w:r w:rsidRPr="00934FE7">
              <w:rPr>
                <w:rFonts w:ascii="Arial" w:hAnsi="Arial" w:cs="Arial"/>
                <w:b/>
                <w:bCs/>
                <w:szCs w:val="24"/>
              </w:rPr>
              <w:t>24,345.53</w:t>
            </w:r>
          </w:p>
        </w:tc>
        <w:tc>
          <w:tcPr>
            <w:tcW w:w="1404" w:type="dxa"/>
            <w:tcBorders>
              <w:top w:val="single" w:sz="4" w:space="0" w:color="auto"/>
              <w:left w:val="nil"/>
              <w:right w:val="nil"/>
            </w:tcBorders>
            <w:vAlign w:val="bottom"/>
          </w:tcPr>
          <w:p w14:paraId="74A8EB23" w14:textId="77777777" w:rsidR="004E6B58" w:rsidRPr="00934FE7" w:rsidRDefault="00AA4368">
            <w:pPr>
              <w:rPr>
                <w:rFonts w:ascii="Arial" w:hAnsi="Arial" w:cs="Arial"/>
                <w:szCs w:val="24"/>
              </w:rPr>
            </w:pPr>
            <w:r w:rsidRPr="00934FE7">
              <w:rPr>
                <w:rFonts w:ascii="Arial" w:hAnsi="Arial" w:cs="Arial"/>
                <w:b/>
                <w:bCs/>
                <w:szCs w:val="24"/>
              </w:rPr>
              <w:t>15,331.27</w:t>
            </w:r>
          </w:p>
        </w:tc>
      </w:tr>
    </w:tbl>
    <w:p w14:paraId="47A5C365" w14:textId="77777777" w:rsidR="004E6B58" w:rsidRPr="00934FE7" w:rsidRDefault="00AA4368">
      <w:pPr>
        <w:ind w:left="851" w:hanging="851"/>
        <w:jc w:val="both"/>
        <w:rPr>
          <w:rFonts w:ascii="Arial" w:hAnsi="Arial" w:cs="Arial"/>
          <w:szCs w:val="24"/>
        </w:rPr>
      </w:pPr>
      <w:r w:rsidRPr="00934FE7">
        <w:rPr>
          <w:rFonts w:ascii="Arial" w:hAnsi="Arial" w:cs="Arial"/>
          <w:szCs w:val="24"/>
        </w:rPr>
        <w:t xml:space="preserve">Source: Department of Agriculture and Plantations, West Nusa Tenggara </w:t>
      </w:r>
      <w:r w:rsidRPr="00934FE7">
        <w:rPr>
          <w:rFonts w:ascii="Arial" w:hAnsi="Arial" w:cs="Arial"/>
          <w:szCs w:val="24"/>
        </w:rPr>
        <w:t>Province, 2024.</w:t>
      </w:r>
    </w:p>
    <w:p w14:paraId="3D45C5AB" w14:textId="664325E4" w:rsidR="004E6B58" w:rsidRPr="00934FE7" w:rsidRDefault="00AA4368" w:rsidP="00A51D25">
      <w:pPr>
        <w:ind w:firstLine="284"/>
        <w:jc w:val="both"/>
        <w:rPr>
          <w:rFonts w:ascii="Arial" w:hAnsi="Arial" w:cs="Arial"/>
        </w:rPr>
      </w:pPr>
      <w:r w:rsidRPr="00934FE7">
        <w:rPr>
          <w:rFonts w:ascii="Arial" w:hAnsi="Arial" w:cs="Arial"/>
          <w:szCs w:val="24"/>
        </w:rPr>
        <w:t xml:space="preserve">Using the data </w:t>
      </w:r>
      <w:r w:rsidR="00104DEF" w:rsidRPr="00934FE7">
        <w:rPr>
          <w:rFonts w:ascii="Arial" w:hAnsi="Arial" w:cs="Arial"/>
          <w:szCs w:val="24"/>
        </w:rPr>
        <w:t>in</w:t>
      </w:r>
      <w:r w:rsidRPr="00934FE7">
        <w:rPr>
          <w:rFonts w:ascii="Arial" w:hAnsi="Arial" w:cs="Arial"/>
          <w:szCs w:val="24"/>
        </w:rPr>
        <w:t xml:space="preserve"> Table 2, a graph is prepared to see the pattern to see the pattern of shallot expenses in NTB Province. The </w:t>
      </w:r>
      <w:r w:rsidR="00104DEF" w:rsidRPr="00934FE7">
        <w:rPr>
          <w:rFonts w:ascii="Arial" w:hAnsi="Arial" w:cs="Arial"/>
          <w:szCs w:val="24"/>
        </w:rPr>
        <w:t>motive</w:t>
      </w:r>
      <w:r w:rsidRPr="00934FE7">
        <w:rPr>
          <w:rFonts w:ascii="Arial" w:hAnsi="Arial" w:cs="Arial"/>
          <w:szCs w:val="24"/>
        </w:rPr>
        <w:t xml:space="preserve"> of this analysis is to find whether the information is trending up, trending down, seasonal, horizontal, cyclical, or stationary. The following is a data plot of Shallot price data at the producer </w:t>
      </w:r>
      <w:r w:rsidR="00687484" w:rsidRPr="00934FE7">
        <w:rPr>
          <w:rFonts w:ascii="Arial" w:hAnsi="Arial" w:cs="Arial"/>
          <w:szCs w:val="24"/>
        </w:rPr>
        <w:t>level that</w:t>
      </w:r>
      <w:r w:rsidRPr="00934FE7">
        <w:rPr>
          <w:rFonts w:ascii="Arial" w:hAnsi="Arial" w:cs="Arial"/>
          <w:szCs w:val="24"/>
        </w:rPr>
        <w:t xml:space="preserve"> was collected for the period from January 2019 </w:t>
      </w:r>
      <w:r w:rsidRPr="00934FE7">
        <w:rPr>
          <w:rFonts w:ascii="Arial" w:hAnsi="Arial" w:cs="Arial"/>
          <w:szCs w:val="24"/>
        </w:rPr>
        <w:t>to December 2023.</w:t>
      </w:r>
    </w:p>
    <w:p w14:paraId="38BD1201" w14:textId="77777777" w:rsidR="004E6B58" w:rsidRPr="00934FE7" w:rsidRDefault="00AA4368">
      <w:pPr>
        <w:pStyle w:val="Body"/>
        <w:spacing w:after="0"/>
        <w:jc w:val="center"/>
        <w:rPr>
          <w:rFonts w:ascii="Arial" w:hAnsi="Arial" w:cs="Arial"/>
        </w:rPr>
      </w:pPr>
      <w:r w:rsidRPr="00934FE7">
        <w:rPr>
          <w:rFonts w:ascii="Arial" w:hAnsi="Arial" w:cs="Arial"/>
          <w:noProof/>
          <w:szCs w:val="24"/>
          <w14:ligatures w14:val="standardContextual"/>
        </w:rPr>
        <w:drawing>
          <wp:inline distT="0" distB="0" distL="0" distR="0" wp14:anchorId="4D1741A5" wp14:editId="103E3F78">
            <wp:extent cx="4959985" cy="2689860"/>
            <wp:effectExtent l="4445" t="4445" r="7620" b="10795"/>
            <wp:docPr id="19132358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6884E2" w14:textId="641BE29D" w:rsidR="004E6B58" w:rsidRPr="00934FE7" w:rsidRDefault="00AA4368">
      <w:pPr>
        <w:ind w:left="851" w:hanging="851"/>
        <w:rPr>
          <w:rFonts w:ascii="Arial" w:hAnsi="Arial" w:cs="Arial"/>
          <w:szCs w:val="24"/>
        </w:rPr>
      </w:pPr>
      <w:r w:rsidRPr="00934FE7">
        <w:rPr>
          <w:rFonts w:ascii="Arial" w:hAnsi="Arial" w:cs="Arial"/>
          <w:szCs w:val="24"/>
        </w:rPr>
        <w:t xml:space="preserve">   Figure </w:t>
      </w:r>
      <w:r w:rsidR="00687484">
        <w:rPr>
          <w:rFonts w:ascii="Arial" w:hAnsi="Arial" w:cs="Arial"/>
          <w:szCs w:val="24"/>
        </w:rPr>
        <w:t>2</w:t>
      </w:r>
      <w:r w:rsidRPr="00934FE7">
        <w:rPr>
          <w:rFonts w:ascii="Arial" w:hAnsi="Arial" w:cs="Arial"/>
          <w:szCs w:val="24"/>
        </w:rPr>
        <w:t>. Shallot Prices at Producer Level (2019-2023)</w:t>
      </w:r>
    </w:p>
    <w:p w14:paraId="6CBEA7BE" w14:textId="77777777" w:rsidR="004E6B58" w:rsidRPr="00934FE7" w:rsidRDefault="00AA4368">
      <w:pPr>
        <w:ind w:left="851" w:hanging="851"/>
        <w:rPr>
          <w:rFonts w:ascii="Arial" w:hAnsi="Arial" w:cs="Arial"/>
          <w:szCs w:val="24"/>
        </w:rPr>
      </w:pPr>
      <w:r w:rsidRPr="00934FE7">
        <w:rPr>
          <w:rFonts w:ascii="Arial" w:hAnsi="Arial" w:cs="Arial"/>
          <w:szCs w:val="24"/>
        </w:rPr>
        <w:t xml:space="preserve">   Source: Processed Secondary Data (2025)</w:t>
      </w:r>
    </w:p>
    <w:p w14:paraId="69361576" w14:textId="602097E6" w:rsidR="004E6B58" w:rsidRPr="00934FE7" w:rsidRDefault="00AA4368" w:rsidP="00A51D25">
      <w:pPr>
        <w:ind w:firstLine="284"/>
        <w:rPr>
          <w:rFonts w:ascii="Arial" w:hAnsi="Arial" w:cs="Arial"/>
          <w:szCs w:val="24"/>
        </w:rPr>
      </w:pPr>
      <w:r w:rsidRPr="00934FE7">
        <w:rPr>
          <w:rFonts w:ascii="Arial" w:hAnsi="Arial" w:cs="Arial"/>
          <w:szCs w:val="24"/>
        </w:rPr>
        <w:t xml:space="preserve">Figure </w:t>
      </w:r>
      <w:r w:rsidR="00687484">
        <w:rPr>
          <w:rFonts w:ascii="Arial" w:hAnsi="Arial" w:cs="Arial"/>
          <w:szCs w:val="24"/>
        </w:rPr>
        <w:t>2</w:t>
      </w:r>
      <w:r w:rsidRPr="00934FE7">
        <w:rPr>
          <w:rFonts w:ascii="Arial" w:hAnsi="Arial" w:cs="Arial"/>
          <w:szCs w:val="24"/>
        </w:rPr>
        <w:t xml:space="preserve"> shows the price fluctuation pattern at the producer’s level. The price data pattern shows high fluctuation. The producer-level</w:t>
      </w:r>
      <w:r w:rsidRPr="00934FE7">
        <w:rPr>
          <w:rFonts w:ascii="Arial" w:hAnsi="Arial" w:cs="Arial"/>
          <w:szCs w:val="24"/>
        </w:rPr>
        <w:t xml:space="preserve"> price data pattern reflects that farmers face high and volatile price risks throughout the year.</w:t>
      </w:r>
    </w:p>
    <w:p w14:paraId="5AE2505E" w14:textId="77777777" w:rsidR="004E6B58" w:rsidRPr="00934FE7" w:rsidRDefault="00AA4368" w:rsidP="00A51D25">
      <w:pPr>
        <w:ind w:firstLine="284"/>
        <w:rPr>
          <w:rFonts w:ascii="Arial" w:hAnsi="Arial" w:cs="Arial"/>
          <w:szCs w:val="24"/>
        </w:rPr>
      </w:pPr>
      <w:r w:rsidRPr="00934FE7">
        <w:rPr>
          <w:rFonts w:ascii="Arial" w:hAnsi="Arial" w:cs="Arial"/>
          <w:szCs w:val="24"/>
        </w:rPr>
        <w:t>Based on this, a trend pattern was created using the double exponential smoothing method to analyze the data.</w:t>
      </w:r>
    </w:p>
    <w:p w14:paraId="373213B2" w14:textId="77777777" w:rsidR="004E6B58" w:rsidRPr="00934FE7" w:rsidRDefault="00AA4368">
      <w:pPr>
        <w:pStyle w:val="Body"/>
        <w:spacing w:after="0"/>
        <w:jc w:val="center"/>
        <w:rPr>
          <w:rFonts w:ascii="Arial" w:hAnsi="Arial" w:cs="Arial"/>
        </w:rPr>
      </w:pPr>
      <w:r w:rsidRPr="00934FE7">
        <w:rPr>
          <w:rFonts w:ascii="Arial" w:hAnsi="Arial" w:cs="Arial"/>
          <w:noProof/>
          <w:szCs w:val="24"/>
          <w14:ligatures w14:val="standardContextual"/>
        </w:rPr>
        <w:lastRenderedPageBreak/>
        <w:drawing>
          <wp:inline distT="0" distB="0" distL="0" distR="0" wp14:anchorId="3F15A0FB" wp14:editId="41CBB603">
            <wp:extent cx="5200650" cy="2493645"/>
            <wp:effectExtent l="0" t="0" r="0" b="1905"/>
            <wp:docPr id="15529350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2A5C92" w14:textId="654F7EC4" w:rsidR="004E6B58" w:rsidRPr="00934FE7" w:rsidRDefault="00AA4368">
      <w:pPr>
        <w:ind w:left="851" w:hanging="851"/>
        <w:jc w:val="both"/>
        <w:rPr>
          <w:rFonts w:ascii="Arial" w:hAnsi="Arial" w:cs="Arial"/>
          <w:szCs w:val="24"/>
        </w:rPr>
      </w:pPr>
      <w:r w:rsidRPr="00934FE7">
        <w:rPr>
          <w:rFonts w:ascii="Arial" w:hAnsi="Arial" w:cs="Arial"/>
          <w:szCs w:val="24"/>
        </w:rPr>
        <w:t xml:space="preserve">Figure </w:t>
      </w:r>
      <w:r w:rsidR="00687484">
        <w:rPr>
          <w:rFonts w:ascii="Arial" w:hAnsi="Arial" w:cs="Arial"/>
          <w:szCs w:val="24"/>
        </w:rPr>
        <w:t>3</w:t>
      </w:r>
      <w:r w:rsidRPr="00934FE7">
        <w:rPr>
          <w:rFonts w:ascii="Arial" w:hAnsi="Arial" w:cs="Arial"/>
          <w:szCs w:val="24"/>
        </w:rPr>
        <w:t xml:space="preserve">. Graph of the Results of Forecasting </w:t>
      </w:r>
      <w:r w:rsidRPr="00934FE7">
        <w:rPr>
          <w:rFonts w:ascii="Arial" w:hAnsi="Arial" w:cs="Arial"/>
          <w:szCs w:val="24"/>
        </w:rPr>
        <w:t xml:space="preserve">Red Onion Prices at the Producer Level Using the </w:t>
      </w:r>
      <w:r w:rsidRPr="00934FE7">
        <w:rPr>
          <w:rFonts w:ascii="Arial" w:hAnsi="Arial" w:cs="Arial"/>
          <w:i/>
          <w:iCs/>
          <w:szCs w:val="24"/>
        </w:rPr>
        <w:t xml:space="preserve">Double Exponential Smoothing Method </w:t>
      </w:r>
      <w:r w:rsidRPr="00934FE7">
        <w:rPr>
          <w:rFonts w:ascii="Arial" w:hAnsi="Arial" w:cs="Arial"/>
          <w:szCs w:val="24"/>
        </w:rPr>
        <w:t>for the Period January 2024 - December 2024.</w:t>
      </w:r>
    </w:p>
    <w:p w14:paraId="4F2E1CC3" w14:textId="77777777" w:rsidR="004E6B58" w:rsidRPr="00934FE7" w:rsidRDefault="00AA4368">
      <w:pPr>
        <w:ind w:left="851" w:hanging="851"/>
        <w:jc w:val="both"/>
        <w:rPr>
          <w:rFonts w:ascii="Arial" w:hAnsi="Arial" w:cs="Arial"/>
          <w:szCs w:val="24"/>
        </w:rPr>
      </w:pPr>
      <w:r w:rsidRPr="00934FE7">
        <w:rPr>
          <w:rFonts w:ascii="Arial" w:hAnsi="Arial" w:cs="Arial"/>
          <w:szCs w:val="24"/>
        </w:rPr>
        <w:t>Source: Processed Secondary Data, 2025</w:t>
      </w:r>
    </w:p>
    <w:p w14:paraId="371248DF" w14:textId="543C005E" w:rsidR="004E6B58" w:rsidRDefault="00AA4368" w:rsidP="00A51D25">
      <w:pPr>
        <w:ind w:firstLine="284"/>
        <w:jc w:val="both"/>
        <w:rPr>
          <w:rFonts w:ascii="Arial" w:hAnsi="Arial" w:cs="Arial"/>
          <w:szCs w:val="24"/>
        </w:rPr>
      </w:pPr>
      <w:r w:rsidRPr="00934FE7">
        <w:rPr>
          <w:rFonts w:ascii="Arial" w:hAnsi="Arial" w:cs="Arial"/>
          <w:szCs w:val="24"/>
        </w:rPr>
        <w:t>Based on the forecast results</w:t>
      </w:r>
      <w:r w:rsidR="00687484">
        <w:rPr>
          <w:rFonts w:ascii="Arial" w:hAnsi="Arial" w:cs="Arial"/>
          <w:szCs w:val="24"/>
        </w:rPr>
        <w:t xml:space="preserve"> on Figure 3</w:t>
      </w:r>
      <w:r w:rsidRPr="00934FE7">
        <w:rPr>
          <w:rFonts w:ascii="Arial" w:hAnsi="Arial" w:cs="Arial"/>
          <w:szCs w:val="24"/>
        </w:rPr>
        <w:t xml:space="preserve">, it is known that the shallot Producer Price </w:t>
      </w:r>
      <w:r w:rsidRPr="00934FE7">
        <w:rPr>
          <w:rFonts w:ascii="Arial" w:hAnsi="Arial" w:cs="Arial"/>
          <w:szCs w:val="24"/>
        </w:rPr>
        <w:t>Index in NTB Province is estimated to increase slowly for the next one-year period. The forecast results show that the price trend at the farmer level is predicted to increase.</w:t>
      </w:r>
    </w:p>
    <w:p w14:paraId="1A4E3BE6" w14:textId="77777777" w:rsidR="00A51D25" w:rsidRPr="00934FE7" w:rsidRDefault="00A51D25">
      <w:pPr>
        <w:ind w:firstLine="701"/>
        <w:jc w:val="both"/>
        <w:rPr>
          <w:rFonts w:ascii="Arial" w:hAnsi="Arial" w:cs="Arial"/>
          <w:szCs w:val="24"/>
        </w:rPr>
      </w:pPr>
    </w:p>
    <w:p w14:paraId="5382594B" w14:textId="77777777" w:rsidR="004E6B58" w:rsidRPr="00934FE7" w:rsidRDefault="00AA4368">
      <w:pPr>
        <w:pStyle w:val="ListParagraph"/>
        <w:numPr>
          <w:ilvl w:val="1"/>
          <w:numId w:val="7"/>
        </w:numPr>
        <w:spacing w:after="0"/>
        <w:ind w:left="426"/>
        <w:rPr>
          <w:rFonts w:ascii="Arial" w:hAnsi="Arial" w:cs="Arial"/>
          <w:b/>
          <w:color w:val="auto"/>
          <w:sz w:val="22"/>
          <w:szCs w:val="28"/>
        </w:rPr>
      </w:pPr>
      <w:r w:rsidRPr="00934FE7">
        <w:rPr>
          <w:rFonts w:ascii="Arial" w:hAnsi="Arial" w:cs="Arial"/>
          <w:b/>
          <w:color w:val="auto"/>
          <w:sz w:val="22"/>
          <w:szCs w:val="28"/>
        </w:rPr>
        <w:t>Analysis of Red Onion Price Volatility in NTB Province</w:t>
      </w:r>
    </w:p>
    <w:p w14:paraId="4AA87A9F" w14:textId="77777777" w:rsidR="004E6B58" w:rsidRPr="00934FE7" w:rsidRDefault="00AA4368" w:rsidP="00A51D25">
      <w:pPr>
        <w:ind w:firstLine="284"/>
        <w:jc w:val="both"/>
        <w:rPr>
          <w:rFonts w:ascii="Arial" w:hAnsi="Arial" w:cs="Arial"/>
          <w:szCs w:val="24"/>
        </w:rPr>
      </w:pPr>
      <w:r w:rsidRPr="00934FE7">
        <w:rPr>
          <w:rFonts w:ascii="Arial" w:hAnsi="Arial" w:cs="Arial"/>
          <w:szCs w:val="24"/>
        </w:rPr>
        <w:t xml:space="preserve">This analysis aims to </w:t>
      </w:r>
      <w:r w:rsidRPr="00934FE7">
        <w:rPr>
          <w:rFonts w:ascii="Arial" w:hAnsi="Arial" w:cs="Arial"/>
          <w:szCs w:val="24"/>
        </w:rPr>
        <w:t>measure the fluctuation of shallot prices at the producer level (Sahara, et al, 2019). The process includes stationarity test, deciding the best ARMA model, heteroscedasticity test, ARCH effect test, and ARCH/GARCH model formation.</w:t>
      </w:r>
    </w:p>
    <w:p w14:paraId="3C750093" w14:textId="77777777" w:rsidR="004E6B58" w:rsidRPr="00A51D25" w:rsidRDefault="00AA4368" w:rsidP="00A51D25">
      <w:pPr>
        <w:pStyle w:val="ListParagraph"/>
        <w:numPr>
          <w:ilvl w:val="2"/>
          <w:numId w:val="7"/>
        </w:numPr>
        <w:ind w:left="567" w:hanging="578"/>
        <w:rPr>
          <w:rFonts w:ascii="Arial" w:hAnsi="Arial" w:cs="Arial"/>
          <w:b/>
          <w:bCs/>
          <w:color w:val="auto"/>
          <w:sz w:val="20"/>
          <w:szCs w:val="20"/>
        </w:rPr>
      </w:pPr>
      <w:r w:rsidRPr="00A51D25">
        <w:rPr>
          <w:rFonts w:ascii="Arial" w:hAnsi="Arial" w:cs="Arial"/>
          <w:b/>
          <w:bCs/>
          <w:color w:val="auto"/>
          <w:sz w:val="20"/>
          <w:szCs w:val="20"/>
        </w:rPr>
        <w:t>Analysis of Red Onion Pr</w:t>
      </w:r>
      <w:r w:rsidRPr="00A51D25">
        <w:rPr>
          <w:rFonts w:ascii="Arial" w:hAnsi="Arial" w:cs="Arial"/>
          <w:b/>
          <w:bCs/>
          <w:color w:val="auto"/>
          <w:sz w:val="20"/>
          <w:szCs w:val="20"/>
        </w:rPr>
        <w:t>ice Volatility at the Producer Level</w:t>
      </w:r>
    </w:p>
    <w:p w14:paraId="6FA3E6EF" w14:textId="77777777" w:rsidR="004E6B58" w:rsidRPr="00934FE7" w:rsidRDefault="00AA4368">
      <w:pPr>
        <w:numPr>
          <w:ilvl w:val="0"/>
          <w:numId w:val="8"/>
        </w:numPr>
        <w:jc w:val="both"/>
        <w:rPr>
          <w:rFonts w:ascii="Arial" w:hAnsi="Arial" w:cs="Arial"/>
          <w:b/>
          <w:bCs/>
          <w:szCs w:val="24"/>
        </w:rPr>
      </w:pPr>
      <w:r w:rsidRPr="00934FE7">
        <w:rPr>
          <w:rFonts w:ascii="Arial" w:hAnsi="Arial" w:cs="Arial"/>
          <w:b/>
          <w:bCs/>
          <w:szCs w:val="24"/>
        </w:rPr>
        <w:t>Stationarity Test</w:t>
      </w:r>
    </w:p>
    <w:p w14:paraId="7DDF4F5D" w14:textId="71D08127" w:rsidR="004E6B58" w:rsidRPr="00934FE7" w:rsidRDefault="00AA4368" w:rsidP="00A51D25">
      <w:pPr>
        <w:ind w:firstLine="284"/>
        <w:jc w:val="both"/>
        <w:rPr>
          <w:rFonts w:ascii="Arial" w:hAnsi="Arial" w:cs="Arial"/>
          <w:szCs w:val="24"/>
        </w:rPr>
      </w:pPr>
      <w:r w:rsidRPr="00934FE7">
        <w:rPr>
          <w:rFonts w:ascii="Arial" w:hAnsi="Arial" w:cs="Arial"/>
          <w:szCs w:val="24"/>
        </w:rPr>
        <w:t xml:space="preserve">Stationary Test is conducted using </w:t>
      </w:r>
      <w:r w:rsidRPr="00934FE7">
        <w:rPr>
          <w:rFonts w:ascii="Arial" w:hAnsi="Arial" w:cs="Arial"/>
          <w:i/>
          <w:iCs/>
          <w:szCs w:val="24"/>
        </w:rPr>
        <w:t xml:space="preserve">Augmented Dickey-Fuller </w:t>
      </w:r>
      <w:r w:rsidRPr="00934FE7">
        <w:rPr>
          <w:rFonts w:ascii="Arial" w:hAnsi="Arial" w:cs="Arial"/>
          <w:szCs w:val="24"/>
        </w:rPr>
        <w:t xml:space="preserve">(ADF) method to ensure the data has constant meaning and variance. Data is declared stationary if the t-statistic value &lt; critical value or </w:t>
      </w:r>
      <w:r w:rsidRPr="00934FE7">
        <w:rPr>
          <w:rFonts w:ascii="Arial" w:hAnsi="Arial" w:cs="Arial"/>
          <w:i/>
          <w:iCs/>
          <w:szCs w:val="24"/>
        </w:rPr>
        <w:t>P</w:t>
      </w:r>
      <w:r w:rsidRPr="00934FE7">
        <w:rPr>
          <w:rFonts w:ascii="Arial" w:hAnsi="Arial" w:cs="Arial"/>
          <w:szCs w:val="24"/>
        </w:rPr>
        <w:t>-</w:t>
      </w:r>
      <w:r w:rsidRPr="00934FE7">
        <w:rPr>
          <w:rFonts w:ascii="Arial" w:hAnsi="Arial" w:cs="Arial"/>
          <w:szCs w:val="24"/>
        </w:rPr>
        <w:t>value &lt; 5% (</w:t>
      </w:r>
      <w:proofErr w:type="spellStart"/>
      <w:r w:rsidRPr="00934FE7">
        <w:rPr>
          <w:rFonts w:ascii="Arial" w:hAnsi="Arial" w:cs="Arial"/>
          <w:szCs w:val="24"/>
        </w:rPr>
        <w:t>Fadillah</w:t>
      </w:r>
      <w:proofErr w:type="spellEnd"/>
      <w:r w:rsidRPr="00934FE7">
        <w:rPr>
          <w:rFonts w:ascii="Arial" w:hAnsi="Arial" w:cs="Arial"/>
          <w:szCs w:val="24"/>
        </w:rPr>
        <w:t xml:space="preserve">, et al, 2025). Table </w:t>
      </w:r>
      <w:r w:rsidR="00647D27">
        <w:rPr>
          <w:rFonts w:ascii="Arial" w:hAnsi="Arial" w:cs="Arial"/>
          <w:szCs w:val="24"/>
        </w:rPr>
        <w:t>3</w:t>
      </w:r>
      <w:r w:rsidRPr="00934FE7">
        <w:rPr>
          <w:rFonts w:ascii="Arial" w:hAnsi="Arial" w:cs="Arial"/>
          <w:szCs w:val="24"/>
        </w:rPr>
        <w:t xml:space="preserve"> presents the results of the stationary test on shallot</w:t>
      </w:r>
      <w:r w:rsidR="00A51D25" w:rsidRPr="00934FE7">
        <w:rPr>
          <w:rFonts w:ascii="Arial" w:hAnsi="Arial" w:cs="Arial"/>
          <w:szCs w:val="24"/>
        </w:rPr>
        <w:t>. This</w:t>
      </w:r>
      <w:r w:rsidRPr="00934FE7">
        <w:rPr>
          <w:rFonts w:ascii="Arial" w:hAnsi="Arial" w:cs="Arial"/>
          <w:szCs w:val="24"/>
        </w:rPr>
        <w:t xml:space="preserve"> study utilizes price data at the producer level.</w:t>
      </w:r>
    </w:p>
    <w:p w14:paraId="7AF49C64" w14:textId="4629E3F3" w:rsidR="004E6B58" w:rsidRPr="00934FE7" w:rsidRDefault="00AA4368" w:rsidP="008C5E62">
      <w:pPr>
        <w:spacing w:before="120" w:after="120"/>
        <w:ind w:left="851" w:hanging="851"/>
        <w:jc w:val="both"/>
        <w:rPr>
          <w:rFonts w:ascii="Arial" w:hAnsi="Arial" w:cs="Arial"/>
          <w:i/>
          <w:iCs/>
          <w:szCs w:val="24"/>
        </w:rPr>
      </w:pPr>
      <w:r w:rsidRPr="00934FE7">
        <w:rPr>
          <w:rFonts w:ascii="Arial" w:hAnsi="Arial" w:cs="Arial"/>
          <w:szCs w:val="24"/>
        </w:rPr>
        <w:t xml:space="preserve">Table </w:t>
      </w:r>
      <w:r w:rsidR="00647D27">
        <w:rPr>
          <w:rFonts w:ascii="Arial" w:hAnsi="Arial" w:cs="Arial"/>
          <w:szCs w:val="24"/>
        </w:rPr>
        <w:t>3</w:t>
      </w:r>
      <w:r w:rsidRPr="00934FE7">
        <w:rPr>
          <w:rFonts w:ascii="Arial" w:hAnsi="Arial" w:cs="Arial"/>
          <w:szCs w:val="24"/>
        </w:rPr>
        <w:t>. Stationarity Test of Red Onion Prices at Level</w:t>
      </w:r>
      <w:r w:rsidRPr="00934FE7">
        <w:rPr>
          <w:rFonts w:ascii="Arial" w:hAnsi="Arial" w:cs="Arial"/>
          <w:i/>
          <w:iCs/>
          <w:szCs w:val="24"/>
        </w:rPr>
        <w:t xml:space="preserve"> </w:t>
      </w:r>
      <w:r w:rsidRPr="00934FE7">
        <w:rPr>
          <w:rFonts w:ascii="Arial" w:hAnsi="Arial" w:cs="Arial"/>
          <w:szCs w:val="24"/>
        </w:rPr>
        <w:t>Manufacturer</w:t>
      </w:r>
    </w:p>
    <w:tbl>
      <w:tblPr>
        <w:tblW w:w="8532" w:type="dxa"/>
        <w:jc w:val="center"/>
        <w:tblLook w:val="04A0" w:firstRow="1" w:lastRow="0" w:firstColumn="1" w:lastColumn="0" w:noHBand="0" w:noVBand="1"/>
      </w:tblPr>
      <w:tblGrid>
        <w:gridCol w:w="2281"/>
        <w:gridCol w:w="1992"/>
        <w:gridCol w:w="2256"/>
        <w:gridCol w:w="2003"/>
      </w:tblGrid>
      <w:tr w:rsidR="00934FE7" w:rsidRPr="00934FE7" w14:paraId="0544CD09" w14:textId="77777777">
        <w:trPr>
          <w:trHeight w:val="192"/>
          <w:jc w:val="center"/>
        </w:trPr>
        <w:tc>
          <w:tcPr>
            <w:tcW w:w="2281" w:type="dxa"/>
            <w:tcBorders>
              <w:top w:val="single" w:sz="4" w:space="0" w:color="auto"/>
              <w:bottom w:val="single" w:sz="4" w:space="0" w:color="auto"/>
            </w:tcBorders>
            <w:shd w:val="clear" w:color="auto" w:fill="auto"/>
            <w:noWrap/>
            <w:vAlign w:val="bottom"/>
          </w:tcPr>
          <w:p w14:paraId="1520A10A" w14:textId="77777777" w:rsidR="004E6B58" w:rsidRPr="00934FE7" w:rsidRDefault="004E6B58">
            <w:pPr>
              <w:rPr>
                <w:rFonts w:ascii="Arial" w:hAnsi="Arial" w:cs="Arial"/>
                <w:szCs w:val="24"/>
              </w:rPr>
            </w:pPr>
          </w:p>
        </w:tc>
        <w:tc>
          <w:tcPr>
            <w:tcW w:w="1992" w:type="dxa"/>
            <w:tcBorders>
              <w:top w:val="single" w:sz="4" w:space="0" w:color="auto"/>
              <w:bottom w:val="single" w:sz="4" w:space="0" w:color="auto"/>
            </w:tcBorders>
            <w:shd w:val="clear" w:color="auto" w:fill="auto"/>
            <w:noWrap/>
            <w:vAlign w:val="bottom"/>
          </w:tcPr>
          <w:p w14:paraId="1FCEC817" w14:textId="77777777" w:rsidR="004E6B58" w:rsidRPr="00934FE7" w:rsidRDefault="00AA4368">
            <w:pPr>
              <w:jc w:val="center"/>
              <w:rPr>
                <w:rFonts w:ascii="Arial" w:hAnsi="Arial" w:cs="Arial"/>
                <w:b/>
                <w:bCs/>
                <w:szCs w:val="24"/>
              </w:rPr>
            </w:pPr>
            <w:r w:rsidRPr="00934FE7">
              <w:rPr>
                <w:rFonts w:ascii="Arial" w:hAnsi="Arial" w:cs="Arial"/>
                <w:b/>
                <w:bCs/>
                <w:szCs w:val="24"/>
              </w:rPr>
              <w:t>Level</w:t>
            </w:r>
          </w:p>
        </w:tc>
        <w:tc>
          <w:tcPr>
            <w:tcW w:w="2256" w:type="dxa"/>
            <w:tcBorders>
              <w:top w:val="single" w:sz="4" w:space="0" w:color="auto"/>
              <w:bottom w:val="single" w:sz="4" w:space="0" w:color="auto"/>
            </w:tcBorders>
            <w:shd w:val="clear" w:color="auto" w:fill="auto"/>
            <w:noWrap/>
            <w:vAlign w:val="bottom"/>
          </w:tcPr>
          <w:p w14:paraId="5ADECA75" w14:textId="77777777" w:rsidR="004E6B58" w:rsidRPr="00934FE7" w:rsidRDefault="00AA4368">
            <w:pPr>
              <w:jc w:val="center"/>
              <w:rPr>
                <w:rFonts w:ascii="Arial" w:hAnsi="Arial" w:cs="Arial"/>
                <w:b/>
                <w:bCs/>
                <w:szCs w:val="24"/>
              </w:rPr>
            </w:pPr>
            <w:r w:rsidRPr="00934FE7">
              <w:rPr>
                <w:rFonts w:ascii="Arial" w:hAnsi="Arial" w:cs="Arial"/>
                <w:b/>
                <w:bCs/>
                <w:szCs w:val="24"/>
              </w:rPr>
              <w:t>t-statistic</w:t>
            </w:r>
          </w:p>
        </w:tc>
        <w:tc>
          <w:tcPr>
            <w:tcW w:w="2003" w:type="dxa"/>
            <w:tcBorders>
              <w:top w:val="single" w:sz="4" w:space="0" w:color="auto"/>
              <w:bottom w:val="single" w:sz="4" w:space="0" w:color="auto"/>
            </w:tcBorders>
            <w:shd w:val="clear" w:color="auto" w:fill="auto"/>
            <w:noWrap/>
            <w:vAlign w:val="bottom"/>
          </w:tcPr>
          <w:p w14:paraId="3009DBDF" w14:textId="77777777" w:rsidR="004E6B58" w:rsidRPr="00934FE7" w:rsidRDefault="00AA4368">
            <w:pPr>
              <w:jc w:val="center"/>
              <w:rPr>
                <w:rFonts w:ascii="Arial" w:hAnsi="Arial" w:cs="Arial"/>
                <w:b/>
                <w:bCs/>
                <w:szCs w:val="24"/>
              </w:rPr>
            </w:pPr>
            <w:r w:rsidRPr="00934FE7">
              <w:rPr>
                <w:rFonts w:ascii="Arial" w:hAnsi="Arial" w:cs="Arial"/>
                <w:b/>
                <w:bCs/>
                <w:szCs w:val="24"/>
              </w:rPr>
              <w:t>Prob</w:t>
            </w:r>
          </w:p>
        </w:tc>
      </w:tr>
      <w:tr w:rsidR="00934FE7" w:rsidRPr="00934FE7" w14:paraId="1BD56B19" w14:textId="77777777">
        <w:trPr>
          <w:trHeight w:val="192"/>
          <w:jc w:val="center"/>
        </w:trPr>
        <w:tc>
          <w:tcPr>
            <w:tcW w:w="4273" w:type="dxa"/>
            <w:gridSpan w:val="2"/>
            <w:tcBorders>
              <w:top w:val="single" w:sz="4" w:space="0" w:color="auto"/>
            </w:tcBorders>
            <w:shd w:val="clear" w:color="auto" w:fill="auto"/>
            <w:noWrap/>
            <w:vAlign w:val="center"/>
          </w:tcPr>
          <w:p w14:paraId="3B7A8FA3" w14:textId="77777777" w:rsidR="004E6B58" w:rsidRPr="00934FE7" w:rsidRDefault="00AA4368">
            <w:pPr>
              <w:ind w:left="215"/>
              <w:rPr>
                <w:rFonts w:ascii="Arial" w:hAnsi="Arial" w:cs="Arial"/>
                <w:i/>
                <w:iCs/>
                <w:szCs w:val="24"/>
              </w:rPr>
            </w:pPr>
            <w:r w:rsidRPr="00934FE7">
              <w:rPr>
                <w:rFonts w:ascii="Arial" w:hAnsi="Arial" w:cs="Arial"/>
                <w:i/>
                <w:iCs/>
                <w:szCs w:val="24"/>
              </w:rPr>
              <w:t>Augmented Dickey-Fuller test statistics</w:t>
            </w:r>
          </w:p>
        </w:tc>
        <w:tc>
          <w:tcPr>
            <w:tcW w:w="2256" w:type="dxa"/>
            <w:tcBorders>
              <w:top w:val="single" w:sz="4" w:space="0" w:color="auto"/>
            </w:tcBorders>
            <w:shd w:val="clear" w:color="auto" w:fill="auto"/>
            <w:noWrap/>
            <w:vAlign w:val="bottom"/>
          </w:tcPr>
          <w:p w14:paraId="67E530FC" w14:textId="77777777" w:rsidR="004E6B58" w:rsidRPr="00934FE7" w:rsidRDefault="00AA4368">
            <w:pPr>
              <w:jc w:val="right"/>
              <w:rPr>
                <w:rFonts w:ascii="Arial" w:hAnsi="Arial" w:cs="Arial"/>
                <w:szCs w:val="24"/>
              </w:rPr>
            </w:pPr>
            <w:r w:rsidRPr="00934FE7">
              <w:rPr>
                <w:rFonts w:ascii="Arial" w:hAnsi="Arial" w:cs="Arial"/>
                <w:szCs w:val="24"/>
              </w:rPr>
              <w:t>-4.131443</w:t>
            </w:r>
          </w:p>
        </w:tc>
        <w:tc>
          <w:tcPr>
            <w:tcW w:w="2003" w:type="dxa"/>
            <w:tcBorders>
              <w:top w:val="single" w:sz="4" w:space="0" w:color="auto"/>
            </w:tcBorders>
            <w:shd w:val="clear" w:color="auto" w:fill="auto"/>
            <w:noWrap/>
            <w:vAlign w:val="bottom"/>
          </w:tcPr>
          <w:p w14:paraId="5E952C68" w14:textId="77777777" w:rsidR="004E6B58" w:rsidRPr="00934FE7" w:rsidRDefault="00AA4368">
            <w:pPr>
              <w:jc w:val="right"/>
              <w:rPr>
                <w:rFonts w:ascii="Arial" w:hAnsi="Arial" w:cs="Arial"/>
                <w:szCs w:val="24"/>
              </w:rPr>
            </w:pPr>
            <w:r w:rsidRPr="00934FE7">
              <w:rPr>
                <w:rFonts w:ascii="Arial" w:hAnsi="Arial" w:cs="Arial"/>
                <w:szCs w:val="24"/>
              </w:rPr>
              <w:t>0.097</w:t>
            </w:r>
          </w:p>
        </w:tc>
      </w:tr>
      <w:tr w:rsidR="00934FE7" w:rsidRPr="00934FE7" w14:paraId="673F86DB" w14:textId="77777777">
        <w:trPr>
          <w:trHeight w:val="192"/>
          <w:jc w:val="center"/>
        </w:trPr>
        <w:tc>
          <w:tcPr>
            <w:tcW w:w="2281" w:type="dxa"/>
            <w:vMerge w:val="restart"/>
            <w:shd w:val="clear" w:color="auto" w:fill="auto"/>
            <w:noWrap/>
          </w:tcPr>
          <w:p w14:paraId="657A6556" w14:textId="77777777" w:rsidR="004E6B58" w:rsidRPr="00934FE7" w:rsidRDefault="00AA4368">
            <w:pPr>
              <w:ind w:left="215"/>
              <w:rPr>
                <w:rFonts w:ascii="Arial" w:hAnsi="Arial" w:cs="Arial"/>
                <w:i/>
                <w:iCs/>
                <w:szCs w:val="24"/>
              </w:rPr>
            </w:pPr>
            <w:r w:rsidRPr="00934FE7">
              <w:rPr>
                <w:rFonts w:ascii="Arial" w:hAnsi="Arial" w:cs="Arial"/>
                <w:i/>
                <w:iCs/>
                <w:szCs w:val="24"/>
              </w:rPr>
              <w:t>test critical values:</w:t>
            </w:r>
          </w:p>
        </w:tc>
        <w:tc>
          <w:tcPr>
            <w:tcW w:w="1992" w:type="dxa"/>
            <w:shd w:val="clear" w:color="auto" w:fill="auto"/>
            <w:noWrap/>
            <w:vAlign w:val="bottom"/>
          </w:tcPr>
          <w:p w14:paraId="238E8A7B" w14:textId="77777777" w:rsidR="004E6B58" w:rsidRPr="00934FE7" w:rsidRDefault="00AA4368">
            <w:pPr>
              <w:ind w:left="524" w:right="333"/>
              <w:jc w:val="right"/>
              <w:rPr>
                <w:rFonts w:ascii="Arial" w:hAnsi="Arial" w:cs="Arial"/>
                <w:szCs w:val="24"/>
              </w:rPr>
            </w:pPr>
            <w:r w:rsidRPr="00934FE7">
              <w:rPr>
                <w:rFonts w:ascii="Arial" w:hAnsi="Arial" w:cs="Arial"/>
                <w:szCs w:val="24"/>
              </w:rPr>
              <w:t>1%</w:t>
            </w:r>
          </w:p>
        </w:tc>
        <w:tc>
          <w:tcPr>
            <w:tcW w:w="2256" w:type="dxa"/>
            <w:shd w:val="clear" w:color="auto" w:fill="auto"/>
            <w:noWrap/>
            <w:vAlign w:val="bottom"/>
          </w:tcPr>
          <w:p w14:paraId="2E635C4A" w14:textId="77777777" w:rsidR="004E6B58" w:rsidRPr="00934FE7" w:rsidRDefault="00AA4368">
            <w:pPr>
              <w:jc w:val="right"/>
              <w:rPr>
                <w:rFonts w:ascii="Arial" w:hAnsi="Arial" w:cs="Arial"/>
                <w:szCs w:val="24"/>
              </w:rPr>
            </w:pPr>
            <w:r w:rsidRPr="00934FE7">
              <w:rPr>
                <w:rFonts w:ascii="Arial" w:hAnsi="Arial" w:cs="Arial"/>
                <w:szCs w:val="24"/>
              </w:rPr>
              <w:t>-4.121303</w:t>
            </w:r>
          </w:p>
        </w:tc>
        <w:tc>
          <w:tcPr>
            <w:tcW w:w="2003" w:type="dxa"/>
            <w:shd w:val="clear" w:color="auto" w:fill="auto"/>
            <w:noWrap/>
            <w:vAlign w:val="bottom"/>
          </w:tcPr>
          <w:p w14:paraId="34D840ED" w14:textId="77777777" w:rsidR="004E6B58" w:rsidRPr="00934FE7" w:rsidRDefault="00AA4368">
            <w:pPr>
              <w:rPr>
                <w:rFonts w:ascii="Arial" w:hAnsi="Arial" w:cs="Arial"/>
                <w:szCs w:val="24"/>
              </w:rPr>
            </w:pPr>
            <w:r w:rsidRPr="00934FE7">
              <w:rPr>
                <w:rFonts w:ascii="Arial" w:hAnsi="Arial" w:cs="Arial"/>
                <w:szCs w:val="24"/>
              </w:rPr>
              <w:t xml:space="preserve"> </w:t>
            </w:r>
          </w:p>
        </w:tc>
      </w:tr>
      <w:tr w:rsidR="00934FE7" w:rsidRPr="00934FE7" w14:paraId="5954ED02" w14:textId="77777777">
        <w:trPr>
          <w:trHeight w:val="192"/>
          <w:jc w:val="center"/>
        </w:trPr>
        <w:tc>
          <w:tcPr>
            <w:tcW w:w="2281" w:type="dxa"/>
            <w:vMerge/>
            <w:tcBorders>
              <w:bottom w:val="single" w:sz="4" w:space="0" w:color="000000"/>
            </w:tcBorders>
            <w:vAlign w:val="center"/>
          </w:tcPr>
          <w:p w14:paraId="0B2579B2" w14:textId="77777777" w:rsidR="004E6B58" w:rsidRPr="00934FE7" w:rsidRDefault="004E6B58">
            <w:pPr>
              <w:rPr>
                <w:rFonts w:ascii="Arial" w:hAnsi="Arial" w:cs="Arial"/>
                <w:szCs w:val="24"/>
              </w:rPr>
            </w:pPr>
          </w:p>
        </w:tc>
        <w:tc>
          <w:tcPr>
            <w:tcW w:w="1992" w:type="dxa"/>
            <w:shd w:val="clear" w:color="auto" w:fill="auto"/>
            <w:noWrap/>
            <w:vAlign w:val="bottom"/>
          </w:tcPr>
          <w:p w14:paraId="37BA57FD" w14:textId="77777777" w:rsidR="004E6B58" w:rsidRPr="00934FE7" w:rsidRDefault="00AA4368">
            <w:pPr>
              <w:ind w:left="524" w:right="333"/>
              <w:jc w:val="right"/>
              <w:rPr>
                <w:rFonts w:ascii="Arial" w:hAnsi="Arial" w:cs="Arial"/>
                <w:szCs w:val="24"/>
              </w:rPr>
            </w:pPr>
            <w:r w:rsidRPr="00934FE7">
              <w:rPr>
                <w:rFonts w:ascii="Arial" w:hAnsi="Arial" w:cs="Arial"/>
                <w:szCs w:val="24"/>
              </w:rPr>
              <w:t>5%</w:t>
            </w:r>
          </w:p>
        </w:tc>
        <w:tc>
          <w:tcPr>
            <w:tcW w:w="2256" w:type="dxa"/>
            <w:shd w:val="clear" w:color="auto" w:fill="auto"/>
            <w:noWrap/>
            <w:vAlign w:val="bottom"/>
          </w:tcPr>
          <w:p w14:paraId="02CE52D7" w14:textId="77777777" w:rsidR="004E6B58" w:rsidRPr="00934FE7" w:rsidRDefault="00AA4368">
            <w:pPr>
              <w:jc w:val="right"/>
              <w:rPr>
                <w:rFonts w:ascii="Arial" w:hAnsi="Arial" w:cs="Arial"/>
                <w:szCs w:val="24"/>
              </w:rPr>
            </w:pPr>
            <w:r w:rsidRPr="00934FE7">
              <w:rPr>
                <w:rFonts w:ascii="Arial" w:hAnsi="Arial" w:cs="Arial"/>
                <w:szCs w:val="24"/>
              </w:rPr>
              <w:t>-3.487845</w:t>
            </w:r>
          </w:p>
        </w:tc>
        <w:tc>
          <w:tcPr>
            <w:tcW w:w="2003" w:type="dxa"/>
            <w:shd w:val="clear" w:color="auto" w:fill="auto"/>
            <w:noWrap/>
            <w:vAlign w:val="bottom"/>
          </w:tcPr>
          <w:p w14:paraId="404CB1FC" w14:textId="77777777" w:rsidR="004E6B58" w:rsidRPr="00934FE7" w:rsidRDefault="00AA4368">
            <w:pPr>
              <w:rPr>
                <w:rFonts w:ascii="Arial" w:hAnsi="Arial" w:cs="Arial"/>
                <w:szCs w:val="24"/>
              </w:rPr>
            </w:pPr>
            <w:r w:rsidRPr="00934FE7">
              <w:rPr>
                <w:rFonts w:ascii="Arial" w:hAnsi="Arial" w:cs="Arial"/>
                <w:szCs w:val="24"/>
              </w:rPr>
              <w:t xml:space="preserve"> </w:t>
            </w:r>
          </w:p>
        </w:tc>
      </w:tr>
      <w:tr w:rsidR="00934FE7" w:rsidRPr="00934FE7" w14:paraId="384112BD" w14:textId="77777777">
        <w:trPr>
          <w:trHeight w:val="192"/>
          <w:jc w:val="center"/>
        </w:trPr>
        <w:tc>
          <w:tcPr>
            <w:tcW w:w="2281" w:type="dxa"/>
            <w:vMerge/>
            <w:tcBorders>
              <w:top w:val="nil"/>
              <w:bottom w:val="single" w:sz="4" w:space="0" w:color="000000"/>
            </w:tcBorders>
            <w:vAlign w:val="center"/>
          </w:tcPr>
          <w:p w14:paraId="2A155C1D" w14:textId="77777777" w:rsidR="004E6B58" w:rsidRPr="00934FE7" w:rsidRDefault="004E6B58">
            <w:pPr>
              <w:rPr>
                <w:rFonts w:ascii="Arial" w:hAnsi="Arial" w:cs="Arial"/>
                <w:szCs w:val="24"/>
              </w:rPr>
            </w:pPr>
          </w:p>
        </w:tc>
        <w:tc>
          <w:tcPr>
            <w:tcW w:w="1992" w:type="dxa"/>
            <w:tcBorders>
              <w:bottom w:val="single" w:sz="4" w:space="0" w:color="auto"/>
            </w:tcBorders>
            <w:shd w:val="clear" w:color="auto" w:fill="auto"/>
            <w:noWrap/>
            <w:vAlign w:val="bottom"/>
          </w:tcPr>
          <w:p w14:paraId="107B9E14" w14:textId="77777777" w:rsidR="004E6B58" w:rsidRPr="00934FE7" w:rsidRDefault="00AA4368">
            <w:pPr>
              <w:ind w:left="524" w:right="333"/>
              <w:jc w:val="right"/>
              <w:rPr>
                <w:rFonts w:ascii="Arial" w:hAnsi="Arial" w:cs="Arial"/>
                <w:szCs w:val="24"/>
              </w:rPr>
            </w:pPr>
            <w:r w:rsidRPr="00934FE7">
              <w:rPr>
                <w:rFonts w:ascii="Arial" w:hAnsi="Arial" w:cs="Arial"/>
                <w:szCs w:val="24"/>
              </w:rPr>
              <w:t>10%</w:t>
            </w:r>
          </w:p>
        </w:tc>
        <w:tc>
          <w:tcPr>
            <w:tcW w:w="2256" w:type="dxa"/>
            <w:tcBorders>
              <w:bottom w:val="single" w:sz="4" w:space="0" w:color="auto"/>
            </w:tcBorders>
            <w:shd w:val="clear" w:color="auto" w:fill="auto"/>
            <w:noWrap/>
            <w:vAlign w:val="bottom"/>
          </w:tcPr>
          <w:p w14:paraId="716C1B10" w14:textId="77777777" w:rsidR="004E6B58" w:rsidRPr="00934FE7" w:rsidRDefault="00AA4368">
            <w:pPr>
              <w:jc w:val="right"/>
              <w:rPr>
                <w:rFonts w:ascii="Arial" w:hAnsi="Arial" w:cs="Arial"/>
                <w:szCs w:val="24"/>
              </w:rPr>
            </w:pPr>
            <w:r w:rsidRPr="00934FE7">
              <w:rPr>
                <w:rFonts w:ascii="Arial" w:hAnsi="Arial" w:cs="Arial"/>
                <w:szCs w:val="24"/>
              </w:rPr>
              <w:t>-3.172314</w:t>
            </w:r>
          </w:p>
        </w:tc>
        <w:tc>
          <w:tcPr>
            <w:tcW w:w="2003" w:type="dxa"/>
            <w:tcBorders>
              <w:bottom w:val="single" w:sz="4" w:space="0" w:color="auto"/>
            </w:tcBorders>
            <w:shd w:val="clear" w:color="auto" w:fill="auto"/>
            <w:noWrap/>
            <w:vAlign w:val="bottom"/>
          </w:tcPr>
          <w:p w14:paraId="5B571EAF" w14:textId="77777777" w:rsidR="004E6B58" w:rsidRPr="00934FE7" w:rsidRDefault="00AA4368">
            <w:pPr>
              <w:rPr>
                <w:rFonts w:ascii="Arial" w:hAnsi="Arial" w:cs="Arial"/>
                <w:szCs w:val="24"/>
              </w:rPr>
            </w:pPr>
            <w:r w:rsidRPr="00934FE7">
              <w:rPr>
                <w:rFonts w:ascii="Arial" w:hAnsi="Arial" w:cs="Arial"/>
                <w:szCs w:val="24"/>
              </w:rPr>
              <w:t xml:space="preserve"> </w:t>
            </w:r>
          </w:p>
        </w:tc>
      </w:tr>
    </w:tbl>
    <w:p w14:paraId="3378BD78" w14:textId="77777777" w:rsidR="004E6B58" w:rsidRPr="00934FE7" w:rsidRDefault="00AA4368">
      <w:pPr>
        <w:rPr>
          <w:rFonts w:ascii="Arial" w:hAnsi="Arial" w:cs="Arial"/>
          <w:szCs w:val="24"/>
        </w:rPr>
      </w:pPr>
      <w:r w:rsidRPr="00934FE7">
        <w:rPr>
          <w:rFonts w:ascii="Arial" w:hAnsi="Arial" w:cs="Arial"/>
          <w:szCs w:val="24"/>
        </w:rPr>
        <w:t>Source: Processed Secondary Data, 2025.</w:t>
      </w:r>
    </w:p>
    <w:p w14:paraId="3A097225" w14:textId="77451571" w:rsidR="004E6B58" w:rsidRPr="00934FE7" w:rsidRDefault="00AA4368" w:rsidP="00A51D25">
      <w:pPr>
        <w:pStyle w:val="CaptionTabel"/>
        <w:ind w:firstLine="284"/>
        <w:rPr>
          <w:rFonts w:ascii="Arial" w:hAnsi="Arial" w:cs="Arial"/>
          <w:sz w:val="20"/>
          <w:szCs w:val="20"/>
        </w:rPr>
      </w:pPr>
      <w:r w:rsidRPr="00934FE7">
        <w:rPr>
          <w:rFonts w:ascii="Arial" w:hAnsi="Arial" w:cs="Arial"/>
          <w:sz w:val="20"/>
          <w:szCs w:val="20"/>
          <w:lang w:val="en-US"/>
        </w:rPr>
        <w:t xml:space="preserve">The price of shallots at the manufacturer stage </w:t>
      </w:r>
      <w:r w:rsidRPr="00934FE7">
        <w:rPr>
          <w:rFonts w:ascii="Arial" w:hAnsi="Arial" w:cs="Arial"/>
          <w:sz w:val="20"/>
          <w:szCs w:val="20"/>
        </w:rPr>
        <w:t xml:space="preserve">obtained an ADF </w:t>
      </w:r>
      <w:r w:rsidRPr="00934FE7">
        <w:rPr>
          <w:rFonts w:ascii="Arial" w:hAnsi="Arial" w:cs="Arial"/>
          <w:i/>
          <w:iCs/>
          <w:sz w:val="20"/>
          <w:szCs w:val="20"/>
        </w:rPr>
        <w:t xml:space="preserve">test statistic </w:t>
      </w:r>
      <w:r w:rsidRPr="00934FE7">
        <w:rPr>
          <w:rFonts w:ascii="Arial" w:hAnsi="Arial" w:cs="Arial"/>
          <w:sz w:val="20"/>
          <w:szCs w:val="20"/>
        </w:rPr>
        <w:t xml:space="preserve">(0.097) &lt; .05, meaning that </w:t>
      </w:r>
      <w:r w:rsidR="00A51D25" w:rsidRPr="00934FE7">
        <w:rPr>
          <w:rFonts w:ascii="Arial" w:hAnsi="Arial" w:cs="Arial"/>
          <w:sz w:val="20"/>
          <w:szCs w:val="20"/>
          <w:lang w:val="en-US"/>
        </w:rPr>
        <w:t>the</w:t>
      </w:r>
      <w:r w:rsidRPr="00934FE7">
        <w:rPr>
          <w:rFonts w:ascii="Arial" w:hAnsi="Arial" w:cs="Arial"/>
          <w:sz w:val="20"/>
          <w:szCs w:val="20"/>
          <w:lang w:val="en-US"/>
        </w:rPr>
        <w:t xml:space="preserve"> price of shallots at the producer level during the period January 2019 to December 2023 is the </w:t>
      </w:r>
      <w:r w:rsidR="00B54E47" w:rsidRPr="00934FE7">
        <w:rPr>
          <w:rFonts w:ascii="Arial" w:hAnsi="Arial" w:cs="Arial"/>
          <w:sz w:val="20"/>
          <w:szCs w:val="20"/>
          <w:lang w:val="en-US"/>
        </w:rPr>
        <w:t>focus</w:t>
      </w:r>
      <w:r w:rsidRPr="00934FE7">
        <w:rPr>
          <w:rFonts w:ascii="Arial" w:hAnsi="Arial" w:cs="Arial"/>
          <w:sz w:val="20"/>
          <w:szCs w:val="20"/>
          <w:lang w:val="en-US"/>
        </w:rPr>
        <w:t xml:space="preserve"> of this analysis</w:t>
      </w:r>
      <w:r w:rsidRPr="00934FE7">
        <w:rPr>
          <w:rFonts w:ascii="Arial" w:hAnsi="Arial" w:cs="Arial"/>
          <w:sz w:val="20"/>
          <w:szCs w:val="20"/>
        </w:rPr>
        <w:t xml:space="preserve"> meets the stationary requirements.</w:t>
      </w:r>
    </w:p>
    <w:p w14:paraId="176CCF35" w14:textId="77777777" w:rsidR="004E6B58" w:rsidRPr="00934FE7" w:rsidRDefault="00AA4368" w:rsidP="009129E8">
      <w:pPr>
        <w:numPr>
          <w:ilvl w:val="0"/>
          <w:numId w:val="8"/>
        </w:numPr>
        <w:spacing w:before="120"/>
        <w:ind w:left="357" w:hanging="357"/>
        <w:jc w:val="both"/>
        <w:rPr>
          <w:rFonts w:ascii="Arial" w:hAnsi="Arial" w:cs="Arial"/>
          <w:b/>
          <w:bCs/>
        </w:rPr>
      </w:pPr>
      <w:r w:rsidRPr="00934FE7">
        <w:rPr>
          <w:rFonts w:ascii="Arial" w:hAnsi="Arial" w:cs="Arial"/>
          <w:b/>
          <w:bCs/>
        </w:rPr>
        <w:t>Best ARMA/ARIMA Model Selection</w:t>
      </w:r>
    </w:p>
    <w:p w14:paraId="4455EEF5" w14:textId="66B4B9FC" w:rsidR="004E6B58" w:rsidRPr="00934FE7" w:rsidRDefault="00AA4368" w:rsidP="008C5E62">
      <w:pPr>
        <w:pStyle w:val="ListParagraph"/>
        <w:spacing w:after="120" w:line="240" w:lineRule="auto"/>
        <w:ind w:left="0" w:firstLine="284"/>
        <w:rPr>
          <w:rFonts w:ascii="Arial" w:hAnsi="Arial" w:cs="Arial"/>
          <w:color w:val="auto"/>
          <w:sz w:val="20"/>
          <w:szCs w:val="20"/>
        </w:rPr>
      </w:pPr>
      <w:r w:rsidRPr="00934FE7">
        <w:rPr>
          <w:rFonts w:ascii="Arial" w:hAnsi="Arial" w:cs="Arial"/>
          <w:color w:val="auto"/>
          <w:sz w:val="20"/>
          <w:szCs w:val="20"/>
        </w:rPr>
        <w:t>The ARMA/ARIMA model is selected throug</w:t>
      </w:r>
      <w:r w:rsidRPr="00934FE7">
        <w:rPr>
          <w:rFonts w:ascii="Arial" w:hAnsi="Arial" w:cs="Arial"/>
          <w:color w:val="auto"/>
          <w:sz w:val="20"/>
          <w:szCs w:val="20"/>
        </w:rPr>
        <w:t>h evaluating several combinations of orders by considering the stationarity requirements (AR and MA coefficients &lt;1), as well as the smallest AIC, SC and HQIC values (Pipit, et al, 2019). The best model is decided based on the requirements and has signific</w:t>
      </w:r>
      <w:r w:rsidRPr="00934FE7">
        <w:rPr>
          <w:rFonts w:ascii="Arial" w:hAnsi="Arial" w:cs="Arial"/>
          <w:color w:val="auto"/>
          <w:sz w:val="20"/>
          <w:szCs w:val="20"/>
        </w:rPr>
        <w:t xml:space="preserve">ant coefficients. Some of the options evaluated include </w:t>
      </w:r>
      <w:r w:rsidRPr="00934FE7">
        <w:rPr>
          <w:rFonts w:ascii="Arial" w:hAnsi="Arial" w:cs="Arial"/>
          <w:color w:val="auto"/>
          <w:sz w:val="20"/>
          <w:szCs w:val="20"/>
        </w:rPr>
        <w:lastRenderedPageBreak/>
        <w:t>ARIMA (1.0), ARIMA (2.0), ARIMA (3.0), ARIMA (1.1), ARIMA (1.2), and ARIMA (1.3). The selected model is then used for heteroscedasticity and ARCH effect tests (</w:t>
      </w:r>
      <w:r w:rsidR="0025290B">
        <w:rPr>
          <w:rFonts w:ascii="Arial" w:hAnsi="Arial" w:cs="Arial"/>
          <w:color w:val="auto"/>
          <w:sz w:val="20"/>
          <w:szCs w:val="20"/>
        </w:rPr>
        <w:t>Jumiati</w:t>
      </w:r>
      <w:r w:rsidRPr="00934FE7">
        <w:rPr>
          <w:rFonts w:ascii="Arial" w:hAnsi="Arial" w:cs="Arial"/>
          <w:color w:val="auto"/>
          <w:sz w:val="20"/>
          <w:szCs w:val="20"/>
        </w:rPr>
        <w:t>, et al, 20</w:t>
      </w:r>
      <w:r w:rsidR="0025290B">
        <w:rPr>
          <w:rFonts w:ascii="Arial" w:hAnsi="Arial" w:cs="Arial"/>
          <w:color w:val="auto"/>
          <w:sz w:val="20"/>
          <w:szCs w:val="20"/>
        </w:rPr>
        <w:t>23</w:t>
      </w:r>
      <w:r w:rsidRPr="00934FE7">
        <w:rPr>
          <w:rFonts w:ascii="Arial" w:hAnsi="Arial" w:cs="Arial"/>
          <w:color w:val="auto"/>
          <w:sz w:val="20"/>
          <w:szCs w:val="20"/>
        </w:rPr>
        <w:t xml:space="preserve">). </w:t>
      </w:r>
      <w:r w:rsidRPr="00934FE7">
        <w:rPr>
          <w:rFonts w:ascii="Arial" w:hAnsi="Arial" w:cs="Arial"/>
          <w:color w:val="auto"/>
          <w:sz w:val="20"/>
          <w:szCs w:val="20"/>
          <w:lang w:val="en-US"/>
        </w:rPr>
        <w:t>The following are</w:t>
      </w:r>
      <w:r w:rsidRPr="00934FE7">
        <w:rPr>
          <w:rFonts w:ascii="Arial" w:hAnsi="Arial" w:cs="Arial"/>
          <w:color w:val="auto"/>
          <w:sz w:val="20"/>
          <w:szCs w:val="20"/>
          <w:lang w:val="en-US"/>
        </w:rPr>
        <w:t xml:space="preserve"> the results of the selection of the best ARIMA model</w:t>
      </w:r>
      <w:r w:rsidRPr="00934FE7">
        <w:rPr>
          <w:rFonts w:ascii="Arial" w:hAnsi="Arial" w:cs="Arial"/>
          <w:color w:val="auto"/>
          <w:sz w:val="20"/>
          <w:szCs w:val="20"/>
        </w:rPr>
        <w:t>, as follows:</w:t>
      </w:r>
    </w:p>
    <w:p w14:paraId="2FBD0A84" w14:textId="2E9747E8" w:rsidR="004E6B58" w:rsidRPr="00934FE7" w:rsidRDefault="00AA4368" w:rsidP="008C5E62">
      <w:pPr>
        <w:pStyle w:val="ListParagraph"/>
        <w:spacing w:before="120" w:after="120" w:line="240" w:lineRule="auto"/>
        <w:ind w:left="709" w:hanging="720"/>
        <w:rPr>
          <w:rFonts w:ascii="Arial" w:hAnsi="Arial" w:cs="Arial"/>
          <w:i/>
          <w:iCs/>
          <w:color w:val="auto"/>
          <w:sz w:val="20"/>
          <w:szCs w:val="20"/>
        </w:rPr>
      </w:pPr>
      <w:r w:rsidRPr="00934FE7">
        <w:rPr>
          <w:rFonts w:ascii="Arial" w:hAnsi="Arial" w:cs="Arial"/>
          <w:color w:val="auto"/>
          <w:sz w:val="20"/>
          <w:szCs w:val="20"/>
        </w:rPr>
        <w:t xml:space="preserve">Table </w:t>
      </w:r>
      <w:r w:rsidR="00647D27">
        <w:rPr>
          <w:rFonts w:ascii="Arial" w:hAnsi="Arial" w:cs="Arial"/>
          <w:color w:val="auto"/>
          <w:sz w:val="20"/>
          <w:szCs w:val="20"/>
        </w:rPr>
        <w:t>4</w:t>
      </w:r>
      <w:r w:rsidRPr="00934FE7">
        <w:rPr>
          <w:rFonts w:ascii="Arial" w:hAnsi="Arial" w:cs="Arial"/>
          <w:color w:val="auto"/>
          <w:sz w:val="20"/>
          <w:szCs w:val="20"/>
        </w:rPr>
        <w:t>. Selection of the Best ARIMA Model for Red Onion Producer Prices at Level</w:t>
      </w:r>
    </w:p>
    <w:tbl>
      <w:tblPr>
        <w:tblW w:w="8412"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395"/>
        <w:gridCol w:w="1440"/>
        <w:gridCol w:w="2139"/>
        <w:gridCol w:w="1741"/>
        <w:gridCol w:w="1697"/>
      </w:tblGrid>
      <w:tr w:rsidR="00934FE7" w:rsidRPr="00934FE7" w14:paraId="6679F77D" w14:textId="77777777" w:rsidTr="008C5E62">
        <w:trPr>
          <w:trHeight w:val="298"/>
          <w:jc w:val="center"/>
        </w:trPr>
        <w:tc>
          <w:tcPr>
            <w:tcW w:w="1395" w:type="dxa"/>
            <w:tcBorders>
              <w:bottom w:val="single" w:sz="4" w:space="0" w:color="auto"/>
            </w:tcBorders>
            <w:shd w:val="clear" w:color="auto" w:fill="auto"/>
          </w:tcPr>
          <w:p w14:paraId="024937CF" w14:textId="77777777" w:rsidR="004E6B58" w:rsidRPr="00934FE7" w:rsidRDefault="00AA4368">
            <w:pPr>
              <w:jc w:val="center"/>
              <w:rPr>
                <w:rFonts w:ascii="Arial" w:eastAsia="Calibri" w:hAnsi="Arial" w:cs="Arial"/>
              </w:rPr>
            </w:pPr>
            <w:r w:rsidRPr="00934FE7">
              <w:rPr>
                <w:rFonts w:ascii="Arial" w:eastAsia="Calibri" w:hAnsi="Arial" w:cs="Arial"/>
                <w:b/>
                <w:bCs/>
              </w:rPr>
              <w:t>Variables</w:t>
            </w:r>
          </w:p>
        </w:tc>
        <w:tc>
          <w:tcPr>
            <w:tcW w:w="1440" w:type="dxa"/>
            <w:tcBorders>
              <w:bottom w:val="single" w:sz="4" w:space="0" w:color="auto"/>
            </w:tcBorders>
            <w:shd w:val="clear" w:color="auto" w:fill="auto"/>
          </w:tcPr>
          <w:p w14:paraId="4DEEA91C" w14:textId="77777777" w:rsidR="004E6B58" w:rsidRPr="00934FE7" w:rsidRDefault="00AA4368">
            <w:pPr>
              <w:ind w:left="-207"/>
              <w:jc w:val="center"/>
              <w:rPr>
                <w:rFonts w:ascii="Arial" w:eastAsia="Calibri" w:hAnsi="Arial" w:cs="Arial"/>
              </w:rPr>
            </w:pPr>
            <w:r w:rsidRPr="00934FE7">
              <w:rPr>
                <w:rFonts w:ascii="Arial" w:eastAsia="Calibri" w:hAnsi="Arial" w:cs="Arial"/>
                <w:b/>
                <w:bCs/>
              </w:rPr>
              <w:t>Model</w:t>
            </w:r>
          </w:p>
        </w:tc>
        <w:tc>
          <w:tcPr>
            <w:tcW w:w="2139" w:type="dxa"/>
            <w:tcBorders>
              <w:bottom w:val="single" w:sz="4" w:space="0" w:color="auto"/>
            </w:tcBorders>
            <w:shd w:val="clear" w:color="auto" w:fill="auto"/>
          </w:tcPr>
          <w:p w14:paraId="57DA77C1" w14:textId="77777777" w:rsidR="004E6B58" w:rsidRPr="00934FE7" w:rsidRDefault="00AA4368">
            <w:pPr>
              <w:ind w:left="-268"/>
              <w:jc w:val="center"/>
              <w:rPr>
                <w:rFonts w:ascii="Arial" w:eastAsia="Calibri" w:hAnsi="Arial" w:cs="Arial"/>
              </w:rPr>
            </w:pPr>
            <w:r w:rsidRPr="00934FE7">
              <w:rPr>
                <w:rFonts w:ascii="Arial" w:eastAsia="Calibri" w:hAnsi="Arial" w:cs="Arial"/>
                <w:b/>
                <w:bCs/>
                <w:i/>
                <w:iCs/>
              </w:rPr>
              <w:t xml:space="preserve">Akaike Information Criterion </w:t>
            </w:r>
            <w:r w:rsidRPr="00934FE7">
              <w:rPr>
                <w:rFonts w:ascii="Arial" w:eastAsia="Calibri" w:hAnsi="Arial" w:cs="Arial"/>
                <w:b/>
                <w:bCs/>
              </w:rPr>
              <w:t>(AIC)</w:t>
            </w:r>
          </w:p>
        </w:tc>
        <w:tc>
          <w:tcPr>
            <w:tcW w:w="1741" w:type="dxa"/>
            <w:tcBorders>
              <w:bottom w:val="single" w:sz="4" w:space="0" w:color="auto"/>
            </w:tcBorders>
            <w:shd w:val="clear" w:color="auto" w:fill="auto"/>
          </w:tcPr>
          <w:p w14:paraId="73311D1F" w14:textId="77777777" w:rsidR="004E6B58" w:rsidRPr="00934FE7" w:rsidRDefault="00AA4368">
            <w:pPr>
              <w:ind w:left="-157"/>
              <w:jc w:val="center"/>
              <w:rPr>
                <w:rFonts w:ascii="Arial" w:eastAsia="Calibri" w:hAnsi="Arial" w:cs="Arial"/>
              </w:rPr>
            </w:pPr>
            <w:r w:rsidRPr="00934FE7">
              <w:rPr>
                <w:rFonts w:ascii="Arial" w:eastAsia="Calibri" w:hAnsi="Arial" w:cs="Arial"/>
                <w:b/>
                <w:bCs/>
                <w:i/>
                <w:iCs/>
              </w:rPr>
              <w:t xml:space="preserve">Black Criterion </w:t>
            </w:r>
            <w:r w:rsidRPr="00934FE7">
              <w:rPr>
                <w:rFonts w:ascii="Arial" w:eastAsia="Calibri" w:hAnsi="Arial" w:cs="Arial"/>
                <w:b/>
                <w:bCs/>
              </w:rPr>
              <w:t>(SC)</w:t>
            </w:r>
          </w:p>
        </w:tc>
        <w:tc>
          <w:tcPr>
            <w:tcW w:w="1697" w:type="dxa"/>
            <w:tcBorders>
              <w:bottom w:val="single" w:sz="4" w:space="0" w:color="auto"/>
            </w:tcBorders>
            <w:shd w:val="clear" w:color="auto" w:fill="auto"/>
          </w:tcPr>
          <w:p w14:paraId="3E3731B0" w14:textId="77777777" w:rsidR="004E6B58" w:rsidRPr="00934FE7" w:rsidRDefault="00AA4368">
            <w:pPr>
              <w:ind w:left="-210"/>
              <w:jc w:val="center"/>
              <w:rPr>
                <w:rFonts w:ascii="Arial" w:eastAsia="Calibri" w:hAnsi="Arial" w:cs="Arial"/>
              </w:rPr>
            </w:pPr>
            <w:r w:rsidRPr="00934FE7">
              <w:rPr>
                <w:rFonts w:ascii="Arial" w:eastAsia="Calibri" w:hAnsi="Arial" w:cs="Arial"/>
                <w:b/>
                <w:bCs/>
                <w:i/>
                <w:iCs/>
              </w:rPr>
              <w:t xml:space="preserve">Hannan-Quinn </w:t>
            </w:r>
            <w:proofErr w:type="spellStart"/>
            <w:r w:rsidRPr="00934FE7">
              <w:rPr>
                <w:rFonts w:ascii="Arial" w:eastAsia="Calibri" w:hAnsi="Arial" w:cs="Arial"/>
                <w:b/>
                <w:bCs/>
                <w:i/>
                <w:iCs/>
              </w:rPr>
              <w:t>Criter</w:t>
            </w:r>
            <w:proofErr w:type="spellEnd"/>
            <w:r w:rsidRPr="00934FE7">
              <w:rPr>
                <w:rFonts w:ascii="Arial" w:eastAsia="Calibri" w:hAnsi="Arial" w:cs="Arial"/>
                <w:b/>
                <w:bCs/>
                <w:i/>
                <w:iCs/>
              </w:rPr>
              <w:t xml:space="preserve"> </w:t>
            </w:r>
            <w:r w:rsidRPr="00934FE7">
              <w:rPr>
                <w:rFonts w:ascii="Arial" w:eastAsia="Calibri" w:hAnsi="Arial" w:cs="Arial"/>
                <w:b/>
                <w:bCs/>
              </w:rPr>
              <w:t>(HQIC)</w:t>
            </w:r>
          </w:p>
        </w:tc>
      </w:tr>
      <w:tr w:rsidR="00934FE7" w:rsidRPr="00934FE7" w14:paraId="49AEDC35" w14:textId="77777777" w:rsidTr="008C5E62">
        <w:trPr>
          <w:trHeight w:val="248"/>
          <w:jc w:val="center"/>
        </w:trPr>
        <w:tc>
          <w:tcPr>
            <w:tcW w:w="1395" w:type="dxa"/>
            <w:tcBorders>
              <w:top w:val="single" w:sz="4" w:space="0" w:color="auto"/>
              <w:bottom w:val="nil"/>
            </w:tcBorders>
            <w:shd w:val="clear" w:color="auto" w:fill="auto"/>
          </w:tcPr>
          <w:p w14:paraId="70186C58" w14:textId="77777777" w:rsidR="004E6B58" w:rsidRPr="00934FE7" w:rsidRDefault="004E6B58">
            <w:pPr>
              <w:rPr>
                <w:rFonts w:ascii="Arial" w:eastAsia="Calibri" w:hAnsi="Arial" w:cs="Arial"/>
              </w:rPr>
            </w:pPr>
          </w:p>
        </w:tc>
        <w:tc>
          <w:tcPr>
            <w:tcW w:w="1440" w:type="dxa"/>
            <w:tcBorders>
              <w:top w:val="single" w:sz="4" w:space="0" w:color="auto"/>
              <w:bottom w:val="nil"/>
            </w:tcBorders>
            <w:shd w:val="clear" w:color="auto" w:fill="auto"/>
          </w:tcPr>
          <w:p w14:paraId="7401686C" w14:textId="77777777" w:rsidR="004E6B58" w:rsidRPr="00934FE7" w:rsidRDefault="00AA4368">
            <w:pPr>
              <w:rPr>
                <w:rFonts w:ascii="Arial" w:eastAsia="Calibri" w:hAnsi="Arial" w:cs="Arial"/>
              </w:rPr>
            </w:pPr>
            <w:r w:rsidRPr="00934FE7">
              <w:rPr>
                <w:rFonts w:ascii="Arial" w:eastAsia="Calibri" w:hAnsi="Arial" w:cs="Arial"/>
              </w:rPr>
              <w:t xml:space="preserve">ARIMA </w:t>
            </w:r>
            <w:r w:rsidRPr="00934FE7">
              <w:rPr>
                <w:rFonts w:ascii="Arial" w:eastAsia="Calibri" w:hAnsi="Arial" w:cs="Arial"/>
              </w:rPr>
              <w:t>(1.0)</w:t>
            </w:r>
          </w:p>
        </w:tc>
        <w:tc>
          <w:tcPr>
            <w:tcW w:w="2139" w:type="dxa"/>
            <w:tcBorders>
              <w:top w:val="single" w:sz="4" w:space="0" w:color="auto"/>
              <w:bottom w:val="nil"/>
            </w:tcBorders>
            <w:shd w:val="clear" w:color="auto" w:fill="auto"/>
          </w:tcPr>
          <w:p w14:paraId="750FEC32" w14:textId="77777777" w:rsidR="004E6B58" w:rsidRPr="00934FE7" w:rsidRDefault="00AA4368">
            <w:pPr>
              <w:jc w:val="right"/>
              <w:rPr>
                <w:rFonts w:ascii="Arial" w:eastAsia="Calibri" w:hAnsi="Arial" w:cs="Arial"/>
              </w:rPr>
            </w:pPr>
            <w:r w:rsidRPr="00934FE7">
              <w:rPr>
                <w:rFonts w:ascii="Arial" w:eastAsia="Calibri" w:hAnsi="Arial" w:cs="Arial"/>
              </w:rPr>
              <w:t>5.884615</w:t>
            </w:r>
          </w:p>
        </w:tc>
        <w:tc>
          <w:tcPr>
            <w:tcW w:w="1741" w:type="dxa"/>
            <w:tcBorders>
              <w:top w:val="single" w:sz="4" w:space="0" w:color="auto"/>
              <w:bottom w:val="nil"/>
            </w:tcBorders>
            <w:shd w:val="clear" w:color="auto" w:fill="auto"/>
          </w:tcPr>
          <w:p w14:paraId="7EE528D4" w14:textId="77777777" w:rsidR="004E6B58" w:rsidRPr="00934FE7" w:rsidRDefault="00AA4368">
            <w:pPr>
              <w:jc w:val="right"/>
              <w:rPr>
                <w:rFonts w:ascii="Arial" w:eastAsia="Calibri" w:hAnsi="Arial" w:cs="Arial"/>
              </w:rPr>
            </w:pPr>
            <w:r w:rsidRPr="00934FE7">
              <w:rPr>
                <w:rFonts w:ascii="Arial" w:eastAsia="Calibri" w:hAnsi="Arial" w:cs="Arial"/>
              </w:rPr>
              <w:t>5.989332</w:t>
            </w:r>
          </w:p>
        </w:tc>
        <w:tc>
          <w:tcPr>
            <w:tcW w:w="1697" w:type="dxa"/>
            <w:tcBorders>
              <w:top w:val="single" w:sz="4" w:space="0" w:color="auto"/>
              <w:bottom w:val="nil"/>
            </w:tcBorders>
            <w:shd w:val="clear" w:color="auto" w:fill="auto"/>
          </w:tcPr>
          <w:p w14:paraId="385C5829" w14:textId="77777777" w:rsidR="004E6B58" w:rsidRPr="00934FE7" w:rsidRDefault="00AA4368">
            <w:pPr>
              <w:jc w:val="right"/>
              <w:rPr>
                <w:rFonts w:ascii="Arial" w:eastAsia="Calibri" w:hAnsi="Arial" w:cs="Arial"/>
              </w:rPr>
            </w:pPr>
            <w:r w:rsidRPr="00934FE7">
              <w:rPr>
                <w:rFonts w:ascii="Arial" w:eastAsia="Calibri" w:hAnsi="Arial" w:cs="Arial"/>
              </w:rPr>
              <w:t>5.925576</w:t>
            </w:r>
          </w:p>
        </w:tc>
      </w:tr>
      <w:tr w:rsidR="00934FE7" w:rsidRPr="00934FE7" w14:paraId="535C29ED" w14:textId="77777777" w:rsidTr="008C5E62">
        <w:trPr>
          <w:trHeight w:val="148"/>
          <w:jc w:val="center"/>
        </w:trPr>
        <w:tc>
          <w:tcPr>
            <w:tcW w:w="1395" w:type="dxa"/>
            <w:tcBorders>
              <w:top w:val="nil"/>
              <w:bottom w:val="nil"/>
            </w:tcBorders>
            <w:shd w:val="clear" w:color="auto" w:fill="auto"/>
          </w:tcPr>
          <w:p w14:paraId="5442C9C0" w14:textId="77777777" w:rsidR="004E6B58" w:rsidRPr="00934FE7" w:rsidRDefault="004E6B58">
            <w:pPr>
              <w:rPr>
                <w:rFonts w:ascii="Arial" w:eastAsia="Calibri" w:hAnsi="Arial" w:cs="Arial"/>
              </w:rPr>
            </w:pPr>
          </w:p>
        </w:tc>
        <w:tc>
          <w:tcPr>
            <w:tcW w:w="1440" w:type="dxa"/>
            <w:tcBorders>
              <w:top w:val="nil"/>
              <w:bottom w:val="nil"/>
            </w:tcBorders>
            <w:shd w:val="clear" w:color="auto" w:fill="auto"/>
          </w:tcPr>
          <w:p w14:paraId="2142A531" w14:textId="77777777" w:rsidR="004E6B58" w:rsidRPr="00934FE7" w:rsidRDefault="00AA4368">
            <w:pPr>
              <w:rPr>
                <w:rFonts w:ascii="Arial" w:eastAsia="Calibri" w:hAnsi="Arial" w:cs="Arial"/>
              </w:rPr>
            </w:pPr>
            <w:r w:rsidRPr="00934FE7">
              <w:rPr>
                <w:rFonts w:ascii="Arial" w:eastAsia="Calibri" w:hAnsi="Arial" w:cs="Arial"/>
              </w:rPr>
              <w:t>ARIMA (1.1)</w:t>
            </w:r>
          </w:p>
        </w:tc>
        <w:tc>
          <w:tcPr>
            <w:tcW w:w="2139" w:type="dxa"/>
            <w:tcBorders>
              <w:top w:val="nil"/>
              <w:bottom w:val="nil"/>
            </w:tcBorders>
            <w:shd w:val="clear" w:color="auto" w:fill="auto"/>
          </w:tcPr>
          <w:p w14:paraId="14C8057F" w14:textId="77777777" w:rsidR="004E6B58" w:rsidRPr="00934FE7" w:rsidRDefault="00AA4368">
            <w:pPr>
              <w:jc w:val="right"/>
              <w:rPr>
                <w:rFonts w:ascii="Arial" w:eastAsia="Calibri" w:hAnsi="Arial" w:cs="Arial"/>
              </w:rPr>
            </w:pPr>
            <w:r w:rsidRPr="00934FE7">
              <w:rPr>
                <w:rFonts w:ascii="Arial" w:eastAsia="Calibri" w:hAnsi="Arial" w:cs="Arial"/>
              </w:rPr>
              <w:t>5.885802</w:t>
            </w:r>
          </w:p>
        </w:tc>
        <w:tc>
          <w:tcPr>
            <w:tcW w:w="1741" w:type="dxa"/>
            <w:tcBorders>
              <w:top w:val="nil"/>
              <w:bottom w:val="nil"/>
            </w:tcBorders>
            <w:shd w:val="clear" w:color="auto" w:fill="auto"/>
          </w:tcPr>
          <w:p w14:paraId="5887918E" w14:textId="77777777" w:rsidR="004E6B58" w:rsidRPr="00934FE7" w:rsidRDefault="00AA4368">
            <w:pPr>
              <w:jc w:val="right"/>
              <w:rPr>
                <w:rFonts w:ascii="Arial" w:eastAsia="Calibri" w:hAnsi="Arial" w:cs="Arial"/>
              </w:rPr>
            </w:pPr>
            <w:r w:rsidRPr="00934FE7">
              <w:rPr>
                <w:rFonts w:ascii="Arial" w:eastAsia="Calibri" w:hAnsi="Arial" w:cs="Arial"/>
              </w:rPr>
              <w:t>6.025425</w:t>
            </w:r>
          </w:p>
        </w:tc>
        <w:tc>
          <w:tcPr>
            <w:tcW w:w="1697" w:type="dxa"/>
            <w:tcBorders>
              <w:top w:val="nil"/>
              <w:bottom w:val="nil"/>
            </w:tcBorders>
            <w:shd w:val="clear" w:color="auto" w:fill="auto"/>
          </w:tcPr>
          <w:p w14:paraId="63E7EC2B" w14:textId="77777777" w:rsidR="004E6B58" w:rsidRPr="00934FE7" w:rsidRDefault="00AA4368">
            <w:pPr>
              <w:jc w:val="right"/>
              <w:rPr>
                <w:rFonts w:ascii="Arial" w:eastAsia="Calibri" w:hAnsi="Arial" w:cs="Arial"/>
              </w:rPr>
            </w:pPr>
            <w:r w:rsidRPr="00934FE7">
              <w:rPr>
                <w:rFonts w:ascii="Arial" w:eastAsia="Calibri" w:hAnsi="Arial" w:cs="Arial"/>
              </w:rPr>
              <w:t>5.940416</w:t>
            </w:r>
          </w:p>
        </w:tc>
      </w:tr>
      <w:tr w:rsidR="00934FE7" w:rsidRPr="00934FE7" w14:paraId="2779C9B1" w14:textId="77777777" w:rsidTr="008C5E62">
        <w:trPr>
          <w:trHeight w:val="193"/>
          <w:jc w:val="center"/>
        </w:trPr>
        <w:tc>
          <w:tcPr>
            <w:tcW w:w="1395" w:type="dxa"/>
            <w:tcBorders>
              <w:top w:val="nil"/>
              <w:bottom w:val="nil"/>
            </w:tcBorders>
            <w:shd w:val="clear" w:color="auto" w:fill="auto"/>
          </w:tcPr>
          <w:p w14:paraId="11C1500D" w14:textId="77777777" w:rsidR="004E6B58" w:rsidRPr="00934FE7" w:rsidRDefault="00AA4368">
            <w:pPr>
              <w:rPr>
                <w:rFonts w:ascii="Arial" w:eastAsia="Calibri" w:hAnsi="Arial" w:cs="Arial"/>
              </w:rPr>
            </w:pPr>
            <w:r w:rsidRPr="00934FE7">
              <w:rPr>
                <w:rFonts w:ascii="Arial" w:eastAsia="Calibri" w:hAnsi="Arial" w:cs="Arial"/>
              </w:rPr>
              <w:t>Price</w:t>
            </w:r>
          </w:p>
        </w:tc>
        <w:tc>
          <w:tcPr>
            <w:tcW w:w="1440" w:type="dxa"/>
            <w:tcBorders>
              <w:top w:val="nil"/>
              <w:bottom w:val="nil"/>
            </w:tcBorders>
            <w:shd w:val="clear" w:color="auto" w:fill="auto"/>
          </w:tcPr>
          <w:p w14:paraId="4028CC3A" w14:textId="77777777" w:rsidR="004E6B58" w:rsidRPr="00934FE7" w:rsidRDefault="00AA4368">
            <w:pPr>
              <w:rPr>
                <w:rFonts w:ascii="Arial" w:eastAsia="Calibri" w:hAnsi="Arial" w:cs="Arial"/>
              </w:rPr>
            </w:pPr>
            <w:r w:rsidRPr="00934FE7">
              <w:rPr>
                <w:rFonts w:ascii="Arial" w:eastAsia="Calibri" w:hAnsi="Arial" w:cs="Arial"/>
              </w:rPr>
              <w:t>ARIMA (1.2)</w:t>
            </w:r>
          </w:p>
        </w:tc>
        <w:tc>
          <w:tcPr>
            <w:tcW w:w="2139" w:type="dxa"/>
            <w:tcBorders>
              <w:top w:val="nil"/>
              <w:bottom w:val="nil"/>
            </w:tcBorders>
            <w:shd w:val="clear" w:color="auto" w:fill="auto"/>
          </w:tcPr>
          <w:p w14:paraId="782FAE2D" w14:textId="77777777" w:rsidR="004E6B58" w:rsidRPr="00934FE7" w:rsidRDefault="00AA4368">
            <w:pPr>
              <w:jc w:val="right"/>
              <w:rPr>
                <w:rFonts w:ascii="Arial" w:eastAsia="Calibri" w:hAnsi="Arial" w:cs="Arial"/>
              </w:rPr>
            </w:pPr>
            <w:r w:rsidRPr="00934FE7">
              <w:rPr>
                <w:rFonts w:ascii="Arial" w:eastAsia="Calibri" w:hAnsi="Arial" w:cs="Arial"/>
              </w:rPr>
              <w:t>5.905921</w:t>
            </w:r>
          </w:p>
        </w:tc>
        <w:tc>
          <w:tcPr>
            <w:tcW w:w="1741" w:type="dxa"/>
            <w:tcBorders>
              <w:top w:val="nil"/>
              <w:bottom w:val="nil"/>
            </w:tcBorders>
            <w:shd w:val="clear" w:color="auto" w:fill="auto"/>
          </w:tcPr>
          <w:p w14:paraId="5839DDC5" w14:textId="77777777" w:rsidR="004E6B58" w:rsidRPr="00934FE7" w:rsidRDefault="00AA4368">
            <w:pPr>
              <w:jc w:val="right"/>
              <w:rPr>
                <w:rFonts w:ascii="Arial" w:eastAsia="Calibri" w:hAnsi="Arial" w:cs="Arial"/>
              </w:rPr>
            </w:pPr>
            <w:r w:rsidRPr="00934FE7">
              <w:rPr>
                <w:rFonts w:ascii="Arial" w:eastAsia="Calibri" w:hAnsi="Arial" w:cs="Arial"/>
              </w:rPr>
              <w:t>6.045544</w:t>
            </w:r>
          </w:p>
        </w:tc>
        <w:tc>
          <w:tcPr>
            <w:tcW w:w="1697" w:type="dxa"/>
            <w:tcBorders>
              <w:top w:val="nil"/>
              <w:bottom w:val="nil"/>
            </w:tcBorders>
            <w:shd w:val="clear" w:color="auto" w:fill="auto"/>
          </w:tcPr>
          <w:p w14:paraId="3EFDBE49" w14:textId="77777777" w:rsidR="004E6B58" w:rsidRPr="00934FE7" w:rsidRDefault="00AA4368">
            <w:pPr>
              <w:jc w:val="right"/>
              <w:rPr>
                <w:rFonts w:ascii="Arial" w:eastAsia="Calibri" w:hAnsi="Arial" w:cs="Arial"/>
              </w:rPr>
            </w:pPr>
            <w:r w:rsidRPr="00934FE7">
              <w:rPr>
                <w:rFonts w:ascii="Arial" w:eastAsia="Calibri" w:hAnsi="Arial" w:cs="Arial"/>
              </w:rPr>
              <w:t>5.960535</w:t>
            </w:r>
          </w:p>
        </w:tc>
      </w:tr>
      <w:tr w:rsidR="00934FE7" w:rsidRPr="00934FE7" w14:paraId="4598537C" w14:textId="77777777" w:rsidTr="008C5E62">
        <w:trPr>
          <w:trHeight w:val="253"/>
          <w:jc w:val="center"/>
        </w:trPr>
        <w:tc>
          <w:tcPr>
            <w:tcW w:w="1395" w:type="dxa"/>
            <w:tcBorders>
              <w:top w:val="nil"/>
              <w:bottom w:val="nil"/>
            </w:tcBorders>
            <w:shd w:val="clear" w:color="auto" w:fill="auto"/>
          </w:tcPr>
          <w:p w14:paraId="063B569C" w14:textId="77777777" w:rsidR="004E6B58" w:rsidRPr="00934FE7" w:rsidRDefault="00AA4368">
            <w:pPr>
              <w:rPr>
                <w:rFonts w:ascii="Arial" w:eastAsia="Calibri" w:hAnsi="Arial" w:cs="Arial"/>
              </w:rPr>
            </w:pPr>
            <w:r w:rsidRPr="00934FE7">
              <w:rPr>
                <w:rFonts w:ascii="Arial" w:eastAsia="Calibri" w:hAnsi="Arial" w:cs="Arial"/>
              </w:rPr>
              <w:t>manufacturer</w:t>
            </w:r>
          </w:p>
        </w:tc>
        <w:tc>
          <w:tcPr>
            <w:tcW w:w="1440" w:type="dxa"/>
            <w:tcBorders>
              <w:top w:val="nil"/>
              <w:bottom w:val="nil"/>
            </w:tcBorders>
            <w:shd w:val="clear" w:color="auto" w:fill="auto"/>
          </w:tcPr>
          <w:p w14:paraId="2D7640D7" w14:textId="77777777" w:rsidR="004E6B58" w:rsidRPr="00934FE7" w:rsidRDefault="00AA4368">
            <w:pPr>
              <w:rPr>
                <w:rFonts w:ascii="Arial" w:eastAsia="Calibri" w:hAnsi="Arial" w:cs="Arial"/>
              </w:rPr>
            </w:pPr>
            <w:r w:rsidRPr="00934FE7">
              <w:rPr>
                <w:rFonts w:ascii="Arial" w:eastAsia="Calibri" w:hAnsi="Arial" w:cs="Arial"/>
              </w:rPr>
              <w:t>ARIMA (1.3)</w:t>
            </w:r>
          </w:p>
        </w:tc>
        <w:tc>
          <w:tcPr>
            <w:tcW w:w="2139" w:type="dxa"/>
            <w:tcBorders>
              <w:top w:val="nil"/>
              <w:bottom w:val="nil"/>
            </w:tcBorders>
            <w:shd w:val="clear" w:color="auto" w:fill="auto"/>
          </w:tcPr>
          <w:p w14:paraId="2CA24B5A" w14:textId="77777777" w:rsidR="004E6B58" w:rsidRPr="00934FE7" w:rsidRDefault="00AA4368">
            <w:pPr>
              <w:jc w:val="right"/>
              <w:rPr>
                <w:rFonts w:ascii="Arial" w:eastAsia="Calibri" w:hAnsi="Arial" w:cs="Arial"/>
              </w:rPr>
            </w:pPr>
            <w:r w:rsidRPr="00934FE7">
              <w:rPr>
                <w:rFonts w:ascii="Arial" w:eastAsia="Calibri" w:hAnsi="Arial" w:cs="Arial"/>
              </w:rPr>
              <w:t>5.907266</w:t>
            </w:r>
          </w:p>
        </w:tc>
        <w:tc>
          <w:tcPr>
            <w:tcW w:w="1741" w:type="dxa"/>
            <w:tcBorders>
              <w:top w:val="nil"/>
              <w:bottom w:val="nil"/>
            </w:tcBorders>
            <w:shd w:val="clear" w:color="auto" w:fill="auto"/>
          </w:tcPr>
          <w:p w14:paraId="69318DF7" w14:textId="77777777" w:rsidR="004E6B58" w:rsidRPr="00934FE7" w:rsidRDefault="00AA4368">
            <w:pPr>
              <w:jc w:val="right"/>
              <w:rPr>
                <w:rFonts w:ascii="Arial" w:eastAsia="Calibri" w:hAnsi="Arial" w:cs="Arial"/>
              </w:rPr>
            </w:pPr>
            <w:r w:rsidRPr="00934FE7">
              <w:rPr>
                <w:rFonts w:ascii="Arial" w:eastAsia="Calibri" w:hAnsi="Arial" w:cs="Arial"/>
              </w:rPr>
              <w:t>6.046889</w:t>
            </w:r>
          </w:p>
        </w:tc>
        <w:tc>
          <w:tcPr>
            <w:tcW w:w="1697" w:type="dxa"/>
            <w:tcBorders>
              <w:top w:val="nil"/>
              <w:bottom w:val="nil"/>
            </w:tcBorders>
            <w:shd w:val="clear" w:color="auto" w:fill="auto"/>
          </w:tcPr>
          <w:p w14:paraId="2D202781" w14:textId="77777777" w:rsidR="004E6B58" w:rsidRPr="00934FE7" w:rsidRDefault="00AA4368">
            <w:pPr>
              <w:jc w:val="right"/>
              <w:rPr>
                <w:rFonts w:ascii="Arial" w:eastAsia="Calibri" w:hAnsi="Arial" w:cs="Arial"/>
              </w:rPr>
            </w:pPr>
            <w:r w:rsidRPr="00934FE7">
              <w:rPr>
                <w:rFonts w:ascii="Arial" w:eastAsia="Calibri" w:hAnsi="Arial" w:cs="Arial"/>
              </w:rPr>
              <w:t>5.961880</w:t>
            </w:r>
          </w:p>
        </w:tc>
      </w:tr>
      <w:tr w:rsidR="00934FE7" w:rsidRPr="00934FE7" w14:paraId="69F85E68" w14:textId="77777777" w:rsidTr="008C5E62">
        <w:trPr>
          <w:trHeight w:val="143"/>
          <w:jc w:val="center"/>
        </w:trPr>
        <w:tc>
          <w:tcPr>
            <w:tcW w:w="1395" w:type="dxa"/>
            <w:tcBorders>
              <w:top w:val="nil"/>
              <w:bottom w:val="nil"/>
            </w:tcBorders>
            <w:shd w:val="clear" w:color="auto" w:fill="auto"/>
          </w:tcPr>
          <w:p w14:paraId="7FC78ACB" w14:textId="77777777" w:rsidR="004E6B58" w:rsidRPr="00934FE7" w:rsidRDefault="004E6B58">
            <w:pPr>
              <w:rPr>
                <w:rFonts w:ascii="Arial" w:eastAsia="Calibri" w:hAnsi="Arial" w:cs="Arial"/>
              </w:rPr>
            </w:pPr>
          </w:p>
        </w:tc>
        <w:tc>
          <w:tcPr>
            <w:tcW w:w="1440" w:type="dxa"/>
            <w:tcBorders>
              <w:top w:val="nil"/>
              <w:bottom w:val="nil"/>
            </w:tcBorders>
            <w:shd w:val="clear" w:color="auto" w:fill="auto"/>
          </w:tcPr>
          <w:p w14:paraId="25248A47" w14:textId="77777777" w:rsidR="004E6B58" w:rsidRPr="00934FE7" w:rsidRDefault="00AA4368">
            <w:pPr>
              <w:rPr>
                <w:rFonts w:ascii="Arial" w:eastAsia="Calibri" w:hAnsi="Arial" w:cs="Arial"/>
              </w:rPr>
            </w:pPr>
            <w:r w:rsidRPr="00934FE7">
              <w:rPr>
                <w:rFonts w:ascii="Arial" w:eastAsia="Calibri" w:hAnsi="Arial" w:cs="Arial"/>
              </w:rPr>
              <w:t>ARIMA (2.0)</w:t>
            </w:r>
          </w:p>
        </w:tc>
        <w:tc>
          <w:tcPr>
            <w:tcW w:w="2139" w:type="dxa"/>
            <w:tcBorders>
              <w:top w:val="nil"/>
              <w:bottom w:val="nil"/>
            </w:tcBorders>
            <w:shd w:val="clear" w:color="auto" w:fill="auto"/>
          </w:tcPr>
          <w:p w14:paraId="05D99B71" w14:textId="77777777" w:rsidR="004E6B58" w:rsidRPr="00934FE7" w:rsidRDefault="00AA4368">
            <w:pPr>
              <w:jc w:val="right"/>
              <w:rPr>
                <w:rFonts w:ascii="Arial" w:eastAsia="Calibri" w:hAnsi="Arial" w:cs="Arial"/>
              </w:rPr>
            </w:pPr>
            <w:r w:rsidRPr="00934FE7">
              <w:rPr>
                <w:rFonts w:ascii="Arial" w:eastAsia="Calibri" w:hAnsi="Arial" w:cs="Arial"/>
              </w:rPr>
              <w:t>6.214309</w:t>
            </w:r>
          </w:p>
        </w:tc>
        <w:tc>
          <w:tcPr>
            <w:tcW w:w="1741" w:type="dxa"/>
            <w:tcBorders>
              <w:top w:val="nil"/>
              <w:bottom w:val="nil"/>
            </w:tcBorders>
            <w:shd w:val="clear" w:color="auto" w:fill="auto"/>
          </w:tcPr>
          <w:p w14:paraId="082CE2C5" w14:textId="77777777" w:rsidR="004E6B58" w:rsidRPr="00934FE7" w:rsidRDefault="00AA4368">
            <w:pPr>
              <w:jc w:val="right"/>
              <w:rPr>
                <w:rFonts w:ascii="Arial" w:eastAsia="Calibri" w:hAnsi="Arial" w:cs="Arial"/>
              </w:rPr>
            </w:pPr>
            <w:r w:rsidRPr="00934FE7">
              <w:rPr>
                <w:rFonts w:ascii="Arial" w:eastAsia="Calibri" w:hAnsi="Arial" w:cs="Arial"/>
              </w:rPr>
              <w:t>6.319026</w:t>
            </w:r>
          </w:p>
        </w:tc>
        <w:tc>
          <w:tcPr>
            <w:tcW w:w="1697" w:type="dxa"/>
            <w:tcBorders>
              <w:top w:val="nil"/>
              <w:bottom w:val="nil"/>
            </w:tcBorders>
            <w:shd w:val="clear" w:color="auto" w:fill="auto"/>
          </w:tcPr>
          <w:p w14:paraId="3D045331" w14:textId="77777777" w:rsidR="004E6B58" w:rsidRPr="00934FE7" w:rsidRDefault="00AA4368">
            <w:pPr>
              <w:jc w:val="right"/>
              <w:rPr>
                <w:rFonts w:ascii="Arial" w:eastAsia="Calibri" w:hAnsi="Arial" w:cs="Arial"/>
              </w:rPr>
            </w:pPr>
            <w:r w:rsidRPr="00934FE7">
              <w:rPr>
                <w:rFonts w:ascii="Arial" w:eastAsia="Calibri" w:hAnsi="Arial" w:cs="Arial"/>
              </w:rPr>
              <w:t>6.255270</w:t>
            </w:r>
          </w:p>
        </w:tc>
      </w:tr>
      <w:tr w:rsidR="00934FE7" w:rsidRPr="00934FE7" w14:paraId="16235C90" w14:textId="77777777" w:rsidTr="008C5E62">
        <w:trPr>
          <w:trHeight w:val="189"/>
          <w:jc w:val="center"/>
        </w:trPr>
        <w:tc>
          <w:tcPr>
            <w:tcW w:w="1395" w:type="dxa"/>
            <w:tcBorders>
              <w:top w:val="nil"/>
              <w:bottom w:val="single" w:sz="4" w:space="0" w:color="000000"/>
            </w:tcBorders>
            <w:shd w:val="clear" w:color="auto" w:fill="auto"/>
          </w:tcPr>
          <w:p w14:paraId="784AB34A" w14:textId="77777777" w:rsidR="004E6B58" w:rsidRPr="00934FE7" w:rsidRDefault="004E6B58">
            <w:pPr>
              <w:rPr>
                <w:rFonts w:ascii="Arial" w:eastAsia="Calibri" w:hAnsi="Arial" w:cs="Arial"/>
              </w:rPr>
            </w:pPr>
          </w:p>
        </w:tc>
        <w:tc>
          <w:tcPr>
            <w:tcW w:w="1440" w:type="dxa"/>
            <w:tcBorders>
              <w:top w:val="nil"/>
              <w:bottom w:val="single" w:sz="4" w:space="0" w:color="000000"/>
            </w:tcBorders>
            <w:shd w:val="clear" w:color="auto" w:fill="auto"/>
          </w:tcPr>
          <w:p w14:paraId="64CD1338" w14:textId="77777777" w:rsidR="004E6B58" w:rsidRPr="00934FE7" w:rsidRDefault="00AA4368">
            <w:pPr>
              <w:rPr>
                <w:rFonts w:ascii="Arial" w:eastAsia="Calibri" w:hAnsi="Arial" w:cs="Arial"/>
              </w:rPr>
            </w:pPr>
            <w:r w:rsidRPr="00934FE7">
              <w:rPr>
                <w:rFonts w:ascii="Arial" w:eastAsia="Calibri" w:hAnsi="Arial" w:cs="Arial"/>
              </w:rPr>
              <w:t>ARIMA (3.1)</w:t>
            </w:r>
          </w:p>
        </w:tc>
        <w:tc>
          <w:tcPr>
            <w:tcW w:w="2139" w:type="dxa"/>
            <w:tcBorders>
              <w:top w:val="nil"/>
              <w:bottom w:val="single" w:sz="4" w:space="0" w:color="000000"/>
            </w:tcBorders>
            <w:shd w:val="clear" w:color="auto" w:fill="auto"/>
          </w:tcPr>
          <w:p w14:paraId="2A673691" w14:textId="77777777" w:rsidR="004E6B58" w:rsidRPr="00934FE7" w:rsidRDefault="00AA4368">
            <w:pPr>
              <w:jc w:val="right"/>
              <w:rPr>
                <w:rFonts w:ascii="Arial" w:eastAsia="Calibri" w:hAnsi="Arial" w:cs="Arial"/>
              </w:rPr>
            </w:pPr>
            <w:r w:rsidRPr="00934FE7">
              <w:rPr>
                <w:rFonts w:ascii="Arial" w:eastAsia="Calibri" w:hAnsi="Arial" w:cs="Arial"/>
              </w:rPr>
              <w:t>5.923966</w:t>
            </w:r>
          </w:p>
        </w:tc>
        <w:tc>
          <w:tcPr>
            <w:tcW w:w="1741" w:type="dxa"/>
            <w:tcBorders>
              <w:top w:val="nil"/>
              <w:bottom w:val="single" w:sz="4" w:space="0" w:color="000000"/>
            </w:tcBorders>
            <w:shd w:val="clear" w:color="auto" w:fill="auto"/>
          </w:tcPr>
          <w:p w14:paraId="54A52FBE" w14:textId="77777777" w:rsidR="004E6B58" w:rsidRPr="00934FE7" w:rsidRDefault="00AA4368">
            <w:pPr>
              <w:jc w:val="right"/>
              <w:rPr>
                <w:rFonts w:ascii="Arial" w:eastAsia="Calibri" w:hAnsi="Arial" w:cs="Arial"/>
              </w:rPr>
            </w:pPr>
            <w:r w:rsidRPr="00934FE7">
              <w:rPr>
                <w:rFonts w:ascii="Arial" w:eastAsia="Calibri" w:hAnsi="Arial" w:cs="Arial"/>
              </w:rPr>
              <w:t>6.063589</w:t>
            </w:r>
          </w:p>
        </w:tc>
        <w:tc>
          <w:tcPr>
            <w:tcW w:w="1697" w:type="dxa"/>
            <w:tcBorders>
              <w:top w:val="nil"/>
              <w:bottom w:val="single" w:sz="4" w:space="0" w:color="000000"/>
            </w:tcBorders>
            <w:shd w:val="clear" w:color="auto" w:fill="auto"/>
          </w:tcPr>
          <w:p w14:paraId="60256869" w14:textId="77777777" w:rsidR="004E6B58" w:rsidRPr="00934FE7" w:rsidRDefault="00AA4368">
            <w:pPr>
              <w:jc w:val="right"/>
              <w:rPr>
                <w:rFonts w:ascii="Arial" w:eastAsia="Calibri" w:hAnsi="Arial" w:cs="Arial"/>
              </w:rPr>
            </w:pPr>
            <w:r w:rsidRPr="00934FE7">
              <w:rPr>
                <w:rFonts w:ascii="Arial" w:eastAsia="Calibri" w:hAnsi="Arial" w:cs="Arial"/>
              </w:rPr>
              <w:t>5.978580</w:t>
            </w:r>
          </w:p>
        </w:tc>
      </w:tr>
    </w:tbl>
    <w:p w14:paraId="65A2C0AD" w14:textId="77777777" w:rsidR="004E6B58" w:rsidRPr="00934FE7" w:rsidRDefault="00AA4368">
      <w:pPr>
        <w:ind w:left="1134" w:hanging="992"/>
        <w:rPr>
          <w:rFonts w:ascii="Arial" w:hAnsi="Arial" w:cs="Arial"/>
        </w:rPr>
      </w:pPr>
      <w:r w:rsidRPr="00934FE7">
        <w:rPr>
          <w:rFonts w:ascii="Arial" w:hAnsi="Arial" w:cs="Arial"/>
        </w:rPr>
        <w:t>Source: Processed Secondary Data, 2025.</w:t>
      </w:r>
    </w:p>
    <w:p w14:paraId="2FC687D0" w14:textId="4629A84B" w:rsidR="004E6B58" w:rsidRPr="00934FE7" w:rsidRDefault="00AA4368" w:rsidP="00A51D25">
      <w:pPr>
        <w:ind w:firstLine="284"/>
        <w:jc w:val="both"/>
        <w:rPr>
          <w:rFonts w:ascii="Arial" w:hAnsi="Arial" w:cs="Arial"/>
        </w:rPr>
      </w:pPr>
      <w:r w:rsidRPr="00934FE7">
        <w:rPr>
          <w:rFonts w:ascii="Arial" w:hAnsi="Arial" w:cs="Arial"/>
        </w:rPr>
        <w:t xml:space="preserve">Based on Table </w:t>
      </w:r>
      <w:r w:rsidR="00647D27">
        <w:rPr>
          <w:rFonts w:ascii="Arial" w:hAnsi="Arial" w:cs="Arial"/>
        </w:rPr>
        <w:t>4</w:t>
      </w:r>
      <w:r w:rsidRPr="00934FE7">
        <w:rPr>
          <w:rFonts w:ascii="Arial" w:hAnsi="Arial" w:cs="Arial"/>
        </w:rPr>
        <w:t xml:space="preserve"> above, the best ARIMA model for shallot prices at the producer level is ARMA (1.0), which is showed by the lowest AIC, SC, and HQIC values compared to other models.</w:t>
      </w:r>
    </w:p>
    <w:p w14:paraId="6E54FDAB" w14:textId="77777777" w:rsidR="004E6B58" w:rsidRPr="00934FE7" w:rsidRDefault="00AA4368" w:rsidP="009129E8">
      <w:pPr>
        <w:numPr>
          <w:ilvl w:val="0"/>
          <w:numId w:val="8"/>
        </w:numPr>
        <w:spacing w:before="120"/>
        <w:ind w:left="357" w:hanging="357"/>
        <w:jc w:val="both"/>
        <w:rPr>
          <w:rFonts w:ascii="Arial" w:hAnsi="Arial" w:cs="Arial"/>
          <w:b/>
          <w:bCs/>
        </w:rPr>
      </w:pPr>
      <w:r w:rsidRPr="00934FE7">
        <w:rPr>
          <w:rFonts w:ascii="Arial" w:hAnsi="Arial" w:cs="Arial"/>
          <w:b/>
          <w:bCs/>
        </w:rPr>
        <w:t>Heteroscedasticity Test</w:t>
      </w:r>
    </w:p>
    <w:p w14:paraId="4D94716C" w14:textId="3505EB87" w:rsidR="004E6B58" w:rsidRPr="00934FE7" w:rsidRDefault="00AA4368" w:rsidP="00A51D25">
      <w:pPr>
        <w:ind w:firstLine="284"/>
        <w:jc w:val="both"/>
        <w:rPr>
          <w:rFonts w:ascii="Arial" w:hAnsi="Arial" w:cs="Arial"/>
        </w:rPr>
      </w:pPr>
      <w:r w:rsidRPr="00934FE7">
        <w:rPr>
          <w:rFonts w:ascii="Arial" w:hAnsi="Arial" w:cs="Arial"/>
        </w:rPr>
        <w:t>After obta</w:t>
      </w:r>
      <w:r w:rsidRPr="00934FE7">
        <w:rPr>
          <w:rFonts w:ascii="Arial" w:hAnsi="Arial" w:cs="Arial"/>
        </w:rPr>
        <w:t>ining the best ARIMA model, a heteroscedasticity test was conducted to determine whether there was an ARCH effect on the producer-level shallot price data. This test determines the feasibility of using the ARCH-GARCH model. If the probability value (</w:t>
      </w:r>
      <w:r w:rsidRPr="00934FE7">
        <w:rPr>
          <w:rFonts w:ascii="Arial" w:hAnsi="Arial" w:cs="Arial"/>
          <w:i/>
          <w:iCs/>
        </w:rPr>
        <w:t>Prob F</w:t>
      </w:r>
      <w:r w:rsidRPr="00934FE7">
        <w:rPr>
          <w:rFonts w:ascii="Arial" w:hAnsi="Arial" w:cs="Arial"/>
        </w:rPr>
        <w:t xml:space="preserve">) &lt; .01 then there is heteroscedasticity; if &gt; .05 then the data is homoscedastic (Ridha, et al, 2020). The test results are presented in Table </w:t>
      </w:r>
      <w:r w:rsidR="00647D27">
        <w:rPr>
          <w:rFonts w:ascii="Arial" w:hAnsi="Arial" w:cs="Arial"/>
        </w:rPr>
        <w:t>5</w:t>
      </w:r>
      <w:r w:rsidRPr="00934FE7">
        <w:rPr>
          <w:rFonts w:ascii="Arial" w:hAnsi="Arial" w:cs="Arial"/>
        </w:rPr>
        <w:t>.</w:t>
      </w:r>
    </w:p>
    <w:p w14:paraId="52D01014" w14:textId="3460B600" w:rsidR="004E6B58" w:rsidRPr="00934FE7" w:rsidRDefault="00AA4368" w:rsidP="00687484">
      <w:pPr>
        <w:spacing w:before="120" w:after="120"/>
        <w:ind w:left="709" w:hanging="709"/>
        <w:jc w:val="both"/>
        <w:rPr>
          <w:rFonts w:ascii="Arial" w:hAnsi="Arial" w:cs="Arial"/>
        </w:rPr>
      </w:pPr>
      <w:r w:rsidRPr="00934FE7">
        <w:rPr>
          <w:rFonts w:ascii="Arial" w:hAnsi="Arial" w:cs="Arial"/>
        </w:rPr>
        <w:t xml:space="preserve">Table </w:t>
      </w:r>
      <w:r w:rsidR="00647D27">
        <w:rPr>
          <w:rFonts w:ascii="Arial" w:hAnsi="Arial" w:cs="Arial"/>
        </w:rPr>
        <w:t>5</w:t>
      </w:r>
      <w:r w:rsidRPr="00934FE7">
        <w:rPr>
          <w:rFonts w:ascii="Arial" w:hAnsi="Arial" w:cs="Arial"/>
        </w:rPr>
        <w:t xml:space="preserve">. Heteroscedasticity test of ARIMA Model for Shallot Price at the Producer </w:t>
      </w:r>
    </w:p>
    <w:tbl>
      <w:tblPr>
        <w:tblW w:w="8284" w:type="dxa"/>
        <w:jc w:val="center"/>
        <w:tblBorders>
          <w:top w:val="single" w:sz="4" w:space="0" w:color="auto"/>
          <w:bottom w:val="single" w:sz="4" w:space="0" w:color="auto"/>
        </w:tblBorders>
        <w:tblLook w:val="04A0" w:firstRow="1" w:lastRow="0" w:firstColumn="1" w:lastColumn="0" w:noHBand="0" w:noVBand="1"/>
      </w:tblPr>
      <w:tblGrid>
        <w:gridCol w:w="2628"/>
        <w:gridCol w:w="1256"/>
        <w:gridCol w:w="2515"/>
        <w:gridCol w:w="1885"/>
      </w:tblGrid>
      <w:tr w:rsidR="00934FE7" w:rsidRPr="00934FE7" w14:paraId="0C2B7015" w14:textId="77777777">
        <w:trPr>
          <w:trHeight w:val="318"/>
          <w:jc w:val="center"/>
        </w:trPr>
        <w:tc>
          <w:tcPr>
            <w:tcW w:w="2628" w:type="dxa"/>
            <w:shd w:val="clear" w:color="auto" w:fill="auto"/>
          </w:tcPr>
          <w:p w14:paraId="1305B2EC" w14:textId="77777777" w:rsidR="004E6B58" w:rsidRPr="00934FE7" w:rsidRDefault="00AA4368">
            <w:pPr>
              <w:rPr>
                <w:rFonts w:ascii="Arial" w:eastAsia="Calibri" w:hAnsi="Arial" w:cs="Arial"/>
                <w:i/>
                <w:iCs/>
              </w:rPr>
            </w:pPr>
            <w:r w:rsidRPr="00934FE7">
              <w:rPr>
                <w:rFonts w:ascii="Arial" w:eastAsia="Calibri" w:hAnsi="Arial" w:cs="Arial"/>
                <w:i/>
                <w:iCs/>
              </w:rPr>
              <w:t>f-statistic</w:t>
            </w:r>
          </w:p>
        </w:tc>
        <w:tc>
          <w:tcPr>
            <w:tcW w:w="1256" w:type="dxa"/>
            <w:shd w:val="clear" w:color="auto" w:fill="auto"/>
          </w:tcPr>
          <w:p w14:paraId="5CADD18A" w14:textId="77777777" w:rsidR="004E6B58" w:rsidRPr="00934FE7" w:rsidRDefault="00AA4368">
            <w:pPr>
              <w:jc w:val="right"/>
              <w:rPr>
                <w:rFonts w:ascii="Arial" w:eastAsia="Calibri" w:hAnsi="Arial" w:cs="Arial"/>
              </w:rPr>
            </w:pPr>
            <w:r w:rsidRPr="00934FE7">
              <w:rPr>
                <w:rFonts w:ascii="Arial" w:eastAsia="Calibri" w:hAnsi="Arial" w:cs="Arial"/>
              </w:rPr>
              <w:t>468.9737</w:t>
            </w:r>
          </w:p>
        </w:tc>
        <w:tc>
          <w:tcPr>
            <w:tcW w:w="2515" w:type="dxa"/>
            <w:shd w:val="clear" w:color="auto" w:fill="auto"/>
          </w:tcPr>
          <w:p w14:paraId="134C71C1" w14:textId="77777777" w:rsidR="004E6B58" w:rsidRPr="00934FE7" w:rsidRDefault="00AA4368">
            <w:pPr>
              <w:jc w:val="right"/>
              <w:rPr>
                <w:rFonts w:ascii="Arial" w:eastAsia="Calibri" w:hAnsi="Arial" w:cs="Arial"/>
              </w:rPr>
            </w:pPr>
            <w:r w:rsidRPr="00934FE7">
              <w:rPr>
                <w:rFonts w:ascii="Arial" w:eastAsia="Calibri" w:hAnsi="Arial" w:cs="Arial"/>
                <w:i/>
                <w:iCs/>
              </w:rPr>
              <w:t xml:space="preserve">Prob. F </w:t>
            </w:r>
            <w:r w:rsidRPr="00934FE7">
              <w:rPr>
                <w:rFonts w:ascii="Arial" w:eastAsia="Calibri" w:hAnsi="Arial" w:cs="Arial"/>
              </w:rPr>
              <w:t>(3.56)</w:t>
            </w:r>
          </w:p>
        </w:tc>
        <w:tc>
          <w:tcPr>
            <w:tcW w:w="1885" w:type="dxa"/>
            <w:shd w:val="clear" w:color="auto" w:fill="auto"/>
          </w:tcPr>
          <w:p w14:paraId="76B4ABB0" w14:textId="77777777" w:rsidR="004E6B58" w:rsidRPr="00934FE7" w:rsidRDefault="00AA4368">
            <w:pPr>
              <w:jc w:val="right"/>
              <w:rPr>
                <w:rFonts w:ascii="Arial" w:eastAsia="Calibri" w:hAnsi="Arial" w:cs="Arial"/>
              </w:rPr>
            </w:pPr>
            <w:r w:rsidRPr="00934FE7">
              <w:rPr>
                <w:rFonts w:ascii="Arial" w:eastAsia="Calibri" w:hAnsi="Arial" w:cs="Arial"/>
              </w:rPr>
              <w:t>0.0000</w:t>
            </w:r>
          </w:p>
        </w:tc>
      </w:tr>
      <w:tr w:rsidR="00934FE7" w:rsidRPr="00934FE7" w14:paraId="32FDF387" w14:textId="77777777">
        <w:trPr>
          <w:trHeight w:val="318"/>
          <w:jc w:val="center"/>
        </w:trPr>
        <w:tc>
          <w:tcPr>
            <w:tcW w:w="2628" w:type="dxa"/>
            <w:shd w:val="clear" w:color="auto" w:fill="auto"/>
          </w:tcPr>
          <w:p w14:paraId="797793E4" w14:textId="77777777" w:rsidR="004E6B58" w:rsidRPr="00934FE7" w:rsidRDefault="00AA4368">
            <w:pPr>
              <w:rPr>
                <w:rFonts w:ascii="Arial" w:eastAsia="Calibri" w:hAnsi="Arial" w:cs="Arial"/>
                <w:i/>
                <w:iCs/>
              </w:rPr>
            </w:pPr>
            <w:proofErr w:type="spellStart"/>
            <w:r w:rsidRPr="00934FE7">
              <w:rPr>
                <w:rFonts w:ascii="Arial" w:eastAsia="Calibri" w:hAnsi="Arial" w:cs="Arial"/>
                <w:i/>
                <w:iCs/>
              </w:rPr>
              <w:t>Obs</w:t>
            </w:r>
            <w:proofErr w:type="spellEnd"/>
            <w:r w:rsidRPr="00934FE7">
              <w:rPr>
                <w:rFonts w:ascii="Arial" w:eastAsia="Calibri" w:hAnsi="Arial" w:cs="Arial"/>
                <w:i/>
                <w:iCs/>
              </w:rPr>
              <w:t>*R-squared</w:t>
            </w:r>
          </w:p>
        </w:tc>
        <w:tc>
          <w:tcPr>
            <w:tcW w:w="1256" w:type="dxa"/>
            <w:shd w:val="clear" w:color="auto" w:fill="auto"/>
          </w:tcPr>
          <w:p w14:paraId="7B718FDB" w14:textId="22EC1571" w:rsidR="004E6B58" w:rsidRPr="00934FE7" w:rsidRDefault="00AA4368">
            <w:pPr>
              <w:jc w:val="right"/>
              <w:rPr>
                <w:rFonts w:ascii="Arial" w:eastAsia="Calibri" w:hAnsi="Arial" w:cs="Arial"/>
              </w:rPr>
            </w:pPr>
            <w:r w:rsidRPr="00934FE7">
              <w:rPr>
                <w:rFonts w:ascii="Arial" w:eastAsia="Calibri" w:hAnsi="Arial" w:cs="Arial"/>
              </w:rPr>
              <w:t>57.7032</w:t>
            </w:r>
          </w:p>
        </w:tc>
        <w:tc>
          <w:tcPr>
            <w:tcW w:w="2515" w:type="dxa"/>
            <w:shd w:val="clear" w:color="auto" w:fill="auto"/>
          </w:tcPr>
          <w:p w14:paraId="4EA8B27A" w14:textId="77777777" w:rsidR="004E6B58" w:rsidRPr="00934FE7" w:rsidRDefault="00AA4368">
            <w:pPr>
              <w:jc w:val="right"/>
              <w:rPr>
                <w:rFonts w:ascii="Arial" w:eastAsia="Calibri" w:hAnsi="Arial" w:cs="Arial"/>
              </w:rPr>
            </w:pPr>
            <w:r w:rsidRPr="00934FE7">
              <w:rPr>
                <w:rFonts w:ascii="Arial" w:eastAsia="Calibri" w:hAnsi="Arial" w:cs="Arial"/>
                <w:i/>
                <w:iCs/>
              </w:rPr>
              <w:t xml:space="preserve">Chi-square Prob. </w:t>
            </w:r>
            <w:r w:rsidRPr="00934FE7">
              <w:rPr>
                <w:rFonts w:ascii="Arial" w:eastAsia="Calibri" w:hAnsi="Arial" w:cs="Arial"/>
              </w:rPr>
              <w:t>(3)</w:t>
            </w:r>
          </w:p>
        </w:tc>
        <w:tc>
          <w:tcPr>
            <w:tcW w:w="1885" w:type="dxa"/>
            <w:shd w:val="clear" w:color="auto" w:fill="auto"/>
          </w:tcPr>
          <w:p w14:paraId="38D3DE25" w14:textId="77777777" w:rsidR="004E6B58" w:rsidRPr="00934FE7" w:rsidRDefault="00AA4368">
            <w:pPr>
              <w:jc w:val="right"/>
              <w:rPr>
                <w:rFonts w:ascii="Arial" w:eastAsia="Calibri" w:hAnsi="Arial" w:cs="Arial"/>
              </w:rPr>
            </w:pPr>
            <w:r w:rsidRPr="00934FE7">
              <w:rPr>
                <w:rFonts w:ascii="Arial" w:eastAsia="Calibri" w:hAnsi="Arial" w:cs="Arial"/>
              </w:rPr>
              <w:t>0.0000</w:t>
            </w:r>
          </w:p>
        </w:tc>
      </w:tr>
      <w:tr w:rsidR="00934FE7" w:rsidRPr="00934FE7" w14:paraId="6F246D51" w14:textId="77777777">
        <w:trPr>
          <w:trHeight w:val="318"/>
          <w:jc w:val="center"/>
        </w:trPr>
        <w:tc>
          <w:tcPr>
            <w:tcW w:w="2628" w:type="dxa"/>
            <w:shd w:val="clear" w:color="auto" w:fill="auto"/>
          </w:tcPr>
          <w:p w14:paraId="537463D3" w14:textId="77777777" w:rsidR="004E6B58" w:rsidRPr="00934FE7" w:rsidRDefault="00AA4368">
            <w:pPr>
              <w:rPr>
                <w:rFonts w:ascii="Arial" w:eastAsia="Calibri" w:hAnsi="Arial" w:cs="Arial"/>
                <w:i/>
                <w:iCs/>
              </w:rPr>
            </w:pPr>
            <w:r w:rsidRPr="00934FE7">
              <w:rPr>
                <w:rFonts w:ascii="Arial" w:eastAsia="Calibri" w:hAnsi="Arial" w:cs="Arial"/>
                <w:i/>
                <w:iCs/>
              </w:rPr>
              <w:t>Scaled explained SS</w:t>
            </w:r>
          </w:p>
        </w:tc>
        <w:tc>
          <w:tcPr>
            <w:tcW w:w="1256" w:type="dxa"/>
            <w:shd w:val="clear" w:color="auto" w:fill="auto"/>
          </w:tcPr>
          <w:p w14:paraId="33267111" w14:textId="77777777" w:rsidR="004E6B58" w:rsidRPr="00934FE7" w:rsidRDefault="00AA4368">
            <w:pPr>
              <w:jc w:val="right"/>
              <w:rPr>
                <w:rFonts w:ascii="Arial" w:eastAsia="Calibri" w:hAnsi="Arial" w:cs="Arial"/>
              </w:rPr>
            </w:pPr>
            <w:r w:rsidRPr="00934FE7">
              <w:rPr>
                <w:rFonts w:ascii="Arial" w:eastAsia="Calibri" w:hAnsi="Arial" w:cs="Arial"/>
              </w:rPr>
              <w:t>101.8385</w:t>
            </w:r>
          </w:p>
        </w:tc>
        <w:tc>
          <w:tcPr>
            <w:tcW w:w="2515" w:type="dxa"/>
            <w:shd w:val="clear" w:color="auto" w:fill="auto"/>
          </w:tcPr>
          <w:p w14:paraId="64CC63BA" w14:textId="77777777" w:rsidR="004E6B58" w:rsidRPr="00934FE7" w:rsidRDefault="00AA4368">
            <w:pPr>
              <w:jc w:val="right"/>
              <w:rPr>
                <w:rFonts w:ascii="Arial" w:eastAsia="Calibri" w:hAnsi="Arial" w:cs="Arial"/>
              </w:rPr>
            </w:pPr>
            <w:r w:rsidRPr="00934FE7">
              <w:rPr>
                <w:rFonts w:ascii="Arial" w:eastAsia="Calibri" w:hAnsi="Arial" w:cs="Arial"/>
                <w:i/>
                <w:iCs/>
              </w:rPr>
              <w:t xml:space="preserve">Chi-square Prob. </w:t>
            </w:r>
            <w:r w:rsidRPr="00934FE7">
              <w:rPr>
                <w:rFonts w:ascii="Arial" w:eastAsia="Calibri" w:hAnsi="Arial" w:cs="Arial"/>
              </w:rPr>
              <w:t>(3)</w:t>
            </w:r>
          </w:p>
        </w:tc>
        <w:tc>
          <w:tcPr>
            <w:tcW w:w="1885" w:type="dxa"/>
            <w:shd w:val="clear" w:color="auto" w:fill="auto"/>
          </w:tcPr>
          <w:p w14:paraId="101ACC83" w14:textId="77777777" w:rsidR="004E6B58" w:rsidRPr="00934FE7" w:rsidRDefault="00AA4368">
            <w:pPr>
              <w:jc w:val="right"/>
              <w:rPr>
                <w:rFonts w:ascii="Arial" w:eastAsia="Calibri" w:hAnsi="Arial" w:cs="Arial"/>
              </w:rPr>
            </w:pPr>
            <w:r w:rsidRPr="00934FE7">
              <w:rPr>
                <w:rFonts w:ascii="Arial" w:eastAsia="Calibri" w:hAnsi="Arial" w:cs="Arial"/>
              </w:rPr>
              <w:t>0.0000</w:t>
            </w:r>
          </w:p>
        </w:tc>
      </w:tr>
    </w:tbl>
    <w:p w14:paraId="6382B150" w14:textId="77777777" w:rsidR="004E6B58" w:rsidRPr="00934FE7" w:rsidRDefault="00AA4368">
      <w:pPr>
        <w:jc w:val="both"/>
        <w:rPr>
          <w:rFonts w:ascii="Arial" w:hAnsi="Arial" w:cs="Arial"/>
        </w:rPr>
      </w:pPr>
      <w:r w:rsidRPr="00934FE7">
        <w:rPr>
          <w:rFonts w:ascii="Arial" w:hAnsi="Arial" w:cs="Arial"/>
        </w:rPr>
        <w:t>Source: Processed Secondary Data, 2025</w:t>
      </w:r>
    </w:p>
    <w:p w14:paraId="27D931B1" w14:textId="77777777" w:rsidR="004E6B58" w:rsidRPr="00934FE7" w:rsidRDefault="00AA4368" w:rsidP="00A51D25">
      <w:pPr>
        <w:ind w:firstLine="284"/>
        <w:jc w:val="both"/>
        <w:rPr>
          <w:rFonts w:ascii="Arial" w:hAnsi="Arial" w:cs="Arial"/>
        </w:rPr>
      </w:pPr>
      <w:r w:rsidRPr="00934FE7">
        <w:rPr>
          <w:rFonts w:ascii="Arial" w:hAnsi="Arial" w:cs="Arial"/>
        </w:rPr>
        <w:t xml:space="preserve">The test results show an F-statistic of 468.9737 with a probability of 0.0000. This </w:t>
      </w:r>
      <w:r w:rsidRPr="00934FE7">
        <w:rPr>
          <w:rFonts w:ascii="Arial" w:hAnsi="Arial" w:cs="Arial"/>
        </w:rPr>
        <w:t>indicates the presence of an ARCH effect, so the analysis can be continued with ARCH-GARCH modeling.</w:t>
      </w:r>
    </w:p>
    <w:p w14:paraId="52540ECB" w14:textId="77777777" w:rsidR="004E6B58" w:rsidRPr="00934FE7" w:rsidRDefault="00AA4368" w:rsidP="00A51D25">
      <w:pPr>
        <w:ind w:firstLine="284"/>
        <w:jc w:val="both"/>
        <w:rPr>
          <w:rFonts w:ascii="Arial" w:hAnsi="Arial" w:cs="Arial"/>
        </w:rPr>
      </w:pPr>
      <w:r w:rsidRPr="00934FE7">
        <w:rPr>
          <w:rFonts w:ascii="Arial" w:hAnsi="Arial" w:cs="Arial"/>
        </w:rPr>
        <w:t>The best ARCH or GARCH model is selected based on previous ARIMA results with the following criteria: lowest AIC and SC values, significant coefficients, v</w:t>
      </w:r>
      <w:r w:rsidRPr="00934FE7">
        <w:rPr>
          <w:rFonts w:ascii="Arial" w:hAnsi="Arial" w:cs="Arial"/>
        </w:rPr>
        <w:t>ariance and residual values &lt; 1, and no remaining ARCH effects (Dwipa, 2016). Based on these criteria, the best model is ARCH-GARCH (1,1).</w:t>
      </w:r>
    </w:p>
    <w:p w14:paraId="0BB60C6D" w14:textId="2394F03C" w:rsidR="004E6B58" w:rsidRPr="00934FE7" w:rsidRDefault="00AA4368" w:rsidP="00687484">
      <w:pPr>
        <w:spacing w:before="120" w:after="120"/>
        <w:jc w:val="both"/>
        <w:rPr>
          <w:rFonts w:ascii="Arial" w:hAnsi="Arial" w:cs="Arial"/>
        </w:rPr>
      </w:pPr>
      <w:r w:rsidRPr="00934FE7">
        <w:rPr>
          <w:rFonts w:ascii="Arial" w:hAnsi="Arial" w:cs="Arial"/>
        </w:rPr>
        <w:t xml:space="preserve">Table </w:t>
      </w:r>
      <w:r w:rsidR="00647D27">
        <w:rPr>
          <w:rFonts w:ascii="Arial" w:hAnsi="Arial" w:cs="Arial"/>
        </w:rPr>
        <w:t>6</w:t>
      </w:r>
      <w:r w:rsidRPr="00934FE7">
        <w:rPr>
          <w:rFonts w:ascii="Arial" w:hAnsi="Arial" w:cs="Arial"/>
        </w:rPr>
        <w:t>. Best ARCH GARCH Model (1,1)</w:t>
      </w:r>
    </w:p>
    <w:tbl>
      <w:tblPr>
        <w:tblW w:w="8124" w:type="dxa"/>
        <w:jc w:val="center"/>
        <w:tblBorders>
          <w:top w:val="single" w:sz="4" w:space="0" w:color="auto"/>
          <w:bottom w:val="single" w:sz="4" w:space="0" w:color="auto"/>
        </w:tblBorders>
        <w:tblLook w:val="04A0" w:firstRow="1" w:lastRow="0" w:firstColumn="1" w:lastColumn="0" w:noHBand="0" w:noVBand="1"/>
      </w:tblPr>
      <w:tblGrid>
        <w:gridCol w:w="1928"/>
        <w:gridCol w:w="2691"/>
        <w:gridCol w:w="3505"/>
      </w:tblGrid>
      <w:tr w:rsidR="00934FE7" w:rsidRPr="00934FE7" w14:paraId="0698B236" w14:textId="77777777">
        <w:trPr>
          <w:trHeight w:val="285"/>
          <w:jc w:val="center"/>
        </w:trPr>
        <w:tc>
          <w:tcPr>
            <w:tcW w:w="1928" w:type="dxa"/>
            <w:tcBorders>
              <w:top w:val="single" w:sz="4" w:space="0" w:color="auto"/>
              <w:bottom w:val="single" w:sz="4" w:space="0" w:color="auto"/>
            </w:tcBorders>
            <w:shd w:val="clear" w:color="auto" w:fill="auto"/>
          </w:tcPr>
          <w:p w14:paraId="62075B2E" w14:textId="77777777" w:rsidR="004E6B58" w:rsidRPr="00934FE7" w:rsidRDefault="00AA4368">
            <w:pPr>
              <w:ind w:left="10"/>
              <w:jc w:val="center"/>
              <w:rPr>
                <w:rFonts w:ascii="Arial" w:eastAsia="Calibri" w:hAnsi="Arial" w:cs="Arial"/>
                <w:b/>
                <w:bCs/>
              </w:rPr>
            </w:pPr>
            <w:r w:rsidRPr="00934FE7">
              <w:rPr>
                <w:rFonts w:ascii="Arial" w:eastAsia="Calibri" w:hAnsi="Arial" w:cs="Arial"/>
                <w:b/>
                <w:bCs/>
              </w:rPr>
              <w:t>variable</w:t>
            </w:r>
          </w:p>
        </w:tc>
        <w:tc>
          <w:tcPr>
            <w:tcW w:w="2691" w:type="dxa"/>
            <w:tcBorders>
              <w:top w:val="single" w:sz="4" w:space="0" w:color="auto"/>
              <w:bottom w:val="single" w:sz="4" w:space="0" w:color="auto"/>
            </w:tcBorders>
            <w:shd w:val="clear" w:color="auto" w:fill="auto"/>
          </w:tcPr>
          <w:p w14:paraId="4F41ECA5" w14:textId="77777777" w:rsidR="004E6B58" w:rsidRPr="00934FE7" w:rsidRDefault="00AA4368">
            <w:pPr>
              <w:ind w:left="10"/>
              <w:jc w:val="center"/>
              <w:rPr>
                <w:rFonts w:ascii="Arial" w:eastAsia="Calibri" w:hAnsi="Arial" w:cs="Arial"/>
                <w:b/>
                <w:bCs/>
              </w:rPr>
            </w:pPr>
            <w:r w:rsidRPr="00934FE7">
              <w:rPr>
                <w:rFonts w:ascii="Arial" w:eastAsia="Calibri" w:hAnsi="Arial" w:cs="Arial"/>
                <w:b/>
                <w:bCs/>
              </w:rPr>
              <w:t>Parameter</w:t>
            </w:r>
          </w:p>
        </w:tc>
        <w:tc>
          <w:tcPr>
            <w:tcW w:w="3505" w:type="dxa"/>
            <w:tcBorders>
              <w:top w:val="single" w:sz="4" w:space="0" w:color="auto"/>
              <w:bottom w:val="single" w:sz="4" w:space="0" w:color="auto"/>
            </w:tcBorders>
            <w:shd w:val="clear" w:color="auto" w:fill="auto"/>
          </w:tcPr>
          <w:p w14:paraId="2F20563A" w14:textId="77777777" w:rsidR="004E6B58" w:rsidRPr="00934FE7" w:rsidRDefault="00AA4368">
            <w:pPr>
              <w:ind w:left="10"/>
              <w:jc w:val="center"/>
              <w:rPr>
                <w:rFonts w:ascii="Arial" w:eastAsia="Calibri" w:hAnsi="Arial" w:cs="Arial"/>
                <w:b/>
                <w:bCs/>
              </w:rPr>
            </w:pPr>
            <w:r w:rsidRPr="00934FE7">
              <w:rPr>
                <w:rFonts w:ascii="Arial" w:eastAsia="Calibri" w:hAnsi="Arial" w:cs="Arial"/>
                <w:b/>
                <w:bCs/>
              </w:rPr>
              <w:t>ARCH GARCH best model</w:t>
            </w:r>
          </w:p>
        </w:tc>
      </w:tr>
      <w:tr w:rsidR="00934FE7" w:rsidRPr="00934FE7" w14:paraId="0D272B1E" w14:textId="77777777">
        <w:trPr>
          <w:trHeight w:val="202"/>
          <w:jc w:val="center"/>
        </w:trPr>
        <w:tc>
          <w:tcPr>
            <w:tcW w:w="1928" w:type="dxa"/>
            <w:tcBorders>
              <w:top w:val="single" w:sz="4" w:space="0" w:color="auto"/>
            </w:tcBorders>
            <w:shd w:val="clear" w:color="auto" w:fill="auto"/>
          </w:tcPr>
          <w:p w14:paraId="2AF96B81" w14:textId="77777777" w:rsidR="004E6B58" w:rsidRPr="00934FE7" w:rsidRDefault="004E6B58">
            <w:pPr>
              <w:ind w:left="10"/>
              <w:jc w:val="center"/>
              <w:rPr>
                <w:rFonts w:ascii="Arial" w:eastAsia="Calibri" w:hAnsi="Arial" w:cs="Arial"/>
              </w:rPr>
            </w:pPr>
          </w:p>
        </w:tc>
        <w:tc>
          <w:tcPr>
            <w:tcW w:w="2691" w:type="dxa"/>
            <w:tcBorders>
              <w:top w:val="single" w:sz="4" w:space="0" w:color="auto"/>
            </w:tcBorders>
            <w:shd w:val="clear" w:color="auto" w:fill="auto"/>
          </w:tcPr>
          <w:p w14:paraId="3D9DFBF2" w14:textId="77777777" w:rsidR="004E6B58" w:rsidRPr="00934FE7" w:rsidRDefault="00AA4368">
            <w:pPr>
              <w:ind w:left="10"/>
              <w:rPr>
                <w:rFonts w:ascii="Arial" w:eastAsia="Calibri" w:hAnsi="Arial" w:cs="Arial"/>
                <w:i/>
                <w:iCs/>
              </w:rPr>
            </w:pPr>
            <w:r w:rsidRPr="00934FE7">
              <w:rPr>
                <w:rFonts w:ascii="Arial" w:eastAsia="Calibri" w:hAnsi="Arial" w:cs="Arial"/>
                <w:i/>
                <w:iCs/>
              </w:rPr>
              <w:t>Sig</w:t>
            </w:r>
          </w:p>
        </w:tc>
        <w:tc>
          <w:tcPr>
            <w:tcW w:w="3505" w:type="dxa"/>
            <w:tcBorders>
              <w:top w:val="single" w:sz="4" w:space="0" w:color="auto"/>
            </w:tcBorders>
            <w:shd w:val="clear" w:color="auto" w:fill="auto"/>
          </w:tcPr>
          <w:p w14:paraId="70D742B6" w14:textId="77777777" w:rsidR="004E6B58" w:rsidRPr="00934FE7" w:rsidRDefault="00AA4368">
            <w:pPr>
              <w:ind w:left="10"/>
              <w:jc w:val="right"/>
              <w:rPr>
                <w:rFonts w:ascii="Arial" w:eastAsia="Calibri" w:hAnsi="Arial" w:cs="Arial"/>
              </w:rPr>
            </w:pPr>
            <w:r w:rsidRPr="00934FE7">
              <w:rPr>
                <w:rFonts w:ascii="Arial" w:eastAsia="Calibri" w:hAnsi="Arial" w:cs="Arial"/>
              </w:rPr>
              <w:t>Prob&lt;0.0001</w:t>
            </w:r>
          </w:p>
        </w:tc>
      </w:tr>
      <w:tr w:rsidR="00934FE7" w:rsidRPr="00934FE7" w14:paraId="37B2BA38" w14:textId="77777777">
        <w:trPr>
          <w:trHeight w:val="202"/>
          <w:jc w:val="center"/>
        </w:trPr>
        <w:tc>
          <w:tcPr>
            <w:tcW w:w="1928" w:type="dxa"/>
            <w:shd w:val="clear" w:color="auto" w:fill="auto"/>
          </w:tcPr>
          <w:p w14:paraId="32ADE010" w14:textId="77777777" w:rsidR="004E6B58" w:rsidRPr="00934FE7" w:rsidRDefault="00AA4368">
            <w:pPr>
              <w:ind w:left="10"/>
              <w:jc w:val="center"/>
              <w:rPr>
                <w:rFonts w:ascii="Arial" w:eastAsia="Calibri" w:hAnsi="Arial" w:cs="Arial"/>
              </w:rPr>
            </w:pPr>
            <w:r w:rsidRPr="00934FE7">
              <w:rPr>
                <w:rFonts w:ascii="Arial" w:eastAsia="Calibri" w:hAnsi="Arial" w:cs="Arial"/>
              </w:rPr>
              <w:t>Manufacturer Price</w:t>
            </w:r>
          </w:p>
        </w:tc>
        <w:tc>
          <w:tcPr>
            <w:tcW w:w="2691" w:type="dxa"/>
            <w:shd w:val="clear" w:color="auto" w:fill="auto"/>
          </w:tcPr>
          <w:p w14:paraId="53798833" w14:textId="77777777" w:rsidR="004E6B58" w:rsidRPr="00934FE7" w:rsidRDefault="00AA4368">
            <w:pPr>
              <w:ind w:left="10"/>
              <w:rPr>
                <w:rFonts w:ascii="Arial" w:eastAsia="Calibri" w:hAnsi="Arial" w:cs="Arial"/>
                <w:i/>
                <w:iCs/>
              </w:rPr>
            </w:pPr>
            <w:r w:rsidRPr="00934FE7">
              <w:rPr>
                <w:rFonts w:ascii="Arial" w:eastAsia="Calibri" w:hAnsi="Arial" w:cs="Arial"/>
                <w:i/>
                <w:iCs/>
              </w:rPr>
              <w:t>Akaike information criterion</w:t>
            </w:r>
          </w:p>
        </w:tc>
        <w:tc>
          <w:tcPr>
            <w:tcW w:w="3505" w:type="dxa"/>
            <w:shd w:val="clear" w:color="auto" w:fill="auto"/>
          </w:tcPr>
          <w:p w14:paraId="786AE3D1" w14:textId="77777777" w:rsidR="004E6B58" w:rsidRPr="00934FE7" w:rsidRDefault="00AA4368">
            <w:pPr>
              <w:ind w:left="10"/>
              <w:jc w:val="right"/>
              <w:rPr>
                <w:rFonts w:ascii="Arial" w:eastAsia="Calibri" w:hAnsi="Arial" w:cs="Arial"/>
              </w:rPr>
            </w:pPr>
            <w:r w:rsidRPr="00934FE7">
              <w:rPr>
                <w:rFonts w:ascii="Arial" w:eastAsia="Calibri" w:hAnsi="Arial" w:cs="Arial"/>
              </w:rPr>
              <w:t>5.583948</w:t>
            </w:r>
          </w:p>
        </w:tc>
      </w:tr>
      <w:tr w:rsidR="00934FE7" w:rsidRPr="00934FE7" w14:paraId="2DCF5F36" w14:textId="77777777">
        <w:trPr>
          <w:trHeight w:val="215"/>
          <w:jc w:val="center"/>
        </w:trPr>
        <w:tc>
          <w:tcPr>
            <w:tcW w:w="1928" w:type="dxa"/>
            <w:shd w:val="clear" w:color="auto" w:fill="auto"/>
          </w:tcPr>
          <w:p w14:paraId="5E9EC265" w14:textId="77777777" w:rsidR="004E6B58" w:rsidRPr="00934FE7" w:rsidRDefault="004E6B58">
            <w:pPr>
              <w:ind w:left="10"/>
              <w:jc w:val="center"/>
              <w:rPr>
                <w:rFonts w:ascii="Arial" w:eastAsia="Calibri" w:hAnsi="Arial" w:cs="Arial"/>
              </w:rPr>
            </w:pPr>
          </w:p>
        </w:tc>
        <w:tc>
          <w:tcPr>
            <w:tcW w:w="2691" w:type="dxa"/>
            <w:shd w:val="clear" w:color="auto" w:fill="auto"/>
          </w:tcPr>
          <w:p w14:paraId="0B94848C" w14:textId="77777777" w:rsidR="004E6B58" w:rsidRPr="00934FE7" w:rsidRDefault="00AA4368">
            <w:pPr>
              <w:ind w:left="10"/>
              <w:rPr>
                <w:rFonts w:ascii="Arial" w:eastAsia="Calibri" w:hAnsi="Arial" w:cs="Arial"/>
                <w:i/>
                <w:iCs/>
              </w:rPr>
            </w:pPr>
            <w:r w:rsidRPr="00934FE7">
              <w:rPr>
                <w:rFonts w:ascii="Arial" w:eastAsia="Calibri" w:hAnsi="Arial" w:cs="Arial"/>
                <w:i/>
                <w:iCs/>
              </w:rPr>
              <w:t>Black criterion</w:t>
            </w:r>
          </w:p>
        </w:tc>
        <w:tc>
          <w:tcPr>
            <w:tcW w:w="3505" w:type="dxa"/>
            <w:shd w:val="clear" w:color="auto" w:fill="auto"/>
          </w:tcPr>
          <w:p w14:paraId="5BAD98E5" w14:textId="77777777" w:rsidR="004E6B58" w:rsidRPr="00934FE7" w:rsidRDefault="00AA4368">
            <w:pPr>
              <w:ind w:left="10"/>
              <w:jc w:val="right"/>
              <w:rPr>
                <w:rFonts w:ascii="Arial" w:eastAsia="Calibri" w:hAnsi="Arial" w:cs="Arial"/>
              </w:rPr>
            </w:pPr>
            <w:r w:rsidRPr="00934FE7">
              <w:rPr>
                <w:rFonts w:ascii="Arial" w:eastAsia="Calibri" w:hAnsi="Arial" w:cs="Arial"/>
              </w:rPr>
              <w:t>5.760011</w:t>
            </w:r>
          </w:p>
        </w:tc>
      </w:tr>
      <w:tr w:rsidR="00934FE7" w:rsidRPr="00934FE7" w14:paraId="4A71787C" w14:textId="77777777">
        <w:trPr>
          <w:trHeight w:val="202"/>
          <w:jc w:val="center"/>
        </w:trPr>
        <w:tc>
          <w:tcPr>
            <w:tcW w:w="1928" w:type="dxa"/>
            <w:shd w:val="clear" w:color="auto" w:fill="auto"/>
          </w:tcPr>
          <w:p w14:paraId="0784622D" w14:textId="77777777" w:rsidR="004E6B58" w:rsidRPr="00934FE7" w:rsidRDefault="004E6B58">
            <w:pPr>
              <w:ind w:left="10"/>
              <w:jc w:val="center"/>
              <w:rPr>
                <w:rFonts w:ascii="Arial" w:eastAsia="Calibri" w:hAnsi="Arial" w:cs="Arial"/>
              </w:rPr>
            </w:pPr>
          </w:p>
        </w:tc>
        <w:tc>
          <w:tcPr>
            <w:tcW w:w="2691" w:type="dxa"/>
            <w:shd w:val="clear" w:color="auto" w:fill="auto"/>
          </w:tcPr>
          <w:p w14:paraId="7CB71DBA" w14:textId="77777777" w:rsidR="004E6B58" w:rsidRPr="00934FE7" w:rsidRDefault="00AA4368">
            <w:pPr>
              <w:ind w:left="10"/>
              <w:rPr>
                <w:rFonts w:ascii="Arial" w:eastAsia="Calibri" w:hAnsi="Arial" w:cs="Arial"/>
                <w:i/>
                <w:iCs/>
              </w:rPr>
            </w:pPr>
            <w:r w:rsidRPr="00934FE7">
              <w:rPr>
                <w:rFonts w:ascii="Arial" w:eastAsia="Calibri" w:hAnsi="Arial" w:cs="Arial"/>
                <w:i/>
                <w:iCs/>
              </w:rPr>
              <w:t>Residual</w:t>
            </w:r>
          </w:p>
        </w:tc>
        <w:tc>
          <w:tcPr>
            <w:tcW w:w="3505" w:type="dxa"/>
            <w:shd w:val="clear" w:color="auto" w:fill="auto"/>
          </w:tcPr>
          <w:p w14:paraId="17FC706B" w14:textId="77777777" w:rsidR="004E6B58" w:rsidRPr="00934FE7" w:rsidRDefault="00AA4368">
            <w:pPr>
              <w:ind w:left="10"/>
              <w:jc w:val="right"/>
              <w:rPr>
                <w:rFonts w:ascii="Arial" w:eastAsia="Calibri" w:hAnsi="Arial" w:cs="Arial"/>
              </w:rPr>
            </w:pPr>
            <w:r w:rsidRPr="00934FE7">
              <w:rPr>
                <w:rFonts w:ascii="Arial" w:eastAsia="Calibri" w:hAnsi="Arial" w:cs="Arial"/>
              </w:rPr>
              <w:t>5.652676</w:t>
            </w:r>
          </w:p>
        </w:tc>
      </w:tr>
    </w:tbl>
    <w:p w14:paraId="7E280F0D" w14:textId="77777777" w:rsidR="004E6B58" w:rsidRDefault="00AA4368">
      <w:pPr>
        <w:ind w:firstLine="142"/>
        <w:rPr>
          <w:rFonts w:ascii="Arial" w:hAnsi="Arial" w:cs="Arial"/>
        </w:rPr>
      </w:pPr>
      <w:r w:rsidRPr="00934FE7">
        <w:rPr>
          <w:rFonts w:ascii="Arial" w:hAnsi="Arial" w:cs="Arial"/>
        </w:rPr>
        <w:t>Source: Processed Secondary Data, 2025.</w:t>
      </w:r>
    </w:p>
    <w:p w14:paraId="5F2DE53F" w14:textId="77777777" w:rsidR="00A51D25" w:rsidRPr="00934FE7" w:rsidRDefault="00A51D25">
      <w:pPr>
        <w:ind w:firstLine="142"/>
        <w:rPr>
          <w:rFonts w:ascii="Arial" w:hAnsi="Arial" w:cs="Arial"/>
        </w:rPr>
      </w:pPr>
    </w:p>
    <w:p w14:paraId="61D6560A" w14:textId="77777777" w:rsidR="004E6B58" w:rsidRPr="00934FE7" w:rsidRDefault="00AA4368" w:rsidP="009129E8">
      <w:pPr>
        <w:numPr>
          <w:ilvl w:val="0"/>
          <w:numId w:val="8"/>
        </w:numPr>
        <w:ind w:left="284" w:hanging="284"/>
        <w:jc w:val="both"/>
        <w:rPr>
          <w:rFonts w:ascii="Arial" w:hAnsi="Arial" w:cs="Arial"/>
          <w:b/>
          <w:bCs/>
        </w:rPr>
      </w:pPr>
      <w:r w:rsidRPr="00934FE7">
        <w:rPr>
          <w:rFonts w:ascii="Arial" w:hAnsi="Arial" w:cs="Arial"/>
          <w:b/>
          <w:bCs/>
        </w:rPr>
        <w:t>Analysis of Red Onion Price Volatility at Producer Level</w:t>
      </w:r>
    </w:p>
    <w:p w14:paraId="76AFA242" w14:textId="40536AB1" w:rsidR="004E6B58" w:rsidRPr="00934FE7" w:rsidRDefault="00A51D25" w:rsidP="00A51D25">
      <w:pPr>
        <w:pStyle w:val="NoSpacing"/>
        <w:ind w:left="0" w:firstLine="284"/>
        <w:rPr>
          <w:rFonts w:ascii="Arial" w:hAnsi="Arial" w:cs="Arial"/>
          <w:color w:val="auto"/>
          <w:sz w:val="20"/>
          <w:szCs w:val="20"/>
          <w:lang w:val="en-US"/>
        </w:rPr>
      </w:pPr>
      <w:r>
        <w:rPr>
          <w:rFonts w:ascii="Arial" w:hAnsi="Arial" w:cs="Arial"/>
          <w:color w:val="auto"/>
          <w:sz w:val="20"/>
          <w:szCs w:val="20"/>
          <w:lang w:val="en-US"/>
        </w:rPr>
        <w:t>T</w:t>
      </w:r>
      <w:r w:rsidRPr="00934FE7">
        <w:rPr>
          <w:rFonts w:ascii="Arial" w:hAnsi="Arial" w:cs="Arial"/>
          <w:color w:val="auto"/>
          <w:sz w:val="20"/>
          <w:szCs w:val="20"/>
          <w:lang w:val="en-US"/>
        </w:rPr>
        <w:t xml:space="preserve">he volatility of shallot prices at the producer level is analyzed using the ARCH-GARCH (1,1) model. Detailed results are shown in Table </w:t>
      </w:r>
      <w:r w:rsidR="00647D27">
        <w:rPr>
          <w:rFonts w:ascii="Arial" w:hAnsi="Arial" w:cs="Arial"/>
          <w:color w:val="auto"/>
          <w:sz w:val="20"/>
          <w:szCs w:val="20"/>
          <w:lang w:val="en-US"/>
        </w:rPr>
        <w:t>7</w:t>
      </w:r>
      <w:r w:rsidRPr="00934FE7">
        <w:rPr>
          <w:rFonts w:ascii="Arial" w:hAnsi="Arial" w:cs="Arial"/>
          <w:color w:val="auto"/>
          <w:sz w:val="20"/>
          <w:szCs w:val="20"/>
          <w:lang w:val="en-US"/>
        </w:rPr>
        <w:t xml:space="preserve">. </w:t>
      </w:r>
    </w:p>
    <w:p w14:paraId="4AF0BC01" w14:textId="77777777" w:rsidR="004E6B58" w:rsidRPr="00934FE7" w:rsidRDefault="004E6B58">
      <w:pPr>
        <w:pStyle w:val="NoSpacing"/>
        <w:ind w:left="0" w:firstLine="0"/>
        <w:rPr>
          <w:rFonts w:ascii="Arial" w:hAnsi="Arial" w:cs="Arial"/>
          <w:color w:val="auto"/>
          <w:sz w:val="20"/>
          <w:szCs w:val="20"/>
          <w:lang w:val="en-US"/>
        </w:rPr>
      </w:pPr>
    </w:p>
    <w:p w14:paraId="10696049" w14:textId="77777777" w:rsidR="004E6B58" w:rsidRPr="00934FE7" w:rsidRDefault="004E6B58">
      <w:pPr>
        <w:pStyle w:val="NoSpacing"/>
        <w:ind w:left="0" w:firstLine="0"/>
        <w:rPr>
          <w:rFonts w:ascii="Arial" w:hAnsi="Arial" w:cs="Arial"/>
          <w:color w:val="auto"/>
          <w:sz w:val="20"/>
          <w:szCs w:val="20"/>
          <w:lang w:val="en-US"/>
        </w:rPr>
      </w:pPr>
    </w:p>
    <w:p w14:paraId="359F95E7" w14:textId="77777777" w:rsidR="004E6B58" w:rsidRPr="00934FE7" w:rsidRDefault="004E6B58">
      <w:pPr>
        <w:pStyle w:val="NoSpacing"/>
        <w:ind w:left="0" w:firstLine="0"/>
        <w:rPr>
          <w:rFonts w:ascii="Arial" w:hAnsi="Arial" w:cs="Arial"/>
          <w:color w:val="auto"/>
          <w:sz w:val="20"/>
          <w:szCs w:val="20"/>
          <w:lang w:val="en-US"/>
        </w:rPr>
      </w:pPr>
    </w:p>
    <w:p w14:paraId="4646A066" w14:textId="77777777" w:rsidR="004E6B58" w:rsidRPr="00934FE7" w:rsidRDefault="004E6B58">
      <w:pPr>
        <w:pStyle w:val="NoSpacing"/>
        <w:ind w:left="0" w:firstLine="0"/>
        <w:rPr>
          <w:rFonts w:ascii="Arial" w:hAnsi="Arial" w:cs="Arial"/>
          <w:color w:val="auto"/>
          <w:sz w:val="20"/>
          <w:szCs w:val="20"/>
          <w:lang w:val="en-US"/>
        </w:rPr>
      </w:pPr>
    </w:p>
    <w:p w14:paraId="1E844EF6" w14:textId="77777777" w:rsidR="004E6B58" w:rsidRPr="00934FE7" w:rsidRDefault="004E6B58">
      <w:pPr>
        <w:pStyle w:val="NoSpacing"/>
        <w:ind w:left="0" w:firstLine="0"/>
        <w:rPr>
          <w:rFonts w:ascii="Arial" w:hAnsi="Arial" w:cs="Arial"/>
          <w:color w:val="auto"/>
          <w:sz w:val="20"/>
          <w:szCs w:val="20"/>
          <w:lang w:val="en-US"/>
        </w:rPr>
      </w:pPr>
    </w:p>
    <w:p w14:paraId="54D5E80A" w14:textId="77777777" w:rsidR="004E6B58" w:rsidRPr="00934FE7" w:rsidRDefault="004E6B58">
      <w:pPr>
        <w:pStyle w:val="NoSpacing"/>
        <w:ind w:left="0" w:firstLine="0"/>
        <w:rPr>
          <w:rFonts w:ascii="Arial" w:hAnsi="Arial" w:cs="Arial"/>
          <w:color w:val="auto"/>
          <w:sz w:val="20"/>
          <w:szCs w:val="20"/>
          <w:lang w:val="en-US"/>
        </w:rPr>
      </w:pPr>
    </w:p>
    <w:p w14:paraId="2D33BC13" w14:textId="3F101AE4" w:rsidR="004E6B58" w:rsidRPr="00934FE7" w:rsidRDefault="00AA4368" w:rsidP="00687484">
      <w:pPr>
        <w:pStyle w:val="NoSpacing"/>
        <w:spacing w:before="120" w:after="120"/>
        <w:ind w:left="0" w:firstLine="0"/>
        <w:rPr>
          <w:rFonts w:ascii="Arial" w:hAnsi="Arial" w:cs="Arial"/>
          <w:color w:val="auto"/>
          <w:sz w:val="20"/>
          <w:szCs w:val="20"/>
        </w:rPr>
      </w:pPr>
      <w:r w:rsidRPr="00934FE7">
        <w:rPr>
          <w:rFonts w:ascii="Arial" w:hAnsi="Arial" w:cs="Arial"/>
          <w:color w:val="auto"/>
          <w:sz w:val="20"/>
          <w:szCs w:val="20"/>
        </w:rPr>
        <w:t xml:space="preserve">Table </w:t>
      </w:r>
      <w:r w:rsidR="00647D27">
        <w:rPr>
          <w:rFonts w:ascii="Arial" w:hAnsi="Arial" w:cs="Arial"/>
          <w:color w:val="auto"/>
          <w:sz w:val="20"/>
          <w:szCs w:val="20"/>
        </w:rPr>
        <w:t>7</w:t>
      </w:r>
      <w:r w:rsidRPr="00934FE7">
        <w:rPr>
          <w:rFonts w:ascii="Arial" w:hAnsi="Arial" w:cs="Arial"/>
          <w:color w:val="auto"/>
          <w:sz w:val="20"/>
          <w:szCs w:val="20"/>
        </w:rPr>
        <w:t>. Red Onion Price Volatility Equation at Producer Level</w:t>
      </w:r>
    </w:p>
    <w:tbl>
      <w:tblPr>
        <w:tblStyle w:val="TableGrid"/>
        <w:tblW w:w="8171" w:type="dxa"/>
        <w:jc w:val="center"/>
        <w:tblLook w:val="04A0" w:firstRow="1" w:lastRow="0" w:firstColumn="1" w:lastColumn="0" w:noHBand="0" w:noVBand="1"/>
      </w:tblPr>
      <w:tblGrid>
        <w:gridCol w:w="1395"/>
        <w:gridCol w:w="1608"/>
        <w:gridCol w:w="1253"/>
        <w:gridCol w:w="2530"/>
        <w:gridCol w:w="1385"/>
      </w:tblGrid>
      <w:tr w:rsidR="00934FE7" w:rsidRPr="00934FE7" w14:paraId="7EA513BF" w14:textId="77777777">
        <w:trPr>
          <w:trHeight w:val="286"/>
          <w:jc w:val="center"/>
        </w:trPr>
        <w:tc>
          <w:tcPr>
            <w:tcW w:w="1395" w:type="dxa"/>
            <w:tcBorders>
              <w:left w:val="nil"/>
              <w:bottom w:val="single" w:sz="4" w:space="0" w:color="auto"/>
              <w:right w:val="nil"/>
            </w:tcBorders>
            <w:vAlign w:val="bottom"/>
          </w:tcPr>
          <w:p w14:paraId="34C2E2B8"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Variables</w:t>
            </w:r>
          </w:p>
        </w:tc>
        <w:tc>
          <w:tcPr>
            <w:tcW w:w="1608" w:type="dxa"/>
            <w:tcBorders>
              <w:left w:val="nil"/>
              <w:bottom w:val="single" w:sz="4" w:space="0" w:color="auto"/>
              <w:right w:val="nil"/>
            </w:tcBorders>
            <w:vAlign w:val="bottom"/>
          </w:tcPr>
          <w:p w14:paraId="33808110" w14:textId="77777777" w:rsidR="004E6B58" w:rsidRPr="00934FE7" w:rsidRDefault="00AA4368">
            <w:pPr>
              <w:pStyle w:val="NoSpacing"/>
              <w:ind w:left="0" w:firstLine="0"/>
              <w:jc w:val="center"/>
              <w:rPr>
                <w:rFonts w:ascii="Arial" w:hAnsi="Arial" w:cs="Arial"/>
                <w:b/>
                <w:bCs/>
                <w:color w:val="auto"/>
                <w:sz w:val="20"/>
                <w:szCs w:val="20"/>
              </w:rPr>
            </w:pPr>
            <w:r w:rsidRPr="00934FE7">
              <w:rPr>
                <w:rFonts w:ascii="Arial" w:hAnsi="Arial" w:cs="Arial"/>
                <w:b/>
                <w:bCs/>
                <w:color w:val="auto"/>
                <w:sz w:val="20"/>
                <w:szCs w:val="20"/>
              </w:rPr>
              <w:t>Coefficient</w:t>
            </w:r>
          </w:p>
          <w:p w14:paraId="63E422F2"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α and β</w:t>
            </w:r>
          </w:p>
        </w:tc>
        <w:tc>
          <w:tcPr>
            <w:tcW w:w="1253" w:type="dxa"/>
            <w:tcBorders>
              <w:left w:val="nil"/>
              <w:bottom w:val="single" w:sz="4" w:space="0" w:color="auto"/>
              <w:right w:val="nil"/>
            </w:tcBorders>
            <w:vAlign w:val="bottom"/>
          </w:tcPr>
          <w:p w14:paraId="421D797A"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Prob value</w:t>
            </w:r>
          </w:p>
        </w:tc>
        <w:tc>
          <w:tcPr>
            <w:tcW w:w="2530" w:type="dxa"/>
            <w:tcBorders>
              <w:left w:val="nil"/>
              <w:bottom w:val="single" w:sz="4" w:space="0" w:color="auto"/>
              <w:right w:val="nil"/>
            </w:tcBorders>
            <w:vAlign w:val="bottom"/>
          </w:tcPr>
          <w:p w14:paraId="7FCA15CF"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Equality</w:t>
            </w:r>
          </w:p>
        </w:tc>
        <w:tc>
          <w:tcPr>
            <w:tcW w:w="1385" w:type="dxa"/>
            <w:tcBorders>
              <w:left w:val="nil"/>
              <w:bottom w:val="single" w:sz="4" w:space="0" w:color="auto"/>
              <w:right w:val="nil"/>
            </w:tcBorders>
            <w:vAlign w:val="bottom"/>
          </w:tcPr>
          <w:p w14:paraId="06B393E6" w14:textId="77777777" w:rsidR="004E6B58" w:rsidRPr="00934FE7" w:rsidRDefault="00AA4368">
            <w:pPr>
              <w:pStyle w:val="NoSpacing"/>
              <w:ind w:left="0" w:firstLine="0"/>
              <w:jc w:val="center"/>
              <w:rPr>
                <w:rFonts w:ascii="Arial" w:hAnsi="Arial" w:cs="Arial"/>
                <w:b/>
                <w:bCs/>
                <w:color w:val="auto"/>
                <w:sz w:val="20"/>
                <w:szCs w:val="20"/>
              </w:rPr>
            </w:pPr>
            <w:r w:rsidRPr="00934FE7">
              <w:rPr>
                <w:rFonts w:ascii="Arial" w:hAnsi="Arial" w:cs="Arial"/>
                <w:b/>
                <w:bCs/>
                <w:color w:val="auto"/>
                <w:sz w:val="20"/>
                <w:szCs w:val="20"/>
              </w:rPr>
              <w:t>Volatility</w:t>
            </w:r>
          </w:p>
          <w:p w14:paraId="323D8F09"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(α + β)</w:t>
            </w:r>
          </w:p>
        </w:tc>
      </w:tr>
      <w:tr w:rsidR="00934FE7" w:rsidRPr="00934FE7" w14:paraId="57A6E65A" w14:textId="77777777" w:rsidTr="008C5E62">
        <w:trPr>
          <w:trHeight w:val="143"/>
          <w:jc w:val="center"/>
        </w:trPr>
        <w:tc>
          <w:tcPr>
            <w:tcW w:w="1395" w:type="dxa"/>
            <w:tcBorders>
              <w:top w:val="nil"/>
              <w:left w:val="nil"/>
              <w:bottom w:val="nil"/>
              <w:right w:val="nil"/>
            </w:tcBorders>
            <w:vAlign w:val="center"/>
          </w:tcPr>
          <w:p w14:paraId="1DF39188"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Manufacturer</w:t>
            </w:r>
          </w:p>
        </w:tc>
        <w:tc>
          <w:tcPr>
            <w:tcW w:w="1608" w:type="dxa"/>
            <w:tcBorders>
              <w:top w:val="single" w:sz="4" w:space="0" w:color="auto"/>
              <w:left w:val="nil"/>
              <w:bottom w:val="nil"/>
              <w:right w:val="nil"/>
            </w:tcBorders>
            <w:vAlign w:val="center"/>
          </w:tcPr>
          <w:p w14:paraId="2422CDB9"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α = 0.165741</w:t>
            </w:r>
          </w:p>
        </w:tc>
        <w:tc>
          <w:tcPr>
            <w:tcW w:w="1253" w:type="dxa"/>
            <w:tcBorders>
              <w:top w:val="single" w:sz="4" w:space="0" w:color="auto"/>
              <w:left w:val="nil"/>
              <w:bottom w:val="nil"/>
              <w:right w:val="nil"/>
            </w:tcBorders>
            <w:vAlign w:val="center"/>
          </w:tcPr>
          <w:p w14:paraId="663AF857"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0.0263</w:t>
            </w:r>
          </w:p>
        </w:tc>
        <w:tc>
          <w:tcPr>
            <w:tcW w:w="2530" w:type="dxa"/>
            <w:vMerge w:val="restart"/>
            <w:tcBorders>
              <w:top w:val="single" w:sz="4" w:space="0" w:color="auto"/>
              <w:left w:val="nil"/>
              <w:bottom w:val="nil"/>
              <w:right w:val="nil"/>
            </w:tcBorders>
            <w:vAlign w:val="bottom"/>
          </w:tcPr>
          <w:p w14:paraId="7F55FC0A" w14:textId="409565E9"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σ</w:t>
            </w:r>
            <w:r w:rsidRPr="00934FE7">
              <w:rPr>
                <w:rFonts w:ascii="Arial" w:hAnsi="Arial" w:cs="Arial"/>
                <w:color w:val="auto"/>
                <w:sz w:val="20"/>
                <w:szCs w:val="20"/>
                <w:vertAlign w:val="superscript"/>
              </w:rPr>
              <w:t>2</w:t>
            </w:r>
            <w:r w:rsidRPr="00934FE7">
              <w:rPr>
                <w:rFonts w:ascii="Arial" w:hAnsi="Arial" w:cs="Arial"/>
                <w:color w:val="auto"/>
                <w:sz w:val="20"/>
                <w:szCs w:val="20"/>
              </w:rPr>
              <w:t>CPt</w:t>
            </w:r>
            <w:r w:rsidR="00687484">
              <w:rPr>
                <w:rFonts w:ascii="Arial" w:hAnsi="Arial" w:cs="Arial"/>
                <w:color w:val="auto"/>
                <w:sz w:val="20"/>
                <w:szCs w:val="20"/>
              </w:rPr>
              <w:t xml:space="preserve"> </w:t>
            </w:r>
            <w:r w:rsidRPr="00934FE7">
              <w:rPr>
                <w:rFonts w:ascii="Arial" w:hAnsi="Arial" w:cs="Arial"/>
                <w:color w:val="auto"/>
                <w:sz w:val="20"/>
                <w:szCs w:val="20"/>
              </w:rPr>
              <w:t>= 0.443887 +</w:t>
            </w:r>
          </w:p>
          <w:p w14:paraId="20B3150E"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 xml:space="preserve">0.165741 </w:t>
            </w:r>
            <w:r w:rsidRPr="00934FE7">
              <w:rPr>
                <w:rFonts w:ascii="Cambria Math" w:hAnsi="Cambria Math" w:cs="Cambria Math"/>
                <w:color w:val="auto"/>
                <w:sz w:val="20"/>
                <w:szCs w:val="20"/>
              </w:rPr>
              <w:t>𝜀</w:t>
            </w:r>
            <w:r w:rsidRPr="00934FE7">
              <w:rPr>
                <w:rFonts w:ascii="Arial" w:hAnsi="Arial" w:cs="Arial"/>
                <w:color w:val="auto"/>
                <w:sz w:val="20"/>
                <w:szCs w:val="20"/>
              </w:rPr>
              <w:t xml:space="preserve"> </w:t>
            </w:r>
            <w:r w:rsidRPr="00934FE7">
              <w:rPr>
                <w:rFonts w:ascii="Arial" w:hAnsi="Arial" w:cs="Arial"/>
                <w:color w:val="auto"/>
                <w:sz w:val="20"/>
                <w:szCs w:val="20"/>
                <w:vertAlign w:val="superscript"/>
              </w:rPr>
              <w:t xml:space="preserve">2 </w:t>
            </w:r>
            <w:r w:rsidRPr="00934FE7">
              <w:rPr>
                <w:rFonts w:ascii="Arial" w:hAnsi="Arial" w:cs="Arial"/>
                <w:color w:val="auto"/>
                <w:sz w:val="20"/>
                <w:szCs w:val="20"/>
              </w:rPr>
              <w:t>CPt-1 +</w:t>
            </w:r>
          </w:p>
          <w:p w14:paraId="113B72A9" w14:textId="77777777" w:rsidR="004E6B58" w:rsidRPr="00934FE7" w:rsidRDefault="00AA4368">
            <w:pPr>
              <w:pStyle w:val="NoSpacing"/>
              <w:ind w:left="0"/>
              <w:jc w:val="center"/>
              <w:rPr>
                <w:rFonts w:ascii="Arial" w:hAnsi="Arial" w:cs="Arial"/>
                <w:color w:val="auto"/>
                <w:sz w:val="20"/>
                <w:szCs w:val="20"/>
              </w:rPr>
            </w:pPr>
            <w:r w:rsidRPr="00934FE7">
              <w:rPr>
                <w:rFonts w:ascii="Arial" w:hAnsi="Arial" w:cs="Arial"/>
                <w:color w:val="auto"/>
                <w:sz w:val="20"/>
                <w:szCs w:val="20"/>
              </w:rPr>
              <w:t xml:space="preserve">1.178164 </w:t>
            </w:r>
            <w:r w:rsidRPr="00934FE7">
              <w:rPr>
                <w:rFonts w:ascii="Cambria Math" w:hAnsi="Cambria Math" w:cs="Cambria Math"/>
                <w:color w:val="auto"/>
                <w:sz w:val="20"/>
                <w:szCs w:val="20"/>
              </w:rPr>
              <w:t>𝜎</w:t>
            </w:r>
            <w:r w:rsidRPr="00934FE7">
              <w:rPr>
                <w:rFonts w:ascii="Arial" w:hAnsi="Arial" w:cs="Arial"/>
                <w:color w:val="auto"/>
                <w:sz w:val="20"/>
                <w:szCs w:val="20"/>
              </w:rPr>
              <w:t xml:space="preserve"> </w:t>
            </w:r>
            <w:r w:rsidRPr="00934FE7">
              <w:rPr>
                <w:rFonts w:ascii="Arial" w:hAnsi="Arial" w:cs="Arial"/>
                <w:color w:val="auto"/>
                <w:sz w:val="20"/>
                <w:szCs w:val="20"/>
                <w:vertAlign w:val="superscript"/>
              </w:rPr>
              <w:t xml:space="preserve">2 </w:t>
            </w:r>
            <w:r w:rsidRPr="00934FE7">
              <w:rPr>
                <w:rFonts w:ascii="Arial" w:hAnsi="Arial" w:cs="Arial"/>
                <w:color w:val="auto"/>
                <w:sz w:val="20"/>
                <w:szCs w:val="20"/>
              </w:rPr>
              <w:t>CPt-1</w:t>
            </w:r>
          </w:p>
        </w:tc>
        <w:tc>
          <w:tcPr>
            <w:tcW w:w="1385" w:type="dxa"/>
            <w:vMerge w:val="restart"/>
            <w:tcBorders>
              <w:top w:val="single" w:sz="4" w:space="0" w:color="auto"/>
              <w:left w:val="nil"/>
              <w:bottom w:val="nil"/>
              <w:right w:val="nil"/>
            </w:tcBorders>
            <w:vAlign w:val="bottom"/>
          </w:tcPr>
          <w:p w14:paraId="30AA7631"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1.343905</w:t>
            </w:r>
          </w:p>
          <w:p w14:paraId="16850381" w14:textId="77777777" w:rsidR="004E6B58" w:rsidRPr="00934FE7" w:rsidRDefault="004E6B58">
            <w:pPr>
              <w:pStyle w:val="NoSpacing"/>
              <w:ind w:left="0" w:firstLine="0"/>
              <w:jc w:val="center"/>
              <w:rPr>
                <w:rFonts w:ascii="Arial" w:hAnsi="Arial" w:cs="Arial"/>
                <w:color w:val="auto"/>
                <w:sz w:val="20"/>
                <w:szCs w:val="20"/>
              </w:rPr>
            </w:pPr>
          </w:p>
          <w:p w14:paraId="07E42D34" w14:textId="77777777" w:rsidR="004E6B58" w:rsidRPr="00934FE7" w:rsidRDefault="004E6B58">
            <w:pPr>
              <w:pStyle w:val="NoSpacing"/>
              <w:ind w:left="0"/>
              <w:jc w:val="center"/>
              <w:rPr>
                <w:rFonts w:ascii="Arial" w:hAnsi="Arial" w:cs="Arial"/>
                <w:color w:val="auto"/>
                <w:sz w:val="20"/>
                <w:szCs w:val="20"/>
              </w:rPr>
            </w:pPr>
          </w:p>
        </w:tc>
      </w:tr>
      <w:tr w:rsidR="00934FE7" w:rsidRPr="00934FE7" w14:paraId="3FDE5B88" w14:textId="77777777" w:rsidTr="008C5E62">
        <w:trPr>
          <w:trHeight w:val="286"/>
          <w:jc w:val="center"/>
        </w:trPr>
        <w:tc>
          <w:tcPr>
            <w:tcW w:w="1395" w:type="dxa"/>
            <w:tcBorders>
              <w:top w:val="nil"/>
              <w:left w:val="nil"/>
              <w:bottom w:val="nil"/>
              <w:right w:val="nil"/>
            </w:tcBorders>
            <w:vAlign w:val="center"/>
          </w:tcPr>
          <w:p w14:paraId="38DFE8F5" w14:textId="77777777" w:rsidR="004E6B58" w:rsidRPr="00934FE7" w:rsidRDefault="004E6B58">
            <w:pPr>
              <w:pStyle w:val="NoSpacing"/>
              <w:ind w:left="0" w:firstLine="0"/>
              <w:jc w:val="center"/>
              <w:rPr>
                <w:rFonts w:ascii="Arial" w:hAnsi="Arial" w:cs="Arial"/>
                <w:color w:val="auto"/>
                <w:sz w:val="20"/>
                <w:szCs w:val="20"/>
              </w:rPr>
            </w:pPr>
          </w:p>
        </w:tc>
        <w:tc>
          <w:tcPr>
            <w:tcW w:w="1608" w:type="dxa"/>
            <w:tcBorders>
              <w:top w:val="nil"/>
              <w:left w:val="nil"/>
              <w:bottom w:val="nil"/>
              <w:right w:val="nil"/>
            </w:tcBorders>
            <w:vAlign w:val="center"/>
          </w:tcPr>
          <w:p w14:paraId="00F8C5D1"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β = 1.178164</w:t>
            </w:r>
          </w:p>
        </w:tc>
        <w:tc>
          <w:tcPr>
            <w:tcW w:w="1253" w:type="dxa"/>
            <w:tcBorders>
              <w:top w:val="nil"/>
              <w:left w:val="nil"/>
              <w:bottom w:val="nil"/>
              <w:right w:val="nil"/>
            </w:tcBorders>
            <w:vAlign w:val="center"/>
          </w:tcPr>
          <w:p w14:paraId="62C988FD"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0.0000</w:t>
            </w:r>
          </w:p>
        </w:tc>
        <w:tc>
          <w:tcPr>
            <w:tcW w:w="2530" w:type="dxa"/>
            <w:vMerge/>
            <w:tcBorders>
              <w:top w:val="nil"/>
              <w:left w:val="nil"/>
              <w:right w:val="nil"/>
            </w:tcBorders>
            <w:vAlign w:val="bottom"/>
          </w:tcPr>
          <w:p w14:paraId="6899363D" w14:textId="77777777" w:rsidR="004E6B58" w:rsidRPr="00934FE7" w:rsidRDefault="004E6B58">
            <w:pPr>
              <w:pStyle w:val="NoSpacing"/>
              <w:ind w:left="0"/>
              <w:rPr>
                <w:rFonts w:ascii="Arial" w:hAnsi="Arial" w:cs="Arial"/>
                <w:color w:val="auto"/>
                <w:sz w:val="20"/>
                <w:szCs w:val="20"/>
              </w:rPr>
            </w:pPr>
          </w:p>
        </w:tc>
        <w:tc>
          <w:tcPr>
            <w:tcW w:w="1385" w:type="dxa"/>
            <w:vMerge/>
            <w:tcBorders>
              <w:top w:val="nil"/>
              <w:left w:val="nil"/>
              <w:right w:val="nil"/>
            </w:tcBorders>
            <w:vAlign w:val="bottom"/>
          </w:tcPr>
          <w:p w14:paraId="58C2AFC7" w14:textId="77777777" w:rsidR="004E6B58" w:rsidRPr="00934FE7" w:rsidRDefault="004E6B58">
            <w:pPr>
              <w:pStyle w:val="NoSpacing"/>
              <w:ind w:left="0"/>
              <w:rPr>
                <w:rFonts w:ascii="Arial" w:hAnsi="Arial" w:cs="Arial"/>
                <w:color w:val="auto"/>
                <w:sz w:val="20"/>
                <w:szCs w:val="20"/>
              </w:rPr>
            </w:pPr>
          </w:p>
        </w:tc>
      </w:tr>
      <w:tr w:rsidR="00934FE7" w:rsidRPr="00934FE7" w14:paraId="18354D1C" w14:textId="77777777" w:rsidTr="008C5E62">
        <w:trPr>
          <w:trHeight w:val="298"/>
          <w:jc w:val="center"/>
        </w:trPr>
        <w:tc>
          <w:tcPr>
            <w:tcW w:w="1395" w:type="dxa"/>
            <w:tcBorders>
              <w:top w:val="nil"/>
              <w:left w:val="nil"/>
              <w:right w:val="nil"/>
            </w:tcBorders>
            <w:vAlign w:val="center"/>
          </w:tcPr>
          <w:p w14:paraId="506A3C02" w14:textId="77777777" w:rsidR="004E6B58" w:rsidRPr="00934FE7" w:rsidRDefault="004E6B58">
            <w:pPr>
              <w:pStyle w:val="NoSpacing"/>
              <w:ind w:left="0" w:firstLine="0"/>
              <w:jc w:val="center"/>
              <w:rPr>
                <w:rFonts w:ascii="Arial" w:hAnsi="Arial" w:cs="Arial"/>
                <w:color w:val="auto"/>
                <w:sz w:val="20"/>
                <w:szCs w:val="20"/>
              </w:rPr>
            </w:pPr>
          </w:p>
        </w:tc>
        <w:tc>
          <w:tcPr>
            <w:tcW w:w="1608" w:type="dxa"/>
            <w:tcBorders>
              <w:top w:val="nil"/>
              <w:left w:val="nil"/>
              <w:bottom w:val="single" w:sz="4" w:space="0" w:color="auto"/>
              <w:right w:val="nil"/>
            </w:tcBorders>
            <w:vAlign w:val="center"/>
          </w:tcPr>
          <w:p w14:paraId="168CFD22" w14:textId="77777777" w:rsidR="004E6B58" w:rsidRPr="00934FE7" w:rsidRDefault="004E6B58">
            <w:pPr>
              <w:pStyle w:val="NoSpacing"/>
              <w:ind w:left="0" w:firstLine="0"/>
              <w:jc w:val="center"/>
              <w:rPr>
                <w:rFonts w:ascii="Arial" w:hAnsi="Arial" w:cs="Arial"/>
                <w:color w:val="auto"/>
                <w:sz w:val="20"/>
                <w:szCs w:val="20"/>
              </w:rPr>
            </w:pPr>
          </w:p>
        </w:tc>
        <w:tc>
          <w:tcPr>
            <w:tcW w:w="1253" w:type="dxa"/>
            <w:tcBorders>
              <w:top w:val="nil"/>
              <w:left w:val="nil"/>
              <w:bottom w:val="single" w:sz="4" w:space="0" w:color="auto"/>
              <w:right w:val="nil"/>
            </w:tcBorders>
            <w:vAlign w:val="center"/>
          </w:tcPr>
          <w:p w14:paraId="39D7C41D" w14:textId="77777777" w:rsidR="004E6B58" w:rsidRPr="00934FE7" w:rsidRDefault="004E6B58">
            <w:pPr>
              <w:pStyle w:val="NoSpacing"/>
              <w:ind w:left="0" w:firstLine="0"/>
              <w:jc w:val="center"/>
              <w:rPr>
                <w:rFonts w:ascii="Arial" w:hAnsi="Arial" w:cs="Arial"/>
                <w:color w:val="auto"/>
                <w:sz w:val="20"/>
                <w:szCs w:val="20"/>
              </w:rPr>
            </w:pPr>
          </w:p>
        </w:tc>
        <w:tc>
          <w:tcPr>
            <w:tcW w:w="2530" w:type="dxa"/>
            <w:vMerge/>
            <w:tcBorders>
              <w:left w:val="nil"/>
              <w:right w:val="nil"/>
            </w:tcBorders>
            <w:vAlign w:val="bottom"/>
          </w:tcPr>
          <w:p w14:paraId="258B604F" w14:textId="77777777" w:rsidR="004E6B58" w:rsidRPr="00934FE7" w:rsidRDefault="004E6B58">
            <w:pPr>
              <w:pStyle w:val="NoSpacing"/>
              <w:ind w:left="0" w:firstLine="0"/>
              <w:rPr>
                <w:rFonts w:ascii="Arial" w:hAnsi="Arial" w:cs="Arial"/>
                <w:color w:val="auto"/>
                <w:sz w:val="20"/>
                <w:szCs w:val="20"/>
              </w:rPr>
            </w:pPr>
          </w:p>
        </w:tc>
        <w:tc>
          <w:tcPr>
            <w:tcW w:w="1385" w:type="dxa"/>
            <w:vMerge/>
            <w:tcBorders>
              <w:left w:val="nil"/>
              <w:right w:val="nil"/>
            </w:tcBorders>
            <w:vAlign w:val="bottom"/>
          </w:tcPr>
          <w:p w14:paraId="6EFA6D05" w14:textId="77777777" w:rsidR="004E6B58" w:rsidRPr="00934FE7" w:rsidRDefault="004E6B58">
            <w:pPr>
              <w:pStyle w:val="NoSpacing"/>
              <w:ind w:left="0" w:firstLine="0"/>
              <w:rPr>
                <w:rFonts w:ascii="Arial" w:hAnsi="Arial" w:cs="Arial"/>
                <w:color w:val="auto"/>
                <w:sz w:val="20"/>
                <w:szCs w:val="20"/>
              </w:rPr>
            </w:pPr>
          </w:p>
        </w:tc>
      </w:tr>
    </w:tbl>
    <w:p w14:paraId="4FDBDB0D"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Source: Processed Secondary Data, 2025</w:t>
      </w:r>
    </w:p>
    <w:p w14:paraId="406F5E2F"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Information:</w:t>
      </w:r>
    </w:p>
    <w:p w14:paraId="0B7D1076" w14:textId="7241CD70" w:rsidR="004E6B58" w:rsidRPr="00934FE7" w:rsidRDefault="00AA4368">
      <w:pPr>
        <w:pStyle w:val="CaptionTabel"/>
        <w:rPr>
          <w:rFonts w:ascii="Arial" w:hAnsi="Arial" w:cs="Arial"/>
          <w:sz w:val="20"/>
          <w:szCs w:val="20"/>
        </w:rPr>
      </w:pPr>
      <w:r w:rsidRPr="00934FE7">
        <w:rPr>
          <w:rFonts w:ascii="Cambria Math" w:hAnsi="Cambria Math" w:cs="Cambria Math"/>
          <w:sz w:val="20"/>
          <w:szCs w:val="20"/>
        </w:rPr>
        <w:t>𝜎</w:t>
      </w:r>
      <w:r w:rsidRPr="00934FE7">
        <w:rPr>
          <w:rFonts w:ascii="Arial" w:hAnsi="Arial" w:cs="Arial"/>
          <w:sz w:val="20"/>
          <w:szCs w:val="20"/>
          <w:vertAlign w:val="superscript"/>
        </w:rPr>
        <w:t>2</w:t>
      </w:r>
      <w:r w:rsidRPr="00934FE7">
        <w:rPr>
          <w:rFonts w:ascii="Arial" w:hAnsi="Arial" w:cs="Arial"/>
          <w:sz w:val="20"/>
          <w:szCs w:val="20"/>
        </w:rPr>
        <w:t xml:space="preserve">CPt-1= </w:t>
      </w:r>
      <w:r w:rsidRPr="009129E8">
        <w:rPr>
          <w:rFonts w:ascii="Arial" w:hAnsi="Arial" w:cs="Arial"/>
          <w:sz w:val="20"/>
          <w:szCs w:val="20"/>
        </w:rPr>
        <w:t>Conditional variance</w:t>
      </w:r>
      <w:r w:rsidRPr="00934FE7">
        <w:rPr>
          <w:rFonts w:ascii="Arial" w:hAnsi="Arial" w:cs="Arial"/>
          <w:i/>
          <w:iCs/>
          <w:sz w:val="20"/>
          <w:szCs w:val="20"/>
        </w:rPr>
        <w:t xml:space="preserve"> </w:t>
      </w:r>
      <w:r w:rsidRPr="00934FE7">
        <w:rPr>
          <w:rFonts w:ascii="Arial" w:hAnsi="Arial" w:cs="Arial"/>
          <w:sz w:val="20"/>
          <w:szCs w:val="20"/>
        </w:rPr>
        <w:t xml:space="preserve">of </w:t>
      </w:r>
      <w:r w:rsidRPr="00934FE7">
        <w:rPr>
          <w:rFonts w:ascii="Arial" w:hAnsi="Arial" w:cs="Arial"/>
          <w:i/>
          <w:iCs/>
          <w:sz w:val="20"/>
          <w:szCs w:val="20"/>
        </w:rPr>
        <w:t xml:space="preserve">the squared residual </w:t>
      </w:r>
      <w:r w:rsidRPr="00934FE7">
        <w:rPr>
          <w:rFonts w:ascii="Arial" w:hAnsi="Arial" w:cs="Arial"/>
          <w:sz w:val="20"/>
          <w:szCs w:val="20"/>
        </w:rPr>
        <w:t>price at the producer level in period t.</w:t>
      </w:r>
    </w:p>
    <w:p w14:paraId="57ED3B1C" w14:textId="27946C13" w:rsidR="004E6B58" w:rsidRPr="00934FE7" w:rsidRDefault="00AA4368">
      <w:pPr>
        <w:pStyle w:val="CaptionTabel"/>
        <w:rPr>
          <w:rFonts w:ascii="Arial" w:hAnsi="Arial" w:cs="Arial"/>
          <w:sz w:val="20"/>
          <w:szCs w:val="20"/>
        </w:rPr>
      </w:pPr>
      <w:r w:rsidRPr="00934FE7">
        <w:rPr>
          <w:rFonts w:ascii="Cambria Math" w:hAnsi="Cambria Math" w:cs="Cambria Math"/>
          <w:sz w:val="20"/>
          <w:szCs w:val="20"/>
        </w:rPr>
        <w:t>𝜀</w:t>
      </w:r>
      <w:r w:rsidRPr="00934FE7">
        <w:rPr>
          <w:rFonts w:ascii="Arial" w:hAnsi="Arial" w:cs="Arial"/>
          <w:sz w:val="20"/>
          <w:szCs w:val="20"/>
          <w:vertAlign w:val="superscript"/>
        </w:rPr>
        <w:t>2</w:t>
      </w:r>
      <w:r w:rsidRPr="00934FE7">
        <w:rPr>
          <w:rFonts w:ascii="Arial" w:hAnsi="Arial" w:cs="Arial"/>
          <w:sz w:val="20"/>
          <w:szCs w:val="20"/>
        </w:rPr>
        <w:t xml:space="preserve">CPt-1 = </w:t>
      </w:r>
      <w:r w:rsidRPr="00934FE7">
        <w:rPr>
          <w:rFonts w:ascii="Arial" w:hAnsi="Arial" w:cs="Arial"/>
          <w:i/>
          <w:iCs/>
          <w:sz w:val="20"/>
          <w:szCs w:val="20"/>
        </w:rPr>
        <w:t xml:space="preserve">squared residual </w:t>
      </w:r>
      <w:r w:rsidRPr="00934FE7">
        <w:rPr>
          <w:rFonts w:ascii="Arial" w:hAnsi="Arial" w:cs="Arial"/>
          <w:sz w:val="20"/>
          <w:szCs w:val="20"/>
        </w:rPr>
        <w:t>price at producer level in period t-1</w:t>
      </w:r>
    </w:p>
    <w:p w14:paraId="43017C82"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α = ARCH coefficient</w:t>
      </w:r>
    </w:p>
    <w:p w14:paraId="2B12712D"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β = GARCH Coefficient</w:t>
      </w:r>
    </w:p>
    <w:p w14:paraId="7D8C9F0A" w14:textId="7F48FAC3" w:rsidR="004E6B58" w:rsidRPr="00934FE7" w:rsidRDefault="00AA4368" w:rsidP="00A51D25">
      <w:pPr>
        <w:pStyle w:val="CaptionTabel"/>
        <w:ind w:firstLine="284"/>
        <w:rPr>
          <w:rFonts w:ascii="Arial" w:hAnsi="Arial" w:cs="Arial"/>
          <w:sz w:val="20"/>
          <w:szCs w:val="20"/>
        </w:rPr>
      </w:pPr>
      <w:r w:rsidRPr="00934FE7">
        <w:rPr>
          <w:rFonts w:ascii="Arial" w:hAnsi="Arial" w:cs="Arial"/>
          <w:sz w:val="20"/>
          <w:szCs w:val="20"/>
        </w:rPr>
        <w:t xml:space="preserve">Based on Table </w:t>
      </w:r>
      <w:r w:rsidR="00647D27">
        <w:rPr>
          <w:rFonts w:ascii="Arial" w:hAnsi="Arial" w:cs="Arial"/>
          <w:sz w:val="20"/>
          <w:szCs w:val="20"/>
        </w:rPr>
        <w:t>7</w:t>
      </w:r>
      <w:r w:rsidRPr="00934FE7">
        <w:rPr>
          <w:rFonts w:ascii="Arial" w:hAnsi="Arial" w:cs="Arial"/>
          <w:sz w:val="20"/>
          <w:szCs w:val="20"/>
        </w:rPr>
        <w:t xml:space="preserve">, volatility is obtained from </w:t>
      </w:r>
      <w:r w:rsidRPr="00934FE7">
        <w:rPr>
          <w:rFonts w:ascii="Arial" w:hAnsi="Arial" w:cs="Arial"/>
          <w:sz w:val="20"/>
          <w:szCs w:val="20"/>
          <w:lang w:val="en-US"/>
        </w:rPr>
        <w:t>the volatility value is derived from th</w:t>
      </w:r>
      <w:r w:rsidRPr="00934FE7">
        <w:rPr>
          <w:rFonts w:ascii="Arial" w:hAnsi="Arial" w:cs="Arial"/>
          <w:sz w:val="20"/>
          <w:szCs w:val="20"/>
          <w:lang w:val="en-US"/>
        </w:rPr>
        <w:t>e sum of the coefficients α and β.</w:t>
      </w:r>
      <w:r w:rsidRPr="00934FE7">
        <w:rPr>
          <w:rFonts w:ascii="Arial" w:hAnsi="Arial" w:cs="Arial"/>
          <w:sz w:val="20"/>
          <w:szCs w:val="20"/>
        </w:rPr>
        <w:t xml:space="preserve"> The total value of 1.343905 shows that </w:t>
      </w:r>
      <w:r w:rsidR="00C26692" w:rsidRPr="00934FE7">
        <w:rPr>
          <w:rFonts w:ascii="Arial" w:hAnsi="Arial" w:cs="Arial"/>
          <w:sz w:val="20"/>
          <w:szCs w:val="20"/>
          <w:lang w:val="en-US"/>
        </w:rPr>
        <w:t>the</w:t>
      </w:r>
      <w:r w:rsidRPr="00934FE7">
        <w:rPr>
          <w:rFonts w:ascii="Arial" w:hAnsi="Arial" w:cs="Arial"/>
          <w:sz w:val="20"/>
          <w:szCs w:val="20"/>
          <w:lang w:val="en-US"/>
        </w:rPr>
        <w:t xml:space="preserve"> level of price instability for shallots at the producer level is a key indicator in this analysis</w:t>
      </w:r>
      <w:r w:rsidRPr="00934FE7">
        <w:rPr>
          <w:rFonts w:ascii="Arial" w:hAnsi="Arial" w:cs="Arial"/>
          <w:sz w:val="20"/>
          <w:szCs w:val="20"/>
        </w:rPr>
        <w:t xml:space="preserve"> is classified as very high (</w:t>
      </w:r>
      <w:r w:rsidRPr="00934FE7">
        <w:rPr>
          <w:rFonts w:ascii="Arial" w:hAnsi="Arial" w:cs="Arial"/>
          <w:i/>
          <w:iCs/>
          <w:sz w:val="20"/>
          <w:szCs w:val="20"/>
        </w:rPr>
        <w:t>extremely high volatility)</w:t>
      </w:r>
      <w:r w:rsidRPr="00934FE7">
        <w:rPr>
          <w:rFonts w:ascii="Arial" w:hAnsi="Arial" w:cs="Arial"/>
          <w:sz w:val="20"/>
          <w:szCs w:val="20"/>
        </w:rPr>
        <w:t xml:space="preserve">. This condition reflects </w:t>
      </w:r>
      <w:r w:rsidRPr="00934FE7">
        <w:rPr>
          <w:rFonts w:ascii="Arial" w:hAnsi="Arial" w:cs="Arial"/>
          <w:sz w:val="20"/>
          <w:szCs w:val="20"/>
        </w:rPr>
        <w:t>that the price of shallots in West Nusa Tenggara Province is very volatile and risky, so special attention is needed in managing its production and distribution.</w:t>
      </w:r>
    </w:p>
    <w:p w14:paraId="16BE3EB8"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In contrast, price volatility at the producer level is much higher. Large and unstable price f</w:t>
      </w:r>
      <w:r w:rsidRPr="00934FE7">
        <w:rPr>
          <w:rFonts w:ascii="Arial" w:hAnsi="Arial" w:cs="Arial"/>
          <w:color w:val="auto"/>
          <w:sz w:val="20"/>
          <w:szCs w:val="20"/>
        </w:rPr>
        <w:t>luctuations create uncertainty for farmers, increase the risk of loss and reduce interest in continuing production in the long term (Ramadhani, 2025). This condition is closely related to the oligopsony market structure, where only a few buyers decide pric</w:t>
      </w:r>
      <w:r w:rsidRPr="00934FE7">
        <w:rPr>
          <w:rFonts w:ascii="Arial" w:hAnsi="Arial" w:cs="Arial"/>
          <w:color w:val="auto"/>
          <w:sz w:val="20"/>
          <w:szCs w:val="20"/>
        </w:rPr>
        <w:t>es. Farmers have no bargaining power and only act as price takers</w:t>
      </w:r>
      <w:r w:rsidRPr="00934FE7">
        <w:rPr>
          <w:rFonts w:ascii="Arial" w:hAnsi="Arial" w:cs="Arial"/>
          <w:i/>
          <w:iCs/>
          <w:color w:val="auto"/>
          <w:sz w:val="20"/>
          <w:szCs w:val="20"/>
        </w:rPr>
        <w:t xml:space="preserve"> </w:t>
      </w:r>
      <w:r w:rsidRPr="00934FE7">
        <w:rPr>
          <w:rFonts w:ascii="Arial" w:hAnsi="Arial" w:cs="Arial"/>
          <w:color w:val="auto"/>
          <w:sz w:val="20"/>
          <w:szCs w:val="20"/>
        </w:rPr>
        <w:t>(</w:t>
      </w:r>
      <w:proofErr w:type="spellStart"/>
      <w:r w:rsidRPr="00934FE7">
        <w:rPr>
          <w:rFonts w:ascii="Arial" w:hAnsi="Arial" w:cs="Arial"/>
          <w:color w:val="auto"/>
          <w:sz w:val="20"/>
          <w:szCs w:val="20"/>
        </w:rPr>
        <w:t>Sukirno</w:t>
      </w:r>
      <w:proofErr w:type="spellEnd"/>
      <w:r w:rsidRPr="00934FE7">
        <w:rPr>
          <w:rFonts w:ascii="Arial" w:hAnsi="Arial" w:cs="Arial"/>
          <w:color w:val="auto"/>
          <w:sz w:val="20"/>
          <w:szCs w:val="20"/>
        </w:rPr>
        <w:t>, 2021).</w:t>
      </w:r>
    </w:p>
    <w:p w14:paraId="1B78C488"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 xml:space="preserve">High volatility at the producer level is influenced by external factors such as planting seasons, climate, and extreme weather. During peak harvests, excess supply puts </w:t>
      </w:r>
      <w:r w:rsidRPr="00934FE7">
        <w:rPr>
          <w:rFonts w:ascii="Arial" w:hAnsi="Arial" w:cs="Arial"/>
          <w:color w:val="auto"/>
          <w:sz w:val="20"/>
          <w:szCs w:val="20"/>
        </w:rPr>
        <w:t>sharp pressure on prices. Conversely, during times of drought, prices spike due to limited supply. Risks also increase due to natural disasters and pest attacks (Ellis, 2019). The absence of a basic price policy from the government exacerbates this uncerta</w:t>
      </w:r>
      <w:r w:rsidRPr="00934FE7">
        <w:rPr>
          <w:rFonts w:ascii="Arial" w:hAnsi="Arial" w:cs="Arial"/>
          <w:color w:val="auto"/>
          <w:sz w:val="20"/>
          <w:szCs w:val="20"/>
        </w:rPr>
        <w:t>inty.</w:t>
      </w:r>
    </w:p>
    <w:p w14:paraId="031844EA"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 xml:space="preserve">Internal factors also amplify volatility, such as limited post-harvest facilities. Shallots are perishable, and without cold storage, farmers are forced to sell their crops all at once, causing price pressure. Weak institutions and limited access to </w:t>
      </w:r>
      <w:r w:rsidRPr="00934FE7">
        <w:rPr>
          <w:rFonts w:ascii="Arial" w:hAnsi="Arial" w:cs="Arial"/>
          <w:color w:val="auto"/>
          <w:sz w:val="20"/>
          <w:szCs w:val="20"/>
        </w:rPr>
        <w:t>market information make it impossible for farmers to hold onto goods or delay sales.</w:t>
      </w:r>
    </w:p>
    <w:p w14:paraId="55187EA0" w14:textId="77777777" w:rsidR="004E6B58"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Thus, high volatility at the producer level in NTB is caused by the dominance of buyers (wholesalers) but many farmers, external factors such as climate and season, and in</w:t>
      </w:r>
      <w:r w:rsidRPr="00934FE7">
        <w:rPr>
          <w:rFonts w:ascii="Arial" w:hAnsi="Arial" w:cs="Arial"/>
          <w:color w:val="auto"/>
          <w:sz w:val="20"/>
          <w:szCs w:val="20"/>
        </w:rPr>
        <w:t>ternal weaknesses of farmers. Cross-season distribution strategies, post-harvest facility improvements, and policies that strengthen farmers' positions in the supply chain are needed.</w:t>
      </w:r>
    </w:p>
    <w:p w14:paraId="56FCCDFC" w14:textId="77777777" w:rsidR="00A51D25" w:rsidRPr="00934FE7" w:rsidRDefault="00A51D25">
      <w:pPr>
        <w:pStyle w:val="NoSpacing"/>
        <w:ind w:left="0" w:firstLine="701"/>
        <w:rPr>
          <w:rFonts w:ascii="Arial" w:hAnsi="Arial" w:cs="Arial"/>
          <w:color w:val="auto"/>
          <w:sz w:val="20"/>
          <w:szCs w:val="20"/>
        </w:rPr>
      </w:pPr>
    </w:p>
    <w:p w14:paraId="27BEB41E" w14:textId="77777777" w:rsidR="004E6B58" w:rsidRPr="00934FE7" w:rsidRDefault="00AA4368">
      <w:pPr>
        <w:pStyle w:val="Heading1"/>
        <w:spacing w:before="0" w:after="0"/>
        <w:rPr>
          <w:sz w:val="22"/>
          <w:szCs w:val="16"/>
          <w:lang w:val="id-ID"/>
        </w:rPr>
      </w:pPr>
      <w:r w:rsidRPr="00934FE7">
        <w:rPr>
          <w:sz w:val="22"/>
          <w:szCs w:val="16"/>
          <w:lang w:val="id-ID"/>
        </w:rPr>
        <w:t>CONCLUSION AND SUGGESTIONS</w:t>
      </w:r>
    </w:p>
    <w:p w14:paraId="5A10B445"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Based on the results of the research and discussion that have been described, it can be concluded that the production of shallots tends to decrease from year to year. In 2024 it was 1,759,590 tons. The Producer Price Index (IHP) of shallots in the period f</w:t>
      </w:r>
      <w:r w:rsidRPr="00934FE7">
        <w:rPr>
          <w:rFonts w:ascii="Arial" w:hAnsi="Arial" w:cs="Arial"/>
          <w:color w:val="auto"/>
          <w:sz w:val="20"/>
          <w:szCs w:val="20"/>
        </w:rPr>
        <w:t xml:space="preserve">rom January to December 2024 is predicted to increase gradually. The price in January 2024 is predicted to be IDR </w:t>
      </w:r>
      <w:r w:rsidRPr="00934FE7">
        <w:rPr>
          <w:rStyle w:val="Strong"/>
          <w:rFonts w:ascii="Arial" w:hAnsi="Arial" w:cs="Arial"/>
          <w:b w:val="0"/>
          <w:bCs w:val="0"/>
          <w:color w:val="auto"/>
          <w:sz w:val="20"/>
          <w:szCs w:val="20"/>
        </w:rPr>
        <w:t>21,498</w:t>
      </w:r>
      <w:r w:rsidRPr="00934FE7">
        <w:rPr>
          <w:rFonts w:ascii="Arial" w:hAnsi="Arial" w:cs="Arial"/>
          <w:color w:val="auto"/>
        </w:rPr>
        <w:t xml:space="preserve"> </w:t>
      </w:r>
      <w:r w:rsidRPr="00934FE7">
        <w:rPr>
          <w:rFonts w:ascii="Arial" w:hAnsi="Arial" w:cs="Arial"/>
          <w:color w:val="auto"/>
          <w:sz w:val="20"/>
          <w:szCs w:val="20"/>
        </w:rPr>
        <w:t>increased to IDR 21.510 in December 2024. Price volatility at the producer level is extremely high (</w:t>
      </w:r>
      <w:r w:rsidRPr="00934FE7">
        <w:rPr>
          <w:rFonts w:ascii="Arial" w:hAnsi="Arial" w:cs="Arial"/>
          <w:i/>
          <w:iCs/>
          <w:color w:val="auto"/>
          <w:sz w:val="20"/>
          <w:szCs w:val="20"/>
        </w:rPr>
        <w:t xml:space="preserve">ARCH </w:t>
      </w:r>
      <w:r w:rsidRPr="00934FE7">
        <w:rPr>
          <w:rFonts w:ascii="Arial" w:hAnsi="Arial" w:cs="Arial"/>
          <w:color w:val="auto"/>
          <w:sz w:val="20"/>
          <w:szCs w:val="20"/>
        </w:rPr>
        <w:t xml:space="preserve">+ </w:t>
      </w:r>
      <w:r w:rsidRPr="00934FE7">
        <w:rPr>
          <w:rFonts w:ascii="Arial" w:hAnsi="Arial" w:cs="Arial"/>
          <w:i/>
          <w:iCs/>
          <w:color w:val="auto"/>
          <w:sz w:val="20"/>
          <w:szCs w:val="20"/>
        </w:rPr>
        <w:t xml:space="preserve">GARCH </w:t>
      </w:r>
      <w:r w:rsidRPr="00934FE7">
        <w:rPr>
          <w:rFonts w:ascii="Arial" w:hAnsi="Arial" w:cs="Arial"/>
          <w:color w:val="auto"/>
          <w:sz w:val="20"/>
          <w:szCs w:val="20"/>
        </w:rPr>
        <w:t xml:space="preserve">= 1.343905). </w:t>
      </w:r>
      <w:r w:rsidRPr="00934FE7">
        <w:rPr>
          <w:rStyle w:val="Strong"/>
          <w:rFonts w:ascii="Arial" w:eastAsiaTheme="majorEastAsia" w:hAnsi="Arial" w:cs="Arial"/>
          <w:b w:val="0"/>
          <w:bCs w:val="0"/>
          <w:color w:val="auto"/>
          <w:sz w:val="20"/>
          <w:szCs w:val="20"/>
        </w:rPr>
        <w:t>To preven</w:t>
      </w:r>
      <w:r w:rsidRPr="00934FE7">
        <w:rPr>
          <w:rStyle w:val="Strong"/>
          <w:rFonts w:ascii="Arial" w:eastAsiaTheme="majorEastAsia" w:hAnsi="Arial" w:cs="Arial"/>
          <w:b w:val="0"/>
          <w:bCs w:val="0"/>
          <w:color w:val="auto"/>
          <w:sz w:val="20"/>
          <w:szCs w:val="20"/>
        </w:rPr>
        <w:t>t price instability at the producer level, a price regulation is needed that protects farmers from price shocks, because low shallot prices are detrimental to farmers and hinder efforts to increase shallot production in West Nusa Tenggara Province. Farmers</w:t>
      </w:r>
      <w:r w:rsidRPr="00934FE7">
        <w:rPr>
          <w:rStyle w:val="Strong"/>
          <w:rFonts w:ascii="Arial" w:eastAsiaTheme="majorEastAsia" w:hAnsi="Arial" w:cs="Arial"/>
          <w:b w:val="0"/>
          <w:bCs w:val="0"/>
          <w:color w:val="auto"/>
          <w:sz w:val="20"/>
          <w:szCs w:val="20"/>
        </w:rPr>
        <w:t xml:space="preserve"> need to set planting schedules and delay selling </w:t>
      </w:r>
      <w:r w:rsidRPr="00934FE7">
        <w:rPr>
          <w:rStyle w:val="Strong"/>
          <w:rFonts w:ascii="Arial" w:eastAsiaTheme="majorEastAsia" w:hAnsi="Arial" w:cs="Arial"/>
          <w:b w:val="0"/>
          <w:bCs w:val="0"/>
          <w:color w:val="auto"/>
          <w:sz w:val="20"/>
          <w:szCs w:val="20"/>
        </w:rPr>
        <w:lastRenderedPageBreak/>
        <w:t xml:space="preserve">times to prevent oversupply during the harvest season and a </w:t>
      </w:r>
      <w:r w:rsidRPr="00934FE7">
        <w:rPr>
          <w:rFonts w:ascii="Arial" w:hAnsi="Arial" w:cs="Arial"/>
          <w:color w:val="auto"/>
          <w:sz w:val="20"/>
          <w:szCs w:val="20"/>
        </w:rPr>
        <w:t>cross-season distribution strategy, improved post-harvest facilities, and policies that strengthen farmers' positions in the supply chain are need</w:t>
      </w:r>
      <w:r w:rsidRPr="00934FE7">
        <w:rPr>
          <w:rFonts w:ascii="Arial" w:hAnsi="Arial" w:cs="Arial"/>
          <w:color w:val="auto"/>
          <w:sz w:val="20"/>
          <w:szCs w:val="20"/>
        </w:rPr>
        <w:t>ed.</w:t>
      </w:r>
    </w:p>
    <w:p w14:paraId="4DE09EF2" w14:textId="77777777" w:rsidR="004E6B58" w:rsidRPr="00934FE7" w:rsidRDefault="004E6B58">
      <w:pPr>
        <w:pStyle w:val="NormalWeb"/>
        <w:spacing w:after="0" w:line="240" w:lineRule="auto"/>
        <w:ind w:left="0" w:firstLine="0"/>
        <w:rPr>
          <w:rFonts w:ascii="Arial" w:hAnsi="Arial" w:cs="Arial"/>
          <w:color w:val="auto"/>
          <w:sz w:val="20"/>
          <w:szCs w:val="20"/>
        </w:rPr>
      </w:pPr>
    </w:p>
    <w:p w14:paraId="3241CF5E" w14:textId="7FAF52D5" w:rsidR="004E6B58" w:rsidRPr="00934FE7" w:rsidRDefault="004E6B58" w:rsidP="00A51D25">
      <w:pPr>
        <w:ind w:firstLine="567"/>
        <w:jc w:val="both"/>
        <w:rPr>
          <w:rFonts w:ascii="Arial" w:hAnsi="Arial" w:cs="Arial"/>
        </w:rPr>
      </w:pPr>
    </w:p>
    <w:p w14:paraId="21BD24DD" w14:textId="77777777" w:rsidR="004E6B58" w:rsidRPr="00934FE7" w:rsidRDefault="00AA4368">
      <w:pPr>
        <w:pStyle w:val="Heading1"/>
        <w:tabs>
          <w:tab w:val="left" w:pos="567"/>
          <w:tab w:val="left" w:pos="1418"/>
        </w:tabs>
        <w:spacing w:before="0" w:after="0"/>
        <w:ind w:left="567" w:right="1987" w:hanging="567"/>
        <w:rPr>
          <w:rFonts w:cs="Arial"/>
          <w:bCs/>
          <w:sz w:val="22"/>
          <w:szCs w:val="22"/>
        </w:rPr>
      </w:pPr>
      <w:r w:rsidRPr="00934FE7">
        <w:rPr>
          <w:rFonts w:cs="Arial"/>
          <w:bCs/>
          <w:sz w:val="22"/>
          <w:szCs w:val="22"/>
        </w:rPr>
        <w:t>CONSENT</w:t>
      </w:r>
    </w:p>
    <w:p w14:paraId="703BF259" w14:textId="77777777" w:rsidR="004E6B58" w:rsidRDefault="00AA4368">
      <w:pPr>
        <w:ind w:firstLine="567"/>
        <w:jc w:val="both"/>
        <w:rPr>
          <w:rFonts w:ascii="Arial" w:hAnsi="Arial" w:cs="Arial"/>
        </w:rPr>
      </w:pPr>
      <w:r w:rsidRPr="00934FE7">
        <w:t xml:space="preserve">The research entitled </w:t>
      </w:r>
      <w:r w:rsidRPr="00934FE7">
        <w:rPr>
          <w:i/>
          <w:iCs/>
        </w:rPr>
        <w:t xml:space="preserve">“Analysis of Shallot Price Volatility at Producer Level in West Nusa </w:t>
      </w:r>
      <w:r w:rsidRPr="00934FE7">
        <w:rPr>
          <w:rFonts w:ascii="Arial" w:hAnsi="Arial" w:cs="Arial"/>
          <w:i/>
          <w:iCs/>
        </w:rPr>
        <w:t>Tenggara Province”</w:t>
      </w:r>
      <w:r w:rsidRPr="00934FE7">
        <w:rPr>
          <w:rFonts w:ascii="Arial" w:hAnsi="Arial" w:cs="Arial"/>
        </w:rPr>
        <w:t xml:space="preserve"> is entirely based on secondary data obtained from official agencies such as the Central Bureau of Statistics (BPS) and relevant local institutions. As the study does not involve direct human participation or personal data, obtaining informed consent was n</w:t>
      </w:r>
      <w:r w:rsidRPr="00934FE7">
        <w:rPr>
          <w:rFonts w:ascii="Arial" w:hAnsi="Arial" w:cs="Arial"/>
        </w:rPr>
        <w:t>ot required.</w:t>
      </w:r>
    </w:p>
    <w:p w14:paraId="63DA80AD" w14:textId="77777777" w:rsidR="00A51D25" w:rsidRPr="00934FE7" w:rsidRDefault="00A51D25">
      <w:pPr>
        <w:ind w:firstLine="567"/>
        <w:jc w:val="both"/>
        <w:rPr>
          <w:rFonts w:ascii="Arial" w:hAnsi="Arial" w:cs="Arial"/>
        </w:rPr>
      </w:pPr>
    </w:p>
    <w:p w14:paraId="46CD25C9" w14:textId="77777777" w:rsidR="004E6B58" w:rsidRPr="00934FE7" w:rsidRDefault="00AA4368">
      <w:pPr>
        <w:pStyle w:val="Heading1"/>
        <w:tabs>
          <w:tab w:val="left" w:pos="567"/>
          <w:tab w:val="left" w:pos="1418"/>
        </w:tabs>
        <w:spacing w:before="0" w:after="0"/>
        <w:ind w:left="567" w:right="1987" w:hanging="567"/>
        <w:jc w:val="both"/>
        <w:rPr>
          <w:rFonts w:cs="Arial"/>
          <w:bCs/>
          <w:sz w:val="22"/>
          <w:szCs w:val="22"/>
        </w:rPr>
      </w:pPr>
      <w:r w:rsidRPr="00934FE7">
        <w:rPr>
          <w:rFonts w:cs="Arial"/>
          <w:bCs/>
          <w:sz w:val="22"/>
          <w:szCs w:val="22"/>
        </w:rPr>
        <w:t>ETHICAL APPROVAL</w:t>
      </w:r>
    </w:p>
    <w:p w14:paraId="472F67C3" w14:textId="77777777" w:rsidR="004E6B58" w:rsidRDefault="00AA4368">
      <w:pPr>
        <w:ind w:firstLine="567"/>
        <w:jc w:val="both"/>
        <w:rPr>
          <w:rFonts w:ascii="Arial" w:hAnsi="Arial" w:cs="Arial"/>
        </w:rPr>
      </w:pPr>
      <w:r w:rsidRPr="00934FE7">
        <w:rPr>
          <w:rFonts w:ascii="Arial" w:hAnsi="Arial" w:cs="Arial"/>
        </w:rPr>
        <w:t xml:space="preserve">The study titled </w:t>
      </w:r>
      <w:r w:rsidRPr="00934FE7">
        <w:rPr>
          <w:rFonts w:ascii="Arial" w:hAnsi="Arial" w:cs="Arial"/>
          <w:i/>
          <w:iCs/>
        </w:rPr>
        <w:t>“Analysis of Shallot Price Volatility at Producer Level in West Nusa Tenggara Province”</w:t>
      </w:r>
      <w:r w:rsidRPr="00934FE7">
        <w:rPr>
          <w:rFonts w:ascii="Arial" w:hAnsi="Arial" w:cs="Arial"/>
        </w:rPr>
        <w:t xml:space="preserve"> is entirely based on secondary data obtained from official institutions such as the Central Bureau of Statistics (BPS) a</w:t>
      </w:r>
      <w:r w:rsidRPr="00934FE7">
        <w:rPr>
          <w:rFonts w:ascii="Arial" w:hAnsi="Arial" w:cs="Arial"/>
        </w:rPr>
        <w:t>nd relevant government agencies. As the research did not involve any human or animal subjects, ethical approval was not required.</w:t>
      </w:r>
    </w:p>
    <w:p w14:paraId="07D0F337" w14:textId="77777777" w:rsidR="00981FA1" w:rsidRDefault="00981FA1">
      <w:pPr>
        <w:ind w:firstLine="567"/>
        <w:jc w:val="both"/>
        <w:rPr>
          <w:rFonts w:ascii="Arial" w:hAnsi="Arial" w:cs="Arial"/>
        </w:rPr>
      </w:pPr>
    </w:p>
    <w:p w14:paraId="3FC22004" w14:textId="77777777" w:rsidR="00981FA1" w:rsidRDefault="00981FA1">
      <w:pPr>
        <w:ind w:firstLine="567"/>
        <w:jc w:val="both"/>
        <w:rPr>
          <w:rFonts w:ascii="Arial" w:hAnsi="Arial" w:cs="Arial"/>
        </w:rPr>
      </w:pPr>
    </w:p>
    <w:p w14:paraId="2C211810" w14:textId="77777777" w:rsidR="00981FA1" w:rsidRDefault="00981FA1">
      <w:pPr>
        <w:ind w:firstLine="567"/>
        <w:jc w:val="both"/>
        <w:rPr>
          <w:rFonts w:ascii="Arial" w:hAnsi="Arial" w:cs="Arial"/>
        </w:rPr>
      </w:pPr>
    </w:p>
    <w:p w14:paraId="55713455" w14:textId="77777777" w:rsidR="00981FA1" w:rsidRPr="00981FA1" w:rsidRDefault="00981FA1" w:rsidP="00981FA1">
      <w:pPr>
        <w:spacing w:after="200" w:line="276" w:lineRule="auto"/>
        <w:jc w:val="both"/>
        <w:outlineLvl w:val="0"/>
        <w:rPr>
          <w:rFonts w:ascii="Arial" w:eastAsiaTheme="minorEastAsia" w:hAnsi="Arial" w:cs="Arial"/>
          <w:sz w:val="22"/>
          <w:szCs w:val="22"/>
          <w:lang w:val="en-GB" w:eastAsia="en-GB"/>
        </w:rPr>
      </w:pPr>
      <w:r w:rsidRPr="00981FA1">
        <w:rPr>
          <w:rFonts w:ascii="Arial" w:eastAsiaTheme="minorEastAsia" w:hAnsi="Arial" w:cs="Arial"/>
          <w:b/>
          <w:bCs/>
          <w:sz w:val="22"/>
          <w:szCs w:val="22"/>
          <w:lang w:val="en-GB" w:eastAsia="en-GB"/>
        </w:rPr>
        <w:t>COMPETING INTERESTS DISCLAIMER:</w:t>
      </w:r>
    </w:p>
    <w:p w14:paraId="72F173D2" w14:textId="77777777" w:rsidR="00981FA1" w:rsidRPr="00981FA1" w:rsidRDefault="00981FA1" w:rsidP="00981FA1">
      <w:pPr>
        <w:spacing w:after="200" w:line="276" w:lineRule="auto"/>
        <w:rPr>
          <w:rFonts w:asciiTheme="minorHAnsi" w:eastAsiaTheme="minorEastAsia" w:hAnsiTheme="minorHAnsi" w:cstheme="minorBidi"/>
          <w:sz w:val="22"/>
          <w:szCs w:val="22"/>
          <w:lang w:val="en-GB" w:eastAsia="en-GB"/>
        </w:rPr>
      </w:pPr>
      <w:r w:rsidRPr="00981FA1">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BFD7E89" w14:textId="77777777" w:rsidR="00981FA1" w:rsidRDefault="00981FA1">
      <w:pPr>
        <w:ind w:firstLine="567"/>
        <w:jc w:val="both"/>
        <w:rPr>
          <w:rFonts w:ascii="Arial" w:hAnsi="Arial" w:cs="Arial"/>
        </w:rPr>
      </w:pPr>
    </w:p>
    <w:p w14:paraId="1BF4E624" w14:textId="77777777" w:rsidR="00981FA1" w:rsidRDefault="00981FA1">
      <w:pPr>
        <w:ind w:firstLine="567"/>
        <w:jc w:val="both"/>
        <w:rPr>
          <w:rFonts w:ascii="Arial" w:hAnsi="Arial" w:cs="Arial"/>
        </w:rPr>
      </w:pPr>
    </w:p>
    <w:p w14:paraId="7D0A93DB" w14:textId="77777777" w:rsidR="00981FA1" w:rsidRDefault="00981FA1">
      <w:pPr>
        <w:ind w:firstLine="567"/>
        <w:jc w:val="both"/>
        <w:rPr>
          <w:rFonts w:ascii="Arial" w:hAnsi="Arial" w:cs="Arial"/>
        </w:rPr>
      </w:pPr>
    </w:p>
    <w:p w14:paraId="6FF16ADC" w14:textId="77777777" w:rsidR="00981FA1" w:rsidRDefault="00981FA1">
      <w:pPr>
        <w:ind w:firstLine="567"/>
        <w:jc w:val="both"/>
        <w:rPr>
          <w:rFonts w:ascii="Arial" w:hAnsi="Arial" w:cs="Arial"/>
        </w:rPr>
      </w:pPr>
    </w:p>
    <w:p w14:paraId="03A50C7A" w14:textId="77777777" w:rsidR="00981FA1" w:rsidRDefault="00981FA1">
      <w:pPr>
        <w:ind w:firstLine="567"/>
        <w:jc w:val="both"/>
        <w:rPr>
          <w:rFonts w:ascii="Arial" w:hAnsi="Arial" w:cs="Arial"/>
        </w:rPr>
      </w:pPr>
    </w:p>
    <w:p w14:paraId="3871A6AC" w14:textId="77777777" w:rsidR="00981FA1" w:rsidRPr="00934FE7" w:rsidRDefault="00981FA1">
      <w:pPr>
        <w:ind w:firstLine="567"/>
        <w:jc w:val="both"/>
        <w:rPr>
          <w:rFonts w:ascii="Arial" w:hAnsi="Arial" w:cs="Arial"/>
        </w:rPr>
      </w:pPr>
    </w:p>
    <w:p w14:paraId="00AC7238" w14:textId="77777777" w:rsidR="004E6B58" w:rsidRPr="00934FE7" w:rsidRDefault="004E6B58">
      <w:pPr>
        <w:rPr>
          <w:rFonts w:ascii="Arial" w:hAnsi="Arial" w:cs="Arial"/>
        </w:rPr>
      </w:pPr>
    </w:p>
    <w:p w14:paraId="72A681AB" w14:textId="77777777" w:rsidR="004E6B58" w:rsidRPr="00934FE7" w:rsidRDefault="00AA4368" w:rsidP="00CE6F8F">
      <w:pPr>
        <w:pStyle w:val="Heading1"/>
        <w:tabs>
          <w:tab w:val="left" w:pos="567"/>
          <w:tab w:val="left" w:pos="1418"/>
        </w:tabs>
        <w:spacing w:before="0" w:after="120"/>
        <w:ind w:left="567" w:right="1985" w:hanging="567"/>
        <w:jc w:val="both"/>
        <w:rPr>
          <w:rFonts w:cs="Arial"/>
          <w:b w:val="0"/>
          <w:bCs/>
          <w:sz w:val="22"/>
          <w:szCs w:val="22"/>
        </w:rPr>
      </w:pPr>
      <w:r w:rsidRPr="00934FE7">
        <w:rPr>
          <w:rFonts w:cs="Arial"/>
          <w:bCs/>
          <w:sz w:val="22"/>
          <w:szCs w:val="22"/>
        </w:rPr>
        <w:t>REFERENCES</w:t>
      </w:r>
    </w:p>
    <w:p w14:paraId="751F1767" w14:textId="21911848" w:rsidR="00527760" w:rsidRDefault="00934FE7" w:rsidP="00CE6F8F">
      <w:pPr>
        <w:tabs>
          <w:tab w:val="left" w:pos="567"/>
          <w:tab w:val="left" w:pos="1418"/>
        </w:tabs>
        <w:spacing w:after="120"/>
        <w:ind w:left="567" w:hanging="567"/>
        <w:jc w:val="both"/>
      </w:pPr>
      <w:r w:rsidRPr="00934FE7">
        <w:rPr>
          <w:rFonts w:ascii="Arial" w:hAnsi="Arial" w:cs="Arial"/>
        </w:rPr>
        <w:t xml:space="preserve">Agung, A. I. (2013). </w:t>
      </w:r>
      <w:r w:rsidRPr="00934FE7">
        <w:rPr>
          <w:rFonts w:ascii="Arial" w:hAnsi="Arial" w:cs="Arial"/>
          <w:i/>
          <w:iCs/>
        </w:rPr>
        <w:t>The Potential of Alternative Energy Sources in Supporting National Electricity Supply. Journal of Electrical Engineering Education</w:t>
      </w:r>
      <w:r w:rsidRPr="00934FE7">
        <w:rPr>
          <w:rFonts w:ascii="Arial" w:hAnsi="Arial" w:cs="Arial"/>
        </w:rPr>
        <w:t xml:space="preserve">. 2(2): p.892-897. </w:t>
      </w:r>
      <w:hyperlink r:id="rId18" w:history="1">
        <w:r w:rsidR="00043B16" w:rsidRPr="00433296">
          <w:rPr>
            <w:rStyle w:val="Hyperlink"/>
          </w:rPr>
          <w:t>https://ejournal.unesa.ac.id/index.php/jurnal-pendidikan-teknik-elektro/article/view/7425</w:t>
        </w:r>
      </w:hyperlink>
    </w:p>
    <w:p w14:paraId="7C76910F" w14:textId="34B137C0" w:rsidR="00043B16" w:rsidRDefault="00934FE7" w:rsidP="00CE6F8F">
      <w:pPr>
        <w:tabs>
          <w:tab w:val="left" w:pos="567"/>
          <w:tab w:val="left" w:pos="1418"/>
        </w:tabs>
        <w:spacing w:after="120"/>
        <w:ind w:left="567" w:hanging="567"/>
        <w:jc w:val="both"/>
      </w:pPr>
      <w:r w:rsidRPr="00934FE7">
        <w:rPr>
          <w:rFonts w:ascii="Arial" w:hAnsi="Arial" w:cs="Arial"/>
        </w:rPr>
        <w:t xml:space="preserve">Asmara, R. A., &amp; </w:t>
      </w:r>
      <w:proofErr w:type="spellStart"/>
      <w:r w:rsidRPr="00934FE7">
        <w:rPr>
          <w:rFonts w:ascii="Arial" w:hAnsi="Arial" w:cs="Arial"/>
        </w:rPr>
        <w:t>Ardhiani</w:t>
      </w:r>
      <w:proofErr w:type="spellEnd"/>
      <w:r w:rsidRPr="00934FE7">
        <w:rPr>
          <w:rFonts w:ascii="Arial" w:hAnsi="Arial" w:cs="Arial"/>
        </w:rPr>
        <w:t xml:space="preserve">, R. A. (2010). </w:t>
      </w:r>
      <w:r w:rsidRPr="00934FE7">
        <w:rPr>
          <w:rFonts w:ascii="Arial" w:hAnsi="Arial" w:cs="Arial"/>
          <w:i/>
          <w:iCs/>
        </w:rPr>
        <w:t>Market Integration in the Red Onion Marketing System</w:t>
      </w:r>
      <w:r w:rsidRPr="00934FE7">
        <w:rPr>
          <w:rFonts w:ascii="Arial" w:hAnsi="Arial" w:cs="Arial"/>
        </w:rPr>
        <w:t>. AGRISE. X (3) ISSN: 1412-1425.</w:t>
      </w:r>
      <w:r w:rsidR="00AD032C">
        <w:rPr>
          <w:rFonts w:ascii="Arial" w:hAnsi="Arial" w:cs="Arial"/>
        </w:rPr>
        <w:t xml:space="preserve"> </w:t>
      </w:r>
      <w:r w:rsidRPr="00934FE7">
        <w:rPr>
          <w:rFonts w:ascii="Arial" w:hAnsi="Arial" w:cs="Arial"/>
        </w:rPr>
        <w:t>p.</w:t>
      </w:r>
      <w:r w:rsidR="00AD032C">
        <w:rPr>
          <w:rFonts w:ascii="Arial" w:hAnsi="Arial" w:cs="Arial"/>
        </w:rPr>
        <w:t xml:space="preserve"> </w:t>
      </w:r>
      <w:r w:rsidRPr="00934FE7">
        <w:rPr>
          <w:rFonts w:ascii="Arial" w:hAnsi="Arial" w:cs="Arial"/>
        </w:rPr>
        <w:t xml:space="preserve">164-174 </w:t>
      </w:r>
      <w:hyperlink r:id="rId19" w:history="1">
        <w:r w:rsidR="00043B16" w:rsidRPr="00433296">
          <w:rPr>
            <w:rStyle w:val="Hyperlink"/>
          </w:rPr>
          <w:t>https://agrise.ub.ac.id/index.php/agrise/article/view/46/74</w:t>
        </w:r>
      </w:hyperlink>
    </w:p>
    <w:p w14:paraId="6ED0087E" w14:textId="0E19524A" w:rsidR="00527760" w:rsidRDefault="00934FE7" w:rsidP="00CE6F8F">
      <w:pPr>
        <w:tabs>
          <w:tab w:val="left" w:pos="567"/>
          <w:tab w:val="left" w:pos="1418"/>
        </w:tabs>
        <w:spacing w:after="120"/>
        <w:ind w:left="567" w:hanging="567"/>
        <w:jc w:val="both"/>
        <w:rPr>
          <w:rStyle w:val="Hyperlink"/>
          <w:rFonts w:ascii="Arial" w:hAnsi="Arial" w:cs="Arial"/>
          <w:color w:val="auto"/>
          <w:u w:val="none"/>
        </w:rPr>
      </w:pPr>
      <w:r w:rsidRPr="00934FE7">
        <w:rPr>
          <w:rFonts w:ascii="Arial" w:hAnsi="Arial" w:cs="Arial"/>
        </w:rPr>
        <w:t xml:space="preserve">Dewa Oka </w:t>
      </w:r>
      <w:proofErr w:type="spellStart"/>
      <w:r w:rsidRPr="00934FE7">
        <w:rPr>
          <w:rFonts w:ascii="Arial" w:hAnsi="Arial" w:cs="Arial"/>
        </w:rPr>
        <w:t>Suparwata</w:t>
      </w:r>
      <w:proofErr w:type="spellEnd"/>
      <w:r w:rsidRPr="00934FE7">
        <w:rPr>
          <w:rFonts w:ascii="Arial" w:hAnsi="Arial" w:cs="Arial"/>
        </w:rPr>
        <w:t xml:space="preserve">, D.O., </w:t>
      </w:r>
      <w:proofErr w:type="spellStart"/>
      <w:r w:rsidRPr="00934FE7">
        <w:rPr>
          <w:rFonts w:ascii="Arial" w:hAnsi="Arial" w:cs="Arial"/>
        </w:rPr>
        <w:t>Indrianti</w:t>
      </w:r>
      <w:proofErr w:type="spellEnd"/>
      <w:r w:rsidRPr="00934FE7">
        <w:rPr>
          <w:rFonts w:ascii="Arial" w:hAnsi="Arial" w:cs="Arial"/>
        </w:rPr>
        <w:t xml:space="preserve">, M. A., </w:t>
      </w:r>
      <w:proofErr w:type="spellStart"/>
      <w:r w:rsidRPr="00934FE7">
        <w:rPr>
          <w:rFonts w:ascii="Arial" w:hAnsi="Arial" w:cs="Arial"/>
        </w:rPr>
        <w:t>Mokoginta</w:t>
      </w:r>
      <w:proofErr w:type="spellEnd"/>
      <w:r w:rsidRPr="00934FE7">
        <w:rPr>
          <w:rFonts w:ascii="Arial" w:hAnsi="Arial" w:cs="Arial"/>
        </w:rPr>
        <w:t xml:space="preserve">, M. M., Gobel, Y. A., </w:t>
      </w:r>
      <w:proofErr w:type="spellStart"/>
      <w:r w:rsidRPr="00934FE7">
        <w:rPr>
          <w:rFonts w:ascii="Arial" w:hAnsi="Arial" w:cs="Arial"/>
        </w:rPr>
        <w:t>Djibran</w:t>
      </w:r>
      <w:proofErr w:type="spellEnd"/>
      <w:r w:rsidRPr="00934FE7">
        <w:rPr>
          <w:rFonts w:ascii="Arial" w:hAnsi="Arial" w:cs="Arial"/>
        </w:rPr>
        <w:t xml:space="preserve">, M. M, &amp; Hasan, Z. A. (2022). </w:t>
      </w:r>
      <w:proofErr w:type="spellStart"/>
      <w:r w:rsidRPr="00934FE7">
        <w:rPr>
          <w:rFonts w:ascii="Arial" w:hAnsi="Arial" w:cs="Arial"/>
          <w:i/>
          <w:iCs/>
        </w:rPr>
        <w:t>Homeyard</w:t>
      </w:r>
      <w:proofErr w:type="spellEnd"/>
      <w:r w:rsidRPr="00934FE7">
        <w:rPr>
          <w:rFonts w:ascii="Arial" w:hAnsi="Arial" w:cs="Arial"/>
          <w:i/>
          <w:iCs/>
        </w:rPr>
        <w:t xml:space="preserve"> Contribution Based Totally </w:t>
      </w:r>
      <w:r w:rsidR="00AD032C" w:rsidRPr="00934FE7">
        <w:rPr>
          <w:rFonts w:ascii="Arial" w:hAnsi="Arial" w:cs="Arial"/>
          <w:i/>
          <w:iCs/>
        </w:rPr>
        <w:t>on</w:t>
      </w:r>
      <w:r w:rsidRPr="00934FE7">
        <w:rPr>
          <w:rFonts w:ascii="Arial" w:hAnsi="Arial" w:cs="Arial"/>
          <w:i/>
          <w:iCs/>
        </w:rPr>
        <w:t xml:space="preserve"> Ladies Farmer Circle </w:t>
      </w:r>
      <w:r w:rsidR="00AD032C" w:rsidRPr="00934FE7">
        <w:rPr>
          <w:rFonts w:ascii="Arial" w:hAnsi="Arial" w:cs="Arial"/>
          <w:i/>
          <w:iCs/>
        </w:rPr>
        <w:t>of</w:t>
      </w:r>
      <w:r w:rsidRPr="00934FE7">
        <w:rPr>
          <w:rFonts w:ascii="Arial" w:hAnsi="Arial" w:cs="Arial"/>
          <w:i/>
          <w:iCs/>
        </w:rPr>
        <w:t xml:space="preserve"> Relatives Management (KWT) In Rural Areas</w:t>
      </w:r>
      <w:r w:rsidRPr="00934FE7">
        <w:rPr>
          <w:rFonts w:ascii="Arial" w:hAnsi="Arial" w:cs="Arial"/>
        </w:rPr>
        <w:t xml:space="preserve">. AGRIKAN - Fisheries Agribusiness Journal. E-ISSN 2598-8298, P-ISSN 1979-6072: 15(2): p. </w:t>
      </w:r>
      <w:r w:rsidRPr="00AD032C">
        <w:rPr>
          <w:rFonts w:ascii="Arial" w:hAnsi="Arial" w:cs="Arial"/>
        </w:rPr>
        <w:t xml:space="preserve">563-570. </w:t>
      </w:r>
      <w:hyperlink r:id="rId20" w:history="1">
        <w:r w:rsidR="00043B16" w:rsidRPr="00433296">
          <w:rPr>
            <w:rStyle w:val="Hyperlink"/>
          </w:rPr>
          <w:t>https://www.researchgate.net/profile/Dewa-Suparwata/publication/377205010_</w:t>
        </w:r>
      </w:hyperlink>
      <w:r w:rsidR="00043B16">
        <w:t xml:space="preserve"> </w:t>
      </w:r>
    </w:p>
    <w:p w14:paraId="1E4D662D" w14:textId="4932EFAF"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Dwipa, N. M. S. (2016). </w:t>
      </w:r>
      <w:r w:rsidRPr="00934FE7">
        <w:rPr>
          <w:rFonts w:ascii="Arial" w:hAnsi="Arial" w:cs="Arial"/>
          <w:i/>
          <w:iCs/>
        </w:rPr>
        <w:t>Identification of I-</w:t>
      </w:r>
      <w:proofErr w:type="spellStart"/>
      <w:r w:rsidRPr="00934FE7">
        <w:rPr>
          <w:rFonts w:ascii="Arial" w:hAnsi="Arial" w:cs="Arial"/>
          <w:i/>
          <w:iCs/>
        </w:rPr>
        <w:t>Garch</w:t>
      </w:r>
      <w:proofErr w:type="spellEnd"/>
      <w:r w:rsidRPr="00934FE7">
        <w:rPr>
          <w:rFonts w:ascii="Arial" w:hAnsi="Arial" w:cs="Arial"/>
          <w:i/>
          <w:iCs/>
        </w:rPr>
        <w:t xml:space="preserve"> (Integrates Generalized Autoregressive </w:t>
      </w:r>
      <w:proofErr w:type="spellStart"/>
      <w:r w:rsidRPr="00934FE7">
        <w:rPr>
          <w:rFonts w:ascii="Arial" w:hAnsi="Arial" w:cs="Arial"/>
          <w:i/>
          <w:iCs/>
        </w:rPr>
        <w:t>Conditionallized</w:t>
      </w:r>
      <w:proofErr w:type="spellEnd"/>
      <w:r w:rsidRPr="00934FE7">
        <w:rPr>
          <w:rFonts w:ascii="Arial" w:hAnsi="Arial" w:cs="Arial"/>
          <w:i/>
          <w:iCs/>
        </w:rPr>
        <w:t xml:space="preserve"> Autoregressive </w:t>
      </w:r>
      <w:proofErr w:type="spellStart"/>
      <w:r w:rsidRPr="00934FE7">
        <w:rPr>
          <w:rFonts w:ascii="Arial" w:hAnsi="Arial" w:cs="Arial"/>
          <w:i/>
          <w:iCs/>
        </w:rPr>
        <w:t>Aonditionally</w:t>
      </w:r>
      <w:proofErr w:type="spellEnd"/>
      <w:r w:rsidRPr="00934FE7">
        <w:rPr>
          <w:rFonts w:ascii="Arial" w:hAnsi="Arial" w:cs="Arial"/>
          <w:i/>
          <w:iCs/>
        </w:rPr>
        <w:t xml:space="preserve"> </w:t>
      </w:r>
      <w:proofErr w:type="spellStart"/>
      <w:r w:rsidRPr="00934FE7">
        <w:rPr>
          <w:rFonts w:ascii="Arial" w:hAnsi="Arial" w:cs="Arial"/>
          <w:i/>
          <w:iCs/>
        </w:rPr>
        <w:t>Heterocedastic</w:t>
      </w:r>
      <w:proofErr w:type="spellEnd"/>
      <w:r w:rsidRPr="00934FE7">
        <w:rPr>
          <w:rFonts w:ascii="Arial" w:hAnsi="Arial" w:cs="Arial"/>
          <w:i/>
          <w:iCs/>
        </w:rPr>
        <w:t xml:space="preserve">) Model for Value </w:t>
      </w:r>
      <w:proofErr w:type="spellStart"/>
      <w:r w:rsidRPr="00934FE7">
        <w:rPr>
          <w:rFonts w:ascii="Arial" w:hAnsi="Arial" w:cs="Arial"/>
          <w:i/>
          <w:iCs/>
        </w:rPr>
        <w:t>ar</w:t>
      </w:r>
      <w:proofErr w:type="spellEnd"/>
      <w:r w:rsidRPr="00934FE7">
        <w:rPr>
          <w:rFonts w:ascii="Arial" w:hAnsi="Arial" w:cs="Arial"/>
          <w:i/>
          <w:iCs/>
        </w:rPr>
        <w:t xml:space="preserve"> Risk </w:t>
      </w:r>
      <w:proofErr w:type="spellStart"/>
      <w:r w:rsidRPr="00934FE7">
        <w:rPr>
          <w:rFonts w:ascii="Arial" w:hAnsi="Arial" w:cs="Arial"/>
          <w:i/>
          <w:iCs/>
        </w:rPr>
        <w:t>Forcasting</w:t>
      </w:r>
      <w:proofErr w:type="spellEnd"/>
      <w:r w:rsidRPr="00934FE7">
        <w:rPr>
          <w:rFonts w:ascii="Arial" w:hAnsi="Arial" w:cs="Arial"/>
          <w:i/>
          <w:iCs/>
        </w:rPr>
        <w:t>.</w:t>
      </w:r>
      <w:r w:rsidRPr="00934FE7">
        <w:rPr>
          <w:rFonts w:ascii="Arial" w:hAnsi="Arial" w:cs="Arial"/>
        </w:rPr>
        <w:t xml:space="preserve"> </w:t>
      </w:r>
      <w:proofErr w:type="spellStart"/>
      <w:r w:rsidRPr="00934FE7">
        <w:rPr>
          <w:rFonts w:ascii="Arial" w:hAnsi="Arial" w:cs="Arial"/>
        </w:rPr>
        <w:t>Jurnal</w:t>
      </w:r>
      <w:proofErr w:type="spellEnd"/>
      <w:r w:rsidRPr="00934FE7">
        <w:rPr>
          <w:rFonts w:ascii="Arial" w:hAnsi="Arial" w:cs="Arial"/>
        </w:rPr>
        <w:t xml:space="preserve"> </w:t>
      </w:r>
      <w:proofErr w:type="spellStart"/>
      <w:r w:rsidRPr="00934FE7">
        <w:rPr>
          <w:rFonts w:ascii="Arial" w:hAnsi="Arial" w:cs="Arial"/>
        </w:rPr>
        <w:t>Derivat</w:t>
      </w:r>
      <w:proofErr w:type="spellEnd"/>
      <w:r w:rsidRPr="00934FE7">
        <w:rPr>
          <w:rFonts w:ascii="Arial" w:hAnsi="Arial" w:cs="Arial"/>
        </w:rPr>
        <w:t xml:space="preserve">, 3(1): p.25-38. ISSN: 2407–3792. </w:t>
      </w:r>
      <w:hyperlink r:id="rId21" w:history="1">
        <w:r w:rsidR="00043B16" w:rsidRPr="00433296">
          <w:rPr>
            <w:rStyle w:val="Hyperlink"/>
          </w:rPr>
          <w:t>https://media.neliti.com/media/publications/76448-ID-none.pdf</w:t>
        </w:r>
      </w:hyperlink>
      <w:r w:rsidR="00043B16">
        <w:t xml:space="preserve"> </w:t>
      </w:r>
    </w:p>
    <w:p w14:paraId="6E0B9604" w14:textId="34534CD3" w:rsid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lastRenderedPageBreak/>
        <w:t xml:space="preserve">Ellis, Frank. (2019). </w:t>
      </w:r>
      <w:r w:rsidRPr="00934FE7">
        <w:rPr>
          <w:rFonts w:ascii="Arial" w:hAnsi="Arial" w:cs="Arial"/>
          <w:i/>
          <w:iCs/>
          <w:lang w:val="zh-CN"/>
        </w:rPr>
        <w:t>Peasant Economics: Farm Households and Agrarian Development (Wye Studies in Agricultural and Rural Development).</w:t>
      </w:r>
      <w:r w:rsidRPr="00934FE7">
        <w:rPr>
          <w:rFonts w:ascii="Arial" w:hAnsi="Arial" w:cs="Arial"/>
          <w:lang w:val="zh-CN"/>
        </w:rPr>
        <w:t xml:space="preserve"> ISBN-13-978-0521310086</w:t>
      </w:r>
      <w:r w:rsidRPr="00934FE7">
        <w:rPr>
          <w:rFonts w:ascii="Arial" w:hAnsi="Arial" w:cs="Arial"/>
        </w:rPr>
        <w:t xml:space="preserve"> Cambridge University Press. </w:t>
      </w:r>
      <w:hyperlink r:id="rId22" w:history="1">
        <w:r w:rsidR="00043B16" w:rsidRPr="00433296">
          <w:rPr>
            <w:rStyle w:val="Hyperlink"/>
          </w:rPr>
          <w:t>https://www.amazon.com/Peasant-Economics-Households-Development-Agricultural/dp/0521310083</w:t>
        </w:r>
      </w:hyperlink>
      <w:r w:rsidR="00043B16">
        <w:t xml:space="preserve"> </w:t>
      </w:r>
      <w:r w:rsidRPr="00934FE7">
        <w:rPr>
          <w:rFonts w:ascii="Arial" w:hAnsi="Arial" w:cs="Arial"/>
        </w:rPr>
        <w:t xml:space="preserve"> </w:t>
      </w:r>
    </w:p>
    <w:p w14:paraId="22C4D768" w14:textId="56C7E988" w:rsidR="00934FE7" w:rsidRPr="00934FE7" w:rsidRDefault="00934FE7" w:rsidP="00CE6F8F">
      <w:pPr>
        <w:tabs>
          <w:tab w:val="left" w:pos="567"/>
          <w:tab w:val="left" w:pos="1418"/>
        </w:tabs>
        <w:spacing w:after="120"/>
        <w:ind w:left="567" w:hanging="567"/>
        <w:jc w:val="both"/>
        <w:rPr>
          <w:rFonts w:ascii="Arial" w:hAnsi="Arial" w:cs="Arial"/>
          <w:i/>
          <w:iCs/>
        </w:rPr>
      </w:pPr>
      <w:r w:rsidRPr="00934FE7">
        <w:rPr>
          <w:rFonts w:ascii="Arial" w:hAnsi="Arial" w:cs="Arial"/>
        </w:rPr>
        <w:t xml:space="preserve">Engle, R. F. (2022). </w:t>
      </w:r>
      <w:r w:rsidRPr="00934FE7">
        <w:rPr>
          <w:rFonts w:ascii="Arial" w:hAnsi="Arial" w:cs="Arial"/>
          <w:i/>
          <w:iCs/>
        </w:rPr>
        <w:t>Autoregressive Conditional Heteroskedasticity With Estimates of the Variance of United Kingdom Inflation</w:t>
      </w:r>
      <w:r w:rsidRPr="00934FE7">
        <w:rPr>
          <w:rFonts w:ascii="Arial" w:hAnsi="Arial" w:cs="Arial"/>
        </w:rPr>
        <w:t xml:space="preserve">. </w:t>
      </w:r>
      <w:proofErr w:type="spellStart"/>
      <w:r w:rsidRPr="00934FE7">
        <w:rPr>
          <w:rFonts w:ascii="Arial" w:hAnsi="Arial" w:cs="Arial"/>
        </w:rPr>
        <w:t>Econometrica</w:t>
      </w:r>
      <w:proofErr w:type="spellEnd"/>
      <w:r w:rsidRPr="00934FE7">
        <w:rPr>
          <w:rFonts w:ascii="Arial" w:hAnsi="Arial" w:cs="Arial"/>
          <w:i/>
          <w:iCs/>
        </w:rPr>
        <w:t xml:space="preserve">. </w:t>
      </w:r>
      <w:r w:rsidRPr="00934FE7">
        <w:rPr>
          <w:rFonts w:ascii="Arial" w:hAnsi="Arial" w:cs="Arial"/>
        </w:rPr>
        <w:t>JSTOR p.987-1007</w:t>
      </w:r>
      <w:r w:rsidRPr="00934FE7">
        <w:rPr>
          <w:rFonts w:ascii="Arial" w:hAnsi="Arial" w:cs="Arial"/>
          <w:i/>
          <w:iCs/>
        </w:rPr>
        <w:t xml:space="preserve"> </w:t>
      </w:r>
      <w:hyperlink r:id="rId23" w:history="1">
        <w:r w:rsidR="00043B16" w:rsidRPr="00433296">
          <w:rPr>
            <w:rStyle w:val="Hyperlink"/>
          </w:rPr>
          <w:t>https://www.jstor.org/stable/1912773</w:t>
        </w:r>
      </w:hyperlink>
      <w:r w:rsidR="00043B16">
        <w:t xml:space="preserve"> </w:t>
      </w:r>
    </w:p>
    <w:p w14:paraId="48B0955C" w14:textId="3BDD4AB7" w:rsidR="00043B16" w:rsidRDefault="00934FE7" w:rsidP="00043B16">
      <w:pPr>
        <w:tabs>
          <w:tab w:val="left" w:pos="567"/>
          <w:tab w:val="left" w:pos="1418"/>
        </w:tabs>
        <w:spacing w:after="120"/>
        <w:ind w:left="567" w:hanging="567"/>
        <w:rPr>
          <w:rFonts w:ascii="Arial" w:hAnsi="Arial" w:cs="Arial"/>
        </w:rPr>
      </w:pPr>
      <w:proofErr w:type="spellStart"/>
      <w:r w:rsidRPr="00934FE7">
        <w:rPr>
          <w:rFonts w:ascii="Arial" w:hAnsi="Arial" w:cs="Arial"/>
        </w:rPr>
        <w:t>Fadillah</w:t>
      </w:r>
      <w:proofErr w:type="spellEnd"/>
      <w:r w:rsidRPr="00934FE7">
        <w:rPr>
          <w:rFonts w:ascii="Arial" w:hAnsi="Arial" w:cs="Arial"/>
        </w:rPr>
        <w:t xml:space="preserve">, B. D., &amp; </w:t>
      </w:r>
      <w:proofErr w:type="spellStart"/>
      <w:r w:rsidRPr="00934FE7">
        <w:rPr>
          <w:rFonts w:ascii="Arial" w:hAnsi="Arial" w:cs="Arial"/>
        </w:rPr>
        <w:t>Hendrastuty</w:t>
      </w:r>
      <w:proofErr w:type="spellEnd"/>
      <w:r w:rsidRPr="00934FE7">
        <w:rPr>
          <w:rFonts w:ascii="Arial" w:hAnsi="Arial" w:cs="Arial"/>
        </w:rPr>
        <w:t xml:space="preserve">, N. (2025). </w:t>
      </w:r>
      <w:r w:rsidRPr="00934FE7">
        <w:rPr>
          <w:rFonts w:ascii="Arial" w:hAnsi="Arial" w:cs="Arial"/>
          <w:i/>
          <w:iCs/>
        </w:rPr>
        <w:t>Prediction of Stock of Goods in Eko Helm Store Using Time Series Analysis Methods</w:t>
      </w:r>
      <w:r w:rsidRPr="00934FE7">
        <w:rPr>
          <w:rFonts w:ascii="Arial" w:hAnsi="Arial" w:cs="Arial"/>
        </w:rPr>
        <w:t>. Informatics Journal: IT Development Journal. 10(2). ISSN: 2477-5126.</w:t>
      </w:r>
      <w:r w:rsidR="00043B16">
        <w:rPr>
          <w:rFonts w:ascii="Arial" w:hAnsi="Arial" w:cs="Arial"/>
        </w:rPr>
        <w:t xml:space="preserve"> </w:t>
      </w:r>
      <w:hyperlink r:id="rId24" w:history="1">
        <w:r w:rsidR="00043B16" w:rsidRPr="00433296">
          <w:rPr>
            <w:rStyle w:val="Hyperlink"/>
            <w:rFonts w:ascii="Arial" w:hAnsi="Arial" w:cs="Arial"/>
          </w:rPr>
          <w:t>https://ejournal.poltekharber.ac.id/index.php/informatika/article/view/8584/3418</w:t>
        </w:r>
      </w:hyperlink>
      <w:r w:rsidR="00043B16">
        <w:rPr>
          <w:rFonts w:ascii="Arial" w:hAnsi="Arial" w:cs="Arial"/>
        </w:rPr>
        <w:t xml:space="preserve"> </w:t>
      </w:r>
    </w:p>
    <w:p w14:paraId="30F67FB9" w14:textId="4E328961" w:rsidR="004E6B58" w:rsidRPr="00934FE7" w:rsidRDefault="00043B16" w:rsidP="00CE6F8F">
      <w:pPr>
        <w:tabs>
          <w:tab w:val="left" w:pos="567"/>
          <w:tab w:val="left" w:pos="1418"/>
        </w:tabs>
        <w:spacing w:after="120"/>
        <w:ind w:left="567" w:hanging="567"/>
        <w:jc w:val="both"/>
        <w:rPr>
          <w:rFonts w:ascii="Arial" w:hAnsi="Arial" w:cs="Arial"/>
        </w:rPr>
      </w:pPr>
      <w:r>
        <w:rPr>
          <w:rFonts w:ascii="Arial" w:hAnsi="Arial" w:cs="Arial"/>
        </w:rPr>
        <w:t xml:space="preserve"> </w:t>
      </w:r>
      <w:proofErr w:type="spellStart"/>
      <w:r w:rsidRPr="00934FE7">
        <w:rPr>
          <w:rFonts w:ascii="Arial" w:hAnsi="Arial" w:cs="Arial"/>
        </w:rPr>
        <w:t>Harahap</w:t>
      </w:r>
      <w:proofErr w:type="spellEnd"/>
      <w:r w:rsidRPr="00934FE7">
        <w:rPr>
          <w:rFonts w:ascii="Arial" w:hAnsi="Arial" w:cs="Arial"/>
        </w:rPr>
        <w:t xml:space="preserve"> H. N., Lestari, Y. M., &amp; Siregar, A. Z. (2023</w:t>
      </w:r>
      <w:r w:rsidRPr="00934FE7">
        <w:rPr>
          <w:rFonts w:ascii="Arial" w:hAnsi="Arial" w:cs="Arial"/>
          <w:i/>
          <w:iCs/>
        </w:rPr>
        <w:t xml:space="preserve">). Empowerment in Improving the Welfare of Red Onion Farmers in Medan </w:t>
      </w:r>
      <w:proofErr w:type="spellStart"/>
      <w:r w:rsidRPr="00934FE7">
        <w:rPr>
          <w:rFonts w:ascii="Arial" w:hAnsi="Arial" w:cs="Arial"/>
          <w:i/>
          <w:iCs/>
        </w:rPr>
        <w:t>Marelan</w:t>
      </w:r>
      <w:proofErr w:type="spellEnd"/>
      <w:r w:rsidRPr="00934FE7">
        <w:rPr>
          <w:rFonts w:ascii="Arial" w:hAnsi="Arial" w:cs="Arial"/>
          <w:i/>
          <w:iCs/>
        </w:rPr>
        <w:t xml:space="preserve"> District</w:t>
      </w:r>
      <w:r w:rsidRPr="00934FE7">
        <w:rPr>
          <w:rFonts w:ascii="Arial" w:hAnsi="Arial" w:cs="Arial"/>
        </w:rPr>
        <w:t xml:space="preserve">. Extension Journal. 19(01): p.170-180. </w:t>
      </w:r>
      <w:hyperlink r:id="rId25" w:history="1">
        <w:r w:rsidR="00E61152" w:rsidRPr="00D6632C">
          <w:rPr>
            <w:rStyle w:val="Hyperlink"/>
            <w:rFonts w:ascii="Arial" w:hAnsi="Arial" w:cs="Arial"/>
          </w:rPr>
          <w:t xml:space="preserve"> </w:t>
        </w:r>
      </w:hyperlink>
      <w:hyperlink r:id="rId26" w:history="1">
        <w:r w:rsidR="00E61152" w:rsidRPr="00D6632C">
          <w:rPr>
            <w:rStyle w:val="Hyperlink"/>
            <w:rFonts w:ascii="Arial" w:hAnsi="Arial" w:cs="Arial"/>
          </w:rPr>
          <w:t>https://doi.org/10.25015/19202340349</w:t>
        </w:r>
      </w:hyperlink>
      <w:r w:rsidR="00E61152" w:rsidRPr="00E61152">
        <w:rPr>
          <w:rStyle w:val="Hyperlink"/>
          <w:rFonts w:ascii="Arial" w:hAnsi="Arial" w:cs="Arial"/>
          <w:color w:val="auto"/>
          <w:u w:val="none"/>
        </w:rPr>
        <w:t>.</w:t>
      </w:r>
      <w:r w:rsidR="00E61152">
        <w:rPr>
          <w:rStyle w:val="Hyperlink"/>
          <w:rFonts w:ascii="Arial" w:hAnsi="Arial" w:cs="Arial"/>
          <w:color w:val="auto"/>
          <w:u w:val="none"/>
        </w:rPr>
        <w:t xml:space="preserve"> </w:t>
      </w:r>
    </w:p>
    <w:p w14:paraId="5E7F6C82" w14:textId="315AA961" w:rsidR="00E61152" w:rsidRPr="00E61152" w:rsidRDefault="00934FE7" w:rsidP="00E61152">
      <w:pPr>
        <w:tabs>
          <w:tab w:val="left" w:pos="567"/>
          <w:tab w:val="left" w:pos="1418"/>
        </w:tabs>
        <w:spacing w:after="120"/>
        <w:ind w:left="567" w:hanging="567"/>
        <w:jc w:val="both"/>
        <w:rPr>
          <w:rFonts w:ascii="Arial" w:eastAsiaTheme="majorEastAsia" w:hAnsi="Arial" w:cs="Arial"/>
          <w:lang w:val="en-ID"/>
        </w:rPr>
      </w:pPr>
      <w:r w:rsidRPr="00934FE7">
        <w:rPr>
          <w:rFonts w:ascii="Arial" w:hAnsi="Arial" w:cs="Arial"/>
        </w:rPr>
        <w:t xml:space="preserve">Ilham, M. A., </w:t>
      </w:r>
      <w:proofErr w:type="spellStart"/>
      <w:r w:rsidRPr="00934FE7">
        <w:rPr>
          <w:rFonts w:ascii="Arial" w:hAnsi="Arial" w:cs="Arial"/>
        </w:rPr>
        <w:t>Achmadi</w:t>
      </w:r>
      <w:proofErr w:type="spellEnd"/>
      <w:r w:rsidRPr="00934FE7">
        <w:rPr>
          <w:rFonts w:ascii="Arial" w:hAnsi="Arial" w:cs="Arial"/>
        </w:rPr>
        <w:t xml:space="preserve">, S. A., &amp; Sari, K. A., (2024). </w:t>
      </w:r>
      <w:r w:rsidRPr="00934FE7">
        <w:rPr>
          <w:rFonts w:ascii="Arial" w:hAnsi="Arial" w:cs="Arial"/>
          <w:i/>
          <w:iCs/>
        </w:rPr>
        <w:t xml:space="preserve">Implementation of a Double Exponential Smoothing Method for Musical </w:t>
      </w:r>
      <w:proofErr w:type="spellStart"/>
      <w:r w:rsidRPr="00934FE7">
        <w:rPr>
          <w:rFonts w:ascii="Arial" w:hAnsi="Arial" w:cs="Arial"/>
          <w:i/>
          <w:iCs/>
        </w:rPr>
        <w:t>Instrumen</w:t>
      </w:r>
      <w:proofErr w:type="spellEnd"/>
      <w:r w:rsidRPr="00934FE7">
        <w:rPr>
          <w:rFonts w:ascii="Arial" w:hAnsi="Arial" w:cs="Arial"/>
          <w:i/>
          <w:iCs/>
        </w:rPr>
        <w:t xml:space="preserve"> Sales </w:t>
      </w:r>
      <w:proofErr w:type="spellStart"/>
      <w:r w:rsidRPr="00934FE7">
        <w:rPr>
          <w:rFonts w:ascii="Arial" w:hAnsi="Arial" w:cs="Arial"/>
          <w:i/>
          <w:iCs/>
        </w:rPr>
        <w:t>Forcasting</w:t>
      </w:r>
      <w:proofErr w:type="spellEnd"/>
      <w:r w:rsidRPr="00934FE7">
        <w:rPr>
          <w:rFonts w:ascii="Arial" w:hAnsi="Arial" w:cs="Arial"/>
          <w:i/>
          <w:iCs/>
        </w:rPr>
        <w:t xml:space="preserve"> System</w:t>
      </w:r>
      <w:r w:rsidRPr="00934FE7">
        <w:rPr>
          <w:rFonts w:ascii="Arial" w:hAnsi="Arial" w:cs="Arial"/>
        </w:rPr>
        <w:t xml:space="preserve">. Integrated Technology Journal V10(2): p.125-133. ISSN: 2477-0043 </w:t>
      </w:r>
      <w:hyperlink r:id="rId27" w:history="1">
        <w:r w:rsidR="00E61152" w:rsidRPr="00433296">
          <w:rPr>
            <w:rStyle w:val="Hyperlink"/>
            <w:rFonts w:ascii="Arial" w:eastAsiaTheme="majorEastAsia" w:hAnsi="Arial" w:cs="Arial"/>
          </w:rPr>
          <w:t xml:space="preserve"> </w:t>
        </w:r>
      </w:hyperlink>
      <w:hyperlink r:id="rId28" w:history="1">
        <w:r w:rsidR="00E61152" w:rsidRPr="00E61152">
          <w:rPr>
            <w:rStyle w:val="Hyperlink"/>
            <w:rFonts w:ascii="Arial" w:eastAsiaTheme="majorEastAsia" w:hAnsi="Arial" w:cs="Arial"/>
            <w:lang w:val="en-ID"/>
          </w:rPr>
          <w:t>https://journal.nurulfikri.ac.id/index.php/jtt</w:t>
        </w:r>
      </w:hyperlink>
      <w:r w:rsidR="00E61152" w:rsidRPr="00E61152">
        <w:rPr>
          <w:rFonts w:ascii="Arial" w:eastAsiaTheme="majorEastAsia" w:hAnsi="Arial" w:cs="Arial"/>
          <w:lang w:val="en-ID"/>
        </w:rPr>
        <w:t xml:space="preserve">. </w:t>
      </w:r>
    </w:p>
    <w:p w14:paraId="023F92AB" w14:textId="44C121DD" w:rsidR="00043B16" w:rsidRDefault="00934FE7" w:rsidP="00127ED9">
      <w:pPr>
        <w:tabs>
          <w:tab w:val="left" w:pos="567"/>
          <w:tab w:val="left" w:pos="1418"/>
        </w:tabs>
        <w:spacing w:after="120"/>
        <w:ind w:left="567" w:hanging="567"/>
        <w:jc w:val="both"/>
      </w:pPr>
      <w:r w:rsidRPr="00934FE7">
        <w:rPr>
          <w:rFonts w:ascii="Arial" w:hAnsi="Arial" w:cs="Arial"/>
        </w:rPr>
        <w:t>Irawan, B. (2020). </w:t>
      </w:r>
      <w:r w:rsidRPr="00934FE7">
        <w:rPr>
          <w:rFonts w:ascii="Arial" w:hAnsi="Arial" w:cs="Arial"/>
          <w:i/>
          <w:iCs/>
        </w:rPr>
        <w:t>Price Fluctuations, Rate Transmission and Advertising Margins of Vegetables and Culmination</w:t>
      </w:r>
      <w:r w:rsidRPr="00934FE7">
        <w:rPr>
          <w:rFonts w:ascii="Arial" w:hAnsi="Arial" w:cs="Arial"/>
        </w:rPr>
        <w:t xml:space="preserve">. Agricultural Coverage Evaluation. Center For Socio-Economic Analysis </w:t>
      </w:r>
      <w:r w:rsidR="00AD032C" w:rsidRPr="00934FE7">
        <w:rPr>
          <w:rFonts w:ascii="Arial" w:hAnsi="Arial" w:cs="Arial"/>
        </w:rPr>
        <w:t>and</w:t>
      </w:r>
      <w:r w:rsidRPr="00934FE7">
        <w:rPr>
          <w:rFonts w:ascii="Arial" w:hAnsi="Arial" w:cs="Arial"/>
        </w:rPr>
        <w:t xml:space="preserve"> Agricultural Policy, Bogor.  5(4): p-358-373. p.358-373 </w:t>
      </w:r>
      <w:hyperlink r:id="rId29" w:history="1">
        <w:r w:rsidR="00043B16" w:rsidRPr="00433296">
          <w:rPr>
            <w:rStyle w:val="Hyperlink"/>
          </w:rPr>
          <w:t>https://media.neliti.com/media/publications/54761-ID-fluktuasi-harga-transmisi-harga-dan-marj.pdf</w:t>
        </w:r>
      </w:hyperlink>
    </w:p>
    <w:p w14:paraId="67749855" w14:textId="6F26BEC0" w:rsidR="00127ED9" w:rsidRPr="00147CFC" w:rsidRDefault="00127ED9" w:rsidP="00127ED9">
      <w:pPr>
        <w:tabs>
          <w:tab w:val="left" w:pos="567"/>
          <w:tab w:val="left" w:pos="1418"/>
        </w:tabs>
        <w:spacing w:after="120"/>
        <w:ind w:left="567" w:hanging="567"/>
        <w:jc w:val="both"/>
        <w:rPr>
          <w:rFonts w:ascii="Arial" w:hAnsi="Arial" w:cs="Arial"/>
          <w:lang w:val="en-ID"/>
        </w:rPr>
      </w:pPr>
      <w:r w:rsidRPr="00147CFC">
        <w:rPr>
          <w:rFonts w:ascii="Arial" w:hAnsi="Arial" w:cs="Arial"/>
          <w:lang w:val="en-ID"/>
        </w:rPr>
        <w:t xml:space="preserve">Jumiati, EJ., </w:t>
      </w:r>
      <w:proofErr w:type="spellStart"/>
      <w:r w:rsidRPr="00147CFC">
        <w:rPr>
          <w:rFonts w:ascii="Arial" w:hAnsi="Arial" w:cs="Arial"/>
          <w:lang w:val="en-ID"/>
        </w:rPr>
        <w:t>Darwanto</w:t>
      </w:r>
      <w:proofErr w:type="spellEnd"/>
      <w:r w:rsidRPr="00147CFC">
        <w:rPr>
          <w:rFonts w:ascii="Arial" w:hAnsi="Arial" w:cs="Arial"/>
          <w:lang w:val="en-ID"/>
        </w:rPr>
        <w:t xml:space="preserve">, DH., Hartono, S., dan </w:t>
      </w:r>
      <w:proofErr w:type="spellStart"/>
      <w:r w:rsidRPr="00147CFC">
        <w:rPr>
          <w:rFonts w:ascii="Arial" w:hAnsi="Arial" w:cs="Arial"/>
          <w:lang w:val="en-ID"/>
        </w:rPr>
        <w:t>Masyuri</w:t>
      </w:r>
      <w:proofErr w:type="spellEnd"/>
      <w:r w:rsidRPr="00147CFC">
        <w:rPr>
          <w:rFonts w:ascii="Arial" w:hAnsi="Arial" w:cs="Arial"/>
          <w:lang w:val="en-ID"/>
        </w:rPr>
        <w:t>.,</w:t>
      </w:r>
      <w:r>
        <w:rPr>
          <w:rFonts w:ascii="Arial" w:hAnsi="Arial" w:cs="Arial"/>
          <w:lang w:val="en-ID"/>
        </w:rPr>
        <w:t xml:space="preserve"> </w:t>
      </w:r>
      <w:r w:rsidRPr="00147CFC">
        <w:rPr>
          <w:rFonts w:ascii="Arial" w:hAnsi="Arial" w:cs="Arial"/>
          <w:lang w:val="en-ID"/>
        </w:rPr>
        <w:t xml:space="preserve">(2013). </w:t>
      </w:r>
      <w:r>
        <w:rPr>
          <w:rFonts w:ascii="Arial" w:hAnsi="Arial" w:cs="Arial"/>
          <w:lang w:val="en-ID"/>
        </w:rPr>
        <w:t xml:space="preserve">Analysis of marketing channels </w:t>
      </w:r>
      <w:proofErr w:type="spellStart"/>
      <w:r>
        <w:rPr>
          <w:rFonts w:ascii="Arial" w:hAnsi="Arial" w:cs="Arial"/>
          <w:lang w:val="en-ID"/>
        </w:rPr>
        <w:t>nd</w:t>
      </w:r>
      <w:proofErr w:type="spellEnd"/>
      <w:r>
        <w:rPr>
          <w:rFonts w:ascii="Arial" w:hAnsi="Arial" w:cs="Arial"/>
          <w:lang w:val="en-ID"/>
        </w:rPr>
        <w:t xml:space="preserve"> deep coconut marketing margins on the Border Area of East Kalimantan. </w:t>
      </w:r>
      <w:r w:rsidRPr="00147CFC">
        <w:rPr>
          <w:rFonts w:ascii="Arial" w:hAnsi="Arial" w:cs="Arial"/>
          <w:lang w:val="en-ID"/>
        </w:rPr>
        <w:t xml:space="preserve"> </w:t>
      </w:r>
      <w:proofErr w:type="spellStart"/>
      <w:r w:rsidRPr="00147CFC">
        <w:rPr>
          <w:rFonts w:ascii="Arial" w:hAnsi="Arial" w:cs="Arial"/>
          <w:lang w:val="en-ID"/>
        </w:rPr>
        <w:t>Jurnal</w:t>
      </w:r>
      <w:proofErr w:type="spellEnd"/>
      <w:r w:rsidRPr="00147CFC">
        <w:rPr>
          <w:rFonts w:ascii="Arial" w:hAnsi="Arial" w:cs="Arial"/>
          <w:lang w:val="en-ID"/>
        </w:rPr>
        <w:t xml:space="preserve"> AGROFOR Vol. XII No. 1. ISSN: 1412-6885.  </w:t>
      </w:r>
      <w:hyperlink r:id="rId30" w:history="1">
        <w:r w:rsidRPr="00147CFC">
          <w:rPr>
            <w:rStyle w:val="Hyperlink"/>
            <w:rFonts w:ascii="Arial" w:hAnsi="Arial" w:cs="Arial"/>
            <w:lang w:val="en-ID"/>
          </w:rPr>
          <w:t>https://doi.org/10.31293/af.v12i1.165</w:t>
        </w:r>
      </w:hyperlink>
    </w:p>
    <w:p w14:paraId="6B0FB2B7" w14:textId="6C31197F" w:rsidR="00934FE7" w:rsidRPr="00934FE7" w:rsidRDefault="00934FE7" w:rsidP="00CE6F8F">
      <w:pPr>
        <w:tabs>
          <w:tab w:val="left" w:pos="567"/>
          <w:tab w:val="left" w:pos="1418"/>
        </w:tabs>
        <w:spacing w:after="120"/>
        <w:ind w:left="567" w:hanging="567"/>
        <w:jc w:val="both"/>
        <w:rPr>
          <w:rFonts w:ascii="Arial" w:hAnsi="Arial" w:cs="Arial"/>
        </w:rPr>
      </w:pPr>
      <w:proofErr w:type="spellStart"/>
      <w:r w:rsidRPr="00934FE7">
        <w:rPr>
          <w:rFonts w:ascii="Arial" w:hAnsi="Arial" w:cs="Arial"/>
        </w:rPr>
        <w:t>Kiloes</w:t>
      </w:r>
      <w:proofErr w:type="spellEnd"/>
      <w:r w:rsidRPr="00934FE7">
        <w:rPr>
          <w:rFonts w:ascii="Arial" w:hAnsi="Arial" w:cs="Arial"/>
        </w:rPr>
        <w:t xml:space="preserve">, A. M., </w:t>
      </w:r>
      <w:proofErr w:type="spellStart"/>
      <w:r w:rsidRPr="00934FE7">
        <w:rPr>
          <w:rFonts w:ascii="Arial" w:hAnsi="Arial" w:cs="Arial"/>
        </w:rPr>
        <w:t>Hardiyanto</w:t>
      </w:r>
      <w:proofErr w:type="spellEnd"/>
      <w:r w:rsidRPr="00934FE7">
        <w:rPr>
          <w:rFonts w:ascii="Arial" w:hAnsi="Arial" w:cs="Arial"/>
        </w:rPr>
        <w:t xml:space="preserve">., </w:t>
      </w:r>
      <w:proofErr w:type="spellStart"/>
      <w:r w:rsidRPr="00934FE7">
        <w:rPr>
          <w:rFonts w:ascii="Arial" w:hAnsi="Arial" w:cs="Arial"/>
        </w:rPr>
        <w:t>Sulistyaningrum</w:t>
      </w:r>
      <w:proofErr w:type="spellEnd"/>
      <w:r w:rsidRPr="00934FE7">
        <w:rPr>
          <w:rFonts w:ascii="Arial" w:hAnsi="Arial" w:cs="Arial"/>
        </w:rPr>
        <w:t xml:space="preserve">, A. S., &amp; Syah, M. J. A. (2018). </w:t>
      </w:r>
      <w:r w:rsidRPr="00934FE7">
        <w:rPr>
          <w:rFonts w:ascii="Arial" w:hAnsi="Arial" w:cs="Arial"/>
          <w:i/>
          <w:iCs/>
        </w:rPr>
        <w:t xml:space="preserve">Shallot Agribusiness Development Strategy in Solok Regency. </w:t>
      </w:r>
      <w:proofErr w:type="spellStart"/>
      <w:r w:rsidRPr="00934FE7">
        <w:rPr>
          <w:rFonts w:ascii="Arial" w:hAnsi="Arial" w:cs="Arial"/>
        </w:rPr>
        <w:t>J.Hort</w:t>
      </w:r>
      <w:proofErr w:type="spellEnd"/>
      <w:r w:rsidRPr="00934FE7">
        <w:rPr>
          <w:rFonts w:ascii="Arial" w:hAnsi="Arial" w:cs="Arial"/>
        </w:rPr>
        <w:t>. 28(2): p.269-280.</w:t>
      </w:r>
      <w:r w:rsidR="00127ED9">
        <w:rPr>
          <w:rFonts w:ascii="Arial" w:hAnsi="Arial" w:cs="Arial"/>
        </w:rPr>
        <w:t xml:space="preserve"> </w:t>
      </w:r>
      <w:hyperlink r:id="rId31" w:history="1">
        <w:r w:rsidR="00127ED9" w:rsidRPr="00433296">
          <w:rPr>
            <w:rStyle w:val="Hyperlink"/>
            <w:rFonts w:ascii="Arial" w:hAnsi="Arial" w:cs="Arial"/>
          </w:rPr>
          <w:t>https://media.neliti.com/media/publications/277026-none-412de1e6.pdf</w:t>
        </w:r>
      </w:hyperlink>
      <w:r w:rsidR="00127ED9">
        <w:rPr>
          <w:rFonts w:ascii="Arial" w:hAnsi="Arial" w:cs="Arial"/>
        </w:rPr>
        <w:t xml:space="preserve"> </w:t>
      </w:r>
    </w:p>
    <w:p w14:paraId="2F1671BE" w14:textId="512B4CC0" w:rsidR="00934FE7" w:rsidRPr="00934FE7" w:rsidRDefault="00934FE7" w:rsidP="00043B16">
      <w:pPr>
        <w:tabs>
          <w:tab w:val="left" w:pos="567"/>
          <w:tab w:val="left" w:pos="1418"/>
        </w:tabs>
        <w:spacing w:after="120"/>
        <w:ind w:left="567" w:hanging="567"/>
        <w:rPr>
          <w:rFonts w:ascii="Arial" w:hAnsi="Arial" w:cs="Arial"/>
        </w:rPr>
      </w:pPr>
      <w:r w:rsidRPr="00934FE7">
        <w:rPr>
          <w:rFonts w:ascii="Arial" w:hAnsi="Arial" w:cs="Arial"/>
        </w:rPr>
        <w:t xml:space="preserve">Klau, A. D, </w:t>
      </w:r>
      <w:proofErr w:type="spellStart"/>
      <w:r w:rsidRPr="00934FE7">
        <w:rPr>
          <w:rFonts w:ascii="Arial" w:hAnsi="Arial" w:cs="Arial"/>
        </w:rPr>
        <w:t>Taena</w:t>
      </w:r>
      <w:proofErr w:type="spellEnd"/>
      <w:r w:rsidRPr="00934FE7">
        <w:rPr>
          <w:rFonts w:ascii="Arial" w:hAnsi="Arial" w:cs="Arial"/>
        </w:rPr>
        <w:t xml:space="preserve">, W., Kase, M. S, Blegur, F. A. A, &amp; </w:t>
      </w:r>
      <w:proofErr w:type="spellStart"/>
      <w:r w:rsidRPr="00934FE7">
        <w:rPr>
          <w:rFonts w:ascii="Arial" w:hAnsi="Arial" w:cs="Arial"/>
        </w:rPr>
        <w:t>Afoan</w:t>
      </w:r>
      <w:proofErr w:type="spellEnd"/>
      <w:r w:rsidRPr="00934FE7">
        <w:rPr>
          <w:rFonts w:ascii="Arial" w:hAnsi="Arial" w:cs="Arial"/>
        </w:rPr>
        <w:t xml:space="preserve">, F. (2023). </w:t>
      </w:r>
      <w:r w:rsidRPr="00934FE7">
        <w:rPr>
          <w:rFonts w:ascii="Arial" w:hAnsi="Arial" w:cs="Arial"/>
          <w:i/>
          <w:iCs/>
        </w:rPr>
        <w:t>Analysis of Regional Development Level and Spatial Pattern of Horticultural Agriculture Sub-Sector on Timor Island, East Nusa Tenggara Province</w:t>
      </w:r>
      <w:r w:rsidRPr="00934FE7">
        <w:rPr>
          <w:rFonts w:ascii="Arial" w:hAnsi="Arial" w:cs="Arial"/>
        </w:rPr>
        <w:t>. Scientific Journal of Village and Agriculture Development, 8(4), p.136–145.</w:t>
      </w:r>
      <w:r w:rsidRPr="00AD032C">
        <w:rPr>
          <w:rFonts w:ascii="Arial" w:hAnsi="Arial" w:cs="Arial"/>
        </w:rPr>
        <w:t xml:space="preserve"> </w:t>
      </w:r>
      <w:hyperlink r:id="rId32" w:history="1">
        <w:r w:rsidR="00127ED9" w:rsidRPr="00433296">
          <w:rPr>
            <w:rStyle w:val="Hyperlink"/>
          </w:rPr>
          <w:t>https://ejournal.agribisnis.uho.ac.id/index.php/JIMDP/article/view/228</w:t>
        </w:r>
      </w:hyperlink>
      <w:r w:rsidR="00127ED9">
        <w:t xml:space="preserve"> </w:t>
      </w:r>
    </w:p>
    <w:p w14:paraId="35AA81A3" w14:textId="33EB63A5" w:rsidR="004E6B58" w:rsidRPr="00934FE7" w:rsidRDefault="00AA4368" w:rsidP="00CE6F8F">
      <w:pPr>
        <w:tabs>
          <w:tab w:val="left" w:pos="567"/>
          <w:tab w:val="left" w:pos="1418"/>
        </w:tabs>
        <w:spacing w:after="120"/>
        <w:ind w:left="567" w:hanging="567"/>
        <w:jc w:val="both"/>
        <w:rPr>
          <w:rFonts w:ascii="Arial" w:hAnsi="Arial" w:cs="Arial"/>
        </w:rPr>
      </w:pPr>
      <w:proofErr w:type="spellStart"/>
      <w:r w:rsidRPr="00934FE7">
        <w:rPr>
          <w:rFonts w:ascii="Arial" w:hAnsi="Arial" w:cs="Arial"/>
        </w:rPr>
        <w:t>Nurmalia</w:t>
      </w:r>
      <w:proofErr w:type="spellEnd"/>
      <w:r w:rsidRPr="00934FE7">
        <w:rPr>
          <w:rFonts w:ascii="Arial" w:hAnsi="Arial" w:cs="Arial"/>
        </w:rPr>
        <w:t xml:space="preserve">., </w:t>
      </w:r>
      <w:proofErr w:type="spellStart"/>
      <w:r w:rsidRPr="00934FE7">
        <w:rPr>
          <w:rFonts w:ascii="Arial" w:hAnsi="Arial" w:cs="Arial"/>
        </w:rPr>
        <w:t>Agriawati</w:t>
      </w:r>
      <w:proofErr w:type="spellEnd"/>
      <w:r w:rsidRPr="00934FE7">
        <w:rPr>
          <w:rFonts w:ascii="Arial" w:hAnsi="Arial" w:cs="Arial"/>
        </w:rPr>
        <w:t xml:space="preserve">, D. P., </w:t>
      </w:r>
      <w:proofErr w:type="spellStart"/>
      <w:r w:rsidRPr="00934FE7">
        <w:rPr>
          <w:rFonts w:ascii="Arial" w:hAnsi="Arial" w:cs="Arial"/>
        </w:rPr>
        <w:t>Purba</w:t>
      </w:r>
      <w:proofErr w:type="spellEnd"/>
      <w:r w:rsidRPr="00934FE7">
        <w:rPr>
          <w:rFonts w:ascii="Arial" w:hAnsi="Arial" w:cs="Arial"/>
        </w:rPr>
        <w:t xml:space="preserve">, H. F., &amp; </w:t>
      </w:r>
      <w:proofErr w:type="spellStart"/>
      <w:r w:rsidRPr="00934FE7">
        <w:rPr>
          <w:rFonts w:ascii="Arial" w:hAnsi="Arial" w:cs="Arial"/>
        </w:rPr>
        <w:t>Purba</w:t>
      </w:r>
      <w:proofErr w:type="spellEnd"/>
      <w:r w:rsidRPr="00934FE7">
        <w:rPr>
          <w:rFonts w:ascii="Arial" w:hAnsi="Arial" w:cs="Arial"/>
        </w:rPr>
        <w:t xml:space="preserve"> T.P. (2021). </w:t>
      </w:r>
      <w:r w:rsidRPr="00934FE7">
        <w:rPr>
          <w:rFonts w:ascii="Arial" w:hAnsi="Arial" w:cs="Arial"/>
          <w:i/>
          <w:iCs/>
        </w:rPr>
        <w:t>Post-Harvest Handling and Storage of Red Onions (Allium ascalonicum L).</w:t>
      </w:r>
      <w:r w:rsidRPr="00934FE7">
        <w:rPr>
          <w:rFonts w:ascii="Arial" w:hAnsi="Arial" w:cs="Arial"/>
        </w:rPr>
        <w:t xml:space="preserve"> 5(1). E-ISSN: 2615-77</w:t>
      </w:r>
      <w:r w:rsidR="004D0B59" w:rsidRPr="00934FE7">
        <w:rPr>
          <w:rFonts w:ascii="Arial" w:hAnsi="Arial" w:cs="Arial"/>
          <w:i/>
          <w:iCs/>
        </w:rPr>
        <w:t xml:space="preserve">Anaslysis of Curly Chili Price Volatility in Indonesia Using the Arch </w:t>
      </w:r>
      <w:proofErr w:type="spellStart"/>
      <w:r w:rsidR="004D0B59" w:rsidRPr="00934FE7">
        <w:rPr>
          <w:rFonts w:ascii="Arial" w:hAnsi="Arial" w:cs="Arial"/>
          <w:i/>
          <w:iCs/>
        </w:rPr>
        <w:t>Garch</w:t>
      </w:r>
      <w:proofErr w:type="spellEnd"/>
      <w:r w:rsidR="004D0B59" w:rsidRPr="00934FE7">
        <w:rPr>
          <w:rFonts w:ascii="Arial" w:hAnsi="Arial" w:cs="Arial"/>
          <w:i/>
          <w:iCs/>
        </w:rPr>
        <w:t xml:space="preserve"> Aproach</w:t>
      </w:r>
      <w:r w:rsidRPr="00934FE7">
        <w:rPr>
          <w:rFonts w:ascii="Arial" w:hAnsi="Arial" w:cs="Arial"/>
        </w:rPr>
        <w:t>21. P-ISSN: 2620</w:t>
      </w:r>
      <w:r w:rsidRPr="00934FE7">
        <w:rPr>
          <w:rFonts w:ascii="Arial" w:hAnsi="Arial" w:cs="Arial"/>
        </w:rPr>
        <w:t xml:space="preserve">-8512. p.253-257 </w:t>
      </w:r>
      <w:hyperlink r:id="rId33" w:history="1">
        <w:r w:rsidR="004D0B59" w:rsidRPr="00433296">
          <w:rPr>
            <w:rStyle w:val="Hyperlink"/>
          </w:rPr>
          <w:t>https://media.neliti.com/media/publications/365981-none-450dc320.pdf</w:t>
        </w:r>
      </w:hyperlink>
      <w:r w:rsidR="004D0B59">
        <w:t xml:space="preserve"> </w:t>
      </w:r>
      <w:r w:rsidRPr="00AD032C">
        <w:rPr>
          <w:rFonts w:ascii="Arial" w:hAnsi="Arial" w:cs="Arial"/>
        </w:rPr>
        <w:t xml:space="preserve"> </w:t>
      </w:r>
    </w:p>
    <w:p w14:paraId="73C27DC8" w14:textId="7CDF64D2" w:rsidR="00E61152" w:rsidRPr="00E61152" w:rsidRDefault="00934FE7" w:rsidP="00E61152">
      <w:pPr>
        <w:tabs>
          <w:tab w:val="left" w:pos="567"/>
          <w:tab w:val="left" w:pos="1418"/>
        </w:tabs>
        <w:spacing w:after="120"/>
        <w:ind w:left="567" w:hanging="567"/>
        <w:jc w:val="both"/>
        <w:rPr>
          <w:rFonts w:ascii="Arial" w:eastAsiaTheme="majorEastAsia" w:hAnsi="Arial" w:cs="Arial"/>
          <w:lang w:val="en-ID"/>
        </w:rPr>
      </w:pPr>
      <w:r w:rsidRPr="00934FE7">
        <w:rPr>
          <w:rFonts w:ascii="Arial" w:hAnsi="Arial" w:cs="Arial"/>
        </w:rPr>
        <w:t xml:space="preserve">Pipit, </w:t>
      </w:r>
      <w:proofErr w:type="spellStart"/>
      <w:r w:rsidRPr="00934FE7">
        <w:rPr>
          <w:rFonts w:ascii="Arial" w:hAnsi="Arial" w:cs="Arial"/>
        </w:rPr>
        <w:t>Pranoto</w:t>
      </w:r>
      <w:proofErr w:type="spellEnd"/>
      <w:r w:rsidRPr="00934FE7">
        <w:rPr>
          <w:rFonts w:ascii="Arial" w:hAnsi="Arial" w:cs="Arial"/>
        </w:rPr>
        <w:t xml:space="preserve">, Y. S., &amp; </w:t>
      </w:r>
      <w:proofErr w:type="spellStart"/>
      <w:r w:rsidRPr="00934FE7">
        <w:rPr>
          <w:rFonts w:ascii="Arial" w:hAnsi="Arial" w:cs="Arial"/>
        </w:rPr>
        <w:t>Evahelda</w:t>
      </w:r>
      <w:proofErr w:type="spellEnd"/>
      <w:r w:rsidRPr="00934FE7">
        <w:rPr>
          <w:rFonts w:ascii="Arial" w:hAnsi="Arial" w:cs="Arial"/>
        </w:rPr>
        <w:t xml:space="preserve">. (2019). </w:t>
      </w:r>
      <w:r w:rsidRPr="00934FE7">
        <w:rPr>
          <w:rFonts w:ascii="Arial" w:hAnsi="Arial" w:cs="Arial"/>
          <w:i/>
          <w:iCs/>
        </w:rPr>
        <w:t>Analysis of beef Price Volatility in Bangka Belitung Islands Province</w:t>
      </w:r>
      <w:r w:rsidRPr="00934FE7">
        <w:rPr>
          <w:rFonts w:ascii="Arial" w:hAnsi="Arial" w:cs="Arial"/>
        </w:rPr>
        <w:t xml:space="preserve">. Journal of Agricultural Economics and Agribusiness (JEPA) ISSN: 2614-4670 (p), ISSN: 2598-8174 (e) Volume 3, Number 3: p.619-630. </w:t>
      </w:r>
      <w:hyperlink r:id="rId34" w:history="1">
        <w:r w:rsidR="00E61152" w:rsidRPr="00433296">
          <w:rPr>
            <w:rStyle w:val="Hyperlink"/>
            <w:rFonts w:ascii="Arial" w:eastAsiaTheme="majorEastAsia" w:hAnsi="Arial" w:cs="Arial"/>
            <w:lang w:val="en-ID"/>
          </w:rPr>
          <w:t>https://doi.org/10.21776/ub.jepa.2019.003.03.17</w:t>
        </w:r>
      </w:hyperlink>
    </w:p>
    <w:p w14:paraId="59CE5A50" w14:textId="00873FAB" w:rsidR="00934FE7" w:rsidRPr="00934FE7" w:rsidRDefault="00934FE7" w:rsidP="00CE6F8F">
      <w:pPr>
        <w:tabs>
          <w:tab w:val="left" w:pos="567"/>
          <w:tab w:val="left" w:pos="1418"/>
        </w:tabs>
        <w:spacing w:after="120"/>
        <w:ind w:left="567" w:hanging="567"/>
        <w:jc w:val="both"/>
        <w:rPr>
          <w:rFonts w:ascii="Arial" w:hAnsi="Arial" w:cs="Arial"/>
        </w:rPr>
      </w:pPr>
      <w:proofErr w:type="spellStart"/>
      <w:r w:rsidRPr="00934FE7">
        <w:rPr>
          <w:rFonts w:ascii="Arial" w:hAnsi="Arial" w:cs="Arial"/>
        </w:rPr>
        <w:t>Purwaningsih</w:t>
      </w:r>
      <w:proofErr w:type="spellEnd"/>
      <w:r w:rsidRPr="00934FE7">
        <w:rPr>
          <w:rFonts w:ascii="Arial" w:hAnsi="Arial" w:cs="Arial"/>
        </w:rPr>
        <w:t xml:space="preserve">, Y. P. (2008). </w:t>
      </w:r>
      <w:r w:rsidRPr="00934FE7">
        <w:rPr>
          <w:rFonts w:ascii="Arial" w:hAnsi="Arial" w:cs="Arial"/>
          <w:i/>
          <w:iCs/>
        </w:rPr>
        <w:t>Food Security: Solution, Problems, Policies, and Community Empowerment.</w:t>
      </w:r>
      <w:r w:rsidRPr="00934FE7">
        <w:rPr>
          <w:rFonts w:ascii="Arial" w:hAnsi="Arial" w:cs="Arial"/>
        </w:rPr>
        <w:t xml:space="preserve"> Journal of Development Economics 9(1): e-ISSN: 2460-9331: p. 1 – 27.</w:t>
      </w:r>
      <w:r w:rsidR="004D0B59">
        <w:rPr>
          <w:rFonts w:ascii="Arial" w:hAnsi="Arial" w:cs="Arial"/>
        </w:rPr>
        <w:t xml:space="preserve"> </w:t>
      </w:r>
      <w:hyperlink r:id="rId35" w:history="1">
        <w:r w:rsidR="004D0B59" w:rsidRPr="00433296">
          <w:rPr>
            <w:rStyle w:val="Hyperlink"/>
            <w:rFonts w:ascii="Arial" w:hAnsi="Arial" w:cs="Arial"/>
          </w:rPr>
          <w:t>https://journals.ums.ac.id/index.php/JEP/article/view/1028/701</w:t>
        </w:r>
      </w:hyperlink>
      <w:r w:rsidR="004D0B59">
        <w:rPr>
          <w:rFonts w:ascii="Arial" w:hAnsi="Arial" w:cs="Arial"/>
        </w:rPr>
        <w:t xml:space="preserve"> </w:t>
      </w:r>
    </w:p>
    <w:p w14:paraId="26B0D461" w14:textId="16766B4D"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lastRenderedPageBreak/>
        <w:t xml:space="preserve">Putri, I. P., Arifin, B. A., &amp; </w:t>
      </w:r>
      <w:proofErr w:type="spellStart"/>
      <w:r w:rsidRPr="00934FE7">
        <w:rPr>
          <w:rFonts w:ascii="Arial" w:hAnsi="Arial" w:cs="Arial"/>
        </w:rPr>
        <w:t>Murniati</w:t>
      </w:r>
      <w:proofErr w:type="spellEnd"/>
      <w:r w:rsidRPr="00934FE7">
        <w:rPr>
          <w:rFonts w:ascii="Arial" w:hAnsi="Arial" w:cs="Arial"/>
        </w:rPr>
        <w:t>, k. M. (2021). </w:t>
      </w:r>
      <w:r w:rsidRPr="00934FE7">
        <w:rPr>
          <w:rFonts w:ascii="Arial" w:hAnsi="Arial" w:cs="Arial"/>
          <w:i/>
          <w:iCs/>
        </w:rPr>
        <w:t xml:space="preserve">Analysis of Earnings and Technical Performance of Shallot Farming in </w:t>
      </w:r>
      <w:proofErr w:type="spellStart"/>
      <w:r w:rsidRPr="00934FE7">
        <w:rPr>
          <w:rFonts w:ascii="Arial" w:hAnsi="Arial" w:cs="Arial"/>
          <w:i/>
          <w:iCs/>
        </w:rPr>
        <w:t>Gunung</w:t>
      </w:r>
      <w:proofErr w:type="spellEnd"/>
      <w:r w:rsidRPr="00934FE7">
        <w:rPr>
          <w:rFonts w:ascii="Arial" w:hAnsi="Arial" w:cs="Arial"/>
          <w:i/>
          <w:iCs/>
        </w:rPr>
        <w:t xml:space="preserve"> </w:t>
      </w:r>
      <w:proofErr w:type="spellStart"/>
      <w:r w:rsidRPr="00934FE7">
        <w:rPr>
          <w:rFonts w:ascii="Arial" w:hAnsi="Arial" w:cs="Arial"/>
          <w:i/>
          <w:iCs/>
        </w:rPr>
        <w:t>Alif</w:t>
      </w:r>
      <w:proofErr w:type="spellEnd"/>
      <w:r w:rsidRPr="00934FE7">
        <w:rPr>
          <w:rFonts w:ascii="Arial" w:hAnsi="Arial" w:cs="Arial"/>
          <w:i/>
          <w:iCs/>
        </w:rPr>
        <w:t xml:space="preserve"> District, </w:t>
      </w:r>
      <w:proofErr w:type="spellStart"/>
      <w:r w:rsidRPr="00934FE7">
        <w:rPr>
          <w:rFonts w:ascii="Arial" w:hAnsi="Arial" w:cs="Arial"/>
          <w:i/>
          <w:iCs/>
        </w:rPr>
        <w:t>Tanggamus</w:t>
      </w:r>
      <w:proofErr w:type="spellEnd"/>
      <w:r w:rsidRPr="00934FE7">
        <w:rPr>
          <w:rFonts w:ascii="Arial" w:hAnsi="Arial" w:cs="Arial"/>
          <w:i/>
          <w:iCs/>
        </w:rPr>
        <w:t xml:space="preserve"> Regency, Lampung Province</w:t>
      </w:r>
      <w:r w:rsidRPr="00934FE7">
        <w:rPr>
          <w:rFonts w:ascii="Arial" w:hAnsi="Arial" w:cs="Arial"/>
        </w:rPr>
        <w:t xml:space="preserve">. magazine of agribusiness science, 9(1). E-ISSN: 2620-4177: p.62-69. </w:t>
      </w:r>
      <w:hyperlink r:id="rId36" w:history="1">
        <w:r w:rsidR="004D0B59" w:rsidRPr="00433296">
          <w:rPr>
            <w:rStyle w:val="Hyperlink"/>
          </w:rPr>
          <w:t>https://jurnal.fp.unila.ac.id/index.php/JIA/article/view/4820/3415</w:t>
        </w:r>
      </w:hyperlink>
      <w:r w:rsidR="004D0B59">
        <w:t xml:space="preserve"> </w:t>
      </w:r>
      <w:r w:rsidRPr="00934FE7">
        <w:rPr>
          <w:rFonts w:ascii="Arial" w:hAnsi="Arial" w:cs="Arial"/>
        </w:rPr>
        <w:t xml:space="preserve"> </w:t>
      </w:r>
    </w:p>
    <w:p w14:paraId="74AF3AF9" w14:textId="7EC3093E"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Ramadhani, M., </w:t>
      </w:r>
      <w:proofErr w:type="spellStart"/>
      <w:r w:rsidRPr="00934FE7">
        <w:rPr>
          <w:rFonts w:ascii="Arial" w:hAnsi="Arial" w:cs="Arial"/>
        </w:rPr>
        <w:t>Rosiana</w:t>
      </w:r>
      <w:proofErr w:type="spellEnd"/>
      <w:r w:rsidRPr="00934FE7">
        <w:rPr>
          <w:rFonts w:ascii="Arial" w:hAnsi="Arial" w:cs="Arial"/>
        </w:rPr>
        <w:t>, N. (2025). </w:t>
      </w:r>
      <w:proofErr w:type="spellStart"/>
      <w:r w:rsidR="004D0B59" w:rsidRPr="00934FE7">
        <w:rPr>
          <w:rFonts w:ascii="Arial" w:hAnsi="Arial" w:cs="Arial"/>
          <w:i/>
          <w:iCs/>
        </w:rPr>
        <w:t>Analisis</w:t>
      </w:r>
      <w:proofErr w:type="spellEnd"/>
      <w:r w:rsidR="004D0B59" w:rsidRPr="00934FE7">
        <w:rPr>
          <w:rFonts w:ascii="Arial" w:hAnsi="Arial" w:cs="Arial"/>
          <w:i/>
          <w:iCs/>
        </w:rPr>
        <w:t xml:space="preserve"> </w:t>
      </w:r>
      <w:proofErr w:type="spellStart"/>
      <w:r w:rsidR="004D0B59" w:rsidRPr="00934FE7">
        <w:rPr>
          <w:rFonts w:ascii="Arial" w:hAnsi="Arial" w:cs="Arial"/>
          <w:i/>
          <w:iCs/>
        </w:rPr>
        <w:t>Volatiitas</w:t>
      </w:r>
      <w:proofErr w:type="spellEnd"/>
      <w:r w:rsidR="004D0B59" w:rsidRPr="00934FE7">
        <w:rPr>
          <w:rFonts w:ascii="Arial" w:hAnsi="Arial" w:cs="Arial"/>
          <w:i/>
          <w:iCs/>
        </w:rPr>
        <w:t xml:space="preserve"> </w:t>
      </w:r>
      <w:proofErr w:type="spellStart"/>
      <w:r w:rsidR="004D0B59" w:rsidRPr="00934FE7">
        <w:rPr>
          <w:rFonts w:ascii="Arial" w:hAnsi="Arial" w:cs="Arial"/>
          <w:i/>
          <w:iCs/>
        </w:rPr>
        <w:t>Harga</w:t>
      </w:r>
      <w:proofErr w:type="spellEnd"/>
      <w:r w:rsidR="004D0B59" w:rsidRPr="00934FE7">
        <w:rPr>
          <w:rFonts w:ascii="Arial" w:hAnsi="Arial" w:cs="Arial"/>
          <w:i/>
          <w:iCs/>
        </w:rPr>
        <w:t xml:space="preserve"> dan </w:t>
      </w:r>
      <w:proofErr w:type="spellStart"/>
      <w:r w:rsidR="004D0B59" w:rsidRPr="00934FE7">
        <w:rPr>
          <w:rFonts w:ascii="Arial" w:hAnsi="Arial" w:cs="Arial"/>
          <w:i/>
          <w:iCs/>
        </w:rPr>
        <w:t>Integrasi</w:t>
      </w:r>
      <w:proofErr w:type="spellEnd"/>
      <w:r w:rsidR="004D0B59" w:rsidRPr="00934FE7">
        <w:rPr>
          <w:rFonts w:ascii="Arial" w:hAnsi="Arial" w:cs="Arial"/>
          <w:i/>
          <w:iCs/>
        </w:rPr>
        <w:t xml:space="preserve"> </w:t>
      </w:r>
      <w:proofErr w:type="spellStart"/>
      <w:r w:rsidR="004D0B59" w:rsidRPr="00934FE7">
        <w:rPr>
          <w:rFonts w:ascii="Arial" w:hAnsi="Arial" w:cs="Arial"/>
          <w:i/>
          <w:iCs/>
        </w:rPr>
        <w:t>Vertikal</w:t>
      </w:r>
      <w:proofErr w:type="spellEnd"/>
      <w:r w:rsidR="004D0B59" w:rsidRPr="00934FE7">
        <w:rPr>
          <w:rFonts w:ascii="Arial" w:hAnsi="Arial" w:cs="Arial"/>
          <w:i/>
          <w:iCs/>
        </w:rPr>
        <w:t xml:space="preserve"> Pasar </w:t>
      </w:r>
      <w:proofErr w:type="spellStart"/>
      <w:r w:rsidR="004D0B59" w:rsidRPr="00934FE7">
        <w:rPr>
          <w:rFonts w:ascii="Arial" w:hAnsi="Arial" w:cs="Arial"/>
          <w:i/>
          <w:iCs/>
        </w:rPr>
        <w:t>Minyak</w:t>
      </w:r>
      <w:proofErr w:type="spellEnd"/>
      <w:r w:rsidR="004D0B59" w:rsidRPr="00934FE7">
        <w:rPr>
          <w:rFonts w:ascii="Arial" w:hAnsi="Arial" w:cs="Arial"/>
          <w:i/>
          <w:iCs/>
        </w:rPr>
        <w:t xml:space="preserve"> Goreng di Indonesia</w:t>
      </w:r>
      <w:r w:rsidRPr="00934FE7">
        <w:rPr>
          <w:rFonts w:ascii="Arial" w:hAnsi="Arial" w:cs="Arial"/>
          <w:i/>
          <w:iCs/>
        </w:rPr>
        <w:t>.</w:t>
      </w:r>
      <w:r w:rsidRPr="00934FE7">
        <w:rPr>
          <w:rFonts w:ascii="Arial" w:hAnsi="Arial" w:cs="Arial"/>
        </w:rPr>
        <w:t xml:space="preserve"> Journal of Agricultural Economics and Agribusiness (JEPA) ISSN: 2614-4670 (p), ISSN: 2598-8174 (e) Volume 9, Number 2. p.642-655. </w:t>
      </w:r>
      <w:hyperlink r:id="rId37" w:history="1">
        <w:r w:rsidR="005D6A23" w:rsidRPr="00433296">
          <w:rPr>
            <w:rStyle w:val="Hyperlink"/>
          </w:rPr>
          <w:t>https://jepa.ub.ac.id/index.php/jepa/article/view/3275</w:t>
        </w:r>
      </w:hyperlink>
      <w:r w:rsidR="005D6A23">
        <w:t xml:space="preserve"> </w:t>
      </w:r>
    </w:p>
    <w:p w14:paraId="638B7FCE" w14:textId="26969AF0"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Ridha, M. R, &amp; </w:t>
      </w:r>
      <w:proofErr w:type="spellStart"/>
      <w:r w:rsidRPr="00934FE7">
        <w:rPr>
          <w:rFonts w:ascii="Arial" w:hAnsi="Arial" w:cs="Arial"/>
        </w:rPr>
        <w:t>Wobowo</w:t>
      </w:r>
      <w:proofErr w:type="spellEnd"/>
      <w:r w:rsidRPr="00934FE7">
        <w:rPr>
          <w:rFonts w:ascii="Arial" w:hAnsi="Arial" w:cs="Arial"/>
        </w:rPr>
        <w:t xml:space="preserve">, A. (2020). </w:t>
      </w:r>
      <w:r w:rsidRPr="00934FE7">
        <w:rPr>
          <w:rFonts w:ascii="Arial" w:hAnsi="Arial" w:cs="Arial"/>
          <w:i/>
          <w:iCs/>
        </w:rPr>
        <w:t xml:space="preserve">Volatility of Consumer Goods Sector Stoch Index Return in Indonesia: </w:t>
      </w:r>
      <w:proofErr w:type="spellStart"/>
      <w:r w:rsidRPr="00934FE7">
        <w:rPr>
          <w:rFonts w:ascii="Arial" w:hAnsi="Arial" w:cs="Arial"/>
          <w:i/>
          <w:iCs/>
        </w:rPr>
        <w:t>Aplication</w:t>
      </w:r>
      <w:proofErr w:type="spellEnd"/>
      <w:r w:rsidRPr="00934FE7">
        <w:rPr>
          <w:rFonts w:ascii="Arial" w:hAnsi="Arial" w:cs="Arial"/>
          <w:i/>
          <w:iCs/>
        </w:rPr>
        <w:t xml:space="preserve"> of </w:t>
      </w:r>
      <w:proofErr w:type="spellStart"/>
      <w:r w:rsidRPr="00934FE7">
        <w:rPr>
          <w:rFonts w:ascii="Arial" w:hAnsi="Arial" w:cs="Arial"/>
          <w:i/>
          <w:iCs/>
        </w:rPr>
        <w:t>treshold-Garch</w:t>
      </w:r>
      <w:proofErr w:type="spellEnd"/>
      <w:r w:rsidRPr="00934FE7">
        <w:rPr>
          <w:rFonts w:ascii="Arial" w:hAnsi="Arial" w:cs="Arial"/>
          <w:i/>
          <w:iCs/>
        </w:rPr>
        <w:t xml:space="preserve"> Method (TGARCH).</w:t>
      </w:r>
      <w:r w:rsidRPr="00934FE7">
        <w:rPr>
          <w:rFonts w:ascii="Arial" w:hAnsi="Arial" w:cs="Arial"/>
        </w:rPr>
        <w:t xml:space="preserve"> Journal of statistics and Its Applications. Volume 2 Number 1. p-ISSN: 2685-8738 e-ISSN: 2685-872X. </w:t>
      </w:r>
      <w:hyperlink r:id="rId38" w:history="1">
        <w:r w:rsidR="00527760" w:rsidRPr="00D6632C">
          <w:rPr>
            <w:rStyle w:val="Hyperlink"/>
            <w:rFonts w:ascii="Arial" w:eastAsiaTheme="majorEastAsia" w:hAnsi="Arial" w:cs="Arial"/>
          </w:rPr>
          <w:t>https://doi:10.30598/variance</w:t>
        </w:r>
        <w:r w:rsidR="00527760" w:rsidRPr="00D6632C">
          <w:rPr>
            <w:rStyle w:val="Hyperlink"/>
          </w:rPr>
          <w:t xml:space="preserve">   </w:t>
        </w:r>
      </w:hyperlink>
    </w:p>
    <w:p w14:paraId="23AB4EC8" w14:textId="2CD364F5" w:rsidR="00AD032C" w:rsidRPr="00934FE7" w:rsidRDefault="00AD032C"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Sahara, Utari, M. H., &amp; </w:t>
      </w:r>
      <w:proofErr w:type="spellStart"/>
      <w:r w:rsidRPr="00934FE7">
        <w:rPr>
          <w:rFonts w:ascii="Arial" w:hAnsi="Arial" w:cs="Arial"/>
        </w:rPr>
        <w:t>Azijah</w:t>
      </w:r>
      <w:proofErr w:type="spellEnd"/>
      <w:r w:rsidRPr="00934FE7">
        <w:rPr>
          <w:rFonts w:ascii="Arial" w:hAnsi="Arial" w:cs="Arial"/>
        </w:rPr>
        <w:t xml:space="preserve">, Z. (2019). </w:t>
      </w:r>
      <w:r w:rsidRPr="00934FE7">
        <w:rPr>
          <w:rFonts w:ascii="Arial" w:hAnsi="Arial" w:cs="Arial"/>
          <w:i/>
          <w:iCs/>
        </w:rPr>
        <w:t>Shallot Price Volatility in Indonesia, Scientific Bulletin of Trade Research and Development</w:t>
      </w:r>
      <w:r w:rsidRPr="00934FE7">
        <w:rPr>
          <w:rFonts w:ascii="Arial" w:hAnsi="Arial" w:cs="Arial"/>
        </w:rPr>
        <w:t xml:space="preserve">. 13(2): p.309-336. </w:t>
      </w:r>
      <w:hyperlink r:id="rId39" w:history="1">
        <w:r w:rsidR="00E61152" w:rsidRPr="00D6632C">
          <w:rPr>
            <w:rStyle w:val="Hyperlink"/>
            <w:rFonts w:ascii="Arial" w:hAnsi="Arial" w:cs="Arial"/>
          </w:rPr>
          <w:t xml:space="preserve">https://jurnal.kemendag.go.id/index.php/bilp/article/view/419  </w:t>
        </w:r>
      </w:hyperlink>
    </w:p>
    <w:p w14:paraId="5D46956C" w14:textId="21BB3AD5" w:rsidR="00934FE7" w:rsidRPr="00934FE7" w:rsidRDefault="00934FE7" w:rsidP="00CE6F8F">
      <w:pPr>
        <w:tabs>
          <w:tab w:val="left" w:pos="426"/>
          <w:tab w:val="left" w:pos="1418"/>
        </w:tabs>
        <w:spacing w:after="120"/>
        <w:ind w:left="567" w:hanging="567"/>
        <w:jc w:val="both"/>
        <w:rPr>
          <w:rFonts w:ascii="Arial" w:hAnsi="Arial" w:cs="Arial"/>
        </w:rPr>
      </w:pPr>
      <w:proofErr w:type="spellStart"/>
      <w:r w:rsidRPr="00934FE7">
        <w:rPr>
          <w:rFonts w:ascii="Arial" w:hAnsi="Arial" w:cs="Arial"/>
        </w:rPr>
        <w:t>Salasa</w:t>
      </w:r>
      <w:proofErr w:type="spellEnd"/>
      <w:r w:rsidRPr="00934FE7">
        <w:rPr>
          <w:rFonts w:ascii="Arial" w:hAnsi="Arial" w:cs="Arial"/>
        </w:rPr>
        <w:t xml:space="preserve">, A. R. (2021). </w:t>
      </w:r>
      <w:r w:rsidRPr="00934FE7">
        <w:rPr>
          <w:rFonts w:ascii="Arial" w:hAnsi="Arial" w:cs="Arial"/>
          <w:i/>
          <w:iCs/>
        </w:rPr>
        <w:t>Paradigm and Dimensions of Indonesia's Food Security Strategy. Public Administration Network</w:t>
      </w:r>
      <w:r w:rsidRPr="00934FE7">
        <w:rPr>
          <w:rFonts w:ascii="Arial" w:hAnsi="Arial" w:cs="Arial"/>
        </w:rPr>
        <w:t xml:space="preserve">, Vol. 13 (1): p.35-48. </w:t>
      </w:r>
      <w:hyperlink r:id="rId40" w:history="1">
        <w:r w:rsidR="00E61152" w:rsidRPr="00D6632C">
          <w:rPr>
            <w:rStyle w:val="Hyperlink"/>
            <w:rFonts w:ascii="Arial" w:hAnsi="Arial" w:cs="Arial"/>
          </w:rPr>
          <w:t>https://e-journal.unair.ac.id</w:t>
        </w:r>
      </w:hyperlink>
    </w:p>
    <w:p w14:paraId="26EB1675" w14:textId="35B4B6AA" w:rsidR="00AD032C" w:rsidRDefault="00AD032C" w:rsidP="00CE6F8F">
      <w:pPr>
        <w:tabs>
          <w:tab w:val="left" w:pos="567"/>
          <w:tab w:val="left" w:pos="1418"/>
        </w:tabs>
        <w:spacing w:after="120"/>
        <w:ind w:left="567" w:hanging="567"/>
        <w:jc w:val="both"/>
        <w:rPr>
          <w:rFonts w:ascii="Arial" w:hAnsi="Arial" w:cs="Arial"/>
        </w:rPr>
      </w:pPr>
      <w:proofErr w:type="spellStart"/>
      <w:r w:rsidRPr="00934FE7">
        <w:rPr>
          <w:rFonts w:ascii="Arial" w:hAnsi="Arial" w:cs="Arial"/>
        </w:rPr>
        <w:t>Sitinjak</w:t>
      </w:r>
      <w:proofErr w:type="spellEnd"/>
      <w:r w:rsidRPr="00934FE7">
        <w:rPr>
          <w:rFonts w:ascii="Arial" w:hAnsi="Arial" w:cs="Arial"/>
        </w:rPr>
        <w:t xml:space="preserve">, W. S., &amp; Sinaga, R. S. (2022). </w:t>
      </w:r>
      <w:r w:rsidRPr="00934FE7">
        <w:rPr>
          <w:rFonts w:ascii="Arial" w:hAnsi="Arial" w:cs="Arial"/>
          <w:i/>
          <w:iCs/>
        </w:rPr>
        <w:t xml:space="preserve">Analysis of Farming Income and Factors </w:t>
      </w:r>
      <w:proofErr w:type="spellStart"/>
      <w:r w:rsidRPr="00934FE7">
        <w:rPr>
          <w:rFonts w:ascii="Arial" w:hAnsi="Arial" w:cs="Arial"/>
          <w:i/>
          <w:iCs/>
        </w:rPr>
        <w:t>Influencig</w:t>
      </w:r>
      <w:proofErr w:type="spellEnd"/>
      <w:r w:rsidRPr="00934FE7">
        <w:rPr>
          <w:rFonts w:ascii="Arial" w:hAnsi="Arial" w:cs="Arial"/>
          <w:i/>
          <w:iCs/>
        </w:rPr>
        <w:t xml:space="preserve"> Shallot Receipts in </w:t>
      </w:r>
      <w:proofErr w:type="spellStart"/>
      <w:r w:rsidRPr="00934FE7">
        <w:rPr>
          <w:rFonts w:ascii="Arial" w:hAnsi="Arial" w:cs="Arial"/>
          <w:i/>
          <w:iCs/>
        </w:rPr>
        <w:t>Purba</w:t>
      </w:r>
      <w:proofErr w:type="spellEnd"/>
      <w:r w:rsidRPr="00934FE7">
        <w:rPr>
          <w:rFonts w:ascii="Arial" w:hAnsi="Arial" w:cs="Arial"/>
          <w:i/>
          <w:iCs/>
        </w:rPr>
        <w:t xml:space="preserve"> District, </w:t>
      </w:r>
      <w:proofErr w:type="spellStart"/>
      <w:r w:rsidRPr="00934FE7">
        <w:rPr>
          <w:rFonts w:ascii="Arial" w:hAnsi="Arial" w:cs="Arial"/>
          <w:i/>
          <w:iCs/>
        </w:rPr>
        <w:t>Simalungun</w:t>
      </w:r>
      <w:proofErr w:type="spellEnd"/>
      <w:r w:rsidRPr="00934FE7">
        <w:rPr>
          <w:rFonts w:ascii="Arial" w:hAnsi="Arial" w:cs="Arial"/>
          <w:i/>
          <w:iCs/>
        </w:rPr>
        <w:t xml:space="preserve"> Regency.</w:t>
      </w:r>
      <w:r w:rsidRPr="00934FE7">
        <w:rPr>
          <w:rFonts w:ascii="Arial" w:hAnsi="Arial" w:cs="Arial"/>
        </w:rPr>
        <w:t xml:space="preserve"> </w:t>
      </w:r>
      <w:proofErr w:type="spellStart"/>
      <w:r w:rsidRPr="00934FE7">
        <w:rPr>
          <w:rFonts w:ascii="Arial" w:hAnsi="Arial" w:cs="Arial"/>
        </w:rPr>
        <w:t>Agriprimatech</w:t>
      </w:r>
      <w:proofErr w:type="spellEnd"/>
      <w:r w:rsidRPr="00934FE7">
        <w:rPr>
          <w:rFonts w:ascii="Arial" w:hAnsi="Arial" w:cs="Arial"/>
        </w:rPr>
        <w:t xml:space="preserve"> 6(1). e-ISSN: p.2621-6566. </w:t>
      </w:r>
      <w:r w:rsidR="00E61152">
        <w:rPr>
          <w:rFonts w:ascii="Arial" w:hAnsi="Arial" w:cs="Arial"/>
        </w:rPr>
        <w:t xml:space="preserve"> </w:t>
      </w:r>
      <w:hyperlink r:id="rId41" w:history="1">
        <w:r w:rsidR="004D0B59" w:rsidRPr="00433296">
          <w:rPr>
            <w:rStyle w:val="Hyperlink"/>
            <w:rFonts w:ascii="Arial" w:hAnsi="Arial" w:cs="Arial"/>
          </w:rPr>
          <w:t>https://doi.org/10.34012/agriprimatech.v5i2.2971</w:t>
        </w:r>
      </w:hyperlink>
      <w:r w:rsidR="004D0B59">
        <w:rPr>
          <w:rFonts w:ascii="Arial" w:hAnsi="Arial" w:cs="Arial"/>
        </w:rPr>
        <w:t xml:space="preserve"> </w:t>
      </w:r>
    </w:p>
    <w:p w14:paraId="42D5A38B" w14:textId="4615EFE0" w:rsidR="004E6B58" w:rsidRPr="00934FE7" w:rsidRDefault="00AA4368" w:rsidP="00CE6F8F">
      <w:pPr>
        <w:tabs>
          <w:tab w:val="left" w:pos="567"/>
          <w:tab w:val="left" w:pos="1418"/>
        </w:tabs>
        <w:spacing w:after="120"/>
        <w:ind w:left="567" w:hanging="567"/>
        <w:jc w:val="both"/>
        <w:rPr>
          <w:rFonts w:ascii="Arial" w:hAnsi="Arial" w:cs="Arial"/>
        </w:rPr>
      </w:pPr>
      <w:proofErr w:type="spellStart"/>
      <w:r w:rsidRPr="00934FE7">
        <w:rPr>
          <w:rFonts w:ascii="Arial" w:hAnsi="Arial" w:cs="Arial"/>
        </w:rPr>
        <w:t>Sukmawati</w:t>
      </w:r>
      <w:proofErr w:type="spellEnd"/>
      <w:r w:rsidRPr="00934FE7">
        <w:rPr>
          <w:rFonts w:ascii="Arial" w:hAnsi="Arial" w:cs="Arial"/>
        </w:rPr>
        <w:t>, D. S., Selectorate</w:t>
      </w:r>
      <w:r w:rsidRPr="00934FE7">
        <w:rPr>
          <w:rFonts w:ascii="Arial" w:hAnsi="Arial" w:cs="Arial"/>
        </w:rPr>
        <w:t xml:space="preserve">, L. S., Kamana, H. M., &amp; </w:t>
      </w:r>
      <w:proofErr w:type="spellStart"/>
      <w:r w:rsidRPr="00934FE7">
        <w:rPr>
          <w:rFonts w:ascii="Arial" w:hAnsi="Arial" w:cs="Arial"/>
        </w:rPr>
        <w:t>Wikarta</w:t>
      </w:r>
      <w:proofErr w:type="spellEnd"/>
      <w:r w:rsidRPr="00934FE7">
        <w:rPr>
          <w:rFonts w:ascii="Arial" w:hAnsi="Arial" w:cs="Arial"/>
        </w:rPr>
        <w:t xml:space="preserve"> E. K. (2016). </w:t>
      </w:r>
      <w:r w:rsidRPr="00934FE7">
        <w:rPr>
          <w:rFonts w:ascii="Arial" w:hAnsi="Arial" w:cs="Arial"/>
          <w:i/>
          <w:iCs/>
        </w:rPr>
        <w:t>Fluctuations in the Price of Curly Red Chili (</w:t>
      </w:r>
      <w:proofErr w:type="spellStart"/>
      <w:r w:rsidRPr="00934FE7">
        <w:rPr>
          <w:rFonts w:ascii="Arial" w:hAnsi="Arial" w:cs="Arial"/>
          <w:i/>
          <w:iCs/>
        </w:rPr>
        <w:t>Capsicun</w:t>
      </w:r>
      <w:proofErr w:type="spellEnd"/>
      <w:r w:rsidRPr="00934FE7">
        <w:rPr>
          <w:rFonts w:ascii="Arial" w:hAnsi="Arial" w:cs="Arial"/>
          <w:i/>
          <w:iCs/>
        </w:rPr>
        <w:t xml:space="preserve"> Annum L) in Production Centers and Main Markets</w:t>
      </w:r>
      <w:r w:rsidRPr="00934FE7">
        <w:rPr>
          <w:rFonts w:ascii="Arial" w:hAnsi="Arial" w:cs="Arial"/>
        </w:rPr>
        <w:t xml:space="preserve">. </w:t>
      </w:r>
      <w:proofErr w:type="spellStart"/>
      <w:r w:rsidRPr="00934FE7">
        <w:rPr>
          <w:rFonts w:ascii="Arial" w:hAnsi="Arial" w:cs="Arial"/>
        </w:rPr>
        <w:t>Mimbar</w:t>
      </w:r>
      <w:proofErr w:type="spellEnd"/>
      <w:r w:rsidRPr="00934FE7">
        <w:rPr>
          <w:rFonts w:ascii="Arial" w:hAnsi="Arial" w:cs="Arial"/>
        </w:rPr>
        <w:t xml:space="preserve"> </w:t>
      </w:r>
      <w:proofErr w:type="spellStart"/>
      <w:r w:rsidRPr="00934FE7">
        <w:rPr>
          <w:rFonts w:ascii="Arial" w:hAnsi="Arial" w:cs="Arial"/>
        </w:rPr>
        <w:t>Agribisnis</w:t>
      </w:r>
      <w:proofErr w:type="spellEnd"/>
      <w:r w:rsidRPr="00934FE7">
        <w:rPr>
          <w:rFonts w:ascii="Arial" w:hAnsi="Arial" w:cs="Arial"/>
        </w:rPr>
        <w:t>. ISSN 2460-4321. 1(2)</w:t>
      </w:r>
      <w:r w:rsidR="00AD032C">
        <w:rPr>
          <w:rFonts w:ascii="Arial" w:hAnsi="Arial" w:cs="Arial"/>
        </w:rPr>
        <w:t>:</w:t>
      </w:r>
      <w:r w:rsidRPr="00934FE7">
        <w:rPr>
          <w:rFonts w:ascii="Arial" w:hAnsi="Arial" w:cs="Arial"/>
        </w:rPr>
        <w:t xml:space="preserve"> p.165-171. </w:t>
      </w:r>
      <w:hyperlink r:id="rId42" w:history="1">
        <w:r w:rsidR="004D0B59" w:rsidRPr="00433296">
          <w:rPr>
            <w:rStyle w:val="Hyperlink"/>
            <w:rFonts w:ascii="Arial" w:hAnsi="Arial" w:cs="Arial"/>
          </w:rPr>
          <w:t>https://jurnal.unigal.ac.id/mimbaragribisnis/article/view/58/56</w:t>
        </w:r>
      </w:hyperlink>
      <w:r w:rsidR="004D0B59">
        <w:rPr>
          <w:rFonts w:ascii="Arial" w:hAnsi="Arial" w:cs="Arial"/>
        </w:rPr>
        <w:t xml:space="preserve"> </w:t>
      </w:r>
    </w:p>
    <w:p w14:paraId="0D3FF26E" w14:textId="27239D4F" w:rsidR="004E6B58" w:rsidRPr="00AD032C" w:rsidRDefault="00934FE7" w:rsidP="00CE6F8F">
      <w:pPr>
        <w:tabs>
          <w:tab w:val="left" w:pos="567"/>
          <w:tab w:val="left" w:pos="1418"/>
        </w:tabs>
        <w:spacing w:after="120"/>
        <w:ind w:left="567" w:hanging="567"/>
        <w:jc w:val="both"/>
        <w:rPr>
          <w:rFonts w:ascii="Arial" w:hAnsi="Arial" w:cs="Arial"/>
        </w:rPr>
      </w:pPr>
      <w:proofErr w:type="spellStart"/>
      <w:r>
        <w:t>S</w:t>
      </w:r>
      <w:r w:rsidRPr="00934FE7">
        <w:rPr>
          <w:rFonts w:ascii="Arial" w:hAnsi="Arial" w:cs="Arial"/>
        </w:rPr>
        <w:t>ulistiowati</w:t>
      </w:r>
      <w:proofErr w:type="spellEnd"/>
      <w:r w:rsidRPr="00934FE7">
        <w:rPr>
          <w:rFonts w:ascii="Arial" w:hAnsi="Arial" w:cs="Arial"/>
        </w:rPr>
        <w:t xml:space="preserve">, S. E., </w:t>
      </w:r>
      <w:proofErr w:type="spellStart"/>
      <w:r w:rsidRPr="00934FE7">
        <w:rPr>
          <w:rFonts w:ascii="Arial" w:hAnsi="Arial" w:cs="Arial"/>
        </w:rPr>
        <w:t>Anitndhita</w:t>
      </w:r>
      <w:proofErr w:type="spellEnd"/>
      <w:r w:rsidRPr="00934FE7">
        <w:rPr>
          <w:rFonts w:ascii="Arial" w:hAnsi="Arial" w:cs="Arial"/>
        </w:rPr>
        <w:t xml:space="preserve">, R. A., &amp; Asmara, R. A. (2021). </w:t>
      </w:r>
      <w:r w:rsidRPr="00934FE7">
        <w:rPr>
          <w:rFonts w:ascii="Arial" w:hAnsi="Arial" w:cs="Arial"/>
          <w:i/>
          <w:iCs/>
        </w:rPr>
        <w:t xml:space="preserve">Market Voltage of Shallots in </w:t>
      </w:r>
      <w:proofErr w:type="spellStart"/>
      <w:r w:rsidRPr="00934FE7">
        <w:rPr>
          <w:rFonts w:ascii="Arial" w:hAnsi="Arial" w:cs="Arial"/>
          <w:i/>
          <w:iCs/>
        </w:rPr>
        <w:t>Probolinggo</w:t>
      </w:r>
      <w:proofErr w:type="spellEnd"/>
      <w:r w:rsidRPr="00934FE7">
        <w:rPr>
          <w:rFonts w:ascii="Arial" w:hAnsi="Arial" w:cs="Arial"/>
          <w:i/>
          <w:iCs/>
        </w:rPr>
        <w:t xml:space="preserve"> Regency, East Java Province.</w:t>
      </w:r>
      <w:r w:rsidRPr="00934FE7">
        <w:rPr>
          <w:rFonts w:ascii="Arial" w:hAnsi="Arial" w:cs="Arial"/>
        </w:rPr>
        <w:t xml:space="preserve"> Journal of </w:t>
      </w:r>
      <w:proofErr w:type="spellStart"/>
      <w:r w:rsidRPr="00934FE7">
        <w:rPr>
          <w:rFonts w:ascii="Arial" w:hAnsi="Arial" w:cs="Arial"/>
        </w:rPr>
        <w:t>Agro</w:t>
      </w:r>
      <w:proofErr w:type="spellEnd"/>
      <w:r w:rsidRPr="00934FE7">
        <w:rPr>
          <w:rFonts w:ascii="Arial" w:hAnsi="Arial" w:cs="Arial"/>
        </w:rPr>
        <w:t xml:space="preserve"> Economics, 39 (1): p.15-27. </w:t>
      </w:r>
      <w:hyperlink r:id="rId43" w:history="1">
        <w:r w:rsidRPr="00AD032C">
          <w:rPr>
            <w:rStyle w:val="Hyperlink"/>
            <w:rFonts w:ascii="Arial" w:hAnsi="Arial" w:cs="Arial"/>
            <w:color w:val="auto"/>
            <w:u w:val="none"/>
          </w:rPr>
          <w:t>https://epublikasi.pertanian.go.id/berkala/index.php/jae/article/view/3638/3691</w:t>
        </w:r>
      </w:hyperlink>
    </w:p>
    <w:p w14:paraId="1E27E86E" w14:textId="41B47721" w:rsidR="004E6B58" w:rsidRPr="00934FE7" w:rsidRDefault="00AA4368" w:rsidP="00CE6F8F">
      <w:pPr>
        <w:tabs>
          <w:tab w:val="left" w:pos="567"/>
          <w:tab w:val="left" w:pos="1418"/>
        </w:tabs>
        <w:spacing w:after="120"/>
        <w:ind w:left="567" w:hanging="567"/>
        <w:jc w:val="both"/>
        <w:rPr>
          <w:rFonts w:ascii="Arial" w:hAnsi="Arial" w:cs="Arial"/>
        </w:rPr>
      </w:pPr>
      <w:proofErr w:type="spellStart"/>
      <w:r w:rsidRPr="00934FE7">
        <w:rPr>
          <w:rFonts w:ascii="Arial" w:hAnsi="Arial" w:cs="Arial"/>
        </w:rPr>
        <w:t>Sukirno</w:t>
      </w:r>
      <w:proofErr w:type="spellEnd"/>
      <w:r w:rsidRPr="00934FE7">
        <w:rPr>
          <w:rFonts w:ascii="Arial" w:hAnsi="Arial" w:cs="Arial"/>
        </w:rPr>
        <w:t xml:space="preserve">, S. (2021). </w:t>
      </w:r>
      <w:r w:rsidRPr="00934FE7">
        <w:rPr>
          <w:rFonts w:ascii="Arial" w:hAnsi="Arial" w:cs="Arial"/>
          <w:i/>
          <w:iCs/>
        </w:rPr>
        <w:t>Introduction to Microeconomic T</w:t>
      </w:r>
      <w:r w:rsidRPr="00934FE7">
        <w:rPr>
          <w:rFonts w:ascii="Arial" w:hAnsi="Arial" w:cs="Arial"/>
          <w:i/>
          <w:iCs/>
        </w:rPr>
        <w:t>heory.</w:t>
      </w:r>
      <w:r w:rsidRPr="00934FE7">
        <w:rPr>
          <w:rFonts w:ascii="Arial" w:hAnsi="Arial" w:cs="Arial"/>
        </w:rPr>
        <w:t xml:space="preserve"> Raja </w:t>
      </w:r>
      <w:proofErr w:type="spellStart"/>
      <w:r w:rsidRPr="00934FE7">
        <w:rPr>
          <w:rFonts w:ascii="Arial" w:hAnsi="Arial" w:cs="Arial"/>
        </w:rPr>
        <w:t>Grafindo</w:t>
      </w:r>
      <w:proofErr w:type="spellEnd"/>
      <w:r w:rsidRPr="00934FE7">
        <w:rPr>
          <w:rFonts w:ascii="Arial" w:hAnsi="Arial" w:cs="Arial"/>
        </w:rPr>
        <w:t xml:space="preserve"> </w:t>
      </w:r>
      <w:proofErr w:type="spellStart"/>
      <w:r w:rsidRPr="00934FE7">
        <w:rPr>
          <w:rFonts w:ascii="Arial" w:hAnsi="Arial" w:cs="Arial"/>
        </w:rPr>
        <w:t>Persada</w:t>
      </w:r>
      <w:proofErr w:type="spellEnd"/>
      <w:r w:rsidRPr="00934FE7">
        <w:rPr>
          <w:rFonts w:ascii="Arial" w:hAnsi="Arial" w:cs="Arial"/>
        </w:rPr>
        <w:t xml:space="preserve">. </w:t>
      </w:r>
      <w:r w:rsidRPr="00934FE7">
        <w:rPr>
          <w:rFonts w:ascii="Arial" w:hAnsi="Arial" w:cs="Arial"/>
          <w:lang w:val="zh-CN"/>
        </w:rPr>
        <w:t>ISBN: 978</w:t>
      </w:r>
      <w:r w:rsidRPr="00934FE7">
        <w:rPr>
          <w:rFonts w:ascii="Arial" w:hAnsi="Arial" w:cs="Arial"/>
          <w:b/>
          <w:bCs/>
          <w:lang w:val="zh-CN"/>
        </w:rPr>
        <w:t>-</w:t>
      </w:r>
      <w:r w:rsidRPr="00934FE7">
        <w:rPr>
          <w:rFonts w:ascii="Arial" w:hAnsi="Arial" w:cs="Arial"/>
          <w:lang w:val="zh-CN"/>
        </w:rPr>
        <w:t>979-769-573-6</w:t>
      </w:r>
      <w:r w:rsidRPr="00934FE7">
        <w:rPr>
          <w:rFonts w:ascii="Arial" w:hAnsi="Arial" w:cs="Arial"/>
        </w:rPr>
        <w:t xml:space="preserve">:p.446   </w:t>
      </w:r>
      <w:hyperlink r:id="rId44" w:history="1">
        <w:r w:rsidR="004D0B59" w:rsidRPr="00433296">
          <w:rPr>
            <w:rStyle w:val="Hyperlink"/>
            <w:rFonts w:ascii="Arial" w:hAnsi="Arial" w:cs="Arial"/>
          </w:rPr>
          <w:t>https://www.rajagrafindo.co.id/produk/mikroekonomi-teori-pengantar/</w:t>
        </w:r>
      </w:hyperlink>
      <w:r w:rsidR="004D0B59">
        <w:rPr>
          <w:rFonts w:ascii="Arial" w:hAnsi="Arial" w:cs="Arial"/>
        </w:rPr>
        <w:t xml:space="preserve"> </w:t>
      </w:r>
    </w:p>
    <w:p w14:paraId="0A1036A9" w14:textId="62899AC5" w:rsidR="00E61152" w:rsidRPr="00E61152" w:rsidRDefault="00934FE7" w:rsidP="00E61152">
      <w:pPr>
        <w:tabs>
          <w:tab w:val="left" w:pos="567"/>
          <w:tab w:val="left" w:pos="1418"/>
        </w:tabs>
        <w:spacing w:after="120"/>
        <w:ind w:left="567" w:hanging="567"/>
        <w:jc w:val="both"/>
        <w:rPr>
          <w:rFonts w:ascii="Arial" w:hAnsi="Arial" w:cs="Arial"/>
          <w:lang w:val="en-ID"/>
        </w:rPr>
      </w:pPr>
      <w:proofErr w:type="spellStart"/>
      <w:r w:rsidRPr="00934FE7">
        <w:rPr>
          <w:rFonts w:ascii="Arial" w:hAnsi="Arial" w:cs="Arial"/>
        </w:rPr>
        <w:t>Warsito</w:t>
      </w:r>
      <w:proofErr w:type="spellEnd"/>
      <w:r w:rsidRPr="00934FE7">
        <w:rPr>
          <w:rFonts w:ascii="Arial" w:hAnsi="Arial" w:cs="Arial"/>
        </w:rPr>
        <w:t xml:space="preserve">, E. W., Chalil, D. C., &amp; </w:t>
      </w:r>
      <w:proofErr w:type="spellStart"/>
      <w:r w:rsidRPr="00934FE7">
        <w:rPr>
          <w:rFonts w:ascii="Arial" w:hAnsi="Arial" w:cs="Arial"/>
        </w:rPr>
        <w:t>Lindawati</w:t>
      </w:r>
      <w:proofErr w:type="spellEnd"/>
      <w:r w:rsidRPr="00934FE7">
        <w:rPr>
          <w:rFonts w:ascii="Arial" w:hAnsi="Arial" w:cs="Arial"/>
        </w:rPr>
        <w:t xml:space="preserve">. (2025). </w:t>
      </w:r>
      <w:r w:rsidRPr="00934FE7">
        <w:rPr>
          <w:rFonts w:ascii="Arial" w:hAnsi="Arial" w:cs="Arial"/>
          <w:i/>
          <w:iCs/>
        </w:rPr>
        <w:t>Spatial Integration Analysis of Red Chili Market in North Sumatra Province.</w:t>
      </w:r>
      <w:r w:rsidRPr="00934FE7">
        <w:rPr>
          <w:rFonts w:ascii="Arial" w:hAnsi="Arial" w:cs="Arial"/>
        </w:rPr>
        <w:t xml:space="preserve"> </w:t>
      </w:r>
      <w:proofErr w:type="spellStart"/>
      <w:r w:rsidRPr="00934FE7">
        <w:rPr>
          <w:rFonts w:ascii="Arial" w:hAnsi="Arial" w:cs="Arial"/>
        </w:rPr>
        <w:t>Agrica</w:t>
      </w:r>
      <w:proofErr w:type="spellEnd"/>
      <w:r w:rsidRPr="00934FE7">
        <w:rPr>
          <w:rFonts w:ascii="Arial" w:hAnsi="Arial" w:cs="Arial"/>
        </w:rPr>
        <w:t xml:space="preserve"> </w:t>
      </w:r>
      <w:proofErr w:type="spellStart"/>
      <w:r w:rsidRPr="00934FE7">
        <w:rPr>
          <w:rFonts w:ascii="Arial" w:hAnsi="Arial" w:cs="Arial"/>
        </w:rPr>
        <w:t>Jurnal</w:t>
      </w:r>
      <w:proofErr w:type="spellEnd"/>
      <w:r w:rsidRPr="00934FE7">
        <w:rPr>
          <w:rFonts w:ascii="Arial" w:hAnsi="Arial" w:cs="Arial"/>
        </w:rPr>
        <w:t xml:space="preserve"> 18(1). ISSN 2541-593X. p.1979-8164. </w:t>
      </w:r>
      <w:hyperlink r:id="rId45" w:history="1">
        <w:r w:rsidR="00E61152" w:rsidRPr="00E61152">
          <w:rPr>
            <w:rStyle w:val="Hyperlink"/>
            <w:rFonts w:ascii="Arial" w:hAnsi="Arial" w:cs="Arial"/>
            <w:lang w:val="en-ID"/>
          </w:rPr>
          <w:t>http://ojs.uma.ac.id/index.php/agrica</w:t>
        </w:r>
      </w:hyperlink>
      <w:r w:rsidR="00E61152" w:rsidRPr="00E61152">
        <w:rPr>
          <w:rFonts w:ascii="Arial" w:hAnsi="Arial" w:cs="Arial"/>
          <w:lang w:val="en-ID"/>
        </w:rPr>
        <w:t>.</w:t>
      </w:r>
    </w:p>
    <w:p w14:paraId="64FC80D2" w14:textId="6F44F293" w:rsidR="00934FE7" w:rsidRPr="00934FE7" w:rsidRDefault="00934FE7" w:rsidP="00B47BE9">
      <w:pPr>
        <w:tabs>
          <w:tab w:val="left" w:pos="567"/>
          <w:tab w:val="left" w:pos="1418"/>
        </w:tabs>
        <w:spacing w:after="120"/>
        <w:ind w:left="567" w:hanging="567"/>
        <w:jc w:val="both"/>
        <w:rPr>
          <w:rFonts w:ascii="Arial" w:hAnsi="Arial" w:cs="Arial"/>
        </w:rPr>
      </w:pPr>
      <w:r w:rsidRPr="00934FE7">
        <w:rPr>
          <w:rFonts w:ascii="Arial" w:hAnsi="Arial" w:cs="Arial"/>
        </w:rPr>
        <w:t xml:space="preserve">Widia., </w:t>
      </w:r>
      <w:proofErr w:type="spellStart"/>
      <w:r w:rsidRPr="00934FE7">
        <w:rPr>
          <w:rFonts w:ascii="Arial" w:hAnsi="Arial" w:cs="Arial"/>
        </w:rPr>
        <w:t>Balaningrum</w:t>
      </w:r>
      <w:proofErr w:type="spellEnd"/>
      <w:r w:rsidRPr="00934FE7">
        <w:rPr>
          <w:rFonts w:ascii="Arial" w:hAnsi="Arial" w:cs="Arial"/>
        </w:rPr>
        <w:t xml:space="preserve">, R. I. F., Wahyuni, S. W., Utami, K. J., &amp; Saksono, H. S. (2024). </w:t>
      </w:r>
      <w:r w:rsidRPr="00934FE7">
        <w:rPr>
          <w:rFonts w:ascii="Arial" w:hAnsi="Arial" w:cs="Arial"/>
          <w:i/>
          <w:iCs/>
          <w:lang w:val="zh-CN"/>
        </w:rPr>
        <w:t>Agricultural Sector Business Development Through Utilization of Shallot Production Data in West Nusa Tenggara Province</w:t>
      </w:r>
      <w:r w:rsidRPr="00934FE7">
        <w:rPr>
          <w:rFonts w:ascii="Arial" w:hAnsi="Arial" w:cs="Arial"/>
          <w:lang w:val="zh-CN"/>
        </w:rPr>
        <w:t xml:space="preserve">. Aletheia: </w:t>
      </w:r>
      <w:r w:rsidRPr="00934FE7">
        <w:rPr>
          <w:rFonts w:ascii="Arial" w:hAnsi="Arial" w:cs="Arial"/>
        </w:rPr>
        <w:t xml:space="preserve">Journal of Social &amp; Humanities, Innovation, Economy, and Education 1(1) E-ISSN: 3064-2612: p.31-39 </w:t>
      </w:r>
      <w:hyperlink r:id="rId46" w:history="1">
        <w:r w:rsidR="004D0B59" w:rsidRPr="00433296">
          <w:rPr>
            <w:rStyle w:val="Hyperlink"/>
          </w:rPr>
          <w:t>https://ejurnal.indocamp.id/index.php/aletheia/article/view/6/4</w:t>
        </w:r>
      </w:hyperlink>
      <w:r w:rsidR="004D0B59">
        <w:t xml:space="preserve"> </w:t>
      </w:r>
    </w:p>
    <w:sectPr w:rsidR="00934FE7" w:rsidRPr="00934FE7" w:rsidSect="004815E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25333" w14:textId="77777777" w:rsidR="00AA4368" w:rsidRDefault="00AA4368">
      <w:r>
        <w:separator/>
      </w:r>
    </w:p>
  </w:endnote>
  <w:endnote w:type="continuationSeparator" w:id="0">
    <w:p w14:paraId="7009BAB3" w14:textId="77777777" w:rsidR="00AA4368" w:rsidRDefault="00AA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D86C" w14:textId="77777777" w:rsidR="00E50DA7" w:rsidRDefault="00E50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D117" w14:textId="77777777" w:rsidR="00E50DA7" w:rsidRDefault="00E50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5EDB" w14:textId="76CDB95F" w:rsidR="004E6B58" w:rsidRPr="00E50DA7" w:rsidRDefault="004E6B58" w:rsidP="00E50DA7">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45CCA" w14:textId="77777777" w:rsidR="00AA4368" w:rsidRDefault="00AA4368">
      <w:r>
        <w:separator/>
      </w:r>
    </w:p>
  </w:footnote>
  <w:footnote w:type="continuationSeparator" w:id="0">
    <w:p w14:paraId="28E920D0" w14:textId="77777777" w:rsidR="00AA4368" w:rsidRDefault="00AA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03D9" w14:textId="489ED810" w:rsidR="00E50DA7" w:rsidRDefault="00E50DA7">
    <w:pPr>
      <w:pStyle w:val="Header"/>
    </w:pPr>
    <w:r>
      <w:rPr>
        <w:noProof/>
      </w:rPr>
      <w:pict w14:anchorId="63442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825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0A81" w14:textId="702C3406" w:rsidR="00E50DA7" w:rsidRDefault="00E50DA7">
    <w:pPr>
      <w:pStyle w:val="Header"/>
    </w:pPr>
    <w:r>
      <w:rPr>
        <w:noProof/>
      </w:rPr>
      <w:pict w14:anchorId="4E215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825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2502" w14:textId="57FC3E58" w:rsidR="004E6B58" w:rsidRDefault="00E50DA7">
    <w:pPr>
      <w:ind w:left="2160"/>
      <w:jc w:val="center"/>
      <w:rPr>
        <w:rFonts w:ascii="Times New Roman" w:eastAsia="Calibri" w:hAnsi="Times New Roman"/>
        <w:i/>
        <w:sz w:val="18"/>
        <w:szCs w:val="22"/>
      </w:rPr>
    </w:pPr>
    <w:r>
      <w:rPr>
        <w:noProof/>
      </w:rPr>
      <w:pict w14:anchorId="7FA0D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825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6B79AC" w14:textId="77777777" w:rsidR="004E6B58" w:rsidRDefault="00AA436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4277AF3" w14:textId="77777777" w:rsidR="004E6B58" w:rsidRDefault="00AA4368">
    <w:pPr>
      <w:jc w:val="center"/>
      <w:rPr>
        <w:rFonts w:ascii="Times New Roman" w:eastAsia="Calibri" w:hAnsi="Times New Roman"/>
        <w:i/>
        <w:sz w:val="18"/>
        <w:szCs w:val="22"/>
      </w:rPr>
    </w:pPr>
    <w:r>
      <w:rPr>
        <w:rFonts w:ascii="Times New Roman" w:eastAsia="Calibri" w:hAnsi="Times New Roman"/>
        <w:i/>
        <w:sz w:val="18"/>
        <w:szCs w:val="22"/>
      </w:rPr>
      <w:t>.</w:t>
    </w:r>
  </w:p>
  <w:p w14:paraId="09A4905A" w14:textId="77777777" w:rsidR="004E6B58" w:rsidRDefault="00AA436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9427888" w14:textId="77777777" w:rsidR="004E6B58" w:rsidRDefault="00AA436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616B6D9" w14:textId="77777777" w:rsidR="004E6B58" w:rsidRDefault="00AA436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717A93" w14:textId="77777777" w:rsidR="004E6B58" w:rsidRDefault="00AA436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67210"/>
    <w:multiLevelType w:val="multilevel"/>
    <w:tmpl w:val="23867210"/>
    <w:lvl w:ilvl="0">
      <w:start w:val="3"/>
      <w:numFmt w:val="decimal"/>
      <w:lvlText w:val="%1"/>
      <w:lvlJc w:val="left"/>
      <w:pPr>
        <w:ind w:left="450" w:hanging="450"/>
      </w:pPr>
      <w:rPr>
        <w:rFonts w:hint="default"/>
        <w:sz w:val="20"/>
        <w:u w:val="single"/>
      </w:rPr>
    </w:lvl>
    <w:lvl w:ilvl="1">
      <w:start w:val="1"/>
      <w:numFmt w:val="decimal"/>
      <w:lvlText w:val="%1.%2"/>
      <w:lvlJc w:val="left"/>
      <w:pPr>
        <w:ind w:left="667" w:hanging="450"/>
      </w:pPr>
      <w:rPr>
        <w:rFonts w:hint="default"/>
        <w:i w:val="0"/>
        <w:iCs w:val="0"/>
        <w:sz w:val="20"/>
        <w:u w:val="none"/>
      </w:rPr>
    </w:lvl>
    <w:lvl w:ilvl="2">
      <w:start w:val="1"/>
      <w:numFmt w:val="decimal"/>
      <w:lvlText w:val="%1.%2.%3"/>
      <w:lvlJc w:val="left"/>
      <w:pPr>
        <w:ind w:left="1154" w:hanging="720"/>
      </w:pPr>
      <w:rPr>
        <w:rFonts w:hint="default"/>
        <w:sz w:val="20"/>
        <w:u w:val="none"/>
      </w:rPr>
    </w:lvl>
    <w:lvl w:ilvl="3">
      <w:start w:val="1"/>
      <w:numFmt w:val="decimal"/>
      <w:lvlText w:val="%1.%2.%3.%4"/>
      <w:lvlJc w:val="left"/>
      <w:pPr>
        <w:ind w:left="1731" w:hanging="1080"/>
      </w:pPr>
      <w:rPr>
        <w:rFonts w:hint="default"/>
        <w:sz w:val="20"/>
        <w:u w:val="single"/>
      </w:rPr>
    </w:lvl>
    <w:lvl w:ilvl="4">
      <w:start w:val="1"/>
      <w:numFmt w:val="decimal"/>
      <w:lvlText w:val="%1.%2.%3.%4.%5"/>
      <w:lvlJc w:val="left"/>
      <w:pPr>
        <w:ind w:left="1948" w:hanging="1080"/>
      </w:pPr>
      <w:rPr>
        <w:rFonts w:hint="default"/>
        <w:sz w:val="20"/>
        <w:u w:val="single"/>
      </w:rPr>
    </w:lvl>
    <w:lvl w:ilvl="5">
      <w:start w:val="1"/>
      <w:numFmt w:val="decimal"/>
      <w:lvlText w:val="%1.%2.%3.%4.%5.%6"/>
      <w:lvlJc w:val="left"/>
      <w:pPr>
        <w:ind w:left="2525" w:hanging="1440"/>
      </w:pPr>
      <w:rPr>
        <w:rFonts w:hint="default"/>
        <w:sz w:val="20"/>
        <w:u w:val="single"/>
      </w:rPr>
    </w:lvl>
    <w:lvl w:ilvl="6">
      <w:start w:val="1"/>
      <w:numFmt w:val="decimal"/>
      <w:lvlText w:val="%1.%2.%3.%4.%5.%6.%7"/>
      <w:lvlJc w:val="left"/>
      <w:pPr>
        <w:ind w:left="2742" w:hanging="1440"/>
      </w:pPr>
      <w:rPr>
        <w:rFonts w:hint="default"/>
        <w:sz w:val="20"/>
        <w:u w:val="single"/>
      </w:rPr>
    </w:lvl>
    <w:lvl w:ilvl="7">
      <w:start w:val="1"/>
      <w:numFmt w:val="decimal"/>
      <w:lvlText w:val="%1.%2.%3.%4.%5.%6.%7.%8"/>
      <w:lvlJc w:val="left"/>
      <w:pPr>
        <w:ind w:left="3319" w:hanging="1800"/>
      </w:pPr>
      <w:rPr>
        <w:rFonts w:hint="default"/>
        <w:sz w:val="20"/>
        <w:u w:val="single"/>
      </w:rPr>
    </w:lvl>
    <w:lvl w:ilvl="8">
      <w:start w:val="1"/>
      <w:numFmt w:val="decimal"/>
      <w:lvlText w:val="%1.%2.%3.%4.%5.%6.%7.%8.%9"/>
      <w:lvlJc w:val="left"/>
      <w:pPr>
        <w:ind w:left="3536" w:hanging="1800"/>
      </w:pPr>
      <w:rPr>
        <w:rFonts w:hint="default"/>
        <w:sz w:val="20"/>
        <w:u w:val="single"/>
      </w:rPr>
    </w:lvl>
  </w:abstractNum>
  <w:abstractNum w:abstractNumId="1" w15:restartNumberingAfterBreak="0">
    <w:nsid w:val="238F5E10"/>
    <w:multiLevelType w:val="multilevel"/>
    <w:tmpl w:val="238F5E10"/>
    <w:lvl w:ilvl="0">
      <w:start w:val="1"/>
      <w:numFmt w:val="decimal"/>
      <w:lvlText w:val="2.%1"/>
      <w:lvlJc w:val="left"/>
      <w:pPr>
        <w:ind w:left="709" w:hanging="360"/>
      </w:pPr>
      <w:rPr>
        <w:rFonts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37811FE0"/>
    <w:multiLevelType w:val="multilevel"/>
    <w:tmpl w:val="37811FE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0"/>
        <w:szCs w:val="1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ED1C7E"/>
    <w:multiLevelType w:val="multilevel"/>
    <w:tmpl w:val="3CED1C7E"/>
    <w:lvl w:ilvl="0">
      <w:start w:val="1"/>
      <w:numFmt w:val="decimal"/>
      <w:lvlText w:val="3.%1"/>
      <w:lvlJc w:val="left"/>
      <w:pPr>
        <w:ind w:left="435" w:hanging="435"/>
      </w:pPr>
      <w:rPr>
        <w:rFonts w:hint="default"/>
        <w:sz w:val="22"/>
        <w:szCs w:val="22"/>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A21DB2"/>
    <w:multiLevelType w:val="multilevel"/>
    <w:tmpl w:val="45A21DB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8F3221"/>
    <w:multiLevelType w:val="multilevel"/>
    <w:tmpl w:val="468F3221"/>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7" w15:restartNumberingAfterBreak="0">
    <w:nsid w:val="72CF4794"/>
    <w:multiLevelType w:val="multilevel"/>
    <w:tmpl w:val="72CF479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5A76"/>
    <w:rsid w:val="00030174"/>
    <w:rsid w:val="00043B16"/>
    <w:rsid w:val="0004579C"/>
    <w:rsid w:val="0005248C"/>
    <w:rsid w:val="00063488"/>
    <w:rsid w:val="000A020F"/>
    <w:rsid w:val="000A47FA"/>
    <w:rsid w:val="000A65D3"/>
    <w:rsid w:val="000B1E33"/>
    <w:rsid w:val="000D689F"/>
    <w:rsid w:val="000E4FDC"/>
    <w:rsid w:val="000E7B7B"/>
    <w:rsid w:val="000E7D62"/>
    <w:rsid w:val="000F0D88"/>
    <w:rsid w:val="00103357"/>
    <w:rsid w:val="00104DEF"/>
    <w:rsid w:val="00123C9F"/>
    <w:rsid w:val="00126190"/>
    <w:rsid w:val="00127ED9"/>
    <w:rsid w:val="00130F17"/>
    <w:rsid w:val="001320BF"/>
    <w:rsid w:val="00137F3A"/>
    <w:rsid w:val="0014581F"/>
    <w:rsid w:val="00147CFC"/>
    <w:rsid w:val="001571BA"/>
    <w:rsid w:val="00163BC4"/>
    <w:rsid w:val="00166F57"/>
    <w:rsid w:val="0018258E"/>
    <w:rsid w:val="0018396D"/>
    <w:rsid w:val="00191062"/>
    <w:rsid w:val="00192B72"/>
    <w:rsid w:val="001A29D8"/>
    <w:rsid w:val="001A56A4"/>
    <w:rsid w:val="001A5CAA"/>
    <w:rsid w:val="001B0427"/>
    <w:rsid w:val="001C42DC"/>
    <w:rsid w:val="001D3A51"/>
    <w:rsid w:val="001D6986"/>
    <w:rsid w:val="001E10D2"/>
    <w:rsid w:val="001E166E"/>
    <w:rsid w:val="001E25B4"/>
    <w:rsid w:val="001E44FE"/>
    <w:rsid w:val="00200595"/>
    <w:rsid w:val="00204835"/>
    <w:rsid w:val="00224580"/>
    <w:rsid w:val="00231920"/>
    <w:rsid w:val="0023195C"/>
    <w:rsid w:val="0024282C"/>
    <w:rsid w:val="002460DC"/>
    <w:rsid w:val="00250985"/>
    <w:rsid w:val="0025290B"/>
    <w:rsid w:val="00253054"/>
    <w:rsid w:val="002556F6"/>
    <w:rsid w:val="00283105"/>
    <w:rsid w:val="0028328B"/>
    <w:rsid w:val="00284C4C"/>
    <w:rsid w:val="00287E68"/>
    <w:rsid w:val="00296529"/>
    <w:rsid w:val="002B27FB"/>
    <w:rsid w:val="002B685A"/>
    <w:rsid w:val="002C57D2"/>
    <w:rsid w:val="002C79F0"/>
    <w:rsid w:val="002D0807"/>
    <w:rsid w:val="002E0D56"/>
    <w:rsid w:val="003043BA"/>
    <w:rsid w:val="00315186"/>
    <w:rsid w:val="0033343E"/>
    <w:rsid w:val="003512C2"/>
    <w:rsid w:val="00371FB6"/>
    <w:rsid w:val="003763C1"/>
    <w:rsid w:val="00376BBE"/>
    <w:rsid w:val="0039224F"/>
    <w:rsid w:val="003A43A4"/>
    <w:rsid w:val="003A7E18"/>
    <w:rsid w:val="003C4C86"/>
    <w:rsid w:val="003C6258"/>
    <w:rsid w:val="003E2904"/>
    <w:rsid w:val="003F356D"/>
    <w:rsid w:val="00401927"/>
    <w:rsid w:val="0041027F"/>
    <w:rsid w:val="00412475"/>
    <w:rsid w:val="00423789"/>
    <w:rsid w:val="00440F43"/>
    <w:rsid w:val="00441B6F"/>
    <w:rsid w:val="00446221"/>
    <w:rsid w:val="00450E62"/>
    <w:rsid w:val="00451A43"/>
    <w:rsid w:val="004539DB"/>
    <w:rsid w:val="00471A80"/>
    <w:rsid w:val="004815E9"/>
    <w:rsid w:val="004872D0"/>
    <w:rsid w:val="00493C00"/>
    <w:rsid w:val="004B76C7"/>
    <w:rsid w:val="004C4947"/>
    <w:rsid w:val="004D0B59"/>
    <w:rsid w:val="004D305E"/>
    <w:rsid w:val="004D4277"/>
    <w:rsid w:val="004E09AE"/>
    <w:rsid w:val="004E0FEC"/>
    <w:rsid w:val="004E6B58"/>
    <w:rsid w:val="004E79FF"/>
    <w:rsid w:val="00502516"/>
    <w:rsid w:val="00505F06"/>
    <w:rsid w:val="00506828"/>
    <w:rsid w:val="00527760"/>
    <w:rsid w:val="0053056E"/>
    <w:rsid w:val="0053371F"/>
    <w:rsid w:val="00554FDA"/>
    <w:rsid w:val="00593D60"/>
    <w:rsid w:val="005A4940"/>
    <w:rsid w:val="005C2682"/>
    <w:rsid w:val="005C784C"/>
    <w:rsid w:val="005D17F6"/>
    <w:rsid w:val="005D6A23"/>
    <w:rsid w:val="005D6DCB"/>
    <w:rsid w:val="005E5539"/>
    <w:rsid w:val="005E62E4"/>
    <w:rsid w:val="00602BF5"/>
    <w:rsid w:val="00617FDD"/>
    <w:rsid w:val="00626802"/>
    <w:rsid w:val="00633614"/>
    <w:rsid w:val="00633F68"/>
    <w:rsid w:val="00636EB2"/>
    <w:rsid w:val="006375B8"/>
    <w:rsid w:val="00647D27"/>
    <w:rsid w:val="0066510A"/>
    <w:rsid w:val="00673F9F"/>
    <w:rsid w:val="00686953"/>
    <w:rsid w:val="00687484"/>
    <w:rsid w:val="00687DEA"/>
    <w:rsid w:val="00687E67"/>
    <w:rsid w:val="00695865"/>
    <w:rsid w:val="006967F7"/>
    <w:rsid w:val="006A250C"/>
    <w:rsid w:val="006B21D3"/>
    <w:rsid w:val="006B57D0"/>
    <w:rsid w:val="006D30FF"/>
    <w:rsid w:val="006D6940"/>
    <w:rsid w:val="006E2A97"/>
    <w:rsid w:val="006F11EC"/>
    <w:rsid w:val="0070082C"/>
    <w:rsid w:val="007369E6"/>
    <w:rsid w:val="00746DD6"/>
    <w:rsid w:val="00746E59"/>
    <w:rsid w:val="00754C9A"/>
    <w:rsid w:val="0075599A"/>
    <w:rsid w:val="00761D52"/>
    <w:rsid w:val="007773C0"/>
    <w:rsid w:val="0077749E"/>
    <w:rsid w:val="007835E2"/>
    <w:rsid w:val="00790ADA"/>
    <w:rsid w:val="007A128C"/>
    <w:rsid w:val="007D2288"/>
    <w:rsid w:val="007E058E"/>
    <w:rsid w:val="007E088F"/>
    <w:rsid w:val="007F150B"/>
    <w:rsid w:val="007F7B32"/>
    <w:rsid w:val="00804BC2"/>
    <w:rsid w:val="0081431A"/>
    <w:rsid w:val="00815D80"/>
    <w:rsid w:val="00823BC6"/>
    <w:rsid w:val="0083216F"/>
    <w:rsid w:val="00860000"/>
    <w:rsid w:val="00860D33"/>
    <w:rsid w:val="00863BD3"/>
    <w:rsid w:val="008641ED"/>
    <w:rsid w:val="00864398"/>
    <w:rsid w:val="00866D66"/>
    <w:rsid w:val="008671C6"/>
    <w:rsid w:val="00875803"/>
    <w:rsid w:val="008B459E"/>
    <w:rsid w:val="008C32E5"/>
    <w:rsid w:val="008C5E62"/>
    <w:rsid w:val="008D0061"/>
    <w:rsid w:val="008E13AE"/>
    <w:rsid w:val="008E1506"/>
    <w:rsid w:val="008E710C"/>
    <w:rsid w:val="008F69D6"/>
    <w:rsid w:val="00902823"/>
    <w:rsid w:val="009129E8"/>
    <w:rsid w:val="00915CA6"/>
    <w:rsid w:val="00927834"/>
    <w:rsid w:val="00934FE7"/>
    <w:rsid w:val="00935DA6"/>
    <w:rsid w:val="009500A6"/>
    <w:rsid w:val="00957C18"/>
    <w:rsid w:val="009659BA"/>
    <w:rsid w:val="00981FA1"/>
    <w:rsid w:val="00983040"/>
    <w:rsid w:val="009B3FB9"/>
    <w:rsid w:val="009B61C6"/>
    <w:rsid w:val="009C2465"/>
    <w:rsid w:val="009D35A0"/>
    <w:rsid w:val="009D7EB7"/>
    <w:rsid w:val="009E048A"/>
    <w:rsid w:val="009E08E9"/>
    <w:rsid w:val="009E3DB9"/>
    <w:rsid w:val="009E6E35"/>
    <w:rsid w:val="009F0EDA"/>
    <w:rsid w:val="009F12A4"/>
    <w:rsid w:val="009F52F0"/>
    <w:rsid w:val="00A03B96"/>
    <w:rsid w:val="00A05B19"/>
    <w:rsid w:val="00A07A5F"/>
    <w:rsid w:val="00A1134E"/>
    <w:rsid w:val="00A24E7E"/>
    <w:rsid w:val="00A258C3"/>
    <w:rsid w:val="00A347C0"/>
    <w:rsid w:val="00A51431"/>
    <w:rsid w:val="00A51D25"/>
    <w:rsid w:val="00A5283B"/>
    <w:rsid w:val="00A539AD"/>
    <w:rsid w:val="00A94063"/>
    <w:rsid w:val="00AA404B"/>
    <w:rsid w:val="00AA4368"/>
    <w:rsid w:val="00AA5097"/>
    <w:rsid w:val="00AA6219"/>
    <w:rsid w:val="00AA74E0"/>
    <w:rsid w:val="00AA7962"/>
    <w:rsid w:val="00AB703F"/>
    <w:rsid w:val="00AC6BB8"/>
    <w:rsid w:val="00AD032C"/>
    <w:rsid w:val="00AE008F"/>
    <w:rsid w:val="00AE77F9"/>
    <w:rsid w:val="00B01FCD"/>
    <w:rsid w:val="00B037A4"/>
    <w:rsid w:val="00B12934"/>
    <w:rsid w:val="00B150A0"/>
    <w:rsid w:val="00B1776C"/>
    <w:rsid w:val="00B47BE9"/>
    <w:rsid w:val="00B52583"/>
    <w:rsid w:val="00B52896"/>
    <w:rsid w:val="00B54E47"/>
    <w:rsid w:val="00B57988"/>
    <w:rsid w:val="00B72CD4"/>
    <w:rsid w:val="00B95236"/>
    <w:rsid w:val="00B96BD9"/>
    <w:rsid w:val="00BA1B01"/>
    <w:rsid w:val="00BA2000"/>
    <w:rsid w:val="00BA2641"/>
    <w:rsid w:val="00BB373D"/>
    <w:rsid w:val="00BB37AA"/>
    <w:rsid w:val="00BC53A0"/>
    <w:rsid w:val="00BE62AD"/>
    <w:rsid w:val="00BF121F"/>
    <w:rsid w:val="00BF144E"/>
    <w:rsid w:val="00BF1F80"/>
    <w:rsid w:val="00C01E06"/>
    <w:rsid w:val="00C166EF"/>
    <w:rsid w:val="00C17EB0"/>
    <w:rsid w:val="00C224C0"/>
    <w:rsid w:val="00C23D61"/>
    <w:rsid w:val="00C26692"/>
    <w:rsid w:val="00C2763E"/>
    <w:rsid w:val="00C27F5F"/>
    <w:rsid w:val="00C30A0F"/>
    <w:rsid w:val="00C31ACD"/>
    <w:rsid w:val="00C37BC6"/>
    <w:rsid w:val="00C37E61"/>
    <w:rsid w:val="00C560EE"/>
    <w:rsid w:val="00C64154"/>
    <w:rsid w:val="00C70F1B"/>
    <w:rsid w:val="00C71A47"/>
    <w:rsid w:val="00C7464C"/>
    <w:rsid w:val="00C85588"/>
    <w:rsid w:val="00C96047"/>
    <w:rsid w:val="00CA5F62"/>
    <w:rsid w:val="00CC325A"/>
    <w:rsid w:val="00CD6755"/>
    <w:rsid w:val="00CD6856"/>
    <w:rsid w:val="00CE0089"/>
    <w:rsid w:val="00CE0AED"/>
    <w:rsid w:val="00CE45BF"/>
    <w:rsid w:val="00CE6F8F"/>
    <w:rsid w:val="00CE793C"/>
    <w:rsid w:val="00CE7AEB"/>
    <w:rsid w:val="00CF193C"/>
    <w:rsid w:val="00CF45F6"/>
    <w:rsid w:val="00D173F1"/>
    <w:rsid w:val="00D214F0"/>
    <w:rsid w:val="00D2257D"/>
    <w:rsid w:val="00D4727D"/>
    <w:rsid w:val="00D74CB0"/>
    <w:rsid w:val="00D762FF"/>
    <w:rsid w:val="00D8295D"/>
    <w:rsid w:val="00DC2A65"/>
    <w:rsid w:val="00DE15F0"/>
    <w:rsid w:val="00DE5663"/>
    <w:rsid w:val="00DE78AA"/>
    <w:rsid w:val="00E053D0"/>
    <w:rsid w:val="00E15994"/>
    <w:rsid w:val="00E3114E"/>
    <w:rsid w:val="00E31A70"/>
    <w:rsid w:val="00E357AE"/>
    <w:rsid w:val="00E35B02"/>
    <w:rsid w:val="00E50DA7"/>
    <w:rsid w:val="00E61152"/>
    <w:rsid w:val="00E66496"/>
    <w:rsid w:val="00E66B35"/>
    <w:rsid w:val="00E66E10"/>
    <w:rsid w:val="00E71E1A"/>
    <w:rsid w:val="00E76384"/>
    <w:rsid w:val="00E769F6"/>
    <w:rsid w:val="00E8407C"/>
    <w:rsid w:val="00E84F3C"/>
    <w:rsid w:val="00E85FBF"/>
    <w:rsid w:val="00E97CBF"/>
    <w:rsid w:val="00EA012C"/>
    <w:rsid w:val="00EC6A55"/>
    <w:rsid w:val="00ED0288"/>
    <w:rsid w:val="00EE52CB"/>
    <w:rsid w:val="00EF0DA3"/>
    <w:rsid w:val="00EF581D"/>
    <w:rsid w:val="00EF7FD8"/>
    <w:rsid w:val="00F03F35"/>
    <w:rsid w:val="00F041C4"/>
    <w:rsid w:val="00F06F59"/>
    <w:rsid w:val="00F17988"/>
    <w:rsid w:val="00F22786"/>
    <w:rsid w:val="00F469F0"/>
    <w:rsid w:val="00F53273"/>
    <w:rsid w:val="00F735D4"/>
    <w:rsid w:val="00F755E4"/>
    <w:rsid w:val="00F77D02"/>
    <w:rsid w:val="00F841AB"/>
    <w:rsid w:val="00FB3A86"/>
    <w:rsid w:val="00FD36C8"/>
    <w:rsid w:val="00FE04BE"/>
    <w:rsid w:val="00FE6E5A"/>
    <w:rsid w:val="00FF3AB4"/>
    <w:rsid w:val="00FF6058"/>
    <w:rsid w:val="40E673F7"/>
    <w:rsid w:val="6312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6FFCFE2"/>
  <w15:docId w15:val="{6E3BAA53-FDB8-4DFE-9AED-6E42C531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unhideWhenUsed/>
    <w:pPr>
      <w:spacing w:after="5" w:line="354" w:lineRule="auto"/>
      <w:ind w:left="711" w:hanging="10"/>
      <w:jc w:val="both"/>
    </w:pPr>
    <w:rPr>
      <w:rFonts w:ascii="Times New Roman" w:hAnsi="Times New Roman"/>
      <w:color w:val="000000"/>
      <w:sz w:val="24"/>
      <w:szCs w:val="24"/>
      <w:lang w:val="en"/>
    </w:rPr>
  </w:style>
  <w:style w:type="paragraph" w:styleId="Signature">
    <w:name w:val="Signature"/>
    <w:basedOn w:val="Normal"/>
    <w:qFormat/>
    <w:pPr>
      <w:ind w:left="4320"/>
    </w:p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 w:type="paragraph" w:styleId="NoSpacing">
    <w:name w:val="No Spacing"/>
    <w:uiPriority w:val="1"/>
    <w:qFormat/>
    <w:pPr>
      <w:ind w:left="711" w:hanging="10"/>
      <w:jc w:val="both"/>
    </w:pPr>
    <w:rPr>
      <w:color w:val="000000"/>
      <w:sz w:val="24"/>
      <w:szCs w:val="22"/>
      <w:lang w:val="en"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4061" w:themeColor="accent1" w:themeShade="80"/>
    </w:rPr>
  </w:style>
  <w:style w:type="paragraph" w:styleId="ListParagraph">
    <w:name w:val="List Paragraph"/>
    <w:basedOn w:val="Normal"/>
    <w:link w:val="ListParagraphChar"/>
    <w:uiPriority w:val="34"/>
    <w:qFormat/>
    <w:pPr>
      <w:spacing w:after="5" w:line="354" w:lineRule="auto"/>
      <w:ind w:left="720" w:hanging="10"/>
      <w:contextualSpacing/>
      <w:jc w:val="both"/>
    </w:pPr>
    <w:rPr>
      <w:rFonts w:ascii="Times New Roman" w:hAnsi="Times New Roman"/>
      <w:color w:val="000000"/>
      <w:sz w:val="24"/>
      <w:szCs w:val="22"/>
      <w:lang w:val="en"/>
    </w:rPr>
  </w:style>
  <w:style w:type="character" w:customStyle="1" w:styleId="ListParagraphChar">
    <w:name w:val="List Paragraph Char"/>
    <w:link w:val="ListParagraph"/>
    <w:uiPriority w:val="34"/>
    <w:qFormat/>
    <w:rPr>
      <w:color w:val="000000"/>
      <w:sz w:val="24"/>
      <w:szCs w:val="22"/>
      <w:lang w:val="en"/>
    </w:rPr>
  </w:style>
  <w:style w:type="paragraph" w:customStyle="1" w:styleId="CaptionTabel">
    <w:name w:val="Caption Tabel"/>
    <w:basedOn w:val="Caption"/>
    <w:qFormat/>
    <w:pPr>
      <w:keepNext/>
      <w:spacing w:after="0"/>
      <w:jc w:val="both"/>
    </w:pPr>
    <w:rPr>
      <w:rFonts w:ascii="Times New Roman" w:hAnsi="Times New Roman"/>
      <w:bCs/>
      <w:i w:val="0"/>
      <w:iCs w:val="0"/>
      <w:color w:val="auto"/>
      <w:sz w:val="24"/>
      <w:lang w:val="e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A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72501">
      <w:bodyDiv w:val="1"/>
      <w:marLeft w:val="0"/>
      <w:marRight w:val="0"/>
      <w:marTop w:val="0"/>
      <w:marBottom w:val="0"/>
      <w:divBdr>
        <w:top w:val="none" w:sz="0" w:space="0" w:color="auto"/>
        <w:left w:val="none" w:sz="0" w:space="0" w:color="auto"/>
        <w:bottom w:val="none" w:sz="0" w:space="0" w:color="auto"/>
        <w:right w:val="none" w:sz="0" w:space="0" w:color="auto"/>
      </w:divBdr>
    </w:div>
    <w:div w:id="291330763">
      <w:bodyDiv w:val="1"/>
      <w:marLeft w:val="0"/>
      <w:marRight w:val="0"/>
      <w:marTop w:val="0"/>
      <w:marBottom w:val="0"/>
      <w:divBdr>
        <w:top w:val="none" w:sz="0" w:space="0" w:color="auto"/>
        <w:left w:val="none" w:sz="0" w:space="0" w:color="auto"/>
        <w:bottom w:val="none" w:sz="0" w:space="0" w:color="auto"/>
        <w:right w:val="none" w:sz="0" w:space="0" w:color="auto"/>
      </w:divBdr>
    </w:div>
    <w:div w:id="359941685">
      <w:bodyDiv w:val="1"/>
      <w:marLeft w:val="0"/>
      <w:marRight w:val="0"/>
      <w:marTop w:val="0"/>
      <w:marBottom w:val="0"/>
      <w:divBdr>
        <w:top w:val="none" w:sz="0" w:space="0" w:color="auto"/>
        <w:left w:val="none" w:sz="0" w:space="0" w:color="auto"/>
        <w:bottom w:val="none" w:sz="0" w:space="0" w:color="auto"/>
        <w:right w:val="none" w:sz="0" w:space="0" w:color="auto"/>
      </w:divBdr>
    </w:div>
    <w:div w:id="392316603">
      <w:bodyDiv w:val="1"/>
      <w:marLeft w:val="0"/>
      <w:marRight w:val="0"/>
      <w:marTop w:val="0"/>
      <w:marBottom w:val="0"/>
      <w:divBdr>
        <w:top w:val="none" w:sz="0" w:space="0" w:color="auto"/>
        <w:left w:val="none" w:sz="0" w:space="0" w:color="auto"/>
        <w:bottom w:val="none" w:sz="0" w:space="0" w:color="auto"/>
        <w:right w:val="none" w:sz="0" w:space="0" w:color="auto"/>
      </w:divBdr>
      <w:divsChild>
        <w:div w:id="490215029">
          <w:marLeft w:val="0"/>
          <w:marRight w:val="0"/>
          <w:marTop w:val="0"/>
          <w:marBottom w:val="0"/>
          <w:divBdr>
            <w:top w:val="none" w:sz="0" w:space="0" w:color="auto"/>
            <w:left w:val="none" w:sz="0" w:space="0" w:color="auto"/>
            <w:bottom w:val="none" w:sz="0" w:space="0" w:color="auto"/>
            <w:right w:val="none" w:sz="0" w:space="0" w:color="auto"/>
          </w:divBdr>
          <w:divsChild>
            <w:div w:id="4252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622">
      <w:bodyDiv w:val="1"/>
      <w:marLeft w:val="0"/>
      <w:marRight w:val="0"/>
      <w:marTop w:val="0"/>
      <w:marBottom w:val="0"/>
      <w:divBdr>
        <w:top w:val="none" w:sz="0" w:space="0" w:color="auto"/>
        <w:left w:val="none" w:sz="0" w:space="0" w:color="auto"/>
        <w:bottom w:val="none" w:sz="0" w:space="0" w:color="auto"/>
        <w:right w:val="none" w:sz="0" w:space="0" w:color="auto"/>
      </w:divBdr>
    </w:div>
    <w:div w:id="523131606">
      <w:bodyDiv w:val="1"/>
      <w:marLeft w:val="0"/>
      <w:marRight w:val="0"/>
      <w:marTop w:val="0"/>
      <w:marBottom w:val="0"/>
      <w:divBdr>
        <w:top w:val="none" w:sz="0" w:space="0" w:color="auto"/>
        <w:left w:val="none" w:sz="0" w:space="0" w:color="auto"/>
        <w:bottom w:val="none" w:sz="0" w:space="0" w:color="auto"/>
        <w:right w:val="none" w:sz="0" w:space="0" w:color="auto"/>
      </w:divBdr>
    </w:div>
    <w:div w:id="591015062">
      <w:bodyDiv w:val="1"/>
      <w:marLeft w:val="0"/>
      <w:marRight w:val="0"/>
      <w:marTop w:val="0"/>
      <w:marBottom w:val="0"/>
      <w:divBdr>
        <w:top w:val="none" w:sz="0" w:space="0" w:color="auto"/>
        <w:left w:val="none" w:sz="0" w:space="0" w:color="auto"/>
        <w:bottom w:val="none" w:sz="0" w:space="0" w:color="auto"/>
        <w:right w:val="none" w:sz="0" w:space="0" w:color="auto"/>
      </w:divBdr>
      <w:divsChild>
        <w:div w:id="98793608">
          <w:marLeft w:val="0"/>
          <w:marRight w:val="0"/>
          <w:marTop w:val="0"/>
          <w:marBottom w:val="0"/>
          <w:divBdr>
            <w:top w:val="none" w:sz="0" w:space="0" w:color="auto"/>
            <w:left w:val="none" w:sz="0" w:space="0" w:color="auto"/>
            <w:bottom w:val="none" w:sz="0" w:space="0" w:color="auto"/>
            <w:right w:val="none" w:sz="0" w:space="0" w:color="auto"/>
          </w:divBdr>
          <w:divsChild>
            <w:div w:id="4354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0498">
      <w:bodyDiv w:val="1"/>
      <w:marLeft w:val="0"/>
      <w:marRight w:val="0"/>
      <w:marTop w:val="0"/>
      <w:marBottom w:val="0"/>
      <w:divBdr>
        <w:top w:val="none" w:sz="0" w:space="0" w:color="auto"/>
        <w:left w:val="none" w:sz="0" w:space="0" w:color="auto"/>
        <w:bottom w:val="none" w:sz="0" w:space="0" w:color="auto"/>
        <w:right w:val="none" w:sz="0" w:space="0" w:color="auto"/>
      </w:divBdr>
    </w:div>
    <w:div w:id="1297838873">
      <w:bodyDiv w:val="1"/>
      <w:marLeft w:val="0"/>
      <w:marRight w:val="0"/>
      <w:marTop w:val="0"/>
      <w:marBottom w:val="0"/>
      <w:divBdr>
        <w:top w:val="none" w:sz="0" w:space="0" w:color="auto"/>
        <w:left w:val="none" w:sz="0" w:space="0" w:color="auto"/>
        <w:bottom w:val="none" w:sz="0" w:space="0" w:color="auto"/>
        <w:right w:val="none" w:sz="0" w:space="0" w:color="auto"/>
      </w:divBdr>
    </w:div>
    <w:div w:id="1844272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journal.unesa.ac.id/index.php/jurnal-pendidikan-teknik-elektro/article/view/7425" TargetMode="External"/><Relationship Id="rId26" Type="http://schemas.openxmlformats.org/officeDocument/2006/relationships/hyperlink" Target="https://doi.org/10.25015/19202340349" TargetMode="External"/><Relationship Id="rId39" Type="http://schemas.openxmlformats.org/officeDocument/2006/relationships/hyperlink" Target="https://jurnal.kemendag.go.id/index.php/bilp/article/view/419%20%20" TargetMode="External"/><Relationship Id="rId21" Type="http://schemas.openxmlformats.org/officeDocument/2006/relationships/hyperlink" Target="https://media.neliti.com/media/publications/76448-ID-none.pdf" TargetMode="External"/><Relationship Id="rId34" Type="http://schemas.openxmlformats.org/officeDocument/2006/relationships/hyperlink" Target="https://doi.org/10.21776/ub.jepa.2019.003.03.17" TargetMode="External"/><Relationship Id="rId42" Type="http://schemas.openxmlformats.org/officeDocument/2006/relationships/hyperlink" Target="https://jurnal.unigal.ac.id/mimbaragribisnis/article/view/58/56"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s://media.neliti.com/media/publications/54761-ID-fluktuasi-harga-transmisi-harga-dan-marj.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journal.poltekharber.ac.id/index.php/informatika/article/view/8584/3418" TargetMode="External"/><Relationship Id="rId32" Type="http://schemas.openxmlformats.org/officeDocument/2006/relationships/hyperlink" Target="https://ejournal.agribisnis.uho.ac.id/index.php/JIMDP/article/view/228" TargetMode="External"/><Relationship Id="rId37" Type="http://schemas.openxmlformats.org/officeDocument/2006/relationships/hyperlink" Target="https://jepa.ub.ac.id/index.php/jepa/article/view/3275" TargetMode="External"/><Relationship Id="rId40" Type="http://schemas.openxmlformats.org/officeDocument/2006/relationships/hyperlink" Target="https://e-journal.unair.ac.id" TargetMode="External"/><Relationship Id="rId45" Type="http://schemas.openxmlformats.org/officeDocument/2006/relationships/hyperlink" Target="http://ojs.uma.ac.id/index.php/agrica"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www.jstor.org/stable/1912773" TargetMode="External"/><Relationship Id="rId28" Type="http://schemas.openxmlformats.org/officeDocument/2006/relationships/hyperlink" Target="https://journal.nurulfikri.ac.id/index.php/jtt" TargetMode="External"/><Relationship Id="rId36" Type="http://schemas.openxmlformats.org/officeDocument/2006/relationships/hyperlink" Target="https://jurnal.fp.unila.ac.id/index.php/JIA/article/view/4820/3415" TargetMode="External"/><Relationship Id="rId10" Type="http://schemas.openxmlformats.org/officeDocument/2006/relationships/header" Target="header2.xml"/><Relationship Id="rId19" Type="http://schemas.openxmlformats.org/officeDocument/2006/relationships/hyperlink" Target="https://agrise.ub.ac.id/index.php/agrise/article/view/46/74" TargetMode="External"/><Relationship Id="rId31" Type="http://schemas.openxmlformats.org/officeDocument/2006/relationships/hyperlink" Target="https://media.neliti.com/media/publications/277026-none-412de1e6.pdf" TargetMode="External"/><Relationship Id="rId44" Type="http://schemas.openxmlformats.org/officeDocument/2006/relationships/hyperlink" Target="https://www.rajagrafindo.co.id/produk/mikroekonomi-teori-penganta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mazon.com/Peasant-Economics-Households-Development-Agricultural/dp/0521310083" TargetMode="External"/><Relationship Id="rId27" Type="http://schemas.openxmlformats.org/officeDocument/2006/relationships/hyperlink" Target="%20" TargetMode="External"/><Relationship Id="rId30" Type="http://schemas.openxmlformats.org/officeDocument/2006/relationships/hyperlink" Target="https://doi.org/10.31293/af.v12i1.165" TargetMode="External"/><Relationship Id="rId35" Type="http://schemas.openxmlformats.org/officeDocument/2006/relationships/hyperlink" Target="https://journals.ums.ac.id/index.php/JEP/article/view/1028/701" TargetMode="External"/><Relationship Id="rId43" Type="http://schemas.openxmlformats.org/officeDocument/2006/relationships/hyperlink" Target="https://epublikasi.pertanian.go.id/berkala/index.php/jae/article/view/3638/3691"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20" TargetMode="External"/><Relationship Id="rId33" Type="http://schemas.openxmlformats.org/officeDocument/2006/relationships/hyperlink" Target="https://media.neliti.com/media/publications/365981-none-450dc320.pdf" TargetMode="External"/><Relationship Id="rId38" Type="http://schemas.openxmlformats.org/officeDocument/2006/relationships/hyperlink" Target="https://doi:10.30598/variance%20%20%20" TargetMode="External"/><Relationship Id="rId46" Type="http://schemas.openxmlformats.org/officeDocument/2006/relationships/hyperlink" Target="https://ejurnal.indocamp.id/index.php/aletheia/article/view/6/4" TargetMode="External"/><Relationship Id="rId20" Type="http://schemas.openxmlformats.org/officeDocument/2006/relationships/hyperlink" Target="https://www.researchgate.net/profile/Dewa-Suparwata/publication/377205010_" TargetMode="External"/><Relationship Id="rId41" Type="http://schemas.openxmlformats.org/officeDocument/2006/relationships/hyperlink" Target="https://doi.org/10.34012/agriprimatech.v5i2.29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RIX%20COMPUTER\Downloads\DATA%20SKRIPSI%20%20HARGA%20BW%20RAHMI\ANALISIS%20PRODUKSI%20BAWANG%20MERA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TRIX%20COMPUTER\TUGAS%20HARTINI%20S2\TUGAS%20RAHMI\harga%20bw%20tingkat%20konsume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TRIX%20COMPUTER\TUGAS%20HARTINI%20S2\TUGAS%20RAHMI\harga%20bw%20tingkat%20konsume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solidFill>
                <a:latin typeface="+mn-lt"/>
                <a:ea typeface="+mn-ea"/>
                <a:cs typeface="+mn-cs"/>
              </a:defRPr>
            </a:pPr>
            <a:r>
              <a:rPr lang="en-GB" b="1">
                <a:solidFill>
                  <a:schemeClr val="tx1"/>
                </a:solidFill>
              </a:rPr>
              <a:t>Production Development Trends</a:t>
            </a:r>
          </a:p>
        </c:rich>
      </c:tx>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tx>
            <c:strRef>
              <c:f>Sheet1!$B$5</c:f>
              <c:strCache>
                <c:ptCount val="1"/>
                <c:pt idx="0">
                  <c:v>produksi (ton) data aktual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4"/>
            <c:marker>
              <c:symbol val="circle"/>
              <c:size val="5"/>
              <c:spPr>
                <a:solidFill>
                  <a:schemeClr val="accent2"/>
                </a:solidFill>
                <a:ln w="9525">
                  <a:solidFill>
                    <a:schemeClr val="accent1"/>
                  </a:solidFill>
                </a:ln>
                <a:effectLst/>
              </c:spPr>
            </c:marker>
            <c:bubble3D val="0"/>
            <c:extLst>
              <c:ext xmlns:c16="http://schemas.microsoft.com/office/drawing/2014/chart" uri="{C3380CC4-5D6E-409C-BE32-E72D297353CC}">
                <c16:uniqueId val="{00000000-C341-422C-A454-0AEA36648471}"/>
              </c:ext>
            </c:extLst>
          </c:dPt>
          <c:dPt>
            <c:idx val="5"/>
            <c:marker>
              <c:symbol val="circle"/>
              <c:size val="5"/>
              <c:spPr>
                <a:solidFill>
                  <a:schemeClr val="accent2"/>
                </a:solidFill>
                <a:ln w="9525">
                  <a:solidFill>
                    <a:schemeClr val="accent2"/>
                  </a:solidFill>
                </a:ln>
                <a:effectLst/>
              </c:spPr>
            </c:marker>
            <c:bubble3D val="0"/>
            <c:spPr>
              <a:ln w="19050" cap="rnd">
                <a:solidFill>
                  <a:schemeClr val="accent2"/>
                </a:solidFill>
                <a:round/>
              </a:ln>
              <a:effectLst/>
            </c:spPr>
            <c:extLst>
              <c:ext xmlns:c16="http://schemas.microsoft.com/office/drawing/2014/chart" uri="{C3380CC4-5D6E-409C-BE32-E72D297353CC}">
                <c16:uniqueId val="{00000002-C341-422C-A454-0AEA36648471}"/>
              </c:ext>
            </c:extLst>
          </c:dPt>
          <c:xVal>
            <c:numRef>
              <c:f>Sheet1!$A$6:$A$11</c:f>
              <c:numCache>
                <c:formatCode>General</c:formatCode>
                <c:ptCount val="6"/>
                <c:pt idx="0">
                  <c:v>2019</c:v>
                </c:pt>
                <c:pt idx="1">
                  <c:v>2020</c:v>
                </c:pt>
                <c:pt idx="2">
                  <c:v>2021</c:v>
                </c:pt>
                <c:pt idx="3">
                  <c:v>2022</c:v>
                </c:pt>
                <c:pt idx="4">
                  <c:v>2023</c:v>
                </c:pt>
                <c:pt idx="5">
                  <c:v>2024</c:v>
                </c:pt>
              </c:numCache>
            </c:numRef>
          </c:xVal>
          <c:yVal>
            <c:numRef>
              <c:f>Sheet1!$B$6:$B$11</c:f>
              <c:numCache>
                <c:formatCode>#,##0</c:formatCode>
                <c:ptCount val="6"/>
                <c:pt idx="0">
                  <c:v>1882545</c:v>
                </c:pt>
                <c:pt idx="1">
                  <c:v>1857954</c:v>
                </c:pt>
                <c:pt idx="2">
                  <c:v>2226197</c:v>
                </c:pt>
                <c:pt idx="3">
                  <c:v>2011550</c:v>
                </c:pt>
                <c:pt idx="4">
                  <c:v>2126183</c:v>
                </c:pt>
                <c:pt idx="5">
                  <c:v>1759590</c:v>
                </c:pt>
              </c:numCache>
            </c:numRef>
          </c:yVal>
          <c:smooth val="0"/>
          <c:extLst>
            <c:ext xmlns:c16="http://schemas.microsoft.com/office/drawing/2014/chart" uri="{C3380CC4-5D6E-409C-BE32-E72D297353CC}">
              <c16:uniqueId val="{00000003-C341-422C-A454-0AEA36648471}"/>
            </c:ext>
          </c:extLst>
        </c:ser>
        <c:ser>
          <c:idx val="1"/>
          <c:order val="1"/>
          <c:tx>
            <c:strRef>
              <c:f>Sheet1!$E$5</c:f>
              <c:strCache>
                <c:ptCount val="1"/>
                <c:pt idx="0">
                  <c:v>forescast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Sheet1!$A$6:$A$11</c:f>
              <c:numCache>
                <c:formatCode>General</c:formatCode>
                <c:ptCount val="6"/>
                <c:pt idx="0">
                  <c:v>2019</c:v>
                </c:pt>
                <c:pt idx="1">
                  <c:v>2020</c:v>
                </c:pt>
                <c:pt idx="2">
                  <c:v>2021</c:v>
                </c:pt>
                <c:pt idx="3">
                  <c:v>2022</c:v>
                </c:pt>
                <c:pt idx="4">
                  <c:v>2023</c:v>
                </c:pt>
                <c:pt idx="5">
                  <c:v>2024</c:v>
                </c:pt>
              </c:numCache>
            </c:numRef>
          </c:xVal>
          <c:yVal>
            <c:numRef>
              <c:f>Sheet1!$E$6:$E$11</c:f>
              <c:numCache>
                <c:formatCode>General</c:formatCode>
                <c:ptCount val="6"/>
              </c:numCache>
            </c:numRef>
          </c:yVal>
          <c:smooth val="0"/>
          <c:extLst>
            <c:ext xmlns:c16="http://schemas.microsoft.com/office/drawing/2014/chart" uri="{C3380CC4-5D6E-409C-BE32-E72D297353CC}">
              <c16:uniqueId val="{00000004-C341-422C-A454-0AEA36648471}"/>
            </c:ext>
          </c:extLst>
        </c:ser>
        <c:dLbls>
          <c:showLegendKey val="0"/>
          <c:showVal val="0"/>
          <c:showCatName val="0"/>
          <c:showSerName val="0"/>
          <c:showPercent val="0"/>
          <c:showBubbleSize val="0"/>
        </c:dLbls>
        <c:axId val="514041231"/>
        <c:axId val="514042671"/>
      </c:scatterChart>
      <c:valAx>
        <c:axId val="514041231"/>
        <c:scaling>
          <c:orientation val="minMax"/>
          <c:max val="2024"/>
          <c:min val="2019"/>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514042671"/>
        <c:crosses val="autoZero"/>
        <c:crossBetween val="midCat"/>
        <c:majorUnit val="1"/>
        <c:minorUnit val="0.1"/>
      </c:valAx>
      <c:valAx>
        <c:axId val="5140426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514041231"/>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Entry>
      <c:layout>
        <c:manualLayout>
          <c:xMode val="edge"/>
          <c:yMode val="edge"/>
          <c:x val="0.27548739600149003"/>
          <c:y val="0.89409804854830999"/>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911530ae-c701-411d-9216-07dd613a9cf7}"/>
      </c:ext>
    </c:extLst>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r>
              <a:rPr lang="en-GB" sz="1100">
                <a:solidFill>
                  <a:schemeClr val="tx1"/>
                </a:solidFill>
              </a:rPr>
              <a:t>Period</a:t>
            </a:r>
          </a:p>
        </c:rich>
      </c:tx>
      <c:layout>
        <c:manualLayout>
          <c:xMode val="edge"/>
          <c:yMode val="edge"/>
          <c:x val="0.46762867522392698"/>
          <c:y val="0.85751480742413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500073534714601"/>
          <c:y val="0.15496119869198099"/>
          <c:w val="0.82900945580171503"/>
          <c:h val="0.63653002276165904"/>
        </c:manualLayout>
      </c:layout>
      <c:scatterChart>
        <c:scatterStyle val="lineMarker"/>
        <c:varyColors val="0"/>
        <c:ser>
          <c:idx val="0"/>
          <c:order val="0"/>
          <c:tx>
            <c:strRef>
              <c:f>'trend harga produsen'!$B$5</c:f>
              <c:strCache>
                <c:ptCount val="1"/>
                <c:pt idx="0">
                  <c:v>data aktual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59"/>
            <c:marker>
              <c:symbol val="circle"/>
              <c:size val="5"/>
              <c:spPr>
                <a:solidFill>
                  <a:schemeClr val="accent1"/>
                </a:solidFill>
                <a:ln w="9525">
                  <a:solidFill>
                    <a:schemeClr val="accent1"/>
                  </a:solidFill>
                </a:ln>
                <a:effectLst/>
              </c:spPr>
            </c:marker>
            <c:bubble3D val="0"/>
            <c:spPr>
              <a:ln w="28575" cap="rnd" cmpd="sng">
                <a:solidFill>
                  <a:schemeClr val="tx1"/>
                </a:solidFill>
                <a:prstDash val="solid"/>
                <a:round/>
              </a:ln>
              <a:effectLst/>
            </c:spPr>
            <c:extLst>
              <c:ext xmlns:c16="http://schemas.microsoft.com/office/drawing/2014/chart" uri="{C3380CC4-5D6E-409C-BE32-E72D297353CC}">
                <c16:uniqueId val="{00000001-7E24-4310-8BD8-A04C048DD542}"/>
              </c:ext>
            </c:extLst>
          </c:dPt>
          <c:trendline>
            <c:spPr>
              <a:ln w="19050" cap="rnd">
                <a:solidFill>
                  <a:schemeClr val="accent2"/>
                </a:solidFill>
                <a:prstDash val="sysDot"/>
              </a:ln>
              <a:effectLst/>
            </c:spPr>
            <c:trendlineType val="linear"/>
            <c:dispRSqr val="0"/>
            <c:dispEq val="0"/>
          </c:trendline>
          <c:xVal>
            <c:numRef>
              <c:f>'trend harga produsen'!$A$6:$A$65</c:f>
              <c:numCache>
                <c:formatCode>General</c:formatCode>
                <c:ptCount val="6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numCache>
            </c:numRef>
          </c:xVal>
          <c:yVal>
            <c:numRef>
              <c:f>'trend harga produsen'!$B$6:$B$65</c:f>
              <c:numCache>
                <c:formatCode>General</c:formatCode>
                <c:ptCount val="60"/>
                <c:pt idx="0">
                  <c:v>10.145</c:v>
                </c:pt>
                <c:pt idx="1">
                  <c:v>14.138999999999999</c:v>
                </c:pt>
                <c:pt idx="2">
                  <c:v>17.870999999999999</c:v>
                </c:pt>
                <c:pt idx="3">
                  <c:v>19.821000000000002</c:v>
                </c:pt>
                <c:pt idx="4">
                  <c:v>19.178000000000001</c:v>
                </c:pt>
                <c:pt idx="5">
                  <c:v>17.224</c:v>
                </c:pt>
                <c:pt idx="6">
                  <c:v>15.581</c:v>
                </c:pt>
                <c:pt idx="7">
                  <c:v>11.818</c:v>
                </c:pt>
                <c:pt idx="8">
                  <c:v>11.265000000000001</c:v>
                </c:pt>
                <c:pt idx="9">
                  <c:v>13.999000000000001</c:v>
                </c:pt>
                <c:pt idx="10">
                  <c:v>14.555</c:v>
                </c:pt>
                <c:pt idx="11">
                  <c:v>12.446999999999999</c:v>
                </c:pt>
                <c:pt idx="12">
                  <c:v>14.718</c:v>
                </c:pt>
                <c:pt idx="13">
                  <c:v>12.279</c:v>
                </c:pt>
                <c:pt idx="14">
                  <c:v>16.684999999999999</c:v>
                </c:pt>
                <c:pt idx="15">
                  <c:v>25.783999999999999</c:v>
                </c:pt>
                <c:pt idx="16">
                  <c:v>31.724</c:v>
                </c:pt>
                <c:pt idx="17">
                  <c:v>19.077999999999999</c:v>
                </c:pt>
                <c:pt idx="18">
                  <c:v>18.184999999999999</c:v>
                </c:pt>
                <c:pt idx="19">
                  <c:v>17.600999999999999</c:v>
                </c:pt>
                <c:pt idx="20">
                  <c:v>15.446999999999999</c:v>
                </c:pt>
                <c:pt idx="21">
                  <c:v>17.521999999999998</c:v>
                </c:pt>
                <c:pt idx="22">
                  <c:v>19.387</c:v>
                </c:pt>
                <c:pt idx="23">
                  <c:v>17.957999999999998</c:v>
                </c:pt>
                <c:pt idx="24">
                  <c:v>10.727</c:v>
                </c:pt>
                <c:pt idx="25">
                  <c:v>16.584</c:v>
                </c:pt>
                <c:pt idx="26">
                  <c:v>17.396000000000001</c:v>
                </c:pt>
                <c:pt idx="27">
                  <c:v>14.983000000000001</c:v>
                </c:pt>
                <c:pt idx="28">
                  <c:v>18.015999999999998</c:v>
                </c:pt>
                <c:pt idx="29">
                  <c:v>17.193000000000001</c:v>
                </c:pt>
                <c:pt idx="30">
                  <c:v>15.968</c:v>
                </c:pt>
                <c:pt idx="31">
                  <c:v>17.039000000000001</c:v>
                </c:pt>
                <c:pt idx="32">
                  <c:v>11.169</c:v>
                </c:pt>
                <c:pt idx="33">
                  <c:v>12.292999999999999</c:v>
                </c:pt>
                <c:pt idx="34">
                  <c:v>12.475</c:v>
                </c:pt>
                <c:pt idx="35">
                  <c:v>11.082000000000001</c:v>
                </c:pt>
                <c:pt idx="36">
                  <c:v>8.7360000000000007</c:v>
                </c:pt>
                <c:pt idx="37">
                  <c:v>12.956</c:v>
                </c:pt>
                <c:pt idx="38">
                  <c:v>15.5</c:v>
                </c:pt>
                <c:pt idx="39">
                  <c:v>16.817</c:v>
                </c:pt>
                <c:pt idx="40">
                  <c:v>16.390999999999998</c:v>
                </c:pt>
                <c:pt idx="41">
                  <c:v>31.524999999999999</c:v>
                </c:pt>
                <c:pt idx="42">
                  <c:v>30.419</c:v>
                </c:pt>
                <c:pt idx="43">
                  <c:v>26.167000000000002</c:v>
                </c:pt>
                <c:pt idx="44">
                  <c:v>17.611999999999998</c:v>
                </c:pt>
                <c:pt idx="45">
                  <c:v>20.081</c:v>
                </c:pt>
                <c:pt idx="46">
                  <c:v>19.009</c:v>
                </c:pt>
                <c:pt idx="47">
                  <c:v>19.698</c:v>
                </c:pt>
                <c:pt idx="48">
                  <c:v>6.2690000000000001</c:v>
                </c:pt>
                <c:pt idx="49">
                  <c:v>16.593</c:v>
                </c:pt>
                <c:pt idx="50">
                  <c:v>20.483000000000001</c:v>
                </c:pt>
                <c:pt idx="51">
                  <c:v>19.440999999999999</c:v>
                </c:pt>
                <c:pt idx="52">
                  <c:v>22.46</c:v>
                </c:pt>
                <c:pt idx="53">
                  <c:v>24.105</c:v>
                </c:pt>
                <c:pt idx="54">
                  <c:v>13.955</c:v>
                </c:pt>
                <c:pt idx="55">
                  <c:v>11.074999999999999</c:v>
                </c:pt>
                <c:pt idx="56" formatCode="#,##0">
                  <c:v>9.8109999999999999</c:v>
                </c:pt>
                <c:pt idx="57">
                  <c:v>12.894</c:v>
                </c:pt>
                <c:pt idx="58">
                  <c:v>23.042999999999999</c:v>
                </c:pt>
                <c:pt idx="59">
                  <c:v>21.491</c:v>
                </c:pt>
              </c:numCache>
            </c:numRef>
          </c:yVal>
          <c:smooth val="1"/>
          <c:extLst>
            <c:ext xmlns:c16="http://schemas.microsoft.com/office/drawing/2014/chart" uri="{C3380CC4-5D6E-409C-BE32-E72D297353CC}">
              <c16:uniqueId val="{00000003-7E24-4310-8BD8-A04C048DD542}"/>
            </c:ext>
          </c:extLst>
        </c:ser>
        <c:dLbls>
          <c:showLegendKey val="0"/>
          <c:showVal val="0"/>
          <c:showCatName val="0"/>
          <c:showSerName val="0"/>
          <c:showPercent val="0"/>
          <c:showBubbleSize val="0"/>
        </c:dLbls>
        <c:axId val="1705198832"/>
        <c:axId val="1705204112"/>
      </c:scatterChart>
      <c:valAx>
        <c:axId val="1705198832"/>
        <c:scaling>
          <c:orientation val="minMax"/>
          <c:max val="60"/>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r>
                  <a:rPr lang="en-GB" baseline="0">
                    <a:solidFill>
                      <a:schemeClr val="tx1"/>
                    </a:solidFill>
                  </a:rPr>
                  <a:t>Red Onion </a:t>
                </a:r>
                <a:r>
                  <a:rPr lang="en-GB">
                    <a:solidFill>
                      <a:schemeClr val="tx1"/>
                    </a:solidFill>
                  </a:rPr>
                  <a:t>Prices at Producer Level</a:t>
                </a:r>
              </a:p>
              <a:p>
                <a:pPr>
                  <a:defRPr/>
                </a:pPr>
                <a:r>
                  <a:rPr lang="en-GB" baseline="0">
                    <a:solidFill>
                      <a:schemeClr val="tx1"/>
                    </a:solidFill>
                  </a:rPr>
                  <a:t>January 2019-December 2023</a:t>
                </a:r>
                <a:endParaRPr lang="en-US">
                  <a:solidFill>
                    <a:schemeClr val="tx1"/>
                  </a:solidFill>
                </a:endParaRPr>
              </a:p>
            </c:rich>
          </c:tx>
          <c:layout>
            <c:manualLayout>
              <c:xMode val="edge"/>
              <c:yMode val="edge"/>
              <c:x val="0.30580148362778897"/>
              <c:y val="1.76162991447841E-2"/>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1705204112"/>
        <c:crosses val="autoZero"/>
        <c:crossBetween val="midCat"/>
        <c:majorUnit val="2"/>
      </c:valAx>
      <c:valAx>
        <c:axId val="17052041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r>
                  <a:rPr lang="en-GB">
                    <a:solidFill>
                      <a:schemeClr val="tx1"/>
                    </a:solidFill>
                  </a:rPr>
                  <a:t>Price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1705198832"/>
        <c:crosses val="autoZero"/>
        <c:crossBetween val="midCat"/>
      </c:valAx>
      <c:spPr>
        <a:noFill/>
        <a:ln>
          <a:noFill/>
        </a:ln>
        <a:effectLst/>
      </c:spPr>
    </c:plotArea>
    <c:legend>
      <c:legendPos val="r"/>
      <c:layout>
        <c:manualLayout>
          <c:xMode val="edge"/>
          <c:yMode val="edge"/>
          <c:x val="9.1853735674345099E-2"/>
          <c:y val="0.92947380741864105"/>
          <c:w val="0.86940708498394204"/>
          <c:h val="4.8324323844734E-2"/>
        </c:manualLayout>
      </c:layout>
      <c:overlay val="0"/>
      <c:spPr>
        <a:noFill/>
        <a:ln cap="rnd">
          <a:solidFill>
            <a:schemeClr val="accent2"/>
          </a:solidFill>
          <a:beve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1f430c90-74ef-4c5a-a69f-775d989d5819}"/>
      </c:ext>
    </c:extLst>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ysClr val="windowText" lastClr="000000"/>
                </a:solidFill>
                <a:latin typeface="+mn-lt"/>
                <a:ea typeface="+mn-ea"/>
                <a:cs typeface="+mn-cs"/>
              </a:defRPr>
            </a:pPr>
            <a:r>
              <a:rPr lang="en-GB" sz="1200" b="1" i="0" baseline="0">
                <a:solidFill>
                  <a:sysClr val="windowText" lastClr="000000"/>
                </a:solidFill>
                <a:latin typeface="Times New Roman" panose="02020603050405020304" charset="0"/>
                <a:cs typeface="Times New Roman" panose="02020603050405020304" charset="0"/>
              </a:rPr>
              <a:t>Red Onion Producer Price Index Forecast</a:t>
            </a:r>
          </a:p>
        </c:rich>
      </c:tx>
      <c:layout>
        <c:manualLayout>
          <c:xMode val="edge"/>
          <c:yMode val="edge"/>
          <c:x val="0.19218828152376699"/>
          <c:y val="2.7382235799381201E-2"/>
        </c:manualLayout>
      </c:layout>
      <c:overlay val="1"/>
      <c:spPr>
        <a:noFill/>
        <a:ln>
          <a:noFill/>
        </a:ln>
        <a:effectLst/>
      </c:spPr>
      <c:txPr>
        <a:bodyPr rot="0" spcFirstLastPara="1" vertOverflow="ellipsis" vert="horz" wrap="square" anchor="ctr" anchorCtr="1"/>
        <a:lstStyle/>
        <a:p>
          <a:pPr>
            <a:defRPr lang="en-US" sz="14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80159486301716E-2"/>
          <c:y val="0.122086428971075"/>
          <c:w val="0.90432194117329801"/>
          <c:h val="0.63688135170278803"/>
        </c:manualLayout>
      </c:layout>
      <c:scatterChart>
        <c:scatterStyle val="smoothMarker"/>
        <c:varyColors val="0"/>
        <c:ser>
          <c:idx val="0"/>
          <c:order val="0"/>
          <c:tx>
            <c:strRef>
              <c:f>'trend harga produsen'!$B$5</c:f>
              <c:strCache>
                <c:ptCount val="1"/>
                <c:pt idx="0">
                  <c:v>data aktual</c:v>
                </c:pt>
              </c:strCache>
            </c:strRef>
          </c:tx>
          <c:spPr>
            <a:ln w="19050" cap="rnd">
              <a:solidFill>
                <a:schemeClr val="accent1"/>
              </a:solidFill>
              <a:round/>
            </a:ln>
            <a:effectLst/>
          </c:spPr>
          <c:marker>
            <c:symbol val="none"/>
          </c:marker>
          <c:yVal>
            <c:numRef>
              <c:f>'trend harga produsen'!$B$6:$B$65</c:f>
              <c:numCache>
                <c:formatCode>General</c:formatCode>
                <c:ptCount val="60"/>
                <c:pt idx="0">
                  <c:v>10.145</c:v>
                </c:pt>
                <c:pt idx="1">
                  <c:v>14.138999999999999</c:v>
                </c:pt>
                <c:pt idx="2">
                  <c:v>17.870999999999999</c:v>
                </c:pt>
                <c:pt idx="3">
                  <c:v>19.821000000000002</c:v>
                </c:pt>
                <c:pt idx="4">
                  <c:v>19.178000000000001</c:v>
                </c:pt>
                <c:pt idx="5">
                  <c:v>17.224</c:v>
                </c:pt>
                <c:pt idx="6">
                  <c:v>15.581</c:v>
                </c:pt>
                <c:pt idx="7">
                  <c:v>11.818</c:v>
                </c:pt>
                <c:pt idx="8">
                  <c:v>11.265000000000001</c:v>
                </c:pt>
                <c:pt idx="9">
                  <c:v>13.999000000000001</c:v>
                </c:pt>
                <c:pt idx="10">
                  <c:v>14.555</c:v>
                </c:pt>
                <c:pt idx="11">
                  <c:v>12.446999999999999</c:v>
                </c:pt>
                <c:pt idx="12">
                  <c:v>14.718</c:v>
                </c:pt>
                <c:pt idx="13">
                  <c:v>12.279</c:v>
                </c:pt>
                <c:pt idx="14">
                  <c:v>16.684999999999999</c:v>
                </c:pt>
                <c:pt idx="15">
                  <c:v>25.783999999999999</c:v>
                </c:pt>
                <c:pt idx="16">
                  <c:v>31.724</c:v>
                </c:pt>
                <c:pt idx="17">
                  <c:v>19.077999999999999</c:v>
                </c:pt>
                <c:pt idx="18">
                  <c:v>18.184999999999999</c:v>
                </c:pt>
                <c:pt idx="19">
                  <c:v>17.600999999999999</c:v>
                </c:pt>
                <c:pt idx="20">
                  <c:v>15.446999999999999</c:v>
                </c:pt>
                <c:pt idx="21">
                  <c:v>17.521999999999998</c:v>
                </c:pt>
                <c:pt idx="22">
                  <c:v>19.387</c:v>
                </c:pt>
                <c:pt idx="23">
                  <c:v>17.957999999999998</c:v>
                </c:pt>
                <c:pt idx="24">
                  <c:v>10.727</c:v>
                </c:pt>
                <c:pt idx="25">
                  <c:v>16.584</c:v>
                </c:pt>
                <c:pt idx="26">
                  <c:v>17.396000000000001</c:v>
                </c:pt>
                <c:pt idx="27">
                  <c:v>14.983000000000001</c:v>
                </c:pt>
                <c:pt idx="28">
                  <c:v>18.015999999999998</c:v>
                </c:pt>
                <c:pt idx="29">
                  <c:v>17.193000000000001</c:v>
                </c:pt>
                <c:pt idx="30">
                  <c:v>15.968</c:v>
                </c:pt>
                <c:pt idx="31">
                  <c:v>17.039000000000001</c:v>
                </c:pt>
                <c:pt idx="32">
                  <c:v>11.169</c:v>
                </c:pt>
                <c:pt idx="33">
                  <c:v>12.292999999999999</c:v>
                </c:pt>
                <c:pt idx="34">
                  <c:v>12.475</c:v>
                </c:pt>
                <c:pt idx="35">
                  <c:v>11.082000000000001</c:v>
                </c:pt>
                <c:pt idx="36">
                  <c:v>8.7360000000000007</c:v>
                </c:pt>
                <c:pt idx="37">
                  <c:v>12.956</c:v>
                </c:pt>
                <c:pt idx="38">
                  <c:v>15.5</c:v>
                </c:pt>
                <c:pt idx="39">
                  <c:v>16.817</c:v>
                </c:pt>
                <c:pt idx="40">
                  <c:v>16.390999999999998</c:v>
                </c:pt>
                <c:pt idx="41">
                  <c:v>31.524999999999999</c:v>
                </c:pt>
                <c:pt idx="42">
                  <c:v>30.419</c:v>
                </c:pt>
                <c:pt idx="43">
                  <c:v>26.167000000000002</c:v>
                </c:pt>
                <c:pt idx="44">
                  <c:v>17.611999999999998</c:v>
                </c:pt>
                <c:pt idx="45">
                  <c:v>20.081</c:v>
                </c:pt>
                <c:pt idx="46">
                  <c:v>19.009</c:v>
                </c:pt>
                <c:pt idx="47">
                  <c:v>19.698</c:v>
                </c:pt>
                <c:pt idx="48">
                  <c:v>6.2690000000000001</c:v>
                </c:pt>
                <c:pt idx="49">
                  <c:v>16.593</c:v>
                </c:pt>
                <c:pt idx="50">
                  <c:v>20.483000000000001</c:v>
                </c:pt>
                <c:pt idx="51">
                  <c:v>19.440999999999999</c:v>
                </c:pt>
                <c:pt idx="52">
                  <c:v>22.46</c:v>
                </c:pt>
                <c:pt idx="53">
                  <c:v>24.105</c:v>
                </c:pt>
                <c:pt idx="54">
                  <c:v>13.955</c:v>
                </c:pt>
                <c:pt idx="55">
                  <c:v>11.074999999999999</c:v>
                </c:pt>
                <c:pt idx="56" formatCode="#,##0">
                  <c:v>9.8109999999999999</c:v>
                </c:pt>
                <c:pt idx="57">
                  <c:v>12.894</c:v>
                </c:pt>
                <c:pt idx="58">
                  <c:v>23.042999999999999</c:v>
                </c:pt>
                <c:pt idx="59">
                  <c:v>21.491</c:v>
                </c:pt>
              </c:numCache>
            </c:numRef>
          </c:yVal>
          <c:smooth val="1"/>
          <c:extLst>
            <c:ext xmlns:c16="http://schemas.microsoft.com/office/drawing/2014/chart" uri="{C3380CC4-5D6E-409C-BE32-E72D297353CC}">
              <c16:uniqueId val="{00000000-FA7C-4630-8FC8-07C6C216947A}"/>
            </c:ext>
          </c:extLst>
        </c:ser>
        <c:ser>
          <c:idx val="1"/>
          <c:order val="1"/>
          <c:tx>
            <c:strRef>
              <c:f>'trend harga produsen'!$E$5</c:f>
              <c:strCache>
                <c:ptCount val="1"/>
                <c:pt idx="0">
                  <c:v>peramalan</c:v>
                </c:pt>
              </c:strCache>
            </c:strRef>
          </c:tx>
          <c:spPr>
            <a:ln w="19050" cap="rnd">
              <a:solidFill>
                <a:schemeClr val="accent2"/>
              </a:solidFill>
              <a:round/>
            </a:ln>
            <a:effectLst/>
          </c:spPr>
          <c:marker>
            <c:symbol val="none"/>
          </c:marker>
          <c:yVal>
            <c:numRef>
              <c:f>'trend harga produsen'!$E$6:$E$77</c:f>
              <c:numCache>
                <c:formatCode>General</c:formatCode>
                <c:ptCount val="72"/>
                <c:pt idx="2" formatCode="_(* #,##0.0000_);_(* \(#,##0.0000\);_(* &quot;-&quot;??_);_(@_)">
                  <c:v>18.132999999999999</c:v>
                </c:pt>
                <c:pt idx="3" formatCode="_(* #,##0.0000_);_(* \(#,##0.0000\);_(* &quot;-&quot;??_);_(@_)">
                  <c:v>17.909738093568802</c:v>
                </c:pt>
                <c:pt idx="4" formatCode="_(* #,##0.0000_);_(* \(#,##0.0000\);_(* &quot;-&quot;??_);_(@_)">
                  <c:v>19.5384097611995</c:v>
                </c:pt>
                <c:pt idx="5" formatCode="_(* #,##0.0000_);_(* \(#,##0.0000\);_(* &quot;-&quot;??_);_(@_)">
                  <c:v>19.231288500200101</c:v>
                </c:pt>
                <c:pt idx="6" formatCode="_(* #,##0.0000_);_(* \(#,##0.0000\);_(* &quot;-&quot;??_);_(@_)">
                  <c:v>17.520788281451299</c:v>
                </c:pt>
                <c:pt idx="7" formatCode="_(* #,##0.0000_);_(* \(#,##0.0000\);_(* &quot;-&quot;??_);_(@_)">
                  <c:v>15.867808015077999</c:v>
                </c:pt>
                <c:pt idx="8" formatCode="_(* #,##0.0000_);_(* \(#,##0.0000\);_(* &quot;-&quot;??_);_(@_)">
                  <c:v>12.4167856558153</c:v>
                </c:pt>
                <c:pt idx="9" formatCode="_(* #,##0.0000_);_(* \(#,##0.0000\);_(* &quot;-&quot;??_);_(@_)">
                  <c:v>11.4352976355196</c:v>
                </c:pt>
                <c:pt idx="10" formatCode="_(* #,##0.0000_);_(* \(#,##0.0000\);_(* &quot;-&quot;??_);_(@_)">
                  <c:v>13.619942969169101</c:v>
                </c:pt>
                <c:pt idx="11" formatCode="_(* #,##0.0000_);_(* \(#,##0.0000\);_(* &quot;-&quot;??_);_(@_)">
                  <c:v>14.4167468444563</c:v>
                </c:pt>
                <c:pt idx="12" formatCode="_(* #,##0.0000_);_(* \(#,##0.0000\);_(* &quot;-&quot;??_);_(@_)">
                  <c:v>12.738237547966801</c:v>
                </c:pt>
                <c:pt idx="13" formatCode="_(* #,##0.0000_);_(* \(#,##0.0000\);_(* &quot;-&quot;??_);_(@_)">
                  <c:v>14.4252815911802</c:v>
                </c:pt>
                <c:pt idx="14" formatCode="_(* #,##0.0000_);_(* \(#,##0.0000\);_(* &quot;-&quot;??_);_(@_)">
                  <c:v>12.596339149252101</c:v>
                </c:pt>
                <c:pt idx="15" formatCode="_(* #,##0.0000_);_(* \(#,##0.0000\);_(* &quot;-&quot;??_);_(@_)">
                  <c:v>16.080469745774099</c:v>
                </c:pt>
                <c:pt idx="16" formatCode="_(* #,##0.0000_);_(* \(#,##0.0000\);_(* &quot;-&quot;??_);_(@_)">
                  <c:v>24.349281439177599</c:v>
                </c:pt>
                <c:pt idx="17" formatCode="_(* #,##0.0000_);_(* \(#,##0.0000\);_(* &quot;-&quot;??_);_(@_)">
                  <c:v>30.633608634914498</c:v>
                </c:pt>
                <c:pt idx="18" formatCode="_(* #,##0.0000_);_(* \(#,##0.0000\);_(* &quot;-&quot;??_);_(@_)">
                  <c:v>20.7865582005468</c:v>
                </c:pt>
                <c:pt idx="19" formatCode="_(* #,##0.0000_);_(* \(#,##0.0000\);_(* &quot;-&quot;??_);_(@_)">
                  <c:v>18.5696542175471</c:v>
                </c:pt>
                <c:pt idx="20" formatCode="_(* #,##0.0000_);_(* \(#,##0.0000\);_(* &quot;-&quot;??_);_(@_)">
                  <c:v>17.744220678302</c:v>
                </c:pt>
                <c:pt idx="21" formatCode="_(* #,##0.0000_);_(* \(#,##0.0000\);_(* &quot;-&quot;??_);_(@_)">
                  <c:v>15.7866562961227</c:v>
                </c:pt>
                <c:pt idx="22" formatCode="_(* #,##0.0000_);_(* \(#,##0.0000\);_(* &quot;-&quot;??_);_(@_)">
                  <c:v>17.265420203149802</c:v>
                </c:pt>
                <c:pt idx="23" formatCode="_(* #,##0.0000_);_(* \(#,##0.0000\);_(* &quot;-&quot;??_);_(@_)">
                  <c:v>19.073313142427601</c:v>
                </c:pt>
                <c:pt idx="24" formatCode="_(* #,##0.0000_);_(* \(#,##0.0000\);_(* &quot;-&quot;??_);_(@_)">
                  <c:v>18.1229049804192</c:v>
                </c:pt>
                <c:pt idx="25" formatCode="_(* #,##0.0000_);_(* \(#,##0.0000\);_(* &quot;-&quot;??_);_(@_)">
                  <c:v>11.8205238899127</c:v>
                </c:pt>
                <c:pt idx="26" formatCode="_(* #,##0.0000_);_(* \(#,##0.0000\);_(* &quot;-&quot;??_);_(@_)">
                  <c:v>15.879694720362201</c:v>
                </c:pt>
                <c:pt idx="27" formatCode="_(* #,##0.0000_);_(* \(#,##0.0000\);_(* &quot;-&quot;??_);_(@_)">
                  <c:v>17.171806199231298</c:v>
                </c:pt>
                <c:pt idx="28" formatCode="_(* #,##0.0000_);_(* \(#,##0.0000\);_(* &quot;-&quot;??_);_(@_)">
                  <c:v>15.306626638739299</c:v>
                </c:pt>
                <c:pt idx="29" formatCode="_(* #,##0.0000_);_(* \(#,##0.0000\);_(* &quot;-&quot;??_);_(@_)">
                  <c:v>17.6154047374763</c:v>
                </c:pt>
                <c:pt idx="30" formatCode="_(* #,##0.0000_);_(* \(#,##0.0000\);_(* &quot;-&quot;??_);_(@_)">
                  <c:v>17.255454787191798</c:v>
                </c:pt>
                <c:pt idx="31" formatCode="_(* #,##0.0000_);_(* \(#,##0.0000\);_(* &quot;-&quot;??_);_(@_)">
                  <c:v>16.158357038212898</c:v>
                </c:pt>
                <c:pt idx="32" formatCode="_(* #,##0.0000_);_(* \(#,##0.0000\);_(* &quot;-&quot;??_);_(@_)">
                  <c:v>16.908792253990899</c:v>
                </c:pt>
                <c:pt idx="33" formatCode="_(* #,##0.0000_);_(* \(#,##0.0000\);_(* &quot;-&quot;??_);_(@_)">
                  <c:v>12.017658814505101</c:v>
                </c:pt>
                <c:pt idx="34" formatCode="_(* #,##0.0000_);_(* \(#,##0.0000\);_(* &quot;-&quot;??_);_(@_)">
                  <c:v>12.2522893411945</c:v>
                </c:pt>
                <c:pt idx="35" formatCode="_(* #,##0.0000_);_(* \(#,##0.0000\);_(* &quot;-&quot;??_);_(@_)">
                  <c:v>12.4420710445055</c:v>
                </c:pt>
                <c:pt idx="36" formatCode="_(* #,##0.0000_);_(* \(#,##0.0000\);_(* &quot;-&quot;??_);_(@_)">
                  <c:v>11.2830937381</c:v>
                </c:pt>
                <c:pt idx="37" formatCode="_(* #,##0.0000_);_(* \(#,##0.0000\);_(* &quot;-&quot;??_);_(@_)">
                  <c:v>9.1126013570798392</c:v>
                </c:pt>
                <c:pt idx="38" formatCode="_(* #,##0.0000_);_(* \(#,##0.0000\);_(* &quot;-&quot;??_);_(@_)">
                  <c:v>12.387733067742399</c:v>
                </c:pt>
                <c:pt idx="39" formatCode="_(* #,##0.0000_);_(* \(#,##0.0000\);_(* &quot;-&quot;??_);_(@_)">
                  <c:v>15.0398347800277</c:v>
                </c:pt>
                <c:pt idx="40" formatCode="_(* #,##0.0000_);_(* \(#,##0.0000\);_(* &quot;-&quot;??_);_(@_)">
                  <c:v>16.554236669548001</c:v>
                </c:pt>
                <c:pt idx="41" formatCode="_(* #,##0.0000_);_(* \(#,##0.0000\);_(* &quot;-&quot;??_);_(@_)">
                  <c:v>16.415135409842801</c:v>
                </c:pt>
                <c:pt idx="42" formatCode="_(* #,##0.0000_);_(* \(#,##0.0000\);_(* &quot;-&quot;??_);_(@_)">
                  <c:v>29.290926151508501</c:v>
                </c:pt>
                <c:pt idx="43" formatCode="_(* #,##0.0000_);_(* \(#,##0.0000\);_(* &quot;-&quot;??_);_(@_)">
                  <c:v>30.2522082813155</c:v>
                </c:pt>
                <c:pt idx="44" formatCode="_(* #,##0.0000_);_(* \(#,##0.0000\);_(* &quot;-&quot;??_);_(@_)">
                  <c:v>26.771019773471199</c:v>
                </c:pt>
                <c:pt idx="45" formatCode="_(* #,##0.0000_);_(* \(#,##0.0000\);_(* &quot;-&quot;??_);_(@_)">
                  <c:v>18.966209790010801</c:v>
                </c:pt>
                <c:pt idx="46" formatCode="_(* #,##0.0000_);_(* \(#,##0.0000\);_(* &quot;-&quot;??_);_(@_)">
                  <c:v>19.9161723379233</c:v>
                </c:pt>
                <c:pt idx="47" formatCode="_(* #,##0.0000_);_(* \(#,##0.0000\);_(* &quot;-&quot;??_);_(@_)">
                  <c:v>19.143130255379599</c:v>
                </c:pt>
                <c:pt idx="48" formatCode="_(* #,##0.0000_);_(* \(#,##0.0000\);_(* &quot;-&quot;??_);_(@_)">
                  <c:v>19.615959556925301</c:v>
                </c:pt>
                <c:pt idx="49" formatCode="_(* #,##0.0000_);_(* \(#,##0.0000\);_(* &quot;-&quot;??_);_(@_)">
                  <c:v>8.2424189624984798</c:v>
                </c:pt>
                <c:pt idx="50" formatCode="_(* #,##0.0000_);_(* \(#,##0.0000\);_(* &quot;-&quot;??_);_(@_)">
                  <c:v>15.358322177159399</c:v>
                </c:pt>
                <c:pt idx="51" formatCode="_(* #,##0.0000_);_(* \(#,##0.0000\);_(* &quot;-&quot;??_);_(@_)">
                  <c:v>19.7252891259125</c:v>
                </c:pt>
                <c:pt idx="52" formatCode="_(* #,##0.0000_);_(* \(#,##0.0000\);_(* &quot;-&quot;??_);_(@_)">
                  <c:v>19.483033659389999</c:v>
                </c:pt>
                <c:pt idx="53" formatCode="_(* #,##0.0000_);_(* \(#,##0.0000\);_(* &quot;-&quot;??_);_(@_)">
                  <c:v>22.019839692161899</c:v>
                </c:pt>
                <c:pt idx="54" formatCode="_(* #,##0.0000_);_(* \(#,##0.0000\);_(* &quot;-&quot;??_);_(@_)">
                  <c:v>23.796697957591999</c:v>
                </c:pt>
                <c:pt idx="55" formatCode="_(* #,##0.0000_);_(* \(#,##0.0000\);_(* &quot;-&quot;??_);_(@_)">
                  <c:v>15.4101473906743</c:v>
                </c:pt>
                <c:pt idx="56" formatCode="_(* #,##0.0000_);_(* \(#,##0.0000\);_(* &quot;-&quot;??_);_(@_)">
                  <c:v>11.7159746002072</c:v>
                </c:pt>
                <c:pt idx="57" formatCode="_(* #,##0.0000_);_(* \(#,##0.0000\);_(* &quot;-&quot;??_);_(@_)">
                  <c:v>10.0926606271333</c:v>
                </c:pt>
                <c:pt idx="58" formatCode="_(* #,##0.0000_);_(* \(#,##0.0000\);_(* &quot;-&quot;??_);_(@_)">
                  <c:v>12.479807073496399</c:v>
                </c:pt>
                <c:pt idx="59" formatCode="_(* #,##0.0000_);_(* \(#,##0.0000\);_(* &quot;-&quot;??_);_(@_)">
                  <c:v>21.481175740565899</c:v>
                </c:pt>
                <c:pt idx="60" formatCode="_(* #,##0.0000_);_(* \(#,##0.0000\);_(* &quot;-&quot;??_);_(@_)">
                  <c:v>21.489547430987798</c:v>
                </c:pt>
                <c:pt idx="61" formatCode="_(* #,##0.0000_);_(* \(#,##0.0000\);_(* &quot;-&quot;??_);_(@_)">
                  <c:v>21.491367885294402</c:v>
                </c:pt>
                <c:pt idx="62" formatCode="_(* #,##0.0000_);_(* \(#,##0.0000\);_(* &quot;-&quot;??_);_(@_)">
                  <c:v>21.493188339600898</c:v>
                </c:pt>
                <c:pt idx="63" formatCode="_(* #,##0.0000_);_(* \(#,##0.0000\);_(* &quot;-&quot;??_);_(@_)">
                  <c:v>21.495008793907498</c:v>
                </c:pt>
                <c:pt idx="64" formatCode="_(* #,##0.0000_);_(* \(#,##0.0000\);_(* &quot;-&quot;??_);_(@_)">
                  <c:v>21.496829248214102</c:v>
                </c:pt>
                <c:pt idx="65" formatCode="_(* #,##0.0000_);_(* \(#,##0.0000\);_(* &quot;-&quot;??_);_(@_)">
                  <c:v>21.498649702520702</c:v>
                </c:pt>
                <c:pt idx="66" formatCode="_(* #,##0.0000_);_(* \(#,##0.0000\);_(* &quot;-&quot;??_);_(@_)">
                  <c:v>21.500470156827301</c:v>
                </c:pt>
                <c:pt idx="67" formatCode="_(* #,##0.0000_);_(* \(#,##0.0000\);_(* &quot;-&quot;??_);_(@_)">
                  <c:v>21.502290611133802</c:v>
                </c:pt>
                <c:pt idx="68" formatCode="_(* #,##0.0000_);_(* \(#,##0.0000\);_(* &quot;-&quot;??_);_(@_)">
                  <c:v>21.504111065440402</c:v>
                </c:pt>
                <c:pt idx="69" formatCode="_(* #,##0.0000_);_(* \(#,##0.0000\);_(* &quot;-&quot;??_);_(@_)">
                  <c:v>21.505931519747001</c:v>
                </c:pt>
                <c:pt idx="70" formatCode="_(* #,##0.0000_);_(* \(#,##0.0000\);_(* &quot;-&quot;??_);_(@_)">
                  <c:v>21.507751974053601</c:v>
                </c:pt>
                <c:pt idx="71" formatCode="_(* #,##0.0000_);_(* \(#,##0.0000\);_(* &quot;-&quot;??_);_(@_)">
                  <c:v>21.509572428360201</c:v>
                </c:pt>
              </c:numCache>
            </c:numRef>
          </c:yVal>
          <c:smooth val="1"/>
          <c:extLst>
            <c:ext xmlns:c16="http://schemas.microsoft.com/office/drawing/2014/chart" uri="{C3380CC4-5D6E-409C-BE32-E72D297353CC}">
              <c16:uniqueId val="{00000001-FA7C-4630-8FC8-07C6C216947A}"/>
            </c:ext>
          </c:extLst>
        </c:ser>
        <c:dLbls>
          <c:showLegendKey val="0"/>
          <c:showVal val="0"/>
          <c:showCatName val="0"/>
          <c:showSerName val="0"/>
          <c:showPercent val="0"/>
          <c:showBubbleSize val="0"/>
        </c:dLbls>
        <c:axId val="1785056687"/>
        <c:axId val="1785055247"/>
      </c:scatterChart>
      <c:valAx>
        <c:axId val="1785056687"/>
        <c:scaling>
          <c:orientation val="minMax"/>
          <c:max val="7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t>Period</a:t>
                </a:r>
              </a:p>
            </c:rich>
          </c:tx>
          <c:layout>
            <c:manualLayout>
              <c:xMode val="edge"/>
              <c:yMode val="edge"/>
              <c:x val="0.47383206494567998"/>
              <c:y val="0.81894771728453697"/>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accent2"/>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crossAx val="1785055247"/>
        <c:crosses val="autoZero"/>
        <c:crossBetween val="midCat"/>
        <c:majorUnit val="2"/>
      </c:valAx>
      <c:valAx>
        <c:axId val="1785055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crossAx val="1785056687"/>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7562a777-38f0-4064-b712-d4c70dfa3eff}"/>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5BE3F-1B45-474F-8243-324C4FEE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592</TotalTime>
  <Pages>11</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69</cp:revision>
  <cp:lastPrinted>2025-07-08T14:40:00Z</cp:lastPrinted>
  <dcterms:created xsi:type="dcterms:W3CDTF">2014-10-25T15:34:00Z</dcterms:created>
  <dcterms:modified xsi:type="dcterms:W3CDTF">2025-07-09T12:55:00Z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F6B8BCA99C714CCF92125D4529B1DD06_13</vt:lpwstr>
  </property>
</Properties>
</file>