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E231" w14:textId="360EEA3F" w:rsidR="006E0040" w:rsidRPr="006E0040" w:rsidRDefault="006E0040" w:rsidP="006E0040">
      <w:pPr>
        <w:spacing w:after="0" w:line="360" w:lineRule="auto"/>
        <w:rPr>
          <w:rFonts w:ascii="Arial" w:hAnsi="Arial" w:cs="Arial"/>
          <w:b/>
          <w:color w:val="000000" w:themeColor="text1"/>
          <w:sz w:val="24"/>
          <w:szCs w:val="24"/>
          <w:u w:val="single"/>
        </w:rPr>
      </w:pPr>
      <w:r w:rsidRPr="006E0040">
        <w:rPr>
          <w:rFonts w:ascii="Arial" w:hAnsi="Arial" w:cs="Arial"/>
          <w:b/>
          <w:color w:val="000000" w:themeColor="text1"/>
          <w:sz w:val="24"/>
          <w:szCs w:val="24"/>
          <w:u w:val="single"/>
        </w:rPr>
        <w:t>Original Research Article</w:t>
      </w:r>
    </w:p>
    <w:p w14:paraId="7A4EFC11" w14:textId="460E1B4B" w:rsidR="001F5138" w:rsidRPr="000A6C74" w:rsidRDefault="00BA3054" w:rsidP="00671DFF">
      <w:pPr>
        <w:spacing w:after="0" w:line="360" w:lineRule="auto"/>
        <w:jc w:val="center"/>
        <w:rPr>
          <w:rFonts w:ascii="Arial" w:hAnsi="Arial" w:cs="Arial"/>
          <w:b/>
          <w:color w:val="000000" w:themeColor="text1"/>
          <w:sz w:val="36"/>
          <w:szCs w:val="36"/>
        </w:rPr>
      </w:pPr>
      <w:r w:rsidRPr="000A6C74">
        <w:rPr>
          <w:rFonts w:ascii="Arial" w:hAnsi="Arial" w:cs="Arial"/>
          <w:b/>
          <w:color w:val="000000" w:themeColor="text1"/>
          <w:sz w:val="36"/>
          <w:szCs w:val="36"/>
        </w:rPr>
        <w:t>Comprehensive Assessment of Metabolic and Urinary Alterations in Canine Diabetes Mellitus</w:t>
      </w:r>
    </w:p>
    <w:p w14:paraId="0E71EDB2" w14:textId="77777777" w:rsidR="00796687" w:rsidRPr="000A6C74" w:rsidRDefault="00796687" w:rsidP="0007681F">
      <w:pPr>
        <w:spacing w:after="0" w:line="360" w:lineRule="auto"/>
        <w:rPr>
          <w:rFonts w:ascii="Arial" w:hAnsi="Arial" w:cs="Arial"/>
          <w:b/>
          <w:color w:val="000000" w:themeColor="text1"/>
          <w:sz w:val="24"/>
          <w:szCs w:val="24"/>
        </w:rPr>
      </w:pPr>
    </w:p>
    <w:p w14:paraId="43B88B59" w14:textId="77777777" w:rsidR="000A6C74" w:rsidRPr="000A6C74" w:rsidRDefault="008A4722" w:rsidP="000A6C74">
      <w:pPr>
        <w:pStyle w:val="NormalWeb"/>
        <w:spacing w:before="0" w:beforeAutospacing="0" w:after="0" w:afterAutospacing="0" w:line="360" w:lineRule="auto"/>
        <w:jc w:val="both"/>
        <w:rPr>
          <w:rFonts w:ascii="Arial" w:hAnsi="Arial" w:cs="Arial"/>
          <w:sz w:val="20"/>
          <w:szCs w:val="20"/>
        </w:rPr>
      </w:pPr>
      <w:r w:rsidRPr="000A6C74">
        <w:rPr>
          <w:rStyle w:val="Strong"/>
          <w:rFonts w:ascii="Arial" w:hAnsi="Arial" w:cs="Arial"/>
          <w:color w:val="000000" w:themeColor="text1"/>
          <w:sz w:val="22"/>
          <w:szCs w:val="20"/>
        </w:rPr>
        <w:t>ABSTRACT</w:t>
      </w:r>
      <w:r w:rsidR="009B3E93" w:rsidRPr="000A6C74">
        <w:rPr>
          <w:rFonts w:ascii="Arial" w:hAnsi="Arial" w:cs="Arial"/>
          <w:color w:val="000000" w:themeColor="text1"/>
          <w:sz w:val="22"/>
          <w:szCs w:val="20"/>
        </w:rPr>
        <w:br/>
      </w:r>
      <w:r w:rsidR="000A6C74" w:rsidRPr="000A6C74">
        <w:rPr>
          <w:rFonts w:ascii="Arial" w:hAnsi="Arial" w:cs="Arial"/>
          <w:b/>
          <w:bCs/>
          <w:sz w:val="20"/>
          <w:szCs w:val="20"/>
        </w:rPr>
        <w:t xml:space="preserve">Aims: </w:t>
      </w:r>
      <w:r w:rsidR="000A6C74" w:rsidRPr="000A6C74">
        <w:rPr>
          <w:rFonts w:ascii="Arial" w:hAnsi="Arial" w:cs="Arial"/>
          <w:sz w:val="20"/>
          <w:szCs w:val="20"/>
        </w:rPr>
        <w:t xml:space="preserve">This study aimed to assess the metabolic and urinary alterations in canines with diabetes mellitus, focusing on biochemical, </w:t>
      </w:r>
      <w:proofErr w:type="spellStart"/>
      <w:r w:rsidR="000A6C74" w:rsidRPr="000A6C74">
        <w:rPr>
          <w:rFonts w:ascii="Arial" w:hAnsi="Arial" w:cs="Arial"/>
          <w:sz w:val="20"/>
          <w:szCs w:val="20"/>
        </w:rPr>
        <w:t>hematological</w:t>
      </w:r>
      <w:proofErr w:type="spellEnd"/>
      <w:r w:rsidR="000A6C74" w:rsidRPr="000A6C74">
        <w:rPr>
          <w:rFonts w:ascii="Arial" w:hAnsi="Arial" w:cs="Arial"/>
          <w:sz w:val="20"/>
          <w:szCs w:val="20"/>
        </w:rPr>
        <w:t>, and urinary parameters to better understand the disease and inform treatment strategies.</w:t>
      </w:r>
    </w:p>
    <w:p w14:paraId="19C6AC54" w14:textId="77777777"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Study Design: </w:t>
      </w:r>
      <w:r w:rsidRPr="000A6C74">
        <w:rPr>
          <w:rFonts w:ascii="Arial" w:eastAsia="Times New Roman" w:hAnsi="Arial" w:cs="Arial"/>
          <w:sz w:val="20"/>
          <w:szCs w:val="20"/>
          <w:lang w:val="en-IN" w:eastAsia="en-IN"/>
        </w:rPr>
        <w:t>An observational, cross-sectional study.</w:t>
      </w:r>
    </w:p>
    <w:p w14:paraId="75CDC191" w14:textId="77777777"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Place and Duration of Study: </w:t>
      </w:r>
      <w:r w:rsidRPr="000A6C74">
        <w:rPr>
          <w:rFonts w:ascii="Arial" w:eastAsia="Times New Roman" w:hAnsi="Arial" w:cs="Arial"/>
          <w:sz w:val="20"/>
          <w:szCs w:val="20"/>
          <w:lang w:val="en-IN" w:eastAsia="en-IN"/>
        </w:rPr>
        <w:t>The study was conducted at the Department of Veterinary Medicine, PGIVER, Jaipur, India, from August 2024 to January 2025.</w:t>
      </w:r>
    </w:p>
    <w:p w14:paraId="7187DA93" w14:textId="77777777"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Methodology: </w:t>
      </w:r>
      <w:r w:rsidRPr="000A6C74">
        <w:rPr>
          <w:rFonts w:ascii="Arial" w:eastAsia="Times New Roman" w:hAnsi="Arial" w:cs="Arial"/>
          <w:sz w:val="20"/>
          <w:szCs w:val="20"/>
          <w:lang w:val="en-IN" w:eastAsia="en-IN"/>
        </w:rPr>
        <w:t>The study involved 200 canines exhibiting clinical signs of diabetes mellitus, with 13 diagnosed based on fasting blood glucose levels above 140 mg/dl. A control group of 10 healthy dogs was used for comparison. Blood and urine samples were collected for analysis of glucose, liver enzymes (ALT, ALP), cholesterol, triglycerides, ren</w:t>
      </w:r>
      <w:bookmarkStart w:id="0" w:name="_GoBack"/>
      <w:bookmarkEnd w:id="0"/>
      <w:r w:rsidRPr="000A6C74">
        <w:rPr>
          <w:rFonts w:ascii="Arial" w:eastAsia="Times New Roman" w:hAnsi="Arial" w:cs="Arial"/>
          <w:sz w:val="20"/>
          <w:szCs w:val="20"/>
          <w:lang w:val="en-IN" w:eastAsia="en-IN"/>
        </w:rPr>
        <w:t xml:space="preserve">al markers (creatinine, BUN), and urine parameters such as glucose, ketones, protein, specific gravity, and </w:t>
      </w:r>
      <w:proofErr w:type="spellStart"/>
      <w:r w:rsidRPr="000A6C74">
        <w:rPr>
          <w:rFonts w:ascii="Arial" w:eastAsia="Times New Roman" w:hAnsi="Arial" w:cs="Arial"/>
          <w:sz w:val="20"/>
          <w:szCs w:val="20"/>
          <w:lang w:val="en-IN" w:eastAsia="en-IN"/>
        </w:rPr>
        <w:t>pH.</w:t>
      </w:r>
      <w:proofErr w:type="spellEnd"/>
    </w:p>
    <w:p w14:paraId="03D91FD5" w14:textId="77777777"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Results: </w:t>
      </w:r>
      <w:r w:rsidRPr="000A6C74">
        <w:rPr>
          <w:rFonts w:ascii="Arial" w:eastAsia="Times New Roman" w:hAnsi="Arial" w:cs="Arial"/>
          <w:sz w:val="20"/>
          <w:szCs w:val="20"/>
          <w:lang w:val="en-IN" w:eastAsia="en-IN"/>
        </w:rPr>
        <w:t>Diabetic dogs showed significantly higher blood glucose (315.84 ± 30.14 mg/dl) compared to controls (92.60 ± 2.31 mg/dl, p&lt;0.01). Biochemical analysis revealed elevated ALT (107.23 ± 4.01 U/L), ALP (177.92 ± 6.06 U/L), triglycerides (188.61 ± 6.38 mg/dl), and cholesterol (249.92 ± 7.71 mg/dl). Renal dysfunction was indicated by increased creatinine (1.69 ± 0.03 mg/dl) and BUN (30.55 ± 0.53 mg/dl). Urinalysis showed increased glucose (834.61 ± 198.42 mg/dl), ketone bodies (31.15 ± 8.38 mg/dl), specific gravity (1.025 ± 0.00), and protein (33.07 ± 5.78 mg/dl), with a decreased pH (5.53 ± 0.14, p&lt;0.01).</w:t>
      </w:r>
    </w:p>
    <w:p w14:paraId="3BA6ED8B" w14:textId="77777777" w:rsidR="000A6C74" w:rsidRPr="000A6C74" w:rsidRDefault="000A6C74" w:rsidP="000A6C74">
      <w:pPr>
        <w:spacing w:after="0" w:line="360" w:lineRule="auto"/>
        <w:jc w:val="both"/>
        <w:rPr>
          <w:rFonts w:ascii="Arial" w:eastAsia="Times New Roman" w:hAnsi="Arial" w:cs="Arial"/>
          <w:sz w:val="20"/>
          <w:szCs w:val="20"/>
          <w:lang w:val="en-IN" w:eastAsia="en-IN"/>
        </w:rPr>
      </w:pPr>
      <w:r w:rsidRPr="000A6C74">
        <w:rPr>
          <w:rFonts w:ascii="Arial" w:eastAsia="Times New Roman" w:hAnsi="Arial" w:cs="Arial"/>
          <w:b/>
          <w:bCs/>
          <w:sz w:val="20"/>
          <w:szCs w:val="20"/>
          <w:lang w:val="en-IN" w:eastAsia="en-IN"/>
        </w:rPr>
        <w:t xml:space="preserve">Conclusion: </w:t>
      </w:r>
      <w:r w:rsidRPr="000A6C74">
        <w:rPr>
          <w:rFonts w:ascii="Arial" w:eastAsia="Times New Roman" w:hAnsi="Arial" w:cs="Arial"/>
          <w:sz w:val="20"/>
          <w:szCs w:val="20"/>
          <w:lang w:val="en-IN" w:eastAsia="en-IN"/>
        </w:rPr>
        <w:t>Diabetic canines exhibit significant metabolic and urinary disturbances, highlighting the need for ongoing monitoring to manage the disease and prevent complications. Further research with larger sample sizes is required for broader validation.</w:t>
      </w:r>
    </w:p>
    <w:p w14:paraId="0DF3CC0F" w14:textId="77777777" w:rsidR="000A6C74" w:rsidRDefault="000A6C74" w:rsidP="000A6C74">
      <w:pPr>
        <w:spacing w:after="0" w:line="360" w:lineRule="auto"/>
        <w:ind w:left="1276" w:hanging="1276"/>
        <w:jc w:val="both"/>
        <w:rPr>
          <w:rFonts w:ascii="Arial" w:hAnsi="Arial" w:cs="Arial"/>
          <w:b/>
          <w:color w:val="000000" w:themeColor="text1"/>
          <w:sz w:val="20"/>
          <w:szCs w:val="20"/>
        </w:rPr>
      </w:pPr>
    </w:p>
    <w:p w14:paraId="5CE817C4" w14:textId="77777777" w:rsidR="008B1783" w:rsidRPr="000A6C74" w:rsidRDefault="00676581" w:rsidP="000A6C74">
      <w:pPr>
        <w:spacing w:after="0" w:line="360" w:lineRule="auto"/>
        <w:ind w:left="1276" w:hanging="1276"/>
        <w:jc w:val="both"/>
        <w:rPr>
          <w:rFonts w:ascii="Arial" w:hAnsi="Arial" w:cs="Arial"/>
          <w:i/>
          <w:color w:val="000000" w:themeColor="text1"/>
          <w:sz w:val="20"/>
          <w:szCs w:val="20"/>
        </w:rPr>
      </w:pPr>
      <w:r w:rsidRPr="000A6C74">
        <w:rPr>
          <w:rFonts w:ascii="Arial" w:hAnsi="Arial" w:cs="Arial"/>
          <w:b/>
          <w:color w:val="000000" w:themeColor="text1"/>
          <w:sz w:val="20"/>
          <w:szCs w:val="20"/>
        </w:rPr>
        <w:t>Keywords</w:t>
      </w:r>
      <w:r w:rsidRPr="000A6C74">
        <w:rPr>
          <w:rFonts w:ascii="Arial" w:hAnsi="Arial" w:cs="Arial"/>
          <w:color w:val="000000" w:themeColor="text1"/>
          <w:sz w:val="20"/>
          <w:szCs w:val="20"/>
        </w:rPr>
        <w:t xml:space="preserve">: </w:t>
      </w:r>
      <w:r w:rsidRPr="000A6C74">
        <w:rPr>
          <w:rFonts w:ascii="Arial" w:hAnsi="Arial" w:cs="Arial"/>
          <w:i/>
          <w:color w:val="000000" w:themeColor="text1"/>
          <w:sz w:val="20"/>
          <w:szCs w:val="20"/>
        </w:rPr>
        <w:t>Diabetes mellitus, biochemical, hematological,</w:t>
      </w:r>
      <w:r w:rsidR="001532AA" w:rsidRPr="000A6C74">
        <w:rPr>
          <w:rFonts w:ascii="Arial" w:hAnsi="Arial" w:cs="Arial"/>
          <w:i/>
          <w:color w:val="000000" w:themeColor="text1"/>
          <w:sz w:val="20"/>
          <w:szCs w:val="20"/>
        </w:rPr>
        <w:t xml:space="preserve"> glucose,</w:t>
      </w:r>
      <w:r w:rsidR="0012193A" w:rsidRPr="000A6C74">
        <w:rPr>
          <w:rFonts w:ascii="Arial" w:hAnsi="Arial" w:cs="Arial"/>
          <w:i/>
          <w:color w:val="000000" w:themeColor="text1"/>
          <w:sz w:val="20"/>
          <w:szCs w:val="20"/>
        </w:rPr>
        <w:t xml:space="preserve"> urinalysis, diagnostic tool</w:t>
      </w:r>
    </w:p>
    <w:p w14:paraId="4EE49C82" w14:textId="77777777" w:rsidR="008B1783" w:rsidRPr="000A6C74" w:rsidRDefault="008B1783" w:rsidP="008B1783">
      <w:pPr>
        <w:pStyle w:val="NormalWeb"/>
        <w:spacing w:before="0" w:beforeAutospacing="0" w:after="0" w:afterAutospacing="0" w:line="360" w:lineRule="auto"/>
        <w:jc w:val="both"/>
        <w:rPr>
          <w:rStyle w:val="Strong"/>
          <w:rFonts w:ascii="Arial" w:hAnsi="Arial" w:cs="Arial"/>
          <w:color w:val="000000" w:themeColor="text1"/>
          <w:sz w:val="20"/>
          <w:szCs w:val="20"/>
        </w:rPr>
      </w:pPr>
    </w:p>
    <w:p w14:paraId="33550D0E" w14:textId="77777777" w:rsidR="008A4722"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Style w:val="Strong"/>
          <w:rFonts w:ascii="Arial" w:hAnsi="Arial" w:cs="Arial"/>
          <w:color w:val="000000" w:themeColor="text1"/>
          <w:sz w:val="22"/>
          <w:szCs w:val="20"/>
        </w:rPr>
        <w:t>1. INTRODUCTION</w:t>
      </w:r>
    </w:p>
    <w:p w14:paraId="60E2A627" w14:textId="77777777" w:rsidR="008B1783" w:rsidRPr="000A6C74" w:rsidRDefault="002B1A44"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Diabetes mellitus embodies a complex metabolic condition distinguished by elevated blood sugar levels and irregularities in the metabolism of carbohydrates, fats, and proteins, stemming from insufficient insulin production or impaired insulin function, often linked to pancreatic inadequacies (Ahmed &amp; Goldstein, 2006</w:t>
      </w:r>
      <w:proofErr w:type="gramStart"/>
      <w:r w:rsidRPr="000A6C74">
        <w:rPr>
          <w:rFonts w:ascii="Arial" w:hAnsi="Arial" w:cs="Arial"/>
          <w:color w:val="000000" w:themeColor="text1"/>
          <w:sz w:val="20"/>
          <w:szCs w:val="20"/>
        </w:rPr>
        <w:t>).</w:t>
      </w:r>
      <w:r w:rsidR="008B1783" w:rsidRPr="000A6C74">
        <w:rPr>
          <w:rFonts w:ascii="Arial" w:hAnsi="Arial" w:cs="Arial"/>
          <w:color w:val="000000" w:themeColor="text1"/>
          <w:sz w:val="20"/>
          <w:szCs w:val="20"/>
        </w:rPr>
        <w:t>In</w:t>
      </w:r>
      <w:proofErr w:type="gramEnd"/>
      <w:r w:rsidR="008B1783" w:rsidRPr="000A6C74">
        <w:rPr>
          <w:rFonts w:ascii="Arial" w:hAnsi="Arial" w:cs="Arial"/>
          <w:color w:val="000000" w:themeColor="text1"/>
          <w:sz w:val="20"/>
          <w:szCs w:val="20"/>
        </w:rPr>
        <w:t xml:space="preserve"> diabetic canines, this leads to </w:t>
      </w:r>
      <w:proofErr w:type="spellStart"/>
      <w:r w:rsidR="008B1783" w:rsidRPr="000A6C74">
        <w:rPr>
          <w:rFonts w:ascii="Arial" w:hAnsi="Arial" w:cs="Arial"/>
          <w:color w:val="000000" w:themeColor="text1"/>
          <w:sz w:val="20"/>
          <w:szCs w:val="20"/>
        </w:rPr>
        <w:t>hyperglycemia</w:t>
      </w:r>
      <w:proofErr w:type="spellEnd"/>
      <w:r w:rsidR="008B1783" w:rsidRPr="000A6C74">
        <w:rPr>
          <w:rFonts w:ascii="Arial" w:hAnsi="Arial" w:cs="Arial"/>
          <w:color w:val="000000" w:themeColor="text1"/>
          <w:sz w:val="20"/>
          <w:szCs w:val="20"/>
        </w:rPr>
        <w:t xml:space="preserve"> as insulin, produced by the β-cells of the pancreas, is unable to facilitate glucose uptake into cells. This condition is not uniform and presents differently </w:t>
      </w:r>
      <w:r w:rsidR="008B1783" w:rsidRPr="000A6C74">
        <w:rPr>
          <w:rFonts w:ascii="Arial" w:hAnsi="Arial" w:cs="Arial"/>
          <w:color w:val="000000" w:themeColor="text1"/>
          <w:sz w:val="20"/>
          <w:szCs w:val="20"/>
        </w:rPr>
        <w:lastRenderedPageBreak/>
        <w:t xml:space="preserve">across individual dogs, complicating diagnosis and treatment. Often, diabetes is associated with complications such as metabolic acidosis, nephropathy, hepatic lipidosis, and liver failure (Mauna, 1995). With proper management, including tailored care and regular monitoring, diabetes can be controlled, requiring continuous reassessment of </w:t>
      </w:r>
      <w:proofErr w:type="spellStart"/>
      <w:r w:rsidR="008B1783" w:rsidRPr="000A6C74">
        <w:rPr>
          <w:rFonts w:ascii="Arial" w:hAnsi="Arial" w:cs="Arial"/>
          <w:color w:val="000000" w:themeColor="text1"/>
          <w:sz w:val="20"/>
          <w:szCs w:val="20"/>
        </w:rPr>
        <w:t>hematological</w:t>
      </w:r>
      <w:proofErr w:type="spellEnd"/>
      <w:r w:rsidR="008B1783" w:rsidRPr="000A6C74">
        <w:rPr>
          <w:rFonts w:ascii="Arial" w:hAnsi="Arial" w:cs="Arial"/>
          <w:color w:val="000000" w:themeColor="text1"/>
          <w:sz w:val="20"/>
          <w:szCs w:val="20"/>
        </w:rPr>
        <w:t>, biochemical, and urinary parameters (Greco, 2018).</w:t>
      </w:r>
    </w:p>
    <w:p w14:paraId="720D1EBA" w14:textId="77777777" w:rsidR="008B1783" w:rsidRPr="000A6C74" w:rsidRDefault="008B1783"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Diabetic dogs commonly exhibit clinical signs like </w:t>
      </w:r>
      <w:proofErr w:type="spellStart"/>
      <w:r w:rsidRPr="000A6C74">
        <w:rPr>
          <w:rFonts w:ascii="Arial" w:hAnsi="Arial" w:cs="Arial"/>
          <w:color w:val="000000" w:themeColor="text1"/>
          <w:sz w:val="20"/>
          <w:szCs w:val="20"/>
        </w:rPr>
        <w:t>hyperglycemia</w:t>
      </w:r>
      <w:proofErr w:type="spellEnd"/>
      <w:r w:rsidRPr="000A6C74">
        <w:rPr>
          <w:rFonts w:ascii="Arial" w:hAnsi="Arial" w:cs="Arial"/>
          <w:color w:val="000000" w:themeColor="text1"/>
          <w:sz w:val="20"/>
          <w:szCs w:val="20"/>
        </w:rPr>
        <w:t xml:space="preserve">, elevated liver enzymes (ALP, ALT), and hypercholesterolemia. In cases of diabetic ketoacidosis (DKA), other complications such as </w:t>
      </w:r>
      <w:proofErr w:type="spellStart"/>
      <w:r w:rsidRPr="000A6C74">
        <w:rPr>
          <w:rFonts w:ascii="Arial" w:hAnsi="Arial" w:cs="Arial"/>
          <w:color w:val="000000" w:themeColor="text1"/>
          <w:sz w:val="20"/>
          <w:szCs w:val="20"/>
        </w:rPr>
        <w:t>azotemia</w:t>
      </w:r>
      <w:proofErr w:type="spellEnd"/>
      <w:r w:rsidRPr="000A6C74">
        <w:rPr>
          <w:rFonts w:ascii="Arial" w:hAnsi="Arial" w:cs="Arial"/>
          <w:color w:val="000000" w:themeColor="text1"/>
          <w:sz w:val="20"/>
          <w:szCs w:val="20"/>
        </w:rPr>
        <w:t xml:space="preserve">, electrolyte imbalances, </w:t>
      </w:r>
      <w:proofErr w:type="spellStart"/>
      <w:r w:rsidRPr="000A6C74">
        <w:rPr>
          <w:rFonts w:ascii="Arial" w:hAnsi="Arial" w:cs="Arial"/>
          <w:color w:val="000000" w:themeColor="text1"/>
          <w:sz w:val="20"/>
          <w:szCs w:val="20"/>
        </w:rPr>
        <w:t>hyperlipidemia</w:t>
      </w:r>
      <w:proofErr w:type="spellEnd"/>
      <w:r w:rsidRPr="000A6C74">
        <w:rPr>
          <w:rFonts w:ascii="Arial" w:hAnsi="Arial" w:cs="Arial"/>
          <w:color w:val="000000" w:themeColor="text1"/>
          <w:sz w:val="20"/>
          <w:szCs w:val="20"/>
        </w:rPr>
        <w:t xml:space="preserve">, and ketonuria are observed. </w:t>
      </w:r>
      <w:proofErr w:type="spellStart"/>
      <w:r w:rsidRPr="000A6C74">
        <w:rPr>
          <w:rFonts w:ascii="Arial" w:hAnsi="Arial" w:cs="Arial"/>
          <w:color w:val="000000" w:themeColor="text1"/>
          <w:sz w:val="20"/>
          <w:szCs w:val="20"/>
        </w:rPr>
        <w:t>Hematological</w:t>
      </w:r>
      <w:proofErr w:type="spellEnd"/>
      <w:r w:rsidRPr="000A6C74">
        <w:rPr>
          <w:rFonts w:ascii="Arial" w:hAnsi="Arial" w:cs="Arial"/>
          <w:color w:val="000000" w:themeColor="text1"/>
          <w:sz w:val="20"/>
          <w:szCs w:val="20"/>
        </w:rPr>
        <w:t xml:space="preserve"> issues are frequent in diabetic dogs, with studies showing lower </w:t>
      </w:r>
      <w:proofErr w:type="spellStart"/>
      <w:r w:rsidRPr="000A6C74">
        <w:rPr>
          <w:rFonts w:ascii="Arial" w:hAnsi="Arial" w:cs="Arial"/>
          <w:color w:val="000000" w:themeColor="text1"/>
          <w:sz w:val="20"/>
          <w:szCs w:val="20"/>
        </w:rPr>
        <w:t>hematocrit</w:t>
      </w:r>
      <w:proofErr w:type="spellEnd"/>
      <w:r w:rsidRPr="000A6C74">
        <w:rPr>
          <w:rFonts w:ascii="Arial" w:hAnsi="Arial" w:cs="Arial"/>
          <w:color w:val="000000" w:themeColor="text1"/>
          <w:sz w:val="20"/>
          <w:szCs w:val="20"/>
        </w:rPr>
        <w:t xml:space="preserve"> and </w:t>
      </w:r>
      <w:proofErr w:type="spellStart"/>
      <w:r w:rsidRPr="000A6C74">
        <w:rPr>
          <w:rFonts w:ascii="Arial" w:hAnsi="Arial" w:cs="Arial"/>
          <w:color w:val="000000" w:themeColor="text1"/>
          <w:sz w:val="20"/>
          <w:szCs w:val="20"/>
        </w:rPr>
        <w:t>hemoglobin</w:t>
      </w:r>
      <w:proofErr w:type="spellEnd"/>
      <w:r w:rsidRPr="000A6C74">
        <w:rPr>
          <w:rFonts w:ascii="Arial" w:hAnsi="Arial" w:cs="Arial"/>
          <w:color w:val="000000" w:themeColor="text1"/>
          <w:sz w:val="20"/>
          <w:szCs w:val="20"/>
        </w:rPr>
        <w:t xml:space="preserve"> levels in dogs with poor glucose control. In ketoacidosis, relative </w:t>
      </w:r>
      <w:proofErr w:type="spellStart"/>
      <w:r w:rsidRPr="000A6C74">
        <w:rPr>
          <w:rFonts w:ascii="Arial" w:hAnsi="Arial" w:cs="Arial"/>
          <w:color w:val="000000" w:themeColor="text1"/>
          <w:sz w:val="20"/>
          <w:szCs w:val="20"/>
        </w:rPr>
        <w:t>polycythemia</w:t>
      </w:r>
      <w:proofErr w:type="spellEnd"/>
      <w:r w:rsidRPr="000A6C74">
        <w:rPr>
          <w:rFonts w:ascii="Arial" w:hAnsi="Arial" w:cs="Arial"/>
          <w:color w:val="000000" w:themeColor="text1"/>
          <w:sz w:val="20"/>
          <w:szCs w:val="20"/>
        </w:rPr>
        <w:t xml:space="preserve"> due to dehydration may mask </w:t>
      </w:r>
      <w:proofErr w:type="spellStart"/>
      <w:r w:rsidRPr="000A6C74">
        <w:rPr>
          <w:rFonts w:ascii="Arial" w:hAnsi="Arial" w:cs="Arial"/>
          <w:color w:val="000000" w:themeColor="text1"/>
          <w:sz w:val="20"/>
          <w:szCs w:val="20"/>
        </w:rPr>
        <w:t>anemia</w:t>
      </w:r>
      <w:proofErr w:type="spellEnd"/>
      <w:r w:rsidRPr="000A6C74">
        <w:rPr>
          <w:rFonts w:ascii="Arial" w:hAnsi="Arial" w:cs="Arial"/>
          <w:color w:val="000000" w:themeColor="text1"/>
          <w:sz w:val="20"/>
          <w:szCs w:val="20"/>
        </w:rPr>
        <w:t>. Elevated ketone and glucose levels cause hyperosmolality, swelling red blood cells, and false increases in mean corpuscular volume (MCV) (Kelly et al., 1993). Neutrophils, monocytes, and lymphocytes in diabetic dogs often show impaired functions, increasing their susceptibility to infections.</w:t>
      </w:r>
    </w:p>
    <w:p w14:paraId="7C60A95F" w14:textId="77777777" w:rsidR="008B1783" w:rsidRPr="000A6C74" w:rsidRDefault="008B1783"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Biochemically, diabetic dogs often show elevated ALT, ALP, and cholesterol levels (Nelson, 2010). ALT levels higher than 600 U/L suggest potential liver conditions unrelated to diabetes. Kidney function, indicated by BUN and creatinine levels, is typically normal but may increase in cases of renal failure or dehydration (Nelson, 2015). Urinalysis, crucial for diagnosing kidney dysfunction, detects abnormalities like glucose, ketones, and protein (Coppens et al., 2010; </w:t>
      </w:r>
      <w:proofErr w:type="spellStart"/>
      <w:r w:rsidRPr="000A6C74">
        <w:rPr>
          <w:rFonts w:ascii="Arial" w:hAnsi="Arial" w:cs="Arial"/>
          <w:color w:val="000000" w:themeColor="text1"/>
          <w:sz w:val="20"/>
          <w:szCs w:val="20"/>
        </w:rPr>
        <w:t>Delanghe&amp;Speeckaert</w:t>
      </w:r>
      <w:proofErr w:type="spellEnd"/>
      <w:r w:rsidRPr="000A6C74">
        <w:rPr>
          <w:rFonts w:ascii="Arial" w:hAnsi="Arial" w:cs="Arial"/>
          <w:color w:val="000000" w:themeColor="text1"/>
          <w:sz w:val="20"/>
          <w:szCs w:val="20"/>
        </w:rPr>
        <w:t>, 2014). Urine, being easily accessible and non-invasive, provides valuable insight into metabolic diseases like diabetes (Sharma et al., 2020). Healthy dogs typically excrete minimal protein in urine, but proteinuria can indicate prerenal, renal, or post-renal causes (</w:t>
      </w:r>
      <w:proofErr w:type="spellStart"/>
      <w:r w:rsidRPr="000A6C74">
        <w:rPr>
          <w:rFonts w:ascii="Arial" w:hAnsi="Arial" w:cs="Arial"/>
          <w:color w:val="000000" w:themeColor="text1"/>
          <w:sz w:val="20"/>
          <w:szCs w:val="20"/>
        </w:rPr>
        <w:t>Vaden</w:t>
      </w:r>
      <w:proofErr w:type="spellEnd"/>
      <w:r w:rsidRPr="000A6C74">
        <w:rPr>
          <w:rFonts w:ascii="Arial" w:hAnsi="Arial" w:cs="Arial"/>
          <w:color w:val="000000" w:themeColor="text1"/>
          <w:sz w:val="20"/>
          <w:szCs w:val="20"/>
        </w:rPr>
        <w:t xml:space="preserve">&amp; Elliott, 2016; </w:t>
      </w:r>
      <w:proofErr w:type="spellStart"/>
      <w:r w:rsidRPr="000A6C74">
        <w:rPr>
          <w:rFonts w:ascii="Arial" w:hAnsi="Arial" w:cs="Arial"/>
          <w:color w:val="000000" w:themeColor="text1"/>
          <w:sz w:val="20"/>
          <w:szCs w:val="20"/>
        </w:rPr>
        <w:t>Hekmatynia</w:t>
      </w:r>
      <w:proofErr w:type="spellEnd"/>
      <w:r w:rsidRPr="000A6C74">
        <w:rPr>
          <w:rFonts w:ascii="Arial" w:hAnsi="Arial" w:cs="Arial"/>
          <w:color w:val="000000" w:themeColor="text1"/>
          <w:sz w:val="20"/>
          <w:szCs w:val="20"/>
        </w:rPr>
        <w:t xml:space="preserve"> et al., 2016; Harley &amp; Langston, 2012).</w:t>
      </w:r>
    </w:p>
    <w:p w14:paraId="234E9F9E" w14:textId="77777777" w:rsidR="00566E04" w:rsidRPr="000A6C74" w:rsidRDefault="004C14A5"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The emergence of glucose within the urine becomes evident when the levels of blood glucose surpass the renal threshold or when the reabsorption prowess of the renal tubules is hindered (</w:t>
      </w:r>
      <w:proofErr w:type="spellStart"/>
      <w:r w:rsidRPr="000A6C74">
        <w:rPr>
          <w:rFonts w:ascii="Arial" w:hAnsi="Arial" w:cs="Arial"/>
          <w:color w:val="000000" w:themeColor="text1"/>
          <w:sz w:val="20"/>
          <w:szCs w:val="20"/>
        </w:rPr>
        <w:t>Melandri</w:t>
      </w:r>
      <w:proofErr w:type="spellEnd"/>
      <w:r w:rsidRPr="000A6C74">
        <w:rPr>
          <w:rFonts w:ascii="Arial" w:hAnsi="Arial" w:cs="Arial"/>
          <w:color w:val="000000" w:themeColor="text1"/>
          <w:sz w:val="20"/>
          <w:szCs w:val="20"/>
        </w:rPr>
        <w:t xml:space="preserve"> et al., 2020).</w:t>
      </w:r>
      <w:r w:rsidR="00BB0AC9" w:rsidRPr="000A6C74">
        <w:rPr>
          <w:rFonts w:ascii="Arial" w:hAnsi="Arial" w:cs="Arial"/>
          <w:color w:val="000000" w:themeColor="text1"/>
          <w:sz w:val="20"/>
          <w:szCs w:val="20"/>
        </w:rPr>
        <w:t xml:space="preserve"> In a similar vein, the presence of ketone bodies in urine can be identified through the application of reagent strips, signifying a metabolic transition to lipolysis, which is a hallmark of diabetic ketosis (Chong &amp;Reineke, 2016).</w:t>
      </w:r>
      <w:r w:rsidR="008B1783" w:rsidRPr="000A6C74">
        <w:rPr>
          <w:rFonts w:ascii="Arial" w:hAnsi="Arial" w:cs="Arial"/>
          <w:color w:val="000000" w:themeColor="text1"/>
          <w:sz w:val="20"/>
          <w:szCs w:val="20"/>
        </w:rPr>
        <w:t xml:space="preserve"> Urine pH, influenced by various factors, provides important information about acid-base balance and renal function (Reppas&amp; Foster, 2016). These diagnostic markers are essential in managing diabetes in canines, helping veterinarians monitor disease progression, adjust treatments, and prevent complications.</w:t>
      </w:r>
    </w:p>
    <w:p w14:paraId="1A4E3EDA" w14:textId="77777777" w:rsidR="009B3E93" w:rsidRPr="000A6C74" w:rsidRDefault="009B3E93" w:rsidP="008B1783">
      <w:pPr>
        <w:spacing w:after="0" w:line="360" w:lineRule="auto"/>
        <w:jc w:val="both"/>
        <w:rPr>
          <w:rFonts w:ascii="Arial" w:hAnsi="Arial" w:cs="Arial"/>
          <w:color w:val="000000" w:themeColor="text1"/>
          <w:sz w:val="20"/>
          <w:szCs w:val="20"/>
        </w:rPr>
      </w:pPr>
    </w:p>
    <w:p w14:paraId="46CDEB7D" w14:textId="77777777" w:rsidR="008B1783"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Style w:val="Strong"/>
          <w:rFonts w:ascii="Arial" w:hAnsi="Arial" w:cs="Arial"/>
          <w:color w:val="000000" w:themeColor="text1"/>
          <w:sz w:val="22"/>
          <w:szCs w:val="20"/>
        </w:rPr>
        <w:t>2. MATERIALS AND METHODS</w:t>
      </w:r>
    </w:p>
    <w:p w14:paraId="64D00063" w14:textId="77777777" w:rsidR="009B3E93" w:rsidRPr="000A6C74" w:rsidRDefault="009B3E93"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This study, titled “Diagnostic and Clinico-Therapeutic Studies on Diabetes Mellitus in Canines,” was conducted at the Department of Veterinary Medicine, Post Graduate Institute of Veterinary Education and Research, Jaipur. The study involved canines presented to the Veterinary Clinical Complexof PGIVER and the Government Veterinary Polyclinic Hospital, Panchbatti, Jaipur, from August 2024 to January 2025. A total of 200 canines, representing various breeds, ages, and sexes, were included. These animals presented with symptoms such as excessive thirst (polydipsia), hunger (polyphagia), </w:t>
      </w:r>
      <w:r w:rsidR="00BB0AC9" w:rsidRPr="000A6C74">
        <w:rPr>
          <w:rFonts w:ascii="Arial" w:hAnsi="Arial" w:cs="Arial"/>
          <w:color w:val="000000" w:themeColor="text1"/>
          <w:sz w:val="20"/>
          <w:szCs w:val="20"/>
        </w:rPr>
        <w:t xml:space="preserve">obesity, </w:t>
      </w:r>
      <w:r w:rsidRPr="000A6C74">
        <w:rPr>
          <w:rFonts w:ascii="Arial" w:hAnsi="Arial" w:cs="Arial"/>
          <w:color w:val="000000" w:themeColor="text1"/>
          <w:sz w:val="20"/>
          <w:szCs w:val="20"/>
        </w:rPr>
        <w:lastRenderedPageBreak/>
        <w:t>frequent urination (polyuria), rapidly progressing bilateral cataracts, or unexplained weight loss, either individually or in combination.</w:t>
      </w:r>
    </w:p>
    <w:p w14:paraId="1AABB7F9" w14:textId="77777777" w:rsidR="009B3E93" w:rsidRPr="000A6C74" w:rsidRDefault="002B1A44"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Blood glucose concentrations were initially assessed with a handy glucometer right at the location. Dogs displaying a spontaneous blood glucose concentration surpassing 140 mg/dl were subjected to a fasting period of 12 hours and were subsequently re-evaluated for their fasting blood glucose levels the following day (Chaudhary, 2021). Canines with fasting blood glucose levels that went beyond 140 mg/dl were included in the investigation and underwent additional assessments involving </w:t>
      </w:r>
      <w:proofErr w:type="spellStart"/>
      <w:r w:rsidRPr="000A6C74">
        <w:rPr>
          <w:rFonts w:ascii="Arial" w:hAnsi="Arial" w:cs="Arial"/>
          <w:color w:val="000000" w:themeColor="text1"/>
          <w:sz w:val="20"/>
          <w:szCs w:val="20"/>
        </w:rPr>
        <w:t>hematological</w:t>
      </w:r>
      <w:proofErr w:type="spellEnd"/>
      <w:r w:rsidRPr="000A6C74">
        <w:rPr>
          <w:rFonts w:ascii="Arial" w:hAnsi="Arial" w:cs="Arial"/>
          <w:color w:val="000000" w:themeColor="text1"/>
          <w:sz w:val="20"/>
          <w:szCs w:val="20"/>
        </w:rPr>
        <w:t xml:space="preserve">, biochemical, and urinalysis examinations. </w:t>
      </w:r>
      <w:r w:rsidR="004C14A5" w:rsidRPr="000A6C74">
        <w:rPr>
          <w:rFonts w:ascii="Arial" w:hAnsi="Arial" w:cs="Arial"/>
          <w:color w:val="000000" w:themeColor="text1"/>
          <w:sz w:val="20"/>
          <w:szCs w:val="20"/>
        </w:rPr>
        <w:t xml:space="preserve">Additionally, a control group of ten healthy dogs was assembled for the sake of comparative investigation. </w:t>
      </w:r>
      <w:r w:rsidR="00BB0AC9" w:rsidRPr="000A6C74">
        <w:rPr>
          <w:rFonts w:ascii="Arial" w:hAnsi="Arial" w:cs="Arial"/>
          <w:color w:val="000000" w:themeColor="text1"/>
          <w:sz w:val="20"/>
          <w:szCs w:val="20"/>
        </w:rPr>
        <w:t xml:space="preserve">In order to evaluate the </w:t>
      </w:r>
      <w:proofErr w:type="spellStart"/>
      <w:r w:rsidR="00BB0AC9" w:rsidRPr="000A6C74">
        <w:rPr>
          <w:rFonts w:ascii="Arial" w:hAnsi="Arial" w:cs="Arial"/>
          <w:color w:val="000000" w:themeColor="text1"/>
          <w:sz w:val="20"/>
          <w:szCs w:val="20"/>
        </w:rPr>
        <w:t>hematological</w:t>
      </w:r>
      <w:proofErr w:type="spellEnd"/>
      <w:r w:rsidR="00BB0AC9" w:rsidRPr="000A6C74">
        <w:rPr>
          <w:rFonts w:ascii="Arial" w:hAnsi="Arial" w:cs="Arial"/>
          <w:color w:val="000000" w:themeColor="text1"/>
          <w:sz w:val="20"/>
          <w:szCs w:val="20"/>
        </w:rPr>
        <w:t xml:space="preserve"> and biochemical modifications in the diabetic canines, blood samples (7 ml) were procured from either the cephalic or saphenous veins of all subjects under rigorous aseptic protocols. Of the total blood volume, 2 ml was allocated to EDTA vials, while the remaining 5 ml was designated for non-EDTA vials containing a clot activator. The blood contained within the non-EDTA vial was permitted to coagulate and was subsequently centrifuged at 2500 rpm for 30 minutes for the separation of serum. Employing commercially available diagnostic kits (CPC Diagnostics), biochemical metrics including glucose, ALP, </w:t>
      </w:r>
      <w:r w:rsidR="00612BC4" w:rsidRPr="000A6C74">
        <w:rPr>
          <w:rFonts w:ascii="Arial" w:hAnsi="Arial" w:cs="Arial"/>
          <w:color w:val="000000" w:themeColor="text1"/>
          <w:sz w:val="20"/>
          <w:szCs w:val="20"/>
        </w:rPr>
        <w:t xml:space="preserve">ALT, </w:t>
      </w:r>
      <w:r w:rsidR="00BB0AC9" w:rsidRPr="000A6C74">
        <w:rPr>
          <w:rFonts w:ascii="Arial" w:hAnsi="Arial" w:cs="Arial"/>
          <w:color w:val="000000" w:themeColor="text1"/>
          <w:sz w:val="20"/>
          <w:szCs w:val="20"/>
        </w:rPr>
        <w:t xml:space="preserve">triglycerides, total cholesterol, </w:t>
      </w:r>
      <w:r w:rsidR="00612BC4" w:rsidRPr="000A6C74">
        <w:rPr>
          <w:rFonts w:ascii="Arial" w:hAnsi="Arial" w:cs="Arial"/>
          <w:color w:val="000000" w:themeColor="text1"/>
          <w:sz w:val="20"/>
          <w:szCs w:val="20"/>
        </w:rPr>
        <w:t>blood urea nitrogen</w:t>
      </w:r>
      <w:r w:rsidR="00BB0AC9" w:rsidRPr="000A6C74">
        <w:rPr>
          <w:rFonts w:ascii="Arial" w:hAnsi="Arial" w:cs="Arial"/>
          <w:color w:val="000000" w:themeColor="text1"/>
          <w:sz w:val="20"/>
          <w:szCs w:val="20"/>
        </w:rPr>
        <w:t xml:space="preserve">, </w:t>
      </w:r>
      <w:r w:rsidRPr="000A6C74">
        <w:rPr>
          <w:rFonts w:ascii="Arial" w:hAnsi="Arial" w:cs="Arial"/>
          <w:color w:val="000000" w:themeColor="text1"/>
          <w:sz w:val="20"/>
          <w:szCs w:val="20"/>
        </w:rPr>
        <w:t xml:space="preserve">calcium, </w:t>
      </w:r>
      <w:r w:rsidR="00BB0AC9" w:rsidRPr="000A6C74">
        <w:rPr>
          <w:rFonts w:ascii="Arial" w:hAnsi="Arial" w:cs="Arial"/>
          <w:color w:val="000000" w:themeColor="text1"/>
          <w:sz w:val="20"/>
          <w:szCs w:val="20"/>
        </w:rPr>
        <w:t xml:space="preserve">creatinine, and phosphorus were quantified utilizing an automated biochemistry </w:t>
      </w:r>
      <w:proofErr w:type="spellStart"/>
      <w:r w:rsidR="00BB0AC9" w:rsidRPr="000A6C74">
        <w:rPr>
          <w:rFonts w:ascii="Arial" w:hAnsi="Arial" w:cs="Arial"/>
          <w:color w:val="000000" w:themeColor="text1"/>
          <w:sz w:val="20"/>
          <w:szCs w:val="20"/>
        </w:rPr>
        <w:t>analyzer</w:t>
      </w:r>
      <w:proofErr w:type="spellEnd"/>
      <w:r w:rsidR="00BB0AC9" w:rsidRPr="000A6C74">
        <w:rPr>
          <w:rFonts w:ascii="Arial" w:hAnsi="Arial" w:cs="Arial"/>
          <w:color w:val="000000" w:themeColor="text1"/>
          <w:sz w:val="20"/>
          <w:szCs w:val="20"/>
        </w:rPr>
        <w:t xml:space="preserve"> (</w:t>
      </w:r>
      <w:proofErr w:type="spellStart"/>
      <w:r w:rsidR="00BB0AC9" w:rsidRPr="000A6C74">
        <w:rPr>
          <w:rFonts w:ascii="Arial" w:hAnsi="Arial" w:cs="Arial"/>
          <w:color w:val="000000" w:themeColor="text1"/>
          <w:sz w:val="20"/>
          <w:szCs w:val="20"/>
        </w:rPr>
        <w:t>Turbochem</w:t>
      </w:r>
      <w:proofErr w:type="spellEnd"/>
      <w:r w:rsidR="00BB0AC9" w:rsidRPr="000A6C74">
        <w:rPr>
          <w:rFonts w:ascii="Arial" w:hAnsi="Arial" w:cs="Arial"/>
          <w:color w:val="000000" w:themeColor="text1"/>
          <w:sz w:val="20"/>
          <w:szCs w:val="20"/>
        </w:rPr>
        <w:t xml:space="preserve"> 100</w:t>
      </w:r>
      <w:proofErr w:type="gramStart"/>
      <w:r w:rsidR="00BB0AC9" w:rsidRPr="000A6C74">
        <w:rPr>
          <w:rFonts w:ascii="Arial" w:hAnsi="Arial" w:cs="Arial"/>
          <w:color w:val="000000" w:themeColor="text1"/>
          <w:sz w:val="20"/>
          <w:szCs w:val="20"/>
        </w:rPr>
        <w:t>).</w:t>
      </w:r>
      <w:r w:rsidR="009B3E93" w:rsidRPr="000A6C74">
        <w:rPr>
          <w:rFonts w:ascii="Arial" w:hAnsi="Arial" w:cs="Arial"/>
          <w:color w:val="000000" w:themeColor="text1"/>
          <w:sz w:val="20"/>
          <w:szCs w:val="20"/>
        </w:rPr>
        <w:t>Urine</w:t>
      </w:r>
      <w:proofErr w:type="gramEnd"/>
      <w:r w:rsidR="009B3E93" w:rsidRPr="000A6C74">
        <w:rPr>
          <w:rFonts w:ascii="Arial" w:hAnsi="Arial" w:cs="Arial"/>
          <w:color w:val="000000" w:themeColor="text1"/>
          <w:sz w:val="20"/>
          <w:szCs w:val="20"/>
        </w:rPr>
        <w:t xml:space="preserve"> samples, ranging from 5 to 10 ml, were collected in sterile containers either through spontaneous urination or by catheterization under aseptic conditions. These samples were then immediately transferred to sterile test tubes, centrifuged at 1000 rpm for 20 minutes at 2–8 °C to remove insoluble particles and cellular debris. For routine dipstick urinalysis, the supernatant was placed into small Pyrex tubes and refrigerated until further testing (Teitz, 1990).</w:t>
      </w:r>
    </w:p>
    <w:p w14:paraId="48BD9569" w14:textId="77777777" w:rsidR="008B1783" w:rsidRPr="000A6C74" w:rsidRDefault="007F2406" w:rsidP="008B1783">
      <w:pPr>
        <w:pStyle w:val="NormalWeb"/>
        <w:spacing w:before="0" w:beforeAutospacing="0" w:after="0" w:afterAutospacing="0" w:line="360" w:lineRule="auto"/>
        <w:jc w:val="both"/>
        <w:rPr>
          <w:rFonts w:ascii="Arial" w:hAnsi="Arial" w:cs="Arial"/>
          <w:color w:val="000000" w:themeColor="text1"/>
          <w:sz w:val="20"/>
          <w:szCs w:val="20"/>
        </w:rPr>
      </w:pPr>
      <w:r w:rsidRPr="000A6C74">
        <w:rPr>
          <w:rFonts w:ascii="Arial" w:hAnsi="Arial" w:cs="Arial"/>
          <w:color w:val="000000" w:themeColor="text1"/>
          <w:sz w:val="20"/>
          <w:szCs w:val="20"/>
        </w:rPr>
        <w:t xml:space="preserve">This study provides a comprehensive assessment of the metabolic and urinary alterations in diabetic canines, focusing on key biochemical, </w:t>
      </w:r>
      <w:proofErr w:type="spellStart"/>
      <w:r w:rsidRPr="000A6C74">
        <w:rPr>
          <w:rFonts w:ascii="Arial" w:hAnsi="Arial" w:cs="Arial"/>
          <w:color w:val="000000" w:themeColor="text1"/>
          <w:sz w:val="20"/>
          <w:szCs w:val="20"/>
        </w:rPr>
        <w:t>hematological</w:t>
      </w:r>
      <w:proofErr w:type="spellEnd"/>
      <w:r w:rsidRPr="000A6C74">
        <w:rPr>
          <w:rFonts w:ascii="Arial" w:hAnsi="Arial" w:cs="Arial"/>
          <w:color w:val="000000" w:themeColor="text1"/>
          <w:sz w:val="20"/>
          <w:szCs w:val="20"/>
        </w:rPr>
        <w:t>, and urinary parameters. The findings highlight significant disruptions in glucose metabolism, kidney function, and liver health, emphasizing the need for ongoing monitoring and tailored treatment strategies for managing diabetes mellitus in dogs.</w:t>
      </w:r>
    </w:p>
    <w:p w14:paraId="2C19C1B3" w14:textId="77777777" w:rsidR="009D71AD" w:rsidRDefault="009D71AD" w:rsidP="008B1783">
      <w:pPr>
        <w:pStyle w:val="NormalWeb"/>
        <w:spacing w:before="0" w:beforeAutospacing="0" w:after="0" w:afterAutospacing="0" w:line="360" w:lineRule="auto"/>
        <w:jc w:val="both"/>
        <w:rPr>
          <w:rFonts w:ascii="Arial" w:hAnsi="Arial" w:cs="Arial"/>
          <w:b/>
          <w:color w:val="000000" w:themeColor="text1"/>
          <w:sz w:val="22"/>
          <w:szCs w:val="20"/>
        </w:rPr>
      </w:pPr>
    </w:p>
    <w:p w14:paraId="7328C0B9" w14:textId="77777777" w:rsidR="008B1783"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Fonts w:ascii="Arial" w:hAnsi="Arial" w:cs="Arial"/>
          <w:b/>
          <w:color w:val="000000" w:themeColor="text1"/>
          <w:sz w:val="22"/>
          <w:szCs w:val="20"/>
        </w:rPr>
        <w:t>2.1</w:t>
      </w:r>
      <w:r w:rsidR="009B3E93" w:rsidRPr="000A6C74">
        <w:rPr>
          <w:rStyle w:val="Strong"/>
          <w:rFonts w:ascii="Arial" w:hAnsi="Arial" w:cs="Arial"/>
          <w:color w:val="000000" w:themeColor="text1"/>
          <w:sz w:val="22"/>
          <w:szCs w:val="20"/>
        </w:rPr>
        <w:t>Statistical Analysis</w:t>
      </w:r>
    </w:p>
    <w:p w14:paraId="7D766B18" w14:textId="77777777" w:rsidR="004C14A5" w:rsidRPr="000A6C74" w:rsidRDefault="002B1A44"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The outcomes were articulated as mean ± standard error (SE), and comparative analyses between the diabetic cohort and the healthy control cohort were conducted. The statistical significance of the discrepancies between the groups was ascertained using one-way ANOVA, with a significance benchmark established at p&lt;0.01.</w:t>
      </w:r>
    </w:p>
    <w:p w14:paraId="42F77B85" w14:textId="77777777" w:rsidR="009D71AD" w:rsidRDefault="009D71AD" w:rsidP="008B1783">
      <w:pPr>
        <w:spacing w:after="0" w:line="360" w:lineRule="auto"/>
        <w:jc w:val="both"/>
        <w:rPr>
          <w:rFonts w:ascii="Arial" w:eastAsia="Times New Roman" w:hAnsi="Arial" w:cs="Arial"/>
          <w:b/>
          <w:bCs/>
          <w:color w:val="000000" w:themeColor="text1"/>
          <w:szCs w:val="20"/>
          <w:lang w:val="en-IN" w:eastAsia="en-IN"/>
        </w:rPr>
      </w:pPr>
    </w:p>
    <w:p w14:paraId="2B4A6446" w14:textId="77777777" w:rsidR="008B1783"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3. RESULTS AND DISCUSSION</w:t>
      </w:r>
    </w:p>
    <w:p w14:paraId="5FF5ABCB" w14:textId="77777777" w:rsidR="008B1783"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 xml:space="preserve">3.1 </w:t>
      </w:r>
      <w:proofErr w:type="spellStart"/>
      <w:r w:rsidR="009B3E93" w:rsidRPr="000A6C74">
        <w:rPr>
          <w:rFonts w:ascii="Arial" w:eastAsia="Times New Roman" w:hAnsi="Arial" w:cs="Arial"/>
          <w:b/>
          <w:bCs/>
          <w:color w:val="000000" w:themeColor="text1"/>
          <w:szCs w:val="20"/>
          <w:lang w:val="en-IN" w:eastAsia="en-IN"/>
        </w:rPr>
        <w:t>Hematological</w:t>
      </w:r>
      <w:proofErr w:type="spellEnd"/>
      <w:r w:rsidR="009B3E93" w:rsidRPr="000A6C74">
        <w:rPr>
          <w:rFonts w:ascii="Arial" w:eastAsia="Times New Roman" w:hAnsi="Arial" w:cs="Arial"/>
          <w:b/>
          <w:bCs/>
          <w:color w:val="000000" w:themeColor="text1"/>
          <w:szCs w:val="20"/>
          <w:lang w:val="en-IN" w:eastAsia="en-IN"/>
        </w:rPr>
        <w:t xml:space="preserve"> Alterations</w:t>
      </w:r>
    </w:p>
    <w:p w14:paraId="6ECC66D5" w14:textId="77777777" w:rsidR="00BB0AC9" w:rsidRPr="000A6C74" w:rsidRDefault="00BB0AC9"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The empirical data delineated in Table 1 and Figures 1 and 2 demonstrated an absence of statistically significant disparities between the cohort of diabetic canines and the healthy control group concerning </w:t>
      </w:r>
      <w:proofErr w:type="spellStart"/>
      <w:r w:rsidRPr="000A6C74">
        <w:rPr>
          <w:rFonts w:ascii="Arial" w:eastAsia="Times New Roman" w:hAnsi="Arial" w:cs="Arial"/>
          <w:color w:val="000000" w:themeColor="text1"/>
          <w:sz w:val="20"/>
          <w:szCs w:val="20"/>
          <w:lang w:val="en-IN" w:eastAsia="en-IN"/>
        </w:rPr>
        <w:t>hemoglobin</w:t>
      </w:r>
      <w:proofErr w:type="spellEnd"/>
      <w:r w:rsidRPr="000A6C74">
        <w:rPr>
          <w:rFonts w:ascii="Arial" w:eastAsia="Times New Roman" w:hAnsi="Arial" w:cs="Arial"/>
          <w:color w:val="000000" w:themeColor="text1"/>
          <w:sz w:val="20"/>
          <w:szCs w:val="20"/>
          <w:lang w:val="en-IN" w:eastAsia="en-IN"/>
        </w:rPr>
        <w:t xml:space="preserve"> concentration, total leukocyte count, </w:t>
      </w:r>
      <w:r w:rsidR="002B1A44" w:rsidRPr="000A6C74">
        <w:rPr>
          <w:rFonts w:ascii="Arial" w:eastAsia="Times New Roman" w:hAnsi="Arial" w:cs="Arial"/>
          <w:color w:val="000000" w:themeColor="text1"/>
          <w:sz w:val="20"/>
          <w:szCs w:val="20"/>
          <w:lang w:val="en-IN" w:eastAsia="en-IN"/>
        </w:rPr>
        <w:t xml:space="preserve">packed cell volume, </w:t>
      </w:r>
      <w:r w:rsidR="00612BC4" w:rsidRPr="000A6C74">
        <w:rPr>
          <w:rFonts w:ascii="Arial" w:eastAsia="Times New Roman" w:hAnsi="Arial" w:cs="Arial"/>
          <w:color w:val="000000" w:themeColor="text1"/>
          <w:sz w:val="20"/>
          <w:szCs w:val="20"/>
          <w:lang w:val="en-IN" w:eastAsia="en-IN"/>
        </w:rPr>
        <w:t xml:space="preserve">monocyte levels, total erythrocyte </w:t>
      </w:r>
      <w:r w:rsidR="00612BC4" w:rsidRPr="000A6C74">
        <w:rPr>
          <w:rFonts w:ascii="Arial" w:eastAsia="Times New Roman" w:hAnsi="Arial" w:cs="Arial"/>
          <w:color w:val="000000" w:themeColor="text1"/>
          <w:sz w:val="20"/>
          <w:szCs w:val="20"/>
          <w:lang w:val="en-IN" w:eastAsia="en-IN"/>
        </w:rPr>
        <w:lastRenderedPageBreak/>
        <w:t xml:space="preserve">count, </w:t>
      </w:r>
      <w:r w:rsidRPr="000A6C74">
        <w:rPr>
          <w:rFonts w:ascii="Arial" w:eastAsia="Times New Roman" w:hAnsi="Arial" w:cs="Arial"/>
          <w:color w:val="000000" w:themeColor="text1"/>
          <w:sz w:val="20"/>
          <w:szCs w:val="20"/>
          <w:lang w:val="en-IN" w:eastAsia="en-IN"/>
        </w:rPr>
        <w:t xml:space="preserve">eosinophil counts, basophil counts, and mean corpuscular volume. Nevertheless, a statistically significant diminution (p&lt;0.01) in lymphocyte count was noted within the diabetic cohort in comparison to the control dogs. This observed decline may be ascribed to alterations in the membrane protein composition of lymphocytes, as evidenced by SDS-PAGE, which indicated a marked reduction in the deformability of lymphocytes in diabetic dogs (Kaymaz et al., 2007). Such modifications may also suggest a condition of immunodeficiency, thereby enhancing the vulnerability of diabetic dogs to prevalent infections (Mori et al., 2008). These outcomes are consistent with the research conducted by </w:t>
      </w:r>
      <w:proofErr w:type="spellStart"/>
      <w:r w:rsidRPr="000A6C74">
        <w:rPr>
          <w:rFonts w:ascii="Arial" w:eastAsia="Times New Roman" w:hAnsi="Arial" w:cs="Arial"/>
          <w:color w:val="000000" w:themeColor="text1"/>
          <w:sz w:val="20"/>
          <w:szCs w:val="20"/>
          <w:lang w:val="en-IN" w:eastAsia="en-IN"/>
        </w:rPr>
        <w:t>Valilou</w:t>
      </w:r>
      <w:proofErr w:type="spellEnd"/>
      <w:r w:rsidRPr="000A6C74">
        <w:rPr>
          <w:rFonts w:ascii="Arial" w:eastAsia="Times New Roman" w:hAnsi="Arial" w:cs="Arial"/>
          <w:color w:val="000000" w:themeColor="text1"/>
          <w:sz w:val="20"/>
          <w:szCs w:val="20"/>
          <w:lang w:val="en-IN" w:eastAsia="en-IN"/>
        </w:rPr>
        <w:t xml:space="preserve"> and </w:t>
      </w:r>
      <w:proofErr w:type="spellStart"/>
      <w:r w:rsidRPr="000A6C74">
        <w:rPr>
          <w:rFonts w:ascii="Arial" w:eastAsia="Times New Roman" w:hAnsi="Arial" w:cs="Arial"/>
          <w:color w:val="000000" w:themeColor="text1"/>
          <w:sz w:val="20"/>
          <w:szCs w:val="20"/>
          <w:lang w:val="en-IN" w:eastAsia="en-IN"/>
        </w:rPr>
        <w:t>Loftia</w:t>
      </w:r>
      <w:proofErr w:type="spellEnd"/>
      <w:r w:rsidRPr="000A6C74">
        <w:rPr>
          <w:rFonts w:ascii="Arial" w:eastAsia="Times New Roman" w:hAnsi="Arial" w:cs="Arial"/>
          <w:color w:val="000000" w:themeColor="text1"/>
          <w:sz w:val="20"/>
          <w:szCs w:val="20"/>
          <w:lang w:val="en-IN" w:eastAsia="en-IN"/>
        </w:rPr>
        <w:t xml:space="preserve"> (2011), Xu et al. (2013), Patel et al. (2019), and Chaudhary (2021).</w:t>
      </w:r>
    </w:p>
    <w:p w14:paraId="3291DC49" w14:textId="77777777" w:rsidR="008B1783" w:rsidRPr="000A6C74" w:rsidRDefault="00BB0AC9"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Moreover, the neutrophil count exhibited a significant elevation in the diabetic cohort when juxtaposed with the healthy control subjects, corroborating the findings delineated by Xu et al. (2013), Kapoor (2019), and Chaudhary (2021). This observation implies that the heightened presence of neutrophils may be associated with perturbations in glucose and glutamine metabolism, given that neutrophils necessitate these substrates to sustain their elevated metabolic activity. An increased total leukocyte count (TLC) alongside elevated neutrophil levels may serve as indicative biomarkers for </w:t>
      </w:r>
      <w:proofErr w:type="spellStart"/>
      <w:r w:rsidRPr="000A6C74">
        <w:rPr>
          <w:rFonts w:ascii="Arial" w:eastAsia="Times New Roman" w:hAnsi="Arial" w:cs="Arial"/>
          <w:color w:val="000000" w:themeColor="text1"/>
          <w:sz w:val="20"/>
          <w:szCs w:val="20"/>
          <w:lang w:val="en-IN" w:eastAsia="en-IN"/>
        </w:rPr>
        <w:t>hyperglycemic</w:t>
      </w:r>
      <w:proofErr w:type="spellEnd"/>
      <w:r w:rsidRPr="000A6C74">
        <w:rPr>
          <w:rFonts w:ascii="Arial" w:eastAsia="Times New Roman" w:hAnsi="Arial" w:cs="Arial"/>
          <w:color w:val="000000" w:themeColor="text1"/>
          <w:sz w:val="20"/>
          <w:szCs w:val="20"/>
          <w:lang w:val="en-IN" w:eastAsia="en-IN"/>
        </w:rPr>
        <w:t xml:space="preserve"> episodes in canines afflicted with diabetes (Xu et al., 2013). </w:t>
      </w:r>
      <w:r w:rsidR="004C14A5" w:rsidRPr="000A6C74">
        <w:rPr>
          <w:rFonts w:ascii="Arial" w:eastAsia="Times New Roman" w:hAnsi="Arial" w:cs="Arial"/>
          <w:color w:val="000000" w:themeColor="text1"/>
          <w:sz w:val="20"/>
          <w:szCs w:val="20"/>
          <w:lang w:val="en-IN" w:eastAsia="en-IN"/>
        </w:rPr>
        <w:t xml:space="preserve">Furthermore, the enhanced expression of </w:t>
      </w:r>
      <w:proofErr w:type="spellStart"/>
      <w:r w:rsidR="004C14A5" w:rsidRPr="000A6C74">
        <w:rPr>
          <w:rFonts w:ascii="Arial" w:eastAsia="Times New Roman" w:hAnsi="Arial" w:cs="Arial"/>
          <w:color w:val="000000" w:themeColor="text1"/>
          <w:sz w:val="20"/>
          <w:szCs w:val="20"/>
          <w:lang w:val="en-IN" w:eastAsia="en-IN"/>
        </w:rPr>
        <w:t>tumor</w:t>
      </w:r>
      <w:proofErr w:type="spellEnd"/>
      <w:r w:rsidR="004C14A5" w:rsidRPr="000A6C74">
        <w:rPr>
          <w:rFonts w:ascii="Arial" w:eastAsia="Times New Roman" w:hAnsi="Arial" w:cs="Arial"/>
          <w:color w:val="000000" w:themeColor="text1"/>
          <w:sz w:val="20"/>
          <w:szCs w:val="20"/>
          <w:lang w:val="en-IN" w:eastAsia="en-IN"/>
        </w:rPr>
        <w:t xml:space="preserve"> necrosis factor and interleukin 6 (IL-6) in reaction to pathogen-associated molecular patterns (PAMPs) is anticipated to contribute significantly to the neutrophilia observed in individuals with diabetes mellitus. These cytokines act as chemotactic mediators, thus promoting </w:t>
      </w:r>
      <w:proofErr w:type="spellStart"/>
      <w:r w:rsidR="004C14A5" w:rsidRPr="000A6C74">
        <w:rPr>
          <w:rFonts w:ascii="Arial" w:eastAsia="Times New Roman" w:hAnsi="Arial" w:cs="Arial"/>
          <w:color w:val="000000" w:themeColor="text1"/>
          <w:sz w:val="20"/>
          <w:szCs w:val="20"/>
          <w:lang w:val="en-IN" w:eastAsia="en-IN"/>
        </w:rPr>
        <w:t>leukocytosis</w:t>
      </w:r>
      <w:proofErr w:type="spellEnd"/>
      <w:r w:rsidR="004C14A5" w:rsidRPr="000A6C74">
        <w:rPr>
          <w:rFonts w:ascii="Arial" w:eastAsia="Times New Roman" w:hAnsi="Arial" w:cs="Arial"/>
          <w:color w:val="000000" w:themeColor="text1"/>
          <w:sz w:val="20"/>
          <w:szCs w:val="20"/>
          <w:lang w:val="en-IN" w:eastAsia="en-IN"/>
        </w:rPr>
        <w:t xml:space="preserve"> and neutrophilia in the context of diabetic pathology (Declue et al., 2012).</w:t>
      </w:r>
    </w:p>
    <w:p w14:paraId="20BCAD5F" w14:textId="77777777" w:rsidR="00BB0AC9" w:rsidRPr="000A6C74" w:rsidRDefault="00BB0AC9" w:rsidP="008B1783">
      <w:pPr>
        <w:spacing w:after="0" w:line="360" w:lineRule="auto"/>
        <w:jc w:val="both"/>
        <w:rPr>
          <w:rFonts w:ascii="Arial" w:eastAsia="Times New Roman" w:hAnsi="Arial" w:cs="Arial"/>
          <w:color w:val="000000" w:themeColor="text1"/>
          <w:sz w:val="20"/>
          <w:szCs w:val="20"/>
          <w:lang w:val="en-IN" w:eastAsia="en-IN"/>
        </w:rPr>
      </w:pPr>
    </w:p>
    <w:p w14:paraId="0153C89E" w14:textId="77777777" w:rsidR="009B3E93" w:rsidRPr="000A6C74" w:rsidRDefault="009B3E93" w:rsidP="000A6C74">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 xml:space="preserve">Table 1: </w:t>
      </w:r>
      <w:proofErr w:type="spellStart"/>
      <w:r w:rsidRPr="000A6C74">
        <w:rPr>
          <w:rFonts w:ascii="Arial" w:eastAsia="Times New Roman" w:hAnsi="Arial" w:cs="Arial"/>
          <w:b/>
          <w:bCs/>
          <w:color w:val="000000" w:themeColor="text1"/>
          <w:sz w:val="20"/>
          <w:szCs w:val="20"/>
          <w:lang w:val="en-IN" w:eastAsia="en-IN"/>
        </w:rPr>
        <w:t>Hematological</w:t>
      </w:r>
      <w:proofErr w:type="spellEnd"/>
      <w:r w:rsidRPr="000A6C74">
        <w:rPr>
          <w:rFonts w:ascii="Arial" w:eastAsia="Times New Roman" w:hAnsi="Arial" w:cs="Arial"/>
          <w:b/>
          <w:bCs/>
          <w:color w:val="000000" w:themeColor="text1"/>
          <w:sz w:val="20"/>
          <w:szCs w:val="20"/>
          <w:lang w:val="en-IN" w:eastAsia="en-IN"/>
        </w:rPr>
        <w:t xml:space="preserve"> Parameters in Healthy and Diabetic Canines (Mean ± 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3304"/>
        <w:gridCol w:w="3011"/>
        <w:gridCol w:w="2300"/>
      </w:tblGrid>
      <w:tr w:rsidR="008A4722" w:rsidRPr="000A6C74" w14:paraId="26D56220" w14:textId="77777777" w:rsidTr="008A4722">
        <w:tc>
          <w:tcPr>
            <w:tcW w:w="0" w:type="auto"/>
            <w:tcBorders>
              <w:top w:val="single" w:sz="4" w:space="0" w:color="auto"/>
              <w:bottom w:val="single" w:sz="4" w:space="0" w:color="auto"/>
            </w:tcBorders>
            <w:vAlign w:val="center"/>
            <w:hideMark/>
          </w:tcPr>
          <w:p w14:paraId="0644043C"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proofErr w:type="spellStart"/>
            <w:r w:rsidRPr="000A6C74">
              <w:rPr>
                <w:rFonts w:ascii="Arial" w:eastAsia="Times New Roman" w:hAnsi="Arial" w:cs="Arial"/>
                <w:b/>
                <w:bCs/>
                <w:color w:val="000000" w:themeColor="text1"/>
                <w:sz w:val="20"/>
                <w:szCs w:val="20"/>
                <w:lang w:val="en-IN" w:eastAsia="en-IN"/>
              </w:rPr>
              <w:t>S.No</w:t>
            </w:r>
            <w:proofErr w:type="spellEnd"/>
            <w:r w:rsidRPr="000A6C74">
              <w:rPr>
                <w:rFonts w:ascii="Arial" w:eastAsia="Times New Roman" w:hAnsi="Arial" w:cs="Arial"/>
                <w:b/>
                <w:bCs/>
                <w:color w:val="000000" w:themeColor="text1"/>
                <w:sz w:val="20"/>
                <w:szCs w:val="20"/>
                <w:lang w:val="en-IN" w:eastAsia="en-IN"/>
              </w:rPr>
              <w:t>.</w:t>
            </w:r>
          </w:p>
        </w:tc>
        <w:tc>
          <w:tcPr>
            <w:tcW w:w="0" w:type="auto"/>
            <w:tcBorders>
              <w:top w:val="single" w:sz="4" w:space="0" w:color="auto"/>
              <w:bottom w:val="single" w:sz="4" w:space="0" w:color="auto"/>
            </w:tcBorders>
            <w:vAlign w:val="center"/>
            <w:hideMark/>
          </w:tcPr>
          <w:p w14:paraId="7A631310"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Parameter</w:t>
            </w:r>
          </w:p>
        </w:tc>
        <w:tc>
          <w:tcPr>
            <w:tcW w:w="0" w:type="auto"/>
            <w:tcBorders>
              <w:top w:val="single" w:sz="4" w:space="0" w:color="auto"/>
              <w:bottom w:val="single" w:sz="4" w:space="0" w:color="auto"/>
            </w:tcBorders>
            <w:vAlign w:val="center"/>
            <w:hideMark/>
          </w:tcPr>
          <w:p w14:paraId="45DF4B06"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Healthy Control Group (n=10)</w:t>
            </w:r>
          </w:p>
        </w:tc>
        <w:tc>
          <w:tcPr>
            <w:tcW w:w="0" w:type="auto"/>
            <w:tcBorders>
              <w:top w:val="single" w:sz="4" w:space="0" w:color="auto"/>
              <w:bottom w:val="single" w:sz="4" w:space="0" w:color="auto"/>
            </w:tcBorders>
            <w:vAlign w:val="center"/>
            <w:hideMark/>
          </w:tcPr>
          <w:p w14:paraId="224E09A9"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Diabetic Group (n=13)</w:t>
            </w:r>
          </w:p>
        </w:tc>
      </w:tr>
      <w:tr w:rsidR="008A4722" w:rsidRPr="000A6C74" w14:paraId="23C095AB" w14:textId="77777777" w:rsidTr="008A4722">
        <w:tc>
          <w:tcPr>
            <w:tcW w:w="0" w:type="auto"/>
            <w:tcBorders>
              <w:top w:val="single" w:sz="4" w:space="0" w:color="auto"/>
            </w:tcBorders>
            <w:vAlign w:val="center"/>
            <w:hideMark/>
          </w:tcPr>
          <w:p w14:paraId="6322354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w:t>
            </w:r>
          </w:p>
        </w:tc>
        <w:tc>
          <w:tcPr>
            <w:tcW w:w="0" w:type="auto"/>
            <w:tcBorders>
              <w:top w:val="single" w:sz="4" w:space="0" w:color="auto"/>
            </w:tcBorders>
            <w:vAlign w:val="center"/>
            <w:hideMark/>
          </w:tcPr>
          <w:p w14:paraId="32629B7E"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proofErr w:type="spellStart"/>
            <w:r w:rsidRPr="000A6C74">
              <w:rPr>
                <w:rFonts w:ascii="Arial" w:eastAsia="Times New Roman" w:hAnsi="Arial" w:cs="Arial"/>
                <w:color w:val="000000" w:themeColor="text1"/>
                <w:sz w:val="20"/>
                <w:szCs w:val="20"/>
                <w:lang w:val="en-IN" w:eastAsia="en-IN"/>
              </w:rPr>
              <w:t>Hemoglobin</w:t>
            </w:r>
            <w:proofErr w:type="spellEnd"/>
            <w:r w:rsidRPr="000A6C74">
              <w:rPr>
                <w:rFonts w:ascii="Arial" w:eastAsia="Times New Roman" w:hAnsi="Arial" w:cs="Arial"/>
                <w:color w:val="000000" w:themeColor="text1"/>
                <w:sz w:val="20"/>
                <w:szCs w:val="20"/>
                <w:lang w:val="en-IN" w:eastAsia="en-IN"/>
              </w:rPr>
              <w:t xml:space="preserve"> (gm/dl)</w:t>
            </w:r>
          </w:p>
        </w:tc>
        <w:tc>
          <w:tcPr>
            <w:tcW w:w="0" w:type="auto"/>
            <w:tcBorders>
              <w:top w:val="single" w:sz="4" w:space="0" w:color="auto"/>
            </w:tcBorders>
            <w:vAlign w:val="center"/>
            <w:hideMark/>
          </w:tcPr>
          <w:p w14:paraId="0BF3FB2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13.31 ± 0.21</w:t>
            </w:r>
          </w:p>
        </w:tc>
        <w:tc>
          <w:tcPr>
            <w:tcW w:w="0" w:type="auto"/>
            <w:tcBorders>
              <w:top w:val="single" w:sz="4" w:space="0" w:color="auto"/>
            </w:tcBorders>
            <w:vAlign w:val="center"/>
            <w:hideMark/>
          </w:tcPr>
          <w:p w14:paraId="29F7D55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12.83 ± 0.13</w:t>
            </w:r>
          </w:p>
        </w:tc>
      </w:tr>
      <w:tr w:rsidR="008A4722" w:rsidRPr="000A6C74" w14:paraId="311E5934" w14:textId="77777777" w:rsidTr="008A4722">
        <w:tc>
          <w:tcPr>
            <w:tcW w:w="0" w:type="auto"/>
            <w:vAlign w:val="center"/>
            <w:hideMark/>
          </w:tcPr>
          <w:p w14:paraId="2E3A8EE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w:t>
            </w:r>
          </w:p>
        </w:tc>
        <w:tc>
          <w:tcPr>
            <w:tcW w:w="0" w:type="auto"/>
            <w:vAlign w:val="center"/>
            <w:hideMark/>
          </w:tcPr>
          <w:p w14:paraId="1788D5DD"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Total Erythrocyte Count (x 10^6/</w:t>
            </w:r>
            <w:proofErr w:type="spellStart"/>
            <w:r w:rsidRPr="000A6C74">
              <w:rPr>
                <w:rFonts w:ascii="Arial" w:eastAsia="Times New Roman" w:hAnsi="Arial" w:cs="Arial"/>
                <w:color w:val="000000" w:themeColor="text1"/>
                <w:sz w:val="20"/>
                <w:szCs w:val="20"/>
                <w:lang w:val="en-IN" w:eastAsia="en-IN"/>
              </w:rPr>
              <w:t>μl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14:paraId="77813D9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6.51 ± 0.09</w:t>
            </w:r>
          </w:p>
        </w:tc>
        <w:tc>
          <w:tcPr>
            <w:tcW w:w="0" w:type="auto"/>
            <w:vAlign w:val="center"/>
            <w:hideMark/>
          </w:tcPr>
          <w:p w14:paraId="342601C3"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6.35 ± 0.06</w:t>
            </w:r>
          </w:p>
        </w:tc>
      </w:tr>
      <w:tr w:rsidR="008A4722" w:rsidRPr="000A6C74" w14:paraId="5D41230C" w14:textId="77777777" w:rsidTr="008A4722">
        <w:tc>
          <w:tcPr>
            <w:tcW w:w="0" w:type="auto"/>
            <w:vAlign w:val="center"/>
            <w:hideMark/>
          </w:tcPr>
          <w:p w14:paraId="7450DEA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w:t>
            </w:r>
          </w:p>
        </w:tc>
        <w:tc>
          <w:tcPr>
            <w:tcW w:w="0" w:type="auto"/>
            <w:vAlign w:val="center"/>
            <w:hideMark/>
          </w:tcPr>
          <w:p w14:paraId="5D7B9B4A"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Packed Cell Volume (%)</w:t>
            </w:r>
          </w:p>
        </w:tc>
        <w:tc>
          <w:tcPr>
            <w:tcW w:w="0" w:type="auto"/>
            <w:vAlign w:val="center"/>
            <w:hideMark/>
          </w:tcPr>
          <w:p w14:paraId="6A015D3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41.50 ± 0.40</w:t>
            </w:r>
          </w:p>
        </w:tc>
        <w:tc>
          <w:tcPr>
            <w:tcW w:w="0" w:type="auto"/>
            <w:vAlign w:val="center"/>
            <w:hideMark/>
          </w:tcPr>
          <w:p w14:paraId="5162FAEC"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41.61 ± 0.70</w:t>
            </w:r>
          </w:p>
        </w:tc>
      </w:tr>
      <w:tr w:rsidR="008A4722" w:rsidRPr="000A6C74" w14:paraId="7254A248" w14:textId="77777777" w:rsidTr="008A4722">
        <w:tc>
          <w:tcPr>
            <w:tcW w:w="0" w:type="auto"/>
            <w:vAlign w:val="center"/>
            <w:hideMark/>
          </w:tcPr>
          <w:p w14:paraId="26EA721B"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w:t>
            </w:r>
          </w:p>
        </w:tc>
        <w:tc>
          <w:tcPr>
            <w:tcW w:w="0" w:type="auto"/>
            <w:vAlign w:val="center"/>
            <w:hideMark/>
          </w:tcPr>
          <w:p w14:paraId="0B283B1F"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Mean Corpuscular Volume (fl)</w:t>
            </w:r>
          </w:p>
        </w:tc>
        <w:tc>
          <w:tcPr>
            <w:tcW w:w="0" w:type="auto"/>
            <w:vAlign w:val="center"/>
            <w:hideMark/>
          </w:tcPr>
          <w:p w14:paraId="2170C86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63.79 ± 0.50</w:t>
            </w:r>
          </w:p>
        </w:tc>
        <w:tc>
          <w:tcPr>
            <w:tcW w:w="0" w:type="auto"/>
            <w:vAlign w:val="center"/>
            <w:hideMark/>
          </w:tcPr>
          <w:p w14:paraId="7EC54E2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65.52 ± 1.10</w:t>
            </w:r>
          </w:p>
        </w:tc>
      </w:tr>
      <w:tr w:rsidR="008A4722" w:rsidRPr="000A6C74" w14:paraId="3D6EF629" w14:textId="77777777" w:rsidTr="008A4722">
        <w:tc>
          <w:tcPr>
            <w:tcW w:w="0" w:type="auto"/>
            <w:vAlign w:val="center"/>
            <w:hideMark/>
          </w:tcPr>
          <w:p w14:paraId="33E29C44"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w:t>
            </w:r>
          </w:p>
        </w:tc>
        <w:tc>
          <w:tcPr>
            <w:tcW w:w="0" w:type="auto"/>
            <w:vAlign w:val="center"/>
            <w:hideMark/>
          </w:tcPr>
          <w:p w14:paraId="1791BD23"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Platelet (x 10^3/</w:t>
            </w:r>
            <w:proofErr w:type="spellStart"/>
            <w:r w:rsidRPr="000A6C74">
              <w:rPr>
                <w:rFonts w:ascii="Arial" w:eastAsia="Times New Roman" w:hAnsi="Arial" w:cs="Arial"/>
                <w:color w:val="000000" w:themeColor="text1"/>
                <w:sz w:val="20"/>
                <w:szCs w:val="20"/>
                <w:lang w:val="en-IN" w:eastAsia="en-IN"/>
              </w:rPr>
              <w:t>μl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14:paraId="4D11B8C9"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380.10 ± 15.33</w:t>
            </w:r>
          </w:p>
        </w:tc>
        <w:tc>
          <w:tcPr>
            <w:tcW w:w="0" w:type="auto"/>
            <w:vAlign w:val="center"/>
            <w:hideMark/>
          </w:tcPr>
          <w:p w14:paraId="3BEAE564"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391.38 ± 12.14</w:t>
            </w:r>
          </w:p>
        </w:tc>
      </w:tr>
      <w:tr w:rsidR="008A4722" w:rsidRPr="000A6C74" w14:paraId="5DF8B7EC" w14:textId="77777777" w:rsidTr="008A4722">
        <w:tc>
          <w:tcPr>
            <w:tcW w:w="0" w:type="auto"/>
            <w:vAlign w:val="center"/>
            <w:hideMark/>
          </w:tcPr>
          <w:p w14:paraId="64E64BA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w:t>
            </w:r>
          </w:p>
        </w:tc>
        <w:tc>
          <w:tcPr>
            <w:tcW w:w="0" w:type="auto"/>
            <w:vAlign w:val="center"/>
            <w:hideMark/>
          </w:tcPr>
          <w:p w14:paraId="71F10774"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Total Leukocyte Count (x 10^3/</w:t>
            </w:r>
            <w:proofErr w:type="spellStart"/>
            <w:r w:rsidRPr="000A6C74">
              <w:rPr>
                <w:rFonts w:ascii="Arial" w:eastAsia="Times New Roman" w:hAnsi="Arial" w:cs="Arial"/>
                <w:color w:val="000000" w:themeColor="text1"/>
                <w:sz w:val="20"/>
                <w:szCs w:val="20"/>
                <w:lang w:val="en-IN" w:eastAsia="en-IN"/>
              </w:rPr>
              <w:t>μl</w:t>
            </w:r>
            <w:proofErr w:type="spellEnd"/>
            <w:r w:rsidRPr="000A6C74">
              <w:rPr>
                <w:rFonts w:ascii="Arial" w:eastAsia="Times New Roman" w:hAnsi="Arial" w:cs="Arial"/>
                <w:color w:val="000000" w:themeColor="text1"/>
                <w:sz w:val="20"/>
                <w:szCs w:val="20"/>
                <w:lang w:val="en-IN" w:eastAsia="en-IN"/>
              </w:rPr>
              <w:t>)</w:t>
            </w:r>
          </w:p>
        </w:tc>
        <w:tc>
          <w:tcPr>
            <w:tcW w:w="0" w:type="auto"/>
            <w:vAlign w:val="center"/>
            <w:hideMark/>
          </w:tcPr>
          <w:p w14:paraId="46B7D969"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8.31 ± 0.15</w:t>
            </w:r>
          </w:p>
        </w:tc>
        <w:tc>
          <w:tcPr>
            <w:tcW w:w="0" w:type="auto"/>
            <w:vAlign w:val="center"/>
            <w:hideMark/>
          </w:tcPr>
          <w:p w14:paraId="161C7D1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8.46 ± 0.25</w:t>
            </w:r>
          </w:p>
        </w:tc>
      </w:tr>
      <w:tr w:rsidR="008A4722" w:rsidRPr="000A6C74" w14:paraId="2A0FE03C" w14:textId="77777777" w:rsidTr="008A4722">
        <w:tc>
          <w:tcPr>
            <w:tcW w:w="0" w:type="auto"/>
            <w:vAlign w:val="center"/>
            <w:hideMark/>
          </w:tcPr>
          <w:p w14:paraId="29B4B24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7.</w:t>
            </w:r>
          </w:p>
        </w:tc>
        <w:tc>
          <w:tcPr>
            <w:tcW w:w="0" w:type="auto"/>
            <w:vAlign w:val="center"/>
            <w:hideMark/>
          </w:tcPr>
          <w:p w14:paraId="14280398"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Lymphocytes (</w:t>
            </w:r>
            <w:proofErr w:type="gramStart"/>
            <w:r w:rsidRPr="000A6C74">
              <w:rPr>
                <w:rFonts w:ascii="Arial" w:eastAsia="Times New Roman" w:hAnsi="Arial" w:cs="Arial"/>
                <w:color w:val="000000" w:themeColor="text1"/>
                <w:sz w:val="20"/>
                <w:szCs w:val="20"/>
                <w:lang w:val="en-IN" w:eastAsia="en-IN"/>
              </w:rPr>
              <w:t>%)*</w:t>
            </w:r>
            <w:proofErr w:type="gramEnd"/>
            <w:r w:rsidRPr="000A6C74">
              <w:rPr>
                <w:rFonts w:ascii="Arial" w:eastAsia="Times New Roman" w:hAnsi="Arial" w:cs="Arial"/>
                <w:color w:val="000000" w:themeColor="text1"/>
                <w:sz w:val="20"/>
                <w:szCs w:val="20"/>
                <w:lang w:val="en-IN" w:eastAsia="en-IN"/>
              </w:rPr>
              <w:t>*</w:t>
            </w:r>
          </w:p>
        </w:tc>
        <w:tc>
          <w:tcPr>
            <w:tcW w:w="0" w:type="auto"/>
            <w:vAlign w:val="center"/>
            <w:hideMark/>
          </w:tcPr>
          <w:p w14:paraId="5E1EA1B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18.30 ± 0.49</w:t>
            </w:r>
          </w:p>
        </w:tc>
        <w:tc>
          <w:tcPr>
            <w:tcW w:w="0" w:type="auto"/>
            <w:vAlign w:val="center"/>
            <w:hideMark/>
          </w:tcPr>
          <w:p w14:paraId="582F4FA9"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16.23 ± 0.49</w:t>
            </w:r>
          </w:p>
        </w:tc>
      </w:tr>
      <w:tr w:rsidR="008A4722" w:rsidRPr="000A6C74" w14:paraId="1B829C8E" w14:textId="77777777" w:rsidTr="008A4722">
        <w:tc>
          <w:tcPr>
            <w:tcW w:w="0" w:type="auto"/>
            <w:vAlign w:val="center"/>
            <w:hideMark/>
          </w:tcPr>
          <w:p w14:paraId="3E1A2F78"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w:t>
            </w:r>
          </w:p>
        </w:tc>
        <w:tc>
          <w:tcPr>
            <w:tcW w:w="0" w:type="auto"/>
            <w:vAlign w:val="center"/>
            <w:hideMark/>
          </w:tcPr>
          <w:p w14:paraId="0D9BE7FD"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Neutrophils (</w:t>
            </w:r>
            <w:proofErr w:type="gramStart"/>
            <w:r w:rsidRPr="000A6C74">
              <w:rPr>
                <w:rFonts w:ascii="Arial" w:eastAsia="Times New Roman" w:hAnsi="Arial" w:cs="Arial"/>
                <w:color w:val="000000" w:themeColor="text1"/>
                <w:sz w:val="20"/>
                <w:szCs w:val="20"/>
                <w:lang w:val="en-IN" w:eastAsia="en-IN"/>
              </w:rPr>
              <w:t>%)*</w:t>
            </w:r>
            <w:proofErr w:type="gramEnd"/>
            <w:r w:rsidRPr="000A6C74">
              <w:rPr>
                <w:rFonts w:ascii="Arial" w:eastAsia="Times New Roman" w:hAnsi="Arial" w:cs="Arial"/>
                <w:color w:val="000000" w:themeColor="text1"/>
                <w:sz w:val="20"/>
                <w:szCs w:val="20"/>
                <w:lang w:val="en-IN" w:eastAsia="en-IN"/>
              </w:rPr>
              <w:t>*</w:t>
            </w:r>
          </w:p>
        </w:tc>
        <w:tc>
          <w:tcPr>
            <w:tcW w:w="0" w:type="auto"/>
            <w:vAlign w:val="center"/>
            <w:hideMark/>
          </w:tcPr>
          <w:p w14:paraId="311F7CC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73.80 ± 0.57</w:t>
            </w:r>
          </w:p>
        </w:tc>
        <w:tc>
          <w:tcPr>
            <w:tcW w:w="0" w:type="auto"/>
            <w:vAlign w:val="center"/>
            <w:hideMark/>
          </w:tcPr>
          <w:p w14:paraId="200283A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76.61 ± 0.36</w:t>
            </w:r>
          </w:p>
        </w:tc>
      </w:tr>
      <w:tr w:rsidR="008A4722" w:rsidRPr="000A6C74" w14:paraId="36A21752" w14:textId="77777777" w:rsidTr="008A4722">
        <w:tc>
          <w:tcPr>
            <w:tcW w:w="0" w:type="auto"/>
            <w:vAlign w:val="center"/>
            <w:hideMark/>
          </w:tcPr>
          <w:p w14:paraId="7CBCAE1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w:t>
            </w:r>
          </w:p>
        </w:tc>
        <w:tc>
          <w:tcPr>
            <w:tcW w:w="0" w:type="auto"/>
            <w:vAlign w:val="center"/>
            <w:hideMark/>
          </w:tcPr>
          <w:p w14:paraId="6D701653"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Monocytes (%)</w:t>
            </w:r>
          </w:p>
        </w:tc>
        <w:tc>
          <w:tcPr>
            <w:tcW w:w="0" w:type="auto"/>
            <w:vAlign w:val="center"/>
            <w:hideMark/>
          </w:tcPr>
          <w:p w14:paraId="00156A2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4.70 ± 0.42</w:t>
            </w:r>
          </w:p>
        </w:tc>
        <w:tc>
          <w:tcPr>
            <w:tcW w:w="0" w:type="auto"/>
            <w:vAlign w:val="center"/>
            <w:hideMark/>
          </w:tcPr>
          <w:p w14:paraId="5096720C"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4.15 ± 0.22</w:t>
            </w:r>
          </w:p>
        </w:tc>
      </w:tr>
      <w:tr w:rsidR="008A4722" w:rsidRPr="000A6C74" w14:paraId="7F40597C" w14:textId="77777777" w:rsidTr="008A4722">
        <w:tc>
          <w:tcPr>
            <w:tcW w:w="0" w:type="auto"/>
            <w:vAlign w:val="center"/>
            <w:hideMark/>
          </w:tcPr>
          <w:p w14:paraId="0365678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w:t>
            </w:r>
          </w:p>
        </w:tc>
        <w:tc>
          <w:tcPr>
            <w:tcW w:w="0" w:type="auto"/>
            <w:vAlign w:val="center"/>
            <w:hideMark/>
          </w:tcPr>
          <w:p w14:paraId="64425FFE"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Eosinophils (%)</w:t>
            </w:r>
          </w:p>
        </w:tc>
        <w:tc>
          <w:tcPr>
            <w:tcW w:w="0" w:type="auto"/>
            <w:vAlign w:val="center"/>
            <w:hideMark/>
          </w:tcPr>
          <w:p w14:paraId="61696FF5"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3.00 ± 0.33</w:t>
            </w:r>
          </w:p>
        </w:tc>
        <w:tc>
          <w:tcPr>
            <w:tcW w:w="0" w:type="auto"/>
            <w:vAlign w:val="center"/>
            <w:hideMark/>
          </w:tcPr>
          <w:p w14:paraId="24F8FE4B"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2.84 ± 0.22</w:t>
            </w:r>
          </w:p>
        </w:tc>
      </w:tr>
      <w:tr w:rsidR="008A4722" w:rsidRPr="000A6C74" w14:paraId="3EB41F03" w14:textId="77777777" w:rsidTr="008A4722">
        <w:tc>
          <w:tcPr>
            <w:tcW w:w="0" w:type="auto"/>
            <w:tcBorders>
              <w:bottom w:val="single" w:sz="4" w:space="0" w:color="auto"/>
            </w:tcBorders>
            <w:vAlign w:val="center"/>
            <w:hideMark/>
          </w:tcPr>
          <w:p w14:paraId="62B5ECD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11.</w:t>
            </w:r>
          </w:p>
        </w:tc>
        <w:tc>
          <w:tcPr>
            <w:tcW w:w="0" w:type="auto"/>
            <w:tcBorders>
              <w:bottom w:val="single" w:sz="4" w:space="0" w:color="auto"/>
            </w:tcBorders>
            <w:vAlign w:val="center"/>
            <w:hideMark/>
          </w:tcPr>
          <w:p w14:paraId="784D068B" w14:textId="77777777" w:rsidR="009B3E93" w:rsidRPr="000A6C74" w:rsidRDefault="009B3E93" w:rsidP="00A853D6">
            <w:pPr>
              <w:spacing w:line="360" w:lineRule="auto"/>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Basophils (%)</w:t>
            </w:r>
          </w:p>
        </w:tc>
        <w:tc>
          <w:tcPr>
            <w:tcW w:w="0" w:type="auto"/>
            <w:tcBorders>
              <w:bottom w:val="single" w:sz="4" w:space="0" w:color="auto"/>
            </w:tcBorders>
            <w:vAlign w:val="center"/>
            <w:hideMark/>
          </w:tcPr>
          <w:p w14:paraId="3E00F30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0.20 ± 0.13</w:t>
            </w:r>
          </w:p>
        </w:tc>
        <w:tc>
          <w:tcPr>
            <w:tcW w:w="0" w:type="auto"/>
            <w:tcBorders>
              <w:bottom w:val="single" w:sz="4" w:space="0" w:color="auto"/>
            </w:tcBorders>
            <w:vAlign w:val="center"/>
            <w:hideMark/>
          </w:tcPr>
          <w:p w14:paraId="457899E1"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0.23 ± 0.12</w:t>
            </w:r>
          </w:p>
        </w:tc>
      </w:tr>
    </w:tbl>
    <w:p w14:paraId="1F167A80" w14:textId="77777777" w:rsidR="009B3E93" w:rsidRPr="00142644" w:rsidRDefault="009B3E93" w:rsidP="000A6C74">
      <w:pPr>
        <w:spacing w:after="0" w:line="360" w:lineRule="auto"/>
        <w:jc w:val="both"/>
        <w:rPr>
          <w:rFonts w:ascii="Arial" w:eastAsia="Times New Roman" w:hAnsi="Arial" w:cs="Arial"/>
          <w:i/>
          <w:color w:val="000000" w:themeColor="text1"/>
          <w:sz w:val="18"/>
          <w:szCs w:val="20"/>
          <w:lang w:val="en-IN" w:eastAsia="en-IN"/>
        </w:rPr>
      </w:pPr>
      <w:r w:rsidRPr="00142644">
        <w:rPr>
          <w:rFonts w:ascii="Arial" w:eastAsia="Times New Roman" w:hAnsi="Arial" w:cs="Arial"/>
          <w:i/>
          <w:color w:val="000000" w:themeColor="text1"/>
          <w:sz w:val="18"/>
          <w:szCs w:val="20"/>
          <w:lang w:val="en-IN" w:eastAsia="en-IN"/>
        </w:rPr>
        <w:t>**Statistically significant differences (p&lt;0.01) between the diabetic and healthy control groups were observed in lymphocytes and neutrophils.</w:t>
      </w:r>
    </w:p>
    <w:p w14:paraId="3C66541F" w14:textId="77777777" w:rsidR="00F83EBF" w:rsidRPr="000A6C74" w:rsidRDefault="00F83EBF" w:rsidP="008B1783">
      <w:pPr>
        <w:spacing w:after="0" w:line="360" w:lineRule="auto"/>
        <w:jc w:val="both"/>
        <w:rPr>
          <w:rFonts w:ascii="Arial" w:hAnsi="Arial" w:cs="Arial"/>
          <w:color w:val="000000" w:themeColor="text1"/>
          <w:sz w:val="20"/>
          <w:szCs w:val="20"/>
          <w:lang w:val="en-IN"/>
        </w:rPr>
      </w:pPr>
      <w:r w:rsidRPr="000A6C74">
        <w:rPr>
          <w:rFonts w:ascii="Arial" w:hAnsi="Arial" w:cs="Arial"/>
          <w:noProof/>
          <w:color w:val="000000" w:themeColor="text1"/>
          <w:sz w:val="20"/>
          <w:szCs w:val="20"/>
          <w:lang w:val="en-IN" w:eastAsia="en-IN" w:bidi="hi-IN"/>
        </w:rPr>
        <w:lastRenderedPageBreak/>
        <w:drawing>
          <wp:inline distT="0" distB="0" distL="0" distR="0" wp14:anchorId="1031BDF2" wp14:editId="5F50B957">
            <wp:extent cx="5938221" cy="3356385"/>
            <wp:effectExtent l="0" t="0" r="5715"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B5F803" w14:textId="77777777" w:rsidR="000A0705" w:rsidRPr="000A6C74" w:rsidRDefault="000A0705" w:rsidP="000A6C74">
      <w:pPr>
        <w:spacing w:after="0" w:line="360" w:lineRule="auto"/>
        <w:jc w:val="both"/>
        <w:rPr>
          <w:rFonts w:ascii="Arial" w:hAnsi="Arial" w:cs="Arial"/>
          <w:b/>
          <w:color w:val="000000" w:themeColor="text1"/>
          <w:sz w:val="20"/>
          <w:szCs w:val="20"/>
        </w:rPr>
      </w:pPr>
      <w:r w:rsidRPr="000A6C74">
        <w:rPr>
          <w:rFonts w:ascii="Arial" w:hAnsi="Arial" w:cs="Arial"/>
          <w:b/>
          <w:bCs/>
          <w:color w:val="000000" w:themeColor="text1"/>
          <w:sz w:val="20"/>
          <w:szCs w:val="20"/>
        </w:rPr>
        <w:t>Figure 1: Mean values of Hb, TEC, PCV, MCV and platelet in healthy control group and diabetic canines (pre-treatment)</w:t>
      </w:r>
    </w:p>
    <w:p w14:paraId="2BF86142" w14:textId="77777777" w:rsidR="000A0705" w:rsidRPr="000A6C74" w:rsidRDefault="000A0705" w:rsidP="008B1783">
      <w:pPr>
        <w:spacing w:after="0" w:line="360" w:lineRule="auto"/>
        <w:jc w:val="both"/>
        <w:rPr>
          <w:rFonts w:ascii="Arial" w:hAnsi="Arial" w:cs="Arial"/>
          <w:color w:val="000000" w:themeColor="text1"/>
          <w:sz w:val="20"/>
          <w:szCs w:val="20"/>
          <w:lang w:val="en-IN"/>
        </w:rPr>
      </w:pPr>
    </w:p>
    <w:p w14:paraId="72B7F678" w14:textId="77777777" w:rsidR="00F83EBF" w:rsidRPr="000A6C74" w:rsidRDefault="00F83EBF" w:rsidP="008B1783">
      <w:pPr>
        <w:spacing w:after="0" w:line="360" w:lineRule="auto"/>
        <w:jc w:val="both"/>
        <w:rPr>
          <w:rFonts w:ascii="Arial" w:hAnsi="Arial" w:cs="Arial"/>
          <w:color w:val="000000" w:themeColor="text1"/>
          <w:sz w:val="20"/>
          <w:szCs w:val="20"/>
          <w:lang w:val="en-IN"/>
        </w:rPr>
      </w:pPr>
      <w:r w:rsidRPr="000A6C74">
        <w:rPr>
          <w:rFonts w:ascii="Arial" w:hAnsi="Arial" w:cs="Arial"/>
          <w:noProof/>
          <w:color w:val="000000" w:themeColor="text1"/>
          <w:sz w:val="20"/>
          <w:szCs w:val="20"/>
          <w:lang w:val="en-IN" w:eastAsia="en-IN" w:bidi="hi-IN"/>
        </w:rPr>
        <w:drawing>
          <wp:inline distT="0" distB="0" distL="0" distR="0" wp14:anchorId="36E322EF" wp14:editId="42C00CFB">
            <wp:extent cx="5927464" cy="2840019"/>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773D1A" w14:textId="77777777" w:rsidR="000A0705" w:rsidRDefault="000A0705" w:rsidP="000A6C74">
      <w:pPr>
        <w:spacing w:after="0" w:line="360" w:lineRule="auto"/>
        <w:jc w:val="both"/>
        <w:rPr>
          <w:rFonts w:ascii="Arial" w:hAnsi="Arial" w:cs="Arial"/>
          <w:b/>
          <w:color w:val="000000" w:themeColor="text1"/>
          <w:sz w:val="20"/>
          <w:szCs w:val="20"/>
        </w:rPr>
      </w:pPr>
      <w:r w:rsidRPr="000A6C74">
        <w:rPr>
          <w:rFonts w:ascii="Arial" w:hAnsi="Arial" w:cs="Arial"/>
          <w:b/>
          <w:bCs/>
          <w:color w:val="000000" w:themeColor="text1"/>
          <w:sz w:val="20"/>
          <w:szCs w:val="20"/>
        </w:rPr>
        <w:t>Figure 2:</w:t>
      </w:r>
      <w:r w:rsidRPr="000A6C74">
        <w:rPr>
          <w:rFonts w:ascii="Arial" w:hAnsi="Arial" w:cs="Arial"/>
          <w:b/>
          <w:color w:val="000000" w:themeColor="text1"/>
          <w:sz w:val="20"/>
          <w:szCs w:val="20"/>
        </w:rPr>
        <w:t xml:space="preserve"> Mean values of TLC and DLC in healthy control group and diabetic canines (pre-treatment)</w:t>
      </w:r>
    </w:p>
    <w:p w14:paraId="776FCA4F" w14:textId="77777777" w:rsidR="00142644" w:rsidRPr="000A6C74" w:rsidRDefault="00142644" w:rsidP="000A6C74">
      <w:pPr>
        <w:spacing w:after="0" w:line="360" w:lineRule="auto"/>
        <w:jc w:val="both"/>
        <w:rPr>
          <w:rFonts w:ascii="Arial" w:hAnsi="Arial" w:cs="Arial"/>
          <w:b/>
          <w:color w:val="000000" w:themeColor="text1"/>
          <w:sz w:val="20"/>
          <w:szCs w:val="20"/>
        </w:rPr>
      </w:pPr>
    </w:p>
    <w:p w14:paraId="16B13DED" w14:textId="77777777" w:rsidR="008B1783" w:rsidRPr="000A6C74" w:rsidRDefault="008A4722" w:rsidP="008B1783">
      <w:pPr>
        <w:pStyle w:val="NormalWeb"/>
        <w:spacing w:before="0" w:beforeAutospacing="0" w:after="0" w:afterAutospacing="0" w:line="360" w:lineRule="auto"/>
        <w:jc w:val="both"/>
        <w:rPr>
          <w:rStyle w:val="Strong"/>
          <w:rFonts w:ascii="Arial" w:hAnsi="Arial" w:cs="Arial"/>
          <w:color w:val="000000" w:themeColor="text1"/>
          <w:sz w:val="22"/>
          <w:szCs w:val="20"/>
        </w:rPr>
      </w:pPr>
      <w:r w:rsidRPr="000A6C74">
        <w:rPr>
          <w:rStyle w:val="Strong"/>
          <w:rFonts w:ascii="Arial" w:hAnsi="Arial" w:cs="Arial"/>
          <w:color w:val="000000" w:themeColor="text1"/>
          <w:sz w:val="22"/>
          <w:szCs w:val="20"/>
        </w:rPr>
        <w:t xml:space="preserve">3.2 </w:t>
      </w:r>
      <w:r w:rsidR="009B3E93" w:rsidRPr="000A6C74">
        <w:rPr>
          <w:rStyle w:val="Strong"/>
          <w:rFonts w:ascii="Arial" w:hAnsi="Arial" w:cs="Arial"/>
          <w:color w:val="000000" w:themeColor="text1"/>
          <w:sz w:val="22"/>
          <w:szCs w:val="20"/>
        </w:rPr>
        <w:t>Biochemical Alterations</w:t>
      </w:r>
    </w:p>
    <w:p w14:paraId="28A15F14" w14:textId="77777777" w:rsidR="00BB0AC9" w:rsidRPr="000A6C74" w:rsidRDefault="00BB0AC9"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lastRenderedPageBreak/>
        <w:t xml:space="preserve">The biochemical parameters pertaining to both the healthy control and diabetic cohorts are succinctly encapsulated in Table 2 and visually represented in Figures 3 and 4. The data unequivocally indicate that serum glucose concentrations were markedly elevated (p&lt;0.01) in the diabetic canines (315.84 ± 30.14 mg/dl) in comparison to their healthy counterparts (92.60 ± 2.31 mg/dl), thereby corroborating a condition of </w:t>
      </w:r>
      <w:proofErr w:type="spellStart"/>
      <w:r w:rsidRPr="000A6C74">
        <w:rPr>
          <w:rFonts w:ascii="Arial" w:eastAsia="Times New Roman" w:hAnsi="Arial" w:cs="Arial"/>
          <w:color w:val="000000" w:themeColor="text1"/>
          <w:sz w:val="20"/>
          <w:szCs w:val="20"/>
          <w:lang w:val="en-IN" w:eastAsia="en-IN"/>
        </w:rPr>
        <w:t>hyperglycemia</w:t>
      </w:r>
      <w:proofErr w:type="spellEnd"/>
      <w:r w:rsidRPr="000A6C74">
        <w:rPr>
          <w:rFonts w:ascii="Arial" w:eastAsia="Times New Roman" w:hAnsi="Arial" w:cs="Arial"/>
          <w:color w:val="000000" w:themeColor="text1"/>
          <w:sz w:val="20"/>
          <w:szCs w:val="20"/>
          <w:lang w:val="en-IN" w:eastAsia="en-IN"/>
        </w:rPr>
        <w:t xml:space="preserve">. This augmentation is emblematic of a </w:t>
      </w:r>
      <w:proofErr w:type="spellStart"/>
      <w:r w:rsidRPr="000A6C74">
        <w:rPr>
          <w:rFonts w:ascii="Arial" w:eastAsia="Times New Roman" w:hAnsi="Arial" w:cs="Arial"/>
          <w:color w:val="000000" w:themeColor="text1"/>
          <w:sz w:val="20"/>
          <w:szCs w:val="20"/>
          <w:lang w:val="en-IN" w:eastAsia="en-IN"/>
        </w:rPr>
        <w:t>hyperglycemic</w:t>
      </w:r>
      <w:proofErr w:type="spellEnd"/>
      <w:r w:rsidRPr="000A6C74">
        <w:rPr>
          <w:rFonts w:ascii="Arial" w:eastAsia="Times New Roman" w:hAnsi="Arial" w:cs="Arial"/>
          <w:color w:val="000000" w:themeColor="text1"/>
          <w:sz w:val="20"/>
          <w:szCs w:val="20"/>
          <w:lang w:val="en-IN" w:eastAsia="en-IN"/>
        </w:rPr>
        <w:t xml:space="preserve"> crisis, frequently observed in insulin-deficient diabetes attributed to autoimmune-mediated destruction of β-cells. In these diabetic canines, stimulation of the pancreatic β-cells within the islets of Langerhans via glucose or glucagon did not elicit a concomitant increase in insulin or C-peptide levels, thereby implying that the β-cells exhibited an unresponsive state, resulting in persistently elevated blood glucose levels (Catchpole et al., 2008). These findings are congruent with the research conducted by Sundararajan et al. (2022), Kwong et al. (2023), and Calibo (2024).</w:t>
      </w:r>
    </w:p>
    <w:p w14:paraId="51C93BA9" w14:textId="77777777" w:rsidR="00BB0AC9" w:rsidRPr="000A6C74" w:rsidRDefault="00BB0AC9"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In the context of hepatic function, the noted elevation in hepatic enzymes, particularly ALT and ALP, was found to be significantly greater (p&lt;0.01) within the diabetic group in contrast to the control cohort. This observation implies hepatic involvement in the etiopathogenesis of diabetes mellitus, potentially as a consequence of hepatic lipidosis, a condition frequently observed in diabetic canines (Hess et al., 2000). Moreover, diabetic canines may encounter additional hepatic complications, including hepatic necrosis or enlargement (</w:t>
      </w:r>
      <w:proofErr w:type="spellStart"/>
      <w:r w:rsidRPr="000A6C74">
        <w:rPr>
          <w:rFonts w:ascii="Arial" w:eastAsia="Times New Roman" w:hAnsi="Arial" w:cs="Arial"/>
          <w:color w:val="000000" w:themeColor="text1"/>
          <w:sz w:val="20"/>
          <w:szCs w:val="20"/>
          <w:lang w:val="en-IN" w:eastAsia="en-IN"/>
        </w:rPr>
        <w:t>Hiblu</w:t>
      </w:r>
      <w:proofErr w:type="spellEnd"/>
      <w:r w:rsidRPr="000A6C74">
        <w:rPr>
          <w:rFonts w:ascii="Arial" w:eastAsia="Times New Roman" w:hAnsi="Arial" w:cs="Arial"/>
          <w:color w:val="000000" w:themeColor="text1"/>
          <w:sz w:val="20"/>
          <w:szCs w:val="20"/>
          <w:lang w:val="en-IN" w:eastAsia="en-IN"/>
        </w:rPr>
        <w:t xml:space="preserve"> et al., 2015). The accelerated catabolism of proteins and lipids in the diabetic state may contribute to these hepatic alterations (</w:t>
      </w:r>
      <w:r w:rsidR="002B1A44" w:rsidRPr="000A6C74">
        <w:rPr>
          <w:rFonts w:ascii="Arial" w:eastAsia="Times New Roman" w:hAnsi="Arial" w:cs="Arial"/>
          <w:color w:val="000000" w:themeColor="text1"/>
          <w:sz w:val="20"/>
          <w:szCs w:val="20"/>
          <w:lang w:val="en-IN" w:eastAsia="en-IN"/>
        </w:rPr>
        <w:t xml:space="preserve">Qadri et al., 2015; </w:t>
      </w:r>
      <w:r w:rsidRPr="000A6C74">
        <w:rPr>
          <w:rFonts w:ascii="Arial" w:eastAsia="Times New Roman" w:hAnsi="Arial" w:cs="Arial"/>
          <w:color w:val="000000" w:themeColor="text1"/>
          <w:sz w:val="20"/>
          <w:szCs w:val="20"/>
          <w:lang w:val="en-IN" w:eastAsia="en-IN"/>
        </w:rPr>
        <w:t>Kumar et al., 2014).</w:t>
      </w:r>
    </w:p>
    <w:p w14:paraId="3002A17B" w14:textId="77777777" w:rsidR="00BB0AC9" w:rsidRPr="000A6C74" w:rsidRDefault="00612BC4"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In association with the increase in hepatic enzyme concentrations, the cohort diagnosed with diabetes additionally demonstrated elevated levels of triglycerides and overall cholesterol when compared to the control group. </w:t>
      </w:r>
      <w:r w:rsidR="00BB0AC9" w:rsidRPr="000A6C74">
        <w:rPr>
          <w:rFonts w:ascii="Arial" w:eastAsia="Times New Roman" w:hAnsi="Arial" w:cs="Arial"/>
          <w:color w:val="000000" w:themeColor="text1"/>
          <w:sz w:val="20"/>
          <w:szCs w:val="20"/>
          <w:lang w:val="en-IN" w:eastAsia="en-IN"/>
        </w:rPr>
        <w:t xml:space="preserve">This elevation in lipid profile parameters is presumably attributable to insulin deficiency, which diminishes the activity of lipoprotein lipase, the enzyme responsible for the catabolism of triglyceride-rich lipoproteins. This dysfunction results in the accumulation of lipids within the circulatory system (Durocher et al., 2008). </w:t>
      </w:r>
      <w:r w:rsidRPr="000A6C74">
        <w:rPr>
          <w:rFonts w:ascii="Arial" w:eastAsia="Times New Roman" w:hAnsi="Arial" w:cs="Arial"/>
          <w:color w:val="000000" w:themeColor="text1"/>
          <w:sz w:val="20"/>
          <w:szCs w:val="20"/>
          <w:lang w:val="en-IN" w:eastAsia="en-IN"/>
        </w:rPr>
        <w:t>These results align with the conclusions presented by Jena et al. (2019).</w:t>
      </w:r>
    </w:p>
    <w:p w14:paraId="6FF9B26A" w14:textId="77777777" w:rsidR="009B3E93" w:rsidRPr="000A6C74" w:rsidRDefault="00BB0AC9" w:rsidP="00BB0AC9">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Additionally, renal dysfunction in diabetic canines, commonly manifested as </w:t>
      </w:r>
      <w:proofErr w:type="spellStart"/>
      <w:r w:rsidRPr="000A6C74">
        <w:rPr>
          <w:rFonts w:ascii="Arial" w:eastAsia="Times New Roman" w:hAnsi="Arial" w:cs="Arial"/>
          <w:color w:val="000000" w:themeColor="text1"/>
          <w:sz w:val="20"/>
          <w:szCs w:val="20"/>
          <w:lang w:val="en-IN" w:eastAsia="en-IN"/>
        </w:rPr>
        <w:t>azotemia</w:t>
      </w:r>
      <w:proofErr w:type="spellEnd"/>
      <w:r w:rsidRPr="000A6C74">
        <w:rPr>
          <w:rFonts w:ascii="Arial" w:eastAsia="Times New Roman" w:hAnsi="Arial" w:cs="Arial"/>
          <w:color w:val="000000" w:themeColor="text1"/>
          <w:sz w:val="20"/>
          <w:szCs w:val="20"/>
          <w:lang w:val="en-IN" w:eastAsia="en-IN"/>
        </w:rPr>
        <w:t xml:space="preserve"> (Huang, 2012), was evident in this investigation, as evidenced by significantly elevated serum creatinine and BUN levels in the diabetic subjects. These findings align with those documented by Kapoor (2019) and Patel et al. (2019), further substantiating renal impairment in these animals.</w:t>
      </w:r>
    </w:p>
    <w:p w14:paraId="593E7854" w14:textId="77777777" w:rsidR="00BB0AC9" w:rsidRPr="000A6C74" w:rsidRDefault="00BB0AC9" w:rsidP="00BB0AC9">
      <w:pPr>
        <w:spacing w:after="0" w:line="360" w:lineRule="auto"/>
        <w:jc w:val="both"/>
        <w:rPr>
          <w:rFonts w:ascii="Arial" w:hAnsi="Arial" w:cs="Arial"/>
          <w:b/>
          <w:color w:val="000000" w:themeColor="text1"/>
          <w:sz w:val="20"/>
          <w:szCs w:val="20"/>
        </w:rPr>
      </w:pPr>
    </w:p>
    <w:p w14:paraId="4C9B170A" w14:textId="77777777" w:rsidR="009B3E93" w:rsidRPr="000A6C74" w:rsidRDefault="009B3E93" w:rsidP="000A6C74">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Table 2: Mean ± SE of Biochemical Parameters in Healthy and Diabetic Groups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034"/>
        <w:gridCol w:w="3804"/>
        <w:gridCol w:w="2875"/>
      </w:tblGrid>
      <w:tr w:rsidR="008A4722" w:rsidRPr="000A6C74" w14:paraId="487128CE" w14:textId="77777777" w:rsidTr="008A4722">
        <w:tc>
          <w:tcPr>
            <w:tcW w:w="451" w:type="pct"/>
            <w:tcBorders>
              <w:top w:val="single" w:sz="4" w:space="0" w:color="auto"/>
              <w:bottom w:val="single" w:sz="4" w:space="0" w:color="auto"/>
            </w:tcBorders>
            <w:vAlign w:val="center"/>
            <w:hideMark/>
          </w:tcPr>
          <w:p w14:paraId="74CFC361"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proofErr w:type="spellStart"/>
            <w:r w:rsidRPr="000A6C74">
              <w:rPr>
                <w:rFonts w:ascii="Arial" w:eastAsia="Times New Roman" w:hAnsi="Arial" w:cs="Arial"/>
                <w:b/>
                <w:bCs/>
                <w:color w:val="000000" w:themeColor="text1"/>
                <w:sz w:val="20"/>
                <w:szCs w:val="20"/>
                <w:lang w:val="en-IN" w:eastAsia="en-IN"/>
              </w:rPr>
              <w:t>S.No</w:t>
            </w:r>
            <w:proofErr w:type="spellEnd"/>
            <w:r w:rsidRPr="000A6C74">
              <w:rPr>
                <w:rFonts w:ascii="Arial" w:eastAsia="Times New Roman" w:hAnsi="Arial" w:cs="Arial"/>
                <w:b/>
                <w:bCs/>
                <w:color w:val="000000" w:themeColor="text1"/>
                <w:sz w:val="20"/>
                <w:szCs w:val="20"/>
                <w:lang w:val="en-IN" w:eastAsia="en-IN"/>
              </w:rPr>
              <w:t>.</w:t>
            </w:r>
          </w:p>
        </w:tc>
        <w:tc>
          <w:tcPr>
            <w:tcW w:w="1062" w:type="pct"/>
            <w:tcBorders>
              <w:top w:val="single" w:sz="4" w:space="0" w:color="auto"/>
              <w:bottom w:val="single" w:sz="4" w:space="0" w:color="auto"/>
            </w:tcBorders>
            <w:vAlign w:val="center"/>
            <w:hideMark/>
          </w:tcPr>
          <w:p w14:paraId="61875DE4"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Parameter</w:t>
            </w:r>
          </w:p>
        </w:tc>
        <w:tc>
          <w:tcPr>
            <w:tcW w:w="1986" w:type="pct"/>
            <w:tcBorders>
              <w:top w:val="single" w:sz="4" w:space="0" w:color="auto"/>
              <w:bottom w:val="single" w:sz="4" w:space="0" w:color="auto"/>
            </w:tcBorders>
            <w:vAlign w:val="center"/>
            <w:hideMark/>
          </w:tcPr>
          <w:p w14:paraId="2129E532"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Healthy Control Group (n=10)</w:t>
            </w:r>
          </w:p>
        </w:tc>
        <w:tc>
          <w:tcPr>
            <w:tcW w:w="1501" w:type="pct"/>
            <w:tcBorders>
              <w:top w:val="single" w:sz="4" w:space="0" w:color="auto"/>
              <w:bottom w:val="single" w:sz="4" w:space="0" w:color="auto"/>
            </w:tcBorders>
            <w:vAlign w:val="center"/>
            <w:hideMark/>
          </w:tcPr>
          <w:p w14:paraId="5F4A822F"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Diabetic Group (n=13)</w:t>
            </w:r>
          </w:p>
        </w:tc>
      </w:tr>
      <w:tr w:rsidR="008A4722" w:rsidRPr="000A6C74" w14:paraId="428FEB4A" w14:textId="77777777" w:rsidTr="008A4722">
        <w:tc>
          <w:tcPr>
            <w:tcW w:w="451" w:type="pct"/>
            <w:tcBorders>
              <w:top w:val="single" w:sz="4" w:space="0" w:color="auto"/>
            </w:tcBorders>
            <w:vAlign w:val="center"/>
            <w:hideMark/>
          </w:tcPr>
          <w:p w14:paraId="3837379C"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w:t>
            </w:r>
          </w:p>
        </w:tc>
        <w:tc>
          <w:tcPr>
            <w:tcW w:w="1062" w:type="pct"/>
            <w:tcBorders>
              <w:top w:val="single" w:sz="4" w:space="0" w:color="auto"/>
            </w:tcBorders>
            <w:vAlign w:val="center"/>
            <w:hideMark/>
          </w:tcPr>
          <w:p w14:paraId="395D2E2B"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Glucose **</w:t>
            </w:r>
          </w:p>
        </w:tc>
        <w:tc>
          <w:tcPr>
            <w:tcW w:w="1986" w:type="pct"/>
            <w:tcBorders>
              <w:top w:val="single" w:sz="4" w:space="0" w:color="auto"/>
            </w:tcBorders>
            <w:vAlign w:val="center"/>
            <w:hideMark/>
          </w:tcPr>
          <w:p w14:paraId="46C100E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92.60 ± 2.31</w:t>
            </w:r>
          </w:p>
        </w:tc>
        <w:tc>
          <w:tcPr>
            <w:tcW w:w="1501" w:type="pct"/>
            <w:tcBorders>
              <w:top w:val="single" w:sz="4" w:space="0" w:color="auto"/>
            </w:tcBorders>
            <w:vAlign w:val="center"/>
            <w:hideMark/>
          </w:tcPr>
          <w:p w14:paraId="754DBE71"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315.84 ± 30.14</w:t>
            </w:r>
          </w:p>
        </w:tc>
      </w:tr>
      <w:tr w:rsidR="008A4722" w:rsidRPr="000A6C74" w14:paraId="580CAA5C" w14:textId="77777777" w:rsidTr="008A4722">
        <w:tc>
          <w:tcPr>
            <w:tcW w:w="451" w:type="pct"/>
            <w:vAlign w:val="center"/>
            <w:hideMark/>
          </w:tcPr>
          <w:p w14:paraId="264241A3"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w:t>
            </w:r>
          </w:p>
        </w:tc>
        <w:tc>
          <w:tcPr>
            <w:tcW w:w="1062" w:type="pct"/>
            <w:vAlign w:val="center"/>
            <w:hideMark/>
          </w:tcPr>
          <w:p w14:paraId="56DCD631"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ALT **</w:t>
            </w:r>
          </w:p>
        </w:tc>
        <w:tc>
          <w:tcPr>
            <w:tcW w:w="1986" w:type="pct"/>
            <w:vAlign w:val="center"/>
            <w:hideMark/>
          </w:tcPr>
          <w:p w14:paraId="7111F6A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42.40 ± 1.79</w:t>
            </w:r>
          </w:p>
        </w:tc>
        <w:tc>
          <w:tcPr>
            <w:tcW w:w="1501" w:type="pct"/>
            <w:vAlign w:val="center"/>
            <w:hideMark/>
          </w:tcPr>
          <w:p w14:paraId="59316C18"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107.23 ± 4.01</w:t>
            </w:r>
          </w:p>
        </w:tc>
      </w:tr>
      <w:tr w:rsidR="008A4722" w:rsidRPr="000A6C74" w14:paraId="3D645A86" w14:textId="77777777" w:rsidTr="008A4722">
        <w:tc>
          <w:tcPr>
            <w:tcW w:w="451" w:type="pct"/>
            <w:vAlign w:val="center"/>
            <w:hideMark/>
          </w:tcPr>
          <w:p w14:paraId="78F07CDC"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w:t>
            </w:r>
          </w:p>
        </w:tc>
        <w:tc>
          <w:tcPr>
            <w:tcW w:w="1062" w:type="pct"/>
            <w:vAlign w:val="center"/>
            <w:hideMark/>
          </w:tcPr>
          <w:p w14:paraId="3CF3044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ALP **</w:t>
            </w:r>
          </w:p>
        </w:tc>
        <w:tc>
          <w:tcPr>
            <w:tcW w:w="1986" w:type="pct"/>
            <w:vAlign w:val="center"/>
            <w:hideMark/>
          </w:tcPr>
          <w:p w14:paraId="51F7D11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63.80 ± 5.46</w:t>
            </w:r>
          </w:p>
        </w:tc>
        <w:tc>
          <w:tcPr>
            <w:tcW w:w="1501" w:type="pct"/>
            <w:vAlign w:val="center"/>
            <w:hideMark/>
          </w:tcPr>
          <w:p w14:paraId="2B1E1DA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177.92 ± 6.06</w:t>
            </w:r>
          </w:p>
        </w:tc>
      </w:tr>
      <w:tr w:rsidR="008A4722" w:rsidRPr="000A6C74" w14:paraId="1944D525" w14:textId="77777777" w:rsidTr="008A4722">
        <w:tc>
          <w:tcPr>
            <w:tcW w:w="451" w:type="pct"/>
            <w:vAlign w:val="center"/>
            <w:hideMark/>
          </w:tcPr>
          <w:p w14:paraId="4DF18BC3"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w:t>
            </w:r>
          </w:p>
        </w:tc>
        <w:tc>
          <w:tcPr>
            <w:tcW w:w="1062" w:type="pct"/>
            <w:vAlign w:val="center"/>
            <w:hideMark/>
          </w:tcPr>
          <w:p w14:paraId="468BA3D0"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Triglycerides **</w:t>
            </w:r>
          </w:p>
        </w:tc>
        <w:tc>
          <w:tcPr>
            <w:tcW w:w="1986" w:type="pct"/>
            <w:vAlign w:val="center"/>
            <w:hideMark/>
          </w:tcPr>
          <w:p w14:paraId="76183295"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47.60 ± 3.09</w:t>
            </w:r>
          </w:p>
        </w:tc>
        <w:tc>
          <w:tcPr>
            <w:tcW w:w="1501" w:type="pct"/>
            <w:vAlign w:val="center"/>
            <w:hideMark/>
          </w:tcPr>
          <w:p w14:paraId="19597E09"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188.61 ± 6.38</w:t>
            </w:r>
          </w:p>
        </w:tc>
      </w:tr>
      <w:tr w:rsidR="008A4722" w:rsidRPr="000A6C74" w14:paraId="18297D0D" w14:textId="77777777" w:rsidTr="008A4722">
        <w:tc>
          <w:tcPr>
            <w:tcW w:w="451" w:type="pct"/>
            <w:vAlign w:val="center"/>
            <w:hideMark/>
          </w:tcPr>
          <w:p w14:paraId="00B1B6E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w:t>
            </w:r>
          </w:p>
        </w:tc>
        <w:tc>
          <w:tcPr>
            <w:tcW w:w="1062" w:type="pct"/>
            <w:vAlign w:val="center"/>
            <w:hideMark/>
          </w:tcPr>
          <w:p w14:paraId="3CC3445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Cholesterol **</w:t>
            </w:r>
          </w:p>
        </w:tc>
        <w:tc>
          <w:tcPr>
            <w:tcW w:w="1986" w:type="pct"/>
            <w:vAlign w:val="center"/>
            <w:hideMark/>
          </w:tcPr>
          <w:p w14:paraId="2A2197D2"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139.90 ± 4.58</w:t>
            </w:r>
          </w:p>
        </w:tc>
        <w:tc>
          <w:tcPr>
            <w:tcW w:w="1501" w:type="pct"/>
            <w:vAlign w:val="center"/>
            <w:hideMark/>
          </w:tcPr>
          <w:p w14:paraId="65CA2CE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249.92 ± 7.71</w:t>
            </w:r>
          </w:p>
        </w:tc>
      </w:tr>
      <w:tr w:rsidR="008A4722" w:rsidRPr="000A6C74" w14:paraId="2E230002" w14:textId="77777777" w:rsidTr="008A4722">
        <w:tc>
          <w:tcPr>
            <w:tcW w:w="451" w:type="pct"/>
            <w:vAlign w:val="center"/>
            <w:hideMark/>
          </w:tcPr>
          <w:p w14:paraId="0AAF1B1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w:t>
            </w:r>
          </w:p>
        </w:tc>
        <w:tc>
          <w:tcPr>
            <w:tcW w:w="1062" w:type="pct"/>
            <w:vAlign w:val="center"/>
            <w:hideMark/>
          </w:tcPr>
          <w:p w14:paraId="7AAFF4A2"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BUN **</w:t>
            </w:r>
          </w:p>
        </w:tc>
        <w:tc>
          <w:tcPr>
            <w:tcW w:w="1986" w:type="pct"/>
            <w:vAlign w:val="center"/>
            <w:hideMark/>
          </w:tcPr>
          <w:p w14:paraId="4B48E788"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21.90 ± 1.55</w:t>
            </w:r>
          </w:p>
        </w:tc>
        <w:tc>
          <w:tcPr>
            <w:tcW w:w="1501" w:type="pct"/>
            <w:vAlign w:val="center"/>
            <w:hideMark/>
          </w:tcPr>
          <w:p w14:paraId="46E72FD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30.55 ± 0.53</w:t>
            </w:r>
          </w:p>
        </w:tc>
      </w:tr>
      <w:tr w:rsidR="008A4722" w:rsidRPr="000A6C74" w14:paraId="0496E80B" w14:textId="77777777" w:rsidTr="008A4722">
        <w:tc>
          <w:tcPr>
            <w:tcW w:w="451" w:type="pct"/>
            <w:vAlign w:val="center"/>
            <w:hideMark/>
          </w:tcPr>
          <w:p w14:paraId="0FC40959"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lastRenderedPageBreak/>
              <w:t>7.</w:t>
            </w:r>
          </w:p>
        </w:tc>
        <w:tc>
          <w:tcPr>
            <w:tcW w:w="1062" w:type="pct"/>
            <w:vAlign w:val="center"/>
            <w:hideMark/>
          </w:tcPr>
          <w:p w14:paraId="6EA74CC8"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Creatinine **</w:t>
            </w:r>
          </w:p>
        </w:tc>
        <w:tc>
          <w:tcPr>
            <w:tcW w:w="1986" w:type="pct"/>
            <w:vAlign w:val="center"/>
            <w:hideMark/>
          </w:tcPr>
          <w:p w14:paraId="2339905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1.14 ± 0.09</w:t>
            </w:r>
          </w:p>
        </w:tc>
        <w:tc>
          <w:tcPr>
            <w:tcW w:w="1501" w:type="pct"/>
            <w:vAlign w:val="center"/>
            <w:hideMark/>
          </w:tcPr>
          <w:p w14:paraId="7264156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1.69 ± 0.03</w:t>
            </w:r>
          </w:p>
        </w:tc>
      </w:tr>
      <w:tr w:rsidR="008A4722" w:rsidRPr="000A6C74" w14:paraId="1D432EF6" w14:textId="77777777" w:rsidTr="008A4722">
        <w:trPr>
          <w:trHeight w:val="345"/>
        </w:trPr>
        <w:tc>
          <w:tcPr>
            <w:tcW w:w="451" w:type="pct"/>
            <w:vAlign w:val="center"/>
            <w:hideMark/>
          </w:tcPr>
          <w:p w14:paraId="2C50A1C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w:t>
            </w:r>
          </w:p>
        </w:tc>
        <w:tc>
          <w:tcPr>
            <w:tcW w:w="1062" w:type="pct"/>
            <w:vAlign w:val="center"/>
            <w:hideMark/>
          </w:tcPr>
          <w:p w14:paraId="2C5AF01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Calcium **</w:t>
            </w:r>
          </w:p>
        </w:tc>
        <w:tc>
          <w:tcPr>
            <w:tcW w:w="1986" w:type="pct"/>
            <w:vAlign w:val="center"/>
            <w:hideMark/>
          </w:tcPr>
          <w:p w14:paraId="37BA5171"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9.27 ± 0.11</w:t>
            </w:r>
          </w:p>
        </w:tc>
        <w:tc>
          <w:tcPr>
            <w:tcW w:w="1501" w:type="pct"/>
            <w:vAlign w:val="center"/>
            <w:hideMark/>
          </w:tcPr>
          <w:p w14:paraId="01D32BC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12.03 ± 0.11</w:t>
            </w:r>
          </w:p>
        </w:tc>
      </w:tr>
      <w:tr w:rsidR="008A4722" w:rsidRPr="000A6C74" w14:paraId="314364E9" w14:textId="77777777" w:rsidTr="008A4722">
        <w:tc>
          <w:tcPr>
            <w:tcW w:w="451" w:type="pct"/>
            <w:tcBorders>
              <w:bottom w:val="single" w:sz="4" w:space="0" w:color="auto"/>
            </w:tcBorders>
            <w:vAlign w:val="center"/>
            <w:hideMark/>
          </w:tcPr>
          <w:p w14:paraId="356D59A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9.</w:t>
            </w:r>
          </w:p>
        </w:tc>
        <w:tc>
          <w:tcPr>
            <w:tcW w:w="1062" w:type="pct"/>
            <w:tcBorders>
              <w:bottom w:val="single" w:sz="4" w:space="0" w:color="auto"/>
            </w:tcBorders>
            <w:vAlign w:val="center"/>
            <w:hideMark/>
          </w:tcPr>
          <w:p w14:paraId="3F1534A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Phosphorus</w:t>
            </w:r>
          </w:p>
        </w:tc>
        <w:tc>
          <w:tcPr>
            <w:tcW w:w="1986" w:type="pct"/>
            <w:tcBorders>
              <w:bottom w:val="single" w:sz="4" w:space="0" w:color="auto"/>
            </w:tcBorders>
            <w:vAlign w:val="center"/>
            <w:hideMark/>
          </w:tcPr>
          <w:p w14:paraId="2B92EF53"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5.46 ± 0.30</w:t>
            </w:r>
          </w:p>
        </w:tc>
        <w:tc>
          <w:tcPr>
            <w:tcW w:w="1501" w:type="pct"/>
            <w:tcBorders>
              <w:bottom w:val="single" w:sz="4" w:space="0" w:color="auto"/>
            </w:tcBorders>
            <w:vAlign w:val="center"/>
            <w:hideMark/>
          </w:tcPr>
          <w:p w14:paraId="3EF3FD2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5.96 ± 0.25</w:t>
            </w:r>
          </w:p>
        </w:tc>
      </w:tr>
    </w:tbl>
    <w:p w14:paraId="01830AC7" w14:textId="77777777" w:rsidR="009B3E93" w:rsidRPr="00142644" w:rsidRDefault="009B3E93" w:rsidP="000A6C74">
      <w:pPr>
        <w:spacing w:after="0" w:line="360" w:lineRule="auto"/>
        <w:jc w:val="both"/>
        <w:rPr>
          <w:rFonts w:ascii="Arial" w:eastAsia="Times New Roman" w:hAnsi="Arial" w:cs="Arial"/>
          <w:i/>
          <w:color w:val="000000" w:themeColor="text1"/>
          <w:sz w:val="18"/>
          <w:szCs w:val="20"/>
          <w:lang w:val="en-IN" w:eastAsia="en-IN"/>
        </w:rPr>
      </w:pPr>
      <w:r w:rsidRPr="00142644">
        <w:rPr>
          <w:rFonts w:ascii="Arial" w:eastAsia="Times New Roman" w:hAnsi="Arial" w:cs="Arial"/>
          <w:i/>
          <w:color w:val="000000" w:themeColor="text1"/>
          <w:sz w:val="18"/>
          <w:szCs w:val="20"/>
          <w:lang w:val="en-IN" w:eastAsia="en-IN"/>
        </w:rPr>
        <w:t>**The differences in mean values between the diabetic and healthy control groups were highly significant (p&lt;0.01).</w:t>
      </w:r>
    </w:p>
    <w:p w14:paraId="1B411663" w14:textId="77777777" w:rsidR="00F83EBF" w:rsidRPr="000A6C74" w:rsidRDefault="00F83EBF" w:rsidP="008B1783">
      <w:pPr>
        <w:spacing w:after="0" w:line="360" w:lineRule="auto"/>
        <w:jc w:val="both"/>
        <w:rPr>
          <w:rFonts w:ascii="Arial" w:hAnsi="Arial" w:cs="Arial"/>
          <w:b/>
          <w:bCs/>
          <w:color w:val="000000" w:themeColor="text1"/>
          <w:sz w:val="20"/>
          <w:szCs w:val="20"/>
        </w:rPr>
      </w:pPr>
    </w:p>
    <w:p w14:paraId="2B04A03F" w14:textId="77777777" w:rsidR="00F83EBF" w:rsidRPr="000A6C74" w:rsidRDefault="00F83EBF" w:rsidP="008B1783">
      <w:pPr>
        <w:spacing w:after="0" w:line="360" w:lineRule="auto"/>
        <w:jc w:val="both"/>
        <w:rPr>
          <w:rFonts w:ascii="Arial" w:hAnsi="Arial" w:cs="Arial"/>
          <w:b/>
          <w:bCs/>
          <w:color w:val="000000" w:themeColor="text1"/>
          <w:sz w:val="20"/>
          <w:szCs w:val="20"/>
        </w:rPr>
      </w:pPr>
      <w:r w:rsidRPr="000A6C74">
        <w:rPr>
          <w:rFonts w:ascii="Arial" w:hAnsi="Arial" w:cs="Arial"/>
          <w:b/>
          <w:bCs/>
          <w:noProof/>
          <w:color w:val="000000" w:themeColor="text1"/>
          <w:sz w:val="20"/>
          <w:szCs w:val="20"/>
          <w:lang w:val="en-IN" w:eastAsia="en-IN" w:bidi="hi-IN"/>
        </w:rPr>
        <w:drawing>
          <wp:inline distT="0" distB="0" distL="0" distR="0" wp14:anchorId="5CBED113" wp14:editId="1F67A237">
            <wp:extent cx="5852160" cy="2689411"/>
            <wp:effectExtent l="0" t="0" r="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844C6A" w14:textId="77777777" w:rsidR="00F83EBF" w:rsidRPr="000A6C74" w:rsidRDefault="000A0705" w:rsidP="000A6C74">
      <w:pPr>
        <w:spacing w:after="0" w:line="360" w:lineRule="auto"/>
        <w:jc w:val="both"/>
        <w:rPr>
          <w:rFonts w:ascii="Arial" w:hAnsi="Arial" w:cs="Arial"/>
          <w:b/>
          <w:bCs/>
          <w:color w:val="000000" w:themeColor="text1"/>
          <w:sz w:val="20"/>
          <w:szCs w:val="20"/>
        </w:rPr>
      </w:pPr>
      <w:r w:rsidRPr="000A6C74">
        <w:rPr>
          <w:rFonts w:ascii="Arial" w:hAnsi="Arial" w:cs="Arial"/>
          <w:b/>
          <w:bCs/>
          <w:color w:val="000000" w:themeColor="text1"/>
          <w:sz w:val="20"/>
          <w:szCs w:val="20"/>
        </w:rPr>
        <w:t>Figure 3: Mean values of Glucose, ALT, ALP, Triglycerides and Cholesterol in healthy control group and diabetic canines (pre-treatment)</w:t>
      </w:r>
    </w:p>
    <w:p w14:paraId="4D74778E" w14:textId="77777777" w:rsidR="008B1783" w:rsidRPr="000A6C74" w:rsidRDefault="008B1783" w:rsidP="008B1783">
      <w:pPr>
        <w:spacing w:after="0" w:line="360" w:lineRule="auto"/>
        <w:jc w:val="both"/>
        <w:rPr>
          <w:rFonts w:ascii="Arial" w:hAnsi="Arial" w:cs="Arial"/>
          <w:b/>
          <w:bCs/>
          <w:color w:val="000000" w:themeColor="text1"/>
          <w:sz w:val="20"/>
          <w:szCs w:val="20"/>
        </w:rPr>
      </w:pPr>
    </w:p>
    <w:p w14:paraId="081B5A2E" w14:textId="77777777" w:rsidR="00F83EBF" w:rsidRPr="000A6C74" w:rsidRDefault="00F83EBF" w:rsidP="008B1783">
      <w:pPr>
        <w:spacing w:after="0" w:line="360" w:lineRule="auto"/>
        <w:jc w:val="both"/>
        <w:rPr>
          <w:rFonts w:ascii="Arial" w:hAnsi="Arial" w:cs="Arial"/>
          <w:b/>
          <w:bCs/>
          <w:color w:val="000000" w:themeColor="text1"/>
          <w:sz w:val="20"/>
          <w:szCs w:val="20"/>
        </w:rPr>
      </w:pPr>
      <w:r w:rsidRPr="000A6C74">
        <w:rPr>
          <w:rFonts w:ascii="Arial" w:hAnsi="Arial" w:cs="Arial"/>
          <w:b/>
          <w:bCs/>
          <w:noProof/>
          <w:color w:val="000000" w:themeColor="text1"/>
          <w:sz w:val="20"/>
          <w:szCs w:val="20"/>
          <w:lang w:val="en-IN" w:eastAsia="en-IN" w:bidi="hi-IN"/>
        </w:rPr>
        <w:drawing>
          <wp:inline distT="0" distB="0" distL="0" distR="0" wp14:anchorId="65C6E96D" wp14:editId="1AF5E573">
            <wp:extent cx="5830645" cy="2646381"/>
            <wp:effectExtent l="0" t="0" r="0" b="190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5F5727" w14:textId="77777777" w:rsidR="000A0705" w:rsidRPr="000A6C74" w:rsidRDefault="000A0705" w:rsidP="000A6C74">
      <w:pPr>
        <w:spacing w:after="0" w:line="360" w:lineRule="auto"/>
        <w:jc w:val="both"/>
        <w:rPr>
          <w:rFonts w:ascii="Arial" w:hAnsi="Arial" w:cs="Arial"/>
          <w:b/>
          <w:bCs/>
          <w:color w:val="000000" w:themeColor="text1"/>
          <w:sz w:val="20"/>
          <w:szCs w:val="20"/>
        </w:rPr>
      </w:pPr>
      <w:r w:rsidRPr="000A6C74">
        <w:rPr>
          <w:rFonts w:ascii="Arial" w:hAnsi="Arial" w:cs="Arial"/>
          <w:b/>
          <w:bCs/>
          <w:color w:val="000000" w:themeColor="text1"/>
          <w:sz w:val="20"/>
          <w:szCs w:val="20"/>
        </w:rPr>
        <w:t xml:space="preserve">Figure 4: Mean values of BUN, Creatinine, Calcium and Phosphorus in </w:t>
      </w:r>
      <w:proofErr w:type="gramStart"/>
      <w:r w:rsidRPr="000A6C74">
        <w:rPr>
          <w:rFonts w:ascii="Arial" w:hAnsi="Arial" w:cs="Arial"/>
          <w:b/>
          <w:bCs/>
          <w:color w:val="000000" w:themeColor="text1"/>
          <w:sz w:val="20"/>
          <w:szCs w:val="20"/>
        </w:rPr>
        <w:t>healthy  control</w:t>
      </w:r>
      <w:proofErr w:type="gramEnd"/>
      <w:r w:rsidRPr="000A6C74">
        <w:rPr>
          <w:rFonts w:ascii="Arial" w:hAnsi="Arial" w:cs="Arial"/>
          <w:b/>
          <w:bCs/>
          <w:color w:val="000000" w:themeColor="text1"/>
          <w:sz w:val="20"/>
          <w:szCs w:val="20"/>
        </w:rPr>
        <w:t xml:space="preserve"> group and diabetic canines (pre-treatment)</w:t>
      </w:r>
    </w:p>
    <w:p w14:paraId="109F2EBD" w14:textId="77777777" w:rsidR="00142644" w:rsidRDefault="00142644" w:rsidP="000A6C74">
      <w:pPr>
        <w:jc w:val="both"/>
        <w:rPr>
          <w:rFonts w:ascii="Arial" w:eastAsia="Times New Roman" w:hAnsi="Arial" w:cs="Arial"/>
          <w:b/>
          <w:bCs/>
          <w:color w:val="000000" w:themeColor="text1"/>
          <w:sz w:val="20"/>
          <w:szCs w:val="20"/>
          <w:lang w:val="en-IN" w:eastAsia="en-IN"/>
        </w:rPr>
      </w:pPr>
    </w:p>
    <w:p w14:paraId="45D0CBA5" w14:textId="77777777" w:rsidR="009B3E93" w:rsidRPr="000A6C74" w:rsidRDefault="009B3E93" w:rsidP="000A6C74">
      <w:pPr>
        <w:jc w:val="both"/>
        <w:rPr>
          <w:rFonts w:ascii="Arial" w:eastAsia="Times New Roman" w:hAnsi="Arial" w:cs="Arial"/>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Table 3: Mean ± SE of Biochemical Parameters in Healthy and Diabetic Canines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3053"/>
        <w:gridCol w:w="2810"/>
        <w:gridCol w:w="2856"/>
      </w:tblGrid>
      <w:tr w:rsidR="008A4722" w:rsidRPr="000A6C74" w14:paraId="1740CEEA" w14:textId="77777777" w:rsidTr="008A4722">
        <w:tc>
          <w:tcPr>
            <w:tcW w:w="448" w:type="pct"/>
            <w:tcBorders>
              <w:top w:val="single" w:sz="4" w:space="0" w:color="auto"/>
              <w:bottom w:val="single" w:sz="4" w:space="0" w:color="auto"/>
            </w:tcBorders>
            <w:vAlign w:val="center"/>
            <w:hideMark/>
          </w:tcPr>
          <w:p w14:paraId="7621619D"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proofErr w:type="spellStart"/>
            <w:r w:rsidRPr="000A6C74">
              <w:rPr>
                <w:rFonts w:ascii="Arial" w:eastAsia="Times New Roman" w:hAnsi="Arial" w:cs="Arial"/>
                <w:b/>
                <w:bCs/>
                <w:color w:val="000000" w:themeColor="text1"/>
                <w:sz w:val="20"/>
                <w:szCs w:val="20"/>
                <w:lang w:val="en-IN" w:eastAsia="en-IN"/>
              </w:rPr>
              <w:lastRenderedPageBreak/>
              <w:t>S.No</w:t>
            </w:r>
            <w:proofErr w:type="spellEnd"/>
            <w:r w:rsidRPr="000A6C74">
              <w:rPr>
                <w:rFonts w:ascii="Arial" w:eastAsia="Times New Roman" w:hAnsi="Arial" w:cs="Arial"/>
                <w:b/>
                <w:bCs/>
                <w:color w:val="000000" w:themeColor="text1"/>
                <w:sz w:val="20"/>
                <w:szCs w:val="20"/>
                <w:lang w:val="en-IN" w:eastAsia="en-IN"/>
              </w:rPr>
              <w:t>.</w:t>
            </w:r>
          </w:p>
        </w:tc>
        <w:tc>
          <w:tcPr>
            <w:tcW w:w="1594" w:type="pct"/>
            <w:tcBorders>
              <w:top w:val="single" w:sz="4" w:space="0" w:color="auto"/>
              <w:bottom w:val="single" w:sz="4" w:space="0" w:color="auto"/>
            </w:tcBorders>
            <w:vAlign w:val="center"/>
            <w:hideMark/>
          </w:tcPr>
          <w:p w14:paraId="79AABAB8"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Parameter</w:t>
            </w:r>
          </w:p>
        </w:tc>
        <w:tc>
          <w:tcPr>
            <w:tcW w:w="1467" w:type="pct"/>
            <w:tcBorders>
              <w:top w:val="single" w:sz="4" w:space="0" w:color="auto"/>
              <w:bottom w:val="single" w:sz="4" w:space="0" w:color="auto"/>
            </w:tcBorders>
            <w:vAlign w:val="center"/>
            <w:hideMark/>
          </w:tcPr>
          <w:p w14:paraId="25CA1A42"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Healthy Group (n=10)</w:t>
            </w:r>
          </w:p>
        </w:tc>
        <w:tc>
          <w:tcPr>
            <w:tcW w:w="1491" w:type="pct"/>
            <w:tcBorders>
              <w:top w:val="single" w:sz="4" w:space="0" w:color="auto"/>
              <w:bottom w:val="single" w:sz="4" w:space="0" w:color="auto"/>
            </w:tcBorders>
            <w:vAlign w:val="center"/>
            <w:hideMark/>
          </w:tcPr>
          <w:p w14:paraId="555E21BA" w14:textId="77777777" w:rsidR="009B3E93" w:rsidRPr="000A6C74" w:rsidRDefault="009B3E93" w:rsidP="008B1783">
            <w:pPr>
              <w:spacing w:line="360" w:lineRule="auto"/>
              <w:jc w:val="center"/>
              <w:rPr>
                <w:rFonts w:ascii="Arial" w:eastAsia="Times New Roman" w:hAnsi="Arial" w:cs="Arial"/>
                <w:b/>
                <w:bCs/>
                <w:color w:val="000000" w:themeColor="text1"/>
                <w:sz w:val="20"/>
                <w:szCs w:val="20"/>
                <w:lang w:val="en-IN" w:eastAsia="en-IN"/>
              </w:rPr>
            </w:pPr>
            <w:r w:rsidRPr="000A6C74">
              <w:rPr>
                <w:rFonts w:ascii="Arial" w:eastAsia="Times New Roman" w:hAnsi="Arial" w:cs="Arial"/>
                <w:b/>
                <w:bCs/>
                <w:color w:val="000000" w:themeColor="text1"/>
                <w:sz w:val="20"/>
                <w:szCs w:val="20"/>
                <w:lang w:val="en-IN" w:eastAsia="en-IN"/>
              </w:rPr>
              <w:t>Diabetic Group (n=13)</w:t>
            </w:r>
          </w:p>
        </w:tc>
      </w:tr>
      <w:tr w:rsidR="008A4722" w:rsidRPr="000A6C74" w14:paraId="0937669F" w14:textId="77777777" w:rsidTr="008A4722">
        <w:tc>
          <w:tcPr>
            <w:tcW w:w="448" w:type="pct"/>
            <w:tcBorders>
              <w:top w:val="single" w:sz="4" w:space="0" w:color="auto"/>
            </w:tcBorders>
            <w:vAlign w:val="center"/>
            <w:hideMark/>
          </w:tcPr>
          <w:p w14:paraId="2C4EA18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w:t>
            </w:r>
          </w:p>
        </w:tc>
        <w:tc>
          <w:tcPr>
            <w:tcW w:w="1594" w:type="pct"/>
            <w:tcBorders>
              <w:top w:val="single" w:sz="4" w:space="0" w:color="auto"/>
            </w:tcBorders>
            <w:vAlign w:val="center"/>
            <w:hideMark/>
          </w:tcPr>
          <w:p w14:paraId="5F978C8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Glucose (mg/dl) **</w:t>
            </w:r>
          </w:p>
        </w:tc>
        <w:tc>
          <w:tcPr>
            <w:tcW w:w="1467" w:type="pct"/>
            <w:tcBorders>
              <w:top w:val="single" w:sz="4" w:space="0" w:color="auto"/>
            </w:tcBorders>
            <w:vAlign w:val="center"/>
            <w:hideMark/>
          </w:tcPr>
          <w:p w14:paraId="53F845F4"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 ± 0</w:t>
            </w:r>
          </w:p>
        </w:tc>
        <w:tc>
          <w:tcPr>
            <w:tcW w:w="1491" w:type="pct"/>
            <w:tcBorders>
              <w:top w:val="single" w:sz="4" w:space="0" w:color="auto"/>
            </w:tcBorders>
            <w:vAlign w:val="center"/>
            <w:hideMark/>
          </w:tcPr>
          <w:p w14:paraId="76A09314"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834.61 ± 198.42</w:t>
            </w:r>
          </w:p>
        </w:tc>
      </w:tr>
      <w:tr w:rsidR="008A4722" w:rsidRPr="000A6C74" w14:paraId="49E34F48" w14:textId="77777777" w:rsidTr="008A4722">
        <w:tc>
          <w:tcPr>
            <w:tcW w:w="448" w:type="pct"/>
            <w:vAlign w:val="center"/>
            <w:hideMark/>
          </w:tcPr>
          <w:p w14:paraId="2D689B15"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2.</w:t>
            </w:r>
          </w:p>
        </w:tc>
        <w:tc>
          <w:tcPr>
            <w:tcW w:w="1594" w:type="pct"/>
            <w:vAlign w:val="center"/>
            <w:hideMark/>
          </w:tcPr>
          <w:p w14:paraId="21124CBF"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Ketone Bodies (mg/dl) **</w:t>
            </w:r>
          </w:p>
        </w:tc>
        <w:tc>
          <w:tcPr>
            <w:tcW w:w="1467" w:type="pct"/>
            <w:vAlign w:val="center"/>
            <w:hideMark/>
          </w:tcPr>
          <w:p w14:paraId="5617063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 ± 0</w:t>
            </w:r>
          </w:p>
        </w:tc>
        <w:tc>
          <w:tcPr>
            <w:tcW w:w="1491" w:type="pct"/>
            <w:vAlign w:val="center"/>
            <w:hideMark/>
          </w:tcPr>
          <w:p w14:paraId="4C573D9B"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31.15 ± 8.38</w:t>
            </w:r>
          </w:p>
        </w:tc>
      </w:tr>
      <w:tr w:rsidR="008A4722" w:rsidRPr="000A6C74" w14:paraId="4C22B88B" w14:textId="77777777" w:rsidTr="008A4722">
        <w:tc>
          <w:tcPr>
            <w:tcW w:w="448" w:type="pct"/>
            <w:vAlign w:val="center"/>
            <w:hideMark/>
          </w:tcPr>
          <w:p w14:paraId="30654D2E"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w:t>
            </w:r>
          </w:p>
        </w:tc>
        <w:tc>
          <w:tcPr>
            <w:tcW w:w="1594" w:type="pct"/>
            <w:vAlign w:val="center"/>
            <w:hideMark/>
          </w:tcPr>
          <w:p w14:paraId="394EB740"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Specific Gravity **</w:t>
            </w:r>
          </w:p>
        </w:tc>
        <w:tc>
          <w:tcPr>
            <w:tcW w:w="1467" w:type="pct"/>
            <w:vAlign w:val="center"/>
            <w:hideMark/>
          </w:tcPr>
          <w:p w14:paraId="1BD8EE6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1.0085 ± 0.00</w:t>
            </w:r>
          </w:p>
        </w:tc>
        <w:tc>
          <w:tcPr>
            <w:tcW w:w="1491" w:type="pct"/>
            <w:vAlign w:val="center"/>
            <w:hideMark/>
          </w:tcPr>
          <w:p w14:paraId="6C3F1C04"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1.025 ± 0.00</w:t>
            </w:r>
          </w:p>
        </w:tc>
      </w:tr>
      <w:tr w:rsidR="008A4722" w:rsidRPr="000A6C74" w14:paraId="418968B1" w14:textId="77777777" w:rsidTr="008A4722">
        <w:tc>
          <w:tcPr>
            <w:tcW w:w="448" w:type="pct"/>
            <w:vAlign w:val="center"/>
            <w:hideMark/>
          </w:tcPr>
          <w:p w14:paraId="6B0E8655"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4.</w:t>
            </w:r>
          </w:p>
        </w:tc>
        <w:tc>
          <w:tcPr>
            <w:tcW w:w="1594" w:type="pct"/>
            <w:vAlign w:val="center"/>
            <w:hideMark/>
          </w:tcPr>
          <w:p w14:paraId="274462EA"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pH **</w:t>
            </w:r>
          </w:p>
        </w:tc>
        <w:tc>
          <w:tcPr>
            <w:tcW w:w="1467" w:type="pct"/>
            <w:vAlign w:val="center"/>
            <w:hideMark/>
          </w:tcPr>
          <w:p w14:paraId="0593848D"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6.40 ± 0.10</w:t>
            </w:r>
          </w:p>
        </w:tc>
        <w:tc>
          <w:tcPr>
            <w:tcW w:w="1491" w:type="pct"/>
            <w:vAlign w:val="center"/>
            <w:hideMark/>
          </w:tcPr>
          <w:p w14:paraId="0750CB06"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5.53 ± 0.14</w:t>
            </w:r>
          </w:p>
        </w:tc>
      </w:tr>
      <w:tr w:rsidR="008A4722" w:rsidRPr="000A6C74" w14:paraId="564A5683" w14:textId="77777777" w:rsidTr="008A4722">
        <w:tc>
          <w:tcPr>
            <w:tcW w:w="448" w:type="pct"/>
            <w:tcBorders>
              <w:bottom w:val="single" w:sz="4" w:space="0" w:color="auto"/>
            </w:tcBorders>
            <w:vAlign w:val="center"/>
            <w:hideMark/>
          </w:tcPr>
          <w:p w14:paraId="4F821B0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5.</w:t>
            </w:r>
          </w:p>
        </w:tc>
        <w:tc>
          <w:tcPr>
            <w:tcW w:w="1594" w:type="pct"/>
            <w:tcBorders>
              <w:bottom w:val="single" w:sz="4" w:space="0" w:color="auto"/>
            </w:tcBorders>
            <w:vAlign w:val="center"/>
            <w:hideMark/>
          </w:tcPr>
          <w:p w14:paraId="4D53B562"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Protein (mg/dl) **</w:t>
            </w:r>
          </w:p>
        </w:tc>
        <w:tc>
          <w:tcPr>
            <w:tcW w:w="1467" w:type="pct"/>
            <w:tcBorders>
              <w:bottom w:val="single" w:sz="4" w:space="0" w:color="auto"/>
            </w:tcBorders>
            <w:vAlign w:val="center"/>
            <w:hideMark/>
          </w:tcPr>
          <w:p w14:paraId="1F624247"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0 ± 0</w:t>
            </w:r>
          </w:p>
        </w:tc>
        <w:tc>
          <w:tcPr>
            <w:tcW w:w="1491" w:type="pct"/>
            <w:tcBorders>
              <w:bottom w:val="single" w:sz="4" w:space="0" w:color="auto"/>
            </w:tcBorders>
            <w:vAlign w:val="center"/>
            <w:hideMark/>
          </w:tcPr>
          <w:p w14:paraId="179550D2" w14:textId="77777777" w:rsidR="009B3E93" w:rsidRPr="000A6C74" w:rsidRDefault="009B3E93" w:rsidP="008B1783">
            <w:pPr>
              <w:spacing w:line="360" w:lineRule="auto"/>
              <w:jc w:val="center"/>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33.07 ± 5.78</w:t>
            </w:r>
          </w:p>
        </w:tc>
      </w:tr>
    </w:tbl>
    <w:p w14:paraId="7CE5D1B4" w14:textId="77777777" w:rsidR="009B3E93" w:rsidRPr="00142644" w:rsidRDefault="009B3E93" w:rsidP="000A6C74">
      <w:pPr>
        <w:spacing w:after="0" w:line="360" w:lineRule="auto"/>
        <w:jc w:val="both"/>
        <w:rPr>
          <w:rFonts w:ascii="Arial" w:eastAsia="Times New Roman" w:hAnsi="Arial" w:cs="Arial"/>
          <w:i/>
          <w:color w:val="000000" w:themeColor="text1"/>
          <w:sz w:val="18"/>
          <w:szCs w:val="20"/>
          <w:lang w:val="en-IN" w:eastAsia="en-IN"/>
        </w:rPr>
      </w:pPr>
      <w:r w:rsidRPr="00142644">
        <w:rPr>
          <w:rFonts w:ascii="Arial" w:eastAsia="Times New Roman" w:hAnsi="Arial" w:cs="Arial"/>
          <w:i/>
          <w:color w:val="000000" w:themeColor="text1"/>
          <w:sz w:val="18"/>
          <w:szCs w:val="20"/>
          <w:lang w:val="en-IN" w:eastAsia="en-IN"/>
        </w:rPr>
        <w:t>**The differences in mean values between the diabetic and healthy groups were highly significant (p&lt;0.01).</w:t>
      </w:r>
    </w:p>
    <w:p w14:paraId="17AAD8BC" w14:textId="77777777" w:rsidR="008C772B" w:rsidRPr="000A6C74" w:rsidRDefault="008C772B" w:rsidP="008B1783">
      <w:pPr>
        <w:spacing w:after="0" w:line="360" w:lineRule="auto"/>
        <w:jc w:val="both"/>
        <w:rPr>
          <w:rFonts w:ascii="Arial" w:hAnsi="Arial" w:cs="Arial"/>
          <w:color w:val="000000" w:themeColor="text1"/>
          <w:sz w:val="20"/>
          <w:szCs w:val="20"/>
          <w:lang w:val="en-IN"/>
        </w:rPr>
      </w:pPr>
    </w:p>
    <w:p w14:paraId="10495EF8" w14:textId="77777777" w:rsidR="00F83EBF" w:rsidRPr="000A6C74" w:rsidRDefault="00F83EBF" w:rsidP="008B1783">
      <w:pPr>
        <w:spacing w:after="0" w:line="360" w:lineRule="auto"/>
        <w:jc w:val="both"/>
        <w:rPr>
          <w:rFonts w:ascii="Arial" w:hAnsi="Arial" w:cs="Arial"/>
          <w:b/>
          <w:color w:val="000000" w:themeColor="text1"/>
          <w:sz w:val="20"/>
          <w:szCs w:val="20"/>
          <w:lang w:val="en-IN"/>
        </w:rPr>
      </w:pPr>
      <w:r w:rsidRPr="000A6C74">
        <w:rPr>
          <w:rFonts w:ascii="Arial" w:hAnsi="Arial" w:cs="Arial"/>
          <w:b/>
          <w:noProof/>
          <w:color w:val="000000" w:themeColor="text1"/>
          <w:sz w:val="20"/>
          <w:szCs w:val="20"/>
          <w:lang w:val="en-IN" w:eastAsia="en-IN" w:bidi="hi-IN"/>
        </w:rPr>
        <w:drawing>
          <wp:inline distT="0" distB="0" distL="0" distR="0" wp14:anchorId="66702100" wp14:editId="76AEEDFD">
            <wp:extent cx="5969479" cy="3278037"/>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CD0C2F" w14:textId="77777777" w:rsidR="000A0705" w:rsidRPr="000A6C74" w:rsidRDefault="000A0705" w:rsidP="000A6C74">
      <w:pPr>
        <w:spacing w:after="0" w:line="360" w:lineRule="auto"/>
        <w:jc w:val="both"/>
        <w:rPr>
          <w:rFonts w:ascii="Arial" w:hAnsi="Arial" w:cs="Arial"/>
          <w:b/>
          <w:bCs/>
          <w:color w:val="000000" w:themeColor="text1"/>
          <w:sz w:val="20"/>
          <w:szCs w:val="20"/>
        </w:rPr>
      </w:pPr>
      <w:r w:rsidRPr="000A6C74">
        <w:rPr>
          <w:rFonts w:ascii="Arial" w:hAnsi="Arial" w:cs="Arial"/>
          <w:b/>
          <w:bCs/>
          <w:color w:val="000000" w:themeColor="text1"/>
          <w:sz w:val="20"/>
          <w:szCs w:val="20"/>
        </w:rPr>
        <w:t xml:space="preserve">Figure 5: </w:t>
      </w:r>
      <w:r w:rsidRPr="000A6C74">
        <w:rPr>
          <w:rFonts w:ascii="Arial" w:hAnsi="Arial" w:cs="Arial"/>
          <w:b/>
          <w:color w:val="000000" w:themeColor="text1"/>
          <w:sz w:val="20"/>
          <w:szCs w:val="20"/>
        </w:rPr>
        <w:t xml:space="preserve">Mean value of different urine parameters in healthy control </w:t>
      </w:r>
      <w:proofErr w:type="gramStart"/>
      <w:r w:rsidRPr="000A6C74">
        <w:rPr>
          <w:rFonts w:ascii="Arial" w:hAnsi="Arial" w:cs="Arial"/>
          <w:b/>
          <w:color w:val="000000" w:themeColor="text1"/>
          <w:sz w:val="20"/>
          <w:szCs w:val="20"/>
        </w:rPr>
        <w:t>group  and</w:t>
      </w:r>
      <w:proofErr w:type="gramEnd"/>
      <w:r w:rsidRPr="000A6C74">
        <w:rPr>
          <w:rFonts w:ascii="Arial" w:hAnsi="Arial" w:cs="Arial"/>
          <w:b/>
          <w:color w:val="000000" w:themeColor="text1"/>
          <w:sz w:val="20"/>
          <w:szCs w:val="20"/>
        </w:rPr>
        <w:t xml:space="preserve"> diabetic canines </w:t>
      </w:r>
      <w:r w:rsidRPr="000A6C74">
        <w:rPr>
          <w:rFonts w:ascii="Arial" w:hAnsi="Arial" w:cs="Arial"/>
          <w:b/>
          <w:bCs/>
          <w:color w:val="000000" w:themeColor="text1"/>
          <w:sz w:val="20"/>
          <w:szCs w:val="20"/>
        </w:rPr>
        <w:t>(pre-treatment)</w:t>
      </w:r>
    </w:p>
    <w:p w14:paraId="7A595AD6" w14:textId="77777777" w:rsidR="000A6C74" w:rsidRPr="000A6C74" w:rsidRDefault="000A6C74" w:rsidP="000A6C74">
      <w:pPr>
        <w:spacing w:after="0" w:line="360" w:lineRule="auto"/>
        <w:jc w:val="both"/>
        <w:rPr>
          <w:rFonts w:ascii="Arial" w:hAnsi="Arial" w:cs="Arial"/>
          <w:b/>
          <w:bCs/>
          <w:color w:val="000000" w:themeColor="text1"/>
          <w:sz w:val="20"/>
          <w:szCs w:val="20"/>
        </w:rPr>
      </w:pPr>
    </w:p>
    <w:p w14:paraId="50FEB5EF" w14:textId="77777777" w:rsidR="008B1783"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 xml:space="preserve">3.3 </w:t>
      </w:r>
      <w:r w:rsidR="009B3E93" w:rsidRPr="000A6C74">
        <w:rPr>
          <w:rFonts w:ascii="Arial" w:eastAsia="Times New Roman" w:hAnsi="Arial" w:cs="Arial"/>
          <w:b/>
          <w:bCs/>
          <w:color w:val="000000" w:themeColor="text1"/>
          <w:szCs w:val="20"/>
          <w:lang w:val="en-IN" w:eastAsia="en-IN"/>
        </w:rPr>
        <w:t>Urinary Changes</w:t>
      </w:r>
    </w:p>
    <w:p w14:paraId="569664C5" w14:textId="77777777" w:rsidR="009B3E93" w:rsidRPr="000A6C74" w:rsidRDefault="002B1A44"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In the current investigation, remarkable elevations in the levels of ketone bodies, specific gravity of urine, protein content, and glucose measurements were observed in the diabetic cohort when compared to the healthy control cohort. The ongoing </w:t>
      </w:r>
      <w:proofErr w:type="spellStart"/>
      <w:r w:rsidRPr="000A6C74">
        <w:rPr>
          <w:rFonts w:ascii="Arial" w:eastAsia="Times New Roman" w:hAnsi="Arial" w:cs="Arial"/>
          <w:color w:val="000000" w:themeColor="text1"/>
          <w:sz w:val="20"/>
          <w:szCs w:val="20"/>
          <w:lang w:val="en-IN" w:eastAsia="en-IN"/>
        </w:rPr>
        <w:t>hyperglycemia</w:t>
      </w:r>
      <w:proofErr w:type="spellEnd"/>
      <w:r w:rsidRPr="000A6C74">
        <w:rPr>
          <w:rFonts w:ascii="Arial" w:eastAsia="Times New Roman" w:hAnsi="Arial" w:cs="Arial"/>
          <w:color w:val="000000" w:themeColor="text1"/>
          <w:sz w:val="20"/>
          <w:szCs w:val="20"/>
          <w:lang w:val="en-IN" w:eastAsia="en-IN"/>
        </w:rPr>
        <w:t xml:space="preserve"> observed in diabetic </w:t>
      </w:r>
      <w:proofErr w:type="gramStart"/>
      <w:r w:rsidRPr="000A6C74">
        <w:rPr>
          <w:rFonts w:ascii="Arial" w:eastAsia="Times New Roman" w:hAnsi="Arial" w:cs="Arial"/>
          <w:color w:val="000000" w:themeColor="text1"/>
          <w:sz w:val="20"/>
          <w:szCs w:val="20"/>
          <w:lang w:val="en-IN" w:eastAsia="en-IN"/>
        </w:rPr>
        <w:t>dogs</w:t>
      </w:r>
      <w:proofErr w:type="gramEnd"/>
      <w:r w:rsidRPr="000A6C74">
        <w:rPr>
          <w:rFonts w:ascii="Arial" w:eastAsia="Times New Roman" w:hAnsi="Arial" w:cs="Arial"/>
          <w:color w:val="000000" w:themeColor="text1"/>
          <w:sz w:val="20"/>
          <w:szCs w:val="20"/>
          <w:lang w:val="en-IN" w:eastAsia="en-IN"/>
        </w:rPr>
        <w:t xml:space="preserve"> triggers glucosuria, an abnormal condition that arises when the renal threshold for glucose elimination surpasses 180 mg/dl. </w:t>
      </w:r>
      <w:r w:rsidR="009B3E93" w:rsidRPr="000A6C74">
        <w:rPr>
          <w:rFonts w:ascii="Arial" w:eastAsia="Times New Roman" w:hAnsi="Arial" w:cs="Arial"/>
          <w:color w:val="000000" w:themeColor="text1"/>
          <w:sz w:val="20"/>
          <w:szCs w:val="20"/>
          <w:lang w:val="en-IN" w:eastAsia="en-IN"/>
        </w:rPr>
        <w:t xml:space="preserve">Prolonged elevated glucose levels also promote muscle wasting and hinder wound healing, with excessive proteolysis being a significant factor in these complications. Accelerated lipid metabolism in diabetic dogs can result in endothelial damage and immune suppression, potentially causing hepatic lipidosis and, in some cases, ketoacidosis due to the increased production of ketone bodies. As a result of </w:t>
      </w:r>
      <w:proofErr w:type="spellStart"/>
      <w:r w:rsidR="009B3E93" w:rsidRPr="000A6C74">
        <w:rPr>
          <w:rFonts w:ascii="Arial" w:eastAsia="Times New Roman" w:hAnsi="Arial" w:cs="Arial"/>
          <w:color w:val="000000" w:themeColor="text1"/>
          <w:sz w:val="20"/>
          <w:szCs w:val="20"/>
          <w:lang w:val="en-IN" w:eastAsia="en-IN"/>
        </w:rPr>
        <w:t>hyperglycemia</w:t>
      </w:r>
      <w:proofErr w:type="spellEnd"/>
      <w:r w:rsidR="009B3E93" w:rsidRPr="000A6C74">
        <w:rPr>
          <w:rFonts w:ascii="Arial" w:eastAsia="Times New Roman" w:hAnsi="Arial" w:cs="Arial"/>
          <w:color w:val="000000" w:themeColor="text1"/>
          <w:sz w:val="20"/>
          <w:szCs w:val="20"/>
          <w:lang w:val="en-IN" w:eastAsia="en-IN"/>
        </w:rPr>
        <w:t xml:space="preserve">, diabetic dogs commonly experience glycosuria and osmotic diuresis, as the renal tubules are overwhelmed and cannot effectively reabsorb glucose. Qadri et al. (2015) provided insight </w:t>
      </w:r>
      <w:r w:rsidR="009B3E93" w:rsidRPr="000A6C74">
        <w:rPr>
          <w:rFonts w:ascii="Arial" w:eastAsia="Times New Roman" w:hAnsi="Arial" w:cs="Arial"/>
          <w:color w:val="000000" w:themeColor="text1"/>
          <w:sz w:val="20"/>
          <w:szCs w:val="20"/>
          <w:lang w:val="en-IN" w:eastAsia="en-IN"/>
        </w:rPr>
        <w:lastRenderedPageBreak/>
        <w:t>into the mechanisms behind glycosuria in canine diabetes. Dogs with poor glycemic control typically exhibit elevated urine specific gravity, which is directly related to the elevated blood glucose levels (Akarsu et al., 2006). The chronic nature of poorly controlled diabetes can contribute to diabetic nephropathy, with glucose-induced microvascular damage playing a central role (Nelson &amp; Couto, 2014). Furthermore, chronic diabetes can lead to proteinuria and mild pyuria, which are commonly seen in kidney functio</w:t>
      </w:r>
      <w:r w:rsidR="007F2406" w:rsidRPr="000A6C74">
        <w:rPr>
          <w:rFonts w:ascii="Arial" w:eastAsia="Times New Roman" w:hAnsi="Arial" w:cs="Arial"/>
          <w:color w:val="000000" w:themeColor="text1"/>
          <w:sz w:val="20"/>
          <w:szCs w:val="20"/>
          <w:lang w:val="en-IN" w:eastAsia="en-IN"/>
        </w:rPr>
        <w:t xml:space="preserve">n assessments of affected dogs. </w:t>
      </w:r>
      <w:r w:rsidR="009B3E93" w:rsidRPr="000A6C74">
        <w:rPr>
          <w:rFonts w:ascii="Arial" w:eastAsia="Times New Roman" w:hAnsi="Arial" w:cs="Arial"/>
          <w:color w:val="000000" w:themeColor="text1"/>
          <w:sz w:val="20"/>
          <w:szCs w:val="20"/>
          <w:lang w:val="en-IN" w:eastAsia="en-IN"/>
        </w:rPr>
        <w:t>The alteration of acid-base balance in diabetic dogs also results in a reduced ability to excrete acids, contributing to the development of uric acid urolithiasis (Maalouf et al., 2010). These findings are consistent with the results reported by Kapoor (2019).</w:t>
      </w:r>
    </w:p>
    <w:p w14:paraId="62A4B653" w14:textId="77777777" w:rsidR="008A4722" w:rsidRPr="000A6C74" w:rsidRDefault="008A4722" w:rsidP="008B1783">
      <w:pPr>
        <w:spacing w:after="0" w:line="360" w:lineRule="auto"/>
        <w:jc w:val="both"/>
        <w:rPr>
          <w:rFonts w:ascii="Arial" w:eastAsia="Times New Roman" w:hAnsi="Arial" w:cs="Arial"/>
          <w:b/>
          <w:bCs/>
          <w:color w:val="000000" w:themeColor="text1"/>
          <w:szCs w:val="20"/>
          <w:lang w:val="en-IN" w:eastAsia="en-IN"/>
        </w:rPr>
      </w:pPr>
      <w:r w:rsidRPr="000A6C74">
        <w:rPr>
          <w:rFonts w:ascii="Arial" w:eastAsia="Times New Roman" w:hAnsi="Arial" w:cs="Arial"/>
          <w:b/>
          <w:bCs/>
          <w:color w:val="000000" w:themeColor="text1"/>
          <w:szCs w:val="20"/>
          <w:lang w:val="en-IN" w:eastAsia="en-IN"/>
        </w:rPr>
        <w:t>4. CONCLUSION</w:t>
      </w:r>
    </w:p>
    <w:p w14:paraId="63F38968" w14:textId="77777777" w:rsidR="009B3E93" w:rsidRPr="000A6C74" w:rsidRDefault="009B3E93" w:rsidP="008B1783">
      <w:p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 xml:space="preserve">The findings of this study demonstrate that diabetes mellitus significantly alters the biochemical and urinary profiles in affected canines, with </w:t>
      </w:r>
      <w:proofErr w:type="spellStart"/>
      <w:r w:rsidRPr="000A6C74">
        <w:rPr>
          <w:rFonts w:ascii="Arial" w:eastAsia="Times New Roman" w:hAnsi="Arial" w:cs="Arial"/>
          <w:color w:val="000000" w:themeColor="text1"/>
          <w:sz w:val="20"/>
          <w:szCs w:val="20"/>
          <w:lang w:val="en-IN" w:eastAsia="en-IN"/>
        </w:rPr>
        <w:t>hematological</w:t>
      </w:r>
      <w:proofErr w:type="spellEnd"/>
      <w:r w:rsidRPr="000A6C74">
        <w:rPr>
          <w:rFonts w:ascii="Arial" w:eastAsia="Times New Roman" w:hAnsi="Arial" w:cs="Arial"/>
          <w:color w:val="000000" w:themeColor="text1"/>
          <w:sz w:val="20"/>
          <w:szCs w:val="20"/>
          <w:lang w:val="en-IN" w:eastAsia="en-IN"/>
        </w:rPr>
        <w:t xml:space="preserve"> abnormalities being less frequently observed. </w:t>
      </w:r>
      <w:r w:rsidR="00BB0AC9" w:rsidRPr="000A6C74">
        <w:rPr>
          <w:rFonts w:ascii="Arial" w:eastAsia="Times New Roman" w:hAnsi="Arial" w:cs="Arial"/>
          <w:color w:val="000000" w:themeColor="text1"/>
          <w:sz w:val="20"/>
          <w:szCs w:val="20"/>
          <w:lang w:val="en-IN" w:eastAsia="en-IN"/>
        </w:rPr>
        <w:t xml:space="preserve">The examination of </w:t>
      </w:r>
      <w:proofErr w:type="spellStart"/>
      <w:r w:rsidR="00BB0AC9" w:rsidRPr="000A6C74">
        <w:rPr>
          <w:rFonts w:ascii="Arial" w:eastAsia="Times New Roman" w:hAnsi="Arial" w:cs="Arial"/>
          <w:color w:val="000000" w:themeColor="text1"/>
          <w:sz w:val="20"/>
          <w:szCs w:val="20"/>
          <w:lang w:val="en-IN" w:eastAsia="en-IN"/>
        </w:rPr>
        <w:t>hematological</w:t>
      </w:r>
      <w:proofErr w:type="spellEnd"/>
      <w:r w:rsidR="00BB0AC9" w:rsidRPr="000A6C74">
        <w:rPr>
          <w:rFonts w:ascii="Arial" w:eastAsia="Times New Roman" w:hAnsi="Arial" w:cs="Arial"/>
          <w:color w:val="000000" w:themeColor="text1"/>
          <w:sz w:val="20"/>
          <w:szCs w:val="20"/>
          <w:lang w:val="en-IN" w:eastAsia="en-IN"/>
        </w:rPr>
        <w:t xml:space="preserve"> specimens indicated the presence of neutrophilia and lymphopenia, concomitant with the detection of elevated concentrations of ALT, triglycerides, ALP, total cholesterol, BUN, creatinine, and calcium during the biochemical evaluation. Alterations in urinary composition were characterized by a substantial increase in ketone bodies, </w:t>
      </w:r>
      <w:r w:rsidR="004C14A5" w:rsidRPr="000A6C74">
        <w:rPr>
          <w:rFonts w:ascii="Arial" w:eastAsia="Times New Roman" w:hAnsi="Arial" w:cs="Arial"/>
          <w:color w:val="000000" w:themeColor="text1"/>
          <w:sz w:val="20"/>
          <w:szCs w:val="20"/>
          <w:lang w:val="en-IN" w:eastAsia="en-IN"/>
        </w:rPr>
        <w:t xml:space="preserve">specific gravity, </w:t>
      </w:r>
      <w:r w:rsidR="002B1A44" w:rsidRPr="000A6C74">
        <w:rPr>
          <w:rFonts w:ascii="Arial" w:eastAsia="Times New Roman" w:hAnsi="Arial" w:cs="Arial"/>
          <w:color w:val="000000" w:themeColor="text1"/>
          <w:sz w:val="20"/>
          <w:szCs w:val="20"/>
          <w:lang w:val="en-IN" w:eastAsia="en-IN"/>
        </w:rPr>
        <w:t xml:space="preserve">glucose, </w:t>
      </w:r>
      <w:r w:rsidR="00BB0AC9" w:rsidRPr="000A6C74">
        <w:rPr>
          <w:rFonts w:ascii="Arial" w:eastAsia="Times New Roman" w:hAnsi="Arial" w:cs="Arial"/>
          <w:color w:val="000000" w:themeColor="text1"/>
          <w:sz w:val="20"/>
          <w:szCs w:val="20"/>
          <w:lang w:val="en-IN" w:eastAsia="en-IN"/>
        </w:rPr>
        <w:t>and protein, whereas the urine pH exhibited a significant decline.</w:t>
      </w:r>
    </w:p>
    <w:p w14:paraId="10EB5345" w14:textId="77777777" w:rsidR="008B1783" w:rsidRPr="000A6C74" w:rsidRDefault="008B1783" w:rsidP="008B1783">
      <w:pPr>
        <w:spacing w:after="0" w:line="360" w:lineRule="auto"/>
        <w:jc w:val="both"/>
        <w:rPr>
          <w:rFonts w:ascii="Arial" w:eastAsia="Times New Roman" w:hAnsi="Arial" w:cs="Arial"/>
          <w:b/>
          <w:bCs/>
          <w:color w:val="000000" w:themeColor="text1"/>
          <w:sz w:val="20"/>
          <w:szCs w:val="20"/>
          <w:lang w:val="en-IN" w:eastAsia="en-IN"/>
        </w:rPr>
      </w:pPr>
    </w:p>
    <w:p w14:paraId="2EE6348A" w14:textId="77777777" w:rsidR="008B1783" w:rsidRPr="000A6C74" w:rsidRDefault="008A4722" w:rsidP="008B1783">
      <w:pPr>
        <w:spacing w:after="0" w:line="360" w:lineRule="auto"/>
        <w:jc w:val="both"/>
        <w:rPr>
          <w:rFonts w:ascii="Arial" w:eastAsia="Times New Roman" w:hAnsi="Arial" w:cs="Arial"/>
          <w:color w:val="000000" w:themeColor="text1"/>
          <w:szCs w:val="20"/>
          <w:lang w:val="en-IN" w:eastAsia="en-IN"/>
        </w:rPr>
      </w:pPr>
      <w:r w:rsidRPr="000A6C74">
        <w:rPr>
          <w:rFonts w:ascii="Arial" w:eastAsia="Times New Roman" w:hAnsi="Arial" w:cs="Arial"/>
          <w:b/>
          <w:bCs/>
          <w:color w:val="000000" w:themeColor="text1"/>
          <w:szCs w:val="20"/>
          <w:lang w:val="en-IN" w:eastAsia="en-IN"/>
        </w:rPr>
        <w:t>5. STUDY LIMITATIONS</w:t>
      </w:r>
    </w:p>
    <w:p w14:paraId="507A6DFF" w14:textId="77777777" w:rsidR="00883CAD" w:rsidRDefault="00883CAD" w:rsidP="00883CAD">
      <w:pPr>
        <w:pStyle w:val="ListParagraph"/>
        <w:numPr>
          <w:ilvl w:val="0"/>
          <w:numId w:val="4"/>
        </w:numPr>
        <w:spacing w:after="0" w:line="360" w:lineRule="auto"/>
        <w:jc w:val="both"/>
        <w:rPr>
          <w:rFonts w:ascii="Arial" w:eastAsia="Times New Roman" w:hAnsi="Arial" w:cs="Arial"/>
          <w:color w:val="000000" w:themeColor="text1"/>
          <w:sz w:val="20"/>
          <w:szCs w:val="20"/>
          <w:lang w:val="en-IN" w:eastAsia="en-IN"/>
        </w:rPr>
      </w:pPr>
      <w:r w:rsidRPr="00883CAD">
        <w:rPr>
          <w:rFonts w:ascii="Arial" w:eastAsia="Times New Roman" w:hAnsi="Arial" w:cs="Arial"/>
          <w:color w:val="000000" w:themeColor="text1"/>
          <w:sz w:val="20"/>
          <w:szCs w:val="20"/>
          <w:lang w:val="en-IN" w:eastAsia="en-IN"/>
        </w:rPr>
        <w:t>The cohort is modest, comprising merely 13 diabetic canines and 10 robust ones, which constrains statistical strength and heightens the chances of erroneous positive and negative results.</w:t>
      </w:r>
    </w:p>
    <w:p w14:paraId="03DA9DA4" w14:textId="77777777" w:rsidR="00883CAD" w:rsidRDefault="00883CAD" w:rsidP="00883CAD">
      <w:pPr>
        <w:pStyle w:val="ListParagraph"/>
        <w:numPr>
          <w:ilvl w:val="0"/>
          <w:numId w:val="4"/>
        </w:numPr>
        <w:spacing w:after="0" w:line="360" w:lineRule="auto"/>
        <w:jc w:val="both"/>
        <w:rPr>
          <w:rFonts w:ascii="Arial" w:eastAsia="Times New Roman" w:hAnsi="Arial" w:cs="Arial"/>
          <w:color w:val="000000" w:themeColor="text1"/>
          <w:sz w:val="20"/>
          <w:szCs w:val="20"/>
          <w:lang w:val="en-IN" w:eastAsia="en-IN"/>
        </w:rPr>
      </w:pPr>
      <w:r w:rsidRPr="00883CAD">
        <w:rPr>
          <w:rFonts w:ascii="Arial" w:eastAsia="Times New Roman" w:hAnsi="Arial" w:cs="Arial"/>
          <w:color w:val="000000" w:themeColor="text1"/>
          <w:sz w:val="20"/>
          <w:szCs w:val="20"/>
          <w:lang w:val="en-IN" w:eastAsia="en-IN"/>
        </w:rPr>
        <w:t>The research unfolded within a distinct geographical landscape, limiting the applicability of the findings to diverse groups beyond this area.</w:t>
      </w:r>
    </w:p>
    <w:p w14:paraId="74DE536C" w14:textId="77777777" w:rsidR="008A4722" w:rsidRPr="000A6C74" w:rsidRDefault="008A4722" w:rsidP="00883CAD">
      <w:pPr>
        <w:pStyle w:val="ListParagraph"/>
        <w:numPr>
          <w:ilvl w:val="0"/>
          <w:numId w:val="4"/>
        </w:numPr>
        <w:spacing w:after="0" w:line="360" w:lineRule="auto"/>
        <w:jc w:val="both"/>
        <w:rPr>
          <w:rFonts w:ascii="Arial" w:eastAsia="Times New Roman" w:hAnsi="Arial" w:cs="Arial"/>
          <w:color w:val="000000" w:themeColor="text1"/>
          <w:sz w:val="20"/>
          <w:szCs w:val="20"/>
          <w:lang w:val="en-IN" w:eastAsia="en-IN"/>
        </w:rPr>
      </w:pPr>
      <w:r w:rsidRPr="000A6C74">
        <w:rPr>
          <w:rFonts w:ascii="Arial" w:eastAsia="Times New Roman" w:hAnsi="Arial" w:cs="Arial"/>
          <w:color w:val="000000" w:themeColor="text1"/>
          <w:sz w:val="20"/>
          <w:szCs w:val="20"/>
          <w:lang w:val="en-IN" w:eastAsia="en-IN"/>
        </w:rPr>
        <w:t>A larger, more geographically diverse sample would likely produce more robust and reliable results, improving the overall validity and applicability of the conclusions.</w:t>
      </w:r>
    </w:p>
    <w:p w14:paraId="1F20D7EF" w14:textId="77777777" w:rsidR="000A6C74" w:rsidRPr="000A6C74" w:rsidRDefault="000A6C74" w:rsidP="008B1783">
      <w:pPr>
        <w:spacing w:after="0" w:line="360" w:lineRule="auto"/>
        <w:jc w:val="both"/>
        <w:rPr>
          <w:rFonts w:ascii="Arial" w:eastAsia="Times New Roman" w:hAnsi="Arial" w:cs="Arial"/>
          <w:color w:val="000000" w:themeColor="text1"/>
          <w:sz w:val="20"/>
          <w:szCs w:val="20"/>
          <w:lang w:val="en-IN" w:eastAsia="en-IN"/>
        </w:rPr>
      </w:pPr>
    </w:p>
    <w:p w14:paraId="700059D3" w14:textId="77777777" w:rsidR="001E4BED" w:rsidRPr="000A6C74" w:rsidRDefault="001E4BED" w:rsidP="008B1783">
      <w:pPr>
        <w:spacing w:after="0" w:line="360" w:lineRule="auto"/>
        <w:jc w:val="both"/>
        <w:rPr>
          <w:rFonts w:ascii="Arial" w:hAnsi="Arial" w:cs="Arial"/>
          <w:b/>
          <w:color w:val="000000" w:themeColor="text1"/>
          <w:sz w:val="20"/>
          <w:szCs w:val="20"/>
        </w:rPr>
      </w:pPr>
    </w:p>
    <w:p w14:paraId="5882F5A7" w14:textId="77777777" w:rsidR="008B1783" w:rsidRPr="000A6C74" w:rsidRDefault="008A4722" w:rsidP="008B1783">
      <w:pPr>
        <w:pStyle w:val="NormalWeb"/>
        <w:spacing w:before="0" w:beforeAutospacing="0" w:after="0" w:afterAutospacing="0" w:line="360" w:lineRule="auto"/>
        <w:jc w:val="both"/>
        <w:rPr>
          <w:rFonts w:ascii="Arial" w:hAnsi="Arial" w:cs="Arial"/>
          <w:color w:val="000000" w:themeColor="text1"/>
          <w:sz w:val="22"/>
          <w:szCs w:val="20"/>
        </w:rPr>
      </w:pPr>
      <w:r w:rsidRPr="000A6C74">
        <w:rPr>
          <w:rStyle w:val="Strong"/>
          <w:rFonts w:ascii="Arial" w:hAnsi="Arial" w:cs="Arial"/>
          <w:color w:val="000000" w:themeColor="text1"/>
          <w:sz w:val="22"/>
          <w:szCs w:val="20"/>
        </w:rPr>
        <w:t>REFERENCES</w:t>
      </w:r>
    </w:p>
    <w:p w14:paraId="3316E734"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Ahmed, I., &amp; Goldstein, B. (2006). Diabetes mellitus. </w:t>
      </w:r>
      <w:r w:rsidRPr="000A6C74">
        <w:rPr>
          <w:rStyle w:val="Emphasis"/>
          <w:rFonts w:ascii="Arial" w:hAnsi="Arial" w:cs="Arial"/>
          <w:color w:val="000000" w:themeColor="text1"/>
          <w:sz w:val="20"/>
          <w:szCs w:val="20"/>
        </w:rPr>
        <w:t>Clinics in Dermatology, 24</w:t>
      </w:r>
      <w:r w:rsidRPr="000A6C74">
        <w:rPr>
          <w:rFonts w:ascii="Arial" w:hAnsi="Arial" w:cs="Arial"/>
          <w:color w:val="000000" w:themeColor="text1"/>
          <w:sz w:val="20"/>
          <w:szCs w:val="20"/>
        </w:rPr>
        <w:t>, 237-246.</w:t>
      </w:r>
    </w:p>
    <w:p w14:paraId="10B08013"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Akarsu, E., </w:t>
      </w:r>
      <w:proofErr w:type="spellStart"/>
      <w:r w:rsidRPr="000A6C74">
        <w:rPr>
          <w:rFonts w:ascii="Arial" w:hAnsi="Arial" w:cs="Arial"/>
          <w:color w:val="000000" w:themeColor="text1"/>
          <w:sz w:val="20"/>
          <w:szCs w:val="20"/>
        </w:rPr>
        <w:t>Buyukhatipoglu</w:t>
      </w:r>
      <w:proofErr w:type="spellEnd"/>
      <w:r w:rsidRPr="000A6C74">
        <w:rPr>
          <w:rFonts w:ascii="Arial" w:hAnsi="Arial" w:cs="Arial"/>
          <w:color w:val="000000" w:themeColor="text1"/>
          <w:sz w:val="20"/>
          <w:szCs w:val="20"/>
        </w:rPr>
        <w:t xml:space="preserve">, H., </w:t>
      </w:r>
      <w:proofErr w:type="spellStart"/>
      <w:r w:rsidRPr="000A6C74">
        <w:rPr>
          <w:rFonts w:ascii="Arial" w:hAnsi="Arial" w:cs="Arial"/>
          <w:color w:val="000000" w:themeColor="text1"/>
          <w:sz w:val="20"/>
          <w:szCs w:val="20"/>
        </w:rPr>
        <w:t>Aktaran</w:t>
      </w:r>
      <w:proofErr w:type="spellEnd"/>
      <w:r w:rsidRPr="000A6C74">
        <w:rPr>
          <w:rFonts w:ascii="Arial" w:hAnsi="Arial" w:cs="Arial"/>
          <w:color w:val="000000" w:themeColor="text1"/>
          <w:sz w:val="20"/>
          <w:szCs w:val="20"/>
        </w:rPr>
        <w:t xml:space="preserve">, S., &amp;Geyik, R. (2006). The value of urine specific gravity in detecting diabetes insipidus in a patient with uncontrolled diabetes mellitus: Urine specific gravity in differential diagnosis. </w:t>
      </w:r>
      <w:r w:rsidRPr="000A6C74">
        <w:rPr>
          <w:rStyle w:val="Emphasis"/>
          <w:rFonts w:ascii="Arial" w:hAnsi="Arial" w:cs="Arial"/>
          <w:color w:val="000000" w:themeColor="text1"/>
          <w:sz w:val="20"/>
          <w:szCs w:val="20"/>
        </w:rPr>
        <w:t>Journal of General Internal Medicine</w:t>
      </w:r>
      <w:r w:rsidRPr="000A6C74">
        <w:rPr>
          <w:rFonts w:ascii="Arial" w:hAnsi="Arial" w:cs="Arial"/>
          <w:color w:val="000000" w:themeColor="text1"/>
          <w:sz w:val="20"/>
          <w:szCs w:val="20"/>
        </w:rPr>
        <w:t>, 1497-1525.</w:t>
      </w:r>
    </w:p>
    <w:p w14:paraId="5E2E05A2"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Calibo, M. B. T. (2024). Treatment of chronic and severe diabetes mellitus with ketoacidosis in a four-year-old intact female American pit bull terrier. </w:t>
      </w:r>
      <w:r w:rsidRPr="000A6C74">
        <w:rPr>
          <w:rStyle w:val="Emphasis"/>
          <w:rFonts w:ascii="Arial" w:hAnsi="Arial" w:cs="Arial"/>
          <w:color w:val="000000" w:themeColor="text1"/>
          <w:sz w:val="20"/>
          <w:szCs w:val="20"/>
        </w:rPr>
        <w:t>Asian Journal of Research in Animal and Veterinary Sciences, 7</w:t>
      </w:r>
      <w:r w:rsidRPr="000A6C74">
        <w:rPr>
          <w:rFonts w:ascii="Arial" w:hAnsi="Arial" w:cs="Arial"/>
          <w:color w:val="000000" w:themeColor="text1"/>
          <w:sz w:val="20"/>
          <w:szCs w:val="20"/>
        </w:rPr>
        <w:t xml:space="preserve">(2), 109–121. </w:t>
      </w:r>
      <w:hyperlink r:id="rId12" w:tgtFrame="_new" w:history="1">
        <w:r w:rsidRPr="000A6C74">
          <w:rPr>
            <w:rStyle w:val="Hyperlink"/>
            <w:rFonts w:ascii="Arial" w:hAnsi="Arial" w:cs="Arial"/>
            <w:color w:val="000000" w:themeColor="text1"/>
            <w:sz w:val="20"/>
            <w:szCs w:val="20"/>
          </w:rPr>
          <w:t>https://doi.org/10.9734/ajravs/2024/v7i2291</w:t>
        </w:r>
      </w:hyperlink>
    </w:p>
    <w:p w14:paraId="269B028D"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Catchpole, B. J. M., Ristic, L. M., Fleeman, L. M., &amp; Davison, L. J. (2008). Canine diabetes mellitus: Can old dogs teach us new tricks? </w:t>
      </w:r>
      <w:proofErr w:type="spellStart"/>
      <w:r w:rsidRPr="000A6C74">
        <w:rPr>
          <w:rStyle w:val="Emphasis"/>
          <w:rFonts w:ascii="Arial" w:hAnsi="Arial" w:cs="Arial"/>
          <w:color w:val="000000" w:themeColor="text1"/>
          <w:sz w:val="20"/>
          <w:szCs w:val="20"/>
        </w:rPr>
        <w:t>Diabetologia</w:t>
      </w:r>
      <w:proofErr w:type="spellEnd"/>
      <w:r w:rsidRPr="000A6C74">
        <w:rPr>
          <w:rStyle w:val="Emphasis"/>
          <w:rFonts w:ascii="Arial" w:hAnsi="Arial" w:cs="Arial"/>
          <w:color w:val="000000" w:themeColor="text1"/>
          <w:sz w:val="20"/>
          <w:szCs w:val="20"/>
        </w:rPr>
        <w:t>, 48</w:t>
      </w:r>
      <w:r w:rsidRPr="000A6C74">
        <w:rPr>
          <w:rFonts w:ascii="Arial" w:hAnsi="Arial" w:cs="Arial"/>
          <w:color w:val="000000" w:themeColor="text1"/>
          <w:sz w:val="20"/>
          <w:szCs w:val="20"/>
        </w:rPr>
        <w:t>, 1948-1956.</w:t>
      </w:r>
    </w:p>
    <w:p w14:paraId="23BDA7E0"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lastRenderedPageBreak/>
        <w:t xml:space="preserve">Chaudhary, S. (2021). Clinical studies on diabetes mellitus in canines. </w:t>
      </w:r>
      <w:r w:rsidRPr="000A6C74">
        <w:rPr>
          <w:rStyle w:val="Emphasis"/>
          <w:rFonts w:ascii="Arial" w:hAnsi="Arial" w:cs="Arial"/>
          <w:color w:val="000000" w:themeColor="text1"/>
          <w:sz w:val="20"/>
          <w:szCs w:val="20"/>
        </w:rPr>
        <w:t>M.V.Sc. thesis</w:t>
      </w:r>
      <w:r w:rsidRPr="000A6C74">
        <w:rPr>
          <w:rFonts w:ascii="Arial" w:hAnsi="Arial" w:cs="Arial"/>
          <w:color w:val="000000" w:themeColor="text1"/>
          <w:sz w:val="20"/>
          <w:szCs w:val="20"/>
        </w:rPr>
        <w:t>, Rajasthan University of Veterinary and Animal Sciences, Bikaner, Rajasthan.</w:t>
      </w:r>
    </w:p>
    <w:p w14:paraId="3DDE0F3F"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Chong, S. K., &amp;Reineke, E. L. (2016). Point-of-care glucose and ketone monitoring. </w:t>
      </w:r>
      <w:r w:rsidRPr="000A6C74">
        <w:rPr>
          <w:rStyle w:val="Emphasis"/>
          <w:rFonts w:ascii="Arial" w:hAnsi="Arial" w:cs="Arial"/>
          <w:color w:val="000000" w:themeColor="text1"/>
          <w:sz w:val="20"/>
          <w:szCs w:val="20"/>
        </w:rPr>
        <w:t>Topical Companion Animal Medicine</w:t>
      </w:r>
      <w:r w:rsidRPr="000A6C74">
        <w:rPr>
          <w:rFonts w:ascii="Arial" w:hAnsi="Arial" w:cs="Arial"/>
          <w:color w:val="000000" w:themeColor="text1"/>
          <w:sz w:val="20"/>
          <w:szCs w:val="20"/>
        </w:rPr>
        <w:t xml:space="preserve">, </w:t>
      </w:r>
      <w:r w:rsidRPr="000A6C74">
        <w:rPr>
          <w:rStyle w:val="Emphasis"/>
          <w:rFonts w:ascii="Arial" w:hAnsi="Arial" w:cs="Arial"/>
          <w:color w:val="000000" w:themeColor="text1"/>
          <w:sz w:val="20"/>
          <w:szCs w:val="20"/>
        </w:rPr>
        <w:t>Veterinary World, 31</w:t>
      </w:r>
      <w:r w:rsidRPr="000A6C74">
        <w:rPr>
          <w:rFonts w:ascii="Arial" w:hAnsi="Arial" w:cs="Arial"/>
          <w:color w:val="000000" w:themeColor="text1"/>
          <w:sz w:val="20"/>
          <w:szCs w:val="20"/>
        </w:rPr>
        <w:t>(1), 18-26.</w:t>
      </w:r>
    </w:p>
    <w:p w14:paraId="0AFBB9AF"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Coppens, A., </w:t>
      </w:r>
      <w:proofErr w:type="spellStart"/>
      <w:r w:rsidRPr="000A6C74">
        <w:rPr>
          <w:rFonts w:ascii="Arial" w:hAnsi="Arial" w:cs="Arial"/>
          <w:color w:val="000000" w:themeColor="text1"/>
          <w:sz w:val="20"/>
          <w:szCs w:val="20"/>
        </w:rPr>
        <w:t>Speeckaert</w:t>
      </w:r>
      <w:proofErr w:type="spellEnd"/>
      <w:r w:rsidRPr="000A6C74">
        <w:rPr>
          <w:rFonts w:ascii="Arial" w:hAnsi="Arial" w:cs="Arial"/>
          <w:color w:val="000000" w:themeColor="text1"/>
          <w:sz w:val="20"/>
          <w:szCs w:val="20"/>
        </w:rPr>
        <w:t>, M., &amp;</w:t>
      </w:r>
      <w:proofErr w:type="spellStart"/>
      <w:r w:rsidRPr="000A6C74">
        <w:rPr>
          <w:rFonts w:ascii="Arial" w:hAnsi="Arial" w:cs="Arial"/>
          <w:color w:val="000000" w:themeColor="text1"/>
          <w:sz w:val="20"/>
          <w:szCs w:val="20"/>
        </w:rPr>
        <w:t>Delanghe</w:t>
      </w:r>
      <w:proofErr w:type="spellEnd"/>
      <w:r w:rsidRPr="000A6C74">
        <w:rPr>
          <w:rFonts w:ascii="Arial" w:hAnsi="Arial" w:cs="Arial"/>
          <w:color w:val="000000" w:themeColor="text1"/>
          <w:sz w:val="20"/>
          <w:szCs w:val="20"/>
        </w:rPr>
        <w:t xml:space="preserve">, J. (2010). The pre-analytical challenges of routine urinalysis. </w:t>
      </w:r>
      <w:proofErr w:type="spellStart"/>
      <w:r w:rsidRPr="000A6C74">
        <w:rPr>
          <w:rStyle w:val="Emphasis"/>
          <w:rFonts w:ascii="Arial" w:hAnsi="Arial" w:cs="Arial"/>
          <w:color w:val="000000" w:themeColor="text1"/>
          <w:sz w:val="20"/>
          <w:szCs w:val="20"/>
        </w:rPr>
        <w:t>ActaClinicaBelgica</w:t>
      </w:r>
      <w:proofErr w:type="spellEnd"/>
      <w:r w:rsidRPr="000A6C74">
        <w:rPr>
          <w:rStyle w:val="Emphasis"/>
          <w:rFonts w:ascii="Arial" w:hAnsi="Arial" w:cs="Arial"/>
          <w:color w:val="000000" w:themeColor="text1"/>
          <w:sz w:val="20"/>
          <w:szCs w:val="20"/>
        </w:rPr>
        <w:t>, 65</w:t>
      </w:r>
      <w:r w:rsidRPr="000A6C74">
        <w:rPr>
          <w:rFonts w:ascii="Arial" w:hAnsi="Arial" w:cs="Arial"/>
          <w:color w:val="000000" w:themeColor="text1"/>
          <w:sz w:val="20"/>
          <w:szCs w:val="20"/>
        </w:rPr>
        <w:t>(3), 182-189.</w:t>
      </w:r>
    </w:p>
    <w:p w14:paraId="760F2139"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DeClue, A. E., Nickell, J., Chang, C., &amp; Honaker, A. (2012). Upregulation of proinflammatory cytokine production in response to bacterial pathogen-associated molecular patterns in dogs with diabetes mellitus undergoing insulin therapy. </w:t>
      </w:r>
      <w:r w:rsidRPr="000A6C74">
        <w:rPr>
          <w:rStyle w:val="Emphasis"/>
          <w:rFonts w:ascii="Arial" w:hAnsi="Arial" w:cs="Arial"/>
          <w:color w:val="000000" w:themeColor="text1"/>
          <w:sz w:val="20"/>
          <w:szCs w:val="20"/>
        </w:rPr>
        <w:t>Journal of Diabetes Science and Technology, 6</w:t>
      </w:r>
      <w:r w:rsidRPr="000A6C74">
        <w:rPr>
          <w:rFonts w:ascii="Arial" w:hAnsi="Arial" w:cs="Arial"/>
          <w:color w:val="000000" w:themeColor="text1"/>
          <w:sz w:val="20"/>
          <w:szCs w:val="20"/>
        </w:rPr>
        <w:t>, 496-502.</w:t>
      </w:r>
    </w:p>
    <w:p w14:paraId="3D7A7FD1"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Delanghe</w:t>
      </w:r>
      <w:proofErr w:type="spellEnd"/>
      <w:r w:rsidRPr="000A6C74">
        <w:rPr>
          <w:rFonts w:ascii="Arial" w:hAnsi="Arial" w:cs="Arial"/>
          <w:color w:val="000000" w:themeColor="text1"/>
          <w:sz w:val="20"/>
          <w:szCs w:val="20"/>
        </w:rPr>
        <w:t>, J., &amp;</w:t>
      </w:r>
      <w:proofErr w:type="spellStart"/>
      <w:r w:rsidRPr="000A6C74">
        <w:rPr>
          <w:rFonts w:ascii="Arial" w:hAnsi="Arial" w:cs="Arial"/>
          <w:color w:val="000000" w:themeColor="text1"/>
          <w:sz w:val="20"/>
          <w:szCs w:val="20"/>
        </w:rPr>
        <w:t>Speeckaert</w:t>
      </w:r>
      <w:proofErr w:type="spellEnd"/>
      <w:r w:rsidRPr="000A6C74">
        <w:rPr>
          <w:rFonts w:ascii="Arial" w:hAnsi="Arial" w:cs="Arial"/>
          <w:color w:val="000000" w:themeColor="text1"/>
          <w:sz w:val="20"/>
          <w:szCs w:val="20"/>
        </w:rPr>
        <w:t xml:space="preserve">, M. (2014). Preanalytical requirements of urinalysis. </w:t>
      </w:r>
      <w:proofErr w:type="spellStart"/>
      <w:r w:rsidRPr="000A6C74">
        <w:rPr>
          <w:rStyle w:val="Emphasis"/>
          <w:rFonts w:ascii="Arial" w:hAnsi="Arial" w:cs="Arial"/>
          <w:color w:val="000000" w:themeColor="text1"/>
          <w:sz w:val="20"/>
          <w:szCs w:val="20"/>
        </w:rPr>
        <w:t>BiochemiaMedica</w:t>
      </w:r>
      <w:proofErr w:type="spellEnd"/>
      <w:r w:rsidRPr="000A6C74">
        <w:rPr>
          <w:rStyle w:val="Emphasis"/>
          <w:rFonts w:ascii="Arial" w:hAnsi="Arial" w:cs="Arial"/>
          <w:color w:val="000000" w:themeColor="text1"/>
          <w:sz w:val="20"/>
          <w:szCs w:val="20"/>
        </w:rPr>
        <w:t>, 24</w:t>
      </w:r>
      <w:r w:rsidRPr="000A6C74">
        <w:rPr>
          <w:rFonts w:ascii="Arial" w:hAnsi="Arial" w:cs="Arial"/>
          <w:color w:val="000000" w:themeColor="text1"/>
          <w:sz w:val="20"/>
          <w:szCs w:val="20"/>
        </w:rPr>
        <w:t>(1), 89-104.</w:t>
      </w:r>
    </w:p>
    <w:p w14:paraId="1F86555C"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Durocher, L. L., Hinchcliff, K. W., </w:t>
      </w:r>
      <w:proofErr w:type="spellStart"/>
      <w:r w:rsidRPr="000A6C74">
        <w:rPr>
          <w:rFonts w:ascii="Arial" w:hAnsi="Arial" w:cs="Arial"/>
          <w:color w:val="000000" w:themeColor="text1"/>
          <w:sz w:val="20"/>
          <w:szCs w:val="20"/>
        </w:rPr>
        <w:t>DiBartola</w:t>
      </w:r>
      <w:proofErr w:type="spellEnd"/>
      <w:r w:rsidRPr="000A6C74">
        <w:rPr>
          <w:rFonts w:ascii="Arial" w:hAnsi="Arial" w:cs="Arial"/>
          <w:color w:val="000000" w:themeColor="text1"/>
          <w:sz w:val="20"/>
          <w:szCs w:val="20"/>
        </w:rPr>
        <w:t xml:space="preserve">, S. P., &amp; Johnson, S. E. (2008). Acid-base and hormonal abnormalities in dogs with naturally occurring diabetes mellitus. </w:t>
      </w:r>
      <w:r w:rsidRPr="000A6C74">
        <w:rPr>
          <w:rStyle w:val="Emphasis"/>
          <w:rFonts w:ascii="Arial" w:hAnsi="Arial" w:cs="Arial"/>
          <w:color w:val="000000" w:themeColor="text1"/>
          <w:sz w:val="20"/>
          <w:szCs w:val="20"/>
        </w:rPr>
        <w:t>Journal of the American Veterinary Medical Association, 232</w:t>
      </w:r>
      <w:r w:rsidRPr="000A6C74">
        <w:rPr>
          <w:rFonts w:ascii="Arial" w:hAnsi="Arial" w:cs="Arial"/>
          <w:color w:val="000000" w:themeColor="text1"/>
          <w:sz w:val="20"/>
          <w:szCs w:val="20"/>
        </w:rPr>
        <w:t>(9), 1310–1320.</w:t>
      </w:r>
    </w:p>
    <w:p w14:paraId="7F857B7E"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Greco, D. S. (2018). Diabetes mellitus in animals: Diagnosis and treatment of diabetes mellitus in dogs and cats. In D. Bagchi&amp; S. Nair (Eds.), </w:t>
      </w:r>
      <w:r w:rsidRPr="000A6C74">
        <w:rPr>
          <w:rStyle w:val="Emphasis"/>
          <w:rFonts w:ascii="Arial" w:hAnsi="Arial" w:cs="Arial"/>
          <w:color w:val="000000" w:themeColor="text1"/>
          <w:sz w:val="20"/>
          <w:szCs w:val="20"/>
        </w:rPr>
        <w:t>Nutritional and therapeutic interventions for diabetes and metabolic syndrome</w:t>
      </w:r>
      <w:r w:rsidRPr="000A6C74">
        <w:rPr>
          <w:rFonts w:ascii="Arial" w:hAnsi="Arial" w:cs="Arial"/>
          <w:color w:val="000000" w:themeColor="text1"/>
          <w:sz w:val="20"/>
          <w:szCs w:val="20"/>
        </w:rPr>
        <w:t xml:space="preserve"> (2nd ed., pp. 507-518). Academic Press Elsevier.</w:t>
      </w:r>
    </w:p>
    <w:p w14:paraId="3EDF7F25"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Harley, L., &amp; Langston, C. (2012). Proteinuria in dogs and cats. </w:t>
      </w:r>
      <w:r w:rsidRPr="000A6C74">
        <w:rPr>
          <w:rStyle w:val="Emphasis"/>
          <w:rFonts w:ascii="Arial" w:hAnsi="Arial" w:cs="Arial"/>
          <w:color w:val="000000" w:themeColor="text1"/>
          <w:sz w:val="20"/>
          <w:szCs w:val="20"/>
        </w:rPr>
        <w:t>Canine Veterinary Journal, 53</w:t>
      </w:r>
      <w:r w:rsidRPr="000A6C74">
        <w:rPr>
          <w:rFonts w:ascii="Arial" w:hAnsi="Arial" w:cs="Arial"/>
          <w:color w:val="000000" w:themeColor="text1"/>
          <w:sz w:val="20"/>
          <w:szCs w:val="20"/>
        </w:rPr>
        <w:t>(6), 631-638.</w:t>
      </w:r>
    </w:p>
    <w:p w14:paraId="1F1D7759"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Hekmatynia</w:t>
      </w:r>
      <w:proofErr w:type="spellEnd"/>
      <w:r w:rsidRPr="000A6C74">
        <w:rPr>
          <w:rFonts w:ascii="Arial" w:hAnsi="Arial" w:cs="Arial"/>
          <w:color w:val="000000" w:themeColor="text1"/>
          <w:sz w:val="20"/>
          <w:szCs w:val="20"/>
        </w:rPr>
        <w:t xml:space="preserve">, F., </w:t>
      </w:r>
      <w:proofErr w:type="spellStart"/>
      <w:r w:rsidRPr="000A6C74">
        <w:rPr>
          <w:rFonts w:ascii="Arial" w:hAnsi="Arial" w:cs="Arial"/>
          <w:color w:val="000000" w:themeColor="text1"/>
          <w:sz w:val="20"/>
          <w:szCs w:val="20"/>
        </w:rPr>
        <w:t>Eskandarzadeh</w:t>
      </w:r>
      <w:proofErr w:type="spellEnd"/>
      <w:r w:rsidRPr="000A6C74">
        <w:rPr>
          <w:rFonts w:ascii="Arial" w:hAnsi="Arial" w:cs="Arial"/>
          <w:color w:val="000000" w:themeColor="text1"/>
          <w:sz w:val="20"/>
          <w:szCs w:val="20"/>
        </w:rPr>
        <w:t>, N., Imani, M., Rezaei, M., &amp;Zamani-</w:t>
      </w:r>
      <w:proofErr w:type="spellStart"/>
      <w:r w:rsidRPr="000A6C74">
        <w:rPr>
          <w:rFonts w:ascii="Arial" w:hAnsi="Arial" w:cs="Arial"/>
          <w:color w:val="000000" w:themeColor="text1"/>
          <w:sz w:val="20"/>
          <w:szCs w:val="20"/>
        </w:rPr>
        <w:t>Ahmadmahmudi</w:t>
      </w:r>
      <w:proofErr w:type="spellEnd"/>
      <w:r w:rsidRPr="000A6C74">
        <w:rPr>
          <w:rFonts w:ascii="Arial" w:hAnsi="Arial" w:cs="Arial"/>
          <w:color w:val="000000" w:themeColor="text1"/>
          <w:sz w:val="20"/>
          <w:szCs w:val="20"/>
        </w:rPr>
        <w:t>, M. (2019). The diagnostic performance of human urinary dipsticks to estimate urine pH, specific gravity (</w:t>
      </w:r>
      <w:proofErr w:type="spellStart"/>
      <w:r w:rsidRPr="000A6C74">
        <w:rPr>
          <w:rFonts w:ascii="Arial" w:hAnsi="Arial" w:cs="Arial"/>
          <w:color w:val="000000" w:themeColor="text1"/>
          <w:sz w:val="20"/>
          <w:szCs w:val="20"/>
        </w:rPr>
        <w:t>SpG</w:t>
      </w:r>
      <w:proofErr w:type="spellEnd"/>
      <w:r w:rsidRPr="000A6C74">
        <w:rPr>
          <w:rFonts w:ascii="Arial" w:hAnsi="Arial" w:cs="Arial"/>
          <w:color w:val="000000" w:themeColor="text1"/>
          <w:sz w:val="20"/>
          <w:szCs w:val="20"/>
        </w:rPr>
        <w:t xml:space="preserve">), and protein in horses: Are they reliable? </w:t>
      </w:r>
      <w:r w:rsidRPr="000A6C74">
        <w:rPr>
          <w:rStyle w:val="Emphasis"/>
          <w:rFonts w:ascii="Arial" w:hAnsi="Arial" w:cs="Arial"/>
          <w:color w:val="000000" w:themeColor="text1"/>
          <w:sz w:val="20"/>
          <w:szCs w:val="20"/>
        </w:rPr>
        <w:t>BMC Veterinary Research, 15</w:t>
      </w:r>
      <w:r w:rsidRPr="000A6C74">
        <w:rPr>
          <w:rFonts w:ascii="Arial" w:hAnsi="Arial" w:cs="Arial"/>
          <w:color w:val="000000" w:themeColor="text1"/>
          <w:sz w:val="20"/>
          <w:szCs w:val="20"/>
        </w:rPr>
        <w:t>(1), 242.</w:t>
      </w:r>
    </w:p>
    <w:p w14:paraId="4878610E"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Hess, R. S., &amp; Ward, C. R. (2000). Effect of insulin dosage on glycemic response in dogs with diabetes mellitus: 221 cases (1993-1998). </w:t>
      </w:r>
      <w:r w:rsidRPr="000A6C74">
        <w:rPr>
          <w:rStyle w:val="Emphasis"/>
          <w:rFonts w:ascii="Arial" w:hAnsi="Arial" w:cs="Arial"/>
          <w:color w:val="000000" w:themeColor="text1"/>
          <w:sz w:val="20"/>
          <w:szCs w:val="20"/>
        </w:rPr>
        <w:t>Journal of American Veterinary Medical Association, 216</w:t>
      </w:r>
      <w:r w:rsidRPr="000A6C74">
        <w:rPr>
          <w:rFonts w:ascii="Arial" w:hAnsi="Arial" w:cs="Arial"/>
          <w:color w:val="000000" w:themeColor="text1"/>
          <w:sz w:val="20"/>
          <w:szCs w:val="20"/>
        </w:rPr>
        <w:t>, 217-221.</w:t>
      </w:r>
    </w:p>
    <w:p w14:paraId="4D303A1D"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Hiblu</w:t>
      </w:r>
      <w:proofErr w:type="spellEnd"/>
      <w:r w:rsidRPr="000A6C74">
        <w:rPr>
          <w:rFonts w:ascii="Arial" w:hAnsi="Arial" w:cs="Arial"/>
          <w:color w:val="000000" w:themeColor="text1"/>
          <w:sz w:val="20"/>
          <w:szCs w:val="20"/>
        </w:rPr>
        <w:t xml:space="preserve">, M. A., &amp; Randhawa, D. K. (2015). Therapeutic management of diabetes mellitus with focal hepatic necrosis in dogs. </w:t>
      </w:r>
      <w:proofErr w:type="spellStart"/>
      <w:r w:rsidRPr="000A6C74">
        <w:rPr>
          <w:rStyle w:val="Emphasis"/>
          <w:rFonts w:ascii="Arial" w:hAnsi="Arial" w:cs="Arial"/>
          <w:color w:val="000000" w:themeColor="text1"/>
          <w:sz w:val="20"/>
          <w:szCs w:val="20"/>
        </w:rPr>
        <w:t>IntasPolyvet</w:t>
      </w:r>
      <w:proofErr w:type="spellEnd"/>
      <w:r w:rsidRPr="000A6C74">
        <w:rPr>
          <w:rStyle w:val="Emphasis"/>
          <w:rFonts w:ascii="Arial" w:hAnsi="Arial" w:cs="Arial"/>
          <w:color w:val="000000" w:themeColor="text1"/>
          <w:sz w:val="20"/>
          <w:szCs w:val="20"/>
        </w:rPr>
        <w:t>, 16</w:t>
      </w:r>
      <w:r w:rsidRPr="000A6C74">
        <w:rPr>
          <w:rFonts w:ascii="Arial" w:hAnsi="Arial" w:cs="Arial"/>
          <w:color w:val="000000" w:themeColor="text1"/>
          <w:sz w:val="20"/>
          <w:szCs w:val="20"/>
        </w:rPr>
        <w:t>, 163-166.</w:t>
      </w:r>
    </w:p>
    <w:p w14:paraId="4E32572E"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Huang, A. (2012). Canine diabetes mellitus. </w:t>
      </w:r>
      <w:r w:rsidRPr="000A6C74">
        <w:rPr>
          <w:rStyle w:val="Emphasis"/>
          <w:rFonts w:ascii="Arial" w:hAnsi="Arial" w:cs="Arial"/>
          <w:color w:val="000000" w:themeColor="text1"/>
          <w:sz w:val="20"/>
          <w:szCs w:val="20"/>
        </w:rPr>
        <w:t>Clinician’s Brief</w:t>
      </w:r>
      <w:r w:rsidRPr="000A6C74">
        <w:rPr>
          <w:rFonts w:ascii="Arial" w:hAnsi="Arial" w:cs="Arial"/>
          <w:color w:val="000000" w:themeColor="text1"/>
          <w:sz w:val="20"/>
          <w:szCs w:val="20"/>
        </w:rPr>
        <w:t>, 47-50.</w:t>
      </w:r>
    </w:p>
    <w:p w14:paraId="7C476815"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Jena, G. R., Kumar, D., Sahoo, N., Das, M. R., Das, S., &amp;Pamia, J. (2019). Alterations in clinico-biochemical and oxidative stress parameters in diabetic dogs. </w:t>
      </w:r>
      <w:r w:rsidRPr="000A6C74">
        <w:rPr>
          <w:rStyle w:val="Emphasis"/>
          <w:rFonts w:ascii="Arial" w:hAnsi="Arial" w:cs="Arial"/>
          <w:color w:val="000000" w:themeColor="text1"/>
          <w:sz w:val="20"/>
          <w:szCs w:val="20"/>
        </w:rPr>
        <w:t>Indian Journal of Veterinary Medicine, 39</w:t>
      </w:r>
      <w:r w:rsidRPr="000A6C74">
        <w:rPr>
          <w:rFonts w:ascii="Arial" w:hAnsi="Arial" w:cs="Arial"/>
          <w:color w:val="000000" w:themeColor="text1"/>
          <w:sz w:val="20"/>
          <w:szCs w:val="20"/>
        </w:rPr>
        <w:t>(2), 16-20.</w:t>
      </w:r>
    </w:p>
    <w:p w14:paraId="5A70EECE"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Kapoor, S. (2019). Clinico-therapeutic studies on canine diabetes mellitus. </w:t>
      </w:r>
      <w:r w:rsidRPr="000A6C74">
        <w:rPr>
          <w:rStyle w:val="Emphasis"/>
          <w:rFonts w:ascii="Arial" w:hAnsi="Arial" w:cs="Arial"/>
          <w:color w:val="000000" w:themeColor="text1"/>
          <w:sz w:val="20"/>
          <w:szCs w:val="20"/>
        </w:rPr>
        <w:t>M.V.Sc. thesis</w:t>
      </w:r>
      <w:r w:rsidRPr="000A6C74">
        <w:rPr>
          <w:rFonts w:ascii="Arial" w:hAnsi="Arial" w:cs="Arial"/>
          <w:color w:val="000000" w:themeColor="text1"/>
          <w:sz w:val="20"/>
          <w:szCs w:val="20"/>
        </w:rPr>
        <w:t xml:space="preserve">, Chaudhary Sarwan Kumar Himachal Pradesh </w:t>
      </w:r>
      <w:proofErr w:type="spellStart"/>
      <w:r w:rsidRPr="000A6C74">
        <w:rPr>
          <w:rFonts w:ascii="Arial" w:hAnsi="Arial" w:cs="Arial"/>
          <w:color w:val="000000" w:themeColor="text1"/>
          <w:sz w:val="20"/>
          <w:szCs w:val="20"/>
        </w:rPr>
        <w:t>KrishiVishvavidyalaya</w:t>
      </w:r>
      <w:proofErr w:type="spellEnd"/>
      <w:r w:rsidRPr="000A6C74">
        <w:rPr>
          <w:rFonts w:ascii="Arial" w:hAnsi="Arial" w:cs="Arial"/>
          <w:color w:val="000000" w:themeColor="text1"/>
          <w:sz w:val="20"/>
          <w:szCs w:val="20"/>
        </w:rPr>
        <w:t>, Palampur.</w:t>
      </w:r>
    </w:p>
    <w:p w14:paraId="3986345F"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Kaymaz, A. A., &amp; Albeniz, T. U. (2007). Lymphocyte deformability and lymphocyte membrane proteins evaluation in type II diabetic dogs. </w:t>
      </w:r>
      <w:r w:rsidRPr="000A6C74">
        <w:rPr>
          <w:rStyle w:val="Emphasis"/>
          <w:rFonts w:ascii="Arial" w:hAnsi="Arial" w:cs="Arial"/>
          <w:color w:val="000000" w:themeColor="text1"/>
          <w:sz w:val="20"/>
          <w:szCs w:val="20"/>
        </w:rPr>
        <w:t>World Small Animal Association</w:t>
      </w:r>
      <w:r w:rsidRPr="000A6C74">
        <w:rPr>
          <w:rFonts w:ascii="Arial" w:hAnsi="Arial" w:cs="Arial"/>
          <w:color w:val="000000" w:themeColor="text1"/>
          <w:sz w:val="20"/>
          <w:szCs w:val="20"/>
        </w:rPr>
        <w:t>, 45-59.</w:t>
      </w:r>
    </w:p>
    <w:p w14:paraId="6C93EAB0"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Kelly, L. W., Barden, C. A., &amp;Tiedeman, J. (1993). Alterations in viscosity and filterability of whole blood and blood cell subpopulations in diabetic cats. </w:t>
      </w:r>
      <w:r w:rsidRPr="000A6C74">
        <w:rPr>
          <w:rStyle w:val="Emphasis"/>
          <w:rFonts w:ascii="Arial" w:hAnsi="Arial" w:cs="Arial"/>
          <w:color w:val="000000" w:themeColor="text1"/>
          <w:sz w:val="20"/>
          <w:szCs w:val="20"/>
        </w:rPr>
        <w:t>Experimental Eye Research, 56</w:t>
      </w:r>
      <w:r w:rsidRPr="000A6C74">
        <w:rPr>
          <w:rFonts w:ascii="Arial" w:hAnsi="Arial" w:cs="Arial"/>
          <w:color w:val="000000" w:themeColor="text1"/>
          <w:sz w:val="20"/>
          <w:szCs w:val="20"/>
        </w:rPr>
        <w:t>, 341-347.</w:t>
      </w:r>
    </w:p>
    <w:p w14:paraId="019F5B67"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lastRenderedPageBreak/>
        <w:t xml:space="preserve">Kumar, P., Kumari, R. R., Kumar, M., Kumar, S., &amp;Chakrabarti, A. (2014). Current practices and research updates on diabetes mellitus in canine. </w:t>
      </w:r>
      <w:r w:rsidRPr="000A6C74">
        <w:rPr>
          <w:rStyle w:val="Emphasis"/>
          <w:rFonts w:ascii="Arial" w:hAnsi="Arial" w:cs="Arial"/>
          <w:color w:val="000000" w:themeColor="text1"/>
          <w:sz w:val="20"/>
          <w:szCs w:val="20"/>
        </w:rPr>
        <w:t>Veterinary World, 7</w:t>
      </w:r>
      <w:r w:rsidRPr="000A6C74">
        <w:rPr>
          <w:rFonts w:ascii="Arial" w:hAnsi="Arial" w:cs="Arial"/>
          <w:color w:val="000000" w:themeColor="text1"/>
          <w:sz w:val="20"/>
          <w:szCs w:val="20"/>
        </w:rPr>
        <w:t>, 952-959.</w:t>
      </w:r>
    </w:p>
    <w:p w14:paraId="59821C77"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Kwong, T. C., Chau, E. C. T., Mak, M. C. H., Choy, C. T., Chan, L. T., Pang, C. K., Zhou, J., Poon, P. H. C., Guan, Y., &amp;Tsui, S. K. W. (2023). Characterization of the gut microbiome in healthy dogs and dogs with diabetes mellitus. </w:t>
      </w:r>
      <w:r w:rsidRPr="000A6C74">
        <w:rPr>
          <w:rStyle w:val="Emphasis"/>
          <w:rFonts w:ascii="Arial" w:hAnsi="Arial" w:cs="Arial"/>
          <w:color w:val="000000" w:themeColor="text1"/>
          <w:sz w:val="20"/>
          <w:szCs w:val="20"/>
        </w:rPr>
        <w:t>Animals, 13</w:t>
      </w:r>
      <w:r w:rsidRPr="000A6C74">
        <w:rPr>
          <w:rFonts w:ascii="Arial" w:hAnsi="Arial" w:cs="Arial"/>
          <w:color w:val="000000" w:themeColor="text1"/>
          <w:sz w:val="20"/>
          <w:szCs w:val="20"/>
        </w:rPr>
        <w:t xml:space="preserve">, 2479. </w:t>
      </w:r>
      <w:hyperlink r:id="rId13" w:tgtFrame="_new" w:history="1">
        <w:r w:rsidRPr="000A6C74">
          <w:rPr>
            <w:rStyle w:val="Hyperlink"/>
            <w:rFonts w:ascii="Arial" w:hAnsi="Arial" w:cs="Arial"/>
            <w:color w:val="000000" w:themeColor="text1"/>
            <w:sz w:val="20"/>
            <w:szCs w:val="20"/>
          </w:rPr>
          <w:t>https://doi.org/10.3390/ani13152479</w:t>
        </w:r>
      </w:hyperlink>
    </w:p>
    <w:p w14:paraId="6F8AD4D9"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Maalouf, N. M., Cameron, M. A., Moe, O. W., &amp;</w:t>
      </w:r>
      <w:proofErr w:type="spellStart"/>
      <w:r w:rsidRPr="000A6C74">
        <w:rPr>
          <w:rFonts w:ascii="Arial" w:hAnsi="Arial" w:cs="Arial"/>
          <w:color w:val="000000" w:themeColor="text1"/>
          <w:sz w:val="20"/>
          <w:szCs w:val="20"/>
        </w:rPr>
        <w:t>Sakhaee</w:t>
      </w:r>
      <w:proofErr w:type="spellEnd"/>
      <w:r w:rsidRPr="000A6C74">
        <w:rPr>
          <w:rFonts w:ascii="Arial" w:hAnsi="Arial" w:cs="Arial"/>
          <w:color w:val="000000" w:themeColor="text1"/>
          <w:sz w:val="20"/>
          <w:szCs w:val="20"/>
        </w:rPr>
        <w:t xml:space="preserve">, K. (2010). Metabolic basis for low urine pH in type II diabetes. </w:t>
      </w:r>
      <w:r w:rsidRPr="000A6C74">
        <w:rPr>
          <w:rStyle w:val="Emphasis"/>
          <w:rFonts w:ascii="Arial" w:hAnsi="Arial" w:cs="Arial"/>
          <w:color w:val="000000" w:themeColor="text1"/>
          <w:sz w:val="20"/>
          <w:szCs w:val="20"/>
        </w:rPr>
        <w:t>Clinical Journal of the American Society of Nephrology, 5</w:t>
      </w:r>
      <w:r w:rsidRPr="000A6C74">
        <w:rPr>
          <w:rFonts w:ascii="Arial" w:hAnsi="Arial" w:cs="Arial"/>
          <w:color w:val="000000" w:themeColor="text1"/>
          <w:sz w:val="20"/>
          <w:szCs w:val="20"/>
        </w:rPr>
        <w:t>(7), 1277-1281.</w:t>
      </w:r>
    </w:p>
    <w:p w14:paraId="3C148969"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Mauna, K. R. (1995). Long term complications of diabetes mellitus, Part I: Retinopathy, nephropathy, neuropathy. </w:t>
      </w:r>
      <w:r w:rsidRPr="000A6C74">
        <w:rPr>
          <w:rStyle w:val="Emphasis"/>
          <w:rFonts w:ascii="Arial" w:hAnsi="Arial" w:cs="Arial"/>
          <w:color w:val="000000" w:themeColor="text1"/>
          <w:sz w:val="20"/>
          <w:szCs w:val="20"/>
        </w:rPr>
        <w:t>Veterinary Clinics of North America: Small Animal Practice, 25</w:t>
      </w:r>
      <w:r w:rsidRPr="000A6C74">
        <w:rPr>
          <w:rFonts w:ascii="Arial" w:hAnsi="Arial" w:cs="Arial"/>
          <w:color w:val="000000" w:themeColor="text1"/>
          <w:sz w:val="20"/>
          <w:szCs w:val="20"/>
        </w:rPr>
        <w:t>, 715-730.</w:t>
      </w:r>
    </w:p>
    <w:p w14:paraId="7AE84F4B"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Melandri</w:t>
      </w:r>
      <w:proofErr w:type="spellEnd"/>
      <w:r w:rsidRPr="000A6C74">
        <w:rPr>
          <w:rFonts w:ascii="Arial" w:hAnsi="Arial" w:cs="Arial"/>
          <w:color w:val="000000" w:themeColor="text1"/>
          <w:sz w:val="20"/>
          <w:szCs w:val="20"/>
        </w:rPr>
        <w:t xml:space="preserve">, M., Veronesi, M. C., &amp;Alonge, S. (2020). Urinalysis in Great Dane puppies from birth to 28 days of age. </w:t>
      </w:r>
      <w:r w:rsidRPr="000A6C74">
        <w:rPr>
          <w:rStyle w:val="Emphasis"/>
          <w:rFonts w:ascii="Arial" w:hAnsi="Arial" w:cs="Arial"/>
          <w:color w:val="000000" w:themeColor="text1"/>
          <w:sz w:val="20"/>
          <w:szCs w:val="20"/>
        </w:rPr>
        <w:t>Animals, 10</w:t>
      </w:r>
      <w:r w:rsidRPr="000A6C74">
        <w:rPr>
          <w:rFonts w:ascii="Arial" w:hAnsi="Arial" w:cs="Arial"/>
          <w:color w:val="000000" w:themeColor="text1"/>
          <w:sz w:val="20"/>
          <w:szCs w:val="20"/>
        </w:rPr>
        <w:t>(4), 636.</w:t>
      </w:r>
    </w:p>
    <w:p w14:paraId="3D36DB65"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Mori, A., Sagara, F., Shimizu, S., Mizutani, H., Sako, T., Hirose, H., &amp; Arai, T. (2008). Changes in peripheral lymphocyte subsets in type 1 diabetic dogs treated with insulin injections. </w:t>
      </w:r>
      <w:r w:rsidRPr="000A6C74">
        <w:rPr>
          <w:rStyle w:val="Emphasis"/>
          <w:rFonts w:ascii="Arial" w:hAnsi="Arial" w:cs="Arial"/>
          <w:color w:val="000000" w:themeColor="text1"/>
          <w:sz w:val="20"/>
          <w:szCs w:val="20"/>
        </w:rPr>
        <w:t>Journal of Veterinary Medical Science, 70</w:t>
      </w:r>
      <w:r w:rsidRPr="000A6C74">
        <w:rPr>
          <w:rFonts w:ascii="Arial" w:hAnsi="Arial" w:cs="Arial"/>
          <w:color w:val="000000" w:themeColor="text1"/>
          <w:sz w:val="20"/>
          <w:szCs w:val="20"/>
        </w:rPr>
        <w:t>(2), 185-187.</w:t>
      </w:r>
    </w:p>
    <w:p w14:paraId="7C8B81F0"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Nelson, R. W., &amp; Couto, C. G. (2014). Disorders of the endocrine pancreas. In </w:t>
      </w:r>
      <w:r w:rsidRPr="000A6C74">
        <w:rPr>
          <w:rStyle w:val="Emphasis"/>
          <w:rFonts w:ascii="Arial" w:hAnsi="Arial" w:cs="Arial"/>
          <w:color w:val="000000" w:themeColor="text1"/>
          <w:sz w:val="20"/>
          <w:szCs w:val="20"/>
        </w:rPr>
        <w:t>Small Animal Internal Medicine</w:t>
      </w:r>
      <w:r w:rsidRPr="000A6C74">
        <w:rPr>
          <w:rFonts w:ascii="Arial" w:hAnsi="Arial" w:cs="Arial"/>
          <w:color w:val="000000" w:themeColor="text1"/>
          <w:sz w:val="20"/>
          <w:szCs w:val="20"/>
        </w:rPr>
        <w:t xml:space="preserve"> (5th ed., pp. 777-823). Mosby.</w:t>
      </w:r>
    </w:p>
    <w:p w14:paraId="0F04C2A3"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Nelson, R. W. (2010). Canine diabetes mellitus. In </w:t>
      </w:r>
      <w:r w:rsidRPr="000A6C74">
        <w:rPr>
          <w:rStyle w:val="Emphasis"/>
          <w:rFonts w:ascii="Arial" w:hAnsi="Arial" w:cs="Arial"/>
          <w:color w:val="000000" w:themeColor="text1"/>
          <w:sz w:val="20"/>
          <w:szCs w:val="20"/>
        </w:rPr>
        <w:t>Textbook of Veterinary Internal Medicine</w:t>
      </w:r>
      <w:r w:rsidRPr="000A6C74">
        <w:rPr>
          <w:rFonts w:ascii="Arial" w:hAnsi="Arial" w:cs="Arial"/>
          <w:color w:val="000000" w:themeColor="text1"/>
          <w:sz w:val="20"/>
          <w:szCs w:val="20"/>
        </w:rPr>
        <w:t xml:space="preserve"> (7th ed., pp. 1782-1796). Saunders, Elsevier.</w:t>
      </w:r>
    </w:p>
    <w:p w14:paraId="44AB90CD"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Nelson, R. W. (2015). Canine diabetes. In E. C. Feldman, R. W. Nelson, C. Reusch, &amp; J. C. Scott-Moncrieff (Eds.), </w:t>
      </w:r>
      <w:r w:rsidRPr="000A6C74">
        <w:rPr>
          <w:rStyle w:val="Emphasis"/>
          <w:rFonts w:ascii="Arial" w:hAnsi="Arial" w:cs="Arial"/>
          <w:color w:val="000000" w:themeColor="text1"/>
          <w:sz w:val="20"/>
          <w:szCs w:val="20"/>
        </w:rPr>
        <w:t>Canine and Feline Endocrinology</w:t>
      </w:r>
      <w:r w:rsidRPr="000A6C74">
        <w:rPr>
          <w:rFonts w:ascii="Arial" w:hAnsi="Arial" w:cs="Arial"/>
          <w:color w:val="000000" w:themeColor="text1"/>
          <w:sz w:val="20"/>
          <w:szCs w:val="20"/>
        </w:rPr>
        <w:t xml:space="preserve"> (4th ed., pp. 213-257). Saunders, Elsevier.</w:t>
      </w:r>
    </w:p>
    <w:p w14:paraId="04DEDB0C"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Patel, Y. S., Kumar, S., Deepak, B., Bhoomika, K. A., Mahajan, S., &amp; Dixit, S. K. (2019). Diagnosis and clinical management of diabetes mellitus in a German shepherd dog. </w:t>
      </w:r>
      <w:r w:rsidRPr="000A6C74">
        <w:rPr>
          <w:rStyle w:val="Emphasis"/>
          <w:rFonts w:ascii="Arial" w:hAnsi="Arial" w:cs="Arial"/>
          <w:color w:val="000000" w:themeColor="text1"/>
          <w:sz w:val="20"/>
          <w:szCs w:val="20"/>
        </w:rPr>
        <w:t>International Journal of Chemical Studies, 7</w:t>
      </w:r>
      <w:r w:rsidRPr="000A6C74">
        <w:rPr>
          <w:rFonts w:ascii="Arial" w:hAnsi="Arial" w:cs="Arial"/>
          <w:color w:val="000000" w:themeColor="text1"/>
          <w:sz w:val="20"/>
          <w:szCs w:val="20"/>
        </w:rPr>
        <w:t>(2), 1719-1721.</w:t>
      </w:r>
    </w:p>
    <w:p w14:paraId="74861547"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Qadri, K., Ganguly, S., Praveen, P. K., &amp;</w:t>
      </w:r>
      <w:proofErr w:type="spellStart"/>
      <w:r w:rsidRPr="000A6C74">
        <w:rPr>
          <w:rFonts w:ascii="Arial" w:hAnsi="Arial" w:cs="Arial"/>
          <w:color w:val="000000" w:themeColor="text1"/>
          <w:sz w:val="20"/>
          <w:szCs w:val="20"/>
        </w:rPr>
        <w:t>Wakchaure</w:t>
      </w:r>
      <w:proofErr w:type="spellEnd"/>
      <w:r w:rsidRPr="000A6C74">
        <w:rPr>
          <w:rFonts w:ascii="Arial" w:hAnsi="Arial" w:cs="Arial"/>
          <w:color w:val="000000" w:themeColor="text1"/>
          <w:sz w:val="20"/>
          <w:szCs w:val="20"/>
        </w:rPr>
        <w:t xml:space="preserve">, R. (2015). Diabetes mellitus in dogs and its associated complications: A review. </w:t>
      </w:r>
      <w:r w:rsidRPr="000A6C74">
        <w:rPr>
          <w:rStyle w:val="Emphasis"/>
          <w:rFonts w:ascii="Arial" w:hAnsi="Arial" w:cs="Arial"/>
          <w:color w:val="000000" w:themeColor="text1"/>
          <w:sz w:val="20"/>
          <w:szCs w:val="20"/>
        </w:rPr>
        <w:t>International Journal of Recent Biotechnology, 3</w:t>
      </w:r>
      <w:r w:rsidRPr="000A6C74">
        <w:rPr>
          <w:rFonts w:ascii="Arial" w:hAnsi="Arial" w:cs="Arial"/>
          <w:color w:val="000000" w:themeColor="text1"/>
          <w:sz w:val="20"/>
          <w:szCs w:val="20"/>
        </w:rPr>
        <w:t>, 18-22.</w:t>
      </w:r>
    </w:p>
    <w:p w14:paraId="56EB2E4A"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Reppas, G., &amp; Foster, S. F. (2016). Practical urinalysis in the cat: 1: Urine macroscopic examination tips and traps. </w:t>
      </w:r>
      <w:r w:rsidRPr="000A6C74">
        <w:rPr>
          <w:rStyle w:val="Emphasis"/>
          <w:rFonts w:ascii="Arial" w:hAnsi="Arial" w:cs="Arial"/>
          <w:color w:val="000000" w:themeColor="text1"/>
          <w:sz w:val="20"/>
          <w:szCs w:val="20"/>
        </w:rPr>
        <w:t>Journal of Feline Medicine and Surgery, 18</w:t>
      </w:r>
      <w:r w:rsidRPr="000A6C74">
        <w:rPr>
          <w:rFonts w:ascii="Arial" w:hAnsi="Arial" w:cs="Arial"/>
          <w:color w:val="000000" w:themeColor="text1"/>
          <w:sz w:val="20"/>
          <w:szCs w:val="20"/>
        </w:rPr>
        <w:t>(3), 190-202.</w:t>
      </w:r>
    </w:p>
    <w:p w14:paraId="175BC37F"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Sharma, A., Nigam, R., Kumar, A., &amp; Singh, S. (2020). Mass spectrometry-based identification of urinary antimicrobial peptides in dairy cows. </w:t>
      </w:r>
      <w:r w:rsidRPr="000A6C74">
        <w:rPr>
          <w:rStyle w:val="Emphasis"/>
          <w:rFonts w:ascii="Arial" w:hAnsi="Arial" w:cs="Arial"/>
          <w:color w:val="000000" w:themeColor="text1"/>
          <w:sz w:val="20"/>
          <w:szCs w:val="20"/>
        </w:rPr>
        <w:t>Protein &amp; Peptide Letters, 27</w:t>
      </w:r>
      <w:r w:rsidRPr="000A6C74">
        <w:rPr>
          <w:rFonts w:ascii="Arial" w:hAnsi="Arial" w:cs="Arial"/>
          <w:color w:val="000000" w:themeColor="text1"/>
          <w:sz w:val="20"/>
          <w:szCs w:val="20"/>
        </w:rPr>
        <w:t>(3), 225-235.</w:t>
      </w:r>
    </w:p>
    <w:p w14:paraId="3667A738"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Sundararajan, R. C., Thamizhpriya, M., Pugal, P., Vijayanand, V., Kumar, V., Saravanan, S., &amp;</w:t>
      </w:r>
      <w:proofErr w:type="spellStart"/>
      <w:r w:rsidRPr="000A6C74">
        <w:rPr>
          <w:rFonts w:ascii="Arial" w:hAnsi="Arial" w:cs="Arial"/>
          <w:color w:val="000000" w:themeColor="text1"/>
          <w:sz w:val="20"/>
          <w:szCs w:val="20"/>
        </w:rPr>
        <w:t>Balagangatharathilagar</w:t>
      </w:r>
      <w:proofErr w:type="spellEnd"/>
      <w:r w:rsidRPr="000A6C74">
        <w:rPr>
          <w:rFonts w:ascii="Arial" w:hAnsi="Arial" w:cs="Arial"/>
          <w:color w:val="000000" w:themeColor="text1"/>
          <w:sz w:val="20"/>
          <w:szCs w:val="20"/>
        </w:rPr>
        <w:t xml:space="preserve">, M. (2022). Medical management of diabetes mellitus in a pug: A case report. </w:t>
      </w:r>
      <w:r w:rsidRPr="000A6C74">
        <w:rPr>
          <w:rStyle w:val="Emphasis"/>
          <w:rFonts w:ascii="Arial" w:hAnsi="Arial" w:cs="Arial"/>
          <w:color w:val="000000" w:themeColor="text1"/>
          <w:sz w:val="20"/>
          <w:szCs w:val="20"/>
        </w:rPr>
        <w:t>The Pharma Innovation Journal, 11</w:t>
      </w:r>
      <w:r w:rsidRPr="000A6C74">
        <w:rPr>
          <w:rFonts w:ascii="Arial" w:hAnsi="Arial" w:cs="Arial"/>
          <w:color w:val="000000" w:themeColor="text1"/>
          <w:sz w:val="20"/>
          <w:szCs w:val="20"/>
        </w:rPr>
        <w:t>(7S), 801-802.</w:t>
      </w:r>
    </w:p>
    <w:p w14:paraId="4186DF25"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Teitz, N. W. (1990). </w:t>
      </w:r>
      <w:r w:rsidRPr="000A6C74">
        <w:rPr>
          <w:rStyle w:val="Emphasis"/>
          <w:rFonts w:ascii="Arial" w:hAnsi="Arial" w:cs="Arial"/>
          <w:color w:val="000000" w:themeColor="text1"/>
          <w:sz w:val="20"/>
          <w:szCs w:val="20"/>
        </w:rPr>
        <w:t>Clinical Guide to Laboratory Tests</w:t>
      </w:r>
      <w:r w:rsidRPr="000A6C74">
        <w:rPr>
          <w:rFonts w:ascii="Arial" w:hAnsi="Arial" w:cs="Arial"/>
          <w:color w:val="000000" w:themeColor="text1"/>
          <w:sz w:val="20"/>
          <w:szCs w:val="20"/>
        </w:rPr>
        <w:t xml:space="preserve"> (2nd ed.). W.B. Saunders Company.</w:t>
      </w:r>
    </w:p>
    <w:p w14:paraId="6E2B5313"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t xml:space="preserve">Vaden, S. L., &amp; Elliott, J. (2016). Management of proteinuria in dogs and cats with chronic kidney disease. </w:t>
      </w:r>
      <w:r w:rsidRPr="000A6C74">
        <w:rPr>
          <w:rStyle w:val="Emphasis"/>
          <w:rFonts w:ascii="Arial" w:hAnsi="Arial" w:cs="Arial"/>
          <w:color w:val="000000" w:themeColor="text1"/>
          <w:sz w:val="20"/>
          <w:szCs w:val="20"/>
        </w:rPr>
        <w:t>Veterinary Clinics of North America: Small Animal Practice, 46</w:t>
      </w:r>
      <w:r w:rsidRPr="000A6C74">
        <w:rPr>
          <w:rFonts w:ascii="Arial" w:hAnsi="Arial" w:cs="Arial"/>
          <w:color w:val="000000" w:themeColor="text1"/>
          <w:sz w:val="20"/>
          <w:szCs w:val="20"/>
        </w:rPr>
        <w:t>(6), 1115-1130.</w:t>
      </w:r>
    </w:p>
    <w:p w14:paraId="0F1EE86E"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proofErr w:type="spellStart"/>
      <w:r w:rsidRPr="000A6C74">
        <w:rPr>
          <w:rFonts w:ascii="Arial" w:hAnsi="Arial" w:cs="Arial"/>
          <w:color w:val="000000" w:themeColor="text1"/>
          <w:sz w:val="20"/>
          <w:szCs w:val="20"/>
        </w:rPr>
        <w:t>Valilou</w:t>
      </w:r>
      <w:proofErr w:type="spellEnd"/>
      <w:r w:rsidRPr="000A6C74">
        <w:rPr>
          <w:rFonts w:ascii="Arial" w:hAnsi="Arial" w:cs="Arial"/>
          <w:color w:val="000000" w:themeColor="text1"/>
          <w:sz w:val="20"/>
          <w:szCs w:val="20"/>
        </w:rPr>
        <w:t xml:space="preserve">, M., &amp;Lofti, A. (2011). Differential leucocyte counts in German Shepherd dogs following alloxan-induced diabetes mellitus. </w:t>
      </w:r>
      <w:r w:rsidRPr="000A6C74">
        <w:rPr>
          <w:rStyle w:val="Emphasis"/>
          <w:rFonts w:ascii="Arial" w:hAnsi="Arial" w:cs="Arial"/>
          <w:color w:val="000000" w:themeColor="text1"/>
          <w:sz w:val="20"/>
          <w:szCs w:val="20"/>
        </w:rPr>
        <w:t>Veterinary Clinical Pathology, 2</w:t>
      </w:r>
      <w:r w:rsidRPr="000A6C74">
        <w:rPr>
          <w:rFonts w:ascii="Arial" w:hAnsi="Arial" w:cs="Arial"/>
          <w:color w:val="000000" w:themeColor="text1"/>
          <w:sz w:val="20"/>
          <w:szCs w:val="20"/>
        </w:rPr>
        <w:t>, 1217-1220.</w:t>
      </w:r>
    </w:p>
    <w:p w14:paraId="2FC7866C" w14:textId="77777777" w:rsidR="008B1783" w:rsidRPr="000A6C74" w:rsidRDefault="008B1783" w:rsidP="008A4722">
      <w:pPr>
        <w:pStyle w:val="NormalWeb"/>
        <w:spacing w:before="0" w:beforeAutospacing="0" w:after="0" w:afterAutospacing="0" w:line="360" w:lineRule="auto"/>
        <w:ind w:left="709" w:hanging="709"/>
        <w:jc w:val="both"/>
        <w:rPr>
          <w:rFonts w:ascii="Arial" w:hAnsi="Arial" w:cs="Arial"/>
          <w:color w:val="000000" w:themeColor="text1"/>
          <w:sz w:val="20"/>
          <w:szCs w:val="20"/>
        </w:rPr>
      </w:pPr>
      <w:r w:rsidRPr="000A6C74">
        <w:rPr>
          <w:rFonts w:ascii="Arial" w:hAnsi="Arial" w:cs="Arial"/>
          <w:color w:val="000000" w:themeColor="text1"/>
          <w:sz w:val="20"/>
          <w:szCs w:val="20"/>
        </w:rPr>
        <w:lastRenderedPageBreak/>
        <w:t xml:space="preserve">Xu, W., Wu, H. F., Ma, S. G., Bai, F., Hu, W., &amp;Jin, Y. (2013). Correlation between peripheral white blood cell counts and hyperglycaemic emergencies. </w:t>
      </w:r>
      <w:r w:rsidRPr="000A6C74">
        <w:rPr>
          <w:rStyle w:val="Emphasis"/>
          <w:rFonts w:ascii="Arial" w:hAnsi="Arial" w:cs="Arial"/>
          <w:color w:val="000000" w:themeColor="text1"/>
          <w:sz w:val="20"/>
          <w:szCs w:val="20"/>
        </w:rPr>
        <w:t>International Journal of Medical Sciences, 10</w:t>
      </w:r>
      <w:r w:rsidRPr="000A6C74">
        <w:rPr>
          <w:rFonts w:ascii="Arial" w:hAnsi="Arial" w:cs="Arial"/>
          <w:color w:val="000000" w:themeColor="text1"/>
          <w:sz w:val="20"/>
          <w:szCs w:val="20"/>
        </w:rPr>
        <w:t>, 758-765.</w:t>
      </w:r>
    </w:p>
    <w:p w14:paraId="147CBB7F" w14:textId="77777777" w:rsidR="008767C1" w:rsidRPr="000A6C74" w:rsidRDefault="008767C1" w:rsidP="008B1783">
      <w:pPr>
        <w:spacing w:after="0" w:line="360" w:lineRule="auto"/>
        <w:jc w:val="both"/>
        <w:rPr>
          <w:rFonts w:ascii="Arial" w:hAnsi="Arial" w:cs="Arial"/>
          <w:color w:val="000000" w:themeColor="text1"/>
          <w:sz w:val="20"/>
          <w:szCs w:val="20"/>
        </w:rPr>
      </w:pPr>
    </w:p>
    <w:sectPr w:rsidR="008767C1" w:rsidRPr="000A6C74" w:rsidSect="009230D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A220" w14:textId="77777777" w:rsidR="008677B3" w:rsidRDefault="008677B3" w:rsidP="00D15FEF">
      <w:pPr>
        <w:spacing w:after="0" w:line="240" w:lineRule="auto"/>
      </w:pPr>
      <w:r>
        <w:separator/>
      </w:r>
    </w:p>
  </w:endnote>
  <w:endnote w:type="continuationSeparator" w:id="0">
    <w:p w14:paraId="75B29A24" w14:textId="77777777" w:rsidR="008677B3" w:rsidRDefault="008677B3" w:rsidP="00D1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B49D" w14:textId="77777777" w:rsidR="00D15FEF" w:rsidRDefault="00D15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54E9" w14:textId="77777777" w:rsidR="00D15FEF" w:rsidRDefault="00D1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5FD9" w14:textId="77777777" w:rsidR="00D15FEF" w:rsidRDefault="00D1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4C1D" w14:textId="77777777" w:rsidR="008677B3" w:rsidRDefault="008677B3" w:rsidP="00D15FEF">
      <w:pPr>
        <w:spacing w:after="0" w:line="240" w:lineRule="auto"/>
      </w:pPr>
      <w:r>
        <w:separator/>
      </w:r>
    </w:p>
  </w:footnote>
  <w:footnote w:type="continuationSeparator" w:id="0">
    <w:p w14:paraId="33AA9491" w14:textId="77777777" w:rsidR="008677B3" w:rsidRDefault="008677B3" w:rsidP="00D1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8FD2" w14:textId="779E38A1" w:rsidR="00D15FEF" w:rsidRDefault="00D15FEF">
    <w:pPr>
      <w:pStyle w:val="Header"/>
    </w:pPr>
    <w:r>
      <w:rPr>
        <w:noProof/>
      </w:rPr>
      <w:pict w14:anchorId="57E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57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9765" w14:textId="2E536FFE" w:rsidR="00D15FEF" w:rsidRDefault="00D15FEF">
    <w:pPr>
      <w:pStyle w:val="Header"/>
    </w:pPr>
    <w:r>
      <w:rPr>
        <w:noProof/>
      </w:rPr>
      <w:pict w14:anchorId="0839D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57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E5AE" w14:textId="7027614D" w:rsidR="00D15FEF" w:rsidRDefault="00D15FEF">
    <w:pPr>
      <w:pStyle w:val="Header"/>
    </w:pPr>
    <w:r>
      <w:rPr>
        <w:noProof/>
      </w:rPr>
      <w:pict w14:anchorId="1FA3F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57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43E"/>
    <w:multiLevelType w:val="hybridMultilevel"/>
    <w:tmpl w:val="0F3610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306DA7"/>
    <w:multiLevelType w:val="hybridMultilevel"/>
    <w:tmpl w:val="BCD24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136E62"/>
    <w:multiLevelType w:val="hybridMultilevel"/>
    <w:tmpl w:val="26F03478"/>
    <w:lvl w:ilvl="0" w:tplc="844E1FB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311B0A"/>
    <w:multiLevelType w:val="multilevel"/>
    <w:tmpl w:val="ECA4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6405E"/>
    <w:multiLevelType w:val="multilevel"/>
    <w:tmpl w:val="555C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356"/>
    <w:rsid w:val="000251EF"/>
    <w:rsid w:val="000362E7"/>
    <w:rsid w:val="00070B3F"/>
    <w:rsid w:val="000717F0"/>
    <w:rsid w:val="0007681F"/>
    <w:rsid w:val="000A0705"/>
    <w:rsid w:val="000A6597"/>
    <w:rsid w:val="000A6C74"/>
    <w:rsid w:val="000B4AE9"/>
    <w:rsid w:val="000C65A7"/>
    <w:rsid w:val="000C7942"/>
    <w:rsid w:val="000D3797"/>
    <w:rsid w:val="000E6EFF"/>
    <w:rsid w:val="000F39BA"/>
    <w:rsid w:val="000F690E"/>
    <w:rsid w:val="00100B79"/>
    <w:rsid w:val="0010458C"/>
    <w:rsid w:val="00107B68"/>
    <w:rsid w:val="00115962"/>
    <w:rsid w:val="0012193A"/>
    <w:rsid w:val="00142644"/>
    <w:rsid w:val="00142795"/>
    <w:rsid w:val="00145D99"/>
    <w:rsid w:val="001532AA"/>
    <w:rsid w:val="00157E96"/>
    <w:rsid w:val="0018028E"/>
    <w:rsid w:val="001C7CE3"/>
    <w:rsid w:val="001E46E8"/>
    <w:rsid w:val="001E4BED"/>
    <w:rsid w:val="001F5138"/>
    <w:rsid w:val="00200217"/>
    <w:rsid w:val="002073F9"/>
    <w:rsid w:val="00234548"/>
    <w:rsid w:val="0024260D"/>
    <w:rsid w:val="00254557"/>
    <w:rsid w:val="00256261"/>
    <w:rsid w:val="002615AD"/>
    <w:rsid w:val="00285169"/>
    <w:rsid w:val="00286FF1"/>
    <w:rsid w:val="00293425"/>
    <w:rsid w:val="002B1A44"/>
    <w:rsid w:val="002B2708"/>
    <w:rsid w:val="002F0368"/>
    <w:rsid w:val="00312616"/>
    <w:rsid w:val="00315D52"/>
    <w:rsid w:val="00327BCB"/>
    <w:rsid w:val="003531AB"/>
    <w:rsid w:val="00363ACF"/>
    <w:rsid w:val="0036647E"/>
    <w:rsid w:val="00380FD0"/>
    <w:rsid w:val="00381935"/>
    <w:rsid w:val="003919B4"/>
    <w:rsid w:val="003E6EFE"/>
    <w:rsid w:val="00414B9D"/>
    <w:rsid w:val="00423661"/>
    <w:rsid w:val="0042715B"/>
    <w:rsid w:val="00430085"/>
    <w:rsid w:val="004350A9"/>
    <w:rsid w:val="00472036"/>
    <w:rsid w:val="00473E3D"/>
    <w:rsid w:val="004856DF"/>
    <w:rsid w:val="00485C55"/>
    <w:rsid w:val="00491694"/>
    <w:rsid w:val="004916AA"/>
    <w:rsid w:val="004A0316"/>
    <w:rsid w:val="004A309F"/>
    <w:rsid w:val="004C14A5"/>
    <w:rsid w:val="004D14D3"/>
    <w:rsid w:val="004F6E78"/>
    <w:rsid w:val="0050237C"/>
    <w:rsid w:val="005036A0"/>
    <w:rsid w:val="00514F1D"/>
    <w:rsid w:val="00520044"/>
    <w:rsid w:val="00533699"/>
    <w:rsid w:val="00540FC5"/>
    <w:rsid w:val="00561842"/>
    <w:rsid w:val="00566E04"/>
    <w:rsid w:val="00596410"/>
    <w:rsid w:val="005A65CC"/>
    <w:rsid w:val="005C648C"/>
    <w:rsid w:val="00612BC4"/>
    <w:rsid w:val="0063219F"/>
    <w:rsid w:val="006525DF"/>
    <w:rsid w:val="00671DFF"/>
    <w:rsid w:val="00676581"/>
    <w:rsid w:val="006B5EE2"/>
    <w:rsid w:val="006C68B9"/>
    <w:rsid w:val="006E0040"/>
    <w:rsid w:val="00701EAB"/>
    <w:rsid w:val="00710855"/>
    <w:rsid w:val="0072331C"/>
    <w:rsid w:val="0074172C"/>
    <w:rsid w:val="00743FE5"/>
    <w:rsid w:val="00756451"/>
    <w:rsid w:val="007569CA"/>
    <w:rsid w:val="007709F8"/>
    <w:rsid w:val="00774D89"/>
    <w:rsid w:val="0078132A"/>
    <w:rsid w:val="00796687"/>
    <w:rsid w:val="0079710C"/>
    <w:rsid w:val="007A7BC7"/>
    <w:rsid w:val="007C5CDD"/>
    <w:rsid w:val="007F2406"/>
    <w:rsid w:val="008022B9"/>
    <w:rsid w:val="008201D7"/>
    <w:rsid w:val="008501F6"/>
    <w:rsid w:val="00851CC4"/>
    <w:rsid w:val="00866DD8"/>
    <w:rsid w:val="008677B3"/>
    <w:rsid w:val="008767C1"/>
    <w:rsid w:val="00876C8C"/>
    <w:rsid w:val="00883CAD"/>
    <w:rsid w:val="0089418F"/>
    <w:rsid w:val="00894DB2"/>
    <w:rsid w:val="008A1673"/>
    <w:rsid w:val="008A274F"/>
    <w:rsid w:val="008A4722"/>
    <w:rsid w:val="008B1783"/>
    <w:rsid w:val="008B3268"/>
    <w:rsid w:val="008C772B"/>
    <w:rsid w:val="008D489F"/>
    <w:rsid w:val="00912AA1"/>
    <w:rsid w:val="00913952"/>
    <w:rsid w:val="00917DE2"/>
    <w:rsid w:val="009230D9"/>
    <w:rsid w:val="009301FE"/>
    <w:rsid w:val="009426B4"/>
    <w:rsid w:val="009436C7"/>
    <w:rsid w:val="009450CC"/>
    <w:rsid w:val="00953B45"/>
    <w:rsid w:val="00961EE2"/>
    <w:rsid w:val="009824C9"/>
    <w:rsid w:val="009A1969"/>
    <w:rsid w:val="009B3E93"/>
    <w:rsid w:val="009B7637"/>
    <w:rsid w:val="009D71AD"/>
    <w:rsid w:val="009F2BCC"/>
    <w:rsid w:val="00A000A3"/>
    <w:rsid w:val="00A3517B"/>
    <w:rsid w:val="00A853D6"/>
    <w:rsid w:val="00AB14EB"/>
    <w:rsid w:val="00AB56D3"/>
    <w:rsid w:val="00AC34FB"/>
    <w:rsid w:val="00AC6187"/>
    <w:rsid w:val="00AE0805"/>
    <w:rsid w:val="00AF134B"/>
    <w:rsid w:val="00B018B8"/>
    <w:rsid w:val="00B04F4A"/>
    <w:rsid w:val="00B10A83"/>
    <w:rsid w:val="00B434C9"/>
    <w:rsid w:val="00B54282"/>
    <w:rsid w:val="00B65CD5"/>
    <w:rsid w:val="00B82A4B"/>
    <w:rsid w:val="00BA3054"/>
    <w:rsid w:val="00BB0AC9"/>
    <w:rsid w:val="00BB4BE5"/>
    <w:rsid w:val="00BC524B"/>
    <w:rsid w:val="00C55B54"/>
    <w:rsid w:val="00C65A07"/>
    <w:rsid w:val="00C85E02"/>
    <w:rsid w:val="00C907A3"/>
    <w:rsid w:val="00CC0F99"/>
    <w:rsid w:val="00CD2C9A"/>
    <w:rsid w:val="00CE7468"/>
    <w:rsid w:val="00CE7973"/>
    <w:rsid w:val="00D05C98"/>
    <w:rsid w:val="00D07C85"/>
    <w:rsid w:val="00D15FEF"/>
    <w:rsid w:val="00DA111C"/>
    <w:rsid w:val="00DC40F1"/>
    <w:rsid w:val="00DE3FF1"/>
    <w:rsid w:val="00DE763A"/>
    <w:rsid w:val="00DF14B8"/>
    <w:rsid w:val="00E1129A"/>
    <w:rsid w:val="00E143EA"/>
    <w:rsid w:val="00E33319"/>
    <w:rsid w:val="00E44908"/>
    <w:rsid w:val="00E52E82"/>
    <w:rsid w:val="00E543A4"/>
    <w:rsid w:val="00E62DA1"/>
    <w:rsid w:val="00E73E45"/>
    <w:rsid w:val="00E90356"/>
    <w:rsid w:val="00EB6ED0"/>
    <w:rsid w:val="00EF3213"/>
    <w:rsid w:val="00F03D91"/>
    <w:rsid w:val="00F04036"/>
    <w:rsid w:val="00F56F83"/>
    <w:rsid w:val="00F63D36"/>
    <w:rsid w:val="00F83EBF"/>
    <w:rsid w:val="00FA0B8E"/>
    <w:rsid w:val="00FA0EA6"/>
    <w:rsid w:val="00FB4870"/>
    <w:rsid w:val="00FD76BA"/>
    <w:rsid w:val="00FE24B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CC275E"/>
  <w15:docId w15:val="{912C7833-64A4-43C2-A6CA-40E90AFB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43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3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BF"/>
    <w:rPr>
      <w:rFonts w:ascii="Tahoma" w:hAnsi="Tahoma" w:cs="Tahoma"/>
      <w:sz w:val="16"/>
      <w:szCs w:val="16"/>
    </w:rPr>
  </w:style>
  <w:style w:type="character" w:styleId="Hyperlink">
    <w:name w:val="Hyperlink"/>
    <w:basedOn w:val="DefaultParagraphFont"/>
    <w:uiPriority w:val="99"/>
    <w:unhideWhenUsed/>
    <w:rsid w:val="0012193A"/>
    <w:rPr>
      <w:color w:val="0000FF" w:themeColor="hyperlink"/>
      <w:u w:val="single"/>
    </w:rPr>
  </w:style>
  <w:style w:type="character" w:styleId="Strong">
    <w:name w:val="Strong"/>
    <w:basedOn w:val="DefaultParagraphFont"/>
    <w:uiPriority w:val="22"/>
    <w:qFormat/>
    <w:rsid w:val="009B3E93"/>
    <w:rPr>
      <w:b/>
      <w:bCs/>
    </w:rPr>
  </w:style>
  <w:style w:type="paragraph" w:styleId="NormalWeb">
    <w:name w:val="Normal (Web)"/>
    <w:basedOn w:val="Normal"/>
    <w:uiPriority w:val="99"/>
    <w:unhideWhenUsed/>
    <w:rsid w:val="009B3E9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r-only">
    <w:name w:val="sr-only"/>
    <w:basedOn w:val="DefaultParagraphFont"/>
    <w:rsid w:val="009B3E93"/>
  </w:style>
  <w:style w:type="paragraph" w:styleId="ListParagraph">
    <w:name w:val="List Paragraph"/>
    <w:basedOn w:val="Normal"/>
    <w:uiPriority w:val="34"/>
    <w:qFormat/>
    <w:rsid w:val="008B1783"/>
    <w:pPr>
      <w:ind w:left="720"/>
      <w:contextualSpacing/>
    </w:pPr>
  </w:style>
  <w:style w:type="character" w:styleId="Emphasis">
    <w:name w:val="Emphasis"/>
    <w:basedOn w:val="DefaultParagraphFont"/>
    <w:uiPriority w:val="20"/>
    <w:qFormat/>
    <w:rsid w:val="008B1783"/>
    <w:rPr>
      <w:i/>
      <w:iCs/>
    </w:rPr>
  </w:style>
  <w:style w:type="character" w:styleId="UnresolvedMention">
    <w:name w:val="Unresolved Mention"/>
    <w:basedOn w:val="DefaultParagraphFont"/>
    <w:uiPriority w:val="99"/>
    <w:semiHidden/>
    <w:unhideWhenUsed/>
    <w:rsid w:val="007A7BC7"/>
    <w:rPr>
      <w:color w:val="605E5C"/>
      <w:shd w:val="clear" w:color="auto" w:fill="E1DFDD"/>
    </w:rPr>
  </w:style>
  <w:style w:type="paragraph" w:styleId="Header">
    <w:name w:val="header"/>
    <w:basedOn w:val="Normal"/>
    <w:link w:val="HeaderChar"/>
    <w:uiPriority w:val="99"/>
    <w:unhideWhenUsed/>
    <w:rsid w:val="00D1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EF"/>
  </w:style>
  <w:style w:type="paragraph" w:styleId="Footer">
    <w:name w:val="footer"/>
    <w:basedOn w:val="Normal"/>
    <w:link w:val="FooterChar"/>
    <w:uiPriority w:val="99"/>
    <w:unhideWhenUsed/>
    <w:rsid w:val="00D1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3922">
      <w:bodyDiv w:val="1"/>
      <w:marLeft w:val="0"/>
      <w:marRight w:val="0"/>
      <w:marTop w:val="0"/>
      <w:marBottom w:val="0"/>
      <w:divBdr>
        <w:top w:val="none" w:sz="0" w:space="0" w:color="auto"/>
        <w:left w:val="none" w:sz="0" w:space="0" w:color="auto"/>
        <w:bottom w:val="none" w:sz="0" w:space="0" w:color="auto"/>
        <w:right w:val="none" w:sz="0" w:space="0" w:color="auto"/>
      </w:divBdr>
    </w:div>
    <w:div w:id="271086080">
      <w:bodyDiv w:val="1"/>
      <w:marLeft w:val="0"/>
      <w:marRight w:val="0"/>
      <w:marTop w:val="0"/>
      <w:marBottom w:val="0"/>
      <w:divBdr>
        <w:top w:val="none" w:sz="0" w:space="0" w:color="auto"/>
        <w:left w:val="none" w:sz="0" w:space="0" w:color="auto"/>
        <w:bottom w:val="none" w:sz="0" w:space="0" w:color="auto"/>
        <w:right w:val="none" w:sz="0" w:space="0" w:color="auto"/>
      </w:divBdr>
    </w:div>
    <w:div w:id="328680363">
      <w:bodyDiv w:val="1"/>
      <w:marLeft w:val="0"/>
      <w:marRight w:val="0"/>
      <w:marTop w:val="0"/>
      <w:marBottom w:val="0"/>
      <w:divBdr>
        <w:top w:val="none" w:sz="0" w:space="0" w:color="auto"/>
        <w:left w:val="none" w:sz="0" w:space="0" w:color="auto"/>
        <w:bottom w:val="none" w:sz="0" w:space="0" w:color="auto"/>
        <w:right w:val="none" w:sz="0" w:space="0" w:color="auto"/>
      </w:divBdr>
    </w:div>
    <w:div w:id="618537574">
      <w:bodyDiv w:val="1"/>
      <w:marLeft w:val="0"/>
      <w:marRight w:val="0"/>
      <w:marTop w:val="0"/>
      <w:marBottom w:val="0"/>
      <w:divBdr>
        <w:top w:val="none" w:sz="0" w:space="0" w:color="auto"/>
        <w:left w:val="none" w:sz="0" w:space="0" w:color="auto"/>
        <w:bottom w:val="none" w:sz="0" w:space="0" w:color="auto"/>
        <w:right w:val="none" w:sz="0" w:space="0" w:color="auto"/>
      </w:divBdr>
    </w:div>
    <w:div w:id="643655238">
      <w:bodyDiv w:val="1"/>
      <w:marLeft w:val="0"/>
      <w:marRight w:val="0"/>
      <w:marTop w:val="0"/>
      <w:marBottom w:val="0"/>
      <w:divBdr>
        <w:top w:val="none" w:sz="0" w:space="0" w:color="auto"/>
        <w:left w:val="none" w:sz="0" w:space="0" w:color="auto"/>
        <w:bottom w:val="none" w:sz="0" w:space="0" w:color="auto"/>
        <w:right w:val="none" w:sz="0" w:space="0" w:color="auto"/>
      </w:divBdr>
      <w:divsChild>
        <w:div w:id="1113672530">
          <w:marLeft w:val="0"/>
          <w:marRight w:val="0"/>
          <w:marTop w:val="0"/>
          <w:marBottom w:val="0"/>
          <w:divBdr>
            <w:top w:val="none" w:sz="0" w:space="0" w:color="auto"/>
            <w:left w:val="none" w:sz="0" w:space="0" w:color="auto"/>
            <w:bottom w:val="none" w:sz="0" w:space="0" w:color="auto"/>
            <w:right w:val="none" w:sz="0" w:space="0" w:color="auto"/>
          </w:divBdr>
          <w:divsChild>
            <w:div w:id="5630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4029">
      <w:bodyDiv w:val="1"/>
      <w:marLeft w:val="0"/>
      <w:marRight w:val="0"/>
      <w:marTop w:val="0"/>
      <w:marBottom w:val="0"/>
      <w:divBdr>
        <w:top w:val="none" w:sz="0" w:space="0" w:color="auto"/>
        <w:left w:val="none" w:sz="0" w:space="0" w:color="auto"/>
        <w:bottom w:val="none" w:sz="0" w:space="0" w:color="auto"/>
        <w:right w:val="none" w:sz="0" w:space="0" w:color="auto"/>
      </w:divBdr>
    </w:div>
    <w:div w:id="1172573945">
      <w:bodyDiv w:val="1"/>
      <w:marLeft w:val="0"/>
      <w:marRight w:val="0"/>
      <w:marTop w:val="0"/>
      <w:marBottom w:val="0"/>
      <w:divBdr>
        <w:top w:val="none" w:sz="0" w:space="0" w:color="auto"/>
        <w:left w:val="none" w:sz="0" w:space="0" w:color="auto"/>
        <w:bottom w:val="none" w:sz="0" w:space="0" w:color="auto"/>
        <w:right w:val="none" w:sz="0" w:space="0" w:color="auto"/>
      </w:divBdr>
    </w:div>
    <w:div w:id="1263688550">
      <w:bodyDiv w:val="1"/>
      <w:marLeft w:val="0"/>
      <w:marRight w:val="0"/>
      <w:marTop w:val="0"/>
      <w:marBottom w:val="0"/>
      <w:divBdr>
        <w:top w:val="none" w:sz="0" w:space="0" w:color="auto"/>
        <w:left w:val="none" w:sz="0" w:space="0" w:color="auto"/>
        <w:bottom w:val="none" w:sz="0" w:space="0" w:color="auto"/>
        <w:right w:val="none" w:sz="0" w:space="0" w:color="auto"/>
      </w:divBdr>
    </w:div>
    <w:div w:id="1344167533">
      <w:bodyDiv w:val="1"/>
      <w:marLeft w:val="0"/>
      <w:marRight w:val="0"/>
      <w:marTop w:val="0"/>
      <w:marBottom w:val="0"/>
      <w:divBdr>
        <w:top w:val="none" w:sz="0" w:space="0" w:color="auto"/>
        <w:left w:val="none" w:sz="0" w:space="0" w:color="auto"/>
        <w:bottom w:val="none" w:sz="0" w:space="0" w:color="auto"/>
        <w:right w:val="none" w:sz="0" w:space="0" w:color="auto"/>
      </w:divBdr>
      <w:divsChild>
        <w:div w:id="1526939961">
          <w:marLeft w:val="0"/>
          <w:marRight w:val="0"/>
          <w:marTop w:val="0"/>
          <w:marBottom w:val="0"/>
          <w:divBdr>
            <w:top w:val="none" w:sz="0" w:space="0" w:color="auto"/>
            <w:left w:val="none" w:sz="0" w:space="0" w:color="auto"/>
            <w:bottom w:val="none" w:sz="0" w:space="0" w:color="auto"/>
            <w:right w:val="none" w:sz="0" w:space="0" w:color="auto"/>
          </w:divBdr>
          <w:divsChild>
            <w:div w:id="2082093186">
              <w:marLeft w:val="0"/>
              <w:marRight w:val="0"/>
              <w:marTop w:val="0"/>
              <w:marBottom w:val="0"/>
              <w:divBdr>
                <w:top w:val="none" w:sz="0" w:space="0" w:color="auto"/>
                <w:left w:val="none" w:sz="0" w:space="0" w:color="auto"/>
                <w:bottom w:val="none" w:sz="0" w:space="0" w:color="auto"/>
                <w:right w:val="none" w:sz="0" w:space="0" w:color="auto"/>
              </w:divBdr>
              <w:divsChild>
                <w:div w:id="2094088671">
                  <w:marLeft w:val="0"/>
                  <w:marRight w:val="0"/>
                  <w:marTop w:val="0"/>
                  <w:marBottom w:val="0"/>
                  <w:divBdr>
                    <w:top w:val="none" w:sz="0" w:space="0" w:color="auto"/>
                    <w:left w:val="none" w:sz="0" w:space="0" w:color="auto"/>
                    <w:bottom w:val="none" w:sz="0" w:space="0" w:color="auto"/>
                    <w:right w:val="none" w:sz="0" w:space="0" w:color="auto"/>
                  </w:divBdr>
                  <w:divsChild>
                    <w:div w:id="311838778">
                      <w:marLeft w:val="0"/>
                      <w:marRight w:val="0"/>
                      <w:marTop w:val="0"/>
                      <w:marBottom w:val="0"/>
                      <w:divBdr>
                        <w:top w:val="none" w:sz="0" w:space="0" w:color="auto"/>
                        <w:left w:val="none" w:sz="0" w:space="0" w:color="auto"/>
                        <w:bottom w:val="none" w:sz="0" w:space="0" w:color="auto"/>
                        <w:right w:val="none" w:sz="0" w:space="0" w:color="auto"/>
                      </w:divBdr>
                      <w:divsChild>
                        <w:div w:id="1982464331">
                          <w:marLeft w:val="0"/>
                          <w:marRight w:val="0"/>
                          <w:marTop w:val="0"/>
                          <w:marBottom w:val="0"/>
                          <w:divBdr>
                            <w:top w:val="none" w:sz="0" w:space="0" w:color="auto"/>
                            <w:left w:val="none" w:sz="0" w:space="0" w:color="auto"/>
                            <w:bottom w:val="none" w:sz="0" w:space="0" w:color="auto"/>
                            <w:right w:val="none" w:sz="0" w:space="0" w:color="auto"/>
                          </w:divBdr>
                          <w:divsChild>
                            <w:div w:id="1288856079">
                              <w:marLeft w:val="0"/>
                              <w:marRight w:val="0"/>
                              <w:marTop w:val="0"/>
                              <w:marBottom w:val="0"/>
                              <w:divBdr>
                                <w:top w:val="none" w:sz="0" w:space="0" w:color="auto"/>
                                <w:left w:val="none" w:sz="0" w:space="0" w:color="auto"/>
                                <w:bottom w:val="none" w:sz="0" w:space="0" w:color="auto"/>
                                <w:right w:val="none" w:sz="0" w:space="0" w:color="auto"/>
                              </w:divBdr>
                              <w:divsChild>
                                <w:div w:id="1837651255">
                                  <w:marLeft w:val="0"/>
                                  <w:marRight w:val="0"/>
                                  <w:marTop w:val="0"/>
                                  <w:marBottom w:val="0"/>
                                  <w:divBdr>
                                    <w:top w:val="none" w:sz="0" w:space="0" w:color="auto"/>
                                    <w:left w:val="none" w:sz="0" w:space="0" w:color="auto"/>
                                    <w:bottom w:val="none" w:sz="0" w:space="0" w:color="auto"/>
                                    <w:right w:val="none" w:sz="0" w:space="0" w:color="auto"/>
                                  </w:divBdr>
                                  <w:divsChild>
                                    <w:div w:id="7101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23354">
                  <w:marLeft w:val="0"/>
                  <w:marRight w:val="0"/>
                  <w:marTop w:val="0"/>
                  <w:marBottom w:val="0"/>
                  <w:divBdr>
                    <w:top w:val="none" w:sz="0" w:space="0" w:color="auto"/>
                    <w:left w:val="none" w:sz="0" w:space="0" w:color="auto"/>
                    <w:bottom w:val="none" w:sz="0" w:space="0" w:color="auto"/>
                    <w:right w:val="none" w:sz="0" w:space="0" w:color="auto"/>
                  </w:divBdr>
                  <w:divsChild>
                    <w:div w:id="3181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0900">
      <w:bodyDiv w:val="1"/>
      <w:marLeft w:val="0"/>
      <w:marRight w:val="0"/>
      <w:marTop w:val="0"/>
      <w:marBottom w:val="0"/>
      <w:divBdr>
        <w:top w:val="none" w:sz="0" w:space="0" w:color="auto"/>
        <w:left w:val="none" w:sz="0" w:space="0" w:color="auto"/>
        <w:bottom w:val="none" w:sz="0" w:space="0" w:color="auto"/>
        <w:right w:val="none" w:sz="0" w:space="0" w:color="auto"/>
      </w:divBdr>
    </w:div>
    <w:div w:id="1409964258">
      <w:bodyDiv w:val="1"/>
      <w:marLeft w:val="0"/>
      <w:marRight w:val="0"/>
      <w:marTop w:val="0"/>
      <w:marBottom w:val="0"/>
      <w:divBdr>
        <w:top w:val="none" w:sz="0" w:space="0" w:color="auto"/>
        <w:left w:val="none" w:sz="0" w:space="0" w:color="auto"/>
        <w:bottom w:val="none" w:sz="0" w:space="0" w:color="auto"/>
        <w:right w:val="none" w:sz="0" w:space="0" w:color="auto"/>
      </w:divBdr>
    </w:div>
    <w:div w:id="1564441477">
      <w:bodyDiv w:val="1"/>
      <w:marLeft w:val="0"/>
      <w:marRight w:val="0"/>
      <w:marTop w:val="0"/>
      <w:marBottom w:val="0"/>
      <w:divBdr>
        <w:top w:val="none" w:sz="0" w:space="0" w:color="auto"/>
        <w:left w:val="none" w:sz="0" w:space="0" w:color="auto"/>
        <w:bottom w:val="none" w:sz="0" w:space="0" w:color="auto"/>
        <w:right w:val="none" w:sz="0" w:space="0" w:color="auto"/>
      </w:divBdr>
    </w:div>
    <w:div w:id="1624535287">
      <w:bodyDiv w:val="1"/>
      <w:marLeft w:val="0"/>
      <w:marRight w:val="0"/>
      <w:marTop w:val="0"/>
      <w:marBottom w:val="0"/>
      <w:divBdr>
        <w:top w:val="none" w:sz="0" w:space="0" w:color="auto"/>
        <w:left w:val="none" w:sz="0" w:space="0" w:color="auto"/>
        <w:bottom w:val="none" w:sz="0" w:space="0" w:color="auto"/>
        <w:right w:val="none" w:sz="0" w:space="0" w:color="auto"/>
      </w:divBdr>
      <w:divsChild>
        <w:div w:id="1879968978">
          <w:marLeft w:val="0"/>
          <w:marRight w:val="0"/>
          <w:marTop w:val="0"/>
          <w:marBottom w:val="0"/>
          <w:divBdr>
            <w:top w:val="none" w:sz="0" w:space="0" w:color="auto"/>
            <w:left w:val="none" w:sz="0" w:space="0" w:color="auto"/>
            <w:bottom w:val="none" w:sz="0" w:space="0" w:color="auto"/>
            <w:right w:val="none" w:sz="0" w:space="0" w:color="auto"/>
          </w:divBdr>
          <w:divsChild>
            <w:div w:id="14776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3390/ani1315247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9734/ajravs/2024/v7i229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476218881730692"/>
          <c:y val="9.1352899069434668E-2"/>
          <c:w val="0.72941839656406571"/>
          <c:h val="0.73684698503596147"/>
        </c:manualLayout>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Hb(mg/dl)</c:v>
                </c:pt>
                <c:pt idx="1">
                  <c:v>TEC(x 106/μl)</c:v>
                </c:pt>
                <c:pt idx="2">
                  <c:v>PCV(%)</c:v>
                </c:pt>
                <c:pt idx="3">
                  <c:v>MCV(fl)</c:v>
                </c:pt>
                <c:pt idx="4">
                  <c:v>Platelet (103/μl)</c:v>
                </c:pt>
              </c:strCache>
            </c:strRef>
          </c:cat>
          <c:val>
            <c:numRef>
              <c:f>Sheet1!$B$2:$B$6</c:f>
              <c:numCache>
                <c:formatCode>General</c:formatCode>
                <c:ptCount val="5"/>
                <c:pt idx="0">
                  <c:v>13.31</c:v>
                </c:pt>
                <c:pt idx="1">
                  <c:v>6.51</c:v>
                </c:pt>
                <c:pt idx="2">
                  <c:v>41.5</c:v>
                </c:pt>
                <c:pt idx="3">
                  <c:v>63.790000000000013</c:v>
                </c:pt>
                <c:pt idx="4">
                  <c:v>380.1</c:v>
                </c:pt>
              </c:numCache>
            </c:numRef>
          </c:val>
          <c:extLst>
            <c:ext xmlns:c16="http://schemas.microsoft.com/office/drawing/2014/chart" uri="{C3380CC4-5D6E-409C-BE32-E72D297353CC}">
              <c16:uniqueId val="{00000000-A8D0-47C4-9317-5302167DA45A}"/>
            </c:ext>
          </c:extLst>
        </c:ser>
        <c:ser>
          <c:idx val="1"/>
          <c:order val="1"/>
          <c:tx>
            <c:strRef>
              <c:f>Sheet1!$C$1</c:f>
              <c:strCache>
                <c:ptCount val="1"/>
                <c:pt idx="0">
                  <c:v>Diabetic</c:v>
                </c:pt>
              </c:strCache>
            </c:strRef>
          </c:tx>
          <c:invertIfNegative val="0"/>
          <c:dLbls>
            <c:dLbl>
              <c:idx val="4"/>
              <c:layout>
                <c:manualLayout>
                  <c:x val="1.01010101010101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D0-47C4-9317-5302167DA45A}"/>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Hb(mg/dl)</c:v>
                </c:pt>
                <c:pt idx="1">
                  <c:v>TEC(x 106/μl)</c:v>
                </c:pt>
                <c:pt idx="2">
                  <c:v>PCV(%)</c:v>
                </c:pt>
                <c:pt idx="3">
                  <c:v>MCV(fl)</c:v>
                </c:pt>
                <c:pt idx="4">
                  <c:v>Platelet (103/μl)</c:v>
                </c:pt>
              </c:strCache>
            </c:strRef>
          </c:cat>
          <c:val>
            <c:numRef>
              <c:f>Sheet1!$C$2:$C$6</c:f>
              <c:numCache>
                <c:formatCode>General</c:formatCode>
                <c:ptCount val="5"/>
                <c:pt idx="0">
                  <c:v>12.83</c:v>
                </c:pt>
                <c:pt idx="1">
                  <c:v>6.35</c:v>
                </c:pt>
                <c:pt idx="2">
                  <c:v>41.61</c:v>
                </c:pt>
                <c:pt idx="3">
                  <c:v>65.52</c:v>
                </c:pt>
                <c:pt idx="4">
                  <c:v>391.38</c:v>
                </c:pt>
              </c:numCache>
            </c:numRef>
          </c:val>
          <c:extLst>
            <c:ext xmlns:c16="http://schemas.microsoft.com/office/drawing/2014/chart" uri="{C3380CC4-5D6E-409C-BE32-E72D297353CC}">
              <c16:uniqueId val="{00000002-A8D0-47C4-9317-5302167DA45A}"/>
            </c:ext>
          </c:extLst>
        </c:ser>
        <c:dLbls>
          <c:showLegendKey val="0"/>
          <c:showVal val="0"/>
          <c:showCatName val="0"/>
          <c:showSerName val="0"/>
          <c:showPercent val="0"/>
          <c:showBubbleSize val="0"/>
        </c:dLbls>
        <c:gapWidth val="150"/>
        <c:shape val="box"/>
        <c:axId val="167196544"/>
        <c:axId val="167395328"/>
        <c:axId val="0"/>
      </c:bar3DChart>
      <c:catAx>
        <c:axId val="167196544"/>
        <c:scaling>
          <c:orientation val="minMax"/>
        </c:scaling>
        <c:delete val="0"/>
        <c:axPos val="b"/>
        <c:numFmt formatCode="General" sourceLinked="0"/>
        <c:majorTickMark val="out"/>
        <c:minorTickMark val="none"/>
        <c:tickLblPos val="nextTo"/>
        <c:txPr>
          <a:bodyPr/>
          <a:lstStyle/>
          <a:p>
            <a:pPr>
              <a:defRPr lang="en-IN"/>
            </a:pPr>
            <a:endParaRPr lang="en-US"/>
          </a:p>
        </c:txPr>
        <c:crossAx val="167395328"/>
        <c:crosses val="autoZero"/>
        <c:auto val="1"/>
        <c:lblAlgn val="ctr"/>
        <c:lblOffset val="100"/>
        <c:noMultiLvlLbl val="0"/>
      </c:catAx>
      <c:valAx>
        <c:axId val="16739532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6719654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807643362761469E-2"/>
          <c:y val="6.9707877424412923E-2"/>
          <c:w val="0.75232243696811696"/>
          <c:h val="0.61569621979070865"/>
        </c:manualLayout>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TLC(x103/μl)</c:v>
                </c:pt>
                <c:pt idx="1">
                  <c:v>Lymphocytes (%)</c:v>
                </c:pt>
                <c:pt idx="2">
                  <c:v>Neutrophils (%)</c:v>
                </c:pt>
                <c:pt idx="3">
                  <c:v>Monocytes (%)</c:v>
                </c:pt>
                <c:pt idx="4">
                  <c:v>Eosinophils (%)</c:v>
                </c:pt>
                <c:pt idx="5">
                  <c:v>Basophils (%)</c:v>
                </c:pt>
              </c:strCache>
            </c:strRef>
          </c:cat>
          <c:val>
            <c:numRef>
              <c:f>Sheet1!$B$2:$B$7</c:f>
              <c:numCache>
                <c:formatCode>General</c:formatCode>
                <c:ptCount val="6"/>
                <c:pt idx="0">
                  <c:v>8.31</c:v>
                </c:pt>
                <c:pt idx="1">
                  <c:v>18.3</c:v>
                </c:pt>
                <c:pt idx="2">
                  <c:v>73.8</c:v>
                </c:pt>
                <c:pt idx="3">
                  <c:v>4.7</c:v>
                </c:pt>
                <c:pt idx="4">
                  <c:v>3</c:v>
                </c:pt>
                <c:pt idx="5">
                  <c:v>0.2</c:v>
                </c:pt>
              </c:numCache>
            </c:numRef>
          </c:val>
          <c:extLst>
            <c:ext xmlns:c16="http://schemas.microsoft.com/office/drawing/2014/chart" uri="{C3380CC4-5D6E-409C-BE32-E72D297353CC}">
              <c16:uniqueId val="{00000000-A4F4-4F00-9BEA-3F864BE295D4}"/>
            </c:ext>
          </c:extLst>
        </c:ser>
        <c:ser>
          <c:idx val="1"/>
          <c:order val="1"/>
          <c:tx>
            <c:strRef>
              <c:f>Sheet1!$C$1</c:f>
              <c:strCache>
                <c:ptCount val="1"/>
                <c:pt idx="0">
                  <c:v>Diabetic</c:v>
                </c:pt>
              </c:strCache>
            </c:strRef>
          </c:tx>
          <c:invertIfNegative val="0"/>
          <c:dLbls>
            <c:dLbl>
              <c:idx val="2"/>
              <c:layout>
                <c:manualLayout>
                  <c:x val="7.57555873697608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F4-4F00-9BEA-3F864BE295D4}"/>
                </c:ext>
              </c:extLst>
            </c:dLbl>
            <c:dLbl>
              <c:idx val="4"/>
              <c:layout>
                <c:manualLayout>
                  <c:x val="5.05050505050514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F4-4F00-9BEA-3F864BE295D4}"/>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TLC(x103/μl)</c:v>
                </c:pt>
                <c:pt idx="1">
                  <c:v>Lymphocytes (%)</c:v>
                </c:pt>
                <c:pt idx="2">
                  <c:v>Neutrophils (%)</c:v>
                </c:pt>
                <c:pt idx="3">
                  <c:v>Monocytes (%)</c:v>
                </c:pt>
                <c:pt idx="4">
                  <c:v>Eosinophils (%)</c:v>
                </c:pt>
                <c:pt idx="5">
                  <c:v>Basophils (%)</c:v>
                </c:pt>
              </c:strCache>
            </c:strRef>
          </c:cat>
          <c:val>
            <c:numRef>
              <c:f>Sheet1!$C$2:$C$7</c:f>
              <c:numCache>
                <c:formatCode>General</c:formatCode>
                <c:ptCount val="6"/>
                <c:pt idx="0">
                  <c:v>8.4600000000000026</c:v>
                </c:pt>
                <c:pt idx="1">
                  <c:v>16.23</c:v>
                </c:pt>
                <c:pt idx="2">
                  <c:v>76.61</c:v>
                </c:pt>
                <c:pt idx="3">
                  <c:v>4.1499999999999995</c:v>
                </c:pt>
                <c:pt idx="4">
                  <c:v>2.84</c:v>
                </c:pt>
                <c:pt idx="5">
                  <c:v>0.23</c:v>
                </c:pt>
              </c:numCache>
            </c:numRef>
          </c:val>
          <c:extLst>
            <c:ext xmlns:c16="http://schemas.microsoft.com/office/drawing/2014/chart" uri="{C3380CC4-5D6E-409C-BE32-E72D297353CC}">
              <c16:uniqueId val="{00000003-A4F4-4F00-9BEA-3F864BE295D4}"/>
            </c:ext>
          </c:extLst>
        </c:ser>
        <c:dLbls>
          <c:showLegendKey val="0"/>
          <c:showVal val="0"/>
          <c:showCatName val="0"/>
          <c:showSerName val="0"/>
          <c:showPercent val="0"/>
          <c:showBubbleSize val="0"/>
        </c:dLbls>
        <c:gapWidth val="150"/>
        <c:shape val="box"/>
        <c:axId val="164855168"/>
        <c:axId val="164906112"/>
        <c:axId val="0"/>
      </c:bar3DChart>
      <c:catAx>
        <c:axId val="164855168"/>
        <c:scaling>
          <c:orientation val="minMax"/>
        </c:scaling>
        <c:delete val="0"/>
        <c:axPos val="b"/>
        <c:numFmt formatCode="General" sourceLinked="0"/>
        <c:majorTickMark val="out"/>
        <c:minorTickMark val="none"/>
        <c:tickLblPos val="nextTo"/>
        <c:txPr>
          <a:bodyPr/>
          <a:lstStyle/>
          <a:p>
            <a:pPr>
              <a:defRPr lang="en-IN"/>
            </a:pPr>
            <a:endParaRPr lang="en-US"/>
          </a:p>
        </c:txPr>
        <c:crossAx val="164906112"/>
        <c:crosses val="autoZero"/>
        <c:auto val="1"/>
        <c:lblAlgn val="ctr"/>
        <c:lblOffset val="100"/>
        <c:noMultiLvlLbl val="0"/>
      </c:catAx>
      <c:valAx>
        <c:axId val="164906112"/>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6485516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ALT(IU/L)</c:v>
                </c:pt>
                <c:pt idx="2">
                  <c:v>ALP(IU/L)</c:v>
                </c:pt>
                <c:pt idx="3">
                  <c:v>Triglycerides(mg/dl</c:v>
                </c:pt>
                <c:pt idx="4">
                  <c:v>Cholesterol(mg/dl)</c:v>
                </c:pt>
              </c:strCache>
            </c:strRef>
          </c:cat>
          <c:val>
            <c:numRef>
              <c:f>Sheet1!$B$2:$B$6</c:f>
              <c:numCache>
                <c:formatCode>General</c:formatCode>
                <c:ptCount val="5"/>
                <c:pt idx="0">
                  <c:v>92.6</c:v>
                </c:pt>
                <c:pt idx="1">
                  <c:v>42.4</c:v>
                </c:pt>
                <c:pt idx="2">
                  <c:v>63.8</c:v>
                </c:pt>
                <c:pt idx="3">
                  <c:v>47.6</c:v>
                </c:pt>
                <c:pt idx="4">
                  <c:v>139.9</c:v>
                </c:pt>
              </c:numCache>
            </c:numRef>
          </c:val>
          <c:extLst>
            <c:ext xmlns:c16="http://schemas.microsoft.com/office/drawing/2014/chart" uri="{C3380CC4-5D6E-409C-BE32-E72D297353CC}">
              <c16:uniqueId val="{00000000-3B66-46C1-931C-D828C93B24E3}"/>
            </c:ext>
          </c:extLst>
        </c:ser>
        <c:ser>
          <c:idx val="1"/>
          <c:order val="1"/>
          <c:tx>
            <c:strRef>
              <c:f>Sheet1!$C$1</c:f>
              <c:strCache>
                <c:ptCount val="1"/>
                <c:pt idx="0">
                  <c:v>Diabetic</c:v>
                </c:pt>
              </c:strCache>
            </c:strRef>
          </c:tx>
          <c:invertIfNegative val="0"/>
          <c:dLbls>
            <c:dLbl>
              <c:idx val="4"/>
              <c:layout>
                <c:manualLayout>
                  <c:x val="5.05050505050514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66-46C1-931C-D828C93B24E3}"/>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ALT(IU/L)</c:v>
                </c:pt>
                <c:pt idx="2">
                  <c:v>ALP(IU/L)</c:v>
                </c:pt>
                <c:pt idx="3">
                  <c:v>Triglycerides(mg/dl</c:v>
                </c:pt>
                <c:pt idx="4">
                  <c:v>Cholesterol(mg/dl)</c:v>
                </c:pt>
              </c:strCache>
            </c:strRef>
          </c:cat>
          <c:val>
            <c:numRef>
              <c:f>Sheet1!$C$2:$C$6</c:f>
              <c:numCache>
                <c:formatCode>General</c:formatCode>
                <c:ptCount val="5"/>
                <c:pt idx="0">
                  <c:v>315.83999999999969</c:v>
                </c:pt>
                <c:pt idx="1">
                  <c:v>107.23</c:v>
                </c:pt>
                <c:pt idx="2">
                  <c:v>177.92000000000004</c:v>
                </c:pt>
                <c:pt idx="3">
                  <c:v>188.60999999999999</c:v>
                </c:pt>
                <c:pt idx="4">
                  <c:v>249.92000000000004</c:v>
                </c:pt>
              </c:numCache>
            </c:numRef>
          </c:val>
          <c:extLst>
            <c:ext xmlns:c16="http://schemas.microsoft.com/office/drawing/2014/chart" uri="{C3380CC4-5D6E-409C-BE32-E72D297353CC}">
              <c16:uniqueId val="{00000002-3B66-46C1-931C-D828C93B24E3}"/>
            </c:ext>
          </c:extLst>
        </c:ser>
        <c:dLbls>
          <c:showLegendKey val="0"/>
          <c:showVal val="0"/>
          <c:showCatName val="0"/>
          <c:showSerName val="0"/>
          <c:showPercent val="0"/>
          <c:showBubbleSize val="0"/>
        </c:dLbls>
        <c:gapWidth val="150"/>
        <c:shape val="box"/>
        <c:axId val="137357568"/>
        <c:axId val="164855808"/>
        <c:axId val="0"/>
      </c:bar3DChart>
      <c:catAx>
        <c:axId val="137357568"/>
        <c:scaling>
          <c:orientation val="minMax"/>
        </c:scaling>
        <c:delete val="0"/>
        <c:axPos val="b"/>
        <c:numFmt formatCode="General" sourceLinked="0"/>
        <c:majorTickMark val="out"/>
        <c:minorTickMark val="none"/>
        <c:tickLblPos val="nextTo"/>
        <c:txPr>
          <a:bodyPr/>
          <a:lstStyle/>
          <a:p>
            <a:pPr>
              <a:defRPr lang="en-IN"/>
            </a:pPr>
            <a:endParaRPr lang="en-US"/>
          </a:p>
        </c:txPr>
        <c:crossAx val="164855808"/>
        <c:crosses val="autoZero"/>
        <c:auto val="1"/>
        <c:lblAlgn val="ctr"/>
        <c:lblOffset val="100"/>
        <c:noMultiLvlLbl val="0"/>
      </c:catAx>
      <c:valAx>
        <c:axId val="16485580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3735756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BUN(mg/dl)</c:v>
                </c:pt>
                <c:pt idx="1">
                  <c:v>Creatinine(mg/dl)</c:v>
                </c:pt>
                <c:pt idx="2">
                  <c:v>Calcium(mg/dl</c:v>
                </c:pt>
                <c:pt idx="3">
                  <c:v>Phosphorus(mg/dl)</c:v>
                </c:pt>
              </c:strCache>
            </c:strRef>
          </c:cat>
          <c:val>
            <c:numRef>
              <c:f>Sheet1!$B$2:$B$5</c:f>
              <c:numCache>
                <c:formatCode>General</c:formatCode>
                <c:ptCount val="4"/>
                <c:pt idx="0">
                  <c:v>21.9</c:v>
                </c:pt>
                <c:pt idx="1">
                  <c:v>1.1399999999999963</c:v>
                </c:pt>
                <c:pt idx="2">
                  <c:v>9.27</c:v>
                </c:pt>
                <c:pt idx="3">
                  <c:v>5.46</c:v>
                </c:pt>
              </c:numCache>
            </c:numRef>
          </c:val>
          <c:extLst>
            <c:ext xmlns:c16="http://schemas.microsoft.com/office/drawing/2014/chart" uri="{C3380CC4-5D6E-409C-BE32-E72D297353CC}">
              <c16:uniqueId val="{00000000-3FF8-4923-B686-6C339816F750}"/>
            </c:ext>
          </c:extLst>
        </c:ser>
        <c:ser>
          <c:idx val="1"/>
          <c:order val="1"/>
          <c:tx>
            <c:strRef>
              <c:f>Sheet1!$C$1</c:f>
              <c:strCache>
                <c:ptCount val="1"/>
                <c:pt idx="0">
                  <c:v>Diabetic</c:v>
                </c:pt>
              </c:strCache>
            </c:strRef>
          </c:tx>
          <c:invertIfNegative val="0"/>
          <c:dLbls>
            <c:dLbl>
              <c:idx val="3"/>
              <c:tx>
                <c:rich>
                  <a:bodyPr/>
                  <a:lstStyle/>
                  <a:p>
                    <a:r>
                      <a:rPr lang="en-US"/>
                      <a:t>5.96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F8-4923-B686-6C339816F750}"/>
                </c:ext>
              </c:extLst>
            </c:dLbl>
            <c:spPr>
              <a:noFill/>
              <a:ln>
                <a:noFill/>
              </a:ln>
              <a:effectLst/>
            </c:spPr>
            <c:txPr>
              <a:bodyPr rot="-5400000" vert="horz"/>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BUN(mg/dl)</c:v>
                </c:pt>
                <c:pt idx="1">
                  <c:v>Creatinine(mg/dl)</c:v>
                </c:pt>
                <c:pt idx="2">
                  <c:v>Calcium(mg/dl</c:v>
                </c:pt>
                <c:pt idx="3">
                  <c:v>Phosphorus(mg/dl)</c:v>
                </c:pt>
              </c:strCache>
            </c:strRef>
          </c:cat>
          <c:val>
            <c:numRef>
              <c:f>Sheet1!$C$2:$C$5</c:f>
              <c:numCache>
                <c:formatCode>General</c:formatCode>
                <c:ptCount val="4"/>
                <c:pt idx="0">
                  <c:v>30.55</c:v>
                </c:pt>
                <c:pt idx="1">
                  <c:v>1.6900000000000033</c:v>
                </c:pt>
                <c:pt idx="2">
                  <c:v>12.03</c:v>
                </c:pt>
                <c:pt idx="3">
                  <c:v>5.96</c:v>
                </c:pt>
              </c:numCache>
            </c:numRef>
          </c:val>
          <c:extLst>
            <c:ext xmlns:c16="http://schemas.microsoft.com/office/drawing/2014/chart" uri="{C3380CC4-5D6E-409C-BE32-E72D297353CC}">
              <c16:uniqueId val="{00000002-3FF8-4923-B686-6C339816F750}"/>
            </c:ext>
          </c:extLst>
        </c:ser>
        <c:dLbls>
          <c:showLegendKey val="0"/>
          <c:showVal val="0"/>
          <c:showCatName val="0"/>
          <c:showSerName val="0"/>
          <c:showPercent val="0"/>
          <c:showBubbleSize val="0"/>
        </c:dLbls>
        <c:gapWidth val="150"/>
        <c:shape val="box"/>
        <c:axId val="165057664"/>
        <c:axId val="165059200"/>
        <c:axId val="0"/>
      </c:bar3DChart>
      <c:catAx>
        <c:axId val="165057664"/>
        <c:scaling>
          <c:orientation val="minMax"/>
        </c:scaling>
        <c:delete val="0"/>
        <c:axPos val="b"/>
        <c:numFmt formatCode="General" sourceLinked="0"/>
        <c:majorTickMark val="out"/>
        <c:minorTickMark val="none"/>
        <c:tickLblPos val="nextTo"/>
        <c:txPr>
          <a:bodyPr/>
          <a:lstStyle/>
          <a:p>
            <a:pPr>
              <a:defRPr lang="en-IN"/>
            </a:pPr>
            <a:endParaRPr lang="en-US"/>
          </a:p>
        </c:txPr>
        <c:crossAx val="165059200"/>
        <c:crosses val="autoZero"/>
        <c:auto val="1"/>
        <c:lblAlgn val="ctr"/>
        <c:lblOffset val="100"/>
        <c:noMultiLvlLbl val="0"/>
      </c:catAx>
      <c:valAx>
        <c:axId val="16505920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6505766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Healthy </c:v>
                </c:pt>
              </c:strCache>
            </c:strRef>
          </c:tx>
          <c:invertIfNegative val="0"/>
          <c:dLbls>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Ketone(mg/dl)</c:v>
                </c:pt>
                <c:pt idx="2">
                  <c:v>Specific gravity</c:v>
                </c:pt>
                <c:pt idx="3">
                  <c:v>pH</c:v>
                </c:pt>
                <c:pt idx="4">
                  <c:v>Protein(mg/dl)</c:v>
                </c:pt>
              </c:strCache>
            </c:strRef>
          </c:cat>
          <c:val>
            <c:numRef>
              <c:f>Sheet1!$B$2:$B$6</c:f>
              <c:numCache>
                <c:formatCode>General</c:formatCode>
                <c:ptCount val="5"/>
                <c:pt idx="0">
                  <c:v>0</c:v>
                </c:pt>
                <c:pt idx="1">
                  <c:v>0</c:v>
                </c:pt>
                <c:pt idx="2">
                  <c:v>1.0085</c:v>
                </c:pt>
                <c:pt idx="3">
                  <c:v>6.4</c:v>
                </c:pt>
                <c:pt idx="4">
                  <c:v>0</c:v>
                </c:pt>
              </c:numCache>
            </c:numRef>
          </c:val>
          <c:extLst>
            <c:ext xmlns:c16="http://schemas.microsoft.com/office/drawing/2014/chart" uri="{C3380CC4-5D6E-409C-BE32-E72D297353CC}">
              <c16:uniqueId val="{00000000-F202-47C1-99F6-33C36F163952}"/>
            </c:ext>
          </c:extLst>
        </c:ser>
        <c:ser>
          <c:idx val="1"/>
          <c:order val="1"/>
          <c:tx>
            <c:strRef>
              <c:f>Sheet1!$C$1</c:f>
              <c:strCache>
                <c:ptCount val="1"/>
                <c:pt idx="0">
                  <c:v>Diabetic</c:v>
                </c:pt>
              </c:strCache>
            </c:strRef>
          </c:tx>
          <c:invertIfNegative val="0"/>
          <c:dLbls>
            <c:dLbl>
              <c:idx val="4"/>
              <c:layout>
                <c:manualLayout>
                  <c:x val="5.05050505050514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2-47C1-99F6-33C36F163952}"/>
                </c:ext>
              </c:extLst>
            </c:dLbl>
            <c:spPr>
              <a:noFill/>
              <a:ln>
                <a:noFill/>
              </a:ln>
              <a:effectLst/>
            </c:spPr>
            <c:txPr>
              <a:bodyPr rot="-5400000" vert="horz"/>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Glucose(mg/dl)</c:v>
                </c:pt>
                <c:pt idx="1">
                  <c:v>Ketone(mg/dl)</c:v>
                </c:pt>
                <c:pt idx="2">
                  <c:v>Specific gravity</c:v>
                </c:pt>
                <c:pt idx="3">
                  <c:v>pH</c:v>
                </c:pt>
                <c:pt idx="4">
                  <c:v>Protein(mg/dl)</c:v>
                </c:pt>
              </c:strCache>
            </c:strRef>
          </c:cat>
          <c:val>
            <c:numRef>
              <c:f>Sheet1!$C$2:$C$6</c:f>
              <c:numCache>
                <c:formatCode>General</c:formatCode>
                <c:ptCount val="5"/>
                <c:pt idx="0">
                  <c:v>834.61</c:v>
                </c:pt>
                <c:pt idx="1">
                  <c:v>31.150000000000031</c:v>
                </c:pt>
                <c:pt idx="2">
                  <c:v>1.0249999999999917</c:v>
                </c:pt>
                <c:pt idx="3">
                  <c:v>5.53</c:v>
                </c:pt>
                <c:pt idx="4">
                  <c:v>33.07</c:v>
                </c:pt>
              </c:numCache>
            </c:numRef>
          </c:val>
          <c:extLst>
            <c:ext xmlns:c16="http://schemas.microsoft.com/office/drawing/2014/chart" uri="{C3380CC4-5D6E-409C-BE32-E72D297353CC}">
              <c16:uniqueId val="{00000002-F202-47C1-99F6-33C36F163952}"/>
            </c:ext>
          </c:extLst>
        </c:ser>
        <c:dLbls>
          <c:showLegendKey val="0"/>
          <c:showVal val="0"/>
          <c:showCatName val="0"/>
          <c:showSerName val="0"/>
          <c:showPercent val="0"/>
          <c:showBubbleSize val="0"/>
        </c:dLbls>
        <c:gapWidth val="150"/>
        <c:shape val="box"/>
        <c:axId val="165007360"/>
        <c:axId val="165008896"/>
        <c:axId val="0"/>
      </c:bar3DChart>
      <c:catAx>
        <c:axId val="165007360"/>
        <c:scaling>
          <c:orientation val="minMax"/>
        </c:scaling>
        <c:delete val="0"/>
        <c:axPos val="b"/>
        <c:numFmt formatCode="General" sourceLinked="1"/>
        <c:majorTickMark val="out"/>
        <c:minorTickMark val="none"/>
        <c:tickLblPos val="nextTo"/>
        <c:txPr>
          <a:bodyPr/>
          <a:lstStyle/>
          <a:p>
            <a:pPr>
              <a:defRPr lang="en-IN"/>
            </a:pPr>
            <a:endParaRPr lang="en-US"/>
          </a:p>
        </c:txPr>
        <c:crossAx val="165008896"/>
        <c:crosses val="autoZero"/>
        <c:auto val="1"/>
        <c:lblAlgn val="ctr"/>
        <c:lblOffset val="100"/>
        <c:noMultiLvlLbl val="0"/>
      </c:catAx>
      <c:valAx>
        <c:axId val="16500889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6500736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8301</TotalTime>
  <Pages>12</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1180</cp:lastModifiedBy>
  <cp:revision>95</cp:revision>
  <dcterms:created xsi:type="dcterms:W3CDTF">2025-05-18T13:45:00Z</dcterms:created>
  <dcterms:modified xsi:type="dcterms:W3CDTF">2025-07-24T10:47:00Z</dcterms:modified>
</cp:coreProperties>
</file>