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EA3A8" w14:textId="3E92785C" w:rsidR="008964A4" w:rsidRPr="008964A4" w:rsidRDefault="008964A4" w:rsidP="00E0017E">
      <w:pPr>
        <w:spacing w:after="0" w:line="240" w:lineRule="auto"/>
        <w:jc w:val="center"/>
        <w:rPr>
          <w:rFonts w:ascii="Arial" w:hAnsi="Arial" w:cs="Arial"/>
          <w:b/>
          <w:sz w:val="36"/>
          <w:szCs w:val="36"/>
          <w:u w:val="single"/>
          <w:lang w:val="en-US"/>
        </w:rPr>
      </w:pPr>
      <w:r w:rsidRPr="008964A4">
        <w:rPr>
          <w:rFonts w:ascii="Arial" w:hAnsi="Arial" w:cs="Arial"/>
          <w:b/>
          <w:sz w:val="36"/>
          <w:szCs w:val="36"/>
          <w:u w:val="single"/>
          <w:lang w:val="en-US"/>
        </w:rPr>
        <w:t>Original Research Article</w:t>
      </w:r>
    </w:p>
    <w:p w14:paraId="7A3713E2" w14:textId="40762AA4" w:rsidR="00E0017E" w:rsidRPr="00D22C5B" w:rsidRDefault="00E0017E" w:rsidP="00E0017E">
      <w:pPr>
        <w:spacing w:after="0" w:line="240" w:lineRule="auto"/>
        <w:jc w:val="center"/>
        <w:rPr>
          <w:rFonts w:ascii="Arial" w:hAnsi="Arial" w:cs="Arial"/>
          <w:b/>
          <w:sz w:val="36"/>
          <w:szCs w:val="36"/>
          <w:lang w:val="en-US"/>
        </w:rPr>
      </w:pPr>
      <w:r w:rsidRPr="00D22C5B">
        <w:rPr>
          <w:rFonts w:ascii="Arial" w:hAnsi="Arial" w:cs="Arial"/>
          <w:b/>
          <w:sz w:val="36"/>
          <w:szCs w:val="36"/>
          <w:lang w:val="en-US"/>
        </w:rPr>
        <w:t>Precision Agriculture for Sustainable Development: Environmental Gains in Brazilian Soybean Production</w:t>
      </w:r>
    </w:p>
    <w:p w14:paraId="5573001A" w14:textId="77777777" w:rsidR="00F97922" w:rsidRPr="00D22C5B" w:rsidRDefault="00F97922" w:rsidP="00BA1E52">
      <w:pPr>
        <w:spacing w:after="0" w:line="240" w:lineRule="auto"/>
        <w:jc w:val="center"/>
        <w:rPr>
          <w:rFonts w:ascii="Arial" w:hAnsi="Arial" w:cs="Arial"/>
          <w:b/>
          <w:sz w:val="24"/>
          <w:szCs w:val="24"/>
          <w:lang w:val="en-US"/>
        </w:rPr>
      </w:pPr>
    </w:p>
    <w:p w14:paraId="60215146" w14:textId="77777777" w:rsidR="00D22C5B" w:rsidRPr="00D22C5B" w:rsidRDefault="00D22C5B" w:rsidP="00BA1E52">
      <w:pPr>
        <w:spacing w:after="0" w:line="240" w:lineRule="auto"/>
        <w:jc w:val="center"/>
        <w:rPr>
          <w:rFonts w:ascii="Arial" w:hAnsi="Arial" w:cs="Arial"/>
          <w:b/>
          <w:sz w:val="24"/>
          <w:szCs w:val="24"/>
          <w:lang w:val="en-US"/>
        </w:rPr>
      </w:pPr>
    </w:p>
    <w:p w14:paraId="37718F1E" w14:textId="3D5BBED3" w:rsidR="00D22C5B" w:rsidRPr="00D22C5B" w:rsidRDefault="00D22C5B" w:rsidP="004D1926">
      <w:pPr>
        <w:pStyle w:val="Heading2"/>
        <w:rPr>
          <w:rFonts w:cs="Arial"/>
          <w:szCs w:val="24"/>
          <w:lang w:val="en-US"/>
        </w:rPr>
      </w:pPr>
      <w:r w:rsidRPr="00D22C5B">
        <w:rPr>
          <w:rFonts w:cs="Arial"/>
          <w:noProof/>
        </w:rPr>
        <mc:AlternateContent>
          <mc:Choice Requires="wps">
            <w:drawing>
              <wp:inline distT="0" distB="0" distL="0" distR="0" wp14:anchorId="03B47CFF" wp14:editId="3E2BFC08">
                <wp:extent cx="5303520" cy="635"/>
                <wp:effectExtent l="13335" t="13335" r="17145" b="15240"/>
                <wp:docPr id="5827878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A6D9A8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45C5A131" w14:textId="219CC381" w:rsidR="00D22C5B" w:rsidRDefault="00D22C5B" w:rsidP="00D22C5B">
      <w:pPr>
        <w:pStyle w:val="AbstHead"/>
        <w:spacing w:after="0"/>
        <w:jc w:val="both"/>
        <w:rPr>
          <w:rFonts w:ascii="Arial" w:hAnsi="Arial" w:cs="Arial"/>
        </w:rPr>
      </w:pPr>
      <w:r w:rsidRPr="00D22C5B">
        <w:rPr>
          <w:rFonts w:ascii="Arial" w:hAnsi="Arial" w:cs="Arial"/>
        </w:rPr>
        <w:t xml:space="preserve">ABSTRACT </w:t>
      </w:r>
    </w:p>
    <w:p w14:paraId="33E1322D" w14:textId="77777777" w:rsidR="00F452A2" w:rsidRPr="00D22C5B" w:rsidRDefault="00F452A2" w:rsidP="00D22C5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1"/>
      </w:tblGrid>
      <w:tr w:rsidR="00D22C5B" w:rsidRPr="001D78A5" w14:paraId="7562A1C7" w14:textId="77777777" w:rsidTr="00D22C5B">
        <w:tc>
          <w:tcPr>
            <w:tcW w:w="9061" w:type="dxa"/>
            <w:shd w:val="clear" w:color="auto" w:fill="F2F2F2"/>
          </w:tcPr>
          <w:p w14:paraId="68F64250" w14:textId="77777777" w:rsidR="007D55F0" w:rsidRPr="007D55F0" w:rsidRDefault="00D22C5B" w:rsidP="007D55F0">
            <w:pPr>
              <w:pStyle w:val="Body"/>
              <w:spacing w:after="0"/>
              <w:rPr>
                <w:rFonts w:ascii="Arial" w:hAnsi="Arial" w:cs="Arial"/>
              </w:rPr>
            </w:pPr>
            <w:r w:rsidRPr="00D22C5B">
              <w:rPr>
                <w:rFonts w:ascii="Arial" w:eastAsia="Calibri" w:hAnsi="Arial" w:cs="Arial"/>
                <w:b/>
                <w:szCs w:val="22"/>
              </w:rPr>
              <w:t xml:space="preserve">Aims: </w:t>
            </w:r>
            <w:r w:rsidR="007D55F0" w:rsidRPr="007D55F0">
              <w:rPr>
                <w:rFonts w:ascii="Arial" w:hAnsi="Arial" w:cs="Arial"/>
              </w:rPr>
              <w:t>As a global leader in soybean production, Brazil faces intensifying environmental challenges driven by conventional agricultural practices. This underscores the need for sustainable intensification strategies.</w:t>
            </w:r>
          </w:p>
          <w:p w14:paraId="4A5AD433" w14:textId="2A10DBAF" w:rsidR="007D55F0" w:rsidRPr="007D55F0" w:rsidRDefault="007D55F0" w:rsidP="007D55F0">
            <w:pPr>
              <w:pStyle w:val="Body"/>
              <w:spacing w:after="0"/>
              <w:rPr>
                <w:rFonts w:ascii="Arial" w:hAnsi="Arial" w:cs="Arial"/>
              </w:rPr>
            </w:pPr>
            <w:r w:rsidRPr="007D55F0">
              <w:rPr>
                <w:rFonts w:ascii="Arial" w:hAnsi="Arial" w:cs="Arial"/>
                <w:b/>
                <w:bCs/>
              </w:rPr>
              <w:t>Study design:</w:t>
            </w:r>
            <w:r w:rsidRPr="007D55F0">
              <w:rPr>
                <w:rFonts w:ascii="Arial" w:hAnsi="Arial" w:cs="Arial"/>
              </w:rPr>
              <w:t xml:space="preserve"> This study employed Life Cycle Assessment to compare the environmental performance of soybean cultivation under precision agriculture (PA)-based fertility management with conventional systems.</w:t>
            </w:r>
          </w:p>
          <w:p w14:paraId="2CCCB890" w14:textId="456D3D57" w:rsidR="00D22C5B" w:rsidRPr="007D55F0" w:rsidRDefault="00D22C5B" w:rsidP="0036274D">
            <w:pPr>
              <w:pStyle w:val="Body"/>
              <w:spacing w:after="0"/>
              <w:rPr>
                <w:rFonts w:ascii="Arial" w:eastAsia="Calibri" w:hAnsi="Arial" w:cs="Arial"/>
                <w:szCs w:val="22"/>
              </w:rPr>
            </w:pPr>
            <w:r w:rsidRPr="00D22C5B">
              <w:rPr>
                <w:rFonts w:ascii="Arial" w:eastAsia="Calibri" w:hAnsi="Arial" w:cs="Arial"/>
                <w:b/>
                <w:szCs w:val="22"/>
              </w:rPr>
              <w:t>Place and Duration of Study:</w:t>
            </w:r>
            <w:r w:rsidRPr="00D22C5B">
              <w:rPr>
                <w:rFonts w:ascii="Arial" w:eastAsia="Calibri" w:hAnsi="Arial" w:cs="Arial"/>
                <w:szCs w:val="22"/>
              </w:rPr>
              <w:t xml:space="preserve"> </w:t>
            </w:r>
            <w:r w:rsidR="007D55F0" w:rsidRPr="007D55F0">
              <w:rPr>
                <w:rFonts w:ascii="Arial" w:hAnsi="Arial" w:cs="Arial"/>
              </w:rPr>
              <w:t>Conducted in Mato Grosso do Sul over a five-year period (2019–2023).</w:t>
            </w:r>
          </w:p>
          <w:p w14:paraId="44D12ED9" w14:textId="4123203C" w:rsidR="00D22C5B" w:rsidRPr="00D22C5B" w:rsidRDefault="00D22C5B" w:rsidP="0036274D">
            <w:pPr>
              <w:pStyle w:val="Body"/>
              <w:spacing w:after="0"/>
              <w:rPr>
                <w:rFonts w:ascii="Arial" w:eastAsia="Calibri" w:hAnsi="Arial" w:cs="Arial"/>
                <w:szCs w:val="22"/>
              </w:rPr>
            </w:pPr>
            <w:r w:rsidRPr="00D22C5B">
              <w:rPr>
                <w:rFonts w:ascii="Arial" w:eastAsia="Calibri" w:hAnsi="Arial" w:cs="Arial"/>
                <w:b/>
                <w:bCs/>
                <w:szCs w:val="22"/>
              </w:rPr>
              <w:t>Methodology:</w:t>
            </w:r>
            <w:r w:rsidRPr="00D22C5B">
              <w:rPr>
                <w:rFonts w:ascii="Arial" w:eastAsia="Calibri" w:hAnsi="Arial" w:cs="Arial"/>
                <w:szCs w:val="22"/>
              </w:rPr>
              <w:t xml:space="preserve"> </w:t>
            </w:r>
            <w:r w:rsidR="007D55F0" w:rsidRPr="007D55F0">
              <w:rPr>
                <w:rFonts w:ascii="Arial" w:hAnsi="Arial" w:cs="Arial"/>
              </w:rPr>
              <w:t>The analysis used a cradle-to-farm gate approach, with 1 kg of soybean grain as the functional unit. Primary data were collected from a commercial farm utilizing PA, while benchmark data from Embrapa represented the conventional system. Environmental impacts were assessed in four categories: global warming potential (GWP), acidification potential (AP), eutrophication potential (EP), and human toxicity potential (HTP). Monte Carlo simulations and sensitivity analyses ensured result robustness.</w:t>
            </w:r>
          </w:p>
          <w:p w14:paraId="27FF2010" w14:textId="7B376708" w:rsidR="00D22C5B" w:rsidRPr="00D22C5B" w:rsidRDefault="00D22C5B" w:rsidP="0036274D">
            <w:pPr>
              <w:pStyle w:val="Body"/>
              <w:spacing w:after="0"/>
              <w:rPr>
                <w:rFonts w:ascii="Arial" w:eastAsia="Calibri" w:hAnsi="Arial" w:cs="Arial"/>
                <w:b/>
                <w:bCs/>
                <w:szCs w:val="22"/>
              </w:rPr>
            </w:pPr>
            <w:r w:rsidRPr="00D22C5B">
              <w:rPr>
                <w:rFonts w:ascii="Arial" w:eastAsia="Calibri" w:hAnsi="Arial" w:cs="Arial"/>
                <w:b/>
                <w:bCs/>
                <w:szCs w:val="22"/>
              </w:rPr>
              <w:t>Results:</w:t>
            </w:r>
            <w:r w:rsidRPr="00D22C5B">
              <w:rPr>
                <w:rFonts w:ascii="Arial" w:eastAsia="Calibri" w:hAnsi="Arial" w:cs="Arial"/>
                <w:szCs w:val="22"/>
              </w:rPr>
              <w:t xml:space="preserve"> </w:t>
            </w:r>
            <w:r w:rsidR="007D55F0" w:rsidRPr="007D55F0">
              <w:rPr>
                <w:rFonts w:ascii="Arial" w:hAnsi="Arial" w:cs="Arial"/>
              </w:rPr>
              <w:t>PA significantly reduced environmental impacts: −60.84% (EP), −31.79% (AP), −28.65% (GWP), and −19.54% (HTP). The planting and fertilization stages were the primary contributors to overall impacts</w:t>
            </w:r>
            <w:r w:rsidR="00CA32EC" w:rsidRPr="00F452A2">
              <w:rPr>
                <w:rFonts w:ascii="Arial" w:hAnsi="Arial" w:cs="Arial"/>
              </w:rPr>
              <w:t>.</w:t>
            </w:r>
          </w:p>
          <w:p w14:paraId="017DC881" w14:textId="1F8E622D" w:rsidR="00D22C5B" w:rsidRPr="00D22C5B" w:rsidRDefault="00D22C5B" w:rsidP="0036274D">
            <w:pPr>
              <w:pStyle w:val="Body"/>
              <w:spacing w:after="0"/>
              <w:rPr>
                <w:rFonts w:ascii="Arial" w:eastAsia="Calibri" w:hAnsi="Arial" w:cs="Arial"/>
                <w:szCs w:val="22"/>
              </w:rPr>
            </w:pPr>
            <w:r w:rsidRPr="00D22C5B">
              <w:rPr>
                <w:rFonts w:ascii="Arial" w:eastAsia="Calibri" w:hAnsi="Arial" w:cs="Arial"/>
                <w:b/>
                <w:bCs/>
                <w:szCs w:val="22"/>
              </w:rPr>
              <w:t>Conclusion:</w:t>
            </w:r>
            <w:r w:rsidRPr="00D22C5B">
              <w:rPr>
                <w:rFonts w:ascii="Arial" w:eastAsia="Calibri" w:hAnsi="Arial" w:cs="Arial"/>
                <w:szCs w:val="22"/>
              </w:rPr>
              <w:t xml:space="preserve"> </w:t>
            </w:r>
            <w:r w:rsidR="007D55F0" w:rsidRPr="007D55F0">
              <w:rPr>
                <w:rFonts w:ascii="Arial" w:hAnsi="Arial" w:cs="Arial"/>
              </w:rPr>
              <w:t>The findings highlight PA as a promising strategy for sustainable intensification, improving environmental outcomes and resource efficiency. This evidence supports climate-smart agricultural policies and underscores LCA's value in evaluating crop production sustainability.</w:t>
            </w:r>
          </w:p>
          <w:p w14:paraId="5181A34D" w14:textId="468B57ED" w:rsidR="00D22C5B" w:rsidRPr="00D22C5B" w:rsidRDefault="00D22C5B" w:rsidP="0036274D">
            <w:pPr>
              <w:pStyle w:val="Body"/>
              <w:spacing w:after="0"/>
              <w:rPr>
                <w:rFonts w:ascii="Arial" w:eastAsia="Calibri" w:hAnsi="Arial" w:cs="Arial"/>
                <w:szCs w:val="22"/>
              </w:rPr>
            </w:pPr>
          </w:p>
        </w:tc>
      </w:tr>
    </w:tbl>
    <w:p w14:paraId="4A21CC53" w14:textId="3D24621A" w:rsidR="004D1926" w:rsidRDefault="001235F5" w:rsidP="00CA32EC">
      <w:pPr>
        <w:pStyle w:val="Body"/>
        <w:spacing w:after="0"/>
        <w:rPr>
          <w:rFonts w:ascii="Arial" w:hAnsi="Arial" w:cs="Arial"/>
          <w:i/>
          <w:iCs/>
        </w:rPr>
      </w:pPr>
      <w:r>
        <w:rPr>
          <w:rFonts w:ascii="Arial" w:hAnsi="Arial" w:cs="Arial"/>
          <w:i/>
        </w:rPr>
        <w:t xml:space="preserve">Keywords: </w:t>
      </w:r>
      <w:r w:rsidR="004D1926" w:rsidRPr="00F452A2">
        <w:rPr>
          <w:rFonts w:ascii="Arial" w:hAnsi="Arial" w:cs="Arial"/>
        </w:rPr>
        <w:t xml:space="preserve"> </w:t>
      </w:r>
      <w:r w:rsidR="0015400E" w:rsidRPr="00CA32EC">
        <w:rPr>
          <w:rFonts w:ascii="Arial" w:hAnsi="Arial" w:cs="Arial"/>
          <w:i/>
          <w:iCs/>
        </w:rPr>
        <w:t>Precision Agriculture, Life Cycle Assessment, Sustainability, Fertility Management, Soybean Production.</w:t>
      </w:r>
    </w:p>
    <w:p w14:paraId="241074FC" w14:textId="77777777" w:rsidR="00CA32EC" w:rsidRPr="00F452A2" w:rsidRDefault="00CA32EC" w:rsidP="00CA32EC">
      <w:pPr>
        <w:pStyle w:val="Body"/>
        <w:spacing w:after="0"/>
        <w:rPr>
          <w:rFonts w:ascii="Arial" w:hAnsi="Arial" w:cs="Arial"/>
        </w:rPr>
      </w:pPr>
    </w:p>
    <w:p w14:paraId="0DA86E3D" w14:textId="4F392E38" w:rsidR="006C25E0" w:rsidRDefault="006C25E0" w:rsidP="000B7F07">
      <w:pPr>
        <w:pStyle w:val="Heading2"/>
        <w:spacing w:before="0" w:beforeAutospacing="0" w:after="0" w:afterAutospacing="0"/>
        <w:rPr>
          <w:rFonts w:cs="Arial"/>
          <w:sz w:val="22"/>
          <w:szCs w:val="22"/>
          <w:lang w:val="en-US"/>
        </w:rPr>
      </w:pPr>
      <w:bookmarkStart w:id="0" w:name="_Toc1377899"/>
      <w:r w:rsidRPr="00D22C5B">
        <w:rPr>
          <w:rFonts w:cs="Arial"/>
          <w:szCs w:val="24"/>
          <w:lang w:val="en-US"/>
        </w:rPr>
        <w:t xml:space="preserve">1 </w:t>
      </w:r>
      <w:r w:rsidR="00D22C5B" w:rsidRPr="00D22C5B">
        <w:rPr>
          <w:rFonts w:cs="Arial"/>
          <w:sz w:val="22"/>
          <w:szCs w:val="22"/>
          <w:lang w:val="en-US"/>
        </w:rPr>
        <w:t>INTRODUCTION</w:t>
      </w:r>
      <w:bookmarkEnd w:id="0"/>
    </w:p>
    <w:p w14:paraId="27433A85" w14:textId="77777777" w:rsidR="00D22C5B" w:rsidRPr="00D22C5B" w:rsidRDefault="00D22C5B" w:rsidP="000B7F07">
      <w:pPr>
        <w:pStyle w:val="Heading2"/>
        <w:spacing w:before="0" w:beforeAutospacing="0" w:after="0" w:afterAutospacing="0"/>
        <w:rPr>
          <w:rFonts w:cs="Arial"/>
          <w:szCs w:val="24"/>
          <w:lang w:val="en-US"/>
        </w:rPr>
      </w:pPr>
    </w:p>
    <w:p w14:paraId="5D0141FF" w14:textId="77777777" w:rsidR="00C94D9C" w:rsidRPr="00A66D4D" w:rsidRDefault="00C94D9C" w:rsidP="00AF36A3">
      <w:pPr>
        <w:spacing w:line="360" w:lineRule="auto"/>
        <w:jc w:val="both"/>
        <w:rPr>
          <w:rFonts w:ascii="Arial" w:hAnsi="Arial" w:cs="Arial"/>
          <w:sz w:val="20"/>
          <w:szCs w:val="20"/>
          <w:lang w:val="en-US"/>
        </w:rPr>
      </w:pPr>
      <w:r w:rsidRPr="00A66D4D">
        <w:rPr>
          <w:rFonts w:ascii="Arial" w:hAnsi="Arial" w:cs="Arial"/>
          <w:sz w:val="20"/>
          <w:szCs w:val="20"/>
          <w:lang w:val="en-US"/>
        </w:rPr>
        <w:t xml:space="preserve">Soybean plays a pivotal role in addressing the rising global demand for food, with the world population projected to reach 9.7 billion by 2050 (OECD/FAO, 2024). As one of the leading global soybean producers, Brazil benefits from favorable climatic conditions, abundant water resources, and extensive arable land, positioning the country as a strategic contributor to future global food security (Sader &amp; Engelke, 2024). In 2024 alone, Brazil produced approximately 168 million metric tons of soybeans across more than 47 million hectares in diverse biomes, including the Pampa, Atlantic Forest, </w:t>
      </w:r>
      <w:proofErr w:type="spellStart"/>
      <w:r w:rsidRPr="00A66D4D">
        <w:rPr>
          <w:rFonts w:ascii="Arial" w:hAnsi="Arial" w:cs="Arial"/>
          <w:sz w:val="20"/>
          <w:szCs w:val="20"/>
          <w:lang w:val="en-US"/>
        </w:rPr>
        <w:t>Cerrado</w:t>
      </w:r>
      <w:proofErr w:type="spellEnd"/>
      <w:r w:rsidRPr="00A66D4D">
        <w:rPr>
          <w:rFonts w:ascii="Arial" w:hAnsi="Arial" w:cs="Arial"/>
          <w:sz w:val="20"/>
          <w:szCs w:val="20"/>
          <w:lang w:val="en-US"/>
        </w:rPr>
        <w:t>, and Amazon (CONAB, 2025).</w:t>
      </w:r>
    </w:p>
    <w:p w14:paraId="144DCD2C" w14:textId="77777777" w:rsidR="00C94D9C" w:rsidRPr="00A66D4D" w:rsidRDefault="00C94D9C" w:rsidP="00AF36A3">
      <w:pPr>
        <w:spacing w:line="360" w:lineRule="auto"/>
        <w:jc w:val="both"/>
        <w:rPr>
          <w:rFonts w:ascii="Arial" w:hAnsi="Arial" w:cs="Arial"/>
          <w:sz w:val="20"/>
          <w:szCs w:val="20"/>
          <w:lang w:val="en-US"/>
        </w:rPr>
      </w:pPr>
      <w:r w:rsidRPr="00A66D4D">
        <w:rPr>
          <w:rFonts w:ascii="Arial" w:hAnsi="Arial" w:cs="Arial"/>
          <w:sz w:val="20"/>
          <w:szCs w:val="20"/>
          <w:lang w:val="en-US"/>
        </w:rPr>
        <w:t>Although deforestation linked to agricultural expansion has declined in key biomes, due to a combination of regulatory policies and private sector commitments (INPE, 2023), pressure on natural ecosystems remains high, underscoring the urgent need for sustainable intensification.</w:t>
      </w:r>
    </w:p>
    <w:p w14:paraId="07C4DC4B" w14:textId="36F6F0EF" w:rsidR="00C94D9C" w:rsidRPr="00A66D4D" w:rsidRDefault="00C94D9C" w:rsidP="00AF36A3">
      <w:pPr>
        <w:spacing w:line="360" w:lineRule="auto"/>
        <w:jc w:val="both"/>
        <w:rPr>
          <w:rFonts w:ascii="Arial" w:hAnsi="Arial" w:cs="Arial"/>
          <w:sz w:val="20"/>
          <w:szCs w:val="20"/>
          <w:lang w:val="en-US"/>
        </w:rPr>
      </w:pPr>
      <w:r w:rsidRPr="00A66D4D">
        <w:rPr>
          <w:rFonts w:ascii="Arial" w:hAnsi="Arial" w:cs="Arial"/>
          <w:sz w:val="20"/>
          <w:szCs w:val="20"/>
          <w:lang w:val="en-US"/>
        </w:rPr>
        <w:t xml:space="preserve">Among the strategies gaining prominence, Precision Agriculture (PA) has emerged as a promising approach to enhance resource use efficiency and reduce the environmental footprint of crop production. </w:t>
      </w:r>
      <w:r w:rsidRPr="00A66D4D">
        <w:rPr>
          <w:rFonts w:ascii="Arial" w:hAnsi="Arial" w:cs="Arial"/>
          <w:sz w:val="20"/>
          <w:szCs w:val="20"/>
          <w:lang w:val="en-US"/>
        </w:rPr>
        <w:lastRenderedPageBreak/>
        <w:t>Studies across various agricultural systems consistently show that PA technologies can significantly reduce greenhouse gas emissions, acidification, and eutrophication potentials, while optimizing resource use (</w:t>
      </w:r>
      <w:r w:rsidR="00186B2A" w:rsidRPr="00A66D4D">
        <w:rPr>
          <w:rFonts w:ascii="Arial" w:hAnsi="Arial" w:cs="Arial"/>
          <w:sz w:val="20"/>
          <w:szCs w:val="20"/>
          <w:lang w:val="en-US"/>
        </w:rPr>
        <w:t xml:space="preserve">Jensen et al., 2012; Gasso et al., 2014; </w:t>
      </w:r>
      <w:proofErr w:type="spellStart"/>
      <w:r w:rsidRPr="00A66D4D">
        <w:rPr>
          <w:rFonts w:ascii="Arial" w:hAnsi="Arial" w:cs="Arial"/>
          <w:sz w:val="20"/>
          <w:szCs w:val="20"/>
          <w:lang w:val="en-US"/>
        </w:rPr>
        <w:t>Balafoutis</w:t>
      </w:r>
      <w:proofErr w:type="spellEnd"/>
      <w:r w:rsidRPr="00A66D4D">
        <w:rPr>
          <w:rFonts w:ascii="Arial" w:hAnsi="Arial" w:cs="Arial"/>
          <w:sz w:val="20"/>
          <w:szCs w:val="20"/>
          <w:lang w:val="en-US"/>
        </w:rPr>
        <w:t xml:space="preserve"> et al., 2017</w:t>
      </w:r>
      <w:r w:rsidR="003B5207" w:rsidRPr="00A66D4D">
        <w:rPr>
          <w:rFonts w:ascii="Arial" w:hAnsi="Arial" w:cs="Arial"/>
          <w:sz w:val="20"/>
          <w:szCs w:val="20"/>
          <w:lang w:val="en-US"/>
        </w:rPr>
        <w:t>; Hedayati et al., 2019</w:t>
      </w:r>
      <w:r w:rsidRPr="00A66D4D">
        <w:rPr>
          <w:rFonts w:ascii="Arial" w:hAnsi="Arial" w:cs="Arial"/>
          <w:sz w:val="20"/>
          <w:szCs w:val="20"/>
          <w:lang w:val="en-US"/>
        </w:rPr>
        <w:t>). These environmental benefits, along with productivity and labor efficiency gains, highlight PA’s relevance for sustainable intensification, particularly in large-scale soybean production systems</w:t>
      </w:r>
      <w:r w:rsidR="005B7577" w:rsidRPr="00A66D4D">
        <w:rPr>
          <w:rFonts w:ascii="Arial" w:hAnsi="Arial" w:cs="Arial"/>
          <w:sz w:val="20"/>
          <w:szCs w:val="20"/>
          <w:lang w:val="en-US"/>
        </w:rPr>
        <w:t xml:space="preserve"> (Bottega et al., 2017</w:t>
      </w:r>
      <w:r w:rsidR="00376754" w:rsidRPr="00A66D4D">
        <w:rPr>
          <w:rFonts w:ascii="Arial" w:hAnsi="Arial" w:cs="Arial"/>
          <w:sz w:val="20"/>
          <w:szCs w:val="20"/>
          <w:lang w:val="en-US"/>
        </w:rPr>
        <w:t>; Topa et al., 2025</w:t>
      </w:r>
      <w:r w:rsidR="005B7577" w:rsidRPr="00A66D4D">
        <w:rPr>
          <w:rFonts w:ascii="Arial" w:hAnsi="Arial" w:cs="Arial"/>
          <w:sz w:val="20"/>
          <w:szCs w:val="20"/>
          <w:lang w:val="en-US"/>
        </w:rPr>
        <w:t>)</w:t>
      </w:r>
      <w:r w:rsidRPr="00A66D4D">
        <w:rPr>
          <w:rFonts w:ascii="Arial" w:hAnsi="Arial" w:cs="Arial"/>
          <w:sz w:val="20"/>
          <w:szCs w:val="20"/>
          <w:lang w:val="en-US"/>
        </w:rPr>
        <w:t>.</w:t>
      </w:r>
    </w:p>
    <w:p w14:paraId="2643CB6A" w14:textId="16BE1B97" w:rsidR="00C94D9C" w:rsidRPr="00A66D4D" w:rsidRDefault="00C94D9C" w:rsidP="00AF36A3">
      <w:pPr>
        <w:spacing w:line="360" w:lineRule="auto"/>
        <w:jc w:val="both"/>
        <w:rPr>
          <w:rFonts w:ascii="Arial" w:hAnsi="Arial" w:cs="Arial"/>
          <w:sz w:val="20"/>
          <w:szCs w:val="20"/>
          <w:lang w:val="en-US"/>
        </w:rPr>
      </w:pPr>
      <w:r w:rsidRPr="00A66D4D">
        <w:rPr>
          <w:rFonts w:ascii="Arial" w:hAnsi="Arial" w:cs="Arial"/>
          <w:sz w:val="20"/>
          <w:szCs w:val="20"/>
          <w:lang w:val="en-US"/>
        </w:rPr>
        <w:t>Despite its potential, PA adoption in Brazil remains limited. According to a recent McKinsey &amp; Company study (2024), only 50–55% of producers currently employ PA techniques, and just 40–45% own the necessary equipment. This indicates a substantial gap between technological availability and on-farm implementation</w:t>
      </w:r>
      <w:r w:rsidR="00F3224F" w:rsidRPr="00A66D4D">
        <w:rPr>
          <w:rFonts w:ascii="Arial" w:hAnsi="Arial" w:cs="Arial"/>
          <w:sz w:val="20"/>
          <w:szCs w:val="20"/>
          <w:lang w:val="en-US"/>
        </w:rPr>
        <w:t xml:space="preserve"> (Molin, 201)</w:t>
      </w:r>
      <w:r w:rsidRPr="00A66D4D">
        <w:rPr>
          <w:rFonts w:ascii="Arial" w:hAnsi="Arial" w:cs="Arial"/>
          <w:sz w:val="20"/>
          <w:szCs w:val="20"/>
          <w:lang w:val="en-US"/>
        </w:rPr>
        <w:t>. Barriers include high initial investment costs, the need for specialized technical knowledge, and a perceived lack of quantifiable environmental benefits (</w:t>
      </w:r>
      <w:r w:rsidR="000F7257" w:rsidRPr="00A66D4D">
        <w:rPr>
          <w:rFonts w:ascii="Arial" w:hAnsi="Arial" w:cs="Arial"/>
          <w:sz w:val="20"/>
          <w:szCs w:val="20"/>
          <w:lang w:val="en-US"/>
        </w:rPr>
        <w:t xml:space="preserve">Pereira &amp; Braga, 2018; </w:t>
      </w:r>
      <w:r w:rsidR="003B5207" w:rsidRPr="00A66D4D">
        <w:rPr>
          <w:rFonts w:ascii="Arial" w:hAnsi="Arial" w:cs="Arial"/>
          <w:sz w:val="20"/>
          <w:szCs w:val="20"/>
          <w:lang w:val="en-US"/>
        </w:rPr>
        <w:t xml:space="preserve">Kang et al., 2019; </w:t>
      </w:r>
      <w:r w:rsidRPr="00A66D4D">
        <w:rPr>
          <w:rFonts w:ascii="Arial" w:hAnsi="Arial" w:cs="Arial"/>
          <w:sz w:val="20"/>
          <w:szCs w:val="20"/>
          <w:lang w:val="en-US"/>
        </w:rPr>
        <w:t>Inácio et al., 2021). This study seeks to address these knowledge gaps by providing robust, quantitative evidence of PA's environmental advantages to support broader adoption and policy initiatives</w:t>
      </w:r>
      <w:r w:rsidR="005B7577" w:rsidRPr="00A66D4D">
        <w:rPr>
          <w:rFonts w:ascii="Arial" w:hAnsi="Arial" w:cs="Arial"/>
          <w:sz w:val="20"/>
          <w:szCs w:val="20"/>
          <w:lang w:val="en-US"/>
        </w:rPr>
        <w:t xml:space="preserve"> (</w:t>
      </w:r>
      <w:proofErr w:type="spellStart"/>
      <w:r w:rsidR="005B7577" w:rsidRPr="00A66D4D">
        <w:rPr>
          <w:rFonts w:ascii="Arial" w:hAnsi="Arial" w:cs="Arial"/>
          <w:sz w:val="20"/>
          <w:szCs w:val="20"/>
          <w:lang w:val="en-US"/>
        </w:rPr>
        <w:t>Fartek</w:t>
      </w:r>
      <w:proofErr w:type="spellEnd"/>
      <w:r w:rsidR="005B7577" w:rsidRPr="00A66D4D">
        <w:rPr>
          <w:rFonts w:ascii="Arial" w:hAnsi="Arial" w:cs="Arial"/>
          <w:sz w:val="20"/>
          <w:szCs w:val="20"/>
          <w:lang w:val="en-US"/>
        </w:rPr>
        <w:t xml:space="preserve"> et al, 2016</w:t>
      </w:r>
      <w:r w:rsidR="003B5207" w:rsidRPr="00A66D4D">
        <w:rPr>
          <w:rFonts w:ascii="Arial" w:hAnsi="Arial" w:cs="Arial"/>
          <w:sz w:val="20"/>
          <w:szCs w:val="20"/>
          <w:lang w:val="en-US"/>
        </w:rPr>
        <w:t>; Kumar et al., 2018</w:t>
      </w:r>
      <w:r w:rsidR="005B7577" w:rsidRPr="00A66D4D">
        <w:rPr>
          <w:rFonts w:ascii="Arial" w:hAnsi="Arial" w:cs="Arial"/>
          <w:sz w:val="20"/>
          <w:szCs w:val="20"/>
          <w:lang w:val="en-US"/>
        </w:rPr>
        <w:t>)</w:t>
      </w:r>
      <w:r w:rsidRPr="00A66D4D">
        <w:rPr>
          <w:rFonts w:ascii="Arial" w:hAnsi="Arial" w:cs="Arial"/>
          <w:sz w:val="20"/>
          <w:szCs w:val="20"/>
          <w:lang w:val="en-US"/>
        </w:rPr>
        <w:t>.</w:t>
      </w:r>
    </w:p>
    <w:p w14:paraId="11DF74C2" w14:textId="6766A04E" w:rsidR="00C94D9C" w:rsidRPr="00A66D4D" w:rsidRDefault="00C94D9C" w:rsidP="00AF36A3">
      <w:pPr>
        <w:spacing w:line="360" w:lineRule="auto"/>
        <w:jc w:val="both"/>
        <w:rPr>
          <w:rFonts w:ascii="Arial" w:hAnsi="Arial" w:cs="Arial"/>
          <w:sz w:val="20"/>
          <w:szCs w:val="20"/>
          <w:lang w:val="en-US"/>
        </w:rPr>
      </w:pPr>
      <w:r w:rsidRPr="00A66D4D">
        <w:rPr>
          <w:rFonts w:ascii="Arial" w:hAnsi="Arial" w:cs="Arial"/>
          <w:sz w:val="20"/>
          <w:szCs w:val="20"/>
          <w:lang w:val="en-US"/>
        </w:rPr>
        <w:t>Similar adoption barriers exist globally, often stemming from limited awareness of PA's environmental and economic benefits, along with restricted access to financing and technical training (Gonzales-Gemio &amp; Sanz-Martín, 2025</w:t>
      </w:r>
      <w:r w:rsidR="005B7577" w:rsidRPr="00A66D4D">
        <w:rPr>
          <w:rFonts w:ascii="Arial" w:hAnsi="Arial" w:cs="Arial"/>
          <w:sz w:val="20"/>
          <w:szCs w:val="20"/>
          <w:lang w:val="en-US"/>
        </w:rPr>
        <w:t>; Pereira &amp; Braga, 2018)</w:t>
      </w:r>
      <w:r w:rsidRPr="00A66D4D">
        <w:rPr>
          <w:rFonts w:ascii="Arial" w:hAnsi="Arial" w:cs="Arial"/>
          <w:sz w:val="20"/>
          <w:szCs w:val="20"/>
          <w:lang w:val="en-US"/>
        </w:rPr>
        <w:t>.</w:t>
      </w:r>
    </w:p>
    <w:p w14:paraId="448EE262" w14:textId="039CC7FB" w:rsidR="00C94D9C" w:rsidRPr="00A66D4D" w:rsidRDefault="00C94D9C" w:rsidP="00AF36A3">
      <w:pPr>
        <w:spacing w:line="360" w:lineRule="auto"/>
        <w:jc w:val="both"/>
        <w:rPr>
          <w:rFonts w:ascii="Arial" w:hAnsi="Arial" w:cs="Arial"/>
          <w:sz w:val="20"/>
          <w:szCs w:val="20"/>
          <w:lang w:val="en-US"/>
        </w:rPr>
      </w:pPr>
      <w:r w:rsidRPr="00A66D4D">
        <w:rPr>
          <w:rFonts w:ascii="Arial" w:hAnsi="Arial" w:cs="Arial"/>
          <w:sz w:val="20"/>
          <w:szCs w:val="20"/>
          <w:lang w:val="en-US"/>
        </w:rPr>
        <w:t>PA enables site-specific crop management by integrating tools such as GPS, sensors, software, and variable-rate applicators</w:t>
      </w:r>
      <w:r w:rsidR="003B5207" w:rsidRPr="00A66D4D">
        <w:rPr>
          <w:rFonts w:ascii="Arial" w:hAnsi="Arial" w:cs="Arial"/>
          <w:sz w:val="20"/>
          <w:szCs w:val="20"/>
          <w:lang w:val="en-US"/>
        </w:rPr>
        <w:t xml:space="preserve"> (Kumar et al., 2018; Lima et al., 2019)</w:t>
      </w:r>
      <w:r w:rsidRPr="00A66D4D">
        <w:rPr>
          <w:rFonts w:ascii="Arial" w:hAnsi="Arial" w:cs="Arial"/>
          <w:sz w:val="20"/>
          <w:szCs w:val="20"/>
          <w:lang w:val="en-US"/>
        </w:rPr>
        <w:t>. These technologies facilitate more precise input use, especially for fertility management, which has been shown to reduce greenhouse gas emissions from agriculture by 10–28% compared to conventional practices (</w:t>
      </w:r>
      <w:proofErr w:type="spellStart"/>
      <w:r w:rsidRPr="00A66D4D">
        <w:rPr>
          <w:rFonts w:ascii="Arial" w:hAnsi="Arial" w:cs="Arial"/>
          <w:sz w:val="20"/>
          <w:szCs w:val="20"/>
          <w:lang w:val="en-US"/>
        </w:rPr>
        <w:t>Mgendi</w:t>
      </w:r>
      <w:proofErr w:type="spellEnd"/>
      <w:r w:rsidRPr="00A66D4D">
        <w:rPr>
          <w:rFonts w:ascii="Arial" w:hAnsi="Arial" w:cs="Arial"/>
          <w:sz w:val="20"/>
          <w:szCs w:val="20"/>
          <w:lang w:val="en-US"/>
        </w:rPr>
        <w:t xml:space="preserve">, 2024; </w:t>
      </w:r>
      <w:proofErr w:type="spellStart"/>
      <w:r w:rsidRPr="00A66D4D">
        <w:rPr>
          <w:rFonts w:ascii="Arial" w:hAnsi="Arial" w:cs="Arial"/>
          <w:sz w:val="20"/>
          <w:szCs w:val="20"/>
          <w:lang w:val="en-US"/>
        </w:rPr>
        <w:t>Getahun</w:t>
      </w:r>
      <w:proofErr w:type="spellEnd"/>
      <w:r w:rsidRPr="00A66D4D">
        <w:rPr>
          <w:rFonts w:ascii="Arial" w:hAnsi="Arial" w:cs="Arial"/>
          <w:sz w:val="20"/>
          <w:szCs w:val="20"/>
          <w:lang w:val="en-US"/>
        </w:rPr>
        <w:t xml:space="preserve"> et al., 2024; </w:t>
      </w:r>
      <w:proofErr w:type="spellStart"/>
      <w:r w:rsidRPr="00A66D4D">
        <w:rPr>
          <w:rFonts w:ascii="Arial" w:hAnsi="Arial" w:cs="Arial"/>
          <w:sz w:val="20"/>
          <w:szCs w:val="20"/>
          <w:lang w:val="en-US"/>
        </w:rPr>
        <w:t>Petrovic</w:t>
      </w:r>
      <w:proofErr w:type="spellEnd"/>
      <w:r w:rsidRPr="00A66D4D">
        <w:rPr>
          <w:rFonts w:ascii="Arial" w:hAnsi="Arial" w:cs="Arial"/>
          <w:sz w:val="20"/>
          <w:szCs w:val="20"/>
          <w:lang w:val="en-US"/>
        </w:rPr>
        <w:t xml:space="preserve"> &amp; </w:t>
      </w:r>
      <w:proofErr w:type="spellStart"/>
      <w:r w:rsidRPr="00A66D4D">
        <w:rPr>
          <w:rFonts w:ascii="Arial" w:hAnsi="Arial" w:cs="Arial"/>
          <w:sz w:val="20"/>
          <w:szCs w:val="20"/>
          <w:lang w:val="en-US"/>
        </w:rPr>
        <w:t>Csambalik</w:t>
      </w:r>
      <w:proofErr w:type="spellEnd"/>
      <w:r w:rsidRPr="00A66D4D">
        <w:rPr>
          <w:rFonts w:ascii="Arial" w:hAnsi="Arial" w:cs="Arial"/>
          <w:sz w:val="20"/>
          <w:szCs w:val="20"/>
          <w:lang w:val="en-US"/>
        </w:rPr>
        <w:t xml:space="preserve">, 2025). Beyond yield optimization, PA can deliver co-benefits such as enhanced labor efficiency, biodiversity conservation, and improved socioeconomic outcomes for smallholder farmers (FAO, 2017c; </w:t>
      </w:r>
      <w:proofErr w:type="spellStart"/>
      <w:r w:rsidRPr="00A66D4D">
        <w:rPr>
          <w:rFonts w:ascii="Arial" w:hAnsi="Arial" w:cs="Arial"/>
          <w:sz w:val="20"/>
          <w:szCs w:val="20"/>
          <w:lang w:val="en-US"/>
        </w:rPr>
        <w:t>Makate</w:t>
      </w:r>
      <w:proofErr w:type="spellEnd"/>
      <w:r w:rsidRPr="00A66D4D">
        <w:rPr>
          <w:rFonts w:ascii="Arial" w:hAnsi="Arial" w:cs="Arial"/>
          <w:sz w:val="20"/>
          <w:szCs w:val="20"/>
          <w:lang w:val="en-US"/>
        </w:rPr>
        <w:t xml:space="preserve"> et al., 2019; Getahun et al., 2024; Xu et al., 2024).</w:t>
      </w:r>
    </w:p>
    <w:p w14:paraId="388FB460" w14:textId="391311AB" w:rsidR="00C94D9C" w:rsidRPr="00A66D4D" w:rsidRDefault="00C94D9C" w:rsidP="00AF36A3">
      <w:pPr>
        <w:spacing w:line="360" w:lineRule="auto"/>
        <w:jc w:val="both"/>
        <w:rPr>
          <w:rFonts w:ascii="Arial" w:hAnsi="Arial" w:cs="Arial"/>
          <w:sz w:val="20"/>
          <w:szCs w:val="20"/>
          <w:lang w:val="en-US"/>
        </w:rPr>
      </w:pPr>
      <w:r w:rsidRPr="00A66D4D">
        <w:rPr>
          <w:rFonts w:ascii="Arial" w:hAnsi="Arial" w:cs="Arial"/>
          <w:sz w:val="20"/>
          <w:szCs w:val="20"/>
          <w:lang w:val="en-US"/>
        </w:rPr>
        <w:t>Assessing the environmental performance of such innovations requires comprehensive analytical tools. Life Cycle Assessment (LCA) is a robust methodology that quantifies environmental impacts across all stages of a product's life cycle</w:t>
      </w:r>
      <w:r w:rsidR="006D67BE" w:rsidRPr="00A66D4D">
        <w:rPr>
          <w:rFonts w:ascii="Arial" w:hAnsi="Arial" w:cs="Arial"/>
          <w:sz w:val="20"/>
          <w:szCs w:val="20"/>
          <w:lang w:val="en-US"/>
        </w:rPr>
        <w:t xml:space="preserve">, </w:t>
      </w:r>
      <w:r w:rsidRPr="00A66D4D">
        <w:rPr>
          <w:rFonts w:ascii="Arial" w:hAnsi="Arial" w:cs="Arial"/>
          <w:sz w:val="20"/>
          <w:szCs w:val="20"/>
          <w:lang w:val="en-US"/>
        </w:rPr>
        <w:t>from resource extraction to the farm gate</w:t>
      </w:r>
      <w:r w:rsidR="006D67BE" w:rsidRPr="00A66D4D">
        <w:rPr>
          <w:rFonts w:ascii="Arial" w:hAnsi="Arial" w:cs="Arial"/>
          <w:sz w:val="20"/>
          <w:szCs w:val="20"/>
          <w:lang w:val="en-US"/>
        </w:rPr>
        <w:t xml:space="preserve">, </w:t>
      </w:r>
      <w:r w:rsidRPr="00A66D4D">
        <w:rPr>
          <w:rFonts w:ascii="Arial" w:hAnsi="Arial" w:cs="Arial"/>
          <w:sz w:val="20"/>
          <w:szCs w:val="20"/>
          <w:lang w:val="en-US"/>
        </w:rPr>
        <w:t>enabling the identification of best practices for low-impact agricultural production (ISO 14040, 2006; Nemecek et al., 2015).</w:t>
      </w:r>
    </w:p>
    <w:p w14:paraId="7C079A7E" w14:textId="1AABB961" w:rsidR="00C94D9C" w:rsidRPr="00A66D4D" w:rsidRDefault="00C94D9C" w:rsidP="00AF36A3">
      <w:pPr>
        <w:spacing w:after="0" w:line="360" w:lineRule="auto"/>
        <w:jc w:val="both"/>
        <w:rPr>
          <w:rFonts w:ascii="Arial" w:hAnsi="Arial" w:cs="Arial"/>
          <w:sz w:val="20"/>
          <w:szCs w:val="20"/>
          <w:lang w:val="en-US"/>
        </w:rPr>
      </w:pPr>
      <w:r w:rsidRPr="00A66D4D">
        <w:rPr>
          <w:rFonts w:ascii="Arial" w:hAnsi="Arial" w:cs="Arial"/>
          <w:sz w:val="20"/>
          <w:szCs w:val="20"/>
          <w:lang w:val="en-US"/>
        </w:rPr>
        <w:t>This study addresses a critical knowledge gap by evaluating the environmental performance of PA-based fertility management in soybean production. Using four key impact categories</w:t>
      </w:r>
      <w:r w:rsidR="006D67BE" w:rsidRPr="00A66D4D">
        <w:rPr>
          <w:rFonts w:ascii="Arial" w:hAnsi="Arial" w:cs="Arial"/>
          <w:sz w:val="20"/>
          <w:szCs w:val="20"/>
          <w:lang w:val="en-US"/>
        </w:rPr>
        <w:t xml:space="preserve">, </w:t>
      </w:r>
      <w:r w:rsidRPr="00A66D4D">
        <w:rPr>
          <w:rFonts w:ascii="Arial" w:hAnsi="Arial" w:cs="Arial"/>
          <w:sz w:val="20"/>
          <w:szCs w:val="20"/>
          <w:lang w:val="en-US"/>
        </w:rPr>
        <w:t>global warming potential (GWP), acidification potential (AP), eutrophication potential (EP), and human toxicity potential (HTP)</w:t>
      </w:r>
      <w:r w:rsidR="006D67BE" w:rsidRPr="00A66D4D">
        <w:rPr>
          <w:rFonts w:ascii="Arial" w:hAnsi="Arial" w:cs="Arial"/>
          <w:sz w:val="20"/>
          <w:szCs w:val="20"/>
          <w:lang w:val="en-US"/>
        </w:rPr>
        <w:t xml:space="preserve">, </w:t>
      </w:r>
      <w:r w:rsidRPr="00A66D4D">
        <w:rPr>
          <w:rFonts w:ascii="Arial" w:hAnsi="Arial" w:cs="Arial"/>
          <w:sz w:val="20"/>
          <w:szCs w:val="20"/>
          <w:lang w:val="en-US"/>
        </w:rPr>
        <w:t>the study compares PA with conventional practices and examines the contribution of each operational stage. The findings aim to inform policy development and support sustainable intensification strategies at the farm level.</w:t>
      </w:r>
    </w:p>
    <w:p w14:paraId="12D911DC" w14:textId="77777777" w:rsidR="00A66D4D" w:rsidRDefault="00A66D4D" w:rsidP="00F44CB5">
      <w:pPr>
        <w:spacing w:after="0" w:line="360" w:lineRule="auto"/>
        <w:rPr>
          <w:rFonts w:ascii="Arial" w:hAnsi="Arial" w:cs="Arial"/>
          <w:b/>
          <w:bCs/>
          <w:sz w:val="24"/>
          <w:szCs w:val="24"/>
          <w:lang w:val="en-US"/>
        </w:rPr>
      </w:pPr>
      <w:bookmarkStart w:id="1" w:name="_Toc1377900"/>
    </w:p>
    <w:p w14:paraId="7F08B5D6" w14:textId="7A39B4C6" w:rsidR="00F44CB5" w:rsidRDefault="006C25E0" w:rsidP="00F44CB5">
      <w:pPr>
        <w:spacing w:after="0" w:line="360" w:lineRule="auto"/>
        <w:rPr>
          <w:rFonts w:ascii="Arial" w:hAnsi="Arial" w:cs="Arial"/>
          <w:b/>
          <w:bCs/>
          <w:lang w:val="en-US"/>
        </w:rPr>
      </w:pPr>
      <w:r w:rsidRPr="00D22C5B">
        <w:rPr>
          <w:rFonts w:ascii="Arial" w:hAnsi="Arial" w:cs="Arial"/>
          <w:b/>
          <w:bCs/>
          <w:sz w:val="24"/>
          <w:szCs w:val="24"/>
          <w:lang w:val="en-US"/>
        </w:rPr>
        <w:t xml:space="preserve">2 </w:t>
      </w:r>
      <w:r w:rsidR="00A66D4D" w:rsidRPr="00A66D4D">
        <w:rPr>
          <w:rFonts w:ascii="Arial" w:hAnsi="Arial" w:cs="Arial"/>
          <w:b/>
          <w:bCs/>
          <w:lang w:val="en-US"/>
        </w:rPr>
        <w:t>MATERIALS AND METHODS</w:t>
      </w:r>
      <w:bookmarkStart w:id="2" w:name="_Toc1390367"/>
      <w:bookmarkEnd w:id="1"/>
    </w:p>
    <w:p w14:paraId="70CD87A6" w14:textId="721673B2" w:rsidR="0089608E" w:rsidRPr="00A66D4D" w:rsidRDefault="00C94D9C" w:rsidP="00AF36A3">
      <w:pPr>
        <w:spacing w:after="0" w:line="360" w:lineRule="auto"/>
        <w:jc w:val="both"/>
        <w:rPr>
          <w:rFonts w:ascii="Arial" w:hAnsi="Arial" w:cs="Arial"/>
          <w:sz w:val="20"/>
          <w:szCs w:val="20"/>
          <w:lang w:val="en-US"/>
        </w:rPr>
      </w:pPr>
      <w:r w:rsidRPr="00A66D4D">
        <w:rPr>
          <w:rFonts w:ascii="Arial" w:hAnsi="Arial" w:cs="Arial"/>
          <w:sz w:val="20"/>
          <w:szCs w:val="20"/>
          <w:lang w:val="en-US"/>
        </w:rPr>
        <w:lastRenderedPageBreak/>
        <w:t>This study assessed the environmental impacts of soybean production systems using either conventional practices or PA-based fertility management. A Life Cycle Impact Assessment (LCIA) was performed in accordance with ISO 14040 and ISO 14044 standards.</w:t>
      </w:r>
    </w:p>
    <w:p w14:paraId="22D4F37B" w14:textId="1B0E51A8" w:rsidR="0089608E" w:rsidRPr="00D22C5B" w:rsidRDefault="0089608E" w:rsidP="00F44CB5">
      <w:pPr>
        <w:pStyle w:val="NormalWeb"/>
        <w:spacing w:before="0" w:beforeAutospacing="0" w:after="0" w:afterAutospacing="0" w:line="360" w:lineRule="auto"/>
        <w:rPr>
          <w:rStyle w:val="Strong"/>
          <w:rFonts w:ascii="Arial" w:hAnsi="Arial" w:cs="Arial"/>
          <w:b w:val="0"/>
          <w:bCs w:val="0"/>
          <w:lang w:val="en-US"/>
        </w:rPr>
      </w:pPr>
    </w:p>
    <w:p w14:paraId="0C4A5812" w14:textId="58F78D3A" w:rsidR="00D70043" w:rsidRDefault="00D70043" w:rsidP="00F44CB5">
      <w:pPr>
        <w:pStyle w:val="NormalWeb"/>
        <w:spacing w:before="0" w:beforeAutospacing="0" w:after="0" w:afterAutospacing="0" w:line="360" w:lineRule="auto"/>
        <w:rPr>
          <w:rStyle w:val="Strong"/>
          <w:rFonts w:ascii="Arial" w:hAnsi="Arial" w:cs="Arial"/>
          <w:sz w:val="22"/>
          <w:szCs w:val="22"/>
          <w:lang w:val="en-US"/>
        </w:rPr>
      </w:pPr>
      <w:r w:rsidRPr="00A66D4D">
        <w:rPr>
          <w:rStyle w:val="Strong"/>
          <w:rFonts w:ascii="Arial" w:hAnsi="Arial" w:cs="Arial"/>
          <w:sz w:val="22"/>
          <w:szCs w:val="22"/>
          <w:lang w:val="en-US"/>
        </w:rPr>
        <w:t>2.1 S</w:t>
      </w:r>
      <w:r w:rsidR="0015400E" w:rsidRPr="00A66D4D">
        <w:rPr>
          <w:rStyle w:val="Strong"/>
          <w:rFonts w:ascii="Arial" w:hAnsi="Arial" w:cs="Arial"/>
          <w:sz w:val="22"/>
          <w:szCs w:val="22"/>
          <w:lang w:val="en-US"/>
        </w:rPr>
        <w:t>tudy Area</w:t>
      </w:r>
    </w:p>
    <w:p w14:paraId="6B3C362C" w14:textId="77777777" w:rsidR="00AF36A3" w:rsidRDefault="00AF36A3" w:rsidP="00AF36A3">
      <w:pPr>
        <w:pStyle w:val="Caption"/>
        <w:keepNext/>
        <w:spacing w:after="0" w:line="360" w:lineRule="auto"/>
        <w:jc w:val="both"/>
        <w:rPr>
          <w:rFonts w:ascii="Arial" w:eastAsia="Times New Roman" w:hAnsi="Arial" w:cs="Arial"/>
          <w:b w:val="0"/>
          <w:bCs w:val="0"/>
          <w:lang w:val="en-US" w:eastAsia="pt-BR"/>
        </w:rPr>
      </w:pPr>
    </w:p>
    <w:p w14:paraId="2AACA5B6" w14:textId="0B566E4F" w:rsidR="0015400E" w:rsidRDefault="003B7EBF" w:rsidP="00AF36A3">
      <w:pPr>
        <w:pStyle w:val="Caption"/>
        <w:keepNext/>
        <w:spacing w:after="0" w:line="360" w:lineRule="auto"/>
        <w:jc w:val="both"/>
        <w:rPr>
          <w:rFonts w:ascii="Arial" w:eastAsia="Times New Roman" w:hAnsi="Arial" w:cs="Arial"/>
          <w:b w:val="0"/>
          <w:bCs w:val="0"/>
          <w:lang w:val="en-US" w:eastAsia="pt-BR"/>
        </w:rPr>
      </w:pPr>
      <w:r w:rsidRPr="00A66D4D">
        <w:rPr>
          <w:rFonts w:ascii="Arial" w:hAnsi="Arial" w:cs="Arial"/>
          <w:b w:val="0"/>
          <w:noProof/>
        </w:rPr>
        <w:drawing>
          <wp:anchor distT="0" distB="0" distL="114300" distR="114300" simplePos="0" relativeHeight="251669504" behindDoc="1" locked="0" layoutInCell="1" allowOverlap="1" wp14:anchorId="1D7C081B" wp14:editId="57CB9BBC">
            <wp:simplePos x="0" y="0"/>
            <wp:positionH relativeFrom="column">
              <wp:posOffset>-11430</wp:posOffset>
            </wp:positionH>
            <wp:positionV relativeFrom="paragraph">
              <wp:posOffset>1243602</wp:posOffset>
            </wp:positionV>
            <wp:extent cx="5760085" cy="3241040"/>
            <wp:effectExtent l="0" t="0" r="0" b="0"/>
            <wp:wrapTopAndBottom/>
            <wp:docPr id="11" name="Imagem 1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Mapa&#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24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CD9" w:rsidRPr="00A66D4D">
        <w:rPr>
          <w:rFonts w:ascii="Arial" w:eastAsia="Times New Roman" w:hAnsi="Arial" w:cs="Arial"/>
          <w:b w:val="0"/>
          <w:bCs w:val="0"/>
          <w:lang w:val="en-US" w:eastAsia="pt-BR"/>
        </w:rPr>
        <w:t xml:space="preserve">The analysis was conducted using data from a commercial farm located in </w:t>
      </w:r>
      <w:proofErr w:type="spellStart"/>
      <w:r w:rsidR="00FE0CD9" w:rsidRPr="00A66D4D">
        <w:rPr>
          <w:rFonts w:ascii="Arial" w:eastAsia="Times New Roman" w:hAnsi="Arial" w:cs="Arial"/>
          <w:b w:val="0"/>
          <w:bCs w:val="0"/>
          <w:lang w:val="en-US" w:eastAsia="pt-BR"/>
        </w:rPr>
        <w:t>Caarapó</w:t>
      </w:r>
      <w:proofErr w:type="spellEnd"/>
      <w:r w:rsidR="00FE0CD9" w:rsidRPr="00A66D4D">
        <w:rPr>
          <w:rFonts w:ascii="Arial" w:eastAsia="Times New Roman" w:hAnsi="Arial" w:cs="Arial"/>
          <w:b w:val="0"/>
          <w:bCs w:val="0"/>
          <w:lang w:val="en-US" w:eastAsia="pt-BR"/>
        </w:rPr>
        <w:t>, Mato Grosso do Sul, Brazil (22°44′1.14″S, 54°47′52.26″W)</w:t>
      </w:r>
      <w:r w:rsidR="00D24672" w:rsidRPr="00A66D4D">
        <w:rPr>
          <w:rFonts w:ascii="Arial" w:eastAsia="Times New Roman" w:hAnsi="Arial" w:cs="Arial"/>
          <w:b w:val="0"/>
          <w:bCs w:val="0"/>
          <w:lang w:val="en-US" w:eastAsia="pt-BR"/>
        </w:rPr>
        <w:t xml:space="preserve"> (Figure 1)</w:t>
      </w:r>
      <w:r w:rsidR="00FE0CD9" w:rsidRPr="00A66D4D">
        <w:rPr>
          <w:rFonts w:ascii="Arial" w:eastAsia="Times New Roman" w:hAnsi="Arial" w:cs="Arial"/>
          <w:b w:val="0"/>
          <w:bCs w:val="0"/>
          <w:lang w:val="en-US" w:eastAsia="pt-BR"/>
        </w:rPr>
        <w:t xml:space="preserve">. The farm operates under a no-tillage, rainfed soybean–maize rotation system across 218.02 hectares of </w:t>
      </w:r>
      <w:proofErr w:type="spellStart"/>
      <w:r w:rsidR="00FE0CD9" w:rsidRPr="00A66D4D">
        <w:rPr>
          <w:rFonts w:ascii="Arial" w:eastAsia="Times New Roman" w:hAnsi="Arial" w:cs="Arial"/>
          <w:b w:val="0"/>
          <w:bCs w:val="0"/>
          <w:lang w:val="en-US" w:eastAsia="pt-BR"/>
        </w:rPr>
        <w:t>Oxisol</w:t>
      </w:r>
      <w:proofErr w:type="spellEnd"/>
      <w:r w:rsidR="00FE0CD9" w:rsidRPr="00A66D4D">
        <w:rPr>
          <w:rFonts w:ascii="Arial" w:eastAsia="Times New Roman" w:hAnsi="Arial" w:cs="Arial"/>
          <w:b w:val="0"/>
          <w:bCs w:val="0"/>
          <w:lang w:val="en-US" w:eastAsia="pt-BR"/>
        </w:rPr>
        <w:t xml:space="preserve"> soil, with an average annual precipitation of 1,547 mm. Precision </w:t>
      </w:r>
      <w:r w:rsidR="00D24672" w:rsidRPr="00A66D4D">
        <w:rPr>
          <w:rFonts w:ascii="Arial" w:eastAsia="Times New Roman" w:hAnsi="Arial" w:cs="Arial"/>
          <w:b w:val="0"/>
          <w:bCs w:val="0"/>
          <w:lang w:val="en-US" w:eastAsia="pt-BR"/>
        </w:rPr>
        <w:t>A</w:t>
      </w:r>
      <w:r w:rsidR="00FE0CD9" w:rsidRPr="00A66D4D">
        <w:rPr>
          <w:rFonts w:ascii="Arial" w:eastAsia="Times New Roman" w:hAnsi="Arial" w:cs="Arial"/>
          <w:b w:val="0"/>
          <w:bCs w:val="0"/>
          <w:lang w:val="en-US" w:eastAsia="pt-BR"/>
        </w:rPr>
        <w:t>griculture (PA) practices were implemented over a five-year period (2019–2023), with technical support provided by Aggis Integrated Technologies.</w:t>
      </w:r>
    </w:p>
    <w:p w14:paraId="706FE455" w14:textId="0481327A" w:rsidR="00A66D4D" w:rsidRDefault="00A66D4D" w:rsidP="00D24672">
      <w:pPr>
        <w:rPr>
          <w:rFonts w:ascii="Arial" w:hAnsi="Arial" w:cs="Arial"/>
          <w:lang w:val="en-US" w:eastAsia="pt-BR"/>
        </w:rPr>
      </w:pPr>
    </w:p>
    <w:p w14:paraId="24F60C53" w14:textId="77777777" w:rsidR="00A66D4D" w:rsidRDefault="00D24672" w:rsidP="00A66D4D">
      <w:pPr>
        <w:spacing w:after="0"/>
        <w:rPr>
          <w:rFonts w:ascii="Arial" w:hAnsi="Arial" w:cs="Arial"/>
          <w:sz w:val="20"/>
          <w:szCs w:val="20"/>
          <w:lang w:val="en-US"/>
        </w:rPr>
      </w:pPr>
      <w:r w:rsidRPr="00A66D4D">
        <w:rPr>
          <w:rFonts w:ascii="Arial" w:hAnsi="Arial" w:cs="Arial"/>
          <w:b/>
          <w:sz w:val="20"/>
          <w:szCs w:val="20"/>
          <w:lang w:val="en-US"/>
        </w:rPr>
        <w:t>Figure 1</w:t>
      </w:r>
      <w:r w:rsidRPr="00A66D4D">
        <w:rPr>
          <w:rFonts w:ascii="Arial" w:hAnsi="Arial" w:cs="Arial"/>
          <w:bCs/>
          <w:sz w:val="20"/>
          <w:szCs w:val="20"/>
          <w:lang w:val="en-US"/>
        </w:rPr>
        <w:t>.</w:t>
      </w:r>
      <w:r w:rsidRPr="00A66D4D">
        <w:rPr>
          <w:rFonts w:ascii="Arial" w:hAnsi="Arial" w:cs="Arial"/>
          <w:b/>
          <w:bCs/>
          <w:sz w:val="20"/>
          <w:szCs w:val="20"/>
          <w:lang w:val="en-US"/>
        </w:rPr>
        <w:t xml:space="preserve"> </w:t>
      </w:r>
      <w:r w:rsidRPr="00A66D4D">
        <w:rPr>
          <w:rFonts w:ascii="Arial" w:hAnsi="Arial" w:cs="Arial"/>
          <w:sz w:val="20"/>
          <w:szCs w:val="20"/>
          <w:lang w:val="en-US"/>
        </w:rPr>
        <w:t xml:space="preserve">Delimitation of the area destined to the cultivation of transgenic soybean using the precision system. Satellite image showing the boundaries of the field. </w:t>
      </w:r>
    </w:p>
    <w:p w14:paraId="6D20E6EE" w14:textId="576DA8EA" w:rsidR="00D24672" w:rsidRPr="00AF36A3" w:rsidRDefault="00D24672" w:rsidP="00A66D4D">
      <w:pPr>
        <w:spacing w:after="0"/>
        <w:rPr>
          <w:rFonts w:ascii="Arial" w:hAnsi="Arial" w:cs="Arial"/>
          <w:i/>
          <w:iCs/>
          <w:sz w:val="18"/>
          <w:szCs w:val="18"/>
          <w:lang w:val="en-US"/>
        </w:rPr>
      </w:pPr>
      <w:r w:rsidRPr="00AF36A3">
        <w:rPr>
          <w:rFonts w:ascii="Arial" w:hAnsi="Arial" w:cs="Arial"/>
          <w:i/>
          <w:iCs/>
          <w:sz w:val="18"/>
          <w:szCs w:val="18"/>
          <w:lang w:val="en-US"/>
        </w:rPr>
        <w:t xml:space="preserve">Source: courtesy of </w:t>
      </w:r>
      <w:proofErr w:type="spellStart"/>
      <w:r w:rsidRPr="00AF36A3">
        <w:rPr>
          <w:rFonts w:ascii="Arial" w:hAnsi="Arial" w:cs="Arial"/>
          <w:i/>
          <w:iCs/>
          <w:sz w:val="18"/>
          <w:szCs w:val="18"/>
          <w:lang w:val="en-US"/>
        </w:rPr>
        <w:t>Agges</w:t>
      </w:r>
      <w:proofErr w:type="spellEnd"/>
      <w:r w:rsidRPr="00AF36A3">
        <w:rPr>
          <w:rFonts w:ascii="Arial" w:hAnsi="Arial" w:cs="Arial"/>
          <w:i/>
          <w:iCs/>
          <w:sz w:val="18"/>
          <w:szCs w:val="18"/>
          <w:lang w:val="en-US"/>
        </w:rPr>
        <w:t xml:space="preserve"> Integrated solution Company (2024).</w:t>
      </w:r>
    </w:p>
    <w:bookmarkEnd w:id="2"/>
    <w:p w14:paraId="18091FA8" w14:textId="3264E409" w:rsidR="000B7F07" w:rsidRPr="00D22C5B" w:rsidRDefault="000B7F07" w:rsidP="00991FD3">
      <w:pPr>
        <w:spacing w:after="0" w:line="360" w:lineRule="auto"/>
        <w:ind w:firstLine="708"/>
        <w:jc w:val="both"/>
        <w:rPr>
          <w:rFonts w:ascii="Arial" w:eastAsia="Times New Roman" w:hAnsi="Arial" w:cs="Arial"/>
          <w:sz w:val="24"/>
          <w:szCs w:val="24"/>
          <w:lang w:val="en-US" w:eastAsia="pt-BR"/>
        </w:rPr>
      </w:pPr>
    </w:p>
    <w:p w14:paraId="443AFC9D" w14:textId="41121B00" w:rsidR="007F1A50" w:rsidRPr="00AF36A3" w:rsidRDefault="00FE0CD9" w:rsidP="00AF36A3">
      <w:pPr>
        <w:spacing w:after="0" w:line="360" w:lineRule="auto"/>
        <w:jc w:val="both"/>
        <w:rPr>
          <w:rFonts w:ascii="Arial" w:eastAsia="Times New Roman" w:hAnsi="Arial" w:cs="Arial"/>
          <w:sz w:val="20"/>
          <w:szCs w:val="20"/>
          <w:lang w:val="en-US" w:eastAsia="pt-BR"/>
        </w:rPr>
      </w:pPr>
      <w:r w:rsidRPr="00AF36A3">
        <w:rPr>
          <w:rFonts w:ascii="Arial" w:eastAsia="Times New Roman" w:hAnsi="Arial" w:cs="Arial"/>
          <w:sz w:val="20"/>
          <w:szCs w:val="20"/>
          <w:lang w:val="en-US" w:eastAsia="pt-BR"/>
        </w:rPr>
        <w:t>To operationalize the PA management approach, the farm was subdivided into two fields: T01 (126.98 ha) and T02 (91.04 ha), where PA technologies were adopted in 2018 and 2019, respectively (Figure 1). The PA system integrates auto-guidance technology, variable-rate fertilizer applicators, and soil sensors. Annual geo-referenced soil sampling in 5-hectare grids, comprising 20 to 24 sampling points per field, supports site-specific recommendations for lime and nutrient application via specialized software tools.</w:t>
      </w:r>
    </w:p>
    <w:p w14:paraId="58E4DE3C" w14:textId="607ABEFF" w:rsidR="00F46E43" w:rsidRPr="00D22C5B" w:rsidRDefault="00F46E43" w:rsidP="00F46E43">
      <w:pPr>
        <w:keepNext/>
        <w:spacing w:line="240" w:lineRule="auto"/>
        <w:jc w:val="center"/>
        <w:rPr>
          <w:rFonts w:ascii="Arial" w:hAnsi="Arial" w:cs="Arial"/>
          <w:sz w:val="24"/>
          <w:szCs w:val="24"/>
          <w:lang w:val="en-US"/>
        </w:rPr>
      </w:pPr>
    </w:p>
    <w:p w14:paraId="3FDEA614" w14:textId="20D01C16" w:rsidR="00AF36A3" w:rsidRDefault="006C25E0" w:rsidP="003B7EBF">
      <w:pPr>
        <w:pStyle w:val="Heading3"/>
        <w:spacing w:before="0"/>
        <w:rPr>
          <w:rFonts w:cs="Arial"/>
          <w:b/>
          <w:bCs/>
          <w:i w:val="0"/>
          <w:iCs/>
          <w:sz w:val="22"/>
          <w:szCs w:val="22"/>
          <w:lang w:val="en-US"/>
        </w:rPr>
      </w:pPr>
      <w:bookmarkStart w:id="3" w:name="_Toc1377902"/>
      <w:r w:rsidRPr="00A66D4D">
        <w:rPr>
          <w:rFonts w:cs="Arial"/>
          <w:b/>
          <w:bCs/>
          <w:i w:val="0"/>
          <w:iCs/>
          <w:sz w:val="22"/>
          <w:szCs w:val="22"/>
          <w:lang w:val="en-US"/>
        </w:rPr>
        <w:t>2.2 Precision Agriculture</w:t>
      </w:r>
      <w:bookmarkEnd w:id="3"/>
    </w:p>
    <w:p w14:paraId="0830D7E6" w14:textId="77777777" w:rsidR="003B7EBF" w:rsidRPr="003B7EBF" w:rsidRDefault="003B7EBF" w:rsidP="003B7EBF">
      <w:pPr>
        <w:rPr>
          <w:lang w:val="en-US"/>
        </w:rPr>
      </w:pPr>
    </w:p>
    <w:p w14:paraId="59B544E5" w14:textId="4E6F5FCC" w:rsidR="00711432" w:rsidRPr="00A66D4D" w:rsidRDefault="003B7EBF" w:rsidP="00AF36A3">
      <w:pPr>
        <w:spacing w:line="360" w:lineRule="auto"/>
        <w:jc w:val="both"/>
        <w:rPr>
          <w:rFonts w:ascii="Arial" w:hAnsi="Arial" w:cs="Arial"/>
          <w:sz w:val="20"/>
          <w:szCs w:val="20"/>
          <w:lang w:val="en-US"/>
        </w:rPr>
      </w:pPr>
      <w:r w:rsidRPr="00A66D4D">
        <w:rPr>
          <w:rFonts w:ascii="Arial" w:hAnsi="Arial" w:cs="Arial"/>
          <w:noProof/>
          <w:sz w:val="18"/>
          <w:szCs w:val="18"/>
          <w:lang w:val="en-US"/>
        </w:rPr>
        <w:lastRenderedPageBreak/>
        <mc:AlternateContent>
          <mc:Choice Requires="wps">
            <w:drawing>
              <wp:anchor distT="45720" distB="45720" distL="114300" distR="114300" simplePos="0" relativeHeight="251673600" behindDoc="0" locked="0" layoutInCell="1" allowOverlap="1" wp14:anchorId="3BB7059C" wp14:editId="1875905F">
                <wp:simplePos x="0" y="0"/>
                <wp:positionH relativeFrom="column">
                  <wp:posOffset>3113496</wp:posOffset>
                </wp:positionH>
                <wp:positionV relativeFrom="paragraph">
                  <wp:posOffset>3127103</wp:posOffset>
                </wp:positionV>
                <wp:extent cx="575310" cy="297815"/>
                <wp:effectExtent l="0" t="0" r="15240" b="26035"/>
                <wp:wrapSquare wrapText="bothSides"/>
                <wp:docPr id="152596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97815"/>
                        </a:xfrm>
                        <a:prstGeom prst="rect">
                          <a:avLst/>
                        </a:prstGeom>
                        <a:solidFill>
                          <a:srgbClr val="FFFFFF"/>
                        </a:solidFill>
                        <a:ln w="9525">
                          <a:solidFill>
                            <a:srgbClr val="000000"/>
                          </a:solidFill>
                          <a:miter lim="800000"/>
                          <a:headEnd/>
                          <a:tailEnd/>
                        </a:ln>
                      </wps:spPr>
                      <wps:txbx>
                        <w:txbxContent>
                          <w:p w14:paraId="0C1B7D95" w14:textId="3433C677" w:rsidR="00A66D4D" w:rsidRDefault="00A66D4D" w:rsidP="00A66D4D">
                            <w:r>
                              <w:t>T 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B7059C" id="_x0000_t202" coordsize="21600,21600" o:spt="202" path="m,l,21600r21600,l21600,xe">
                <v:stroke joinstyle="miter"/>
                <v:path gradientshapeok="t" o:connecttype="rect"/>
              </v:shapetype>
              <v:shape id="Caixa de Texto 2" o:spid="_x0000_s1026" type="#_x0000_t202" style="position:absolute;left:0;text-align:left;margin-left:245.15pt;margin-top:246.25pt;width:45.3pt;height:23.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YmDwIAAB4EAAAOAAAAZHJzL2Uyb0RvYy54bWysU92u0zAMvkfiHaLcs7ZjZVu17uiwwxDS&#10;4Uc68ABpmq4RaRySbO14epy0Z2f83SByEdmx89n+bG9uhk6Rk7BOgi5pNkspEZpDLfWhpF8+71+s&#10;KHGe6Zop0KKkZ+Hozfb5s01vCjGHFlQtLEEQ7YrelLT13hRJ4ngrOuZmYIRGYwO2Yx5Ve0hqy3pE&#10;71QyT9NXSQ+2Nha4cA5f70Yj3Ub8phHcf2waJzxRJcXcfLxtvKtwJ9sNKw6WmVbyKQ32D1l0TGoM&#10;eoG6Y56Ro5W/QXWSW3DQ+BmHLoGmkVzEGrCaLP2lmoeWGRFrQXKcudDk/h8s/3B6MJ8s8cNrGLCB&#10;sQhn7oF/dUTDrmX6IG6thb4VrMbAWaAs6Y0rpq+Bale4AFL176HGJrOjhwg0NLYLrGCdBNGxAecL&#10;6WLwhONjvsxfZmjhaJqvl6ssjxFY8fjZWOffCuhIEEpqsacRnJ3unQ/JsOLRJcRyoGS9l0pFxR6q&#10;nbLkxLD/+3gm9J/clCZ9Sdf5PB/r/ytEGs+fIDrpcZCV7Eq6ujixIrD2RtdxzDyTapQxZaUnGgNz&#10;I4d+qAZ0DHRWUJ+RUAvjwOKCodCC/U5Jj8NaUvftyKygRL3T2JR1tliE6Y7KIl/OUbHXlurawjRH&#10;qJJ6SkZx5+NGBMI03GLzGhmJfcpkyhWHMPI9LUyY8ms9ej2t9fYHAAAA//8DAFBLAwQUAAYACAAA&#10;ACEAXYFymeEAAAALAQAADwAAAGRycy9kb3ducmV2LnhtbEyPwU7DMAyG70i8Q2QkLmhLWLvRlqYT&#10;QgKxG2wIrlnjtRWNU5KsK29PdoLbb/nT78/lejI9G9H5zpKE27kAhlRb3VEj4X33NMuA+aBIq94S&#10;SvhBD+vq8qJUhbYnesNxGxoWS8gXSkIbwlBw7usWjfJzOyDF3cE6o0IcXcO1U6dYbnq+EGLFjeoo&#10;XmjVgI8t1l/bo5GQpS/jp98krx/16tDn4eZufP52Ul5fTQ/3wAJO4Q+Gs35Uhyo67e2RtGe9hDQX&#10;SUTPYbEEFollJnJg+xiSPAVelfz/D9UvAAAA//8DAFBLAQItABQABgAIAAAAIQC2gziS/gAAAOEB&#10;AAATAAAAAAAAAAAAAAAAAAAAAABbQ29udGVudF9UeXBlc10ueG1sUEsBAi0AFAAGAAgAAAAhADj9&#10;If/WAAAAlAEAAAsAAAAAAAAAAAAAAAAALwEAAF9yZWxzLy5yZWxzUEsBAi0AFAAGAAgAAAAhAN1F&#10;9iYPAgAAHgQAAA4AAAAAAAAAAAAAAAAALgIAAGRycy9lMm9Eb2MueG1sUEsBAi0AFAAGAAgAAAAh&#10;AF2BcpnhAAAACwEAAA8AAAAAAAAAAAAAAAAAaQQAAGRycy9kb3ducmV2LnhtbFBLBQYAAAAABAAE&#10;APMAAAB3BQAAAAA=&#10;">
                <v:textbox>
                  <w:txbxContent>
                    <w:p w14:paraId="0C1B7D95" w14:textId="3433C677" w:rsidR="00A66D4D" w:rsidRDefault="00A66D4D" w:rsidP="00A66D4D">
                      <w:r>
                        <w:t>T 01</w:t>
                      </w:r>
                    </w:p>
                  </w:txbxContent>
                </v:textbox>
                <w10:wrap type="square"/>
              </v:shape>
            </w:pict>
          </mc:Fallback>
        </mc:AlternateContent>
      </w:r>
      <w:r w:rsidRPr="00A66D4D">
        <w:rPr>
          <w:rFonts w:ascii="Arial" w:hAnsi="Arial" w:cs="Arial"/>
          <w:noProof/>
          <w:sz w:val="18"/>
          <w:szCs w:val="18"/>
          <w:lang w:val="en-US"/>
        </w:rPr>
        <mc:AlternateContent>
          <mc:Choice Requires="wps">
            <w:drawing>
              <wp:anchor distT="45720" distB="45720" distL="114300" distR="114300" simplePos="0" relativeHeight="251671552" behindDoc="0" locked="0" layoutInCell="1" allowOverlap="1" wp14:anchorId="5C56A52D" wp14:editId="122437F4">
                <wp:simplePos x="0" y="0"/>
                <wp:positionH relativeFrom="column">
                  <wp:posOffset>1007926</wp:posOffset>
                </wp:positionH>
                <wp:positionV relativeFrom="paragraph">
                  <wp:posOffset>3153682</wp:posOffset>
                </wp:positionV>
                <wp:extent cx="575310" cy="297815"/>
                <wp:effectExtent l="0" t="0" r="15240" b="2603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97815"/>
                        </a:xfrm>
                        <a:prstGeom prst="rect">
                          <a:avLst/>
                        </a:prstGeom>
                        <a:solidFill>
                          <a:srgbClr val="FFFFFF"/>
                        </a:solidFill>
                        <a:ln w="9525">
                          <a:solidFill>
                            <a:srgbClr val="000000"/>
                          </a:solidFill>
                          <a:miter lim="800000"/>
                          <a:headEnd/>
                          <a:tailEnd/>
                        </a:ln>
                      </wps:spPr>
                      <wps:txbx>
                        <w:txbxContent>
                          <w:p w14:paraId="44606803" w14:textId="0BC59C37" w:rsidR="00A66D4D" w:rsidRDefault="00A66D4D">
                            <w:r>
                              <w:t>T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56A52D" id="_x0000_s1027" type="#_x0000_t202" style="position:absolute;left:0;text-align:left;margin-left:79.35pt;margin-top:248.3pt;width:45.3pt;height:23.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qKEQIAACUEAAAOAAAAZHJzL2Uyb0RvYy54bWysU92u0zAMvkfiHaLcs7ZjZVu17uiwwxDS&#10;4Uc68ABpmq4RaRySbO14epy0Z2f83SByEdmx89n+bG9uhk6Rk7BOgi5pNkspEZpDLfWhpF8+71+s&#10;KHGe6Zop0KKkZ+Hozfb5s01vCjGHFlQtLEEQ7YrelLT13hRJ4ngrOuZmYIRGYwO2Yx5Ve0hqy3pE&#10;71QyT9NXSQ+2Nha4cA5f70Yj3Ub8phHcf2waJzxRJcXcfLxtvKtwJ9sNKw6WmVbyKQ32D1l0TGoM&#10;eoG6Y56Ro5W/QXWSW3DQ+BmHLoGmkVzEGrCaLP2lmoeWGRFrQXKcudDk/h8s/3B6MJ8s8cNrGLCB&#10;sQhn7oF/dUTDrmX6IG6thb4VrMbAWaAs6Y0rpq+Bale4AFL176HGJrOjhwg0NLYLrGCdBNGxAecL&#10;6WLwhONjvsxfZmjhaJqvl6ssjxFY8fjZWOffCuhIEEpqsacRnJ3unQ/JsOLRJcRyoGS9l0pFxR6q&#10;nbLkxLD/+3gm9J/clCZ9Sdf5PB/r/ytEGs+fIDrpcZCV7Eq6ujixIrD2RtdxzDyTapQxZaUnGgNz&#10;I4d+qAYi64njwGoF9Rl5tTDOLe4ZCi3Y75T0OLMldd+OzApK1DuNvVlni0UY8qgs8uUcFXttqa4t&#10;THOEKqmnZBR3Pi5G4E3DLfawkZHfp0ymlHEWI+3T3oRhv9aj19N2b38AAAD//wMAUEsDBBQABgAI&#10;AAAAIQDglgGV4QAAAAsBAAAPAAAAZHJzL2Rvd25yZXYueG1sTI/LTsMwEEX3SPyDNUhsUOvQPJqE&#10;OBVCAtEdtAi2bjxNImI72G4a/p5hBcurObr3TLWZ9cAmdL63RsDtMgKGprGqN62At/3jIgfmgzRK&#10;DtaggG/0sKkvLypZKns2rzjtQsuoxPhSCuhCGEvOfdOhln5pRzR0O1qnZaDoWq6cPFO5HvgqijKu&#10;ZW9ooZMjPnTYfO5OWkCePE8ffhu/vDfZcSjCzXp6+nJCXF/N93fAAs7hD4ZffVKHmpwO9mSUZwPl&#10;NF8TKiApsgwYEaukiIEdBKRJnAKvK/7/h/oHAAD//wMAUEsBAi0AFAAGAAgAAAAhALaDOJL+AAAA&#10;4QEAABMAAAAAAAAAAAAAAAAAAAAAAFtDb250ZW50X1R5cGVzXS54bWxQSwECLQAUAAYACAAAACEA&#10;OP0h/9YAAACUAQAACwAAAAAAAAAAAAAAAAAvAQAAX3JlbHMvLnJlbHNQSwECLQAUAAYACAAAACEA&#10;aT66ihECAAAlBAAADgAAAAAAAAAAAAAAAAAuAgAAZHJzL2Uyb0RvYy54bWxQSwECLQAUAAYACAAA&#10;ACEA4JYBleEAAAALAQAADwAAAAAAAAAAAAAAAABrBAAAZHJzL2Rvd25yZXYueG1sUEsFBgAAAAAE&#10;AAQA8wAAAHkFAAAAAA==&#10;">
                <v:textbox>
                  <w:txbxContent>
                    <w:p w14:paraId="44606803" w14:textId="0BC59C37" w:rsidR="00A66D4D" w:rsidRDefault="00A66D4D">
                      <w:r>
                        <w:t>T 02</w:t>
                      </w:r>
                    </w:p>
                  </w:txbxContent>
                </v:textbox>
                <w10:wrap type="square"/>
              </v:shape>
            </w:pict>
          </mc:Fallback>
        </mc:AlternateContent>
      </w:r>
      <w:r w:rsidRPr="00A66D4D">
        <w:rPr>
          <w:rFonts w:ascii="Arial" w:hAnsi="Arial" w:cs="Arial"/>
          <w:noProof/>
          <w:sz w:val="18"/>
          <w:szCs w:val="18"/>
          <w:lang w:eastAsia="pt-BR"/>
        </w:rPr>
        <w:drawing>
          <wp:anchor distT="0" distB="0" distL="114300" distR="114300" simplePos="0" relativeHeight="251665408" behindDoc="0" locked="0" layoutInCell="1" allowOverlap="1" wp14:anchorId="4249534C" wp14:editId="3EF5A292">
            <wp:simplePos x="0" y="0"/>
            <wp:positionH relativeFrom="column">
              <wp:posOffset>205558</wp:posOffset>
            </wp:positionH>
            <wp:positionV relativeFrom="paragraph">
              <wp:posOffset>667475</wp:posOffset>
            </wp:positionV>
            <wp:extent cx="5405120" cy="2813050"/>
            <wp:effectExtent l="0" t="0" r="5080" b="6350"/>
            <wp:wrapSquare wrapText="bothSides"/>
            <wp:docPr id="2" name="Picture 24"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 descr="Calendário&#10;&#10;O conteúdo gerado por IA pode estar incorreto."/>
                    <pic:cNvPicPr>
                      <a:picLocks noChangeAspect="1" noChangeArrowheads="1"/>
                    </pic:cNvPicPr>
                  </pic:nvPicPr>
                  <pic:blipFill>
                    <a:blip r:embed="rId9">
                      <a:extLst>
                        <a:ext uri="{28A0092B-C50C-407E-A947-70E740481C1C}">
                          <a14:useLocalDpi xmlns:a14="http://schemas.microsoft.com/office/drawing/2010/main" val="0"/>
                        </a:ext>
                      </a:extLst>
                    </a:blip>
                    <a:srcRect t="13376"/>
                    <a:stretch>
                      <a:fillRect/>
                    </a:stretch>
                  </pic:blipFill>
                  <pic:spPr bwMode="auto">
                    <a:xfrm>
                      <a:off x="0" y="0"/>
                      <a:ext cx="5405120" cy="2813050"/>
                    </a:xfrm>
                    <a:prstGeom prst="rect">
                      <a:avLst/>
                    </a:prstGeom>
                    <a:noFill/>
                    <a:ln>
                      <a:noFill/>
                    </a:ln>
                  </pic:spPr>
                </pic:pic>
              </a:graphicData>
            </a:graphic>
          </wp:anchor>
        </w:drawing>
      </w:r>
      <w:r w:rsidR="00C94D9C" w:rsidRPr="00A66D4D">
        <w:rPr>
          <w:rFonts w:ascii="Arial" w:hAnsi="Arial" w:cs="Arial"/>
          <w:sz w:val="20"/>
          <w:szCs w:val="20"/>
          <w:lang w:val="en-US"/>
        </w:rPr>
        <w:t xml:space="preserve">To evaluate fertility requirements and manage nutrient use over time, both fields were subdivided into geo-referenced 5-hectare grids, with 24 sampling points in T01 and 20 in </w:t>
      </w:r>
      <w:r w:rsidR="00711432" w:rsidRPr="00A66D4D">
        <w:rPr>
          <w:rFonts w:ascii="Arial" w:hAnsi="Arial" w:cs="Arial"/>
          <w:sz w:val="20"/>
          <w:szCs w:val="20"/>
          <w:lang w:val="en-US"/>
        </w:rPr>
        <w:t>T02 (Figure 2).</w:t>
      </w:r>
    </w:p>
    <w:p w14:paraId="7A97A4EE" w14:textId="51052BD5" w:rsidR="003B7EBF" w:rsidRDefault="003B7EBF" w:rsidP="00FA219F">
      <w:pPr>
        <w:pStyle w:val="Caption"/>
        <w:rPr>
          <w:rFonts w:ascii="Arial" w:hAnsi="Arial" w:cs="Arial"/>
          <w:lang w:val="en-US"/>
        </w:rPr>
      </w:pPr>
      <w:bookmarkStart w:id="4" w:name="_Toc1390071"/>
    </w:p>
    <w:p w14:paraId="3A008F7D" w14:textId="17FCCBFF" w:rsidR="0068204B" w:rsidRPr="00A66D4D" w:rsidRDefault="0068204B" w:rsidP="00FA219F">
      <w:pPr>
        <w:pStyle w:val="Caption"/>
        <w:rPr>
          <w:rFonts w:ascii="Arial" w:hAnsi="Arial" w:cs="Arial"/>
          <w:sz w:val="18"/>
          <w:szCs w:val="18"/>
          <w:lang w:val="en-US"/>
        </w:rPr>
      </w:pPr>
      <w:r w:rsidRPr="00F87061">
        <w:rPr>
          <w:rFonts w:ascii="Arial" w:hAnsi="Arial" w:cs="Arial"/>
          <w:lang w:val="en-US"/>
        </w:rPr>
        <w:t xml:space="preserve">Figure 2: </w:t>
      </w:r>
      <w:bookmarkEnd w:id="4"/>
      <w:r w:rsidRPr="00F87061">
        <w:rPr>
          <w:rFonts w:ascii="Arial" w:hAnsi="Arial" w:cs="Arial"/>
          <w:lang w:val="en-US"/>
        </w:rPr>
        <w:t>Geo-referenced Grid and Spatial Distribution of Soil Sampling Points</w:t>
      </w:r>
      <w:r w:rsidRPr="00A66D4D">
        <w:rPr>
          <w:rFonts w:ascii="Arial" w:hAnsi="Arial" w:cs="Arial"/>
          <w:sz w:val="18"/>
          <w:szCs w:val="18"/>
          <w:lang w:val="en-US"/>
        </w:rPr>
        <w:t>.</w:t>
      </w:r>
    </w:p>
    <w:p w14:paraId="534E9C56" w14:textId="724CB697" w:rsidR="000B7F07" w:rsidRPr="00D22C5B" w:rsidRDefault="000B7F07" w:rsidP="00AF36A3">
      <w:pPr>
        <w:pStyle w:val="NormalWeb"/>
        <w:spacing w:before="0" w:beforeAutospacing="0" w:after="0" w:afterAutospacing="0" w:line="360" w:lineRule="auto"/>
        <w:jc w:val="both"/>
        <w:rPr>
          <w:rFonts w:ascii="Arial" w:hAnsi="Arial" w:cs="Arial"/>
          <w:lang w:val="en-US"/>
        </w:rPr>
      </w:pPr>
    </w:p>
    <w:p w14:paraId="6546B4C4" w14:textId="00C347DD" w:rsidR="006D607F" w:rsidRPr="00AF36A3" w:rsidRDefault="004B06D9" w:rsidP="00AF36A3">
      <w:pPr>
        <w:pStyle w:val="NormalWeb"/>
        <w:spacing w:before="0" w:beforeAutospacing="0" w:after="240" w:afterAutospacing="0" w:line="360" w:lineRule="auto"/>
        <w:jc w:val="both"/>
        <w:rPr>
          <w:rFonts w:ascii="Arial" w:hAnsi="Arial" w:cs="Arial"/>
          <w:sz w:val="20"/>
          <w:szCs w:val="20"/>
          <w:lang w:val="en-US"/>
        </w:rPr>
      </w:pPr>
      <w:r w:rsidRPr="00AF36A3">
        <w:rPr>
          <w:rFonts w:ascii="Arial" w:hAnsi="Arial" w:cs="Arial"/>
          <w:sz w:val="20"/>
          <w:szCs w:val="20"/>
          <w:lang w:val="en-US"/>
        </w:rPr>
        <w:t>N</w:t>
      </w:r>
      <w:r w:rsidR="00C94D9C" w:rsidRPr="00AF36A3">
        <w:rPr>
          <w:rFonts w:ascii="Arial" w:hAnsi="Arial" w:cs="Arial"/>
          <w:sz w:val="20"/>
          <w:szCs w:val="20"/>
          <w:lang w:val="en-US"/>
        </w:rPr>
        <w:t xml:space="preserve">utrient recommendations adhered to PA guidelines from key Brazilian institutions: </w:t>
      </w:r>
      <w:proofErr w:type="gramStart"/>
      <w:r w:rsidR="00C94D9C" w:rsidRPr="00AF36A3">
        <w:rPr>
          <w:rFonts w:ascii="Arial" w:hAnsi="Arial" w:cs="Arial"/>
          <w:sz w:val="20"/>
          <w:szCs w:val="20"/>
          <w:lang w:val="en-US"/>
        </w:rPr>
        <w:t>the</w:t>
      </w:r>
      <w:proofErr w:type="gramEnd"/>
      <w:r w:rsidR="00C94D9C" w:rsidRPr="00AF36A3">
        <w:rPr>
          <w:rFonts w:ascii="Arial" w:hAnsi="Arial" w:cs="Arial"/>
          <w:sz w:val="20"/>
          <w:szCs w:val="20"/>
          <w:lang w:val="en-US"/>
        </w:rPr>
        <w:t xml:space="preserve"> Precision Agriculture Laboratory (LAP) at the University of São Paulo (Colaço &amp; Molin, 2015), EMBRAPA (Broch &amp; Ranno, 2012), and the Ministry of Agriculture (MAPA, 2013).</w:t>
      </w:r>
    </w:p>
    <w:p w14:paraId="6CAD71C0" w14:textId="0A37CCE9" w:rsidR="00711432" w:rsidRPr="00AF36A3" w:rsidRDefault="00C94D9C" w:rsidP="00AF36A3">
      <w:pPr>
        <w:pStyle w:val="NormalWeb"/>
        <w:spacing w:before="0" w:beforeAutospacing="0" w:after="240" w:afterAutospacing="0" w:line="360" w:lineRule="auto"/>
        <w:jc w:val="both"/>
        <w:rPr>
          <w:rFonts w:ascii="Arial" w:hAnsi="Arial" w:cs="Arial"/>
          <w:sz w:val="20"/>
          <w:szCs w:val="20"/>
          <w:lang w:val="en-US"/>
        </w:rPr>
      </w:pPr>
      <w:r w:rsidRPr="00AF36A3">
        <w:rPr>
          <w:rFonts w:ascii="Arial" w:hAnsi="Arial" w:cs="Arial"/>
          <w:sz w:val="20"/>
          <w:szCs w:val="20"/>
          <w:lang w:val="en-US"/>
        </w:rPr>
        <w:t>Soil fertility mapping influences both fertilizer rates and fuel consumption throughout production (</w:t>
      </w:r>
      <w:proofErr w:type="spellStart"/>
      <w:r w:rsidRPr="00AF36A3">
        <w:rPr>
          <w:rFonts w:ascii="Arial" w:hAnsi="Arial" w:cs="Arial"/>
          <w:sz w:val="20"/>
          <w:szCs w:val="20"/>
          <w:lang w:val="en-US"/>
        </w:rPr>
        <w:t>Balafoutis</w:t>
      </w:r>
      <w:proofErr w:type="spellEnd"/>
      <w:r w:rsidRPr="00AF36A3">
        <w:rPr>
          <w:rFonts w:ascii="Arial" w:hAnsi="Arial" w:cs="Arial"/>
          <w:sz w:val="20"/>
          <w:szCs w:val="20"/>
          <w:lang w:val="en-US"/>
        </w:rPr>
        <w:t xml:space="preserve"> et al., 2017; Getahun et al., 2024; </w:t>
      </w:r>
      <w:proofErr w:type="spellStart"/>
      <w:r w:rsidRPr="00AF36A3">
        <w:rPr>
          <w:rFonts w:ascii="Arial" w:hAnsi="Arial" w:cs="Arial"/>
          <w:sz w:val="20"/>
          <w:szCs w:val="20"/>
          <w:lang w:val="en-US"/>
        </w:rPr>
        <w:t>Mgendi</w:t>
      </w:r>
      <w:proofErr w:type="spellEnd"/>
      <w:r w:rsidRPr="00AF36A3">
        <w:rPr>
          <w:rFonts w:ascii="Arial" w:hAnsi="Arial" w:cs="Arial"/>
          <w:sz w:val="20"/>
          <w:szCs w:val="20"/>
          <w:lang w:val="en-US"/>
        </w:rPr>
        <w:t xml:space="preserve">, 2024; </w:t>
      </w:r>
      <w:proofErr w:type="spellStart"/>
      <w:r w:rsidRPr="00AF36A3">
        <w:rPr>
          <w:rFonts w:ascii="Arial" w:hAnsi="Arial" w:cs="Arial"/>
          <w:sz w:val="20"/>
          <w:szCs w:val="20"/>
          <w:lang w:val="en-US"/>
        </w:rPr>
        <w:t>Vullaganti</w:t>
      </w:r>
      <w:proofErr w:type="spellEnd"/>
      <w:r w:rsidRPr="00AF36A3">
        <w:rPr>
          <w:rFonts w:ascii="Arial" w:hAnsi="Arial" w:cs="Arial"/>
          <w:sz w:val="20"/>
          <w:szCs w:val="20"/>
          <w:lang w:val="en-US"/>
        </w:rPr>
        <w:t xml:space="preserve"> et al., 2025). Thus, the environmental contribution of each operational stage was included in the LCA</w:t>
      </w:r>
      <w:r w:rsidR="00711432" w:rsidRPr="00AF36A3">
        <w:rPr>
          <w:rFonts w:ascii="Arial" w:hAnsi="Arial" w:cs="Arial"/>
          <w:sz w:val="20"/>
          <w:szCs w:val="20"/>
          <w:lang w:val="en-US"/>
        </w:rPr>
        <w:t>.</w:t>
      </w:r>
    </w:p>
    <w:p w14:paraId="58AFD48F" w14:textId="758876B9" w:rsidR="0089608E" w:rsidRPr="00D22C5B" w:rsidRDefault="0089608E" w:rsidP="00991FD3">
      <w:pPr>
        <w:pStyle w:val="NormalWeb"/>
        <w:spacing w:before="0" w:beforeAutospacing="0" w:after="0" w:afterAutospacing="0" w:line="360" w:lineRule="auto"/>
        <w:ind w:firstLine="708"/>
        <w:jc w:val="both"/>
        <w:rPr>
          <w:rFonts w:ascii="Arial" w:hAnsi="Arial" w:cs="Arial"/>
          <w:lang w:val="en-US"/>
        </w:rPr>
      </w:pPr>
    </w:p>
    <w:p w14:paraId="698C820B" w14:textId="423EAE71" w:rsidR="00D16864" w:rsidRDefault="00D16864" w:rsidP="00F44CB5">
      <w:pPr>
        <w:pStyle w:val="NormalWeb"/>
        <w:spacing w:before="0" w:beforeAutospacing="0" w:after="0" w:afterAutospacing="0" w:line="360" w:lineRule="auto"/>
        <w:jc w:val="both"/>
        <w:rPr>
          <w:rStyle w:val="Strong"/>
          <w:rFonts w:ascii="Arial" w:hAnsi="Arial" w:cs="Arial"/>
          <w:sz w:val="22"/>
          <w:szCs w:val="22"/>
          <w:lang w:val="en-US"/>
        </w:rPr>
      </w:pPr>
      <w:r w:rsidRPr="00F87061">
        <w:rPr>
          <w:rStyle w:val="Strong"/>
          <w:rFonts w:ascii="Arial" w:hAnsi="Arial" w:cs="Arial"/>
          <w:sz w:val="22"/>
          <w:szCs w:val="22"/>
          <w:lang w:val="en-US"/>
        </w:rPr>
        <w:t>2.3 Conventional Practices</w:t>
      </w:r>
    </w:p>
    <w:p w14:paraId="288232F5" w14:textId="77777777" w:rsidR="00AF36A3" w:rsidRDefault="00AF36A3" w:rsidP="00AF36A3">
      <w:pPr>
        <w:pStyle w:val="NormalWeb"/>
        <w:spacing w:before="0" w:beforeAutospacing="0" w:after="0" w:afterAutospacing="0" w:line="360" w:lineRule="auto"/>
        <w:jc w:val="both"/>
        <w:rPr>
          <w:rFonts w:ascii="Arial" w:hAnsi="Arial" w:cs="Arial"/>
          <w:sz w:val="22"/>
          <w:szCs w:val="22"/>
          <w:lang w:val="en-US"/>
        </w:rPr>
      </w:pPr>
    </w:p>
    <w:p w14:paraId="7F1F736B" w14:textId="485A7517" w:rsidR="006D607F" w:rsidRPr="00AF36A3" w:rsidRDefault="00711432" w:rsidP="00AF36A3">
      <w:pPr>
        <w:pStyle w:val="NormalWeb"/>
        <w:spacing w:before="0" w:beforeAutospacing="0" w:after="0" w:afterAutospacing="0" w:line="360" w:lineRule="auto"/>
        <w:jc w:val="both"/>
        <w:rPr>
          <w:rFonts w:ascii="Arial" w:hAnsi="Arial" w:cs="Arial"/>
          <w:sz w:val="20"/>
          <w:szCs w:val="20"/>
          <w:lang w:val="en-US"/>
        </w:rPr>
      </w:pPr>
      <w:r w:rsidRPr="00AF36A3">
        <w:rPr>
          <w:rFonts w:ascii="Arial" w:hAnsi="Arial" w:cs="Arial"/>
          <w:sz w:val="20"/>
          <w:szCs w:val="20"/>
          <w:lang w:val="en-US"/>
        </w:rPr>
        <w:t>The conventional system was based on data from an EMBRAPA study conducted in Mato Grosso do Sul between 201</w:t>
      </w:r>
      <w:r w:rsidR="00F25E0B" w:rsidRPr="00AF36A3">
        <w:rPr>
          <w:rFonts w:ascii="Arial" w:hAnsi="Arial" w:cs="Arial"/>
          <w:sz w:val="20"/>
          <w:szCs w:val="20"/>
          <w:lang w:val="en-US"/>
        </w:rPr>
        <w:t>6</w:t>
      </w:r>
      <w:r w:rsidRPr="00AF36A3">
        <w:rPr>
          <w:rFonts w:ascii="Arial" w:hAnsi="Arial" w:cs="Arial"/>
          <w:sz w:val="20"/>
          <w:szCs w:val="20"/>
          <w:lang w:val="en-US"/>
        </w:rPr>
        <w:t xml:space="preserve"> and 20</w:t>
      </w:r>
      <w:r w:rsidR="00F25E0B" w:rsidRPr="00AF36A3">
        <w:rPr>
          <w:rFonts w:ascii="Arial" w:hAnsi="Arial" w:cs="Arial"/>
          <w:sz w:val="20"/>
          <w:szCs w:val="20"/>
          <w:lang w:val="en-US"/>
        </w:rPr>
        <w:t>20</w:t>
      </w:r>
      <w:r w:rsidRPr="00AF36A3">
        <w:rPr>
          <w:rFonts w:ascii="Arial" w:hAnsi="Arial" w:cs="Arial"/>
          <w:sz w:val="20"/>
          <w:szCs w:val="20"/>
          <w:lang w:val="en-US"/>
        </w:rPr>
        <w:t>. This dataset, which does not incorporate PA technologies, reports an average soybean yield of 3,000 kg ha</w:t>
      </w:r>
      <w:r w:rsidRPr="00AF36A3">
        <w:rPr>
          <w:rFonts w:ascii="Cambria Math" w:hAnsi="Cambria Math" w:cs="Cambria Math"/>
          <w:sz w:val="20"/>
          <w:szCs w:val="20"/>
          <w:lang w:val="en-US"/>
        </w:rPr>
        <w:t>⁻</w:t>
      </w:r>
      <w:r w:rsidRPr="00AF36A3">
        <w:rPr>
          <w:rFonts w:ascii="Arial" w:hAnsi="Arial" w:cs="Arial"/>
          <w:sz w:val="20"/>
          <w:szCs w:val="20"/>
          <w:lang w:val="en-US"/>
        </w:rPr>
        <w:t>¹ and includes input data for seeds, mineral fertilizers, and pesticides. To enable a fair comparison, the life cycle inventory was adjusted to ensure system equivalence in the comparative analysis.</w:t>
      </w:r>
    </w:p>
    <w:p w14:paraId="1F793F89" w14:textId="33D4A0C8" w:rsidR="00D24672" w:rsidRPr="00D22C5B" w:rsidRDefault="00D24672" w:rsidP="00F44CB5">
      <w:pPr>
        <w:pStyle w:val="NormalWeb"/>
        <w:spacing w:before="0" w:beforeAutospacing="0" w:after="0" w:afterAutospacing="0" w:line="360" w:lineRule="auto"/>
        <w:ind w:firstLine="708"/>
        <w:jc w:val="both"/>
        <w:rPr>
          <w:rFonts w:ascii="Arial" w:hAnsi="Arial" w:cs="Arial"/>
          <w:lang w:val="en-US"/>
        </w:rPr>
      </w:pPr>
    </w:p>
    <w:p w14:paraId="7ACCF3B2" w14:textId="77777777" w:rsidR="009D4858" w:rsidRDefault="009D4858" w:rsidP="009D4858">
      <w:pPr>
        <w:spacing w:after="0" w:line="360" w:lineRule="auto"/>
        <w:jc w:val="both"/>
        <w:rPr>
          <w:rFonts w:ascii="Arial" w:hAnsi="Arial" w:cs="Arial"/>
          <w:b/>
          <w:sz w:val="20"/>
          <w:szCs w:val="20"/>
          <w:lang w:val="en-US"/>
        </w:rPr>
      </w:pPr>
    </w:p>
    <w:p w14:paraId="23ADEB2D" w14:textId="77777777" w:rsidR="009D4858" w:rsidRPr="00F87061" w:rsidRDefault="009D4858" w:rsidP="009D4858">
      <w:pPr>
        <w:spacing w:after="0" w:line="360" w:lineRule="auto"/>
        <w:jc w:val="both"/>
        <w:rPr>
          <w:rFonts w:ascii="Arial" w:hAnsi="Arial" w:cs="Arial"/>
          <w:b/>
          <w:sz w:val="20"/>
          <w:szCs w:val="20"/>
          <w:lang w:val="en-US"/>
        </w:rPr>
      </w:pPr>
      <w:r w:rsidRPr="00F87061">
        <w:rPr>
          <w:rFonts w:ascii="Arial" w:hAnsi="Arial" w:cs="Arial"/>
          <w:b/>
          <w:sz w:val="20"/>
          <w:szCs w:val="20"/>
          <w:lang w:val="en-US"/>
        </w:rPr>
        <w:t>Figure 3. System Boundaries of Soybean Production from Cradle to Farm Gate.</w:t>
      </w:r>
    </w:p>
    <w:p w14:paraId="0EC9D967" w14:textId="6223EC65" w:rsidR="00E31A69" w:rsidRDefault="009D4858" w:rsidP="009D4858">
      <w:pPr>
        <w:pStyle w:val="NormalWeb"/>
        <w:spacing w:before="0" w:beforeAutospacing="0" w:after="0" w:afterAutospacing="0" w:line="360" w:lineRule="auto"/>
        <w:ind w:right="282"/>
        <w:jc w:val="both"/>
        <w:rPr>
          <w:rStyle w:val="Strong"/>
          <w:rFonts w:ascii="Arial" w:hAnsi="Arial" w:cs="Arial"/>
          <w:sz w:val="22"/>
          <w:szCs w:val="22"/>
          <w:lang w:val="en-US"/>
        </w:rPr>
      </w:pPr>
      <w:r w:rsidRPr="00AF36A3">
        <w:rPr>
          <w:rFonts w:ascii="Arial" w:hAnsi="Arial" w:cs="Arial"/>
          <w:bCs/>
          <w:i/>
          <w:iCs/>
          <w:sz w:val="18"/>
          <w:szCs w:val="18"/>
          <w:lang w:val="en-US"/>
        </w:rPr>
        <w:t>Note: Diagram of life cycle stages included in the LCA, covering all agricultural inputs, operations, and machinery, excluding grain drying</w:t>
      </w:r>
    </w:p>
    <w:p w14:paraId="10D2E9B3" w14:textId="77777777" w:rsidR="009D4858" w:rsidRDefault="009D4858" w:rsidP="000B7F07">
      <w:pPr>
        <w:pStyle w:val="NormalWeb"/>
        <w:spacing w:before="0" w:beforeAutospacing="0" w:after="0" w:afterAutospacing="0" w:line="360" w:lineRule="auto"/>
        <w:ind w:right="282"/>
        <w:jc w:val="both"/>
        <w:rPr>
          <w:rStyle w:val="Strong"/>
          <w:rFonts w:ascii="Arial" w:hAnsi="Arial" w:cs="Arial"/>
          <w:sz w:val="22"/>
          <w:szCs w:val="22"/>
          <w:lang w:val="en-US"/>
        </w:rPr>
      </w:pPr>
    </w:p>
    <w:p w14:paraId="1C70EAAE" w14:textId="7DBE83CA" w:rsidR="00F44CB5" w:rsidRDefault="00D16864" w:rsidP="000B7F07">
      <w:pPr>
        <w:pStyle w:val="NormalWeb"/>
        <w:spacing w:before="0" w:beforeAutospacing="0" w:after="0" w:afterAutospacing="0" w:line="360" w:lineRule="auto"/>
        <w:ind w:right="282"/>
        <w:jc w:val="both"/>
        <w:rPr>
          <w:rStyle w:val="Strong"/>
          <w:rFonts w:ascii="Arial" w:hAnsi="Arial" w:cs="Arial"/>
          <w:sz w:val="22"/>
          <w:szCs w:val="22"/>
          <w:lang w:val="en-US"/>
        </w:rPr>
      </w:pPr>
      <w:r w:rsidRPr="00F87061">
        <w:rPr>
          <w:rStyle w:val="Strong"/>
          <w:rFonts w:ascii="Arial" w:hAnsi="Arial" w:cs="Arial"/>
          <w:sz w:val="22"/>
          <w:szCs w:val="22"/>
          <w:lang w:val="en-US"/>
        </w:rPr>
        <w:t>2.4 Scope</w:t>
      </w:r>
    </w:p>
    <w:p w14:paraId="30365FF7" w14:textId="77777777" w:rsidR="00AF36A3" w:rsidRDefault="00AF36A3" w:rsidP="00AF36A3">
      <w:pPr>
        <w:pStyle w:val="NormalWeb"/>
        <w:spacing w:before="0" w:beforeAutospacing="0" w:after="0" w:afterAutospacing="0" w:line="360" w:lineRule="auto"/>
        <w:ind w:right="282"/>
        <w:jc w:val="both"/>
        <w:rPr>
          <w:rStyle w:val="Strong"/>
          <w:rFonts w:ascii="Arial" w:hAnsi="Arial" w:cs="Arial"/>
          <w:sz w:val="22"/>
          <w:szCs w:val="22"/>
          <w:lang w:val="en-US"/>
        </w:rPr>
      </w:pPr>
    </w:p>
    <w:p w14:paraId="1E01261E" w14:textId="033E1A42" w:rsidR="00221284" w:rsidRPr="00D22C5B" w:rsidRDefault="00711432" w:rsidP="00AF36A3">
      <w:pPr>
        <w:pStyle w:val="NormalWeb"/>
        <w:spacing w:before="0" w:beforeAutospacing="0" w:after="0" w:afterAutospacing="0" w:line="360" w:lineRule="auto"/>
        <w:ind w:right="282"/>
        <w:jc w:val="both"/>
        <w:rPr>
          <w:rFonts w:ascii="Arial" w:hAnsi="Arial" w:cs="Arial"/>
          <w:lang w:val="en-US"/>
        </w:rPr>
      </w:pPr>
      <w:r w:rsidRPr="00F87061">
        <w:rPr>
          <w:rFonts w:ascii="Arial" w:hAnsi="Arial" w:cs="Arial"/>
          <w:sz w:val="20"/>
          <w:szCs w:val="20"/>
          <w:lang w:val="en-US"/>
        </w:rPr>
        <w:t xml:space="preserve">The system boundaries (Figure </w:t>
      </w:r>
      <w:r w:rsidR="00D24672" w:rsidRPr="00F87061">
        <w:rPr>
          <w:rFonts w:ascii="Arial" w:hAnsi="Arial" w:cs="Arial"/>
          <w:sz w:val="20"/>
          <w:szCs w:val="20"/>
          <w:lang w:val="en-US"/>
        </w:rPr>
        <w:t>3</w:t>
      </w:r>
      <w:r w:rsidRPr="00F87061">
        <w:rPr>
          <w:rFonts w:ascii="Arial" w:hAnsi="Arial" w:cs="Arial"/>
          <w:sz w:val="20"/>
          <w:szCs w:val="20"/>
          <w:lang w:val="en-US"/>
        </w:rPr>
        <w:t>) were defined from cradle to farm gate, encompassing indirect emissions associated with farm inputs, including fertilizers, pesticides, seeds, machinery, fuel, and infrastructure. Grain drying was excluded from</w:t>
      </w:r>
      <w:r w:rsidR="00E651B0" w:rsidRPr="00F87061">
        <w:rPr>
          <w:rFonts w:ascii="Arial" w:hAnsi="Arial" w:cs="Arial"/>
          <w:sz w:val="20"/>
          <w:szCs w:val="20"/>
          <w:lang w:val="en-US"/>
        </w:rPr>
        <w:t xml:space="preserve"> </w:t>
      </w:r>
      <w:r w:rsidR="0053556B" w:rsidRPr="00F87061">
        <w:rPr>
          <w:rFonts w:ascii="Arial" w:hAnsi="Arial" w:cs="Arial"/>
          <w:sz w:val="20"/>
          <w:szCs w:val="20"/>
          <w:lang w:val="en-US"/>
        </w:rPr>
        <w:t>t</w:t>
      </w:r>
      <w:r w:rsidRPr="00F87061">
        <w:rPr>
          <w:rFonts w:ascii="Arial" w:hAnsi="Arial" w:cs="Arial"/>
          <w:sz w:val="20"/>
          <w:szCs w:val="20"/>
          <w:lang w:val="en-US"/>
        </w:rPr>
        <w:t xml:space="preserve">he analysis. The functional unit (FU) was defined as </w:t>
      </w:r>
      <w:r w:rsidR="003B7EBF" w:rsidRPr="00F87061">
        <w:rPr>
          <w:rFonts w:ascii="Arial" w:hAnsi="Arial" w:cs="Arial"/>
          <w:noProof/>
          <w:sz w:val="20"/>
          <w:szCs w:val="20"/>
        </w:rPr>
        <w:drawing>
          <wp:anchor distT="0" distB="0" distL="114300" distR="114300" simplePos="0" relativeHeight="251662336" behindDoc="1" locked="0" layoutInCell="1" allowOverlap="0" wp14:anchorId="09254916" wp14:editId="1AC4255A">
            <wp:simplePos x="0" y="0"/>
            <wp:positionH relativeFrom="column">
              <wp:posOffset>-21681</wp:posOffset>
            </wp:positionH>
            <wp:positionV relativeFrom="page">
              <wp:posOffset>1693999</wp:posOffset>
            </wp:positionV>
            <wp:extent cx="5810250" cy="3458210"/>
            <wp:effectExtent l="0" t="0" r="0" b="8890"/>
            <wp:wrapTopAndBottom/>
            <wp:docPr id="7" name="Picture 15"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descr="Diagrama&#10;&#10;O conteúdo gerado por IA pode estar incorre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0" cy="345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061">
        <w:rPr>
          <w:rFonts w:ascii="Arial" w:hAnsi="Arial" w:cs="Arial"/>
          <w:sz w:val="20"/>
          <w:szCs w:val="20"/>
          <w:lang w:val="en-US"/>
        </w:rPr>
        <w:t>1 kilogram of soybean grain with 13% moisture content at post-harvest</w:t>
      </w:r>
      <w:r w:rsidRPr="00D22C5B">
        <w:rPr>
          <w:rFonts w:ascii="Arial" w:hAnsi="Arial" w:cs="Arial"/>
          <w:lang w:val="en-US"/>
        </w:rPr>
        <w:t>.</w:t>
      </w:r>
    </w:p>
    <w:p w14:paraId="7CD2640E" w14:textId="6E3A6A47" w:rsidR="002F6B4F" w:rsidRPr="00AF36A3" w:rsidRDefault="002F6B4F" w:rsidP="00AF36A3">
      <w:pPr>
        <w:spacing w:after="0" w:line="240" w:lineRule="auto"/>
        <w:rPr>
          <w:rFonts w:ascii="Arial" w:hAnsi="Arial" w:cs="Arial"/>
          <w:bCs/>
          <w:i/>
          <w:iCs/>
          <w:sz w:val="18"/>
          <w:szCs w:val="18"/>
          <w:lang w:val="en-US"/>
        </w:rPr>
      </w:pPr>
      <w:r w:rsidRPr="00AF36A3">
        <w:rPr>
          <w:rFonts w:ascii="Arial" w:hAnsi="Arial" w:cs="Arial"/>
          <w:bCs/>
          <w:i/>
          <w:iCs/>
          <w:sz w:val="18"/>
          <w:szCs w:val="18"/>
          <w:lang w:val="en-US"/>
        </w:rPr>
        <w:t>.</w:t>
      </w:r>
    </w:p>
    <w:p w14:paraId="74A49316" w14:textId="43149874" w:rsidR="002F6B4F" w:rsidRPr="00D22C5B" w:rsidRDefault="002F6B4F" w:rsidP="002F6B4F">
      <w:pPr>
        <w:spacing w:after="0" w:line="240" w:lineRule="auto"/>
        <w:jc w:val="center"/>
        <w:rPr>
          <w:rFonts w:ascii="Arial" w:hAnsi="Arial" w:cs="Arial"/>
          <w:bCs/>
          <w:sz w:val="24"/>
          <w:szCs w:val="24"/>
          <w:lang w:val="en-US"/>
        </w:rPr>
      </w:pPr>
    </w:p>
    <w:p w14:paraId="1F2FECEC" w14:textId="3BF1AC79" w:rsidR="002F6B4F" w:rsidRPr="00D22C5B" w:rsidRDefault="002F6B4F" w:rsidP="002F6B4F">
      <w:pPr>
        <w:spacing w:after="0" w:line="240" w:lineRule="auto"/>
        <w:jc w:val="center"/>
        <w:rPr>
          <w:rFonts w:ascii="Arial" w:hAnsi="Arial" w:cs="Arial"/>
          <w:bCs/>
          <w:sz w:val="24"/>
          <w:szCs w:val="24"/>
          <w:lang w:val="en-US"/>
        </w:rPr>
      </w:pPr>
    </w:p>
    <w:p w14:paraId="1FC7C95C" w14:textId="674FFB62" w:rsidR="00D16864" w:rsidRPr="00AF36A3" w:rsidRDefault="006C25E0" w:rsidP="00F44CB5">
      <w:pPr>
        <w:pStyle w:val="Heading3"/>
        <w:spacing w:before="0"/>
        <w:rPr>
          <w:rFonts w:cs="Arial"/>
          <w:b/>
          <w:bCs/>
          <w:i w:val="0"/>
          <w:iCs/>
          <w:sz w:val="22"/>
          <w:szCs w:val="22"/>
          <w:lang w:val="en-US"/>
        </w:rPr>
      </w:pPr>
      <w:bookmarkStart w:id="5" w:name="_Toc1377905"/>
      <w:r w:rsidRPr="00AF36A3">
        <w:rPr>
          <w:rFonts w:cs="Arial"/>
          <w:b/>
          <w:bCs/>
          <w:i w:val="0"/>
          <w:iCs/>
          <w:sz w:val="22"/>
          <w:szCs w:val="22"/>
          <w:lang w:val="en-US"/>
        </w:rPr>
        <w:t>2.5 Life Cycle Inventory</w:t>
      </w:r>
      <w:bookmarkEnd w:id="5"/>
    </w:p>
    <w:p w14:paraId="5F0A8F33" w14:textId="77777777" w:rsidR="00AF36A3" w:rsidRDefault="00AF36A3" w:rsidP="00AF36A3">
      <w:pPr>
        <w:spacing w:after="0" w:line="360" w:lineRule="auto"/>
        <w:jc w:val="both"/>
        <w:rPr>
          <w:lang w:val="en-US"/>
        </w:rPr>
      </w:pPr>
    </w:p>
    <w:p w14:paraId="7A8D18C4" w14:textId="4308CC9E" w:rsidR="003379FC" w:rsidRPr="00AF36A3" w:rsidRDefault="00711432" w:rsidP="00AF36A3">
      <w:pPr>
        <w:spacing w:line="360" w:lineRule="auto"/>
        <w:jc w:val="both"/>
        <w:rPr>
          <w:rFonts w:ascii="Arial" w:hAnsi="Arial" w:cs="Arial"/>
          <w:sz w:val="20"/>
          <w:szCs w:val="20"/>
          <w:lang w:val="en-US"/>
        </w:rPr>
      </w:pPr>
      <w:r w:rsidRPr="00AF36A3">
        <w:rPr>
          <w:rFonts w:ascii="Arial" w:hAnsi="Arial" w:cs="Arial"/>
          <w:sz w:val="20"/>
          <w:szCs w:val="20"/>
          <w:lang w:val="en-US"/>
        </w:rPr>
        <w:t xml:space="preserve">Data for the PA system </w:t>
      </w:r>
      <w:r w:rsidR="00155934" w:rsidRPr="00AF36A3">
        <w:rPr>
          <w:rFonts w:ascii="Arial" w:hAnsi="Arial" w:cs="Arial"/>
          <w:sz w:val="20"/>
          <w:szCs w:val="20"/>
          <w:lang w:val="en-US"/>
        </w:rPr>
        <w:t>was</w:t>
      </w:r>
      <w:r w:rsidRPr="00AF36A3">
        <w:rPr>
          <w:rFonts w:ascii="Arial" w:hAnsi="Arial" w:cs="Arial"/>
          <w:sz w:val="20"/>
          <w:szCs w:val="20"/>
          <w:lang w:val="en-US"/>
        </w:rPr>
        <w:t xml:space="preserve"> obtained through direct cooperation with the farm (field-level nutrient inputs) and from EMBRAPA sources (chemical input data). The life cycle inventory (LCI) includes all foreground input and output data</w:t>
      </w:r>
      <w:r w:rsidR="00703E98" w:rsidRPr="00AF36A3">
        <w:rPr>
          <w:rFonts w:ascii="Arial" w:hAnsi="Arial" w:cs="Arial"/>
          <w:sz w:val="20"/>
          <w:szCs w:val="20"/>
          <w:lang w:val="en-US"/>
        </w:rPr>
        <w:t xml:space="preserve"> (Table </w:t>
      </w:r>
      <w:r w:rsidR="00D24672" w:rsidRPr="00AF36A3">
        <w:rPr>
          <w:rFonts w:ascii="Arial" w:hAnsi="Arial" w:cs="Arial"/>
          <w:sz w:val="20"/>
          <w:szCs w:val="20"/>
          <w:lang w:val="en-US"/>
        </w:rPr>
        <w:t>1</w:t>
      </w:r>
      <w:r w:rsidR="00155934" w:rsidRPr="00AF36A3">
        <w:rPr>
          <w:rFonts w:ascii="Arial" w:hAnsi="Arial" w:cs="Arial"/>
          <w:sz w:val="20"/>
          <w:szCs w:val="20"/>
          <w:lang w:val="en-US"/>
        </w:rPr>
        <w:t>) and d</w:t>
      </w:r>
      <w:r w:rsidR="003379FC" w:rsidRPr="00AF36A3">
        <w:rPr>
          <w:rFonts w:ascii="Arial" w:hAnsi="Arial" w:cs="Arial"/>
          <w:sz w:val="20"/>
          <w:szCs w:val="20"/>
          <w:lang w:val="en-US"/>
        </w:rPr>
        <w:t>irect field emissions were estimated using IPCC (2006, Tier 1) emission factors. It was assumed that 1% of the applied nitrogen is emitted as N</w:t>
      </w:r>
      <w:r w:rsidR="003379FC" w:rsidRPr="00AF36A3">
        <w:rPr>
          <w:rFonts w:ascii="Cambria Math" w:hAnsi="Cambria Math" w:cs="Cambria Math"/>
          <w:sz w:val="20"/>
          <w:szCs w:val="20"/>
          <w:lang w:val="en-US"/>
        </w:rPr>
        <w:t>₂</w:t>
      </w:r>
      <w:r w:rsidR="003379FC" w:rsidRPr="00AF36A3">
        <w:rPr>
          <w:rFonts w:ascii="Arial" w:hAnsi="Arial" w:cs="Arial"/>
          <w:sz w:val="20"/>
          <w:szCs w:val="20"/>
          <w:lang w:val="en-US"/>
        </w:rPr>
        <w:t>O-N, in addition to volatilization and leaching estimates based on standard methodologies. This allowed for a more realistic assessment of the additional impact on GWP. This approach aligns with streamlined LCA practices in agricultural settings, where comparative attributional assessments emphasize foreground process data and upstream input manufacturing impacts (</w:t>
      </w:r>
      <w:r w:rsidR="00186B2A" w:rsidRPr="00AF36A3">
        <w:rPr>
          <w:rFonts w:ascii="Arial" w:hAnsi="Arial" w:cs="Arial"/>
          <w:sz w:val="20"/>
          <w:szCs w:val="20"/>
          <w:lang w:val="en-US"/>
        </w:rPr>
        <w:t xml:space="preserve">ISO 14044, 2006; </w:t>
      </w:r>
      <w:r w:rsidR="003379FC" w:rsidRPr="00AF36A3">
        <w:rPr>
          <w:rFonts w:ascii="Arial" w:hAnsi="Arial" w:cs="Arial"/>
          <w:sz w:val="20"/>
          <w:szCs w:val="20"/>
          <w:lang w:val="en-US"/>
        </w:rPr>
        <w:t>Nemecek et al., 2015). By standardizing emission assumptions across both systems, the analysis maintains methodological consistency and highlights the environmental benefits attributable to site-specific fertility management under PA.</w:t>
      </w:r>
    </w:p>
    <w:p w14:paraId="13A6FA97" w14:textId="37ED3AEB" w:rsidR="00711432" w:rsidRPr="00AF36A3" w:rsidRDefault="00711432" w:rsidP="00AF36A3">
      <w:pPr>
        <w:spacing w:line="360" w:lineRule="auto"/>
        <w:jc w:val="both"/>
        <w:rPr>
          <w:rFonts w:ascii="Arial" w:hAnsi="Arial" w:cs="Arial"/>
          <w:sz w:val="20"/>
          <w:szCs w:val="20"/>
          <w:lang w:val="en-US"/>
        </w:rPr>
      </w:pPr>
      <w:r w:rsidRPr="00AF36A3">
        <w:rPr>
          <w:rFonts w:ascii="Arial" w:hAnsi="Arial" w:cs="Arial"/>
          <w:sz w:val="20"/>
          <w:szCs w:val="20"/>
          <w:lang w:val="en-US"/>
        </w:rPr>
        <w:lastRenderedPageBreak/>
        <w:t xml:space="preserve">For the conventional system, the LCI was based on Ecoinvent data calibrated by </w:t>
      </w:r>
      <w:r w:rsidR="0087454E" w:rsidRPr="00AF36A3">
        <w:rPr>
          <w:rFonts w:ascii="Arial" w:hAnsi="Arial" w:cs="Arial"/>
          <w:sz w:val="20"/>
          <w:szCs w:val="20"/>
          <w:lang w:val="en-US"/>
        </w:rPr>
        <w:t>Brazilian Agricultural Research Corporation </w:t>
      </w:r>
      <w:r w:rsidR="00BC6EA9" w:rsidRPr="00AF36A3">
        <w:rPr>
          <w:rFonts w:ascii="Arial" w:hAnsi="Arial" w:cs="Arial"/>
          <w:sz w:val="20"/>
          <w:szCs w:val="20"/>
          <w:lang w:val="en-US"/>
        </w:rPr>
        <w:t>(E</w:t>
      </w:r>
      <w:r w:rsidR="00F25E0B" w:rsidRPr="00AF36A3">
        <w:rPr>
          <w:rFonts w:ascii="Arial" w:hAnsi="Arial" w:cs="Arial"/>
          <w:sz w:val="20"/>
          <w:szCs w:val="20"/>
          <w:lang w:val="en-US"/>
        </w:rPr>
        <w:t>MBRAPA</w:t>
      </w:r>
      <w:r w:rsidR="00BC6EA9" w:rsidRPr="00AF36A3">
        <w:rPr>
          <w:rFonts w:ascii="Arial" w:hAnsi="Arial" w:cs="Arial"/>
          <w:sz w:val="20"/>
          <w:szCs w:val="20"/>
          <w:lang w:val="en-US"/>
        </w:rPr>
        <w:t>)</w:t>
      </w:r>
      <w:r w:rsidRPr="00AF36A3">
        <w:rPr>
          <w:rFonts w:ascii="Arial" w:hAnsi="Arial" w:cs="Arial"/>
          <w:sz w:val="20"/>
          <w:szCs w:val="20"/>
          <w:lang w:val="en-US"/>
        </w:rPr>
        <w:t xml:space="preserve"> and aligned with methodological guidelines from </w:t>
      </w:r>
      <w:proofErr w:type="spellStart"/>
      <w:r w:rsidRPr="00AF36A3">
        <w:rPr>
          <w:rFonts w:ascii="Arial" w:hAnsi="Arial" w:cs="Arial"/>
          <w:sz w:val="20"/>
          <w:szCs w:val="20"/>
          <w:lang w:val="en-US"/>
        </w:rPr>
        <w:t>Agroscope</w:t>
      </w:r>
      <w:proofErr w:type="spellEnd"/>
      <w:r w:rsidRPr="00AF36A3">
        <w:rPr>
          <w:rFonts w:ascii="Arial" w:hAnsi="Arial" w:cs="Arial"/>
          <w:sz w:val="20"/>
          <w:szCs w:val="20"/>
          <w:lang w:val="en-US"/>
        </w:rPr>
        <w:t xml:space="preserve"> (</w:t>
      </w:r>
      <w:proofErr w:type="spellStart"/>
      <w:r w:rsidR="00D474E2" w:rsidRPr="00AF36A3">
        <w:rPr>
          <w:rFonts w:ascii="Arial" w:hAnsi="Arial" w:cs="Arial"/>
          <w:sz w:val="20"/>
          <w:szCs w:val="20"/>
          <w:lang w:val="en-US"/>
        </w:rPr>
        <w:t>Nemecek</w:t>
      </w:r>
      <w:proofErr w:type="spellEnd"/>
      <w:r w:rsidR="00D474E2" w:rsidRPr="00AF36A3">
        <w:rPr>
          <w:rFonts w:ascii="Arial" w:hAnsi="Arial" w:cs="Arial"/>
          <w:sz w:val="20"/>
          <w:szCs w:val="20"/>
          <w:lang w:val="en-US"/>
        </w:rPr>
        <w:t xml:space="preserve"> &amp; </w:t>
      </w:r>
      <w:proofErr w:type="spellStart"/>
      <w:r w:rsidR="00D474E2" w:rsidRPr="00AF36A3">
        <w:rPr>
          <w:rFonts w:ascii="Arial" w:hAnsi="Arial" w:cs="Arial"/>
          <w:sz w:val="20"/>
          <w:szCs w:val="20"/>
          <w:lang w:val="en-US"/>
        </w:rPr>
        <w:t>Schnetzer</w:t>
      </w:r>
      <w:proofErr w:type="spellEnd"/>
      <w:r w:rsidR="00D474E2" w:rsidRPr="00AF36A3">
        <w:rPr>
          <w:rFonts w:ascii="Arial" w:hAnsi="Arial" w:cs="Arial"/>
          <w:sz w:val="20"/>
          <w:szCs w:val="20"/>
          <w:lang w:val="en-US"/>
        </w:rPr>
        <w:t xml:space="preserve">, 2012; </w:t>
      </w:r>
      <w:r w:rsidRPr="00AF36A3">
        <w:rPr>
          <w:rFonts w:ascii="Arial" w:hAnsi="Arial" w:cs="Arial"/>
          <w:sz w:val="20"/>
          <w:szCs w:val="20"/>
          <w:lang w:val="en-US"/>
        </w:rPr>
        <w:t>Nemecek et al., 2015).</w:t>
      </w:r>
    </w:p>
    <w:p w14:paraId="2268DFF4" w14:textId="77777777" w:rsidR="0088093D" w:rsidRPr="00D22C5B" w:rsidRDefault="00711432" w:rsidP="00AF36A3">
      <w:pPr>
        <w:spacing w:after="0" w:line="360" w:lineRule="auto"/>
        <w:jc w:val="both"/>
        <w:rPr>
          <w:rFonts w:ascii="Arial" w:hAnsi="Arial" w:cs="Arial"/>
          <w:sz w:val="24"/>
          <w:szCs w:val="24"/>
          <w:lang w:val="en-US"/>
        </w:rPr>
      </w:pPr>
      <w:r w:rsidRPr="00AF36A3">
        <w:rPr>
          <w:rFonts w:ascii="Arial" w:hAnsi="Arial" w:cs="Arial"/>
          <w:sz w:val="20"/>
          <w:szCs w:val="20"/>
          <w:lang w:val="en-US"/>
        </w:rPr>
        <w:t>Pesticide use was standardized across both systems to isolate the environmental effects of fertility management. Lime and gypsum application rates were adjusted annually according to crop requirements. Phosphorus (monoammonium phosphate) and potassium (potassium chloride) applications followed crop-specific recommendations. Although seed and micronutrient inputs were higher per hectare under the PA system, their relative environmental impact was lower when normalized per unit of output.</w:t>
      </w:r>
    </w:p>
    <w:p w14:paraId="5EF30A00" w14:textId="30936A7C" w:rsidR="006C25E0" w:rsidRPr="00D22C5B" w:rsidRDefault="006C25E0" w:rsidP="00221284">
      <w:pPr>
        <w:spacing w:after="0" w:line="360" w:lineRule="auto"/>
        <w:ind w:firstLine="708"/>
        <w:jc w:val="both"/>
        <w:rPr>
          <w:rFonts w:ascii="Arial" w:hAnsi="Arial" w:cs="Arial"/>
          <w:sz w:val="24"/>
          <w:szCs w:val="24"/>
          <w:lang w:val="en-US"/>
        </w:rPr>
      </w:pPr>
      <w:r w:rsidRPr="00D22C5B">
        <w:rPr>
          <w:rFonts w:ascii="Arial" w:hAnsi="Arial" w:cs="Arial"/>
          <w:sz w:val="24"/>
          <w:szCs w:val="24"/>
          <w:lang w:val="en-US"/>
        </w:rPr>
        <w:fldChar w:fldCharType="begin"/>
      </w:r>
      <w:r w:rsidRPr="00D22C5B">
        <w:rPr>
          <w:rFonts w:ascii="Arial" w:hAnsi="Arial" w:cs="Arial"/>
          <w:sz w:val="24"/>
          <w:szCs w:val="24"/>
          <w:lang w:val="en-US"/>
        </w:rPr>
        <w:instrText xml:space="preserve"> LINK Excel.Sheet.12 "C:\\Users\\Guilherme Rabelo\\Documents\\GUILHERME\\Mestrado_em_AgronegócioUFGD\\Dissertation\\Scenarios and Tables.xlsx" Presentation!R1C1:R32C7 \a \f 4 \h  \* MERGEFORMAT </w:instrText>
      </w:r>
      <w:r w:rsidRPr="00D22C5B">
        <w:rPr>
          <w:rFonts w:ascii="Arial" w:hAnsi="Arial" w:cs="Arial"/>
          <w:sz w:val="24"/>
          <w:szCs w:val="24"/>
          <w:lang w:val="en-US"/>
        </w:rPr>
        <w:fldChar w:fldCharType="separate"/>
      </w:r>
    </w:p>
    <w:p w14:paraId="2CD3819C" w14:textId="0D37AE18" w:rsidR="002A248E" w:rsidRPr="00D22C5B" w:rsidRDefault="004945FD" w:rsidP="004945FD">
      <w:pPr>
        <w:pStyle w:val="Caption"/>
        <w:keepNext/>
        <w:jc w:val="both"/>
        <w:rPr>
          <w:rFonts w:ascii="Arial" w:hAnsi="Arial" w:cs="Arial"/>
          <w:b w:val="0"/>
          <w:bCs w:val="0"/>
          <w:sz w:val="22"/>
          <w:szCs w:val="22"/>
          <w:lang w:val="en-US"/>
        </w:rPr>
      </w:pPr>
      <w:bookmarkStart w:id="6" w:name="_Toc1390368"/>
      <w:r w:rsidRPr="00AF36A3">
        <w:rPr>
          <w:rFonts w:ascii="Arial" w:hAnsi="Arial" w:cs="Arial"/>
          <w:sz w:val="22"/>
          <w:szCs w:val="22"/>
          <w:lang w:val="en-US"/>
        </w:rPr>
        <w:t>Ta</w:t>
      </w:r>
      <w:r w:rsidRPr="00AF36A3">
        <w:rPr>
          <w:rFonts w:ascii="Arial" w:hAnsi="Arial" w:cs="Arial"/>
          <w:lang w:val="en-US"/>
        </w:rPr>
        <w:t xml:space="preserve">ble </w:t>
      </w:r>
      <w:r w:rsidR="00D24672" w:rsidRPr="00AF36A3">
        <w:rPr>
          <w:rFonts w:ascii="Arial" w:hAnsi="Arial" w:cs="Arial"/>
          <w:lang w:val="en-US"/>
        </w:rPr>
        <w:t>1</w:t>
      </w:r>
      <w:r w:rsidRPr="00AF36A3">
        <w:rPr>
          <w:rFonts w:ascii="Arial" w:hAnsi="Arial" w:cs="Arial"/>
          <w:lang w:val="en-US"/>
        </w:rPr>
        <w:t>. Comparative Input and Output Data per Hectare for Precision and Conventional Systems</w:t>
      </w:r>
      <w:r w:rsidRPr="00AF36A3">
        <w:rPr>
          <w:rFonts w:ascii="Arial" w:hAnsi="Arial" w:cs="Arial"/>
          <w:b w:val="0"/>
          <w:bCs w:val="0"/>
          <w:lang w:val="en-US"/>
        </w:rPr>
        <w:t>.</w:t>
      </w:r>
      <w:bookmarkEnd w:id="6"/>
    </w:p>
    <w:tbl>
      <w:tblPr>
        <w:tblW w:w="9479" w:type="dxa"/>
        <w:tblCellMar>
          <w:left w:w="70" w:type="dxa"/>
          <w:right w:w="70" w:type="dxa"/>
        </w:tblCellMar>
        <w:tblLook w:val="04A0" w:firstRow="1" w:lastRow="0" w:firstColumn="1" w:lastColumn="0" w:noHBand="0" w:noVBand="1"/>
      </w:tblPr>
      <w:tblGrid>
        <w:gridCol w:w="1217"/>
        <w:gridCol w:w="1877"/>
        <w:gridCol w:w="957"/>
        <w:gridCol w:w="936"/>
        <w:gridCol w:w="1676"/>
        <w:gridCol w:w="2816"/>
      </w:tblGrid>
      <w:tr w:rsidR="006C25E0" w:rsidRPr="005F10A3" w14:paraId="00DA0498" w14:textId="77777777" w:rsidTr="005F10A3">
        <w:trPr>
          <w:trHeight w:val="761"/>
        </w:trPr>
        <w:tc>
          <w:tcPr>
            <w:tcW w:w="1217" w:type="dxa"/>
            <w:tcBorders>
              <w:top w:val="single" w:sz="4" w:space="0" w:color="auto"/>
              <w:left w:val="nil"/>
              <w:bottom w:val="single" w:sz="8" w:space="0" w:color="auto"/>
              <w:right w:val="nil"/>
            </w:tcBorders>
            <w:shd w:val="clear" w:color="auto" w:fill="auto"/>
            <w:noWrap/>
            <w:vAlign w:val="center"/>
            <w:hideMark/>
          </w:tcPr>
          <w:p w14:paraId="49200ED2" w14:textId="77777777" w:rsidR="006C25E0" w:rsidRPr="005F10A3" w:rsidRDefault="006C25E0" w:rsidP="006C25E0">
            <w:pPr>
              <w:spacing w:after="0" w:line="240" w:lineRule="auto"/>
              <w:jc w:val="center"/>
              <w:rPr>
                <w:rFonts w:ascii="Arial" w:eastAsia="Times New Roman" w:hAnsi="Arial" w:cs="Arial"/>
                <w:b/>
                <w:bCs/>
                <w:color w:val="000000"/>
                <w:sz w:val="20"/>
                <w:szCs w:val="20"/>
                <w:lang w:eastAsia="pt-BR"/>
              </w:rPr>
            </w:pPr>
            <w:r w:rsidRPr="005F10A3">
              <w:rPr>
                <w:rFonts w:ascii="Arial" w:eastAsia="Times New Roman" w:hAnsi="Arial" w:cs="Arial"/>
                <w:b/>
                <w:bCs/>
                <w:color w:val="000000"/>
                <w:sz w:val="20"/>
                <w:szCs w:val="20"/>
                <w:lang w:eastAsia="pt-BR"/>
              </w:rPr>
              <w:t>Parameter</w:t>
            </w:r>
          </w:p>
        </w:tc>
        <w:tc>
          <w:tcPr>
            <w:tcW w:w="1877" w:type="dxa"/>
            <w:tcBorders>
              <w:top w:val="single" w:sz="4" w:space="0" w:color="auto"/>
              <w:left w:val="nil"/>
              <w:bottom w:val="single" w:sz="8" w:space="0" w:color="auto"/>
              <w:right w:val="nil"/>
            </w:tcBorders>
            <w:shd w:val="clear" w:color="auto" w:fill="auto"/>
            <w:noWrap/>
            <w:vAlign w:val="center"/>
            <w:hideMark/>
          </w:tcPr>
          <w:p w14:paraId="6DE55D43" w14:textId="77777777" w:rsidR="006C25E0" w:rsidRPr="005F10A3" w:rsidRDefault="006C25E0" w:rsidP="006C25E0">
            <w:pPr>
              <w:spacing w:after="0" w:line="240" w:lineRule="auto"/>
              <w:jc w:val="center"/>
              <w:rPr>
                <w:rFonts w:ascii="Arial" w:eastAsia="Times New Roman" w:hAnsi="Arial" w:cs="Arial"/>
                <w:b/>
                <w:bCs/>
                <w:color w:val="000000"/>
                <w:sz w:val="20"/>
                <w:szCs w:val="20"/>
                <w:lang w:eastAsia="pt-BR"/>
              </w:rPr>
            </w:pPr>
            <w:r w:rsidRPr="005F10A3">
              <w:rPr>
                <w:rFonts w:ascii="Arial" w:eastAsia="Times New Roman" w:hAnsi="Arial" w:cs="Arial"/>
                <w:b/>
                <w:bCs/>
                <w:color w:val="000000"/>
                <w:sz w:val="20"/>
                <w:szCs w:val="20"/>
                <w:lang w:eastAsia="pt-BR"/>
              </w:rPr>
              <w:t>Input/Output ha</w:t>
            </w:r>
            <w:r w:rsidRPr="005F10A3">
              <w:rPr>
                <w:rFonts w:ascii="Arial" w:eastAsia="Times New Roman" w:hAnsi="Arial" w:cs="Arial"/>
                <w:b/>
                <w:bCs/>
                <w:color w:val="000000"/>
                <w:sz w:val="20"/>
                <w:szCs w:val="20"/>
                <w:vertAlign w:val="superscript"/>
                <w:lang w:eastAsia="pt-BR"/>
              </w:rPr>
              <w:t>-1</w:t>
            </w:r>
            <w:r w:rsidRPr="005F10A3">
              <w:rPr>
                <w:rFonts w:ascii="Arial" w:eastAsia="Times New Roman" w:hAnsi="Arial" w:cs="Arial"/>
                <w:b/>
                <w:bCs/>
                <w:color w:val="000000"/>
                <w:sz w:val="20"/>
                <w:szCs w:val="20"/>
                <w:lang w:eastAsia="pt-BR"/>
              </w:rPr>
              <w:t xml:space="preserve"> </w:t>
            </w:r>
          </w:p>
        </w:tc>
        <w:tc>
          <w:tcPr>
            <w:tcW w:w="957" w:type="dxa"/>
            <w:tcBorders>
              <w:top w:val="single" w:sz="4" w:space="0" w:color="auto"/>
              <w:left w:val="nil"/>
              <w:bottom w:val="single" w:sz="8" w:space="0" w:color="auto"/>
              <w:right w:val="nil"/>
            </w:tcBorders>
            <w:shd w:val="clear" w:color="auto" w:fill="auto"/>
            <w:noWrap/>
            <w:vAlign w:val="center"/>
            <w:hideMark/>
          </w:tcPr>
          <w:p w14:paraId="1337BE6A" w14:textId="77777777" w:rsidR="006C25E0" w:rsidRPr="005F10A3" w:rsidRDefault="006C25E0" w:rsidP="006C25E0">
            <w:pPr>
              <w:spacing w:after="0" w:line="240" w:lineRule="auto"/>
              <w:jc w:val="center"/>
              <w:rPr>
                <w:rFonts w:ascii="Arial" w:eastAsia="Times New Roman" w:hAnsi="Arial" w:cs="Arial"/>
                <w:b/>
                <w:bCs/>
                <w:color w:val="000000"/>
                <w:sz w:val="20"/>
                <w:szCs w:val="20"/>
                <w:lang w:eastAsia="pt-BR"/>
              </w:rPr>
            </w:pPr>
            <w:r w:rsidRPr="005F10A3">
              <w:rPr>
                <w:rFonts w:ascii="Arial" w:eastAsia="Times New Roman" w:hAnsi="Arial" w:cs="Arial"/>
                <w:b/>
                <w:bCs/>
                <w:color w:val="000000"/>
                <w:sz w:val="20"/>
                <w:szCs w:val="20"/>
                <w:lang w:eastAsia="pt-BR"/>
              </w:rPr>
              <w:t>Unit</w:t>
            </w:r>
          </w:p>
        </w:tc>
        <w:tc>
          <w:tcPr>
            <w:tcW w:w="936" w:type="dxa"/>
            <w:tcBorders>
              <w:top w:val="single" w:sz="4" w:space="0" w:color="auto"/>
              <w:left w:val="nil"/>
              <w:bottom w:val="single" w:sz="8" w:space="0" w:color="auto"/>
              <w:right w:val="nil"/>
            </w:tcBorders>
            <w:shd w:val="clear" w:color="auto" w:fill="auto"/>
            <w:vAlign w:val="center"/>
            <w:hideMark/>
          </w:tcPr>
          <w:p w14:paraId="5C90B1B6" w14:textId="77777777" w:rsidR="006C25E0" w:rsidRPr="005F10A3" w:rsidRDefault="006C25E0" w:rsidP="006C25E0">
            <w:pPr>
              <w:spacing w:after="0" w:line="240" w:lineRule="auto"/>
              <w:jc w:val="center"/>
              <w:rPr>
                <w:rFonts w:ascii="Arial" w:eastAsia="Times New Roman" w:hAnsi="Arial" w:cs="Arial"/>
                <w:b/>
                <w:bCs/>
                <w:color w:val="000000"/>
                <w:sz w:val="20"/>
                <w:szCs w:val="20"/>
                <w:lang w:eastAsia="pt-BR"/>
              </w:rPr>
            </w:pPr>
            <w:r w:rsidRPr="005F10A3">
              <w:rPr>
                <w:rFonts w:ascii="Arial" w:eastAsia="Times New Roman" w:hAnsi="Arial" w:cs="Arial"/>
                <w:b/>
                <w:bCs/>
                <w:color w:val="000000"/>
                <w:sz w:val="20"/>
                <w:szCs w:val="20"/>
                <w:lang w:eastAsia="pt-BR"/>
              </w:rPr>
              <w:t>PA</w:t>
            </w:r>
          </w:p>
        </w:tc>
        <w:tc>
          <w:tcPr>
            <w:tcW w:w="1676" w:type="dxa"/>
            <w:tcBorders>
              <w:top w:val="single" w:sz="4" w:space="0" w:color="auto"/>
              <w:left w:val="nil"/>
              <w:bottom w:val="single" w:sz="8" w:space="0" w:color="auto"/>
              <w:right w:val="nil"/>
            </w:tcBorders>
            <w:shd w:val="clear" w:color="auto" w:fill="auto"/>
            <w:vAlign w:val="center"/>
            <w:hideMark/>
          </w:tcPr>
          <w:p w14:paraId="35FE7EB7" w14:textId="77777777" w:rsidR="006C25E0" w:rsidRPr="00D22C5B" w:rsidRDefault="006C25E0" w:rsidP="006C25E0">
            <w:pPr>
              <w:spacing w:after="0" w:line="240" w:lineRule="auto"/>
              <w:jc w:val="center"/>
              <w:rPr>
                <w:rFonts w:ascii="Arial" w:eastAsia="Times New Roman" w:hAnsi="Arial" w:cs="Arial"/>
                <w:b/>
                <w:bCs/>
                <w:color w:val="000000"/>
                <w:lang w:eastAsia="pt-BR"/>
              </w:rPr>
            </w:pPr>
            <w:r w:rsidRPr="005F10A3">
              <w:rPr>
                <w:rFonts w:ascii="Arial" w:eastAsia="Times New Roman" w:hAnsi="Arial" w:cs="Arial"/>
                <w:b/>
                <w:bCs/>
                <w:color w:val="000000"/>
                <w:sz w:val="20"/>
                <w:szCs w:val="20"/>
                <w:lang w:eastAsia="pt-BR"/>
              </w:rPr>
              <w:t>Conventiona</w:t>
            </w:r>
            <w:r w:rsidRPr="00D22C5B">
              <w:rPr>
                <w:rFonts w:ascii="Arial" w:eastAsia="Times New Roman" w:hAnsi="Arial" w:cs="Arial"/>
                <w:b/>
                <w:bCs/>
                <w:color w:val="000000"/>
                <w:lang w:eastAsia="pt-BR"/>
              </w:rPr>
              <w:t>l</w:t>
            </w:r>
          </w:p>
        </w:tc>
        <w:tc>
          <w:tcPr>
            <w:tcW w:w="2816" w:type="dxa"/>
            <w:tcBorders>
              <w:top w:val="single" w:sz="4" w:space="0" w:color="auto"/>
              <w:left w:val="nil"/>
              <w:bottom w:val="single" w:sz="8" w:space="0" w:color="auto"/>
              <w:right w:val="nil"/>
            </w:tcBorders>
            <w:shd w:val="clear" w:color="auto" w:fill="auto"/>
            <w:vAlign w:val="center"/>
            <w:hideMark/>
          </w:tcPr>
          <w:p w14:paraId="7F500606" w14:textId="77777777" w:rsidR="006C25E0" w:rsidRPr="005F10A3" w:rsidRDefault="006C25E0" w:rsidP="006C25E0">
            <w:pPr>
              <w:spacing w:after="0" w:line="240" w:lineRule="auto"/>
              <w:jc w:val="center"/>
              <w:rPr>
                <w:rFonts w:ascii="Arial" w:eastAsia="Times New Roman" w:hAnsi="Arial" w:cs="Arial"/>
                <w:b/>
                <w:bCs/>
                <w:color w:val="000000"/>
                <w:sz w:val="20"/>
                <w:szCs w:val="20"/>
                <w:lang w:eastAsia="pt-BR"/>
              </w:rPr>
            </w:pPr>
            <w:r w:rsidRPr="005F10A3">
              <w:rPr>
                <w:rFonts w:ascii="Arial" w:eastAsia="Times New Roman" w:hAnsi="Arial" w:cs="Arial"/>
                <w:b/>
                <w:bCs/>
                <w:color w:val="000000"/>
                <w:sz w:val="20"/>
                <w:szCs w:val="20"/>
                <w:lang w:eastAsia="pt-BR"/>
              </w:rPr>
              <w:t>Source</w:t>
            </w:r>
          </w:p>
          <w:p w14:paraId="3C040253" w14:textId="77777777" w:rsidR="006C25E0" w:rsidRPr="00D22C5B" w:rsidRDefault="006C25E0" w:rsidP="006C25E0">
            <w:pPr>
              <w:spacing w:after="0" w:line="240" w:lineRule="auto"/>
              <w:jc w:val="center"/>
              <w:rPr>
                <w:rFonts w:ascii="Arial" w:eastAsia="Times New Roman" w:hAnsi="Arial" w:cs="Arial"/>
                <w:b/>
                <w:bCs/>
                <w:color w:val="000000"/>
                <w:lang w:eastAsia="pt-BR"/>
              </w:rPr>
            </w:pPr>
            <w:r w:rsidRPr="005F10A3">
              <w:rPr>
                <w:rFonts w:ascii="Arial" w:eastAsia="Times New Roman" w:hAnsi="Arial" w:cs="Arial"/>
                <w:b/>
                <w:bCs/>
                <w:color w:val="000000"/>
                <w:sz w:val="20"/>
                <w:szCs w:val="20"/>
                <w:lang w:eastAsia="pt-BR"/>
              </w:rPr>
              <w:t>(PA)</w:t>
            </w:r>
          </w:p>
        </w:tc>
      </w:tr>
      <w:tr w:rsidR="006C25E0" w:rsidRPr="00D22C5B" w14:paraId="2EAC0216" w14:textId="77777777" w:rsidTr="005F10A3">
        <w:trPr>
          <w:trHeight w:val="307"/>
        </w:trPr>
        <w:tc>
          <w:tcPr>
            <w:tcW w:w="1217" w:type="dxa"/>
            <w:vMerge w:val="restart"/>
            <w:tcBorders>
              <w:top w:val="nil"/>
              <w:left w:val="nil"/>
              <w:bottom w:val="single" w:sz="4" w:space="0" w:color="000000"/>
              <w:right w:val="nil"/>
            </w:tcBorders>
            <w:shd w:val="clear" w:color="auto" w:fill="auto"/>
            <w:noWrap/>
            <w:vAlign w:val="center"/>
            <w:hideMark/>
          </w:tcPr>
          <w:p w14:paraId="46EEF7E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Tillage</w:t>
            </w:r>
          </w:p>
        </w:tc>
        <w:tc>
          <w:tcPr>
            <w:tcW w:w="1877" w:type="dxa"/>
            <w:tcBorders>
              <w:top w:val="nil"/>
              <w:left w:val="nil"/>
              <w:bottom w:val="nil"/>
              <w:right w:val="nil"/>
            </w:tcBorders>
            <w:shd w:val="clear" w:color="auto" w:fill="auto"/>
            <w:vAlign w:val="center"/>
            <w:hideMark/>
          </w:tcPr>
          <w:p w14:paraId="58A9846E"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Lime (CaCO</w:t>
            </w:r>
            <w:r w:rsidRPr="005F10A3">
              <w:rPr>
                <w:rFonts w:ascii="Arial" w:eastAsia="Times New Roman" w:hAnsi="Arial" w:cs="Arial"/>
                <w:color w:val="000000"/>
                <w:sz w:val="20"/>
                <w:szCs w:val="20"/>
                <w:vertAlign w:val="subscript"/>
                <w:lang w:eastAsia="pt-BR"/>
              </w:rPr>
              <w:t>3</w:t>
            </w:r>
            <w:r w:rsidRPr="005F10A3">
              <w:rPr>
                <w:rFonts w:ascii="Arial" w:eastAsia="Times New Roman" w:hAnsi="Arial" w:cs="Arial"/>
                <w:color w:val="000000"/>
                <w:sz w:val="20"/>
                <w:szCs w:val="20"/>
                <w:lang w:eastAsia="pt-BR"/>
              </w:rPr>
              <w:t>)</w:t>
            </w:r>
          </w:p>
        </w:tc>
        <w:tc>
          <w:tcPr>
            <w:tcW w:w="957" w:type="dxa"/>
            <w:vMerge w:val="restart"/>
            <w:tcBorders>
              <w:top w:val="single" w:sz="8" w:space="0" w:color="auto"/>
              <w:left w:val="nil"/>
              <w:bottom w:val="single" w:sz="4" w:space="0" w:color="000000"/>
              <w:right w:val="nil"/>
            </w:tcBorders>
            <w:shd w:val="clear" w:color="auto" w:fill="auto"/>
            <w:noWrap/>
            <w:vAlign w:val="center"/>
            <w:hideMark/>
          </w:tcPr>
          <w:p w14:paraId="7A4A4CA5"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kg</w:t>
            </w:r>
          </w:p>
        </w:tc>
        <w:tc>
          <w:tcPr>
            <w:tcW w:w="936" w:type="dxa"/>
            <w:tcBorders>
              <w:top w:val="nil"/>
              <w:left w:val="nil"/>
              <w:bottom w:val="nil"/>
              <w:right w:val="nil"/>
            </w:tcBorders>
            <w:shd w:val="clear" w:color="auto" w:fill="auto"/>
            <w:noWrap/>
            <w:vAlign w:val="center"/>
            <w:hideMark/>
          </w:tcPr>
          <w:p w14:paraId="0F6B4A3C"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84,67</w:t>
            </w:r>
          </w:p>
        </w:tc>
        <w:tc>
          <w:tcPr>
            <w:tcW w:w="1676" w:type="dxa"/>
            <w:tcBorders>
              <w:top w:val="nil"/>
              <w:left w:val="nil"/>
              <w:bottom w:val="nil"/>
              <w:right w:val="nil"/>
            </w:tcBorders>
            <w:shd w:val="clear" w:color="auto" w:fill="auto"/>
            <w:noWrap/>
            <w:vAlign w:val="center"/>
            <w:hideMark/>
          </w:tcPr>
          <w:p w14:paraId="220B8FAE"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130,00</w:t>
            </w:r>
          </w:p>
        </w:tc>
        <w:tc>
          <w:tcPr>
            <w:tcW w:w="2816" w:type="dxa"/>
            <w:tcBorders>
              <w:top w:val="nil"/>
              <w:left w:val="nil"/>
              <w:bottom w:val="nil"/>
              <w:right w:val="nil"/>
            </w:tcBorders>
            <w:shd w:val="clear" w:color="auto" w:fill="auto"/>
            <w:noWrap/>
            <w:vAlign w:val="center"/>
            <w:hideMark/>
          </w:tcPr>
          <w:p w14:paraId="3093BC4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591B1784" w14:textId="77777777" w:rsidTr="005F10A3">
        <w:trPr>
          <w:trHeight w:val="307"/>
        </w:trPr>
        <w:tc>
          <w:tcPr>
            <w:tcW w:w="1217" w:type="dxa"/>
            <w:vMerge/>
            <w:tcBorders>
              <w:top w:val="nil"/>
              <w:left w:val="nil"/>
              <w:bottom w:val="single" w:sz="4" w:space="0" w:color="000000"/>
              <w:right w:val="nil"/>
            </w:tcBorders>
            <w:vAlign w:val="center"/>
            <w:hideMark/>
          </w:tcPr>
          <w:p w14:paraId="17D8C23D"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71A0532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Gypsum (CaSO</w:t>
            </w:r>
            <w:r w:rsidRPr="005F10A3">
              <w:rPr>
                <w:rFonts w:ascii="Arial" w:eastAsia="Times New Roman" w:hAnsi="Arial" w:cs="Arial"/>
                <w:color w:val="000000"/>
                <w:sz w:val="20"/>
                <w:szCs w:val="20"/>
                <w:vertAlign w:val="subscript"/>
                <w:lang w:eastAsia="pt-BR"/>
              </w:rPr>
              <w:t>4</w:t>
            </w:r>
            <w:r w:rsidRPr="005F10A3">
              <w:rPr>
                <w:rFonts w:ascii="Arial" w:eastAsia="Times New Roman" w:hAnsi="Arial" w:cs="Arial"/>
                <w:color w:val="000000"/>
                <w:sz w:val="20"/>
                <w:szCs w:val="20"/>
                <w:lang w:eastAsia="pt-BR"/>
              </w:rPr>
              <w:t>)</w:t>
            </w:r>
          </w:p>
        </w:tc>
        <w:tc>
          <w:tcPr>
            <w:tcW w:w="957" w:type="dxa"/>
            <w:vMerge/>
            <w:tcBorders>
              <w:top w:val="single" w:sz="8" w:space="0" w:color="auto"/>
              <w:left w:val="nil"/>
              <w:bottom w:val="single" w:sz="4" w:space="0" w:color="000000"/>
              <w:right w:val="nil"/>
            </w:tcBorders>
            <w:vAlign w:val="center"/>
            <w:hideMark/>
          </w:tcPr>
          <w:p w14:paraId="2EA2294D"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1E1742D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100,00</w:t>
            </w:r>
          </w:p>
        </w:tc>
        <w:tc>
          <w:tcPr>
            <w:tcW w:w="1676" w:type="dxa"/>
            <w:tcBorders>
              <w:top w:val="nil"/>
              <w:left w:val="nil"/>
              <w:bottom w:val="nil"/>
              <w:right w:val="nil"/>
            </w:tcBorders>
            <w:shd w:val="clear" w:color="auto" w:fill="auto"/>
            <w:noWrap/>
            <w:vAlign w:val="center"/>
            <w:hideMark/>
          </w:tcPr>
          <w:p w14:paraId="7D6B2F94"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130,00</w:t>
            </w:r>
          </w:p>
        </w:tc>
        <w:tc>
          <w:tcPr>
            <w:tcW w:w="2816" w:type="dxa"/>
            <w:tcBorders>
              <w:top w:val="nil"/>
              <w:left w:val="nil"/>
              <w:bottom w:val="nil"/>
              <w:right w:val="nil"/>
            </w:tcBorders>
            <w:shd w:val="clear" w:color="auto" w:fill="auto"/>
            <w:noWrap/>
            <w:vAlign w:val="center"/>
            <w:hideMark/>
          </w:tcPr>
          <w:p w14:paraId="140D30F0"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4EBE9C27" w14:textId="77777777" w:rsidTr="005F10A3">
        <w:trPr>
          <w:trHeight w:val="292"/>
        </w:trPr>
        <w:tc>
          <w:tcPr>
            <w:tcW w:w="1217" w:type="dxa"/>
            <w:vMerge/>
            <w:tcBorders>
              <w:top w:val="nil"/>
              <w:left w:val="nil"/>
              <w:bottom w:val="single" w:sz="4" w:space="0" w:color="000000"/>
              <w:right w:val="nil"/>
            </w:tcBorders>
            <w:vAlign w:val="center"/>
            <w:hideMark/>
          </w:tcPr>
          <w:p w14:paraId="7F6202DC"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6E149EF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2,4 D</w:t>
            </w:r>
          </w:p>
        </w:tc>
        <w:tc>
          <w:tcPr>
            <w:tcW w:w="957" w:type="dxa"/>
            <w:vMerge w:val="restart"/>
            <w:tcBorders>
              <w:top w:val="nil"/>
              <w:left w:val="nil"/>
              <w:bottom w:val="single" w:sz="4" w:space="0" w:color="000000"/>
              <w:right w:val="nil"/>
            </w:tcBorders>
            <w:shd w:val="clear" w:color="auto" w:fill="auto"/>
            <w:noWrap/>
            <w:vAlign w:val="center"/>
            <w:hideMark/>
          </w:tcPr>
          <w:p w14:paraId="2822687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 xml:space="preserve">kg a.i. </w:t>
            </w:r>
          </w:p>
        </w:tc>
        <w:tc>
          <w:tcPr>
            <w:tcW w:w="936" w:type="dxa"/>
            <w:tcBorders>
              <w:top w:val="nil"/>
              <w:left w:val="nil"/>
              <w:bottom w:val="nil"/>
              <w:right w:val="nil"/>
            </w:tcBorders>
            <w:shd w:val="clear" w:color="auto" w:fill="auto"/>
            <w:noWrap/>
            <w:vAlign w:val="center"/>
            <w:hideMark/>
          </w:tcPr>
          <w:p w14:paraId="4B0F03E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0,90</w:t>
            </w:r>
          </w:p>
        </w:tc>
        <w:tc>
          <w:tcPr>
            <w:tcW w:w="1676" w:type="dxa"/>
            <w:tcBorders>
              <w:top w:val="nil"/>
              <w:left w:val="nil"/>
              <w:bottom w:val="nil"/>
              <w:right w:val="nil"/>
            </w:tcBorders>
            <w:shd w:val="clear" w:color="auto" w:fill="auto"/>
            <w:noWrap/>
            <w:vAlign w:val="center"/>
            <w:hideMark/>
          </w:tcPr>
          <w:p w14:paraId="1A16CC15"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0,00</w:t>
            </w:r>
          </w:p>
        </w:tc>
        <w:tc>
          <w:tcPr>
            <w:tcW w:w="2816" w:type="dxa"/>
            <w:tcBorders>
              <w:top w:val="nil"/>
              <w:left w:val="nil"/>
              <w:bottom w:val="nil"/>
              <w:right w:val="nil"/>
            </w:tcBorders>
            <w:shd w:val="clear" w:color="auto" w:fill="auto"/>
            <w:noWrap/>
            <w:vAlign w:val="center"/>
            <w:hideMark/>
          </w:tcPr>
          <w:p w14:paraId="779FF67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557CBCF2" w14:textId="77777777" w:rsidTr="005F10A3">
        <w:trPr>
          <w:trHeight w:val="292"/>
        </w:trPr>
        <w:tc>
          <w:tcPr>
            <w:tcW w:w="1217" w:type="dxa"/>
            <w:vMerge/>
            <w:tcBorders>
              <w:top w:val="nil"/>
              <w:left w:val="nil"/>
              <w:bottom w:val="single" w:sz="4" w:space="0" w:color="000000"/>
              <w:right w:val="nil"/>
            </w:tcBorders>
            <w:vAlign w:val="center"/>
            <w:hideMark/>
          </w:tcPr>
          <w:p w14:paraId="0179601C"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2868C0C7"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Glyphosate</w:t>
            </w:r>
          </w:p>
        </w:tc>
        <w:tc>
          <w:tcPr>
            <w:tcW w:w="957" w:type="dxa"/>
            <w:vMerge/>
            <w:tcBorders>
              <w:top w:val="nil"/>
              <w:left w:val="nil"/>
              <w:bottom w:val="single" w:sz="4" w:space="0" w:color="000000"/>
              <w:right w:val="nil"/>
            </w:tcBorders>
            <w:vAlign w:val="center"/>
            <w:hideMark/>
          </w:tcPr>
          <w:p w14:paraId="55B86B62"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1EFC72D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0,80</w:t>
            </w:r>
          </w:p>
        </w:tc>
        <w:tc>
          <w:tcPr>
            <w:tcW w:w="1676" w:type="dxa"/>
            <w:tcBorders>
              <w:top w:val="nil"/>
              <w:left w:val="nil"/>
              <w:bottom w:val="nil"/>
              <w:right w:val="nil"/>
            </w:tcBorders>
            <w:shd w:val="clear" w:color="auto" w:fill="auto"/>
            <w:noWrap/>
            <w:vAlign w:val="center"/>
            <w:hideMark/>
          </w:tcPr>
          <w:p w14:paraId="55CDA6C6"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0,80</w:t>
            </w:r>
          </w:p>
        </w:tc>
        <w:tc>
          <w:tcPr>
            <w:tcW w:w="2816" w:type="dxa"/>
            <w:tcBorders>
              <w:top w:val="nil"/>
              <w:left w:val="nil"/>
              <w:bottom w:val="nil"/>
              <w:right w:val="nil"/>
            </w:tcBorders>
            <w:shd w:val="clear" w:color="auto" w:fill="auto"/>
            <w:noWrap/>
            <w:vAlign w:val="center"/>
            <w:hideMark/>
          </w:tcPr>
          <w:p w14:paraId="4D83D484"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56BF254C" w14:textId="77777777" w:rsidTr="005F10A3">
        <w:trPr>
          <w:trHeight w:val="292"/>
        </w:trPr>
        <w:tc>
          <w:tcPr>
            <w:tcW w:w="1217" w:type="dxa"/>
            <w:vMerge/>
            <w:tcBorders>
              <w:top w:val="nil"/>
              <w:left w:val="nil"/>
              <w:bottom w:val="single" w:sz="4" w:space="0" w:color="000000"/>
              <w:right w:val="nil"/>
            </w:tcBorders>
            <w:vAlign w:val="center"/>
            <w:hideMark/>
          </w:tcPr>
          <w:p w14:paraId="2D696675" w14:textId="77777777" w:rsidR="006C25E0" w:rsidRPr="005F10A3" w:rsidRDefault="006C25E0" w:rsidP="006C25E0">
            <w:pPr>
              <w:spacing w:after="0" w:line="240" w:lineRule="auto"/>
              <w:rPr>
                <w:rFonts w:ascii="Arial" w:eastAsia="Times New Roman" w:hAnsi="Arial" w:cs="Arial"/>
                <w:color w:val="000000"/>
                <w:sz w:val="20"/>
                <w:szCs w:val="20"/>
                <w:lang w:val="en-US" w:eastAsia="pt-BR"/>
              </w:rPr>
            </w:pPr>
          </w:p>
        </w:tc>
        <w:tc>
          <w:tcPr>
            <w:tcW w:w="1877" w:type="dxa"/>
            <w:tcBorders>
              <w:top w:val="nil"/>
              <w:left w:val="nil"/>
              <w:bottom w:val="nil"/>
              <w:right w:val="nil"/>
            </w:tcBorders>
            <w:shd w:val="clear" w:color="auto" w:fill="auto"/>
            <w:noWrap/>
            <w:vAlign w:val="center"/>
            <w:hideMark/>
          </w:tcPr>
          <w:p w14:paraId="3F8C687A"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Paraquat</w:t>
            </w:r>
          </w:p>
        </w:tc>
        <w:tc>
          <w:tcPr>
            <w:tcW w:w="957" w:type="dxa"/>
            <w:vMerge/>
            <w:tcBorders>
              <w:top w:val="nil"/>
              <w:left w:val="nil"/>
              <w:bottom w:val="single" w:sz="4" w:space="0" w:color="000000"/>
              <w:right w:val="nil"/>
            </w:tcBorders>
            <w:vAlign w:val="center"/>
            <w:hideMark/>
          </w:tcPr>
          <w:p w14:paraId="0890DF39" w14:textId="77777777" w:rsidR="006C25E0" w:rsidRPr="005F10A3" w:rsidRDefault="006C25E0" w:rsidP="006C25E0">
            <w:pPr>
              <w:spacing w:after="0" w:line="240" w:lineRule="auto"/>
              <w:rPr>
                <w:rFonts w:ascii="Arial" w:eastAsia="Times New Roman" w:hAnsi="Arial" w:cs="Arial"/>
                <w:color w:val="000000"/>
                <w:sz w:val="20"/>
                <w:szCs w:val="20"/>
                <w:lang w:val="en-US" w:eastAsia="pt-BR"/>
              </w:rPr>
            </w:pPr>
          </w:p>
        </w:tc>
        <w:tc>
          <w:tcPr>
            <w:tcW w:w="936" w:type="dxa"/>
            <w:tcBorders>
              <w:top w:val="nil"/>
              <w:left w:val="nil"/>
              <w:bottom w:val="nil"/>
              <w:right w:val="nil"/>
            </w:tcBorders>
            <w:shd w:val="clear" w:color="auto" w:fill="auto"/>
            <w:noWrap/>
            <w:vAlign w:val="center"/>
            <w:hideMark/>
          </w:tcPr>
          <w:p w14:paraId="38D04B73"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0,40</w:t>
            </w:r>
          </w:p>
        </w:tc>
        <w:tc>
          <w:tcPr>
            <w:tcW w:w="1676" w:type="dxa"/>
            <w:tcBorders>
              <w:top w:val="nil"/>
              <w:left w:val="nil"/>
              <w:bottom w:val="nil"/>
              <w:right w:val="nil"/>
            </w:tcBorders>
            <w:shd w:val="clear" w:color="auto" w:fill="auto"/>
            <w:noWrap/>
            <w:vAlign w:val="center"/>
            <w:hideMark/>
          </w:tcPr>
          <w:p w14:paraId="29EB4808"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0,40</w:t>
            </w:r>
          </w:p>
        </w:tc>
        <w:tc>
          <w:tcPr>
            <w:tcW w:w="2816" w:type="dxa"/>
            <w:tcBorders>
              <w:top w:val="nil"/>
              <w:left w:val="nil"/>
              <w:bottom w:val="nil"/>
              <w:right w:val="nil"/>
            </w:tcBorders>
            <w:shd w:val="clear" w:color="auto" w:fill="auto"/>
            <w:noWrap/>
            <w:vAlign w:val="center"/>
            <w:hideMark/>
          </w:tcPr>
          <w:p w14:paraId="423718CC"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25F11D54" w14:textId="77777777" w:rsidTr="005F10A3">
        <w:trPr>
          <w:trHeight w:val="292"/>
        </w:trPr>
        <w:tc>
          <w:tcPr>
            <w:tcW w:w="1217" w:type="dxa"/>
            <w:vMerge/>
            <w:tcBorders>
              <w:top w:val="nil"/>
              <w:left w:val="nil"/>
              <w:bottom w:val="single" w:sz="4" w:space="0" w:color="000000"/>
              <w:right w:val="nil"/>
            </w:tcBorders>
            <w:vAlign w:val="center"/>
            <w:hideMark/>
          </w:tcPr>
          <w:p w14:paraId="7E06B09E" w14:textId="77777777" w:rsidR="006C25E0" w:rsidRPr="005F10A3" w:rsidRDefault="006C25E0" w:rsidP="006C25E0">
            <w:pPr>
              <w:spacing w:after="0" w:line="240" w:lineRule="auto"/>
              <w:rPr>
                <w:rFonts w:ascii="Arial" w:eastAsia="Times New Roman" w:hAnsi="Arial" w:cs="Arial"/>
                <w:color w:val="000000"/>
                <w:sz w:val="20"/>
                <w:szCs w:val="20"/>
                <w:lang w:val="en-US" w:eastAsia="pt-BR"/>
              </w:rPr>
            </w:pPr>
          </w:p>
        </w:tc>
        <w:tc>
          <w:tcPr>
            <w:tcW w:w="1877" w:type="dxa"/>
            <w:tcBorders>
              <w:top w:val="nil"/>
              <w:left w:val="nil"/>
              <w:bottom w:val="single" w:sz="4" w:space="0" w:color="auto"/>
              <w:right w:val="nil"/>
            </w:tcBorders>
            <w:shd w:val="clear" w:color="auto" w:fill="auto"/>
            <w:noWrap/>
            <w:vAlign w:val="center"/>
            <w:hideMark/>
          </w:tcPr>
          <w:p w14:paraId="61B29FB2"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Fuel</w:t>
            </w:r>
          </w:p>
        </w:tc>
        <w:tc>
          <w:tcPr>
            <w:tcW w:w="957" w:type="dxa"/>
            <w:tcBorders>
              <w:top w:val="nil"/>
              <w:left w:val="nil"/>
              <w:bottom w:val="single" w:sz="4" w:space="0" w:color="auto"/>
              <w:right w:val="nil"/>
            </w:tcBorders>
            <w:shd w:val="clear" w:color="auto" w:fill="auto"/>
            <w:noWrap/>
            <w:vAlign w:val="center"/>
            <w:hideMark/>
          </w:tcPr>
          <w:p w14:paraId="1CA56B13"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l</w:t>
            </w:r>
          </w:p>
        </w:tc>
        <w:tc>
          <w:tcPr>
            <w:tcW w:w="936" w:type="dxa"/>
            <w:tcBorders>
              <w:top w:val="nil"/>
              <w:left w:val="nil"/>
              <w:bottom w:val="single" w:sz="4" w:space="0" w:color="auto"/>
              <w:right w:val="nil"/>
            </w:tcBorders>
            <w:shd w:val="clear" w:color="auto" w:fill="auto"/>
            <w:noWrap/>
            <w:vAlign w:val="center"/>
            <w:hideMark/>
          </w:tcPr>
          <w:p w14:paraId="1109719A"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3,15</w:t>
            </w:r>
          </w:p>
        </w:tc>
        <w:tc>
          <w:tcPr>
            <w:tcW w:w="1676" w:type="dxa"/>
            <w:tcBorders>
              <w:top w:val="nil"/>
              <w:left w:val="nil"/>
              <w:bottom w:val="single" w:sz="4" w:space="0" w:color="auto"/>
              <w:right w:val="nil"/>
            </w:tcBorders>
            <w:shd w:val="clear" w:color="auto" w:fill="auto"/>
            <w:noWrap/>
            <w:vAlign w:val="center"/>
            <w:hideMark/>
          </w:tcPr>
          <w:p w14:paraId="3257CF2D"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w:t>
            </w:r>
          </w:p>
        </w:tc>
        <w:tc>
          <w:tcPr>
            <w:tcW w:w="2816" w:type="dxa"/>
            <w:tcBorders>
              <w:top w:val="nil"/>
              <w:left w:val="nil"/>
              <w:bottom w:val="single" w:sz="4" w:space="0" w:color="auto"/>
              <w:right w:val="nil"/>
            </w:tcBorders>
            <w:shd w:val="clear" w:color="auto" w:fill="auto"/>
            <w:noWrap/>
            <w:vAlign w:val="center"/>
            <w:hideMark/>
          </w:tcPr>
          <w:p w14:paraId="6DB3CDF5"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measured</w:t>
            </w:r>
          </w:p>
        </w:tc>
      </w:tr>
      <w:tr w:rsidR="006C25E0" w:rsidRPr="00D22C5B" w14:paraId="13C0044A" w14:textId="77777777" w:rsidTr="005F10A3">
        <w:trPr>
          <w:trHeight w:val="307"/>
        </w:trPr>
        <w:tc>
          <w:tcPr>
            <w:tcW w:w="1217" w:type="dxa"/>
            <w:vMerge w:val="restart"/>
            <w:tcBorders>
              <w:top w:val="nil"/>
              <w:left w:val="nil"/>
              <w:bottom w:val="single" w:sz="4" w:space="0" w:color="000000"/>
              <w:right w:val="nil"/>
            </w:tcBorders>
            <w:shd w:val="clear" w:color="auto" w:fill="auto"/>
            <w:noWrap/>
            <w:vAlign w:val="center"/>
            <w:hideMark/>
          </w:tcPr>
          <w:p w14:paraId="2DFED398"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Planting</w:t>
            </w:r>
          </w:p>
        </w:tc>
        <w:tc>
          <w:tcPr>
            <w:tcW w:w="1877" w:type="dxa"/>
            <w:tcBorders>
              <w:top w:val="nil"/>
              <w:left w:val="nil"/>
              <w:bottom w:val="nil"/>
              <w:right w:val="nil"/>
            </w:tcBorders>
            <w:shd w:val="clear" w:color="auto" w:fill="auto"/>
            <w:noWrap/>
            <w:vAlign w:val="center"/>
            <w:hideMark/>
          </w:tcPr>
          <w:p w14:paraId="24082AEA"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P</w:t>
            </w:r>
            <w:r w:rsidRPr="005F10A3">
              <w:rPr>
                <w:rFonts w:ascii="Arial" w:eastAsia="Times New Roman" w:hAnsi="Arial" w:cs="Arial"/>
                <w:color w:val="000000"/>
                <w:sz w:val="20"/>
                <w:szCs w:val="20"/>
                <w:vertAlign w:val="subscript"/>
                <w:lang w:val="en-US" w:eastAsia="pt-BR"/>
              </w:rPr>
              <w:t>2</w:t>
            </w:r>
            <w:r w:rsidRPr="005F10A3">
              <w:rPr>
                <w:rFonts w:ascii="Arial" w:eastAsia="Times New Roman" w:hAnsi="Arial" w:cs="Arial"/>
                <w:color w:val="000000"/>
                <w:sz w:val="20"/>
                <w:szCs w:val="20"/>
                <w:lang w:val="en-US" w:eastAsia="pt-BR"/>
              </w:rPr>
              <w:t>O</w:t>
            </w:r>
            <w:r w:rsidRPr="005F10A3">
              <w:rPr>
                <w:rFonts w:ascii="Arial" w:eastAsia="Times New Roman" w:hAnsi="Arial" w:cs="Arial"/>
                <w:color w:val="000000"/>
                <w:sz w:val="20"/>
                <w:szCs w:val="20"/>
                <w:vertAlign w:val="subscript"/>
                <w:lang w:val="en-US" w:eastAsia="pt-BR"/>
              </w:rPr>
              <w:t>5</w:t>
            </w:r>
          </w:p>
        </w:tc>
        <w:tc>
          <w:tcPr>
            <w:tcW w:w="957" w:type="dxa"/>
            <w:vMerge w:val="restart"/>
            <w:tcBorders>
              <w:top w:val="nil"/>
              <w:left w:val="nil"/>
              <w:bottom w:val="single" w:sz="4" w:space="0" w:color="000000"/>
              <w:right w:val="nil"/>
            </w:tcBorders>
            <w:shd w:val="clear" w:color="auto" w:fill="auto"/>
            <w:noWrap/>
            <w:vAlign w:val="center"/>
            <w:hideMark/>
          </w:tcPr>
          <w:p w14:paraId="68630B6D"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kg</w:t>
            </w:r>
          </w:p>
        </w:tc>
        <w:tc>
          <w:tcPr>
            <w:tcW w:w="936" w:type="dxa"/>
            <w:tcBorders>
              <w:top w:val="nil"/>
              <w:left w:val="nil"/>
              <w:bottom w:val="nil"/>
              <w:right w:val="nil"/>
            </w:tcBorders>
            <w:shd w:val="clear" w:color="auto" w:fill="auto"/>
            <w:noWrap/>
            <w:vAlign w:val="center"/>
            <w:hideMark/>
          </w:tcPr>
          <w:p w14:paraId="3ABA4C2F"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51,88</w:t>
            </w:r>
          </w:p>
        </w:tc>
        <w:tc>
          <w:tcPr>
            <w:tcW w:w="1676" w:type="dxa"/>
            <w:tcBorders>
              <w:top w:val="nil"/>
              <w:left w:val="nil"/>
              <w:bottom w:val="nil"/>
              <w:right w:val="nil"/>
            </w:tcBorders>
            <w:shd w:val="clear" w:color="auto" w:fill="auto"/>
            <w:noWrap/>
            <w:vAlign w:val="center"/>
            <w:hideMark/>
          </w:tcPr>
          <w:p w14:paraId="18097D05"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70,00</w:t>
            </w:r>
          </w:p>
        </w:tc>
        <w:tc>
          <w:tcPr>
            <w:tcW w:w="2816" w:type="dxa"/>
            <w:tcBorders>
              <w:top w:val="nil"/>
              <w:left w:val="nil"/>
              <w:bottom w:val="nil"/>
              <w:right w:val="nil"/>
            </w:tcBorders>
            <w:shd w:val="clear" w:color="auto" w:fill="auto"/>
            <w:noWrap/>
            <w:vAlign w:val="center"/>
            <w:hideMark/>
          </w:tcPr>
          <w:p w14:paraId="3F0DE968"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measured</w:t>
            </w:r>
          </w:p>
        </w:tc>
      </w:tr>
      <w:tr w:rsidR="006C25E0" w:rsidRPr="00D22C5B" w14:paraId="087C181B" w14:textId="77777777" w:rsidTr="005F10A3">
        <w:trPr>
          <w:trHeight w:val="292"/>
        </w:trPr>
        <w:tc>
          <w:tcPr>
            <w:tcW w:w="1217" w:type="dxa"/>
            <w:vMerge/>
            <w:tcBorders>
              <w:top w:val="nil"/>
              <w:left w:val="nil"/>
              <w:bottom w:val="single" w:sz="4" w:space="0" w:color="000000"/>
              <w:right w:val="nil"/>
            </w:tcBorders>
            <w:vAlign w:val="center"/>
            <w:hideMark/>
          </w:tcPr>
          <w:p w14:paraId="487145A0" w14:textId="77777777" w:rsidR="006C25E0" w:rsidRPr="005F10A3" w:rsidRDefault="006C25E0" w:rsidP="006C25E0">
            <w:pPr>
              <w:spacing w:after="0" w:line="240" w:lineRule="auto"/>
              <w:rPr>
                <w:rFonts w:ascii="Arial" w:eastAsia="Times New Roman" w:hAnsi="Arial" w:cs="Arial"/>
                <w:color w:val="000000"/>
                <w:sz w:val="20"/>
                <w:szCs w:val="20"/>
                <w:lang w:val="en-US" w:eastAsia="pt-BR"/>
              </w:rPr>
            </w:pPr>
          </w:p>
        </w:tc>
        <w:tc>
          <w:tcPr>
            <w:tcW w:w="1877" w:type="dxa"/>
            <w:tcBorders>
              <w:top w:val="nil"/>
              <w:left w:val="nil"/>
              <w:bottom w:val="nil"/>
              <w:right w:val="nil"/>
            </w:tcBorders>
            <w:shd w:val="clear" w:color="auto" w:fill="auto"/>
            <w:noWrap/>
            <w:vAlign w:val="center"/>
            <w:hideMark/>
          </w:tcPr>
          <w:p w14:paraId="3C88F48D"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Seed</w:t>
            </w:r>
          </w:p>
        </w:tc>
        <w:tc>
          <w:tcPr>
            <w:tcW w:w="957" w:type="dxa"/>
            <w:vMerge/>
            <w:tcBorders>
              <w:top w:val="nil"/>
              <w:left w:val="nil"/>
              <w:bottom w:val="single" w:sz="4" w:space="0" w:color="000000"/>
              <w:right w:val="nil"/>
            </w:tcBorders>
            <w:vAlign w:val="center"/>
            <w:hideMark/>
          </w:tcPr>
          <w:p w14:paraId="6D1A8E80" w14:textId="77777777" w:rsidR="006C25E0" w:rsidRPr="005F10A3" w:rsidRDefault="006C25E0" w:rsidP="006C25E0">
            <w:pPr>
              <w:spacing w:after="0" w:line="240" w:lineRule="auto"/>
              <w:rPr>
                <w:rFonts w:ascii="Arial" w:eastAsia="Times New Roman" w:hAnsi="Arial" w:cs="Arial"/>
                <w:color w:val="000000"/>
                <w:sz w:val="20"/>
                <w:szCs w:val="20"/>
                <w:lang w:val="en-US" w:eastAsia="pt-BR"/>
              </w:rPr>
            </w:pPr>
          </w:p>
        </w:tc>
        <w:tc>
          <w:tcPr>
            <w:tcW w:w="936" w:type="dxa"/>
            <w:tcBorders>
              <w:top w:val="nil"/>
              <w:left w:val="nil"/>
              <w:bottom w:val="nil"/>
              <w:right w:val="nil"/>
            </w:tcBorders>
            <w:shd w:val="clear" w:color="auto" w:fill="auto"/>
            <w:noWrap/>
            <w:vAlign w:val="center"/>
            <w:hideMark/>
          </w:tcPr>
          <w:p w14:paraId="2ED9B711"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55,00</w:t>
            </w:r>
          </w:p>
        </w:tc>
        <w:tc>
          <w:tcPr>
            <w:tcW w:w="1676" w:type="dxa"/>
            <w:tcBorders>
              <w:top w:val="nil"/>
              <w:left w:val="nil"/>
              <w:bottom w:val="nil"/>
              <w:right w:val="nil"/>
            </w:tcBorders>
            <w:shd w:val="clear" w:color="auto" w:fill="auto"/>
            <w:noWrap/>
            <w:vAlign w:val="center"/>
            <w:hideMark/>
          </w:tcPr>
          <w:p w14:paraId="7150D6AC"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50,00</w:t>
            </w:r>
          </w:p>
        </w:tc>
        <w:tc>
          <w:tcPr>
            <w:tcW w:w="2816" w:type="dxa"/>
            <w:tcBorders>
              <w:top w:val="nil"/>
              <w:left w:val="nil"/>
              <w:bottom w:val="nil"/>
              <w:right w:val="nil"/>
            </w:tcBorders>
            <w:shd w:val="clear" w:color="auto" w:fill="auto"/>
            <w:noWrap/>
            <w:vAlign w:val="center"/>
            <w:hideMark/>
          </w:tcPr>
          <w:p w14:paraId="454879F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05E65A07" w14:textId="77777777" w:rsidTr="005F10A3">
        <w:trPr>
          <w:trHeight w:val="292"/>
        </w:trPr>
        <w:tc>
          <w:tcPr>
            <w:tcW w:w="1217" w:type="dxa"/>
            <w:vMerge/>
            <w:tcBorders>
              <w:top w:val="nil"/>
              <w:left w:val="nil"/>
              <w:bottom w:val="single" w:sz="4" w:space="0" w:color="000000"/>
              <w:right w:val="nil"/>
            </w:tcBorders>
            <w:vAlign w:val="center"/>
            <w:hideMark/>
          </w:tcPr>
          <w:p w14:paraId="1BB584B3"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single" w:sz="4" w:space="0" w:color="auto"/>
              <w:right w:val="nil"/>
            </w:tcBorders>
            <w:shd w:val="clear" w:color="auto" w:fill="auto"/>
            <w:noWrap/>
            <w:vAlign w:val="center"/>
            <w:hideMark/>
          </w:tcPr>
          <w:p w14:paraId="1DB0860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Fuel</w:t>
            </w:r>
          </w:p>
        </w:tc>
        <w:tc>
          <w:tcPr>
            <w:tcW w:w="957" w:type="dxa"/>
            <w:tcBorders>
              <w:top w:val="nil"/>
              <w:left w:val="nil"/>
              <w:bottom w:val="single" w:sz="4" w:space="0" w:color="auto"/>
              <w:right w:val="nil"/>
            </w:tcBorders>
            <w:shd w:val="clear" w:color="auto" w:fill="auto"/>
            <w:noWrap/>
            <w:vAlign w:val="center"/>
            <w:hideMark/>
          </w:tcPr>
          <w:p w14:paraId="1813249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l</w:t>
            </w:r>
          </w:p>
        </w:tc>
        <w:tc>
          <w:tcPr>
            <w:tcW w:w="936" w:type="dxa"/>
            <w:tcBorders>
              <w:top w:val="nil"/>
              <w:left w:val="nil"/>
              <w:bottom w:val="single" w:sz="4" w:space="0" w:color="auto"/>
              <w:right w:val="nil"/>
            </w:tcBorders>
            <w:shd w:val="clear" w:color="auto" w:fill="auto"/>
            <w:noWrap/>
            <w:vAlign w:val="center"/>
            <w:hideMark/>
          </w:tcPr>
          <w:p w14:paraId="3170AC5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5,89</w:t>
            </w:r>
          </w:p>
        </w:tc>
        <w:tc>
          <w:tcPr>
            <w:tcW w:w="1676" w:type="dxa"/>
            <w:tcBorders>
              <w:top w:val="nil"/>
              <w:left w:val="nil"/>
              <w:bottom w:val="single" w:sz="4" w:space="0" w:color="auto"/>
              <w:right w:val="nil"/>
            </w:tcBorders>
            <w:shd w:val="clear" w:color="auto" w:fill="auto"/>
            <w:noWrap/>
            <w:vAlign w:val="center"/>
            <w:hideMark/>
          </w:tcPr>
          <w:p w14:paraId="4A8FA758"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w:t>
            </w:r>
          </w:p>
        </w:tc>
        <w:tc>
          <w:tcPr>
            <w:tcW w:w="2816" w:type="dxa"/>
            <w:tcBorders>
              <w:top w:val="nil"/>
              <w:left w:val="nil"/>
              <w:bottom w:val="single" w:sz="4" w:space="0" w:color="auto"/>
              <w:right w:val="nil"/>
            </w:tcBorders>
            <w:shd w:val="clear" w:color="auto" w:fill="auto"/>
            <w:noWrap/>
            <w:vAlign w:val="center"/>
            <w:hideMark/>
          </w:tcPr>
          <w:p w14:paraId="0413C7D8"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4562D1FF" w14:textId="77777777" w:rsidTr="005F10A3">
        <w:trPr>
          <w:trHeight w:val="292"/>
        </w:trPr>
        <w:tc>
          <w:tcPr>
            <w:tcW w:w="1217" w:type="dxa"/>
            <w:vMerge w:val="restart"/>
            <w:tcBorders>
              <w:top w:val="nil"/>
              <w:left w:val="nil"/>
              <w:bottom w:val="single" w:sz="4" w:space="0" w:color="000000"/>
              <w:right w:val="nil"/>
            </w:tcBorders>
            <w:shd w:val="clear" w:color="auto" w:fill="auto"/>
            <w:noWrap/>
            <w:vAlign w:val="center"/>
            <w:hideMark/>
          </w:tcPr>
          <w:p w14:paraId="711866A0"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Cultivation</w:t>
            </w:r>
          </w:p>
        </w:tc>
        <w:tc>
          <w:tcPr>
            <w:tcW w:w="1877" w:type="dxa"/>
            <w:tcBorders>
              <w:top w:val="nil"/>
              <w:left w:val="nil"/>
              <w:bottom w:val="nil"/>
              <w:right w:val="nil"/>
            </w:tcBorders>
            <w:shd w:val="clear" w:color="auto" w:fill="auto"/>
            <w:noWrap/>
            <w:vAlign w:val="center"/>
            <w:hideMark/>
          </w:tcPr>
          <w:p w14:paraId="50260F25"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K</w:t>
            </w:r>
            <w:r w:rsidRPr="005F10A3">
              <w:rPr>
                <w:rFonts w:ascii="Arial" w:eastAsia="Times New Roman" w:hAnsi="Arial" w:cs="Arial"/>
                <w:color w:val="000000"/>
                <w:sz w:val="20"/>
                <w:szCs w:val="20"/>
                <w:vertAlign w:val="subscript"/>
                <w:lang w:eastAsia="pt-BR"/>
              </w:rPr>
              <w:t>2</w:t>
            </w:r>
            <w:r w:rsidRPr="005F10A3">
              <w:rPr>
                <w:rFonts w:ascii="Arial" w:eastAsia="Times New Roman" w:hAnsi="Arial" w:cs="Arial"/>
                <w:color w:val="000000"/>
                <w:sz w:val="20"/>
                <w:szCs w:val="20"/>
                <w:lang w:eastAsia="pt-BR"/>
              </w:rPr>
              <w:t>O</w:t>
            </w:r>
          </w:p>
        </w:tc>
        <w:tc>
          <w:tcPr>
            <w:tcW w:w="957" w:type="dxa"/>
            <w:vMerge w:val="restart"/>
            <w:tcBorders>
              <w:top w:val="nil"/>
              <w:left w:val="nil"/>
              <w:bottom w:val="single" w:sz="4" w:space="0" w:color="000000"/>
              <w:right w:val="nil"/>
            </w:tcBorders>
            <w:shd w:val="clear" w:color="auto" w:fill="auto"/>
            <w:noWrap/>
            <w:vAlign w:val="center"/>
            <w:hideMark/>
          </w:tcPr>
          <w:p w14:paraId="5F1FE49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kg</w:t>
            </w:r>
          </w:p>
        </w:tc>
        <w:tc>
          <w:tcPr>
            <w:tcW w:w="936" w:type="dxa"/>
            <w:tcBorders>
              <w:top w:val="nil"/>
              <w:left w:val="nil"/>
              <w:bottom w:val="nil"/>
              <w:right w:val="nil"/>
            </w:tcBorders>
            <w:shd w:val="clear" w:color="auto" w:fill="auto"/>
            <w:noWrap/>
            <w:vAlign w:val="center"/>
            <w:hideMark/>
          </w:tcPr>
          <w:p w14:paraId="65907E9E"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51,88</w:t>
            </w:r>
          </w:p>
        </w:tc>
        <w:tc>
          <w:tcPr>
            <w:tcW w:w="1676" w:type="dxa"/>
            <w:tcBorders>
              <w:top w:val="nil"/>
              <w:left w:val="nil"/>
              <w:bottom w:val="nil"/>
              <w:right w:val="nil"/>
            </w:tcBorders>
            <w:shd w:val="clear" w:color="auto" w:fill="auto"/>
            <w:noWrap/>
            <w:vAlign w:val="center"/>
            <w:hideMark/>
          </w:tcPr>
          <w:p w14:paraId="73565B7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70,00</w:t>
            </w:r>
          </w:p>
        </w:tc>
        <w:tc>
          <w:tcPr>
            <w:tcW w:w="2816" w:type="dxa"/>
            <w:tcBorders>
              <w:top w:val="nil"/>
              <w:left w:val="nil"/>
              <w:bottom w:val="nil"/>
              <w:right w:val="nil"/>
            </w:tcBorders>
            <w:shd w:val="clear" w:color="auto" w:fill="auto"/>
            <w:noWrap/>
            <w:vAlign w:val="center"/>
            <w:hideMark/>
          </w:tcPr>
          <w:p w14:paraId="5300164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388C2D70" w14:textId="77777777" w:rsidTr="005F10A3">
        <w:trPr>
          <w:trHeight w:val="292"/>
        </w:trPr>
        <w:tc>
          <w:tcPr>
            <w:tcW w:w="1217" w:type="dxa"/>
            <w:vMerge/>
            <w:tcBorders>
              <w:top w:val="nil"/>
              <w:left w:val="nil"/>
              <w:bottom w:val="single" w:sz="4" w:space="0" w:color="000000"/>
              <w:right w:val="nil"/>
            </w:tcBorders>
            <w:vAlign w:val="center"/>
            <w:hideMark/>
          </w:tcPr>
          <w:p w14:paraId="7B1EEC50"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6C5CC09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Molybdenum</w:t>
            </w:r>
          </w:p>
        </w:tc>
        <w:tc>
          <w:tcPr>
            <w:tcW w:w="957" w:type="dxa"/>
            <w:vMerge/>
            <w:tcBorders>
              <w:top w:val="nil"/>
              <w:left w:val="nil"/>
              <w:bottom w:val="single" w:sz="4" w:space="0" w:color="000000"/>
              <w:right w:val="nil"/>
            </w:tcBorders>
            <w:vAlign w:val="center"/>
            <w:hideMark/>
          </w:tcPr>
          <w:p w14:paraId="3D55EAC7"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241CA07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0,025</w:t>
            </w:r>
          </w:p>
        </w:tc>
        <w:tc>
          <w:tcPr>
            <w:tcW w:w="1676" w:type="dxa"/>
            <w:tcBorders>
              <w:top w:val="nil"/>
              <w:left w:val="nil"/>
              <w:bottom w:val="nil"/>
              <w:right w:val="nil"/>
            </w:tcBorders>
            <w:shd w:val="clear" w:color="auto" w:fill="auto"/>
            <w:noWrap/>
            <w:vAlign w:val="center"/>
            <w:hideMark/>
          </w:tcPr>
          <w:p w14:paraId="7945F78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0,020</w:t>
            </w:r>
          </w:p>
        </w:tc>
        <w:tc>
          <w:tcPr>
            <w:tcW w:w="2816" w:type="dxa"/>
            <w:tcBorders>
              <w:top w:val="nil"/>
              <w:left w:val="nil"/>
              <w:bottom w:val="nil"/>
              <w:right w:val="nil"/>
            </w:tcBorders>
            <w:shd w:val="clear" w:color="auto" w:fill="auto"/>
            <w:noWrap/>
            <w:vAlign w:val="center"/>
            <w:hideMark/>
          </w:tcPr>
          <w:p w14:paraId="0C37177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0B1039F6" w14:textId="77777777" w:rsidTr="005F10A3">
        <w:trPr>
          <w:trHeight w:val="292"/>
        </w:trPr>
        <w:tc>
          <w:tcPr>
            <w:tcW w:w="1217" w:type="dxa"/>
            <w:vMerge/>
            <w:tcBorders>
              <w:top w:val="nil"/>
              <w:left w:val="nil"/>
              <w:bottom w:val="single" w:sz="4" w:space="0" w:color="000000"/>
              <w:right w:val="nil"/>
            </w:tcBorders>
            <w:vAlign w:val="center"/>
            <w:hideMark/>
          </w:tcPr>
          <w:p w14:paraId="74B7E92B"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4E78FB66"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Cobalt</w:t>
            </w:r>
          </w:p>
        </w:tc>
        <w:tc>
          <w:tcPr>
            <w:tcW w:w="957" w:type="dxa"/>
            <w:vMerge/>
            <w:tcBorders>
              <w:top w:val="nil"/>
              <w:left w:val="nil"/>
              <w:bottom w:val="single" w:sz="4" w:space="0" w:color="000000"/>
              <w:right w:val="nil"/>
            </w:tcBorders>
            <w:vAlign w:val="center"/>
            <w:hideMark/>
          </w:tcPr>
          <w:p w14:paraId="12515DBC"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5685BB6E"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0,0050</w:t>
            </w:r>
          </w:p>
        </w:tc>
        <w:tc>
          <w:tcPr>
            <w:tcW w:w="1676" w:type="dxa"/>
            <w:tcBorders>
              <w:top w:val="nil"/>
              <w:left w:val="nil"/>
              <w:bottom w:val="nil"/>
              <w:right w:val="nil"/>
            </w:tcBorders>
            <w:shd w:val="clear" w:color="auto" w:fill="auto"/>
            <w:noWrap/>
            <w:vAlign w:val="center"/>
            <w:hideMark/>
          </w:tcPr>
          <w:p w14:paraId="63744566"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0,0025</w:t>
            </w:r>
          </w:p>
        </w:tc>
        <w:tc>
          <w:tcPr>
            <w:tcW w:w="2816" w:type="dxa"/>
            <w:tcBorders>
              <w:top w:val="nil"/>
              <w:left w:val="nil"/>
              <w:bottom w:val="nil"/>
              <w:right w:val="nil"/>
            </w:tcBorders>
            <w:shd w:val="clear" w:color="auto" w:fill="auto"/>
            <w:noWrap/>
            <w:vAlign w:val="center"/>
            <w:hideMark/>
          </w:tcPr>
          <w:p w14:paraId="7E973D1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143FC8BC" w14:textId="77777777" w:rsidTr="005F10A3">
        <w:trPr>
          <w:trHeight w:val="292"/>
        </w:trPr>
        <w:tc>
          <w:tcPr>
            <w:tcW w:w="1217" w:type="dxa"/>
            <w:vMerge/>
            <w:tcBorders>
              <w:top w:val="nil"/>
              <w:left w:val="nil"/>
              <w:bottom w:val="single" w:sz="4" w:space="0" w:color="000000"/>
              <w:right w:val="nil"/>
            </w:tcBorders>
            <w:vAlign w:val="center"/>
            <w:hideMark/>
          </w:tcPr>
          <w:p w14:paraId="088C3D4E"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07188FE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Copper</w:t>
            </w:r>
          </w:p>
        </w:tc>
        <w:tc>
          <w:tcPr>
            <w:tcW w:w="957" w:type="dxa"/>
            <w:vMerge/>
            <w:tcBorders>
              <w:top w:val="nil"/>
              <w:left w:val="nil"/>
              <w:bottom w:val="single" w:sz="4" w:space="0" w:color="000000"/>
              <w:right w:val="nil"/>
            </w:tcBorders>
            <w:vAlign w:val="center"/>
            <w:hideMark/>
          </w:tcPr>
          <w:p w14:paraId="5454B3EE"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5087A1B4"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0,03</w:t>
            </w:r>
          </w:p>
        </w:tc>
        <w:tc>
          <w:tcPr>
            <w:tcW w:w="1676" w:type="dxa"/>
            <w:tcBorders>
              <w:top w:val="nil"/>
              <w:left w:val="nil"/>
              <w:bottom w:val="nil"/>
              <w:right w:val="nil"/>
            </w:tcBorders>
            <w:shd w:val="clear" w:color="auto" w:fill="auto"/>
            <w:noWrap/>
            <w:vAlign w:val="center"/>
            <w:hideMark/>
          </w:tcPr>
          <w:p w14:paraId="7E5353F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w:t>
            </w:r>
          </w:p>
        </w:tc>
        <w:tc>
          <w:tcPr>
            <w:tcW w:w="2816" w:type="dxa"/>
            <w:tcBorders>
              <w:top w:val="nil"/>
              <w:left w:val="nil"/>
              <w:bottom w:val="nil"/>
              <w:right w:val="nil"/>
            </w:tcBorders>
            <w:shd w:val="clear" w:color="auto" w:fill="auto"/>
            <w:noWrap/>
            <w:vAlign w:val="center"/>
            <w:hideMark/>
          </w:tcPr>
          <w:p w14:paraId="5DC972A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1DCA307F" w14:textId="77777777" w:rsidTr="005F10A3">
        <w:trPr>
          <w:trHeight w:val="292"/>
        </w:trPr>
        <w:tc>
          <w:tcPr>
            <w:tcW w:w="1217" w:type="dxa"/>
            <w:vMerge/>
            <w:tcBorders>
              <w:top w:val="nil"/>
              <w:left w:val="nil"/>
              <w:bottom w:val="single" w:sz="4" w:space="0" w:color="000000"/>
              <w:right w:val="nil"/>
            </w:tcBorders>
            <w:vAlign w:val="center"/>
            <w:hideMark/>
          </w:tcPr>
          <w:p w14:paraId="6E048EE3"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3FEA9C5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Carbendazim</w:t>
            </w:r>
          </w:p>
        </w:tc>
        <w:tc>
          <w:tcPr>
            <w:tcW w:w="957" w:type="dxa"/>
            <w:vMerge w:val="restart"/>
            <w:tcBorders>
              <w:top w:val="nil"/>
              <w:left w:val="nil"/>
              <w:bottom w:val="single" w:sz="4" w:space="0" w:color="000000"/>
              <w:right w:val="nil"/>
            </w:tcBorders>
            <w:shd w:val="clear" w:color="auto" w:fill="auto"/>
            <w:noWrap/>
            <w:vAlign w:val="center"/>
            <w:hideMark/>
          </w:tcPr>
          <w:p w14:paraId="267BA106"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 xml:space="preserve">kg a.i. </w:t>
            </w:r>
          </w:p>
        </w:tc>
        <w:tc>
          <w:tcPr>
            <w:tcW w:w="936" w:type="dxa"/>
            <w:tcBorders>
              <w:top w:val="nil"/>
              <w:left w:val="nil"/>
              <w:bottom w:val="nil"/>
              <w:right w:val="nil"/>
            </w:tcBorders>
            <w:shd w:val="clear" w:color="auto" w:fill="auto"/>
            <w:noWrap/>
            <w:vAlign w:val="center"/>
            <w:hideMark/>
          </w:tcPr>
          <w:p w14:paraId="6FDD359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0,501</w:t>
            </w:r>
          </w:p>
        </w:tc>
        <w:tc>
          <w:tcPr>
            <w:tcW w:w="1676" w:type="dxa"/>
            <w:tcBorders>
              <w:top w:val="nil"/>
              <w:left w:val="nil"/>
              <w:bottom w:val="nil"/>
              <w:right w:val="nil"/>
            </w:tcBorders>
            <w:shd w:val="clear" w:color="auto" w:fill="auto"/>
            <w:noWrap/>
            <w:vAlign w:val="center"/>
            <w:hideMark/>
          </w:tcPr>
          <w:p w14:paraId="145E274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0,501</w:t>
            </w:r>
          </w:p>
        </w:tc>
        <w:tc>
          <w:tcPr>
            <w:tcW w:w="2816" w:type="dxa"/>
            <w:tcBorders>
              <w:top w:val="nil"/>
              <w:left w:val="nil"/>
              <w:bottom w:val="nil"/>
              <w:right w:val="nil"/>
            </w:tcBorders>
            <w:shd w:val="clear" w:color="auto" w:fill="auto"/>
            <w:noWrap/>
            <w:vAlign w:val="center"/>
            <w:hideMark/>
          </w:tcPr>
          <w:p w14:paraId="7B1633B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0031BA21" w14:textId="77777777" w:rsidTr="005F10A3">
        <w:trPr>
          <w:trHeight w:val="292"/>
        </w:trPr>
        <w:tc>
          <w:tcPr>
            <w:tcW w:w="1217" w:type="dxa"/>
            <w:vMerge/>
            <w:tcBorders>
              <w:top w:val="nil"/>
              <w:left w:val="nil"/>
              <w:bottom w:val="single" w:sz="4" w:space="0" w:color="000000"/>
              <w:right w:val="nil"/>
            </w:tcBorders>
            <w:vAlign w:val="center"/>
            <w:hideMark/>
          </w:tcPr>
          <w:p w14:paraId="70B3434A"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28294ED8"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Azoxystrobin</w:t>
            </w:r>
          </w:p>
        </w:tc>
        <w:tc>
          <w:tcPr>
            <w:tcW w:w="957" w:type="dxa"/>
            <w:vMerge/>
            <w:tcBorders>
              <w:top w:val="nil"/>
              <w:left w:val="nil"/>
              <w:bottom w:val="single" w:sz="4" w:space="0" w:color="000000"/>
              <w:right w:val="nil"/>
            </w:tcBorders>
            <w:vAlign w:val="center"/>
            <w:hideMark/>
          </w:tcPr>
          <w:p w14:paraId="53C269BE"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645F7D7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0,12</w:t>
            </w:r>
          </w:p>
        </w:tc>
        <w:tc>
          <w:tcPr>
            <w:tcW w:w="1676" w:type="dxa"/>
            <w:tcBorders>
              <w:top w:val="nil"/>
              <w:left w:val="nil"/>
              <w:bottom w:val="nil"/>
              <w:right w:val="nil"/>
            </w:tcBorders>
            <w:shd w:val="clear" w:color="auto" w:fill="auto"/>
            <w:noWrap/>
            <w:vAlign w:val="center"/>
            <w:hideMark/>
          </w:tcPr>
          <w:p w14:paraId="3E5DC14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0,12</w:t>
            </w:r>
          </w:p>
        </w:tc>
        <w:tc>
          <w:tcPr>
            <w:tcW w:w="2816" w:type="dxa"/>
            <w:tcBorders>
              <w:top w:val="nil"/>
              <w:left w:val="nil"/>
              <w:bottom w:val="nil"/>
              <w:right w:val="nil"/>
            </w:tcBorders>
            <w:shd w:val="clear" w:color="auto" w:fill="auto"/>
            <w:noWrap/>
            <w:vAlign w:val="center"/>
            <w:hideMark/>
          </w:tcPr>
          <w:p w14:paraId="2DCBD83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20A1B400" w14:textId="77777777" w:rsidTr="005F10A3">
        <w:trPr>
          <w:trHeight w:val="292"/>
        </w:trPr>
        <w:tc>
          <w:tcPr>
            <w:tcW w:w="1217" w:type="dxa"/>
            <w:vMerge/>
            <w:tcBorders>
              <w:top w:val="nil"/>
              <w:left w:val="nil"/>
              <w:bottom w:val="single" w:sz="4" w:space="0" w:color="000000"/>
              <w:right w:val="nil"/>
            </w:tcBorders>
            <w:vAlign w:val="center"/>
            <w:hideMark/>
          </w:tcPr>
          <w:p w14:paraId="0EBE2DCD"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30EFD297"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Thiamethoxam</w:t>
            </w:r>
          </w:p>
        </w:tc>
        <w:tc>
          <w:tcPr>
            <w:tcW w:w="957" w:type="dxa"/>
            <w:vMerge/>
            <w:tcBorders>
              <w:top w:val="nil"/>
              <w:left w:val="nil"/>
              <w:bottom w:val="single" w:sz="4" w:space="0" w:color="000000"/>
              <w:right w:val="nil"/>
            </w:tcBorders>
            <w:vAlign w:val="center"/>
            <w:hideMark/>
          </w:tcPr>
          <w:p w14:paraId="7B6EA6C7"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5F010DFD"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0,0333</w:t>
            </w:r>
          </w:p>
        </w:tc>
        <w:tc>
          <w:tcPr>
            <w:tcW w:w="1676" w:type="dxa"/>
            <w:tcBorders>
              <w:top w:val="nil"/>
              <w:left w:val="nil"/>
              <w:bottom w:val="nil"/>
              <w:right w:val="nil"/>
            </w:tcBorders>
            <w:shd w:val="clear" w:color="auto" w:fill="auto"/>
            <w:noWrap/>
            <w:vAlign w:val="center"/>
            <w:hideMark/>
          </w:tcPr>
          <w:p w14:paraId="468279C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0,0333</w:t>
            </w:r>
          </w:p>
        </w:tc>
        <w:tc>
          <w:tcPr>
            <w:tcW w:w="2816" w:type="dxa"/>
            <w:tcBorders>
              <w:top w:val="nil"/>
              <w:left w:val="nil"/>
              <w:bottom w:val="nil"/>
              <w:right w:val="nil"/>
            </w:tcBorders>
            <w:shd w:val="clear" w:color="auto" w:fill="auto"/>
            <w:noWrap/>
            <w:vAlign w:val="center"/>
            <w:hideMark/>
          </w:tcPr>
          <w:p w14:paraId="1685A89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2E7022C8" w14:textId="77777777" w:rsidTr="005F10A3">
        <w:trPr>
          <w:trHeight w:val="292"/>
        </w:trPr>
        <w:tc>
          <w:tcPr>
            <w:tcW w:w="1217" w:type="dxa"/>
            <w:vMerge/>
            <w:tcBorders>
              <w:top w:val="nil"/>
              <w:left w:val="nil"/>
              <w:bottom w:val="single" w:sz="4" w:space="0" w:color="000000"/>
              <w:right w:val="nil"/>
            </w:tcBorders>
            <w:vAlign w:val="center"/>
            <w:hideMark/>
          </w:tcPr>
          <w:p w14:paraId="7683233D"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1FEBC0B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Lambda-cyhalothrin</w:t>
            </w:r>
          </w:p>
        </w:tc>
        <w:tc>
          <w:tcPr>
            <w:tcW w:w="957" w:type="dxa"/>
            <w:vMerge/>
            <w:tcBorders>
              <w:top w:val="nil"/>
              <w:left w:val="nil"/>
              <w:bottom w:val="single" w:sz="4" w:space="0" w:color="000000"/>
              <w:right w:val="nil"/>
            </w:tcBorders>
            <w:vAlign w:val="center"/>
            <w:hideMark/>
          </w:tcPr>
          <w:p w14:paraId="324BFE93"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287210B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0,0125</w:t>
            </w:r>
          </w:p>
        </w:tc>
        <w:tc>
          <w:tcPr>
            <w:tcW w:w="1676" w:type="dxa"/>
            <w:tcBorders>
              <w:top w:val="nil"/>
              <w:left w:val="nil"/>
              <w:bottom w:val="nil"/>
              <w:right w:val="nil"/>
            </w:tcBorders>
            <w:shd w:val="clear" w:color="auto" w:fill="auto"/>
            <w:noWrap/>
            <w:vAlign w:val="center"/>
            <w:hideMark/>
          </w:tcPr>
          <w:p w14:paraId="3AF70E1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0,0125</w:t>
            </w:r>
          </w:p>
        </w:tc>
        <w:tc>
          <w:tcPr>
            <w:tcW w:w="2816" w:type="dxa"/>
            <w:tcBorders>
              <w:top w:val="nil"/>
              <w:left w:val="nil"/>
              <w:bottom w:val="nil"/>
              <w:right w:val="nil"/>
            </w:tcBorders>
            <w:shd w:val="clear" w:color="auto" w:fill="auto"/>
            <w:noWrap/>
            <w:vAlign w:val="center"/>
            <w:hideMark/>
          </w:tcPr>
          <w:p w14:paraId="32E5A177"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446C004F" w14:textId="77777777" w:rsidTr="005F10A3">
        <w:trPr>
          <w:trHeight w:val="292"/>
        </w:trPr>
        <w:tc>
          <w:tcPr>
            <w:tcW w:w="1217" w:type="dxa"/>
            <w:vMerge/>
            <w:tcBorders>
              <w:top w:val="nil"/>
              <w:left w:val="nil"/>
              <w:bottom w:val="single" w:sz="4" w:space="0" w:color="000000"/>
              <w:right w:val="nil"/>
            </w:tcBorders>
            <w:vAlign w:val="center"/>
            <w:hideMark/>
          </w:tcPr>
          <w:p w14:paraId="1EF31040"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6DC32690"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Cyproconazole</w:t>
            </w:r>
          </w:p>
        </w:tc>
        <w:tc>
          <w:tcPr>
            <w:tcW w:w="957" w:type="dxa"/>
            <w:vMerge/>
            <w:tcBorders>
              <w:top w:val="nil"/>
              <w:left w:val="nil"/>
              <w:bottom w:val="single" w:sz="4" w:space="0" w:color="000000"/>
              <w:right w:val="nil"/>
            </w:tcBorders>
            <w:vAlign w:val="center"/>
            <w:hideMark/>
          </w:tcPr>
          <w:p w14:paraId="72AB4ECE"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30FB35A4"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0,048</w:t>
            </w:r>
          </w:p>
        </w:tc>
        <w:tc>
          <w:tcPr>
            <w:tcW w:w="1676" w:type="dxa"/>
            <w:tcBorders>
              <w:top w:val="nil"/>
              <w:left w:val="nil"/>
              <w:bottom w:val="nil"/>
              <w:right w:val="nil"/>
            </w:tcBorders>
            <w:shd w:val="clear" w:color="auto" w:fill="auto"/>
            <w:noWrap/>
            <w:vAlign w:val="center"/>
            <w:hideMark/>
          </w:tcPr>
          <w:p w14:paraId="3045915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0,048</w:t>
            </w:r>
          </w:p>
        </w:tc>
        <w:tc>
          <w:tcPr>
            <w:tcW w:w="2816" w:type="dxa"/>
            <w:tcBorders>
              <w:top w:val="nil"/>
              <w:left w:val="nil"/>
              <w:bottom w:val="nil"/>
              <w:right w:val="nil"/>
            </w:tcBorders>
            <w:shd w:val="clear" w:color="auto" w:fill="auto"/>
            <w:noWrap/>
            <w:vAlign w:val="center"/>
            <w:hideMark/>
          </w:tcPr>
          <w:p w14:paraId="77E5C2B8"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637FDE9E" w14:textId="77777777" w:rsidTr="005F10A3">
        <w:trPr>
          <w:trHeight w:val="292"/>
        </w:trPr>
        <w:tc>
          <w:tcPr>
            <w:tcW w:w="1217" w:type="dxa"/>
            <w:vMerge/>
            <w:tcBorders>
              <w:top w:val="nil"/>
              <w:left w:val="nil"/>
              <w:bottom w:val="single" w:sz="4" w:space="0" w:color="000000"/>
              <w:right w:val="nil"/>
            </w:tcBorders>
            <w:vAlign w:val="center"/>
            <w:hideMark/>
          </w:tcPr>
          <w:p w14:paraId="7E54AD17"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118135C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Mineral oil</w:t>
            </w:r>
          </w:p>
        </w:tc>
        <w:tc>
          <w:tcPr>
            <w:tcW w:w="957" w:type="dxa"/>
            <w:vMerge/>
            <w:tcBorders>
              <w:top w:val="nil"/>
              <w:left w:val="nil"/>
              <w:bottom w:val="single" w:sz="4" w:space="0" w:color="000000"/>
              <w:right w:val="nil"/>
            </w:tcBorders>
            <w:vAlign w:val="center"/>
            <w:hideMark/>
          </w:tcPr>
          <w:p w14:paraId="24F80442"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59C814F8"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0,642</w:t>
            </w:r>
          </w:p>
        </w:tc>
        <w:tc>
          <w:tcPr>
            <w:tcW w:w="1676" w:type="dxa"/>
            <w:tcBorders>
              <w:top w:val="nil"/>
              <w:left w:val="nil"/>
              <w:bottom w:val="nil"/>
              <w:right w:val="nil"/>
            </w:tcBorders>
            <w:shd w:val="clear" w:color="auto" w:fill="auto"/>
            <w:noWrap/>
            <w:vAlign w:val="center"/>
            <w:hideMark/>
          </w:tcPr>
          <w:p w14:paraId="6BD9426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0,642</w:t>
            </w:r>
          </w:p>
        </w:tc>
        <w:tc>
          <w:tcPr>
            <w:tcW w:w="2816" w:type="dxa"/>
            <w:tcBorders>
              <w:top w:val="nil"/>
              <w:left w:val="nil"/>
              <w:bottom w:val="nil"/>
              <w:right w:val="nil"/>
            </w:tcBorders>
            <w:shd w:val="clear" w:color="auto" w:fill="auto"/>
            <w:noWrap/>
            <w:vAlign w:val="center"/>
            <w:hideMark/>
          </w:tcPr>
          <w:p w14:paraId="08D4B71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2C318AF5" w14:textId="77777777" w:rsidTr="005F10A3">
        <w:trPr>
          <w:trHeight w:val="292"/>
        </w:trPr>
        <w:tc>
          <w:tcPr>
            <w:tcW w:w="1217" w:type="dxa"/>
            <w:vMerge/>
            <w:tcBorders>
              <w:top w:val="nil"/>
              <w:left w:val="nil"/>
              <w:bottom w:val="single" w:sz="4" w:space="0" w:color="000000"/>
              <w:right w:val="nil"/>
            </w:tcBorders>
            <w:vAlign w:val="center"/>
            <w:hideMark/>
          </w:tcPr>
          <w:p w14:paraId="3B8C2C44"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0B8AF084"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Fipronil</w:t>
            </w:r>
          </w:p>
        </w:tc>
        <w:tc>
          <w:tcPr>
            <w:tcW w:w="957" w:type="dxa"/>
            <w:vMerge/>
            <w:tcBorders>
              <w:top w:val="nil"/>
              <w:left w:val="nil"/>
              <w:bottom w:val="single" w:sz="4" w:space="0" w:color="000000"/>
              <w:right w:val="nil"/>
            </w:tcBorders>
            <w:vAlign w:val="center"/>
            <w:hideMark/>
          </w:tcPr>
          <w:p w14:paraId="6C39BA30"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7DA8B327"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0,03</w:t>
            </w:r>
          </w:p>
        </w:tc>
        <w:tc>
          <w:tcPr>
            <w:tcW w:w="1676" w:type="dxa"/>
            <w:tcBorders>
              <w:top w:val="nil"/>
              <w:left w:val="nil"/>
              <w:bottom w:val="nil"/>
              <w:right w:val="nil"/>
            </w:tcBorders>
            <w:shd w:val="clear" w:color="auto" w:fill="auto"/>
            <w:noWrap/>
            <w:vAlign w:val="center"/>
            <w:hideMark/>
          </w:tcPr>
          <w:p w14:paraId="4BEDD8C7"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0,03</w:t>
            </w:r>
          </w:p>
        </w:tc>
        <w:tc>
          <w:tcPr>
            <w:tcW w:w="2816" w:type="dxa"/>
            <w:tcBorders>
              <w:top w:val="nil"/>
              <w:left w:val="nil"/>
              <w:bottom w:val="nil"/>
              <w:right w:val="nil"/>
            </w:tcBorders>
            <w:shd w:val="clear" w:color="auto" w:fill="auto"/>
            <w:noWrap/>
            <w:vAlign w:val="center"/>
            <w:hideMark/>
          </w:tcPr>
          <w:p w14:paraId="7EA21CA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0031EA56" w14:textId="77777777" w:rsidTr="005F10A3">
        <w:trPr>
          <w:trHeight w:val="292"/>
        </w:trPr>
        <w:tc>
          <w:tcPr>
            <w:tcW w:w="1217" w:type="dxa"/>
            <w:vMerge/>
            <w:tcBorders>
              <w:top w:val="nil"/>
              <w:left w:val="nil"/>
              <w:bottom w:val="single" w:sz="4" w:space="0" w:color="000000"/>
              <w:right w:val="nil"/>
            </w:tcBorders>
            <w:vAlign w:val="center"/>
            <w:hideMark/>
          </w:tcPr>
          <w:p w14:paraId="03ACA8A8"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11CEEBB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Pyraclostrobin (prop)</w:t>
            </w:r>
          </w:p>
        </w:tc>
        <w:tc>
          <w:tcPr>
            <w:tcW w:w="957" w:type="dxa"/>
            <w:vMerge/>
            <w:tcBorders>
              <w:top w:val="nil"/>
              <w:left w:val="nil"/>
              <w:bottom w:val="single" w:sz="4" w:space="0" w:color="000000"/>
              <w:right w:val="nil"/>
            </w:tcBorders>
            <w:vAlign w:val="center"/>
            <w:hideMark/>
          </w:tcPr>
          <w:p w14:paraId="4A362F56"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1BC2DE3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0,003</w:t>
            </w:r>
          </w:p>
        </w:tc>
        <w:tc>
          <w:tcPr>
            <w:tcW w:w="1676" w:type="dxa"/>
            <w:tcBorders>
              <w:top w:val="nil"/>
              <w:left w:val="nil"/>
              <w:bottom w:val="nil"/>
              <w:right w:val="nil"/>
            </w:tcBorders>
            <w:shd w:val="clear" w:color="auto" w:fill="auto"/>
            <w:noWrap/>
            <w:vAlign w:val="center"/>
            <w:hideMark/>
          </w:tcPr>
          <w:p w14:paraId="1DD4CEDC"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0,003</w:t>
            </w:r>
          </w:p>
        </w:tc>
        <w:tc>
          <w:tcPr>
            <w:tcW w:w="2816" w:type="dxa"/>
            <w:tcBorders>
              <w:top w:val="nil"/>
              <w:left w:val="nil"/>
              <w:bottom w:val="nil"/>
              <w:right w:val="nil"/>
            </w:tcBorders>
            <w:shd w:val="clear" w:color="auto" w:fill="auto"/>
            <w:noWrap/>
            <w:vAlign w:val="center"/>
            <w:hideMark/>
          </w:tcPr>
          <w:p w14:paraId="08109BB4"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033BADAC" w14:textId="77777777" w:rsidTr="005F10A3">
        <w:trPr>
          <w:trHeight w:val="292"/>
        </w:trPr>
        <w:tc>
          <w:tcPr>
            <w:tcW w:w="1217" w:type="dxa"/>
            <w:vMerge/>
            <w:tcBorders>
              <w:top w:val="nil"/>
              <w:left w:val="nil"/>
              <w:bottom w:val="single" w:sz="4" w:space="0" w:color="000000"/>
              <w:right w:val="nil"/>
            </w:tcBorders>
            <w:vAlign w:val="center"/>
            <w:hideMark/>
          </w:tcPr>
          <w:p w14:paraId="15F7A396"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584B69C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Thiophanat-methyl</w:t>
            </w:r>
          </w:p>
        </w:tc>
        <w:tc>
          <w:tcPr>
            <w:tcW w:w="957" w:type="dxa"/>
            <w:vMerge/>
            <w:tcBorders>
              <w:top w:val="nil"/>
              <w:left w:val="nil"/>
              <w:bottom w:val="single" w:sz="4" w:space="0" w:color="000000"/>
              <w:right w:val="nil"/>
            </w:tcBorders>
            <w:vAlign w:val="center"/>
            <w:hideMark/>
          </w:tcPr>
          <w:p w14:paraId="602555DB"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135B93D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0,027</w:t>
            </w:r>
          </w:p>
        </w:tc>
        <w:tc>
          <w:tcPr>
            <w:tcW w:w="1676" w:type="dxa"/>
            <w:tcBorders>
              <w:top w:val="nil"/>
              <w:left w:val="nil"/>
              <w:bottom w:val="nil"/>
              <w:right w:val="nil"/>
            </w:tcBorders>
            <w:shd w:val="clear" w:color="auto" w:fill="auto"/>
            <w:noWrap/>
            <w:vAlign w:val="center"/>
            <w:hideMark/>
          </w:tcPr>
          <w:p w14:paraId="3B4289ED"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0,027</w:t>
            </w:r>
          </w:p>
        </w:tc>
        <w:tc>
          <w:tcPr>
            <w:tcW w:w="2816" w:type="dxa"/>
            <w:tcBorders>
              <w:top w:val="nil"/>
              <w:left w:val="nil"/>
              <w:bottom w:val="nil"/>
              <w:right w:val="nil"/>
            </w:tcBorders>
            <w:shd w:val="clear" w:color="auto" w:fill="auto"/>
            <w:noWrap/>
            <w:vAlign w:val="center"/>
            <w:hideMark/>
          </w:tcPr>
          <w:p w14:paraId="02B20A24"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0FC0ADDE" w14:textId="77777777" w:rsidTr="005F10A3">
        <w:trPr>
          <w:trHeight w:val="292"/>
        </w:trPr>
        <w:tc>
          <w:tcPr>
            <w:tcW w:w="1217" w:type="dxa"/>
            <w:vMerge/>
            <w:tcBorders>
              <w:top w:val="nil"/>
              <w:left w:val="nil"/>
              <w:bottom w:val="single" w:sz="4" w:space="0" w:color="000000"/>
              <w:right w:val="nil"/>
            </w:tcBorders>
            <w:vAlign w:val="center"/>
            <w:hideMark/>
          </w:tcPr>
          <w:p w14:paraId="23824182"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5717CE2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Thiodicarb</w:t>
            </w:r>
          </w:p>
        </w:tc>
        <w:tc>
          <w:tcPr>
            <w:tcW w:w="957" w:type="dxa"/>
            <w:vMerge/>
            <w:tcBorders>
              <w:top w:val="nil"/>
              <w:left w:val="nil"/>
              <w:bottom w:val="single" w:sz="4" w:space="0" w:color="000000"/>
              <w:right w:val="nil"/>
            </w:tcBorders>
            <w:vAlign w:val="center"/>
            <w:hideMark/>
          </w:tcPr>
          <w:p w14:paraId="474D37CA"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786216F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0,096</w:t>
            </w:r>
          </w:p>
        </w:tc>
        <w:tc>
          <w:tcPr>
            <w:tcW w:w="1676" w:type="dxa"/>
            <w:tcBorders>
              <w:top w:val="nil"/>
              <w:left w:val="nil"/>
              <w:bottom w:val="nil"/>
              <w:right w:val="nil"/>
            </w:tcBorders>
            <w:shd w:val="clear" w:color="auto" w:fill="auto"/>
            <w:noWrap/>
            <w:vAlign w:val="center"/>
            <w:hideMark/>
          </w:tcPr>
          <w:p w14:paraId="661933F0"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0,096</w:t>
            </w:r>
          </w:p>
        </w:tc>
        <w:tc>
          <w:tcPr>
            <w:tcW w:w="2816" w:type="dxa"/>
            <w:tcBorders>
              <w:top w:val="nil"/>
              <w:left w:val="nil"/>
              <w:bottom w:val="nil"/>
              <w:right w:val="nil"/>
            </w:tcBorders>
            <w:shd w:val="clear" w:color="auto" w:fill="auto"/>
            <w:noWrap/>
            <w:vAlign w:val="center"/>
            <w:hideMark/>
          </w:tcPr>
          <w:p w14:paraId="6FEA6F67"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1ADF51D0" w14:textId="77777777" w:rsidTr="005F10A3">
        <w:trPr>
          <w:trHeight w:val="292"/>
        </w:trPr>
        <w:tc>
          <w:tcPr>
            <w:tcW w:w="1217" w:type="dxa"/>
            <w:vMerge/>
            <w:tcBorders>
              <w:top w:val="nil"/>
              <w:left w:val="nil"/>
              <w:bottom w:val="single" w:sz="4" w:space="0" w:color="000000"/>
              <w:right w:val="nil"/>
            </w:tcBorders>
            <w:vAlign w:val="center"/>
            <w:hideMark/>
          </w:tcPr>
          <w:p w14:paraId="6DDAE367"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0152EAB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Chlorimuron-ethyl</w:t>
            </w:r>
          </w:p>
        </w:tc>
        <w:tc>
          <w:tcPr>
            <w:tcW w:w="957" w:type="dxa"/>
            <w:vMerge/>
            <w:tcBorders>
              <w:top w:val="nil"/>
              <w:left w:val="nil"/>
              <w:bottom w:val="single" w:sz="4" w:space="0" w:color="000000"/>
              <w:right w:val="nil"/>
            </w:tcBorders>
            <w:vAlign w:val="center"/>
            <w:hideMark/>
          </w:tcPr>
          <w:p w14:paraId="65044C78"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70F6827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0,025</w:t>
            </w:r>
          </w:p>
        </w:tc>
        <w:tc>
          <w:tcPr>
            <w:tcW w:w="1676" w:type="dxa"/>
            <w:tcBorders>
              <w:top w:val="nil"/>
              <w:left w:val="nil"/>
              <w:bottom w:val="nil"/>
              <w:right w:val="nil"/>
            </w:tcBorders>
            <w:shd w:val="clear" w:color="auto" w:fill="auto"/>
            <w:noWrap/>
            <w:vAlign w:val="center"/>
            <w:hideMark/>
          </w:tcPr>
          <w:p w14:paraId="3BF70F1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0,025</w:t>
            </w:r>
          </w:p>
        </w:tc>
        <w:tc>
          <w:tcPr>
            <w:tcW w:w="2816" w:type="dxa"/>
            <w:tcBorders>
              <w:top w:val="nil"/>
              <w:left w:val="nil"/>
              <w:bottom w:val="nil"/>
              <w:right w:val="nil"/>
            </w:tcBorders>
            <w:shd w:val="clear" w:color="auto" w:fill="auto"/>
            <w:noWrap/>
            <w:vAlign w:val="center"/>
            <w:hideMark/>
          </w:tcPr>
          <w:p w14:paraId="100B419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33EB1B18" w14:textId="77777777" w:rsidTr="005F10A3">
        <w:trPr>
          <w:trHeight w:val="292"/>
        </w:trPr>
        <w:tc>
          <w:tcPr>
            <w:tcW w:w="1217" w:type="dxa"/>
            <w:vMerge/>
            <w:tcBorders>
              <w:top w:val="nil"/>
              <w:left w:val="nil"/>
              <w:bottom w:val="single" w:sz="4" w:space="0" w:color="000000"/>
              <w:right w:val="nil"/>
            </w:tcBorders>
            <w:vAlign w:val="center"/>
            <w:hideMark/>
          </w:tcPr>
          <w:p w14:paraId="04524EE4"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64A9286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Bifenthrin</w:t>
            </w:r>
          </w:p>
        </w:tc>
        <w:tc>
          <w:tcPr>
            <w:tcW w:w="957" w:type="dxa"/>
            <w:vMerge/>
            <w:tcBorders>
              <w:top w:val="nil"/>
              <w:left w:val="nil"/>
              <w:bottom w:val="single" w:sz="4" w:space="0" w:color="000000"/>
              <w:right w:val="nil"/>
            </w:tcBorders>
            <w:vAlign w:val="center"/>
            <w:hideMark/>
          </w:tcPr>
          <w:p w14:paraId="487F5A92"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58C26F80"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0,020</w:t>
            </w:r>
          </w:p>
        </w:tc>
        <w:tc>
          <w:tcPr>
            <w:tcW w:w="1676" w:type="dxa"/>
            <w:tcBorders>
              <w:top w:val="nil"/>
              <w:left w:val="nil"/>
              <w:bottom w:val="nil"/>
              <w:right w:val="nil"/>
            </w:tcBorders>
            <w:shd w:val="clear" w:color="auto" w:fill="auto"/>
            <w:noWrap/>
            <w:vAlign w:val="center"/>
            <w:hideMark/>
          </w:tcPr>
          <w:p w14:paraId="363C60E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0,020</w:t>
            </w:r>
          </w:p>
        </w:tc>
        <w:tc>
          <w:tcPr>
            <w:tcW w:w="2816" w:type="dxa"/>
            <w:tcBorders>
              <w:top w:val="nil"/>
              <w:left w:val="nil"/>
              <w:bottom w:val="nil"/>
              <w:right w:val="nil"/>
            </w:tcBorders>
            <w:shd w:val="clear" w:color="auto" w:fill="auto"/>
            <w:noWrap/>
            <w:vAlign w:val="center"/>
            <w:hideMark/>
          </w:tcPr>
          <w:p w14:paraId="455DA0B5"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2C6C796A" w14:textId="77777777" w:rsidTr="005F10A3">
        <w:trPr>
          <w:trHeight w:val="292"/>
        </w:trPr>
        <w:tc>
          <w:tcPr>
            <w:tcW w:w="1217" w:type="dxa"/>
            <w:vMerge/>
            <w:tcBorders>
              <w:top w:val="nil"/>
              <w:left w:val="nil"/>
              <w:bottom w:val="single" w:sz="4" w:space="0" w:color="000000"/>
              <w:right w:val="nil"/>
            </w:tcBorders>
            <w:vAlign w:val="center"/>
            <w:hideMark/>
          </w:tcPr>
          <w:p w14:paraId="5D7B2B4D" w14:textId="77777777" w:rsidR="006C25E0" w:rsidRPr="00D22C5B" w:rsidRDefault="006C25E0" w:rsidP="006C25E0">
            <w:pPr>
              <w:spacing w:after="0" w:line="240" w:lineRule="auto"/>
              <w:rPr>
                <w:rFonts w:ascii="Arial" w:eastAsia="Times New Roman" w:hAnsi="Arial" w:cs="Arial"/>
                <w:color w:val="000000"/>
                <w:lang w:eastAsia="pt-BR"/>
              </w:rPr>
            </w:pPr>
          </w:p>
        </w:tc>
        <w:tc>
          <w:tcPr>
            <w:tcW w:w="1877" w:type="dxa"/>
            <w:tcBorders>
              <w:top w:val="nil"/>
              <w:left w:val="nil"/>
              <w:bottom w:val="nil"/>
              <w:right w:val="nil"/>
            </w:tcBorders>
            <w:shd w:val="clear" w:color="auto" w:fill="auto"/>
            <w:noWrap/>
            <w:vAlign w:val="center"/>
            <w:hideMark/>
          </w:tcPr>
          <w:p w14:paraId="59392308"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Imidacloprid</w:t>
            </w:r>
          </w:p>
        </w:tc>
        <w:tc>
          <w:tcPr>
            <w:tcW w:w="957" w:type="dxa"/>
            <w:vMerge/>
            <w:tcBorders>
              <w:top w:val="nil"/>
              <w:left w:val="nil"/>
              <w:bottom w:val="single" w:sz="4" w:space="0" w:color="000000"/>
              <w:right w:val="nil"/>
            </w:tcBorders>
            <w:vAlign w:val="center"/>
            <w:hideMark/>
          </w:tcPr>
          <w:p w14:paraId="0001BFA1" w14:textId="77777777" w:rsidR="006C25E0" w:rsidRPr="00D22C5B" w:rsidRDefault="006C25E0" w:rsidP="006C25E0">
            <w:pPr>
              <w:spacing w:after="0" w:line="240" w:lineRule="auto"/>
              <w:rPr>
                <w:rFonts w:ascii="Arial" w:eastAsia="Times New Roman" w:hAnsi="Arial" w:cs="Arial"/>
                <w:color w:val="000000"/>
                <w:lang w:eastAsia="pt-BR"/>
              </w:rPr>
            </w:pPr>
          </w:p>
        </w:tc>
        <w:tc>
          <w:tcPr>
            <w:tcW w:w="936" w:type="dxa"/>
            <w:tcBorders>
              <w:top w:val="nil"/>
              <w:left w:val="nil"/>
              <w:bottom w:val="nil"/>
              <w:right w:val="nil"/>
            </w:tcBorders>
            <w:shd w:val="clear" w:color="auto" w:fill="auto"/>
            <w:noWrap/>
            <w:vAlign w:val="center"/>
            <w:hideMark/>
          </w:tcPr>
          <w:p w14:paraId="5E212F2C"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0,0999</w:t>
            </w:r>
          </w:p>
        </w:tc>
        <w:tc>
          <w:tcPr>
            <w:tcW w:w="1676" w:type="dxa"/>
            <w:tcBorders>
              <w:top w:val="nil"/>
              <w:left w:val="nil"/>
              <w:bottom w:val="nil"/>
              <w:right w:val="nil"/>
            </w:tcBorders>
            <w:shd w:val="clear" w:color="auto" w:fill="auto"/>
            <w:noWrap/>
            <w:vAlign w:val="center"/>
            <w:hideMark/>
          </w:tcPr>
          <w:p w14:paraId="3A1B80DB"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0,0999</w:t>
            </w:r>
          </w:p>
        </w:tc>
        <w:tc>
          <w:tcPr>
            <w:tcW w:w="2816" w:type="dxa"/>
            <w:tcBorders>
              <w:top w:val="nil"/>
              <w:left w:val="nil"/>
              <w:bottom w:val="nil"/>
              <w:right w:val="nil"/>
            </w:tcBorders>
            <w:shd w:val="clear" w:color="auto" w:fill="auto"/>
            <w:noWrap/>
            <w:vAlign w:val="center"/>
            <w:hideMark/>
          </w:tcPr>
          <w:p w14:paraId="4C2B190A" w14:textId="77777777" w:rsidR="006C25E0" w:rsidRPr="00D22C5B" w:rsidRDefault="006C25E0" w:rsidP="006C25E0">
            <w:pPr>
              <w:spacing w:after="0" w:line="240" w:lineRule="auto"/>
              <w:jc w:val="center"/>
              <w:rPr>
                <w:rFonts w:ascii="Arial" w:eastAsia="Times New Roman" w:hAnsi="Arial" w:cs="Arial"/>
                <w:color w:val="000000"/>
                <w:lang w:eastAsia="pt-BR"/>
              </w:rPr>
            </w:pPr>
            <w:proofErr w:type="spellStart"/>
            <w:r w:rsidRPr="00D22C5B">
              <w:rPr>
                <w:rFonts w:ascii="Arial" w:eastAsia="Times New Roman" w:hAnsi="Arial" w:cs="Arial"/>
                <w:color w:val="000000"/>
                <w:lang w:val="en-US" w:eastAsia="pt-BR"/>
              </w:rPr>
              <w:t>Folegatti</w:t>
            </w:r>
            <w:proofErr w:type="spellEnd"/>
            <w:r w:rsidRPr="00D22C5B">
              <w:rPr>
                <w:rFonts w:ascii="Arial" w:eastAsia="Times New Roman" w:hAnsi="Arial" w:cs="Arial"/>
                <w:color w:val="000000"/>
                <w:lang w:val="en-US" w:eastAsia="pt-BR"/>
              </w:rPr>
              <w:t>-Matsuura et al., 2018</w:t>
            </w:r>
          </w:p>
        </w:tc>
      </w:tr>
      <w:tr w:rsidR="006C25E0" w:rsidRPr="00D22C5B" w14:paraId="67F5D382" w14:textId="77777777" w:rsidTr="005F10A3">
        <w:trPr>
          <w:trHeight w:val="292"/>
        </w:trPr>
        <w:tc>
          <w:tcPr>
            <w:tcW w:w="1217" w:type="dxa"/>
            <w:vMerge/>
            <w:tcBorders>
              <w:top w:val="nil"/>
              <w:left w:val="nil"/>
              <w:bottom w:val="single" w:sz="4" w:space="0" w:color="000000"/>
              <w:right w:val="nil"/>
            </w:tcBorders>
            <w:vAlign w:val="center"/>
            <w:hideMark/>
          </w:tcPr>
          <w:p w14:paraId="587A96BF" w14:textId="77777777" w:rsidR="006C25E0" w:rsidRPr="00D22C5B" w:rsidRDefault="006C25E0" w:rsidP="006C25E0">
            <w:pPr>
              <w:spacing w:after="0" w:line="240" w:lineRule="auto"/>
              <w:rPr>
                <w:rFonts w:ascii="Arial" w:eastAsia="Times New Roman" w:hAnsi="Arial" w:cs="Arial"/>
                <w:color w:val="000000"/>
                <w:lang w:eastAsia="pt-BR"/>
              </w:rPr>
            </w:pPr>
          </w:p>
        </w:tc>
        <w:tc>
          <w:tcPr>
            <w:tcW w:w="1877" w:type="dxa"/>
            <w:tcBorders>
              <w:top w:val="nil"/>
              <w:left w:val="nil"/>
              <w:bottom w:val="nil"/>
              <w:right w:val="nil"/>
            </w:tcBorders>
            <w:shd w:val="clear" w:color="auto" w:fill="auto"/>
            <w:noWrap/>
            <w:vAlign w:val="center"/>
            <w:hideMark/>
          </w:tcPr>
          <w:p w14:paraId="71F602E9"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Glyphosate</w:t>
            </w:r>
          </w:p>
        </w:tc>
        <w:tc>
          <w:tcPr>
            <w:tcW w:w="957" w:type="dxa"/>
            <w:vMerge/>
            <w:tcBorders>
              <w:top w:val="nil"/>
              <w:left w:val="nil"/>
              <w:bottom w:val="single" w:sz="4" w:space="0" w:color="000000"/>
              <w:right w:val="nil"/>
            </w:tcBorders>
            <w:vAlign w:val="center"/>
            <w:hideMark/>
          </w:tcPr>
          <w:p w14:paraId="05DAA992" w14:textId="77777777" w:rsidR="006C25E0" w:rsidRPr="00D22C5B" w:rsidRDefault="006C25E0" w:rsidP="006C25E0">
            <w:pPr>
              <w:spacing w:after="0" w:line="240" w:lineRule="auto"/>
              <w:rPr>
                <w:rFonts w:ascii="Arial" w:eastAsia="Times New Roman" w:hAnsi="Arial" w:cs="Arial"/>
                <w:color w:val="000000"/>
                <w:lang w:eastAsia="pt-BR"/>
              </w:rPr>
            </w:pPr>
          </w:p>
        </w:tc>
        <w:tc>
          <w:tcPr>
            <w:tcW w:w="936" w:type="dxa"/>
            <w:tcBorders>
              <w:top w:val="nil"/>
              <w:left w:val="nil"/>
              <w:bottom w:val="nil"/>
              <w:right w:val="nil"/>
            </w:tcBorders>
            <w:shd w:val="clear" w:color="auto" w:fill="auto"/>
            <w:noWrap/>
            <w:vAlign w:val="center"/>
            <w:hideMark/>
          </w:tcPr>
          <w:p w14:paraId="30A80282"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2,16</w:t>
            </w:r>
          </w:p>
        </w:tc>
        <w:tc>
          <w:tcPr>
            <w:tcW w:w="1676" w:type="dxa"/>
            <w:tcBorders>
              <w:top w:val="nil"/>
              <w:left w:val="nil"/>
              <w:bottom w:val="nil"/>
              <w:right w:val="nil"/>
            </w:tcBorders>
            <w:shd w:val="clear" w:color="auto" w:fill="auto"/>
            <w:noWrap/>
            <w:vAlign w:val="center"/>
            <w:hideMark/>
          </w:tcPr>
          <w:p w14:paraId="3874FF1B"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2,16</w:t>
            </w:r>
          </w:p>
        </w:tc>
        <w:tc>
          <w:tcPr>
            <w:tcW w:w="2816" w:type="dxa"/>
            <w:tcBorders>
              <w:top w:val="nil"/>
              <w:left w:val="nil"/>
              <w:bottom w:val="nil"/>
              <w:right w:val="nil"/>
            </w:tcBorders>
            <w:shd w:val="clear" w:color="auto" w:fill="auto"/>
            <w:noWrap/>
            <w:vAlign w:val="center"/>
            <w:hideMark/>
          </w:tcPr>
          <w:p w14:paraId="7B6B8C64" w14:textId="77777777" w:rsidR="006C25E0" w:rsidRPr="00D22C5B" w:rsidRDefault="006C25E0" w:rsidP="006C25E0">
            <w:pPr>
              <w:spacing w:after="0" w:line="240" w:lineRule="auto"/>
              <w:jc w:val="center"/>
              <w:rPr>
                <w:rFonts w:ascii="Arial" w:eastAsia="Times New Roman" w:hAnsi="Arial" w:cs="Arial"/>
                <w:color w:val="000000"/>
                <w:lang w:eastAsia="pt-BR"/>
              </w:rPr>
            </w:pPr>
            <w:proofErr w:type="spellStart"/>
            <w:r w:rsidRPr="00D22C5B">
              <w:rPr>
                <w:rFonts w:ascii="Arial" w:eastAsia="Times New Roman" w:hAnsi="Arial" w:cs="Arial"/>
                <w:color w:val="000000"/>
                <w:lang w:val="en-US" w:eastAsia="pt-BR"/>
              </w:rPr>
              <w:t>Folegatti</w:t>
            </w:r>
            <w:proofErr w:type="spellEnd"/>
            <w:r w:rsidRPr="00D22C5B">
              <w:rPr>
                <w:rFonts w:ascii="Arial" w:eastAsia="Times New Roman" w:hAnsi="Arial" w:cs="Arial"/>
                <w:color w:val="000000"/>
                <w:lang w:val="en-US" w:eastAsia="pt-BR"/>
              </w:rPr>
              <w:t>-Matsuura et al., 2018</w:t>
            </w:r>
          </w:p>
        </w:tc>
      </w:tr>
      <w:tr w:rsidR="006C25E0" w:rsidRPr="00D22C5B" w14:paraId="25D2A6B7" w14:textId="77777777" w:rsidTr="005F10A3">
        <w:trPr>
          <w:trHeight w:val="292"/>
        </w:trPr>
        <w:tc>
          <w:tcPr>
            <w:tcW w:w="1217" w:type="dxa"/>
            <w:vMerge/>
            <w:tcBorders>
              <w:top w:val="nil"/>
              <w:left w:val="nil"/>
              <w:bottom w:val="single" w:sz="4" w:space="0" w:color="000000"/>
              <w:right w:val="nil"/>
            </w:tcBorders>
            <w:vAlign w:val="center"/>
            <w:hideMark/>
          </w:tcPr>
          <w:p w14:paraId="5CC013BE" w14:textId="77777777" w:rsidR="006C25E0" w:rsidRPr="00D22C5B" w:rsidRDefault="006C25E0" w:rsidP="006C25E0">
            <w:pPr>
              <w:spacing w:after="0" w:line="240" w:lineRule="auto"/>
              <w:rPr>
                <w:rFonts w:ascii="Arial" w:eastAsia="Times New Roman" w:hAnsi="Arial" w:cs="Arial"/>
                <w:color w:val="000000"/>
                <w:lang w:eastAsia="pt-BR"/>
              </w:rPr>
            </w:pPr>
          </w:p>
        </w:tc>
        <w:tc>
          <w:tcPr>
            <w:tcW w:w="1877" w:type="dxa"/>
            <w:tcBorders>
              <w:top w:val="nil"/>
              <w:left w:val="nil"/>
              <w:bottom w:val="nil"/>
              <w:right w:val="nil"/>
            </w:tcBorders>
            <w:shd w:val="clear" w:color="auto" w:fill="auto"/>
            <w:noWrap/>
            <w:vAlign w:val="center"/>
            <w:hideMark/>
          </w:tcPr>
          <w:p w14:paraId="4FC240FB"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Paraquat</w:t>
            </w:r>
          </w:p>
        </w:tc>
        <w:tc>
          <w:tcPr>
            <w:tcW w:w="957" w:type="dxa"/>
            <w:vMerge/>
            <w:tcBorders>
              <w:top w:val="nil"/>
              <w:left w:val="nil"/>
              <w:bottom w:val="single" w:sz="4" w:space="0" w:color="000000"/>
              <w:right w:val="nil"/>
            </w:tcBorders>
            <w:vAlign w:val="center"/>
            <w:hideMark/>
          </w:tcPr>
          <w:p w14:paraId="6A43B8AB" w14:textId="77777777" w:rsidR="006C25E0" w:rsidRPr="00F025F1"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43107002"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0,30</w:t>
            </w:r>
          </w:p>
        </w:tc>
        <w:tc>
          <w:tcPr>
            <w:tcW w:w="1676" w:type="dxa"/>
            <w:tcBorders>
              <w:top w:val="nil"/>
              <w:left w:val="nil"/>
              <w:bottom w:val="nil"/>
              <w:right w:val="nil"/>
            </w:tcBorders>
            <w:shd w:val="clear" w:color="auto" w:fill="auto"/>
            <w:noWrap/>
            <w:vAlign w:val="center"/>
            <w:hideMark/>
          </w:tcPr>
          <w:p w14:paraId="68A5C82D"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0,30</w:t>
            </w:r>
          </w:p>
        </w:tc>
        <w:tc>
          <w:tcPr>
            <w:tcW w:w="2816" w:type="dxa"/>
            <w:tcBorders>
              <w:top w:val="nil"/>
              <w:left w:val="nil"/>
              <w:bottom w:val="nil"/>
              <w:right w:val="nil"/>
            </w:tcBorders>
            <w:shd w:val="clear" w:color="auto" w:fill="auto"/>
            <w:noWrap/>
            <w:vAlign w:val="center"/>
            <w:hideMark/>
          </w:tcPr>
          <w:p w14:paraId="3AFD632E"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F025F1">
              <w:rPr>
                <w:rFonts w:ascii="Arial" w:eastAsia="Times New Roman" w:hAnsi="Arial" w:cs="Arial"/>
                <w:color w:val="000000"/>
                <w:sz w:val="20"/>
                <w:szCs w:val="20"/>
                <w:lang w:val="en-US" w:eastAsia="pt-BR"/>
              </w:rPr>
              <w:t>Folegatti</w:t>
            </w:r>
            <w:proofErr w:type="spellEnd"/>
            <w:r w:rsidRPr="00F025F1">
              <w:rPr>
                <w:rFonts w:ascii="Arial" w:eastAsia="Times New Roman" w:hAnsi="Arial" w:cs="Arial"/>
                <w:color w:val="000000"/>
                <w:sz w:val="20"/>
                <w:szCs w:val="20"/>
                <w:lang w:val="en-US" w:eastAsia="pt-BR"/>
              </w:rPr>
              <w:t>-Matsuura et al., 2018</w:t>
            </w:r>
          </w:p>
        </w:tc>
      </w:tr>
      <w:tr w:rsidR="006C25E0" w:rsidRPr="00D22C5B" w14:paraId="0610D2A3" w14:textId="77777777" w:rsidTr="005F10A3">
        <w:trPr>
          <w:trHeight w:val="292"/>
        </w:trPr>
        <w:tc>
          <w:tcPr>
            <w:tcW w:w="1217" w:type="dxa"/>
            <w:vMerge/>
            <w:tcBorders>
              <w:top w:val="nil"/>
              <w:left w:val="nil"/>
              <w:bottom w:val="single" w:sz="4" w:space="0" w:color="000000"/>
              <w:right w:val="nil"/>
            </w:tcBorders>
            <w:vAlign w:val="center"/>
            <w:hideMark/>
          </w:tcPr>
          <w:p w14:paraId="1D528D81" w14:textId="77777777" w:rsidR="006C25E0" w:rsidRPr="00D22C5B" w:rsidRDefault="006C25E0" w:rsidP="006C25E0">
            <w:pPr>
              <w:spacing w:after="0" w:line="240" w:lineRule="auto"/>
              <w:rPr>
                <w:rFonts w:ascii="Arial" w:eastAsia="Times New Roman" w:hAnsi="Arial" w:cs="Arial"/>
                <w:color w:val="000000"/>
                <w:lang w:eastAsia="pt-BR"/>
              </w:rPr>
            </w:pPr>
          </w:p>
        </w:tc>
        <w:tc>
          <w:tcPr>
            <w:tcW w:w="1877" w:type="dxa"/>
            <w:tcBorders>
              <w:top w:val="nil"/>
              <w:left w:val="nil"/>
              <w:bottom w:val="single" w:sz="4" w:space="0" w:color="auto"/>
              <w:right w:val="nil"/>
            </w:tcBorders>
            <w:shd w:val="clear" w:color="auto" w:fill="auto"/>
            <w:noWrap/>
            <w:vAlign w:val="center"/>
            <w:hideMark/>
          </w:tcPr>
          <w:p w14:paraId="030B4B3C"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Fuel</w:t>
            </w:r>
          </w:p>
        </w:tc>
        <w:tc>
          <w:tcPr>
            <w:tcW w:w="957" w:type="dxa"/>
            <w:tcBorders>
              <w:top w:val="nil"/>
              <w:left w:val="nil"/>
              <w:bottom w:val="single" w:sz="4" w:space="0" w:color="auto"/>
              <w:right w:val="nil"/>
            </w:tcBorders>
            <w:shd w:val="clear" w:color="auto" w:fill="auto"/>
            <w:noWrap/>
            <w:vAlign w:val="center"/>
            <w:hideMark/>
          </w:tcPr>
          <w:p w14:paraId="6351E734"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l</w:t>
            </w:r>
          </w:p>
        </w:tc>
        <w:tc>
          <w:tcPr>
            <w:tcW w:w="936" w:type="dxa"/>
            <w:tcBorders>
              <w:top w:val="nil"/>
              <w:left w:val="nil"/>
              <w:bottom w:val="single" w:sz="4" w:space="0" w:color="auto"/>
              <w:right w:val="nil"/>
            </w:tcBorders>
            <w:shd w:val="clear" w:color="auto" w:fill="auto"/>
            <w:noWrap/>
            <w:vAlign w:val="center"/>
            <w:hideMark/>
          </w:tcPr>
          <w:p w14:paraId="581FAEC0"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3,25</w:t>
            </w:r>
          </w:p>
        </w:tc>
        <w:tc>
          <w:tcPr>
            <w:tcW w:w="1676" w:type="dxa"/>
            <w:tcBorders>
              <w:top w:val="nil"/>
              <w:left w:val="nil"/>
              <w:bottom w:val="single" w:sz="4" w:space="0" w:color="auto"/>
              <w:right w:val="nil"/>
            </w:tcBorders>
            <w:shd w:val="clear" w:color="auto" w:fill="auto"/>
            <w:noWrap/>
            <w:vAlign w:val="center"/>
            <w:hideMark/>
          </w:tcPr>
          <w:p w14:paraId="527FEC11"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w:t>
            </w:r>
          </w:p>
        </w:tc>
        <w:tc>
          <w:tcPr>
            <w:tcW w:w="2816" w:type="dxa"/>
            <w:tcBorders>
              <w:top w:val="nil"/>
              <w:left w:val="nil"/>
              <w:bottom w:val="single" w:sz="4" w:space="0" w:color="auto"/>
              <w:right w:val="nil"/>
            </w:tcBorders>
            <w:shd w:val="clear" w:color="auto" w:fill="auto"/>
            <w:noWrap/>
            <w:vAlign w:val="center"/>
            <w:hideMark/>
          </w:tcPr>
          <w:p w14:paraId="10902CBC"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measured</w:t>
            </w:r>
          </w:p>
        </w:tc>
      </w:tr>
      <w:tr w:rsidR="006C25E0" w:rsidRPr="00D22C5B" w14:paraId="4EF24FEC" w14:textId="77777777" w:rsidTr="005F10A3">
        <w:trPr>
          <w:trHeight w:val="292"/>
        </w:trPr>
        <w:tc>
          <w:tcPr>
            <w:tcW w:w="1217" w:type="dxa"/>
            <w:vMerge w:val="restart"/>
            <w:tcBorders>
              <w:top w:val="nil"/>
              <w:left w:val="nil"/>
              <w:bottom w:val="single" w:sz="8" w:space="0" w:color="000000"/>
              <w:right w:val="nil"/>
            </w:tcBorders>
            <w:shd w:val="clear" w:color="auto" w:fill="auto"/>
            <w:noWrap/>
            <w:vAlign w:val="center"/>
            <w:hideMark/>
          </w:tcPr>
          <w:p w14:paraId="4E6D5C61"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Harvesting</w:t>
            </w:r>
          </w:p>
        </w:tc>
        <w:tc>
          <w:tcPr>
            <w:tcW w:w="1877" w:type="dxa"/>
            <w:tcBorders>
              <w:top w:val="nil"/>
              <w:left w:val="nil"/>
              <w:bottom w:val="nil"/>
              <w:right w:val="nil"/>
            </w:tcBorders>
            <w:shd w:val="clear" w:color="auto" w:fill="auto"/>
            <w:noWrap/>
            <w:vAlign w:val="center"/>
            <w:hideMark/>
          </w:tcPr>
          <w:p w14:paraId="547DD2AC"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Grain production</w:t>
            </w:r>
          </w:p>
        </w:tc>
        <w:tc>
          <w:tcPr>
            <w:tcW w:w="957" w:type="dxa"/>
            <w:tcBorders>
              <w:top w:val="nil"/>
              <w:left w:val="nil"/>
              <w:bottom w:val="nil"/>
              <w:right w:val="nil"/>
            </w:tcBorders>
            <w:shd w:val="clear" w:color="auto" w:fill="auto"/>
            <w:noWrap/>
            <w:vAlign w:val="center"/>
            <w:hideMark/>
          </w:tcPr>
          <w:p w14:paraId="7A07FDBA"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kg</w:t>
            </w:r>
          </w:p>
        </w:tc>
        <w:tc>
          <w:tcPr>
            <w:tcW w:w="936" w:type="dxa"/>
            <w:tcBorders>
              <w:top w:val="nil"/>
              <w:left w:val="nil"/>
              <w:bottom w:val="nil"/>
              <w:right w:val="nil"/>
            </w:tcBorders>
            <w:shd w:val="clear" w:color="auto" w:fill="auto"/>
            <w:noWrap/>
            <w:vAlign w:val="center"/>
            <w:hideMark/>
          </w:tcPr>
          <w:p w14:paraId="1F9DC255"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3780,00</w:t>
            </w:r>
          </w:p>
        </w:tc>
        <w:tc>
          <w:tcPr>
            <w:tcW w:w="1676" w:type="dxa"/>
            <w:tcBorders>
              <w:top w:val="nil"/>
              <w:left w:val="nil"/>
              <w:bottom w:val="nil"/>
              <w:right w:val="nil"/>
            </w:tcBorders>
            <w:shd w:val="clear" w:color="auto" w:fill="auto"/>
            <w:noWrap/>
            <w:vAlign w:val="center"/>
            <w:hideMark/>
          </w:tcPr>
          <w:p w14:paraId="0234F0CD"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3000,00</w:t>
            </w:r>
          </w:p>
        </w:tc>
        <w:tc>
          <w:tcPr>
            <w:tcW w:w="2816" w:type="dxa"/>
            <w:tcBorders>
              <w:top w:val="nil"/>
              <w:left w:val="nil"/>
              <w:bottom w:val="nil"/>
              <w:right w:val="nil"/>
            </w:tcBorders>
            <w:shd w:val="clear" w:color="auto" w:fill="auto"/>
            <w:noWrap/>
            <w:vAlign w:val="center"/>
            <w:hideMark/>
          </w:tcPr>
          <w:p w14:paraId="4406AB9C"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measured</w:t>
            </w:r>
          </w:p>
        </w:tc>
      </w:tr>
      <w:tr w:rsidR="006C25E0" w:rsidRPr="00D22C5B" w14:paraId="6F4EFB5B" w14:textId="77777777" w:rsidTr="005F10A3">
        <w:trPr>
          <w:trHeight w:val="307"/>
        </w:trPr>
        <w:tc>
          <w:tcPr>
            <w:tcW w:w="1217" w:type="dxa"/>
            <w:vMerge/>
            <w:tcBorders>
              <w:top w:val="nil"/>
              <w:left w:val="nil"/>
              <w:bottom w:val="single" w:sz="8" w:space="0" w:color="000000"/>
              <w:right w:val="nil"/>
            </w:tcBorders>
            <w:vAlign w:val="center"/>
            <w:hideMark/>
          </w:tcPr>
          <w:p w14:paraId="40F0EFD2" w14:textId="77777777" w:rsidR="006C25E0" w:rsidRPr="00D22C5B" w:rsidRDefault="006C25E0" w:rsidP="006C25E0">
            <w:pPr>
              <w:spacing w:after="0" w:line="240" w:lineRule="auto"/>
              <w:rPr>
                <w:rFonts w:ascii="Arial" w:eastAsia="Times New Roman" w:hAnsi="Arial" w:cs="Arial"/>
                <w:color w:val="000000"/>
                <w:lang w:eastAsia="pt-BR"/>
              </w:rPr>
            </w:pPr>
          </w:p>
        </w:tc>
        <w:tc>
          <w:tcPr>
            <w:tcW w:w="1877" w:type="dxa"/>
            <w:tcBorders>
              <w:top w:val="nil"/>
              <w:left w:val="nil"/>
              <w:bottom w:val="single" w:sz="8" w:space="0" w:color="auto"/>
              <w:right w:val="nil"/>
            </w:tcBorders>
            <w:shd w:val="clear" w:color="auto" w:fill="auto"/>
            <w:noWrap/>
            <w:vAlign w:val="center"/>
            <w:hideMark/>
          </w:tcPr>
          <w:p w14:paraId="762D1205"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Fuel</w:t>
            </w:r>
          </w:p>
        </w:tc>
        <w:tc>
          <w:tcPr>
            <w:tcW w:w="957" w:type="dxa"/>
            <w:tcBorders>
              <w:top w:val="nil"/>
              <w:left w:val="nil"/>
              <w:bottom w:val="single" w:sz="8" w:space="0" w:color="auto"/>
              <w:right w:val="nil"/>
            </w:tcBorders>
            <w:shd w:val="clear" w:color="auto" w:fill="auto"/>
            <w:noWrap/>
            <w:vAlign w:val="center"/>
            <w:hideMark/>
          </w:tcPr>
          <w:p w14:paraId="3A1935A4"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l</w:t>
            </w:r>
          </w:p>
        </w:tc>
        <w:tc>
          <w:tcPr>
            <w:tcW w:w="936" w:type="dxa"/>
            <w:tcBorders>
              <w:top w:val="nil"/>
              <w:left w:val="nil"/>
              <w:bottom w:val="single" w:sz="8" w:space="0" w:color="auto"/>
              <w:right w:val="nil"/>
            </w:tcBorders>
            <w:shd w:val="clear" w:color="auto" w:fill="auto"/>
            <w:noWrap/>
            <w:vAlign w:val="center"/>
            <w:hideMark/>
          </w:tcPr>
          <w:p w14:paraId="742B96BD"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3,00</w:t>
            </w:r>
          </w:p>
        </w:tc>
        <w:tc>
          <w:tcPr>
            <w:tcW w:w="1676" w:type="dxa"/>
            <w:tcBorders>
              <w:top w:val="nil"/>
              <w:left w:val="nil"/>
              <w:bottom w:val="single" w:sz="8" w:space="0" w:color="auto"/>
              <w:right w:val="nil"/>
            </w:tcBorders>
            <w:shd w:val="clear" w:color="auto" w:fill="auto"/>
            <w:noWrap/>
            <w:vAlign w:val="center"/>
            <w:hideMark/>
          </w:tcPr>
          <w:p w14:paraId="4742B969"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w:t>
            </w:r>
          </w:p>
        </w:tc>
        <w:tc>
          <w:tcPr>
            <w:tcW w:w="2816" w:type="dxa"/>
            <w:tcBorders>
              <w:top w:val="nil"/>
              <w:left w:val="nil"/>
              <w:bottom w:val="single" w:sz="8" w:space="0" w:color="auto"/>
              <w:right w:val="nil"/>
            </w:tcBorders>
            <w:shd w:val="clear" w:color="auto" w:fill="auto"/>
            <w:noWrap/>
            <w:vAlign w:val="center"/>
            <w:hideMark/>
          </w:tcPr>
          <w:p w14:paraId="65CFC895"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measured</w:t>
            </w:r>
          </w:p>
        </w:tc>
      </w:tr>
    </w:tbl>
    <w:p w14:paraId="205200D4" w14:textId="04A5F6CA" w:rsidR="00E40024" w:rsidRPr="00F025F1" w:rsidRDefault="006C25E0" w:rsidP="0088093D">
      <w:pPr>
        <w:spacing w:after="0" w:line="360" w:lineRule="auto"/>
        <w:jc w:val="both"/>
        <w:rPr>
          <w:rFonts w:ascii="Arial" w:hAnsi="Arial" w:cs="Arial"/>
          <w:i/>
          <w:iCs/>
          <w:sz w:val="18"/>
          <w:szCs w:val="18"/>
          <w:lang w:val="en-US"/>
        </w:rPr>
      </w:pPr>
      <w:r w:rsidRPr="00D22C5B">
        <w:rPr>
          <w:rFonts w:ascii="Arial" w:hAnsi="Arial" w:cs="Arial"/>
          <w:sz w:val="24"/>
          <w:szCs w:val="24"/>
          <w:lang w:val="en-US"/>
        </w:rPr>
        <w:fldChar w:fldCharType="end"/>
      </w:r>
      <w:r w:rsidR="0088093D" w:rsidRPr="00F025F1">
        <w:rPr>
          <w:rFonts w:ascii="Arial" w:hAnsi="Arial" w:cs="Arial"/>
          <w:i/>
          <w:iCs/>
          <w:sz w:val="18"/>
          <w:szCs w:val="18"/>
          <w:lang w:val="en-US"/>
        </w:rPr>
        <w:t xml:space="preserve">Note: </w:t>
      </w:r>
      <w:bookmarkStart w:id="7" w:name="_Toc1377906"/>
      <w:r w:rsidR="002F6B4F" w:rsidRPr="00F025F1">
        <w:rPr>
          <w:rFonts w:ascii="Arial" w:hAnsi="Arial" w:cs="Arial"/>
          <w:i/>
          <w:iCs/>
          <w:sz w:val="18"/>
          <w:szCs w:val="18"/>
          <w:lang w:val="en-US"/>
        </w:rPr>
        <w:t>Comparative data on fertilizer, pesticide, seed, and fuel use in both systems, based on primary field data (PA) and secondary data from EMBRAPA (conventional system).</w:t>
      </w:r>
    </w:p>
    <w:p w14:paraId="04054867" w14:textId="77777777" w:rsidR="002F6B4F" w:rsidRPr="00D22C5B" w:rsidRDefault="002F6B4F" w:rsidP="002F6B4F">
      <w:pPr>
        <w:spacing w:after="0" w:line="240" w:lineRule="auto"/>
        <w:jc w:val="center"/>
        <w:rPr>
          <w:rFonts w:ascii="Arial" w:hAnsi="Arial" w:cs="Arial"/>
          <w:sz w:val="24"/>
          <w:szCs w:val="24"/>
          <w:lang w:val="en-US"/>
        </w:rPr>
      </w:pPr>
    </w:p>
    <w:p w14:paraId="68D4F872" w14:textId="77777777" w:rsidR="002F6B4F" w:rsidRPr="00D22C5B" w:rsidRDefault="002F6B4F" w:rsidP="002F6B4F">
      <w:pPr>
        <w:spacing w:after="0" w:line="240" w:lineRule="auto"/>
        <w:jc w:val="center"/>
        <w:rPr>
          <w:rFonts w:ascii="Arial" w:hAnsi="Arial" w:cs="Arial"/>
          <w:sz w:val="24"/>
          <w:szCs w:val="24"/>
          <w:lang w:val="en-US"/>
        </w:rPr>
      </w:pPr>
    </w:p>
    <w:p w14:paraId="15659D08" w14:textId="0E8EE8E7" w:rsidR="00D16864" w:rsidRPr="00F025F1" w:rsidRDefault="00711432" w:rsidP="00F025F1">
      <w:pPr>
        <w:spacing w:line="360" w:lineRule="auto"/>
        <w:jc w:val="both"/>
        <w:rPr>
          <w:rFonts w:ascii="Arial" w:hAnsi="Arial" w:cs="Arial"/>
          <w:sz w:val="20"/>
          <w:szCs w:val="20"/>
          <w:lang w:val="en-US"/>
        </w:rPr>
      </w:pPr>
      <w:r w:rsidRPr="00F025F1">
        <w:rPr>
          <w:rFonts w:ascii="Arial" w:hAnsi="Arial" w:cs="Arial"/>
          <w:sz w:val="20"/>
          <w:szCs w:val="20"/>
          <w:lang w:val="en-US"/>
        </w:rPr>
        <w:t>Fuel consumption per hectare was reportedly lower in the PA system compared to the conventional system, primarily due to the use of auto-guidance technology, which reduces overlapping passes and optimizes field traffic patterns. Although the conventional system lacks this operational efficiency, the observed reduction in fuel use under PA is supported both by farmer reports and by findings in the literature (</w:t>
      </w:r>
      <w:r w:rsidR="002D5C02" w:rsidRPr="00F025F1">
        <w:rPr>
          <w:rFonts w:ascii="Arial" w:hAnsi="Arial" w:cs="Arial"/>
          <w:sz w:val="20"/>
          <w:szCs w:val="20"/>
          <w:lang w:val="en-US"/>
        </w:rPr>
        <w:t xml:space="preserve">Gasso et al., 2014b; Li et al., 2016; </w:t>
      </w:r>
      <w:proofErr w:type="spellStart"/>
      <w:r w:rsidRPr="00F025F1">
        <w:rPr>
          <w:rFonts w:ascii="Arial" w:hAnsi="Arial" w:cs="Arial"/>
          <w:sz w:val="20"/>
          <w:szCs w:val="20"/>
          <w:lang w:val="en-US"/>
        </w:rPr>
        <w:t>Balafoutis</w:t>
      </w:r>
      <w:proofErr w:type="spellEnd"/>
      <w:r w:rsidRPr="00F025F1">
        <w:rPr>
          <w:rFonts w:ascii="Arial" w:hAnsi="Arial" w:cs="Arial"/>
          <w:sz w:val="20"/>
          <w:szCs w:val="20"/>
          <w:lang w:val="en-US"/>
        </w:rPr>
        <w:t xml:space="preserve"> et al., 2017;</w:t>
      </w:r>
      <w:r w:rsidR="009500E9" w:rsidRPr="00F025F1">
        <w:rPr>
          <w:rFonts w:ascii="Arial" w:hAnsi="Arial" w:cs="Arial"/>
          <w:sz w:val="20"/>
          <w:szCs w:val="20"/>
          <w:lang w:val="en-US"/>
        </w:rPr>
        <w:t xml:space="preserve"> </w:t>
      </w:r>
      <w:r w:rsidR="009500E9" w:rsidRPr="00F025F1">
        <w:rPr>
          <w:rFonts w:ascii="Arial" w:hAnsi="Arial" w:cs="Arial"/>
          <w:noProof/>
          <w:sz w:val="20"/>
          <w:szCs w:val="20"/>
          <w:lang w:val="en-US"/>
        </w:rPr>
        <w:t>Petrovic &amp; Csambalik, 2025</w:t>
      </w:r>
      <w:r w:rsidR="00F31FAE" w:rsidRPr="00F025F1">
        <w:rPr>
          <w:rFonts w:ascii="Arial" w:hAnsi="Arial" w:cs="Arial"/>
          <w:noProof/>
          <w:sz w:val="20"/>
          <w:szCs w:val="20"/>
          <w:lang w:val="en-US"/>
        </w:rPr>
        <w:t>; Jensen &amp; Tullberg, 2025</w:t>
      </w:r>
      <w:r w:rsidRPr="00F025F1">
        <w:rPr>
          <w:rFonts w:ascii="Arial" w:hAnsi="Arial" w:cs="Arial"/>
          <w:sz w:val="20"/>
          <w:szCs w:val="20"/>
          <w:lang w:val="en-US"/>
        </w:rPr>
        <w:t>).</w:t>
      </w:r>
    </w:p>
    <w:p w14:paraId="0B550F6A" w14:textId="77777777" w:rsidR="00F025F1" w:rsidRPr="00F025F1" w:rsidRDefault="00F025F1" w:rsidP="00F025F1">
      <w:pPr>
        <w:spacing w:line="360" w:lineRule="auto"/>
        <w:jc w:val="both"/>
        <w:rPr>
          <w:rFonts w:ascii="Arial" w:hAnsi="Arial" w:cs="Arial"/>
          <w:b/>
          <w:bCs/>
          <w:lang w:val="en-US"/>
        </w:rPr>
      </w:pPr>
    </w:p>
    <w:p w14:paraId="0C91FD31" w14:textId="2A262BA8" w:rsidR="006C25E0" w:rsidRPr="00F025F1" w:rsidRDefault="006C25E0" w:rsidP="00F44CB5">
      <w:pPr>
        <w:pStyle w:val="Heading3"/>
        <w:spacing w:before="0" w:line="360" w:lineRule="auto"/>
        <w:rPr>
          <w:rFonts w:cs="Arial"/>
          <w:b/>
          <w:bCs/>
          <w:i w:val="0"/>
          <w:sz w:val="22"/>
          <w:szCs w:val="22"/>
          <w:lang w:val="en-US"/>
        </w:rPr>
      </w:pPr>
      <w:r w:rsidRPr="00F025F1">
        <w:rPr>
          <w:rFonts w:cs="Arial"/>
          <w:b/>
          <w:bCs/>
          <w:i w:val="0"/>
          <w:sz w:val="22"/>
          <w:szCs w:val="22"/>
          <w:lang w:val="en-US"/>
        </w:rPr>
        <w:t>2.6 Life Cycle Impact Assessment</w:t>
      </w:r>
      <w:bookmarkEnd w:id="7"/>
    </w:p>
    <w:p w14:paraId="2098F03B" w14:textId="77777777" w:rsidR="00F025F1" w:rsidRPr="00F025F1" w:rsidRDefault="00F025F1" w:rsidP="00F025F1">
      <w:pPr>
        <w:rPr>
          <w:lang w:val="en-US"/>
        </w:rPr>
      </w:pPr>
    </w:p>
    <w:p w14:paraId="524AE8E6" w14:textId="6F4E43EB" w:rsidR="006C25E0" w:rsidRPr="00F025F1" w:rsidRDefault="00711432" w:rsidP="00F025F1">
      <w:pPr>
        <w:spacing w:line="360" w:lineRule="auto"/>
        <w:jc w:val="both"/>
        <w:rPr>
          <w:rFonts w:ascii="Arial" w:hAnsi="Arial" w:cs="Arial"/>
          <w:sz w:val="20"/>
          <w:szCs w:val="20"/>
          <w:lang w:val="en-US"/>
        </w:rPr>
      </w:pPr>
      <w:r w:rsidRPr="00F025F1">
        <w:rPr>
          <w:rFonts w:ascii="Arial" w:hAnsi="Arial" w:cs="Arial"/>
          <w:sz w:val="20"/>
          <w:szCs w:val="20"/>
          <w:lang w:val="en-US"/>
        </w:rPr>
        <w:t xml:space="preserve">The environmental impact assessment was performed using the CML-IA baseline 2000 method (version 3.2) implemented in </w:t>
      </w:r>
      <w:proofErr w:type="spellStart"/>
      <w:r w:rsidRPr="00F025F1">
        <w:rPr>
          <w:rFonts w:ascii="Arial" w:hAnsi="Arial" w:cs="Arial"/>
          <w:sz w:val="20"/>
          <w:szCs w:val="20"/>
          <w:lang w:val="en-US"/>
        </w:rPr>
        <w:t>SimaPro</w:t>
      </w:r>
      <w:proofErr w:type="spellEnd"/>
      <w:r w:rsidRPr="00F025F1">
        <w:rPr>
          <w:rFonts w:ascii="Arial" w:hAnsi="Arial" w:cs="Arial"/>
          <w:sz w:val="20"/>
          <w:szCs w:val="20"/>
          <w:lang w:val="en-US"/>
        </w:rPr>
        <w:t xml:space="preserve"> </w:t>
      </w:r>
      <w:r w:rsidR="00C571A3" w:rsidRPr="00F025F1">
        <w:rPr>
          <w:rFonts w:ascii="Arial" w:hAnsi="Arial" w:cs="Arial"/>
          <w:sz w:val="20"/>
          <w:szCs w:val="20"/>
          <w:lang w:val="en-US"/>
        </w:rPr>
        <w:t>9</w:t>
      </w:r>
      <w:r w:rsidRPr="00F025F1">
        <w:rPr>
          <w:rFonts w:ascii="Arial" w:hAnsi="Arial" w:cs="Arial"/>
          <w:sz w:val="20"/>
          <w:szCs w:val="20"/>
          <w:lang w:val="en-US"/>
        </w:rPr>
        <w:t>.</w:t>
      </w:r>
      <w:r w:rsidR="00C571A3" w:rsidRPr="00F025F1">
        <w:rPr>
          <w:rFonts w:ascii="Arial" w:hAnsi="Arial" w:cs="Arial"/>
          <w:sz w:val="20"/>
          <w:szCs w:val="20"/>
          <w:lang w:val="en-US"/>
        </w:rPr>
        <w:t>2</w:t>
      </w:r>
      <w:r w:rsidRPr="00F025F1">
        <w:rPr>
          <w:rFonts w:ascii="Arial" w:hAnsi="Arial" w:cs="Arial"/>
          <w:sz w:val="20"/>
          <w:szCs w:val="20"/>
          <w:lang w:val="en-US"/>
        </w:rPr>
        <w:t xml:space="preserve"> software (</w:t>
      </w:r>
      <w:proofErr w:type="spellStart"/>
      <w:r w:rsidRPr="00F025F1">
        <w:rPr>
          <w:rFonts w:ascii="Arial" w:hAnsi="Arial" w:cs="Arial"/>
          <w:sz w:val="20"/>
          <w:szCs w:val="20"/>
          <w:lang w:val="en-US"/>
        </w:rPr>
        <w:t>Pré</w:t>
      </w:r>
      <w:proofErr w:type="spellEnd"/>
      <w:r w:rsidRPr="00F025F1">
        <w:rPr>
          <w:rFonts w:ascii="Arial" w:hAnsi="Arial" w:cs="Arial"/>
          <w:sz w:val="20"/>
          <w:szCs w:val="20"/>
          <w:lang w:val="en-US"/>
        </w:rPr>
        <w:t xml:space="preserve"> Consultants). The impact categories analyzed included </w:t>
      </w:r>
      <w:proofErr w:type="gramStart"/>
      <w:r w:rsidRPr="00F025F1">
        <w:rPr>
          <w:rFonts w:ascii="Arial" w:hAnsi="Arial" w:cs="Arial"/>
          <w:sz w:val="20"/>
          <w:szCs w:val="20"/>
          <w:lang w:val="en-US"/>
        </w:rPr>
        <w:t>EP</w:t>
      </w:r>
      <w:r w:rsidR="00BA7DD5" w:rsidRPr="00F025F1">
        <w:rPr>
          <w:rFonts w:ascii="Arial" w:hAnsi="Arial" w:cs="Arial"/>
          <w:sz w:val="20"/>
          <w:szCs w:val="20"/>
          <w:lang w:val="en-US"/>
        </w:rPr>
        <w:t xml:space="preserve">, </w:t>
      </w:r>
      <w:r w:rsidRPr="00F025F1">
        <w:rPr>
          <w:rFonts w:ascii="Arial" w:hAnsi="Arial" w:cs="Arial"/>
          <w:sz w:val="20"/>
          <w:szCs w:val="20"/>
          <w:lang w:val="en-US"/>
        </w:rPr>
        <w:t xml:space="preserve"> GWP</w:t>
      </w:r>
      <w:proofErr w:type="gramEnd"/>
      <w:r w:rsidRPr="00F025F1">
        <w:rPr>
          <w:rFonts w:ascii="Arial" w:hAnsi="Arial" w:cs="Arial"/>
          <w:sz w:val="20"/>
          <w:szCs w:val="20"/>
          <w:lang w:val="en-US"/>
        </w:rPr>
        <w:t>, HTP, and AP. All impacts were calculated per kilogram of soybean grain, standardized at 13% post-harvest moisture content.</w:t>
      </w:r>
    </w:p>
    <w:p w14:paraId="59A04351" w14:textId="1E4C3179" w:rsidR="003379FC" w:rsidRPr="00F025F1" w:rsidRDefault="003379FC" w:rsidP="00F025F1">
      <w:pPr>
        <w:spacing w:line="360" w:lineRule="auto"/>
        <w:jc w:val="both"/>
        <w:rPr>
          <w:rFonts w:ascii="Arial" w:eastAsia="Times New Roman" w:hAnsi="Arial" w:cs="Arial"/>
          <w:sz w:val="20"/>
          <w:szCs w:val="20"/>
          <w:lang w:val="en-US" w:eastAsia="pt-BR"/>
        </w:rPr>
      </w:pPr>
      <w:r w:rsidRPr="00F025F1">
        <w:rPr>
          <w:rFonts w:ascii="Arial" w:eastAsia="Times New Roman" w:hAnsi="Arial" w:cs="Arial"/>
          <w:sz w:val="20"/>
          <w:szCs w:val="20"/>
          <w:lang w:val="en-US" w:eastAsia="pt-BR"/>
        </w:rPr>
        <w:t xml:space="preserve">Temporal variation over the five-year period was analyzed using Monte Carlo simulation techniques. A total of 10,000 iterations were conducted to estimate empirical distributions for the environmental impact indicators (AP, EP, GWP, HTP), based on the means and standard deviations observed in the study years. The analysis was implemented in R software (v4.3) using </w:t>
      </w:r>
      <w:proofErr w:type="spellStart"/>
      <w:r w:rsidR="00DF1248" w:rsidRPr="00F025F1">
        <w:rPr>
          <w:rFonts w:ascii="Arial" w:eastAsia="Times New Roman" w:hAnsi="Arial" w:cs="Arial"/>
          <w:sz w:val="20"/>
          <w:szCs w:val="20"/>
          <w:lang w:val="en-US" w:eastAsia="pt-BR"/>
        </w:rPr>
        <w:t>tidyverse</w:t>
      </w:r>
      <w:proofErr w:type="spellEnd"/>
      <w:r w:rsidRPr="00F025F1">
        <w:rPr>
          <w:rFonts w:ascii="Arial" w:eastAsia="Times New Roman" w:hAnsi="Arial" w:cs="Arial"/>
          <w:sz w:val="20"/>
          <w:szCs w:val="20"/>
          <w:lang w:val="en-US" w:eastAsia="pt-BR"/>
        </w:rPr>
        <w:t xml:space="preserve">, </w:t>
      </w:r>
      <w:proofErr w:type="spellStart"/>
      <w:r w:rsidRPr="00F025F1">
        <w:rPr>
          <w:rFonts w:ascii="Arial" w:eastAsia="Times New Roman" w:hAnsi="Arial" w:cs="Arial"/>
          <w:sz w:val="20"/>
          <w:szCs w:val="20"/>
          <w:lang w:val="en-US" w:eastAsia="pt-BR"/>
        </w:rPr>
        <w:t>EnvStats</w:t>
      </w:r>
      <w:proofErr w:type="spellEnd"/>
      <w:r w:rsidRPr="00F025F1">
        <w:rPr>
          <w:rFonts w:ascii="Arial" w:eastAsia="Times New Roman" w:hAnsi="Arial" w:cs="Arial"/>
          <w:sz w:val="20"/>
          <w:szCs w:val="20"/>
          <w:lang w:val="en-US" w:eastAsia="pt-BR"/>
        </w:rPr>
        <w:t>, and mc2d packages. Results are reported as means with 95% confidence intervals (2.5th and 97.5th percentiles).</w:t>
      </w:r>
    </w:p>
    <w:p w14:paraId="531792DF" w14:textId="77777777" w:rsidR="00F44CB5" w:rsidRPr="00D22C5B" w:rsidRDefault="00F44CB5" w:rsidP="003379FC">
      <w:pPr>
        <w:spacing w:after="0" w:line="360" w:lineRule="auto"/>
        <w:ind w:firstLine="708"/>
        <w:jc w:val="both"/>
        <w:rPr>
          <w:rFonts w:ascii="Arial" w:eastAsia="Times New Roman" w:hAnsi="Arial" w:cs="Arial"/>
          <w:sz w:val="24"/>
          <w:szCs w:val="24"/>
          <w:lang w:val="en-US" w:eastAsia="pt-BR"/>
        </w:rPr>
      </w:pPr>
    </w:p>
    <w:p w14:paraId="7B9553FC" w14:textId="0E90A123" w:rsidR="00651460" w:rsidRDefault="006C25E0" w:rsidP="00F44CB5">
      <w:pPr>
        <w:pStyle w:val="Heading2"/>
        <w:spacing w:before="0" w:beforeAutospacing="0" w:after="0" w:afterAutospacing="0"/>
        <w:rPr>
          <w:rFonts w:cs="Arial"/>
          <w:szCs w:val="24"/>
          <w:lang w:val="en-US"/>
        </w:rPr>
      </w:pPr>
      <w:bookmarkStart w:id="8" w:name="_Toc1377907"/>
      <w:r w:rsidRPr="00D22C5B">
        <w:rPr>
          <w:rFonts w:cs="Arial"/>
          <w:szCs w:val="24"/>
          <w:lang w:val="en-US"/>
        </w:rPr>
        <w:t xml:space="preserve">3 </w:t>
      </w:r>
      <w:r w:rsidR="00F025F1" w:rsidRPr="00D22C5B">
        <w:rPr>
          <w:rFonts w:cs="Arial"/>
          <w:szCs w:val="24"/>
          <w:lang w:val="en-US"/>
        </w:rPr>
        <w:t>RESULTS AND DISCUSSION</w:t>
      </w:r>
      <w:bookmarkEnd w:id="8"/>
    </w:p>
    <w:p w14:paraId="7BBD9C06" w14:textId="77777777" w:rsidR="00F025F1" w:rsidRPr="00D22C5B" w:rsidRDefault="00F025F1" w:rsidP="00F44CB5">
      <w:pPr>
        <w:pStyle w:val="Heading2"/>
        <w:spacing w:before="0" w:beforeAutospacing="0" w:after="0" w:afterAutospacing="0"/>
        <w:rPr>
          <w:rFonts w:cs="Arial"/>
          <w:szCs w:val="24"/>
          <w:lang w:val="en-US"/>
        </w:rPr>
      </w:pPr>
    </w:p>
    <w:p w14:paraId="0CEBD868" w14:textId="11362577" w:rsidR="00730BC7" w:rsidRPr="00F025F1" w:rsidRDefault="00730BC7" w:rsidP="00F025F1">
      <w:pPr>
        <w:pStyle w:val="Caption"/>
        <w:keepNext/>
        <w:tabs>
          <w:tab w:val="left" w:pos="6946"/>
        </w:tabs>
        <w:spacing w:after="0" w:line="360" w:lineRule="auto"/>
        <w:jc w:val="both"/>
        <w:rPr>
          <w:rFonts w:ascii="Arial" w:hAnsi="Arial" w:cs="Arial"/>
          <w:b w:val="0"/>
          <w:bCs w:val="0"/>
          <w:lang w:val="en-US"/>
        </w:rPr>
      </w:pPr>
      <w:r w:rsidRPr="00F025F1">
        <w:rPr>
          <w:rFonts w:ascii="Arial" w:hAnsi="Arial" w:cs="Arial"/>
          <w:b w:val="0"/>
          <w:bCs w:val="0"/>
          <w:lang w:val="en-US"/>
        </w:rPr>
        <w:t xml:space="preserve">The PA system required fewer inputs than conventional methods, leading to lower environmental impacts across all categories analyzed (Table </w:t>
      </w:r>
      <w:r w:rsidR="00651460" w:rsidRPr="00F025F1">
        <w:rPr>
          <w:rFonts w:ascii="Arial" w:hAnsi="Arial" w:cs="Arial"/>
          <w:b w:val="0"/>
          <w:bCs w:val="0"/>
          <w:lang w:val="en-US"/>
        </w:rPr>
        <w:t>2</w:t>
      </w:r>
      <w:r w:rsidRPr="00F025F1">
        <w:rPr>
          <w:rFonts w:ascii="Arial" w:hAnsi="Arial" w:cs="Arial"/>
          <w:b w:val="0"/>
          <w:bCs w:val="0"/>
          <w:lang w:val="en-US"/>
        </w:rPr>
        <w:t xml:space="preserve">). These results demonstrate how optimized fertilizer </w:t>
      </w:r>
      <w:r w:rsidRPr="00F025F1">
        <w:rPr>
          <w:rFonts w:ascii="Arial" w:hAnsi="Arial" w:cs="Arial"/>
          <w:b w:val="0"/>
          <w:bCs w:val="0"/>
          <w:lang w:val="en-US"/>
        </w:rPr>
        <w:lastRenderedPageBreak/>
        <w:t xml:space="preserve">application through precision fertility management can effectively reduce environmental burdens and contribute to more sustainable farming practices. </w:t>
      </w:r>
    </w:p>
    <w:p w14:paraId="14C6DC4E" w14:textId="77777777" w:rsidR="0089608E" w:rsidRPr="00D22C5B" w:rsidRDefault="0089608E" w:rsidP="0089608E">
      <w:pPr>
        <w:rPr>
          <w:rFonts w:ascii="Arial" w:hAnsi="Arial" w:cs="Arial"/>
          <w:sz w:val="24"/>
          <w:szCs w:val="24"/>
          <w:lang w:val="en-US"/>
        </w:rPr>
      </w:pPr>
    </w:p>
    <w:p w14:paraId="658F896F" w14:textId="6AC8C9E7" w:rsidR="002A248E" w:rsidRPr="00A97D36" w:rsidRDefault="00E21A1C" w:rsidP="00730BC7">
      <w:pPr>
        <w:pStyle w:val="Caption"/>
        <w:keepNext/>
        <w:tabs>
          <w:tab w:val="left" w:pos="6946"/>
        </w:tabs>
        <w:spacing w:line="360" w:lineRule="auto"/>
        <w:jc w:val="both"/>
        <w:rPr>
          <w:rFonts w:ascii="Arial" w:hAnsi="Arial" w:cs="Arial"/>
          <w:lang w:val="en-US"/>
        </w:rPr>
      </w:pPr>
      <w:r w:rsidRPr="00A97D36">
        <w:rPr>
          <w:rFonts w:ascii="Arial" w:hAnsi="Arial" w:cs="Arial"/>
          <w:lang w:val="en-US"/>
        </w:rPr>
        <w:t xml:space="preserve">Table </w:t>
      </w:r>
      <w:r w:rsidR="00651460" w:rsidRPr="00A97D36">
        <w:rPr>
          <w:rFonts w:ascii="Arial" w:hAnsi="Arial" w:cs="Arial"/>
          <w:lang w:val="en-US"/>
        </w:rPr>
        <w:t>2</w:t>
      </w:r>
      <w:r w:rsidRPr="00A97D36">
        <w:rPr>
          <w:rFonts w:ascii="Arial" w:hAnsi="Arial" w:cs="Arial"/>
          <w:lang w:val="en-US"/>
        </w:rPr>
        <w:t xml:space="preserve">. </w:t>
      </w:r>
      <w:r w:rsidR="003B01B5" w:rsidRPr="00A97D36">
        <w:rPr>
          <w:rFonts w:ascii="Arial" w:hAnsi="Arial" w:cs="Arial"/>
          <w:lang w:val="en-US"/>
        </w:rPr>
        <w:t>Life Cycle Environmental Impact Indicators per Kilogram of Soybean Grain under Conventional and Precision Agriculture Systems</w:t>
      </w:r>
      <w:r w:rsidRPr="00A97D36">
        <w:rPr>
          <w:rFonts w:ascii="Arial" w:hAnsi="Arial" w:cs="Arial"/>
          <w:lang w:val="en-US"/>
        </w:rPr>
        <w:t>.</w:t>
      </w:r>
    </w:p>
    <w:tbl>
      <w:tblPr>
        <w:tblW w:w="893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5"/>
        <w:gridCol w:w="1409"/>
        <w:gridCol w:w="2101"/>
        <w:gridCol w:w="1991"/>
        <w:gridCol w:w="1314"/>
      </w:tblGrid>
      <w:tr w:rsidR="007A2503" w:rsidRPr="005F5AF0" w14:paraId="59312441" w14:textId="77777777" w:rsidTr="006B2D1B">
        <w:trPr>
          <w:tblHeader/>
          <w:tblCellSpacing w:w="15" w:type="dxa"/>
        </w:trPr>
        <w:tc>
          <w:tcPr>
            <w:tcW w:w="0" w:type="auto"/>
            <w:vAlign w:val="center"/>
            <w:hideMark/>
          </w:tcPr>
          <w:p w14:paraId="7A1FB209" w14:textId="28101AB1" w:rsidR="00A14977" w:rsidRPr="005F5AF0" w:rsidRDefault="007A2503" w:rsidP="00F03166">
            <w:pPr>
              <w:rPr>
                <w:rFonts w:ascii="Arial" w:hAnsi="Arial" w:cs="Arial"/>
                <w:b/>
                <w:bCs/>
                <w:sz w:val="20"/>
                <w:szCs w:val="20"/>
              </w:rPr>
            </w:pPr>
            <w:r w:rsidRPr="005F5AF0">
              <w:rPr>
                <w:rFonts w:ascii="Arial" w:hAnsi="Arial" w:cs="Arial"/>
                <w:b/>
                <w:bCs/>
                <w:sz w:val="20"/>
                <w:szCs w:val="20"/>
              </w:rPr>
              <w:t xml:space="preserve">Impact </w:t>
            </w:r>
            <w:r w:rsidR="00A14977" w:rsidRPr="005F5AF0">
              <w:rPr>
                <w:rFonts w:ascii="Arial" w:hAnsi="Arial" w:cs="Arial"/>
                <w:b/>
                <w:bCs/>
                <w:sz w:val="20"/>
                <w:szCs w:val="20"/>
              </w:rPr>
              <w:t>Categor</w:t>
            </w:r>
            <w:r w:rsidRPr="005F5AF0">
              <w:rPr>
                <w:rFonts w:ascii="Arial" w:hAnsi="Arial" w:cs="Arial"/>
                <w:b/>
                <w:bCs/>
                <w:sz w:val="20"/>
                <w:szCs w:val="20"/>
              </w:rPr>
              <w:t>y</w:t>
            </w:r>
          </w:p>
        </w:tc>
        <w:tc>
          <w:tcPr>
            <w:tcW w:w="1379" w:type="dxa"/>
            <w:vAlign w:val="center"/>
            <w:hideMark/>
          </w:tcPr>
          <w:p w14:paraId="2CFE0CEA" w14:textId="4FFC92B4" w:rsidR="00A14977" w:rsidRPr="005F5AF0" w:rsidRDefault="00A14977" w:rsidP="00F03166">
            <w:pPr>
              <w:rPr>
                <w:rFonts w:ascii="Arial" w:hAnsi="Arial" w:cs="Arial"/>
                <w:b/>
                <w:bCs/>
                <w:sz w:val="20"/>
                <w:szCs w:val="20"/>
              </w:rPr>
            </w:pPr>
            <w:r w:rsidRPr="005F5AF0">
              <w:rPr>
                <w:rFonts w:ascii="Arial" w:hAnsi="Arial" w:cs="Arial"/>
                <w:b/>
                <w:bCs/>
                <w:sz w:val="20"/>
                <w:szCs w:val="20"/>
              </w:rPr>
              <w:t>Uni</w:t>
            </w:r>
            <w:r w:rsidR="007A2503" w:rsidRPr="005F5AF0">
              <w:rPr>
                <w:rFonts w:ascii="Arial" w:hAnsi="Arial" w:cs="Arial"/>
                <w:b/>
                <w:bCs/>
                <w:sz w:val="20"/>
                <w:szCs w:val="20"/>
              </w:rPr>
              <w:t>t</w:t>
            </w:r>
          </w:p>
        </w:tc>
        <w:tc>
          <w:tcPr>
            <w:tcW w:w="2071" w:type="dxa"/>
            <w:vAlign w:val="center"/>
            <w:hideMark/>
          </w:tcPr>
          <w:p w14:paraId="29423A69" w14:textId="3F94D10D" w:rsidR="00A14977" w:rsidRPr="005F5AF0" w:rsidRDefault="00A14977" w:rsidP="00F03166">
            <w:pPr>
              <w:rPr>
                <w:rFonts w:ascii="Arial" w:hAnsi="Arial" w:cs="Arial"/>
                <w:b/>
                <w:bCs/>
                <w:sz w:val="20"/>
                <w:szCs w:val="20"/>
              </w:rPr>
            </w:pPr>
            <w:r w:rsidRPr="005F5AF0">
              <w:rPr>
                <w:rFonts w:ascii="Arial" w:hAnsi="Arial" w:cs="Arial"/>
                <w:b/>
                <w:bCs/>
                <w:sz w:val="20"/>
                <w:szCs w:val="20"/>
              </w:rPr>
              <w:t>Conven</w:t>
            </w:r>
            <w:r w:rsidR="007A2503" w:rsidRPr="005F5AF0">
              <w:rPr>
                <w:rFonts w:ascii="Arial" w:hAnsi="Arial" w:cs="Arial"/>
                <w:b/>
                <w:bCs/>
                <w:sz w:val="20"/>
                <w:szCs w:val="20"/>
              </w:rPr>
              <w:t>t</w:t>
            </w:r>
            <w:r w:rsidRPr="005F5AF0">
              <w:rPr>
                <w:rFonts w:ascii="Arial" w:hAnsi="Arial" w:cs="Arial"/>
                <w:b/>
                <w:bCs/>
                <w:sz w:val="20"/>
                <w:szCs w:val="20"/>
              </w:rPr>
              <w:t>ional (</w:t>
            </w:r>
            <w:r w:rsidR="007A2503" w:rsidRPr="005F5AF0">
              <w:rPr>
                <w:rFonts w:ascii="Arial" w:hAnsi="Arial" w:cs="Arial"/>
                <w:b/>
                <w:bCs/>
                <w:sz w:val="20"/>
                <w:szCs w:val="20"/>
              </w:rPr>
              <w:t>avegare</w:t>
            </w:r>
            <w:r w:rsidRPr="005F5AF0">
              <w:rPr>
                <w:rFonts w:ascii="Arial" w:hAnsi="Arial" w:cs="Arial"/>
                <w:b/>
                <w:bCs/>
                <w:sz w:val="20"/>
                <w:szCs w:val="20"/>
              </w:rPr>
              <w:t xml:space="preserve"> [C</w:t>
            </w:r>
            <w:r w:rsidR="006B2D1B" w:rsidRPr="005F5AF0">
              <w:rPr>
                <w:rFonts w:ascii="Arial" w:hAnsi="Arial" w:cs="Arial"/>
                <w:b/>
                <w:bCs/>
                <w:sz w:val="20"/>
                <w:szCs w:val="20"/>
              </w:rPr>
              <w:t>I</w:t>
            </w:r>
            <w:r w:rsidRPr="005F5AF0">
              <w:rPr>
                <w:rFonts w:ascii="Arial" w:hAnsi="Arial" w:cs="Arial"/>
                <w:b/>
                <w:bCs/>
                <w:sz w:val="20"/>
                <w:szCs w:val="20"/>
              </w:rPr>
              <w:t xml:space="preserve"> 95%])</w:t>
            </w:r>
          </w:p>
        </w:tc>
        <w:tc>
          <w:tcPr>
            <w:tcW w:w="0" w:type="auto"/>
            <w:vAlign w:val="center"/>
            <w:hideMark/>
          </w:tcPr>
          <w:p w14:paraId="6CC799F8" w14:textId="34C3CFEA" w:rsidR="00A14977" w:rsidRPr="005F5AF0" w:rsidRDefault="00A14977" w:rsidP="00F03166">
            <w:pPr>
              <w:rPr>
                <w:rFonts w:ascii="Arial" w:hAnsi="Arial" w:cs="Arial"/>
                <w:b/>
                <w:bCs/>
                <w:sz w:val="20"/>
                <w:szCs w:val="20"/>
              </w:rPr>
            </w:pPr>
            <w:r w:rsidRPr="005F5AF0">
              <w:rPr>
                <w:rFonts w:ascii="Arial" w:hAnsi="Arial" w:cs="Arial"/>
                <w:b/>
                <w:bCs/>
                <w:sz w:val="20"/>
                <w:szCs w:val="20"/>
              </w:rPr>
              <w:t>PA (</w:t>
            </w:r>
            <w:r w:rsidR="007A2503" w:rsidRPr="005F5AF0">
              <w:rPr>
                <w:rFonts w:ascii="Arial" w:hAnsi="Arial" w:cs="Arial"/>
                <w:b/>
                <w:bCs/>
                <w:sz w:val="20"/>
                <w:szCs w:val="20"/>
              </w:rPr>
              <w:t>average</w:t>
            </w:r>
            <w:r w:rsidRPr="005F5AF0">
              <w:rPr>
                <w:rFonts w:ascii="Arial" w:hAnsi="Arial" w:cs="Arial"/>
                <w:b/>
                <w:bCs/>
                <w:sz w:val="20"/>
                <w:szCs w:val="20"/>
              </w:rPr>
              <w:t xml:space="preserve"> [C</w:t>
            </w:r>
            <w:r w:rsidR="006B2D1B" w:rsidRPr="005F5AF0">
              <w:rPr>
                <w:rFonts w:ascii="Arial" w:hAnsi="Arial" w:cs="Arial"/>
                <w:b/>
                <w:bCs/>
                <w:sz w:val="20"/>
                <w:szCs w:val="20"/>
              </w:rPr>
              <w:t>I</w:t>
            </w:r>
            <w:r w:rsidRPr="005F5AF0">
              <w:rPr>
                <w:rFonts w:ascii="Arial" w:hAnsi="Arial" w:cs="Arial"/>
                <w:b/>
                <w:bCs/>
                <w:sz w:val="20"/>
                <w:szCs w:val="20"/>
              </w:rPr>
              <w:t xml:space="preserve"> 95%])</w:t>
            </w:r>
          </w:p>
        </w:tc>
        <w:tc>
          <w:tcPr>
            <w:tcW w:w="0" w:type="auto"/>
            <w:vAlign w:val="center"/>
            <w:hideMark/>
          </w:tcPr>
          <w:p w14:paraId="406AB867" w14:textId="62342C9E" w:rsidR="00A14977" w:rsidRPr="005F5AF0" w:rsidRDefault="00A14977" w:rsidP="00F03166">
            <w:pPr>
              <w:rPr>
                <w:rFonts w:ascii="Arial" w:hAnsi="Arial" w:cs="Arial"/>
                <w:b/>
                <w:bCs/>
                <w:sz w:val="20"/>
                <w:szCs w:val="20"/>
              </w:rPr>
            </w:pPr>
            <w:r w:rsidRPr="005F5AF0">
              <w:rPr>
                <w:rFonts w:ascii="Arial" w:hAnsi="Arial" w:cs="Arial"/>
                <w:b/>
                <w:bCs/>
                <w:sz w:val="20"/>
                <w:szCs w:val="20"/>
              </w:rPr>
              <w:t>Redu</w:t>
            </w:r>
            <w:r w:rsidR="007A2503" w:rsidRPr="005F5AF0">
              <w:rPr>
                <w:rFonts w:ascii="Arial" w:hAnsi="Arial" w:cs="Arial"/>
                <w:b/>
                <w:bCs/>
                <w:sz w:val="20"/>
                <w:szCs w:val="20"/>
              </w:rPr>
              <w:t>ction</w:t>
            </w:r>
            <w:r w:rsidRPr="005F5AF0">
              <w:rPr>
                <w:rFonts w:ascii="Arial" w:hAnsi="Arial" w:cs="Arial"/>
                <w:b/>
                <w:bCs/>
                <w:sz w:val="20"/>
                <w:szCs w:val="20"/>
              </w:rPr>
              <w:t xml:space="preserve"> (%)</w:t>
            </w:r>
          </w:p>
        </w:tc>
      </w:tr>
      <w:tr w:rsidR="007A2503" w:rsidRPr="005F5AF0" w14:paraId="672FCDBD" w14:textId="77777777" w:rsidTr="006B2D1B">
        <w:trPr>
          <w:tblCellSpacing w:w="15" w:type="dxa"/>
        </w:trPr>
        <w:tc>
          <w:tcPr>
            <w:tcW w:w="0" w:type="auto"/>
            <w:vAlign w:val="center"/>
            <w:hideMark/>
          </w:tcPr>
          <w:p w14:paraId="4D48AD7A" w14:textId="77777777" w:rsidR="00A14977" w:rsidRPr="005F5AF0" w:rsidRDefault="00A14977" w:rsidP="00F03166">
            <w:pPr>
              <w:rPr>
                <w:rFonts w:ascii="Arial" w:hAnsi="Arial" w:cs="Arial"/>
                <w:sz w:val="20"/>
                <w:szCs w:val="20"/>
              </w:rPr>
            </w:pPr>
            <w:r w:rsidRPr="005F5AF0">
              <w:rPr>
                <w:rFonts w:ascii="Arial" w:hAnsi="Arial" w:cs="Arial"/>
                <w:sz w:val="20"/>
                <w:szCs w:val="20"/>
              </w:rPr>
              <w:t>Acidificação (AP)</w:t>
            </w:r>
          </w:p>
        </w:tc>
        <w:tc>
          <w:tcPr>
            <w:tcW w:w="1379" w:type="dxa"/>
            <w:vAlign w:val="center"/>
            <w:hideMark/>
          </w:tcPr>
          <w:p w14:paraId="7833EF51" w14:textId="77777777" w:rsidR="00A14977" w:rsidRPr="005F5AF0" w:rsidRDefault="00A14977" w:rsidP="00F03166">
            <w:pPr>
              <w:rPr>
                <w:rFonts w:ascii="Arial" w:hAnsi="Arial" w:cs="Arial"/>
                <w:sz w:val="20"/>
                <w:szCs w:val="20"/>
              </w:rPr>
            </w:pPr>
            <w:r w:rsidRPr="005F5AF0">
              <w:rPr>
                <w:rFonts w:ascii="Arial" w:hAnsi="Arial" w:cs="Arial"/>
                <w:sz w:val="20"/>
                <w:szCs w:val="20"/>
              </w:rPr>
              <w:t>kg SO</w:t>
            </w:r>
            <w:r w:rsidRPr="005F5AF0">
              <w:rPr>
                <w:rFonts w:ascii="Cambria Math" w:hAnsi="Cambria Math" w:cs="Cambria Math"/>
                <w:sz w:val="20"/>
                <w:szCs w:val="20"/>
              </w:rPr>
              <w:t>₂</w:t>
            </w:r>
            <w:r w:rsidRPr="005F5AF0">
              <w:rPr>
                <w:rFonts w:ascii="Arial" w:hAnsi="Arial" w:cs="Arial"/>
                <w:sz w:val="20"/>
                <w:szCs w:val="20"/>
              </w:rPr>
              <w:t xml:space="preserve"> eq</w:t>
            </w:r>
          </w:p>
        </w:tc>
        <w:tc>
          <w:tcPr>
            <w:tcW w:w="2071" w:type="dxa"/>
            <w:vAlign w:val="center"/>
            <w:hideMark/>
          </w:tcPr>
          <w:p w14:paraId="7B70F9FF" w14:textId="77777777" w:rsidR="00A14977" w:rsidRPr="005F5AF0" w:rsidRDefault="00A14977" w:rsidP="00F03166">
            <w:pPr>
              <w:rPr>
                <w:rFonts w:ascii="Arial" w:hAnsi="Arial" w:cs="Arial"/>
                <w:sz w:val="20"/>
                <w:szCs w:val="20"/>
              </w:rPr>
            </w:pPr>
            <w:r w:rsidRPr="005F5AF0">
              <w:rPr>
                <w:rFonts w:ascii="Arial" w:hAnsi="Arial" w:cs="Arial"/>
                <w:sz w:val="20"/>
                <w:szCs w:val="20"/>
              </w:rPr>
              <w:t>0,00151 [0,00147–0,00155]</w:t>
            </w:r>
          </w:p>
        </w:tc>
        <w:tc>
          <w:tcPr>
            <w:tcW w:w="0" w:type="auto"/>
            <w:vAlign w:val="center"/>
            <w:hideMark/>
          </w:tcPr>
          <w:p w14:paraId="3833AA57" w14:textId="77777777" w:rsidR="00A14977" w:rsidRPr="005F5AF0" w:rsidRDefault="00A14977" w:rsidP="00F03166">
            <w:pPr>
              <w:rPr>
                <w:rFonts w:ascii="Arial" w:hAnsi="Arial" w:cs="Arial"/>
                <w:sz w:val="20"/>
                <w:szCs w:val="20"/>
              </w:rPr>
            </w:pPr>
            <w:r w:rsidRPr="005F5AF0">
              <w:rPr>
                <w:rFonts w:ascii="Arial" w:hAnsi="Arial" w:cs="Arial"/>
                <w:sz w:val="20"/>
                <w:szCs w:val="20"/>
              </w:rPr>
              <w:t>0,00103 [0,00100–0,00107]</w:t>
            </w:r>
          </w:p>
        </w:tc>
        <w:tc>
          <w:tcPr>
            <w:tcW w:w="0" w:type="auto"/>
            <w:vAlign w:val="center"/>
            <w:hideMark/>
          </w:tcPr>
          <w:p w14:paraId="311AAB71" w14:textId="77777777" w:rsidR="00A14977" w:rsidRPr="005F5AF0" w:rsidRDefault="00A14977" w:rsidP="00F03166">
            <w:pPr>
              <w:rPr>
                <w:rFonts w:ascii="Arial" w:hAnsi="Arial" w:cs="Arial"/>
                <w:sz w:val="20"/>
                <w:szCs w:val="20"/>
              </w:rPr>
            </w:pPr>
            <w:r w:rsidRPr="005F5AF0">
              <w:rPr>
                <w:rFonts w:ascii="Arial" w:hAnsi="Arial" w:cs="Arial"/>
                <w:sz w:val="20"/>
                <w:szCs w:val="20"/>
              </w:rPr>
              <w:t>−31,79%</w:t>
            </w:r>
          </w:p>
        </w:tc>
      </w:tr>
      <w:tr w:rsidR="007A2503" w:rsidRPr="005F5AF0" w14:paraId="0A13F79C" w14:textId="77777777" w:rsidTr="006B2D1B">
        <w:trPr>
          <w:tblCellSpacing w:w="15" w:type="dxa"/>
        </w:trPr>
        <w:tc>
          <w:tcPr>
            <w:tcW w:w="0" w:type="auto"/>
            <w:vAlign w:val="center"/>
            <w:hideMark/>
          </w:tcPr>
          <w:p w14:paraId="2FF4B4A3" w14:textId="77777777" w:rsidR="00A14977" w:rsidRPr="005F5AF0" w:rsidRDefault="00A14977" w:rsidP="00F03166">
            <w:pPr>
              <w:rPr>
                <w:rFonts w:ascii="Arial" w:hAnsi="Arial" w:cs="Arial"/>
                <w:sz w:val="20"/>
                <w:szCs w:val="20"/>
              </w:rPr>
            </w:pPr>
            <w:r w:rsidRPr="005F5AF0">
              <w:rPr>
                <w:rFonts w:ascii="Arial" w:hAnsi="Arial" w:cs="Arial"/>
                <w:sz w:val="20"/>
                <w:szCs w:val="20"/>
              </w:rPr>
              <w:t>Eutrofização (EP)</w:t>
            </w:r>
          </w:p>
        </w:tc>
        <w:tc>
          <w:tcPr>
            <w:tcW w:w="1379" w:type="dxa"/>
            <w:vAlign w:val="center"/>
            <w:hideMark/>
          </w:tcPr>
          <w:p w14:paraId="59C2970C" w14:textId="77777777" w:rsidR="00A14977" w:rsidRPr="005F5AF0" w:rsidRDefault="00A14977" w:rsidP="00F03166">
            <w:pPr>
              <w:rPr>
                <w:rFonts w:ascii="Arial" w:hAnsi="Arial" w:cs="Arial"/>
                <w:sz w:val="20"/>
                <w:szCs w:val="20"/>
              </w:rPr>
            </w:pPr>
            <w:r w:rsidRPr="005F5AF0">
              <w:rPr>
                <w:rFonts w:ascii="Arial" w:hAnsi="Arial" w:cs="Arial"/>
                <w:sz w:val="20"/>
                <w:szCs w:val="20"/>
              </w:rPr>
              <w:t>kg PO</w:t>
            </w:r>
            <w:r w:rsidRPr="005F5AF0">
              <w:rPr>
                <w:rFonts w:ascii="Cambria Math" w:hAnsi="Cambria Math" w:cs="Cambria Math"/>
                <w:sz w:val="20"/>
                <w:szCs w:val="20"/>
              </w:rPr>
              <w:t>₄</w:t>
            </w:r>
            <w:r w:rsidRPr="005F5AF0">
              <w:rPr>
                <w:rFonts w:ascii="Arial" w:hAnsi="Arial" w:cs="Arial"/>
                <w:sz w:val="20"/>
                <w:szCs w:val="20"/>
              </w:rPr>
              <w:t xml:space="preserve"> eq</w:t>
            </w:r>
          </w:p>
        </w:tc>
        <w:tc>
          <w:tcPr>
            <w:tcW w:w="2071" w:type="dxa"/>
            <w:vAlign w:val="center"/>
            <w:hideMark/>
          </w:tcPr>
          <w:p w14:paraId="19298C4A" w14:textId="77777777" w:rsidR="00A14977" w:rsidRPr="005F5AF0" w:rsidRDefault="00A14977" w:rsidP="00F03166">
            <w:pPr>
              <w:rPr>
                <w:rFonts w:ascii="Arial" w:hAnsi="Arial" w:cs="Arial"/>
                <w:sz w:val="20"/>
                <w:szCs w:val="20"/>
              </w:rPr>
            </w:pPr>
            <w:r w:rsidRPr="005F5AF0">
              <w:rPr>
                <w:rFonts w:ascii="Arial" w:hAnsi="Arial" w:cs="Arial"/>
                <w:sz w:val="20"/>
                <w:szCs w:val="20"/>
              </w:rPr>
              <w:t>0,00549 [0,00534–0,00565]</w:t>
            </w:r>
          </w:p>
        </w:tc>
        <w:tc>
          <w:tcPr>
            <w:tcW w:w="0" w:type="auto"/>
            <w:vAlign w:val="center"/>
            <w:hideMark/>
          </w:tcPr>
          <w:p w14:paraId="69F7C00F" w14:textId="77777777" w:rsidR="00A14977" w:rsidRPr="005F5AF0" w:rsidRDefault="00A14977" w:rsidP="00F03166">
            <w:pPr>
              <w:rPr>
                <w:rFonts w:ascii="Arial" w:hAnsi="Arial" w:cs="Arial"/>
                <w:sz w:val="20"/>
                <w:szCs w:val="20"/>
              </w:rPr>
            </w:pPr>
            <w:r w:rsidRPr="005F5AF0">
              <w:rPr>
                <w:rFonts w:ascii="Arial" w:hAnsi="Arial" w:cs="Arial"/>
                <w:sz w:val="20"/>
                <w:szCs w:val="20"/>
              </w:rPr>
              <w:t>0,00215 [0,00208–0,00222]</w:t>
            </w:r>
          </w:p>
        </w:tc>
        <w:tc>
          <w:tcPr>
            <w:tcW w:w="0" w:type="auto"/>
            <w:vAlign w:val="center"/>
            <w:hideMark/>
          </w:tcPr>
          <w:p w14:paraId="608FDCBC" w14:textId="77777777" w:rsidR="00A14977" w:rsidRPr="005F5AF0" w:rsidRDefault="00A14977" w:rsidP="00F03166">
            <w:pPr>
              <w:rPr>
                <w:rFonts w:ascii="Arial" w:hAnsi="Arial" w:cs="Arial"/>
                <w:sz w:val="20"/>
                <w:szCs w:val="20"/>
              </w:rPr>
            </w:pPr>
            <w:r w:rsidRPr="005F5AF0">
              <w:rPr>
                <w:rFonts w:ascii="Arial" w:hAnsi="Arial" w:cs="Arial"/>
                <w:sz w:val="20"/>
                <w:szCs w:val="20"/>
              </w:rPr>
              <w:t>−60,84%</w:t>
            </w:r>
          </w:p>
        </w:tc>
      </w:tr>
      <w:tr w:rsidR="007A2503" w:rsidRPr="005F5AF0" w14:paraId="259BE8F1" w14:textId="77777777" w:rsidTr="006B2D1B">
        <w:trPr>
          <w:tblCellSpacing w:w="15" w:type="dxa"/>
        </w:trPr>
        <w:tc>
          <w:tcPr>
            <w:tcW w:w="0" w:type="auto"/>
            <w:vAlign w:val="center"/>
            <w:hideMark/>
          </w:tcPr>
          <w:p w14:paraId="3B0ED0F2" w14:textId="77777777" w:rsidR="00A14977" w:rsidRPr="005F5AF0" w:rsidRDefault="00A14977" w:rsidP="00F03166">
            <w:pPr>
              <w:rPr>
                <w:rFonts w:ascii="Arial" w:hAnsi="Arial" w:cs="Arial"/>
                <w:sz w:val="20"/>
                <w:szCs w:val="20"/>
              </w:rPr>
            </w:pPr>
            <w:r w:rsidRPr="005F5AF0">
              <w:rPr>
                <w:rFonts w:ascii="Arial" w:hAnsi="Arial" w:cs="Arial"/>
                <w:sz w:val="20"/>
                <w:szCs w:val="20"/>
              </w:rPr>
              <w:t>Aquecimento Global (GWP)</w:t>
            </w:r>
          </w:p>
        </w:tc>
        <w:tc>
          <w:tcPr>
            <w:tcW w:w="1379" w:type="dxa"/>
            <w:vAlign w:val="center"/>
            <w:hideMark/>
          </w:tcPr>
          <w:p w14:paraId="4272B35F" w14:textId="77777777" w:rsidR="00A14977" w:rsidRPr="005F5AF0" w:rsidRDefault="00A14977" w:rsidP="00F03166">
            <w:pPr>
              <w:rPr>
                <w:rFonts w:ascii="Arial" w:hAnsi="Arial" w:cs="Arial"/>
                <w:sz w:val="20"/>
                <w:szCs w:val="20"/>
              </w:rPr>
            </w:pPr>
            <w:r w:rsidRPr="005F5AF0">
              <w:rPr>
                <w:rFonts w:ascii="Arial" w:hAnsi="Arial" w:cs="Arial"/>
                <w:sz w:val="20"/>
                <w:szCs w:val="20"/>
              </w:rPr>
              <w:t>kg CO</w:t>
            </w:r>
            <w:r w:rsidRPr="005F5AF0">
              <w:rPr>
                <w:rFonts w:ascii="Cambria Math" w:hAnsi="Cambria Math" w:cs="Cambria Math"/>
                <w:sz w:val="20"/>
                <w:szCs w:val="20"/>
              </w:rPr>
              <w:t>₂</w:t>
            </w:r>
            <w:r w:rsidRPr="005F5AF0">
              <w:rPr>
                <w:rFonts w:ascii="Arial" w:hAnsi="Arial" w:cs="Arial"/>
                <w:sz w:val="20"/>
                <w:szCs w:val="20"/>
              </w:rPr>
              <w:t xml:space="preserve"> eq</w:t>
            </w:r>
          </w:p>
        </w:tc>
        <w:tc>
          <w:tcPr>
            <w:tcW w:w="2071" w:type="dxa"/>
            <w:vAlign w:val="center"/>
            <w:hideMark/>
          </w:tcPr>
          <w:p w14:paraId="45582D16" w14:textId="77777777" w:rsidR="00A14977" w:rsidRPr="005F5AF0" w:rsidRDefault="00A14977" w:rsidP="00F03166">
            <w:pPr>
              <w:rPr>
                <w:rFonts w:ascii="Arial" w:hAnsi="Arial" w:cs="Arial"/>
                <w:sz w:val="20"/>
                <w:szCs w:val="20"/>
              </w:rPr>
            </w:pPr>
            <w:r w:rsidRPr="005F5AF0">
              <w:rPr>
                <w:rFonts w:ascii="Arial" w:hAnsi="Arial" w:cs="Arial"/>
                <w:sz w:val="20"/>
                <w:szCs w:val="20"/>
              </w:rPr>
              <w:t>0,185 [0,181–0,189]</w:t>
            </w:r>
          </w:p>
        </w:tc>
        <w:tc>
          <w:tcPr>
            <w:tcW w:w="0" w:type="auto"/>
            <w:vAlign w:val="center"/>
            <w:hideMark/>
          </w:tcPr>
          <w:p w14:paraId="62C67C35" w14:textId="77777777" w:rsidR="00A14977" w:rsidRPr="005F5AF0" w:rsidRDefault="00A14977" w:rsidP="00F03166">
            <w:pPr>
              <w:rPr>
                <w:rFonts w:ascii="Arial" w:hAnsi="Arial" w:cs="Arial"/>
                <w:sz w:val="20"/>
                <w:szCs w:val="20"/>
              </w:rPr>
            </w:pPr>
            <w:r w:rsidRPr="005F5AF0">
              <w:rPr>
                <w:rFonts w:ascii="Arial" w:hAnsi="Arial" w:cs="Arial"/>
                <w:sz w:val="20"/>
                <w:szCs w:val="20"/>
              </w:rPr>
              <w:t>0,132 [0,128–0,136]</w:t>
            </w:r>
          </w:p>
        </w:tc>
        <w:tc>
          <w:tcPr>
            <w:tcW w:w="0" w:type="auto"/>
            <w:vAlign w:val="center"/>
            <w:hideMark/>
          </w:tcPr>
          <w:p w14:paraId="7397E793" w14:textId="77777777" w:rsidR="00A14977" w:rsidRPr="005F5AF0" w:rsidRDefault="00A14977" w:rsidP="00F03166">
            <w:pPr>
              <w:rPr>
                <w:rFonts w:ascii="Arial" w:hAnsi="Arial" w:cs="Arial"/>
                <w:sz w:val="20"/>
                <w:szCs w:val="20"/>
              </w:rPr>
            </w:pPr>
            <w:r w:rsidRPr="005F5AF0">
              <w:rPr>
                <w:rFonts w:ascii="Arial" w:hAnsi="Arial" w:cs="Arial"/>
                <w:sz w:val="20"/>
                <w:szCs w:val="20"/>
              </w:rPr>
              <w:t>−28,65%</w:t>
            </w:r>
          </w:p>
        </w:tc>
      </w:tr>
      <w:tr w:rsidR="007A2503" w:rsidRPr="005F5AF0" w14:paraId="1550C52A" w14:textId="77777777" w:rsidTr="006B2D1B">
        <w:trPr>
          <w:tblCellSpacing w:w="15" w:type="dxa"/>
        </w:trPr>
        <w:tc>
          <w:tcPr>
            <w:tcW w:w="0" w:type="auto"/>
            <w:vAlign w:val="center"/>
            <w:hideMark/>
          </w:tcPr>
          <w:p w14:paraId="694426D0" w14:textId="77777777" w:rsidR="00A14977" w:rsidRPr="005F5AF0" w:rsidRDefault="00A14977" w:rsidP="00F03166">
            <w:pPr>
              <w:rPr>
                <w:rFonts w:ascii="Arial" w:hAnsi="Arial" w:cs="Arial"/>
                <w:sz w:val="20"/>
                <w:szCs w:val="20"/>
              </w:rPr>
            </w:pPr>
            <w:r w:rsidRPr="005F5AF0">
              <w:rPr>
                <w:rFonts w:ascii="Arial" w:hAnsi="Arial" w:cs="Arial"/>
                <w:sz w:val="20"/>
                <w:szCs w:val="20"/>
              </w:rPr>
              <w:t>Toxicidade Humana (HTP)</w:t>
            </w:r>
          </w:p>
        </w:tc>
        <w:tc>
          <w:tcPr>
            <w:tcW w:w="1379" w:type="dxa"/>
            <w:vAlign w:val="center"/>
            <w:hideMark/>
          </w:tcPr>
          <w:p w14:paraId="7691DB6A" w14:textId="77777777" w:rsidR="00A14977" w:rsidRPr="005F5AF0" w:rsidRDefault="00A14977" w:rsidP="00F03166">
            <w:pPr>
              <w:rPr>
                <w:rFonts w:ascii="Arial" w:hAnsi="Arial" w:cs="Arial"/>
                <w:sz w:val="20"/>
                <w:szCs w:val="20"/>
              </w:rPr>
            </w:pPr>
            <w:r w:rsidRPr="005F5AF0">
              <w:rPr>
                <w:rFonts w:ascii="Arial" w:hAnsi="Arial" w:cs="Arial"/>
                <w:sz w:val="20"/>
                <w:szCs w:val="20"/>
              </w:rPr>
              <w:t>kg 1,4-DB eq</w:t>
            </w:r>
          </w:p>
        </w:tc>
        <w:tc>
          <w:tcPr>
            <w:tcW w:w="2071" w:type="dxa"/>
            <w:vAlign w:val="center"/>
            <w:hideMark/>
          </w:tcPr>
          <w:p w14:paraId="549B7A40" w14:textId="77777777" w:rsidR="00A14977" w:rsidRPr="005F5AF0" w:rsidRDefault="00A14977" w:rsidP="00F03166">
            <w:pPr>
              <w:rPr>
                <w:rFonts w:ascii="Arial" w:hAnsi="Arial" w:cs="Arial"/>
                <w:sz w:val="20"/>
                <w:szCs w:val="20"/>
              </w:rPr>
            </w:pPr>
            <w:r w:rsidRPr="005F5AF0">
              <w:rPr>
                <w:rFonts w:ascii="Arial" w:hAnsi="Arial" w:cs="Arial"/>
                <w:sz w:val="20"/>
                <w:szCs w:val="20"/>
              </w:rPr>
              <w:t>0,0783 [0,0758–0,0807]</w:t>
            </w:r>
          </w:p>
        </w:tc>
        <w:tc>
          <w:tcPr>
            <w:tcW w:w="0" w:type="auto"/>
            <w:vAlign w:val="center"/>
            <w:hideMark/>
          </w:tcPr>
          <w:p w14:paraId="6BADD61E" w14:textId="77777777" w:rsidR="00A14977" w:rsidRPr="005F5AF0" w:rsidRDefault="00A14977" w:rsidP="00F03166">
            <w:pPr>
              <w:rPr>
                <w:rFonts w:ascii="Arial" w:hAnsi="Arial" w:cs="Arial"/>
                <w:sz w:val="20"/>
                <w:szCs w:val="20"/>
              </w:rPr>
            </w:pPr>
            <w:r w:rsidRPr="005F5AF0">
              <w:rPr>
                <w:rFonts w:ascii="Arial" w:hAnsi="Arial" w:cs="Arial"/>
                <w:sz w:val="20"/>
                <w:szCs w:val="20"/>
              </w:rPr>
              <w:t>0,0630 [0,0609–0,0651]</w:t>
            </w:r>
          </w:p>
        </w:tc>
        <w:tc>
          <w:tcPr>
            <w:tcW w:w="0" w:type="auto"/>
            <w:vAlign w:val="center"/>
            <w:hideMark/>
          </w:tcPr>
          <w:p w14:paraId="06FC3A2F" w14:textId="77777777" w:rsidR="00A14977" w:rsidRPr="005F5AF0" w:rsidRDefault="00A14977" w:rsidP="00F03166">
            <w:pPr>
              <w:rPr>
                <w:rFonts w:ascii="Arial" w:hAnsi="Arial" w:cs="Arial"/>
                <w:sz w:val="20"/>
                <w:szCs w:val="20"/>
              </w:rPr>
            </w:pPr>
            <w:r w:rsidRPr="005F5AF0">
              <w:rPr>
                <w:rFonts w:ascii="Arial" w:hAnsi="Arial" w:cs="Arial"/>
                <w:sz w:val="20"/>
                <w:szCs w:val="20"/>
              </w:rPr>
              <w:t>−19,54%</w:t>
            </w:r>
          </w:p>
        </w:tc>
      </w:tr>
    </w:tbl>
    <w:p w14:paraId="5724805A" w14:textId="6E14EF1F" w:rsidR="006C25E0" w:rsidRPr="00A97D36" w:rsidRDefault="0088093D" w:rsidP="0088093D">
      <w:pPr>
        <w:spacing w:after="0" w:line="240" w:lineRule="auto"/>
        <w:rPr>
          <w:rFonts w:ascii="Arial" w:hAnsi="Arial" w:cs="Arial"/>
          <w:sz w:val="18"/>
          <w:szCs w:val="18"/>
          <w:lang w:val="en-US"/>
        </w:rPr>
      </w:pPr>
      <w:r w:rsidRPr="00A97D36">
        <w:rPr>
          <w:rFonts w:ascii="Arial" w:hAnsi="Arial" w:cs="Arial"/>
          <w:sz w:val="18"/>
          <w:szCs w:val="18"/>
          <w:lang w:val="en-US"/>
        </w:rPr>
        <w:t xml:space="preserve">Note: </w:t>
      </w:r>
      <w:r w:rsidR="002F6B4F" w:rsidRPr="00A97D36">
        <w:rPr>
          <w:rFonts w:ascii="Arial" w:hAnsi="Arial" w:cs="Arial"/>
          <w:sz w:val="18"/>
          <w:szCs w:val="18"/>
          <w:lang w:val="en-US"/>
        </w:rPr>
        <w:t>Life Cycle Assessment results for four impact categories, normalized per 1 kg of soybean grain (13% moisture), considering cradle-to-farm-gate system boundaries.</w:t>
      </w:r>
    </w:p>
    <w:p w14:paraId="03622EC4" w14:textId="77777777" w:rsidR="006B2D1B" w:rsidRPr="00D22C5B" w:rsidRDefault="006B2D1B" w:rsidP="0088093D">
      <w:pPr>
        <w:spacing w:after="0" w:line="240" w:lineRule="auto"/>
        <w:rPr>
          <w:rFonts w:ascii="Arial" w:hAnsi="Arial" w:cs="Arial"/>
          <w:sz w:val="24"/>
          <w:szCs w:val="24"/>
          <w:lang w:val="en-US"/>
        </w:rPr>
      </w:pPr>
    </w:p>
    <w:p w14:paraId="243AD48F" w14:textId="60CD85A6" w:rsidR="00691EFF" w:rsidRPr="00A97D36" w:rsidRDefault="00691EFF" w:rsidP="00A97D36">
      <w:pPr>
        <w:pStyle w:val="Caption"/>
        <w:keepNext/>
        <w:tabs>
          <w:tab w:val="left" w:pos="6946"/>
        </w:tabs>
        <w:spacing w:after="0" w:line="360" w:lineRule="auto"/>
        <w:jc w:val="both"/>
        <w:rPr>
          <w:rFonts w:ascii="Arial" w:hAnsi="Arial" w:cs="Arial"/>
          <w:b w:val="0"/>
          <w:bCs w:val="0"/>
          <w:lang w:val="en-US"/>
        </w:rPr>
      </w:pPr>
      <w:r w:rsidRPr="00A97D36">
        <w:rPr>
          <w:rFonts w:ascii="Arial" w:hAnsi="Arial" w:cs="Arial"/>
          <w:b w:val="0"/>
          <w:bCs w:val="0"/>
          <w:lang w:val="en-US"/>
        </w:rPr>
        <w:t xml:space="preserve">The results, presented in Table 2, reflect the mean values estimated over the study period (2019–2023) and include 95% confidence intervals derived from Monte Carlo simulations with 10,000 iterations based on the annual variability of primary data (Figure </w:t>
      </w:r>
      <w:r w:rsidR="006B2D1B" w:rsidRPr="00A97D36">
        <w:rPr>
          <w:rFonts w:ascii="Arial" w:hAnsi="Arial" w:cs="Arial"/>
          <w:b w:val="0"/>
          <w:bCs w:val="0"/>
          <w:lang w:val="en-US"/>
        </w:rPr>
        <w:t>4</w:t>
      </w:r>
      <w:r w:rsidRPr="00A97D36">
        <w:rPr>
          <w:rFonts w:ascii="Arial" w:hAnsi="Arial" w:cs="Arial"/>
          <w:b w:val="0"/>
          <w:bCs w:val="0"/>
          <w:lang w:val="en-US"/>
        </w:rPr>
        <w:t>).</w:t>
      </w:r>
    </w:p>
    <w:p w14:paraId="65809AE6" w14:textId="2169FC13" w:rsidR="003A44C6" w:rsidRPr="00D22C5B" w:rsidRDefault="003A44C6" w:rsidP="003A44C6">
      <w:pPr>
        <w:rPr>
          <w:rFonts w:ascii="Arial" w:hAnsi="Arial" w:cs="Arial"/>
          <w:lang w:val="en-US"/>
        </w:rPr>
      </w:pPr>
    </w:p>
    <w:p w14:paraId="24345AB7" w14:textId="26B19F33" w:rsidR="00A97D36" w:rsidRDefault="00A97D36" w:rsidP="006B2D1B">
      <w:pPr>
        <w:spacing w:line="360" w:lineRule="auto"/>
        <w:jc w:val="both"/>
        <w:rPr>
          <w:rFonts w:ascii="Arial" w:hAnsi="Arial" w:cs="Arial"/>
          <w:b/>
          <w:lang w:val="en-US"/>
        </w:rPr>
      </w:pPr>
      <w:r w:rsidRPr="00D22C5B">
        <w:rPr>
          <w:rFonts w:ascii="Arial" w:hAnsi="Arial" w:cs="Arial"/>
          <w:noProof/>
          <w:sz w:val="24"/>
          <w:szCs w:val="24"/>
          <w:lang w:val="en-US"/>
        </w:rPr>
        <w:drawing>
          <wp:inline distT="0" distB="0" distL="0" distR="0" wp14:anchorId="07352EF0" wp14:editId="1E5664A3">
            <wp:extent cx="5004085" cy="2957987"/>
            <wp:effectExtent l="0" t="0" r="6350" b="0"/>
            <wp:docPr id="1435792052" name="Imagem 6"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92052" name="Imagem 6" descr="Gráfico, Gráfico de barras&#10;&#10;O conteúdo gerado por IA pode estar incorreto."/>
                    <pic:cNvPicPr/>
                  </pic:nvPicPr>
                  <pic:blipFill>
                    <a:blip r:embed="rId11"/>
                    <a:stretch>
                      <a:fillRect/>
                    </a:stretch>
                  </pic:blipFill>
                  <pic:spPr>
                    <a:xfrm>
                      <a:off x="0" y="0"/>
                      <a:ext cx="5016006" cy="2965033"/>
                    </a:xfrm>
                    <a:prstGeom prst="rect">
                      <a:avLst/>
                    </a:prstGeom>
                  </pic:spPr>
                </pic:pic>
              </a:graphicData>
            </a:graphic>
          </wp:inline>
        </w:drawing>
      </w:r>
    </w:p>
    <w:p w14:paraId="13399EEF" w14:textId="4B998C19" w:rsidR="006B2D1B" w:rsidRPr="00A97D36" w:rsidRDefault="006B2D1B" w:rsidP="00A97D36">
      <w:pPr>
        <w:spacing w:after="0" w:line="360" w:lineRule="auto"/>
        <w:jc w:val="both"/>
        <w:rPr>
          <w:rFonts w:ascii="Arial" w:hAnsi="Arial" w:cs="Arial"/>
          <w:b/>
          <w:sz w:val="20"/>
          <w:szCs w:val="20"/>
          <w:lang w:val="en-US"/>
        </w:rPr>
      </w:pPr>
      <w:r w:rsidRPr="00A97D36">
        <w:rPr>
          <w:rFonts w:ascii="Arial" w:hAnsi="Arial" w:cs="Arial"/>
          <w:b/>
          <w:sz w:val="20"/>
          <w:szCs w:val="20"/>
          <w:lang w:val="en-US"/>
        </w:rPr>
        <w:t xml:space="preserve">Figure 4. </w:t>
      </w:r>
      <w:r w:rsidR="003B01B5" w:rsidRPr="00A97D36">
        <w:rPr>
          <w:rFonts w:ascii="Arial" w:hAnsi="Arial" w:cs="Arial"/>
          <w:b/>
          <w:sz w:val="20"/>
          <w:szCs w:val="20"/>
          <w:lang w:val="en-US"/>
        </w:rPr>
        <w:t>Confidence Intervals for Environmental Impacts from Monte Carlo Simulations (Soybean, 2019–2023)</w:t>
      </w:r>
      <w:r w:rsidRPr="00A97D36">
        <w:rPr>
          <w:rFonts w:ascii="Arial" w:hAnsi="Arial" w:cs="Arial"/>
          <w:b/>
          <w:sz w:val="20"/>
          <w:szCs w:val="20"/>
          <w:lang w:val="en-US"/>
        </w:rPr>
        <w:t>.</w:t>
      </w:r>
    </w:p>
    <w:p w14:paraId="0EF25DC0" w14:textId="4B68DAC9" w:rsidR="006B2D1B" w:rsidRPr="00A97D36" w:rsidRDefault="006B2D1B" w:rsidP="00A97D36">
      <w:pPr>
        <w:spacing w:after="0" w:line="360" w:lineRule="auto"/>
        <w:jc w:val="both"/>
        <w:rPr>
          <w:rFonts w:ascii="Arial" w:hAnsi="Arial" w:cs="Arial"/>
          <w:sz w:val="18"/>
          <w:szCs w:val="18"/>
          <w:lang w:val="en-US"/>
        </w:rPr>
      </w:pPr>
      <w:r w:rsidRPr="00A97D36">
        <w:rPr>
          <w:rFonts w:ascii="Arial" w:hAnsi="Arial" w:cs="Arial"/>
          <w:sz w:val="18"/>
          <w:szCs w:val="18"/>
          <w:lang w:val="en-US"/>
        </w:rPr>
        <w:t>Note: The confidence intervals are described in Table 2.</w:t>
      </w:r>
    </w:p>
    <w:p w14:paraId="267468FA" w14:textId="77777777" w:rsidR="00A97D36" w:rsidRPr="00D22C5B" w:rsidRDefault="00A97D36" w:rsidP="006B2D1B">
      <w:pPr>
        <w:spacing w:line="360" w:lineRule="auto"/>
        <w:jc w:val="both"/>
        <w:rPr>
          <w:rFonts w:ascii="Arial" w:hAnsi="Arial" w:cs="Arial"/>
          <w:lang w:val="en-US"/>
        </w:rPr>
      </w:pPr>
    </w:p>
    <w:p w14:paraId="4CAA9F6E" w14:textId="7FD25F80" w:rsidR="003379FC" w:rsidRPr="00A97D36" w:rsidRDefault="003379FC" w:rsidP="00A97D36">
      <w:pPr>
        <w:spacing w:line="360" w:lineRule="auto"/>
        <w:jc w:val="both"/>
        <w:rPr>
          <w:rFonts w:ascii="Arial" w:hAnsi="Arial" w:cs="Arial"/>
          <w:sz w:val="20"/>
          <w:szCs w:val="20"/>
          <w:lang w:val="en-US"/>
        </w:rPr>
      </w:pPr>
      <w:r w:rsidRPr="00A97D36">
        <w:rPr>
          <w:rFonts w:ascii="Arial" w:hAnsi="Arial" w:cs="Arial"/>
          <w:sz w:val="20"/>
          <w:szCs w:val="20"/>
          <w:lang w:val="en-US"/>
        </w:rPr>
        <w:t>The LCA of soybean production under PA practices</w:t>
      </w:r>
      <w:r w:rsidR="00E91DBB" w:rsidRPr="00A97D36">
        <w:rPr>
          <w:rFonts w:ascii="Arial" w:hAnsi="Arial" w:cs="Arial"/>
          <w:sz w:val="20"/>
          <w:szCs w:val="20"/>
          <w:lang w:val="en-US"/>
        </w:rPr>
        <w:t xml:space="preserve"> </w:t>
      </w:r>
      <w:r w:rsidRPr="00A97D36">
        <w:rPr>
          <w:rFonts w:ascii="Arial" w:hAnsi="Arial" w:cs="Arial"/>
          <w:sz w:val="20"/>
          <w:szCs w:val="20"/>
          <w:lang w:val="en-US"/>
        </w:rPr>
        <w:t xml:space="preserve">revealed reductions of 31.79% in AP, 60.84% in EP, 28.65% in GWP, and 19.54% in HTP. As illustrated in Figure </w:t>
      </w:r>
      <w:r w:rsidR="00DF3AE3" w:rsidRPr="00A97D36">
        <w:rPr>
          <w:rFonts w:ascii="Arial" w:hAnsi="Arial" w:cs="Arial"/>
          <w:sz w:val="20"/>
          <w:szCs w:val="20"/>
          <w:lang w:val="en-US"/>
        </w:rPr>
        <w:t>5</w:t>
      </w:r>
      <w:r w:rsidRPr="00A97D36">
        <w:rPr>
          <w:rFonts w:ascii="Arial" w:hAnsi="Arial" w:cs="Arial"/>
          <w:sz w:val="20"/>
          <w:szCs w:val="20"/>
          <w:lang w:val="en-US"/>
        </w:rPr>
        <w:t>, the greatest gains were observed in the eutrophication and global warming categories, underscoring the role of PA in optimizing fertilizer use and reducing fossil fuel consumption through technologies such as auto-guidance and prescription mapping. By enhancing the spatial precision of fertilizer application, PA effectively lowers environmental burdens and facilitates the transition to more sustainable agricultural systems (Jensen et al., 2012; Adewuyi et al., 2024; Galati et al., 2025).</w:t>
      </w:r>
    </w:p>
    <w:p w14:paraId="15094FCA" w14:textId="6B4C2CA5" w:rsidR="00640FD4" w:rsidRDefault="00640FD4" w:rsidP="00E21A1C">
      <w:pPr>
        <w:jc w:val="both"/>
        <w:rPr>
          <w:rFonts w:ascii="Arial" w:hAnsi="Arial" w:cs="Arial"/>
          <w:b/>
          <w:bCs/>
          <w:lang w:val="en-US"/>
        </w:rPr>
      </w:pPr>
      <w:r w:rsidRPr="00D22C5B">
        <w:rPr>
          <w:rFonts w:ascii="Arial" w:hAnsi="Arial" w:cs="Arial"/>
          <w:noProof/>
          <w:sz w:val="24"/>
          <w:szCs w:val="24"/>
          <w:lang w:eastAsia="pt-BR"/>
        </w:rPr>
        <w:drawing>
          <wp:anchor distT="0" distB="0" distL="114300" distR="114300" simplePos="0" relativeHeight="251666432" behindDoc="0" locked="0" layoutInCell="1" allowOverlap="1" wp14:anchorId="3FF4FA28" wp14:editId="01D09ABA">
            <wp:simplePos x="0" y="0"/>
            <wp:positionH relativeFrom="column">
              <wp:posOffset>141819</wp:posOffset>
            </wp:positionH>
            <wp:positionV relativeFrom="paragraph">
              <wp:posOffset>223342</wp:posOffset>
            </wp:positionV>
            <wp:extent cx="5401945" cy="4710430"/>
            <wp:effectExtent l="0" t="0" r="8255" b="0"/>
            <wp:wrapTopAndBottom/>
            <wp:docPr id="8" name="Picture 2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descr="Tabela&#10;&#10;O conteúdo gerado por IA pode estar incorre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945" cy="4710430"/>
                    </a:xfrm>
                    <a:prstGeom prst="rect">
                      <a:avLst/>
                    </a:prstGeom>
                    <a:noFill/>
                    <a:ln>
                      <a:noFill/>
                    </a:ln>
                  </pic:spPr>
                </pic:pic>
              </a:graphicData>
            </a:graphic>
          </wp:anchor>
        </w:drawing>
      </w:r>
    </w:p>
    <w:p w14:paraId="3E848E82" w14:textId="354F34BD" w:rsidR="00640FD4" w:rsidRDefault="00640FD4" w:rsidP="00E21A1C">
      <w:pPr>
        <w:jc w:val="both"/>
        <w:rPr>
          <w:rFonts w:ascii="Arial" w:hAnsi="Arial" w:cs="Arial"/>
          <w:b/>
          <w:bCs/>
          <w:lang w:val="en-US"/>
        </w:rPr>
      </w:pPr>
    </w:p>
    <w:p w14:paraId="7001D71D" w14:textId="7A6708D6" w:rsidR="00466B3D" w:rsidRPr="00D22C5B" w:rsidRDefault="00E21A1C" w:rsidP="00640FD4">
      <w:pPr>
        <w:spacing w:after="0"/>
        <w:jc w:val="both"/>
        <w:rPr>
          <w:rFonts w:ascii="Arial" w:hAnsi="Arial" w:cs="Arial"/>
          <w:sz w:val="24"/>
          <w:szCs w:val="24"/>
          <w:lang w:val="en-US"/>
        </w:rPr>
      </w:pPr>
      <w:r w:rsidRPr="00640FD4">
        <w:rPr>
          <w:rFonts w:ascii="Arial" w:hAnsi="Arial" w:cs="Arial"/>
          <w:b/>
          <w:bCs/>
          <w:sz w:val="20"/>
          <w:szCs w:val="20"/>
          <w:lang w:val="en-US"/>
        </w:rPr>
        <w:t xml:space="preserve">Figure </w:t>
      </w:r>
      <w:r w:rsidR="00DF3AE3" w:rsidRPr="00640FD4">
        <w:rPr>
          <w:rFonts w:ascii="Arial" w:hAnsi="Arial" w:cs="Arial"/>
          <w:b/>
          <w:bCs/>
          <w:sz w:val="20"/>
          <w:szCs w:val="20"/>
          <w:lang w:val="en-US"/>
        </w:rPr>
        <w:t>5</w:t>
      </w:r>
      <w:r w:rsidRPr="00640FD4">
        <w:rPr>
          <w:rFonts w:ascii="Arial" w:hAnsi="Arial" w:cs="Arial"/>
          <w:b/>
          <w:bCs/>
          <w:sz w:val="20"/>
          <w:szCs w:val="20"/>
          <w:lang w:val="en-US"/>
        </w:rPr>
        <w:t>. Percentage Reduction in Environmental Impact Categories from Conventional to Precision Agriculture (per 1 kg of Soybean).</w:t>
      </w:r>
    </w:p>
    <w:p w14:paraId="2F4425F0" w14:textId="14D1C2E7" w:rsidR="00E21A1C" w:rsidRPr="00640FD4" w:rsidRDefault="00466B3D" w:rsidP="00640FD4">
      <w:pPr>
        <w:spacing w:after="0" w:line="240" w:lineRule="auto"/>
        <w:rPr>
          <w:rFonts w:ascii="Arial" w:hAnsi="Arial" w:cs="Arial"/>
          <w:i/>
          <w:iCs/>
          <w:sz w:val="18"/>
          <w:szCs w:val="18"/>
          <w:lang w:val="en-US"/>
        </w:rPr>
      </w:pPr>
      <w:r w:rsidRPr="00640FD4">
        <w:rPr>
          <w:rFonts w:ascii="Arial" w:hAnsi="Arial" w:cs="Arial"/>
          <w:i/>
          <w:iCs/>
          <w:sz w:val="18"/>
          <w:szCs w:val="18"/>
          <w:lang w:val="en-US"/>
        </w:rPr>
        <w:t>Note: C</w:t>
      </w:r>
      <w:r w:rsidR="00112958" w:rsidRPr="00640FD4">
        <w:rPr>
          <w:rFonts w:ascii="Arial" w:hAnsi="Arial" w:cs="Arial"/>
          <w:i/>
          <w:iCs/>
          <w:sz w:val="18"/>
          <w:szCs w:val="18"/>
          <w:lang w:val="en-US"/>
        </w:rPr>
        <w:t>omparative reduction in Acidification Potential, Eutrophication Potential, Global Warming Potential, and Human Toxicity Potential per kg of soybean under PA versus conventional practices.</w:t>
      </w:r>
    </w:p>
    <w:p w14:paraId="0F6990C7" w14:textId="4486386F" w:rsidR="002F6B4F" w:rsidRPr="00D22C5B" w:rsidRDefault="002F6B4F" w:rsidP="00E21A1C">
      <w:pPr>
        <w:jc w:val="both"/>
        <w:rPr>
          <w:rFonts w:ascii="Arial" w:hAnsi="Arial" w:cs="Arial"/>
          <w:sz w:val="24"/>
          <w:szCs w:val="24"/>
          <w:lang w:val="en-US"/>
        </w:rPr>
      </w:pPr>
    </w:p>
    <w:p w14:paraId="76C51C08" w14:textId="458C387C" w:rsidR="00A4489E" w:rsidRPr="00640FD4" w:rsidRDefault="00A4489E" w:rsidP="00640FD4">
      <w:pPr>
        <w:spacing w:line="360" w:lineRule="auto"/>
        <w:jc w:val="both"/>
        <w:rPr>
          <w:rFonts w:ascii="Arial" w:hAnsi="Arial" w:cs="Arial"/>
          <w:sz w:val="20"/>
          <w:szCs w:val="20"/>
          <w:lang w:val="en-US"/>
        </w:rPr>
      </w:pPr>
      <w:r w:rsidRPr="00640FD4">
        <w:rPr>
          <w:rFonts w:ascii="Arial" w:hAnsi="Arial" w:cs="Arial"/>
          <w:sz w:val="20"/>
          <w:szCs w:val="20"/>
          <w:lang w:val="en-US"/>
        </w:rPr>
        <w:t xml:space="preserve">The impact assessment findings of this study are consistent with results from other research employing LCA methodologies to evaluate the environmental effects of PA technologies across various cropping systems. For instance, Gasso et al. (2014) </w:t>
      </w:r>
      <w:r w:rsidR="00AB3C32" w:rsidRPr="00640FD4">
        <w:rPr>
          <w:rFonts w:ascii="Arial" w:hAnsi="Arial" w:cs="Arial"/>
          <w:sz w:val="20"/>
          <w:szCs w:val="20"/>
          <w:lang w:val="en-US"/>
        </w:rPr>
        <w:t xml:space="preserve">and </w:t>
      </w:r>
      <w:proofErr w:type="spellStart"/>
      <w:r w:rsidR="00AB3C32" w:rsidRPr="00640FD4">
        <w:rPr>
          <w:rFonts w:ascii="Arial" w:hAnsi="Arial" w:cs="Arial"/>
          <w:sz w:val="20"/>
          <w:szCs w:val="20"/>
          <w:lang w:val="en-US"/>
        </w:rPr>
        <w:t>Milindi</w:t>
      </w:r>
      <w:proofErr w:type="spellEnd"/>
      <w:r w:rsidR="00AB3C32" w:rsidRPr="00640FD4">
        <w:rPr>
          <w:rFonts w:ascii="Arial" w:hAnsi="Arial" w:cs="Arial"/>
          <w:sz w:val="20"/>
          <w:szCs w:val="20"/>
          <w:lang w:val="en-US"/>
        </w:rPr>
        <w:t xml:space="preserve"> et al. (2024) </w:t>
      </w:r>
      <w:r w:rsidRPr="00640FD4">
        <w:rPr>
          <w:rFonts w:ascii="Arial" w:hAnsi="Arial" w:cs="Arial"/>
          <w:sz w:val="20"/>
          <w:szCs w:val="20"/>
          <w:lang w:val="en-US"/>
        </w:rPr>
        <w:t xml:space="preserve">reported substantial reductions in wheat </w:t>
      </w:r>
      <w:r w:rsidR="00AB3C32" w:rsidRPr="00640FD4">
        <w:rPr>
          <w:rFonts w:ascii="Arial" w:hAnsi="Arial" w:cs="Arial"/>
          <w:sz w:val="20"/>
          <w:szCs w:val="20"/>
          <w:lang w:val="en-US"/>
        </w:rPr>
        <w:t xml:space="preserve">and sugarcane </w:t>
      </w:r>
      <w:r w:rsidRPr="00640FD4">
        <w:rPr>
          <w:rFonts w:ascii="Arial" w:hAnsi="Arial" w:cs="Arial"/>
          <w:sz w:val="20"/>
          <w:szCs w:val="20"/>
          <w:lang w:val="en-US"/>
        </w:rPr>
        <w:t xml:space="preserve">production using controlled traffic farming, including 50% in GWP, 33% AP, 29% </w:t>
      </w:r>
      <w:r w:rsidRPr="00640FD4">
        <w:rPr>
          <w:rFonts w:ascii="Arial" w:hAnsi="Arial" w:cs="Arial"/>
          <w:sz w:val="20"/>
          <w:szCs w:val="20"/>
          <w:lang w:val="en-US"/>
        </w:rPr>
        <w:lastRenderedPageBreak/>
        <w:t>in EP, and between 3% and 15% in HTP. In sugarcane systems, the adoption of controlled traffic farming enabled an additional harvest cycle and led to reductions of 0.86% in GWP and 8.99% in HTP compared to conventional practices (Chagas et al., 2012</w:t>
      </w:r>
      <w:r w:rsidR="00AB3C32" w:rsidRPr="00640FD4">
        <w:rPr>
          <w:rFonts w:ascii="Arial" w:hAnsi="Arial" w:cs="Arial"/>
          <w:sz w:val="20"/>
          <w:szCs w:val="20"/>
          <w:lang w:val="en-US"/>
        </w:rPr>
        <w:t xml:space="preserve">; </w:t>
      </w:r>
      <w:proofErr w:type="spellStart"/>
      <w:r w:rsidR="00AB3C32" w:rsidRPr="00640FD4">
        <w:rPr>
          <w:rFonts w:ascii="Arial" w:hAnsi="Arial" w:cs="Arial"/>
          <w:sz w:val="20"/>
          <w:szCs w:val="20"/>
          <w:lang w:val="en-US"/>
        </w:rPr>
        <w:t>Milindi</w:t>
      </w:r>
      <w:proofErr w:type="spellEnd"/>
      <w:r w:rsidR="00AB3C32" w:rsidRPr="00640FD4">
        <w:rPr>
          <w:rFonts w:ascii="Arial" w:hAnsi="Arial" w:cs="Arial"/>
          <w:sz w:val="20"/>
          <w:szCs w:val="20"/>
          <w:lang w:val="en-US"/>
        </w:rPr>
        <w:t xml:space="preserve"> et al., 2024; Papadopoulos et al., 2024</w:t>
      </w:r>
      <w:r w:rsidRPr="00640FD4">
        <w:rPr>
          <w:rFonts w:ascii="Arial" w:hAnsi="Arial" w:cs="Arial"/>
          <w:sz w:val="20"/>
          <w:szCs w:val="20"/>
          <w:lang w:val="en-US"/>
        </w:rPr>
        <w:t>). In maize production, nitrogen application guided by canopy sensors and variable-rate technology resulted in GWP, AP, and EP reductions of 10%, 22%, and 16%, respectively (Li et al., 2016</w:t>
      </w:r>
      <w:r w:rsidR="00087D7B" w:rsidRPr="00640FD4">
        <w:rPr>
          <w:rFonts w:ascii="Arial" w:hAnsi="Arial" w:cs="Arial"/>
          <w:sz w:val="20"/>
          <w:szCs w:val="20"/>
          <w:lang w:val="en-US"/>
        </w:rPr>
        <w:t xml:space="preserve">; </w:t>
      </w:r>
      <w:r w:rsidR="00087D7B" w:rsidRPr="00640FD4">
        <w:rPr>
          <w:rFonts w:ascii="Arial" w:hAnsi="Arial" w:cs="Arial"/>
          <w:noProof/>
          <w:sz w:val="20"/>
          <w:szCs w:val="20"/>
          <w:lang w:val="en-US"/>
        </w:rPr>
        <w:t>Medel-Jiménez et al., 2024; Chang et al., 2025</w:t>
      </w:r>
      <w:r w:rsidRPr="00640FD4">
        <w:rPr>
          <w:rFonts w:ascii="Arial" w:hAnsi="Arial" w:cs="Arial"/>
          <w:sz w:val="20"/>
          <w:szCs w:val="20"/>
          <w:lang w:val="en-US"/>
        </w:rPr>
        <w:t>). Similarly, in viticulture, the implementation of PA techniques</w:t>
      </w:r>
      <w:r w:rsidR="00E40024" w:rsidRPr="00640FD4">
        <w:rPr>
          <w:rFonts w:ascii="Arial" w:hAnsi="Arial" w:cs="Arial"/>
          <w:sz w:val="20"/>
          <w:szCs w:val="20"/>
          <w:lang w:val="en-US"/>
        </w:rPr>
        <w:t xml:space="preserve">, </w:t>
      </w:r>
      <w:r w:rsidRPr="00640FD4">
        <w:rPr>
          <w:rFonts w:ascii="Arial" w:hAnsi="Arial" w:cs="Arial"/>
          <w:sz w:val="20"/>
          <w:szCs w:val="20"/>
          <w:lang w:val="en-US"/>
        </w:rPr>
        <w:t>including site-specific fertility management, nitrogen application via remote sensing, and variable-rate irrigation</w:t>
      </w:r>
      <w:r w:rsidR="00E40024" w:rsidRPr="00640FD4">
        <w:rPr>
          <w:rFonts w:ascii="Arial" w:hAnsi="Arial" w:cs="Arial"/>
          <w:sz w:val="20"/>
          <w:szCs w:val="20"/>
          <w:lang w:val="en-US"/>
        </w:rPr>
        <w:t xml:space="preserve">, </w:t>
      </w:r>
      <w:r w:rsidRPr="00640FD4">
        <w:rPr>
          <w:rFonts w:ascii="Arial" w:hAnsi="Arial" w:cs="Arial"/>
          <w:sz w:val="20"/>
          <w:szCs w:val="20"/>
          <w:lang w:val="en-US"/>
        </w:rPr>
        <w:t>yielded GWP reductions of 25–28%, effectively lowering the carbon footprint of grape production (</w:t>
      </w:r>
      <w:proofErr w:type="spellStart"/>
      <w:r w:rsidRPr="00640FD4">
        <w:rPr>
          <w:rFonts w:ascii="Arial" w:hAnsi="Arial" w:cs="Arial"/>
          <w:sz w:val="20"/>
          <w:szCs w:val="20"/>
          <w:lang w:val="en-US"/>
        </w:rPr>
        <w:t>Balafoutis</w:t>
      </w:r>
      <w:proofErr w:type="spellEnd"/>
      <w:r w:rsidRPr="00640FD4">
        <w:rPr>
          <w:rFonts w:ascii="Arial" w:hAnsi="Arial" w:cs="Arial"/>
          <w:sz w:val="20"/>
          <w:szCs w:val="20"/>
          <w:lang w:val="en-US"/>
        </w:rPr>
        <w:t xml:space="preserve"> et al., 2017</w:t>
      </w:r>
      <w:r w:rsidR="00087D7B" w:rsidRPr="00640FD4">
        <w:rPr>
          <w:rFonts w:ascii="Arial" w:hAnsi="Arial" w:cs="Arial"/>
          <w:sz w:val="20"/>
          <w:szCs w:val="20"/>
          <w:lang w:val="en-US"/>
        </w:rPr>
        <w:t>; Soto et al., 2019</w:t>
      </w:r>
      <w:r w:rsidRPr="00640FD4">
        <w:rPr>
          <w:rFonts w:ascii="Arial" w:hAnsi="Arial" w:cs="Arial"/>
          <w:sz w:val="20"/>
          <w:szCs w:val="20"/>
          <w:lang w:val="en-US"/>
        </w:rPr>
        <w:t>).</w:t>
      </w:r>
    </w:p>
    <w:p w14:paraId="2BA977FE" w14:textId="197FF264" w:rsidR="00E20561" w:rsidRPr="00640FD4" w:rsidRDefault="00A4489E" w:rsidP="00640FD4">
      <w:pPr>
        <w:spacing w:line="360" w:lineRule="auto"/>
        <w:jc w:val="both"/>
        <w:rPr>
          <w:rFonts w:ascii="Arial" w:hAnsi="Arial" w:cs="Arial"/>
          <w:sz w:val="20"/>
          <w:szCs w:val="20"/>
          <w:lang w:val="en-US"/>
        </w:rPr>
      </w:pPr>
      <w:r w:rsidRPr="00640FD4">
        <w:rPr>
          <w:rFonts w:ascii="Arial" w:hAnsi="Arial" w:cs="Arial"/>
          <w:sz w:val="20"/>
          <w:szCs w:val="20"/>
          <w:lang w:val="en-US"/>
        </w:rPr>
        <w:t xml:space="preserve">While the system-wide results presented in Table </w:t>
      </w:r>
      <w:r w:rsidR="00651460" w:rsidRPr="00640FD4">
        <w:rPr>
          <w:rFonts w:ascii="Arial" w:hAnsi="Arial" w:cs="Arial"/>
          <w:sz w:val="20"/>
          <w:szCs w:val="20"/>
          <w:lang w:val="en-US"/>
        </w:rPr>
        <w:t>2</w:t>
      </w:r>
      <w:r w:rsidRPr="00640FD4">
        <w:rPr>
          <w:rFonts w:ascii="Arial" w:hAnsi="Arial" w:cs="Arial"/>
          <w:sz w:val="20"/>
          <w:szCs w:val="20"/>
          <w:lang w:val="en-US"/>
        </w:rPr>
        <w:t xml:space="preserve"> clearly demonstrate that PA technologies reduce environmental impacts, a disaggregated LCA analysis offers deeper insights. By examining the individual contributions of each operational stage, it becomes possible to identify targeted opportunities for further improvement.</w:t>
      </w:r>
      <w:r w:rsidR="00651460" w:rsidRPr="00640FD4">
        <w:rPr>
          <w:rFonts w:ascii="Arial" w:hAnsi="Arial" w:cs="Arial"/>
          <w:sz w:val="20"/>
          <w:szCs w:val="20"/>
          <w:lang w:val="en-US"/>
        </w:rPr>
        <w:t xml:space="preserve"> In both systems (Figure </w:t>
      </w:r>
      <w:r w:rsidR="00DF3AE3" w:rsidRPr="00640FD4">
        <w:rPr>
          <w:rFonts w:ascii="Arial" w:hAnsi="Arial" w:cs="Arial"/>
          <w:sz w:val="20"/>
          <w:szCs w:val="20"/>
          <w:lang w:val="en-US"/>
        </w:rPr>
        <w:t>6</w:t>
      </w:r>
      <w:r w:rsidR="00651460" w:rsidRPr="00640FD4">
        <w:rPr>
          <w:rFonts w:ascii="Arial" w:hAnsi="Arial" w:cs="Arial"/>
          <w:sz w:val="20"/>
          <w:szCs w:val="20"/>
          <w:lang w:val="en-US"/>
        </w:rPr>
        <w:t>), the planting operation accounted for the largest share of impacts in the AP and GWP categories, 41.13% in the PA system and 49.18% in the conventional system. This predominance is primarily attributed to the environmental burden associated with seed production. Soybean seeds carry an embedded life cycle from prior cultivation stages, encompassing all related inputs and emissions, which are incorporated into the LCA</w:t>
      </w:r>
      <w:r w:rsidR="001032A4" w:rsidRPr="00640FD4">
        <w:rPr>
          <w:rFonts w:ascii="Arial" w:hAnsi="Arial" w:cs="Arial"/>
          <w:sz w:val="20"/>
          <w:szCs w:val="20"/>
          <w:lang w:val="en-US"/>
        </w:rPr>
        <w:t xml:space="preserve"> (</w:t>
      </w:r>
      <w:r w:rsidR="00651460" w:rsidRPr="00640FD4">
        <w:rPr>
          <w:rFonts w:ascii="Arial" w:hAnsi="Arial" w:cs="Arial"/>
          <w:sz w:val="20"/>
          <w:szCs w:val="20"/>
          <w:lang w:val="en-US"/>
        </w:rPr>
        <w:t>. This highlights the importance of considering the upstream impacts of seed production in agricultural LCAs and suggests that future research or sustainability efforts could focus on developing lower-impact seed production systems or alternative seed sources</w:t>
      </w:r>
      <w:r w:rsidR="00466FFD" w:rsidRPr="00640FD4">
        <w:rPr>
          <w:rFonts w:ascii="Arial" w:hAnsi="Arial" w:cs="Arial"/>
          <w:sz w:val="20"/>
          <w:szCs w:val="20"/>
          <w:lang w:val="en-US"/>
        </w:rPr>
        <w:t xml:space="preserve"> (</w:t>
      </w:r>
      <w:proofErr w:type="spellStart"/>
      <w:r w:rsidR="00466FFD" w:rsidRPr="00640FD4">
        <w:rPr>
          <w:rFonts w:ascii="Arial" w:hAnsi="Arial" w:cs="Arial"/>
          <w:sz w:val="20"/>
          <w:szCs w:val="20"/>
          <w:lang w:val="en-US"/>
        </w:rPr>
        <w:t>Costantini</w:t>
      </w:r>
      <w:proofErr w:type="spellEnd"/>
      <w:r w:rsidR="00466FFD" w:rsidRPr="00640FD4">
        <w:rPr>
          <w:rFonts w:ascii="Arial" w:hAnsi="Arial" w:cs="Arial"/>
          <w:sz w:val="20"/>
          <w:szCs w:val="20"/>
          <w:lang w:val="en-US"/>
        </w:rPr>
        <w:t xml:space="preserve"> &amp; </w:t>
      </w:r>
      <w:proofErr w:type="spellStart"/>
      <w:r w:rsidR="00466FFD" w:rsidRPr="00640FD4">
        <w:rPr>
          <w:rFonts w:ascii="Arial" w:hAnsi="Arial" w:cs="Arial"/>
          <w:sz w:val="20"/>
          <w:szCs w:val="20"/>
          <w:lang w:val="en-US"/>
        </w:rPr>
        <w:t>Bacenetti</w:t>
      </w:r>
      <w:proofErr w:type="spellEnd"/>
      <w:r w:rsidR="00466FFD" w:rsidRPr="00640FD4">
        <w:rPr>
          <w:rFonts w:ascii="Arial" w:hAnsi="Arial" w:cs="Arial"/>
          <w:sz w:val="20"/>
          <w:szCs w:val="20"/>
          <w:lang w:val="en-US"/>
        </w:rPr>
        <w:t xml:space="preserve">, 2021; </w:t>
      </w:r>
      <w:proofErr w:type="spellStart"/>
      <w:r w:rsidR="001032A4" w:rsidRPr="00640FD4">
        <w:rPr>
          <w:rFonts w:ascii="Arial" w:hAnsi="Arial" w:cs="Arial"/>
          <w:sz w:val="20"/>
          <w:szCs w:val="20"/>
          <w:lang w:val="en-US"/>
        </w:rPr>
        <w:t>Medel</w:t>
      </w:r>
      <w:proofErr w:type="spellEnd"/>
      <w:r w:rsidR="001032A4" w:rsidRPr="00640FD4">
        <w:rPr>
          <w:rFonts w:ascii="Arial" w:hAnsi="Arial" w:cs="Arial"/>
          <w:sz w:val="20"/>
          <w:szCs w:val="20"/>
          <w:lang w:val="en-US"/>
        </w:rPr>
        <w:t xml:space="preserve"> Jiménez et al., 2024)</w:t>
      </w:r>
      <w:r w:rsidR="00651460" w:rsidRPr="00640FD4">
        <w:rPr>
          <w:rFonts w:ascii="Arial" w:hAnsi="Arial" w:cs="Arial"/>
          <w:sz w:val="20"/>
          <w:szCs w:val="20"/>
          <w:lang w:val="en-US"/>
        </w:rPr>
        <w:t>.</w:t>
      </w:r>
    </w:p>
    <w:p w14:paraId="661DC3F3" w14:textId="1F6D06FF" w:rsidR="00651460" w:rsidRPr="00640FD4" w:rsidRDefault="00651460" w:rsidP="00640FD4">
      <w:pPr>
        <w:spacing w:line="360" w:lineRule="auto"/>
        <w:jc w:val="both"/>
        <w:rPr>
          <w:rFonts w:ascii="Arial" w:hAnsi="Arial" w:cs="Arial"/>
          <w:sz w:val="20"/>
          <w:szCs w:val="20"/>
          <w:lang w:val="en-US"/>
        </w:rPr>
      </w:pPr>
      <w:r w:rsidRPr="00640FD4">
        <w:rPr>
          <w:rFonts w:ascii="Arial" w:hAnsi="Arial" w:cs="Arial"/>
          <w:sz w:val="20"/>
          <w:szCs w:val="20"/>
          <w:lang w:val="en-US"/>
        </w:rPr>
        <w:t>Although the PA system involved a slightly higher seed input (Table 1), its 26% higher yield diluted this effect, resulting in a comparatively lower relative contribution of the planting stage. Specifically, the planting operation in the PA system exhibited approximately 13% lower environmental impact than in the conventional system.</w:t>
      </w:r>
    </w:p>
    <w:p w14:paraId="34FF471C" w14:textId="50CFD6A4" w:rsidR="00466B3D" w:rsidRPr="00640FD4" w:rsidRDefault="001C5122" w:rsidP="00640FD4">
      <w:pPr>
        <w:spacing w:line="360" w:lineRule="auto"/>
        <w:jc w:val="both"/>
        <w:rPr>
          <w:rFonts w:ascii="Arial" w:hAnsi="Arial" w:cs="Arial"/>
          <w:sz w:val="20"/>
          <w:szCs w:val="20"/>
          <w:lang w:val="en-US"/>
        </w:rPr>
      </w:pPr>
      <w:r w:rsidRPr="00640FD4">
        <w:rPr>
          <w:rFonts w:ascii="Arial" w:hAnsi="Arial" w:cs="Arial"/>
          <w:sz w:val="20"/>
          <w:szCs w:val="20"/>
          <w:lang w:val="en-US"/>
        </w:rPr>
        <w:t>Cultivation and harvesting stages represented substantial contributions to AP and Global GWP, driven by embodied energy in machinery manufacturing and fossil fuel consumption. The implementation of PA for fertility management resulted in estimated reductions of 10–20% in these impacts. These gains are attributed to optimized input-use efficiency, through site-specific application (GPS, sensors, variable-rate technology), and reduced field traffic and fuel consumption</w:t>
      </w:r>
      <w:r w:rsidR="00DB2B3A" w:rsidRPr="00640FD4">
        <w:rPr>
          <w:rFonts w:ascii="Arial" w:hAnsi="Arial" w:cs="Arial"/>
          <w:sz w:val="20"/>
          <w:szCs w:val="20"/>
          <w:lang w:val="en-US"/>
        </w:rPr>
        <w:t xml:space="preserve"> (Gasso et al., 2016; Li et al., 2016; Jensen &amp; Tullberg, 2025)</w:t>
      </w:r>
      <w:r w:rsidRPr="00640FD4">
        <w:rPr>
          <w:rFonts w:ascii="Arial" w:hAnsi="Arial" w:cs="Arial"/>
          <w:sz w:val="20"/>
          <w:szCs w:val="20"/>
          <w:lang w:val="en-US"/>
        </w:rPr>
        <w:t>, facilitated by auto-guidance technologies that minimize overlapping passes (</w:t>
      </w:r>
      <w:r w:rsidRPr="00640FD4">
        <w:rPr>
          <w:rFonts w:ascii="Arial" w:hAnsi="Arial" w:cs="Arial"/>
          <w:i/>
          <w:iCs/>
          <w:sz w:val="20"/>
          <w:szCs w:val="20"/>
          <w:lang w:val="en-US"/>
        </w:rPr>
        <w:t>Section 2.5</w:t>
      </w:r>
      <w:r w:rsidRPr="00640FD4">
        <w:rPr>
          <w:rFonts w:ascii="Arial" w:hAnsi="Arial" w:cs="Arial"/>
          <w:sz w:val="20"/>
          <w:szCs w:val="20"/>
          <w:lang w:val="en-US"/>
        </w:rPr>
        <w:t>). PA, therefore, demonstrates itself as an effective strategy for sustainable intensification, mitigating the environmental footprint and soil compaction</w:t>
      </w:r>
      <w:r w:rsidR="00DB2B3A" w:rsidRPr="00640FD4">
        <w:rPr>
          <w:rFonts w:ascii="Arial" w:hAnsi="Arial" w:cs="Arial"/>
          <w:sz w:val="20"/>
          <w:szCs w:val="20"/>
          <w:lang w:val="en-US"/>
        </w:rPr>
        <w:t xml:space="preserve"> (Kumar et al., 2018; </w:t>
      </w:r>
      <w:proofErr w:type="spellStart"/>
      <w:r w:rsidR="00DB2B3A" w:rsidRPr="00640FD4">
        <w:rPr>
          <w:rFonts w:ascii="Arial" w:hAnsi="Arial" w:cs="Arial"/>
          <w:sz w:val="20"/>
          <w:szCs w:val="20"/>
          <w:lang w:val="en-US"/>
        </w:rPr>
        <w:t>Mgendi</w:t>
      </w:r>
      <w:proofErr w:type="spellEnd"/>
      <w:r w:rsidR="00DB2B3A" w:rsidRPr="00640FD4">
        <w:rPr>
          <w:rFonts w:ascii="Arial" w:hAnsi="Arial" w:cs="Arial"/>
          <w:sz w:val="20"/>
          <w:szCs w:val="20"/>
          <w:lang w:val="en-US"/>
        </w:rPr>
        <w:t>, 2024)</w:t>
      </w:r>
      <w:r w:rsidRPr="00640FD4">
        <w:rPr>
          <w:rFonts w:ascii="Arial" w:hAnsi="Arial" w:cs="Arial"/>
          <w:sz w:val="20"/>
          <w:szCs w:val="20"/>
          <w:lang w:val="en-US"/>
        </w:rPr>
        <w:t>.</w:t>
      </w:r>
      <w:bookmarkStart w:id="9" w:name="_Toc1390076"/>
    </w:p>
    <w:p w14:paraId="3F9F0C0D" w14:textId="194B0F6F" w:rsidR="001C5122" w:rsidRPr="00D22C5B" w:rsidRDefault="00640FD4" w:rsidP="001C5122">
      <w:pPr>
        <w:spacing w:after="0" w:line="360" w:lineRule="auto"/>
        <w:ind w:firstLine="708"/>
        <w:jc w:val="both"/>
        <w:rPr>
          <w:rFonts w:ascii="Arial" w:hAnsi="Arial" w:cs="Arial"/>
          <w:sz w:val="24"/>
          <w:szCs w:val="24"/>
          <w:lang w:val="en-US"/>
        </w:rPr>
      </w:pPr>
      <w:r w:rsidRPr="00D22C5B">
        <w:rPr>
          <w:rFonts w:ascii="Arial" w:hAnsi="Arial" w:cs="Arial"/>
          <w:b/>
          <w:bCs/>
          <w:noProof/>
          <w:lang w:eastAsia="pt-BR"/>
        </w:rPr>
        <w:lastRenderedPageBreak/>
        <w:drawing>
          <wp:anchor distT="0" distB="0" distL="114300" distR="114300" simplePos="0" relativeHeight="251667456" behindDoc="0" locked="0" layoutInCell="1" allowOverlap="1" wp14:anchorId="2A145BD3" wp14:editId="7086B817">
            <wp:simplePos x="0" y="0"/>
            <wp:positionH relativeFrom="column">
              <wp:posOffset>762328</wp:posOffset>
            </wp:positionH>
            <wp:positionV relativeFrom="paragraph">
              <wp:posOffset>256875</wp:posOffset>
            </wp:positionV>
            <wp:extent cx="3378200" cy="6393180"/>
            <wp:effectExtent l="0" t="0" r="0" b="7620"/>
            <wp:wrapTopAndBottom/>
            <wp:docPr id="9" name="Picture 17" descr="Gráfico, Gráfico de pizz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Gráfico, Gráfico de pizza&#10;&#10;O conteúdo gerado por IA pode estar incorr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8200" cy="6393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09887" w14:textId="77777777" w:rsidR="00640FD4" w:rsidRDefault="00640FD4" w:rsidP="00640FD4">
      <w:pPr>
        <w:spacing w:after="0" w:line="360" w:lineRule="auto"/>
        <w:jc w:val="both"/>
        <w:rPr>
          <w:rFonts w:ascii="Arial" w:hAnsi="Arial" w:cs="Arial"/>
          <w:b/>
          <w:bCs/>
          <w:sz w:val="20"/>
          <w:szCs w:val="20"/>
          <w:lang w:val="en-US"/>
        </w:rPr>
      </w:pPr>
    </w:p>
    <w:p w14:paraId="791F1EEE" w14:textId="37A5D2B1" w:rsidR="00466B3D" w:rsidRPr="00640FD4" w:rsidRDefault="00466B3D" w:rsidP="00640FD4">
      <w:pPr>
        <w:spacing w:after="0" w:line="360" w:lineRule="auto"/>
        <w:jc w:val="both"/>
        <w:rPr>
          <w:rFonts w:ascii="Arial" w:hAnsi="Arial" w:cs="Arial"/>
          <w:sz w:val="20"/>
          <w:szCs w:val="20"/>
          <w:lang w:val="en-US"/>
        </w:rPr>
      </w:pPr>
      <w:r w:rsidRPr="00640FD4">
        <w:rPr>
          <w:rFonts w:ascii="Arial" w:hAnsi="Arial" w:cs="Arial"/>
          <w:b/>
          <w:bCs/>
          <w:sz w:val="20"/>
          <w:szCs w:val="20"/>
          <w:lang w:val="en-US"/>
        </w:rPr>
        <w:t xml:space="preserve">Figure </w:t>
      </w:r>
      <w:r w:rsidR="00DF3AE3" w:rsidRPr="00640FD4">
        <w:rPr>
          <w:rFonts w:ascii="Arial" w:hAnsi="Arial" w:cs="Arial"/>
          <w:b/>
          <w:bCs/>
          <w:sz w:val="20"/>
          <w:szCs w:val="20"/>
          <w:lang w:val="en-US"/>
        </w:rPr>
        <w:t>6</w:t>
      </w:r>
      <w:r w:rsidRPr="00640FD4">
        <w:rPr>
          <w:rFonts w:ascii="Arial" w:hAnsi="Arial" w:cs="Arial"/>
          <w:sz w:val="20"/>
          <w:szCs w:val="20"/>
          <w:lang w:val="en-US"/>
        </w:rPr>
        <w:t>. Relative Contribution of Production Stages to Environmental Impacts in Conventional and Precision Agriculture Systems.</w:t>
      </w:r>
      <w:bookmarkEnd w:id="9"/>
    </w:p>
    <w:p w14:paraId="1E5A18AD" w14:textId="7740BFDB" w:rsidR="00112958" w:rsidRDefault="00466B3D" w:rsidP="00640FD4">
      <w:pPr>
        <w:spacing w:after="0" w:line="360" w:lineRule="auto"/>
        <w:rPr>
          <w:rFonts w:ascii="Arial" w:hAnsi="Arial" w:cs="Arial"/>
          <w:i/>
          <w:iCs/>
          <w:sz w:val="18"/>
          <w:szCs w:val="18"/>
          <w:lang w:val="en-US"/>
        </w:rPr>
      </w:pPr>
      <w:r w:rsidRPr="00640FD4">
        <w:rPr>
          <w:rFonts w:ascii="Arial" w:hAnsi="Arial" w:cs="Arial"/>
          <w:i/>
          <w:iCs/>
          <w:sz w:val="18"/>
          <w:szCs w:val="18"/>
          <w:lang w:val="en-US"/>
        </w:rPr>
        <w:t xml:space="preserve">Note: </w:t>
      </w:r>
      <w:r w:rsidR="00112958" w:rsidRPr="00640FD4">
        <w:rPr>
          <w:rFonts w:ascii="Arial" w:hAnsi="Arial" w:cs="Arial"/>
          <w:i/>
          <w:iCs/>
          <w:sz w:val="18"/>
          <w:szCs w:val="18"/>
          <w:lang w:val="en-US"/>
        </w:rPr>
        <w:t>Share of environmental impacts attributed to each stage (tillage, planting, cultivation, harvesting), highlighting efficiency gains achieved through PA).</w:t>
      </w:r>
    </w:p>
    <w:p w14:paraId="5003ADA5" w14:textId="77777777" w:rsidR="00640FD4" w:rsidRPr="00640FD4" w:rsidRDefault="00640FD4" w:rsidP="00640FD4">
      <w:pPr>
        <w:spacing w:after="0" w:line="360" w:lineRule="auto"/>
        <w:rPr>
          <w:rFonts w:ascii="Arial" w:hAnsi="Arial" w:cs="Arial"/>
          <w:i/>
          <w:iCs/>
          <w:sz w:val="18"/>
          <w:szCs w:val="18"/>
          <w:lang w:val="en-US"/>
        </w:rPr>
      </w:pPr>
    </w:p>
    <w:p w14:paraId="58D6DD66" w14:textId="5FE20548" w:rsidR="00A4489E" w:rsidRPr="00640FD4" w:rsidRDefault="00A4489E" w:rsidP="00640FD4">
      <w:pPr>
        <w:spacing w:line="360" w:lineRule="auto"/>
        <w:jc w:val="both"/>
        <w:rPr>
          <w:rFonts w:ascii="Arial" w:hAnsi="Arial" w:cs="Arial"/>
          <w:sz w:val="20"/>
          <w:szCs w:val="20"/>
          <w:lang w:val="en-US"/>
        </w:rPr>
      </w:pPr>
      <w:r w:rsidRPr="00640FD4">
        <w:rPr>
          <w:rFonts w:ascii="Arial" w:hAnsi="Arial" w:cs="Arial"/>
          <w:sz w:val="20"/>
          <w:szCs w:val="20"/>
          <w:lang w:val="en-US"/>
        </w:rPr>
        <w:t>Given the widespread use of no-tillage systems in soybean production, tillage operations are no longer a dominant environmental hotspot (Telles et al., 2018</w:t>
      </w:r>
      <w:r w:rsidR="00321D6A" w:rsidRPr="00640FD4">
        <w:rPr>
          <w:rFonts w:ascii="Arial" w:hAnsi="Arial" w:cs="Arial"/>
          <w:sz w:val="20"/>
          <w:szCs w:val="20"/>
          <w:lang w:val="en-US"/>
        </w:rPr>
        <w:t xml:space="preserve">; </w:t>
      </w:r>
      <w:proofErr w:type="spellStart"/>
      <w:r w:rsidR="00321D6A" w:rsidRPr="00640FD4">
        <w:rPr>
          <w:rFonts w:ascii="Arial" w:hAnsi="Arial" w:cs="Arial"/>
          <w:sz w:val="20"/>
          <w:szCs w:val="20"/>
          <w:lang w:val="en-US"/>
        </w:rPr>
        <w:t>Possamai</w:t>
      </w:r>
      <w:proofErr w:type="spellEnd"/>
      <w:r w:rsidR="00321D6A" w:rsidRPr="00640FD4">
        <w:rPr>
          <w:rFonts w:ascii="Arial" w:hAnsi="Arial" w:cs="Arial"/>
          <w:sz w:val="20"/>
          <w:szCs w:val="20"/>
          <w:lang w:val="en-US"/>
        </w:rPr>
        <w:t xml:space="preserve"> et al., 2022</w:t>
      </w:r>
      <w:r w:rsidRPr="00640FD4">
        <w:rPr>
          <w:rFonts w:ascii="Arial" w:hAnsi="Arial" w:cs="Arial"/>
          <w:sz w:val="20"/>
          <w:szCs w:val="20"/>
          <w:lang w:val="en-US"/>
        </w:rPr>
        <w:t xml:space="preserve">). Within the tillage stage, the most impactful processes were the application of plant protection products via field sprayers </w:t>
      </w:r>
      <w:r w:rsidRPr="00640FD4">
        <w:rPr>
          <w:rFonts w:ascii="Arial" w:hAnsi="Arial" w:cs="Arial"/>
          <w:sz w:val="20"/>
          <w:szCs w:val="20"/>
          <w:lang w:val="en-US"/>
        </w:rPr>
        <w:lastRenderedPageBreak/>
        <w:t>(accounting for 20–50% of the stage’s impacts) and fertilizer broadcasting (2–5%). PA technologies reduced these impacts by approximately 20% through more precise input targeting and application.</w:t>
      </w:r>
    </w:p>
    <w:p w14:paraId="55ECA7FE" w14:textId="10658B0F" w:rsidR="00A14977" w:rsidRPr="00D22C5B" w:rsidRDefault="00A4489E" w:rsidP="00640FD4">
      <w:pPr>
        <w:spacing w:line="360" w:lineRule="auto"/>
        <w:jc w:val="both"/>
        <w:rPr>
          <w:rFonts w:ascii="Arial" w:hAnsi="Arial" w:cs="Arial"/>
          <w:sz w:val="24"/>
          <w:szCs w:val="24"/>
          <w:lang w:val="en-US"/>
        </w:rPr>
      </w:pPr>
      <w:r w:rsidRPr="00640FD4">
        <w:rPr>
          <w:rFonts w:ascii="Arial" w:hAnsi="Arial" w:cs="Arial"/>
          <w:sz w:val="20"/>
          <w:szCs w:val="20"/>
          <w:lang w:val="en-US"/>
        </w:rPr>
        <w:t>The cultivation stage had a particularly strong influence on EP and HTP, which is consistent with LCA expectations due to the intensive use of fertilizers and agrochemicals during this phase. In the PA system</w:t>
      </w:r>
      <w:r w:rsidR="00FF570D" w:rsidRPr="00640FD4">
        <w:rPr>
          <w:rFonts w:ascii="Arial" w:hAnsi="Arial" w:cs="Arial"/>
          <w:sz w:val="20"/>
          <w:szCs w:val="20"/>
          <w:lang w:val="en-US"/>
        </w:rPr>
        <w:t xml:space="preserve"> (</w:t>
      </w:r>
      <w:proofErr w:type="spellStart"/>
      <w:r w:rsidR="00FF570D" w:rsidRPr="00640FD4">
        <w:rPr>
          <w:rFonts w:ascii="Arial" w:hAnsi="Arial" w:cs="Arial"/>
          <w:sz w:val="20"/>
          <w:szCs w:val="20"/>
          <w:lang w:val="en-US"/>
        </w:rPr>
        <w:t>Villagrán</w:t>
      </w:r>
      <w:proofErr w:type="spellEnd"/>
      <w:r w:rsidR="00FF570D" w:rsidRPr="00640FD4">
        <w:rPr>
          <w:rFonts w:ascii="Arial" w:hAnsi="Arial" w:cs="Arial"/>
          <w:sz w:val="20"/>
          <w:szCs w:val="20"/>
          <w:lang w:val="en-US"/>
        </w:rPr>
        <w:t xml:space="preserve"> et al., 2024)</w:t>
      </w:r>
      <w:r w:rsidRPr="00640FD4">
        <w:rPr>
          <w:rFonts w:ascii="Arial" w:hAnsi="Arial" w:cs="Arial"/>
          <w:sz w:val="20"/>
          <w:szCs w:val="20"/>
          <w:lang w:val="en-US"/>
        </w:rPr>
        <w:t>, reductions of approximately 10–20% were observed across key unit processes. This highlights how improvements in a single production stage can have cascading benefits throughout the agricultural value chain (Plouffe et al., 2011</w:t>
      </w:r>
      <w:r w:rsidR="00FF570D" w:rsidRPr="00640FD4">
        <w:rPr>
          <w:rFonts w:ascii="Arial" w:hAnsi="Arial" w:cs="Arial"/>
          <w:sz w:val="20"/>
          <w:szCs w:val="20"/>
          <w:lang w:val="en-US"/>
        </w:rPr>
        <w:t xml:space="preserve">; </w:t>
      </w:r>
      <w:proofErr w:type="spellStart"/>
      <w:r w:rsidR="00FF570D" w:rsidRPr="00640FD4">
        <w:rPr>
          <w:rFonts w:ascii="Arial" w:hAnsi="Arial" w:cs="Arial"/>
          <w:sz w:val="20"/>
          <w:szCs w:val="20"/>
          <w:lang w:val="en-US"/>
        </w:rPr>
        <w:t>Talaviya</w:t>
      </w:r>
      <w:proofErr w:type="spellEnd"/>
      <w:r w:rsidR="00FF570D" w:rsidRPr="00640FD4">
        <w:rPr>
          <w:rFonts w:ascii="Arial" w:hAnsi="Arial" w:cs="Arial"/>
          <w:sz w:val="20"/>
          <w:szCs w:val="20"/>
          <w:lang w:val="en-US"/>
        </w:rPr>
        <w:t xml:space="preserve"> et al., 2020; Monteiro et al., 2021; </w:t>
      </w:r>
      <w:proofErr w:type="spellStart"/>
      <w:r w:rsidR="00FF570D" w:rsidRPr="00640FD4">
        <w:rPr>
          <w:rFonts w:ascii="Arial" w:hAnsi="Arial" w:cs="Arial"/>
          <w:sz w:val="20"/>
          <w:szCs w:val="20"/>
          <w:lang w:val="en-US"/>
        </w:rPr>
        <w:t>Sanyaolu</w:t>
      </w:r>
      <w:proofErr w:type="spellEnd"/>
      <w:r w:rsidR="00FF570D" w:rsidRPr="00640FD4">
        <w:rPr>
          <w:rFonts w:ascii="Arial" w:hAnsi="Arial" w:cs="Arial"/>
          <w:sz w:val="20"/>
          <w:szCs w:val="20"/>
          <w:lang w:val="en-US"/>
        </w:rPr>
        <w:t xml:space="preserve"> &amp; Sadowski, 2024</w:t>
      </w:r>
      <w:r w:rsidRPr="00640FD4">
        <w:rPr>
          <w:rFonts w:ascii="Arial" w:hAnsi="Arial" w:cs="Arial"/>
          <w:sz w:val="20"/>
          <w:szCs w:val="20"/>
          <w:lang w:val="en-US"/>
        </w:rPr>
        <w:t xml:space="preserve">). </w:t>
      </w:r>
      <w:r w:rsidR="00162932" w:rsidRPr="00640FD4">
        <w:rPr>
          <w:rFonts w:ascii="Arial" w:hAnsi="Arial" w:cs="Arial"/>
          <w:sz w:val="20"/>
          <w:szCs w:val="20"/>
          <w:lang w:val="en-US"/>
        </w:rPr>
        <w:t>The main driver of these impacts during the cultivation stage is the interaction between applied nutrients, heavy metals, and pesticides with soil and water systems (</w:t>
      </w:r>
      <w:r w:rsidR="00854191" w:rsidRPr="00640FD4">
        <w:rPr>
          <w:rFonts w:ascii="Arial" w:hAnsi="Arial" w:cs="Arial"/>
          <w:sz w:val="20"/>
          <w:szCs w:val="20"/>
          <w:lang w:val="en-US"/>
        </w:rPr>
        <w:t xml:space="preserve">Nemecek et al., 2015; </w:t>
      </w:r>
      <w:proofErr w:type="spellStart"/>
      <w:r w:rsidR="00162932" w:rsidRPr="00640FD4">
        <w:rPr>
          <w:rFonts w:ascii="Arial" w:hAnsi="Arial" w:cs="Arial"/>
          <w:sz w:val="20"/>
          <w:szCs w:val="20"/>
          <w:lang w:val="en-US"/>
        </w:rPr>
        <w:t>Balafoutis</w:t>
      </w:r>
      <w:proofErr w:type="spellEnd"/>
      <w:r w:rsidR="00162932" w:rsidRPr="00640FD4">
        <w:rPr>
          <w:rFonts w:ascii="Arial" w:hAnsi="Arial" w:cs="Arial"/>
          <w:sz w:val="20"/>
          <w:szCs w:val="20"/>
          <w:lang w:val="en-US"/>
        </w:rPr>
        <w:t xml:space="preserve"> et al., 2017; Avellaneda-Torres et al.,</w:t>
      </w:r>
      <w:r w:rsidR="00162932" w:rsidRPr="00D22C5B">
        <w:rPr>
          <w:rFonts w:ascii="Arial" w:hAnsi="Arial" w:cs="Arial"/>
          <w:sz w:val="24"/>
          <w:szCs w:val="24"/>
          <w:lang w:val="en-US"/>
        </w:rPr>
        <w:t xml:space="preserve"> 2022).</w:t>
      </w:r>
    </w:p>
    <w:p w14:paraId="76A1DC4A" w14:textId="77777777" w:rsidR="00F44CB5" w:rsidRPr="00D22C5B" w:rsidRDefault="00F44CB5" w:rsidP="00221284">
      <w:pPr>
        <w:spacing w:after="0" w:line="360" w:lineRule="auto"/>
        <w:ind w:firstLine="708"/>
        <w:jc w:val="both"/>
        <w:rPr>
          <w:rFonts w:ascii="Arial" w:hAnsi="Arial" w:cs="Arial"/>
          <w:sz w:val="24"/>
          <w:szCs w:val="24"/>
          <w:lang w:val="en-US"/>
        </w:rPr>
      </w:pPr>
    </w:p>
    <w:p w14:paraId="525A6CEF" w14:textId="77777777" w:rsidR="003379FC" w:rsidRDefault="003379FC" w:rsidP="00F44CB5">
      <w:pPr>
        <w:spacing w:after="0" w:line="360" w:lineRule="auto"/>
        <w:jc w:val="both"/>
        <w:rPr>
          <w:rFonts w:ascii="Arial" w:hAnsi="Arial" w:cs="Arial"/>
          <w:b/>
          <w:bCs/>
          <w:lang w:val="en-US"/>
        </w:rPr>
      </w:pPr>
      <w:bookmarkStart w:id="10" w:name="_Toc1377908"/>
      <w:r w:rsidRPr="00640FD4">
        <w:rPr>
          <w:rFonts w:ascii="Arial" w:hAnsi="Arial" w:cs="Arial"/>
          <w:b/>
          <w:bCs/>
          <w:lang w:val="en-US"/>
        </w:rPr>
        <w:t>3.1 Sensitivity Analysis</w:t>
      </w:r>
    </w:p>
    <w:p w14:paraId="2D04FE0D" w14:textId="77777777" w:rsidR="00640FD4" w:rsidRDefault="00640FD4" w:rsidP="00640FD4">
      <w:pPr>
        <w:spacing w:after="0" w:line="360" w:lineRule="auto"/>
        <w:jc w:val="both"/>
        <w:rPr>
          <w:rFonts w:ascii="Arial" w:hAnsi="Arial" w:cs="Arial"/>
          <w:b/>
          <w:bCs/>
          <w:lang w:val="en-US"/>
        </w:rPr>
      </w:pPr>
    </w:p>
    <w:p w14:paraId="157CEA59" w14:textId="680F4633" w:rsidR="0019430A" w:rsidRPr="00640FD4" w:rsidRDefault="00730BC7" w:rsidP="00640FD4">
      <w:pPr>
        <w:spacing w:after="0" w:line="360" w:lineRule="auto"/>
        <w:jc w:val="both"/>
        <w:rPr>
          <w:rFonts w:ascii="Arial" w:hAnsi="Arial" w:cs="Arial"/>
          <w:sz w:val="20"/>
          <w:szCs w:val="20"/>
          <w:lang w:val="en-US"/>
        </w:rPr>
      </w:pPr>
      <w:r w:rsidRPr="00640FD4">
        <w:rPr>
          <w:rFonts w:ascii="Arial" w:hAnsi="Arial" w:cs="Arial"/>
          <w:sz w:val="20"/>
          <w:szCs w:val="20"/>
          <w:lang w:val="en-US"/>
        </w:rPr>
        <w:t>The sensitivity analysis showed that eutrophication potential was most affected by variations in phosphorus and potassium rates, while GWP was primarily influenced by diesel use. Simulated variations of ±20% confirmed the robustness of PA’s benefits, with comparative impact differences remaining under 10%. Even with increased direct emissions from nitrogen fertilizers, PA maintained about 25% lower total GWP per kilogram of soybean.</w:t>
      </w:r>
    </w:p>
    <w:p w14:paraId="181F5C91" w14:textId="77777777" w:rsidR="0089608E" w:rsidRPr="00D22C5B" w:rsidRDefault="0089608E" w:rsidP="0089608E">
      <w:pPr>
        <w:spacing w:after="0" w:line="360" w:lineRule="auto"/>
        <w:ind w:firstLine="708"/>
        <w:jc w:val="both"/>
        <w:rPr>
          <w:rFonts w:ascii="Arial" w:hAnsi="Arial" w:cs="Arial"/>
          <w:sz w:val="24"/>
          <w:szCs w:val="24"/>
          <w:lang w:val="en-US"/>
        </w:rPr>
      </w:pPr>
    </w:p>
    <w:p w14:paraId="19F8109F" w14:textId="77777777" w:rsidR="00E01201" w:rsidRPr="00640FD4" w:rsidRDefault="00E01201" w:rsidP="00F44CB5">
      <w:pPr>
        <w:spacing w:after="0" w:line="360" w:lineRule="auto"/>
        <w:jc w:val="both"/>
        <w:rPr>
          <w:rFonts w:ascii="Arial" w:hAnsi="Arial" w:cs="Arial"/>
          <w:b/>
          <w:bCs/>
          <w:lang w:val="en-US"/>
        </w:rPr>
      </w:pPr>
      <w:r w:rsidRPr="00640FD4">
        <w:rPr>
          <w:rFonts w:ascii="Arial" w:hAnsi="Arial" w:cs="Arial"/>
          <w:b/>
          <w:bCs/>
          <w:lang w:val="en-US"/>
        </w:rPr>
        <w:t>3.2 Complementary Statistical Analysis: Simulation and Comparative Inference</w:t>
      </w:r>
    </w:p>
    <w:p w14:paraId="4E61FFAD" w14:textId="77777777" w:rsidR="00640FD4" w:rsidRDefault="00640FD4" w:rsidP="00640FD4">
      <w:pPr>
        <w:spacing w:after="0" w:line="360" w:lineRule="auto"/>
        <w:jc w:val="both"/>
        <w:rPr>
          <w:rFonts w:ascii="Arial" w:hAnsi="Arial" w:cs="Arial"/>
          <w:sz w:val="24"/>
          <w:szCs w:val="24"/>
          <w:lang w:val="en-US"/>
        </w:rPr>
      </w:pPr>
    </w:p>
    <w:p w14:paraId="5CA2598F" w14:textId="5014F0AD" w:rsidR="00E01201" w:rsidRPr="00640FD4" w:rsidRDefault="00E01201" w:rsidP="00640FD4">
      <w:pPr>
        <w:spacing w:after="0" w:line="360" w:lineRule="auto"/>
        <w:jc w:val="both"/>
        <w:rPr>
          <w:rFonts w:ascii="Arial" w:hAnsi="Arial" w:cs="Arial"/>
          <w:sz w:val="20"/>
          <w:szCs w:val="20"/>
          <w:lang w:val="en-US"/>
        </w:rPr>
      </w:pPr>
      <w:r w:rsidRPr="00640FD4">
        <w:rPr>
          <w:rFonts w:ascii="Arial" w:hAnsi="Arial" w:cs="Arial"/>
          <w:sz w:val="20"/>
          <w:szCs w:val="20"/>
          <w:lang w:val="en-US"/>
        </w:rPr>
        <w:t>To reinforce the robustness of the LCA results and incorporate variability associated with fertilizer use, we conducted a Monte Carlo simulation with 10,000 iterations for the global warming potential (GWP, kg CO</w:t>
      </w:r>
      <w:r w:rsidRPr="00640FD4">
        <w:rPr>
          <w:rFonts w:ascii="Cambria Math" w:hAnsi="Cambria Math" w:cs="Cambria Math"/>
          <w:sz w:val="20"/>
          <w:szCs w:val="20"/>
          <w:lang w:val="en-US"/>
        </w:rPr>
        <w:t>₂</w:t>
      </w:r>
      <w:r w:rsidRPr="00640FD4">
        <w:rPr>
          <w:rFonts w:ascii="Arial" w:hAnsi="Arial" w:cs="Arial"/>
          <w:sz w:val="20"/>
          <w:szCs w:val="20"/>
          <w:lang w:val="en-US"/>
        </w:rPr>
        <w:t xml:space="preserve"> eq per kg of soybean), based on the observed means and standard deviations for both the conventional and P</w:t>
      </w:r>
      <w:r w:rsidR="0019430A" w:rsidRPr="00640FD4">
        <w:rPr>
          <w:rFonts w:ascii="Arial" w:hAnsi="Arial" w:cs="Arial"/>
          <w:sz w:val="20"/>
          <w:szCs w:val="20"/>
          <w:lang w:val="en-US"/>
        </w:rPr>
        <w:t>A</w:t>
      </w:r>
      <w:r w:rsidRPr="00640FD4">
        <w:rPr>
          <w:rFonts w:ascii="Arial" w:hAnsi="Arial" w:cs="Arial"/>
          <w:sz w:val="20"/>
          <w:szCs w:val="20"/>
          <w:lang w:val="en-US"/>
        </w:rPr>
        <w:t xml:space="preserve"> systems.</w:t>
      </w:r>
    </w:p>
    <w:p w14:paraId="672EC811" w14:textId="3166ADA9" w:rsidR="00E01201" w:rsidRPr="00640FD4" w:rsidRDefault="00E01201" w:rsidP="00640FD4">
      <w:pPr>
        <w:spacing w:line="360" w:lineRule="auto"/>
        <w:jc w:val="both"/>
        <w:rPr>
          <w:rFonts w:ascii="Arial" w:hAnsi="Arial" w:cs="Arial"/>
          <w:sz w:val="20"/>
          <w:szCs w:val="20"/>
          <w:lang w:val="en-US"/>
        </w:rPr>
      </w:pPr>
      <w:r w:rsidRPr="00640FD4">
        <w:rPr>
          <w:rFonts w:ascii="Arial" w:hAnsi="Arial" w:cs="Arial"/>
          <w:sz w:val="20"/>
          <w:szCs w:val="20"/>
          <w:lang w:val="en-US"/>
        </w:rPr>
        <w:t>In addition, we tested the sensitivity of the PA system to a simulated 20% increase in nitrogen application, following scenario analysis guidelines</w:t>
      </w:r>
      <w:r w:rsidR="00541AF4" w:rsidRPr="00640FD4">
        <w:rPr>
          <w:rFonts w:ascii="Arial" w:hAnsi="Arial" w:cs="Arial"/>
          <w:sz w:val="20"/>
          <w:szCs w:val="20"/>
          <w:lang w:val="en-US"/>
        </w:rPr>
        <w:t xml:space="preserve"> (Figure </w:t>
      </w:r>
      <w:r w:rsidR="00DF3AE3" w:rsidRPr="00640FD4">
        <w:rPr>
          <w:rFonts w:ascii="Arial" w:hAnsi="Arial" w:cs="Arial"/>
          <w:sz w:val="20"/>
          <w:szCs w:val="20"/>
          <w:lang w:val="en-US"/>
        </w:rPr>
        <w:t>7</w:t>
      </w:r>
      <w:r w:rsidR="00541AF4" w:rsidRPr="00640FD4">
        <w:rPr>
          <w:rFonts w:ascii="Arial" w:hAnsi="Arial" w:cs="Arial"/>
          <w:sz w:val="20"/>
          <w:szCs w:val="20"/>
          <w:lang w:val="en-US"/>
        </w:rPr>
        <w:t>)</w:t>
      </w:r>
      <w:r w:rsidRPr="00640FD4">
        <w:rPr>
          <w:rFonts w:ascii="Arial" w:hAnsi="Arial" w:cs="Arial"/>
          <w:sz w:val="20"/>
          <w:szCs w:val="20"/>
          <w:lang w:val="en-US"/>
        </w:rPr>
        <w:t>.</w:t>
      </w:r>
      <w:r w:rsidR="0089608E" w:rsidRPr="00640FD4">
        <w:rPr>
          <w:rFonts w:ascii="Arial" w:hAnsi="Arial" w:cs="Arial"/>
          <w:sz w:val="20"/>
          <w:szCs w:val="20"/>
          <w:lang w:val="en-US"/>
        </w:rPr>
        <w:t xml:space="preserve"> </w:t>
      </w:r>
      <w:r w:rsidRPr="00640FD4">
        <w:rPr>
          <w:rFonts w:ascii="Arial" w:hAnsi="Arial" w:cs="Arial"/>
          <w:sz w:val="20"/>
          <w:szCs w:val="20"/>
          <w:lang w:val="en-US"/>
        </w:rPr>
        <w:t>The parameters used were as follows:</w:t>
      </w:r>
      <w:r w:rsidR="0089608E" w:rsidRPr="00640FD4">
        <w:rPr>
          <w:rFonts w:ascii="Arial" w:hAnsi="Arial" w:cs="Arial"/>
          <w:sz w:val="20"/>
          <w:szCs w:val="20"/>
          <w:lang w:val="en-US"/>
        </w:rPr>
        <w:t xml:space="preserve"> </w:t>
      </w:r>
      <w:r w:rsidRPr="00640FD4">
        <w:rPr>
          <w:rFonts w:ascii="Arial" w:hAnsi="Arial" w:cs="Arial"/>
          <w:sz w:val="20"/>
          <w:szCs w:val="20"/>
          <w:lang w:val="en-US"/>
        </w:rPr>
        <w:t>GWP (Conventional): mean = 0.185 kg CO</w:t>
      </w:r>
      <w:r w:rsidRPr="00640FD4">
        <w:rPr>
          <w:rFonts w:ascii="Cambria Math" w:hAnsi="Cambria Math" w:cs="Cambria Math"/>
          <w:sz w:val="20"/>
          <w:szCs w:val="20"/>
          <w:lang w:val="en-US"/>
        </w:rPr>
        <w:t>₂</w:t>
      </w:r>
      <w:r w:rsidRPr="00640FD4">
        <w:rPr>
          <w:rFonts w:ascii="Arial" w:hAnsi="Arial" w:cs="Arial"/>
          <w:sz w:val="20"/>
          <w:szCs w:val="20"/>
          <w:lang w:val="en-US"/>
        </w:rPr>
        <w:t xml:space="preserve"> eq, standard deviation = 0.004</w:t>
      </w:r>
      <w:r w:rsidR="0089608E" w:rsidRPr="00640FD4">
        <w:rPr>
          <w:rFonts w:ascii="Arial" w:hAnsi="Arial" w:cs="Arial"/>
          <w:sz w:val="20"/>
          <w:szCs w:val="20"/>
          <w:lang w:val="en-US"/>
        </w:rPr>
        <w:t xml:space="preserve">; </w:t>
      </w:r>
      <w:r w:rsidRPr="00640FD4">
        <w:rPr>
          <w:rFonts w:ascii="Arial" w:hAnsi="Arial" w:cs="Arial"/>
          <w:sz w:val="20"/>
          <w:szCs w:val="20"/>
          <w:lang w:val="en-US"/>
        </w:rPr>
        <w:t>GWP (PA): mean = 0.132 kg CO</w:t>
      </w:r>
      <w:r w:rsidRPr="00640FD4">
        <w:rPr>
          <w:rFonts w:ascii="Cambria Math" w:hAnsi="Cambria Math" w:cs="Cambria Math"/>
          <w:sz w:val="20"/>
          <w:szCs w:val="20"/>
          <w:lang w:val="en-US"/>
        </w:rPr>
        <w:t>₂</w:t>
      </w:r>
      <w:r w:rsidRPr="00640FD4">
        <w:rPr>
          <w:rFonts w:ascii="Arial" w:hAnsi="Arial" w:cs="Arial"/>
          <w:sz w:val="20"/>
          <w:szCs w:val="20"/>
          <w:lang w:val="en-US"/>
        </w:rPr>
        <w:t xml:space="preserve"> eq, standard deviation = 0.004</w:t>
      </w:r>
      <w:r w:rsidR="0089608E" w:rsidRPr="00640FD4">
        <w:rPr>
          <w:rFonts w:ascii="Arial" w:hAnsi="Arial" w:cs="Arial"/>
          <w:sz w:val="20"/>
          <w:szCs w:val="20"/>
          <w:lang w:val="en-US"/>
        </w:rPr>
        <w:t>,</w:t>
      </w:r>
      <w:r w:rsidR="00DF3AE3" w:rsidRPr="00640FD4">
        <w:rPr>
          <w:rFonts w:ascii="Arial" w:hAnsi="Arial" w:cs="Arial"/>
          <w:sz w:val="20"/>
          <w:szCs w:val="20"/>
          <w:lang w:val="en-US"/>
        </w:rPr>
        <w:t xml:space="preserve"> </w:t>
      </w:r>
      <w:r w:rsidR="0089608E" w:rsidRPr="00640FD4">
        <w:rPr>
          <w:rFonts w:ascii="Arial" w:hAnsi="Arial" w:cs="Arial"/>
          <w:sz w:val="20"/>
          <w:szCs w:val="20"/>
          <w:lang w:val="en-US"/>
        </w:rPr>
        <w:t xml:space="preserve">and </w:t>
      </w:r>
      <w:r w:rsidRPr="00640FD4">
        <w:rPr>
          <w:rFonts w:ascii="Arial" w:hAnsi="Arial" w:cs="Arial"/>
          <w:sz w:val="20"/>
          <w:szCs w:val="20"/>
          <w:lang w:val="en-US"/>
        </w:rPr>
        <w:t>GWP (PA +20% N): adjusted mean = 0.145 kg CO</w:t>
      </w:r>
      <w:r w:rsidRPr="00640FD4">
        <w:rPr>
          <w:rFonts w:ascii="Cambria Math" w:hAnsi="Cambria Math" w:cs="Cambria Math"/>
          <w:sz w:val="20"/>
          <w:szCs w:val="20"/>
          <w:lang w:val="en-US"/>
        </w:rPr>
        <w:t>₂</w:t>
      </w:r>
      <w:r w:rsidRPr="00640FD4">
        <w:rPr>
          <w:rFonts w:ascii="Arial" w:hAnsi="Arial" w:cs="Arial"/>
          <w:sz w:val="20"/>
          <w:szCs w:val="20"/>
          <w:lang w:val="en-US"/>
        </w:rPr>
        <w:t xml:space="preserve"> eq, standard deviation = 0.0044</w:t>
      </w:r>
      <w:r w:rsidR="0089608E" w:rsidRPr="00640FD4">
        <w:rPr>
          <w:rFonts w:ascii="Arial" w:hAnsi="Arial" w:cs="Arial"/>
          <w:sz w:val="20"/>
          <w:szCs w:val="20"/>
          <w:lang w:val="en-US"/>
        </w:rPr>
        <w:t xml:space="preserve">. </w:t>
      </w:r>
      <w:r w:rsidRPr="00640FD4">
        <w:rPr>
          <w:rFonts w:ascii="Arial" w:hAnsi="Arial" w:cs="Arial"/>
          <w:sz w:val="20"/>
          <w:szCs w:val="20"/>
          <w:lang w:val="en-US"/>
        </w:rPr>
        <w:t>We simulated three normal distributions and compared the scenarios using statistical tests:</w:t>
      </w:r>
      <w:r w:rsidR="0089608E" w:rsidRPr="00640FD4">
        <w:rPr>
          <w:rFonts w:ascii="Arial" w:hAnsi="Arial" w:cs="Arial"/>
          <w:sz w:val="20"/>
          <w:szCs w:val="20"/>
          <w:lang w:val="en-US"/>
        </w:rPr>
        <w:t xml:space="preserve"> </w:t>
      </w:r>
      <w:r w:rsidRPr="00640FD4">
        <w:rPr>
          <w:rFonts w:ascii="Arial" w:hAnsi="Arial" w:cs="Arial"/>
          <w:sz w:val="20"/>
          <w:szCs w:val="20"/>
          <w:lang w:val="en-US"/>
        </w:rPr>
        <w:t>Welch’s t-test for unequal variances</w:t>
      </w:r>
      <w:r w:rsidR="0089608E" w:rsidRPr="00640FD4">
        <w:rPr>
          <w:rFonts w:ascii="Arial" w:hAnsi="Arial" w:cs="Arial"/>
          <w:sz w:val="20"/>
          <w:szCs w:val="20"/>
          <w:lang w:val="en-US"/>
        </w:rPr>
        <w:t xml:space="preserve">; </w:t>
      </w:r>
      <w:r w:rsidRPr="00640FD4">
        <w:rPr>
          <w:rFonts w:ascii="Arial" w:hAnsi="Arial" w:cs="Arial"/>
          <w:sz w:val="20"/>
          <w:szCs w:val="20"/>
          <w:lang w:val="en-US"/>
        </w:rPr>
        <w:t>Mann-Whitney U test (non-parametric)</w:t>
      </w:r>
      <w:r w:rsidR="0089608E" w:rsidRPr="00640FD4">
        <w:rPr>
          <w:rFonts w:ascii="Arial" w:hAnsi="Arial" w:cs="Arial"/>
          <w:sz w:val="20"/>
          <w:szCs w:val="20"/>
          <w:lang w:val="en-US"/>
        </w:rPr>
        <w:t xml:space="preserve"> and </w:t>
      </w:r>
      <w:r w:rsidRPr="00640FD4">
        <w:rPr>
          <w:rFonts w:ascii="Arial" w:hAnsi="Arial" w:cs="Arial"/>
          <w:sz w:val="20"/>
          <w:szCs w:val="20"/>
          <w:lang w:val="en-US"/>
        </w:rPr>
        <w:t>Kolmogorov-Smirnov test for full distribution comparison</w:t>
      </w:r>
      <w:r w:rsidR="0089608E" w:rsidRPr="00640FD4">
        <w:rPr>
          <w:rFonts w:ascii="Arial" w:hAnsi="Arial" w:cs="Arial"/>
          <w:sz w:val="20"/>
          <w:szCs w:val="20"/>
          <w:lang w:val="en-US"/>
        </w:rPr>
        <w:t>.</w:t>
      </w:r>
    </w:p>
    <w:p w14:paraId="74CC1D32" w14:textId="77777777" w:rsidR="00640FD4" w:rsidRPr="00D22C5B" w:rsidRDefault="00640FD4" w:rsidP="00640FD4">
      <w:pPr>
        <w:spacing w:line="360" w:lineRule="auto"/>
        <w:jc w:val="both"/>
        <w:rPr>
          <w:rFonts w:ascii="Arial" w:hAnsi="Arial" w:cs="Arial"/>
          <w:sz w:val="24"/>
          <w:szCs w:val="24"/>
          <w:lang w:val="en-US"/>
        </w:rPr>
      </w:pPr>
    </w:p>
    <w:p w14:paraId="3FFECEF9" w14:textId="29E18A6A" w:rsidR="001551D2" w:rsidRPr="00D22C5B" w:rsidRDefault="00466B3D" w:rsidP="004329B3">
      <w:pPr>
        <w:spacing w:line="360" w:lineRule="auto"/>
        <w:jc w:val="both"/>
        <w:rPr>
          <w:rFonts w:ascii="Arial" w:hAnsi="Arial" w:cs="Arial"/>
          <w:sz w:val="24"/>
          <w:szCs w:val="24"/>
          <w:lang w:val="en-US"/>
        </w:rPr>
      </w:pPr>
      <w:r w:rsidRPr="00D22C5B">
        <w:rPr>
          <w:rFonts w:ascii="Arial" w:hAnsi="Arial" w:cs="Arial"/>
          <w:noProof/>
          <w:sz w:val="24"/>
          <w:szCs w:val="24"/>
        </w:rPr>
        <w:lastRenderedPageBreak/>
        <w:drawing>
          <wp:anchor distT="0" distB="0" distL="114300" distR="114300" simplePos="0" relativeHeight="251663360" behindDoc="0" locked="0" layoutInCell="1" allowOverlap="1" wp14:anchorId="3A1E8CE8" wp14:editId="7895F283">
            <wp:simplePos x="0" y="0"/>
            <wp:positionH relativeFrom="column">
              <wp:posOffset>-228600</wp:posOffset>
            </wp:positionH>
            <wp:positionV relativeFrom="paragraph">
              <wp:posOffset>53953</wp:posOffset>
            </wp:positionV>
            <wp:extent cx="6019800" cy="2949575"/>
            <wp:effectExtent l="0" t="0" r="0" b="3175"/>
            <wp:wrapTopAndBottom/>
            <wp:docPr id="706643630" name="Imagem 3"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43630" name="Imagem 3" descr="Gráfico&#10;&#10;O conteúdo gerado por IA pode estar incorre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9800" cy="2949575"/>
                    </a:xfrm>
                    <a:prstGeom prst="rect">
                      <a:avLst/>
                    </a:prstGeom>
                  </pic:spPr>
                </pic:pic>
              </a:graphicData>
            </a:graphic>
            <wp14:sizeRelH relativeFrom="margin">
              <wp14:pctWidth>0</wp14:pctWidth>
            </wp14:sizeRelH>
            <wp14:sizeRelV relativeFrom="margin">
              <wp14:pctHeight>0</wp14:pctHeight>
            </wp14:sizeRelV>
          </wp:anchor>
        </w:drawing>
      </w:r>
    </w:p>
    <w:p w14:paraId="44603968" w14:textId="77777777" w:rsidR="004329B3" w:rsidRPr="004329B3" w:rsidRDefault="004329B3" w:rsidP="004329B3">
      <w:pPr>
        <w:spacing w:line="360" w:lineRule="auto"/>
        <w:jc w:val="both"/>
        <w:rPr>
          <w:rFonts w:ascii="Arial" w:hAnsi="Arial" w:cs="Arial"/>
          <w:b/>
          <w:bCs/>
          <w:sz w:val="20"/>
          <w:szCs w:val="20"/>
          <w:lang w:val="en-US"/>
        </w:rPr>
      </w:pPr>
      <w:r w:rsidRPr="004329B3">
        <w:rPr>
          <w:rFonts w:ascii="Arial" w:hAnsi="Arial" w:cs="Arial"/>
          <w:b/>
          <w:bCs/>
          <w:sz w:val="20"/>
          <w:szCs w:val="20"/>
          <w:lang w:val="en-US"/>
        </w:rPr>
        <w:t>Figure 7. Probability Density Functions of Global Warming Potential for Soybean Production Systems under Conventional and Precision Agriculture Scenarios</w:t>
      </w:r>
    </w:p>
    <w:p w14:paraId="200B5D0E" w14:textId="77777777" w:rsidR="004329B3" w:rsidRDefault="004329B3" w:rsidP="001551D2">
      <w:pPr>
        <w:spacing w:after="0" w:line="360" w:lineRule="auto"/>
        <w:ind w:firstLine="708"/>
        <w:jc w:val="both"/>
        <w:rPr>
          <w:rFonts w:ascii="Arial" w:hAnsi="Arial" w:cs="Arial"/>
          <w:sz w:val="24"/>
          <w:szCs w:val="24"/>
          <w:lang w:val="en-US"/>
        </w:rPr>
      </w:pPr>
    </w:p>
    <w:p w14:paraId="6BC2AF12" w14:textId="0139C370" w:rsidR="00E01201" w:rsidRPr="004329B3" w:rsidRDefault="00E01201" w:rsidP="004329B3">
      <w:pPr>
        <w:spacing w:after="0" w:line="360" w:lineRule="auto"/>
        <w:jc w:val="both"/>
        <w:rPr>
          <w:rFonts w:ascii="Arial" w:hAnsi="Arial" w:cs="Arial"/>
          <w:sz w:val="20"/>
          <w:szCs w:val="20"/>
          <w:lang w:val="en-US"/>
        </w:rPr>
      </w:pPr>
      <w:r w:rsidRPr="004329B3">
        <w:rPr>
          <w:rFonts w:ascii="Arial" w:hAnsi="Arial" w:cs="Arial"/>
          <w:sz w:val="20"/>
          <w:szCs w:val="20"/>
          <w:lang w:val="en-US"/>
        </w:rPr>
        <w:t>The results revealed statistically significant differences (p &lt; 0.001) between the conventional and PA systems, as well as between PA and PA with +20% N, across all comparisons. This confirms the environmental robustness of the PA system even under increased nitrogen input scenarios.</w:t>
      </w:r>
    </w:p>
    <w:p w14:paraId="26C33077" w14:textId="77777777" w:rsidR="00E01201" w:rsidRPr="004329B3" w:rsidRDefault="00E01201" w:rsidP="004329B3">
      <w:pPr>
        <w:spacing w:after="0" w:line="360" w:lineRule="auto"/>
        <w:jc w:val="both"/>
        <w:rPr>
          <w:rFonts w:ascii="Arial" w:hAnsi="Arial" w:cs="Arial"/>
          <w:sz w:val="20"/>
          <w:szCs w:val="20"/>
          <w:lang w:val="en-US"/>
        </w:rPr>
      </w:pPr>
      <w:r w:rsidRPr="004329B3">
        <w:rPr>
          <w:rFonts w:ascii="Arial" w:hAnsi="Arial" w:cs="Arial"/>
          <w:sz w:val="20"/>
          <w:szCs w:val="20"/>
          <w:lang w:val="en-US"/>
        </w:rPr>
        <w:t>Furthermore, visualizations of the simulated distributions (density plots) showed that the PA system not only achieved a lower mean impact but also exhibited reduced variability, further reinforcing its environmental viability.</w:t>
      </w:r>
    </w:p>
    <w:p w14:paraId="66253E93" w14:textId="77777777" w:rsidR="000B7F07" w:rsidRPr="00D22C5B" w:rsidRDefault="000B7F07" w:rsidP="0089608E">
      <w:pPr>
        <w:spacing w:after="0" w:line="360" w:lineRule="auto"/>
        <w:ind w:firstLine="708"/>
        <w:jc w:val="both"/>
        <w:rPr>
          <w:rFonts w:ascii="Arial" w:hAnsi="Arial" w:cs="Arial"/>
          <w:sz w:val="24"/>
          <w:szCs w:val="24"/>
          <w:lang w:val="en-US"/>
        </w:rPr>
      </w:pPr>
    </w:p>
    <w:p w14:paraId="6A64C781" w14:textId="1B46E485" w:rsidR="003379FC" w:rsidRDefault="003379FC" w:rsidP="0089608E">
      <w:pPr>
        <w:spacing w:after="0" w:line="360" w:lineRule="auto"/>
        <w:jc w:val="both"/>
        <w:rPr>
          <w:rFonts w:ascii="Arial" w:hAnsi="Arial" w:cs="Arial"/>
          <w:b/>
          <w:bCs/>
          <w:lang w:val="en-US"/>
        </w:rPr>
      </w:pPr>
      <w:r w:rsidRPr="004329B3">
        <w:rPr>
          <w:rFonts w:ascii="Arial" w:hAnsi="Arial" w:cs="Arial"/>
          <w:b/>
          <w:bCs/>
          <w:lang w:val="en-US"/>
        </w:rPr>
        <w:t>3.</w:t>
      </w:r>
      <w:r w:rsidR="008269EF" w:rsidRPr="004329B3">
        <w:rPr>
          <w:rFonts w:ascii="Arial" w:hAnsi="Arial" w:cs="Arial"/>
          <w:b/>
          <w:bCs/>
          <w:lang w:val="en-US"/>
        </w:rPr>
        <w:t>3</w:t>
      </w:r>
      <w:r w:rsidRPr="004329B3">
        <w:rPr>
          <w:rFonts w:ascii="Arial" w:hAnsi="Arial" w:cs="Arial"/>
          <w:b/>
          <w:bCs/>
          <w:lang w:val="en-US"/>
        </w:rPr>
        <w:t xml:space="preserve"> Operational Implications and Policy Relevance</w:t>
      </w:r>
    </w:p>
    <w:p w14:paraId="2AD8F6D1" w14:textId="77777777" w:rsidR="004329B3" w:rsidRDefault="004329B3" w:rsidP="004329B3">
      <w:pPr>
        <w:spacing w:after="0" w:line="360" w:lineRule="auto"/>
        <w:jc w:val="both"/>
        <w:rPr>
          <w:rFonts w:ascii="Arial" w:hAnsi="Arial" w:cs="Arial"/>
          <w:b/>
          <w:bCs/>
          <w:lang w:val="en-US"/>
        </w:rPr>
      </w:pPr>
    </w:p>
    <w:p w14:paraId="44830AA1" w14:textId="62D89BAC" w:rsidR="00730BC7" w:rsidRPr="004329B3" w:rsidRDefault="00730BC7" w:rsidP="0090389F">
      <w:pPr>
        <w:spacing w:line="360" w:lineRule="auto"/>
        <w:jc w:val="both"/>
        <w:rPr>
          <w:rFonts w:ascii="Arial" w:hAnsi="Arial" w:cs="Arial"/>
          <w:sz w:val="20"/>
          <w:szCs w:val="20"/>
          <w:lang w:val="en-US"/>
        </w:rPr>
      </w:pPr>
      <w:r w:rsidRPr="004329B3">
        <w:rPr>
          <w:rFonts w:ascii="Arial" w:hAnsi="Arial" w:cs="Arial"/>
          <w:sz w:val="20"/>
          <w:szCs w:val="20"/>
          <w:lang w:val="en-US"/>
        </w:rPr>
        <w:t>Analyzing environmental impacts by stage highlights planting and cultivation as key contributors. PA technologies reduced these impacts through targeted input applications based on spatial fertility data. Despite a slight increase in seed use, higher yields under PA ensured superior environmental performance.</w:t>
      </w:r>
    </w:p>
    <w:p w14:paraId="723BA2D8" w14:textId="77777777" w:rsidR="00730BC7" w:rsidRPr="004329B3" w:rsidRDefault="00730BC7" w:rsidP="0090389F">
      <w:pPr>
        <w:spacing w:line="360" w:lineRule="auto"/>
        <w:jc w:val="both"/>
        <w:rPr>
          <w:rFonts w:ascii="Arial" w:hAnsi="Arial" w:cs="Arial"/>
          <w:sz w:val="20"/>
          <w:szCs w:val="20"/>
          <w:lang w:val="en-US"/>
        </w:rPr>
      </w:pPr>
      <w:r w:rsidRPr="004329B3">
        <w:rPr>
          <w:rFonts w:ascii="Arial" w:hAnsi="Arial" w:cs="Arial"/>
          <w:sz w:val="20"/>
          <w:szCs w:val="20"/>
          <w:lang w:val="en-US"/>
        </w:rPr>
        <w:t>These quantitative findings support policies to scale PA adoption in Brazil, where usage remains limited. Besides environmental benefits, input optimization can enhance economic performance and agricultural competitiveness.</w:t>
      </w:r>
    </w:p>
    <w:p w14:paraId="1550EDF3" w14:textId="77777777" w:rsidR="0089608E" w:rsidRPr="00D22C5B" w:rsidRDefault="0089608E" w:rsidP="00730BC7">
      <w:pPr>
        <w:spacing w:after="0" w:line="360" w:lineRule="auto"/>
        <w:ind w:firstLine="708"/>
        <w:jc w:val="both"/>
        <w:rPr>
          <w:rFonts w:ascii="Arial" w:hAnsi="Arial" w:cs="Arial"/>
          <w:sz w:val="24"/>
          <w:szCs w:val="24"/>
          <w:lang w:val="en-US"/>
        </w:rPr>
      </w:pPr>
    </w:p>
    <w:p w14:paraId="54B6D4C8" w14:textId="77777777" w:rsidR="00644EFE" w:rsidRPr="0090389F" w:rsidRDefault="00644EFE" w:rsidP="00644EFE">
      <w:pPr>
        <w:spacing w:after="0" w:line="360" w:lineRule="auto"/>
        <w:jc w:val="both"/>
        <w:rPr>
          <w:rFonts w:ascii="Arial" w:hAnsi="Arial" w:cs="Arial"/>
          <w:b/>
          <w:bCs/>
          <w:lang w:val="en-US"/>
        </w:rPr>
      </w:pPr>
      <w:r w:rsidRPr="0090389F">
        <w:rPr>
          <w:rFonts w:ascii="Arial" w:hAnsi="Arial" w:cs="Arial"/>
          <w:b/>
          <w:bCs/>
          <w:lang w:val="en-US"/>
        </w:rPr>
        <w:t>3.4 Limitations and Extrapolation of Findings</w:t>
      </w:r>
    </w:p>
    <w:p w14:paraId="4273F482" w14:textId="640D7159" w:rsidR="00210321" w:rsidRPr="0090389F" w:rsidRDefault="00210321" w:rsidP="0090389F">
      <w:pPr>
        <w:spacing w:line="360" w:lineRule="auto"/>
        <w:jc w:val="both"/>
        <w:rPr>
          <w:rFonts w:ascii="Arial" w:hAnsi="Arial" w:cs="Arial"/>
          <w:sz w:val="20"/>
          <w:szCs w:val="20"/>
          <w:lang w:val="en-US"/>
        </w:rPr>
      </w:pPr>
      <w:r w:rsidRPr="0090389F">
        <w:rPr>
          <w:rFonts w:ascii="Arial" w:hAnsi="Arial" w:cs="Arial"/>
          <w:sz w:val="20"/>
          <w:szCs w:val="20"/>
          <w:lang w:val="en-US"/>
        </w:rPr>
        <w:lastRenderedPageBreak/>
        <w:t>Although this study provides compelling evidence of the environmental benefits of PA for site-specific fertility management in soybean systems, some limitations should be acknowledged regarding the extrapolation of these results to other agricultural contexts.</w:t>
      </w:r>
    </w:p>
    <w:p w14:paraId="7577F803" w14:textId="70AE262C" w:rsidR="00210321" w:rsidRPr="0090389F" w:rsidRDefault="00210321" w:rsidP="0090389F">
      <w:pPr>
        <w:spacing w:line="360" w:lineRule="auto"/>
        <w:jc w:val="both"/>
        <w:rPr>
          <w:rFonts w:ascii="Arial" w:hAnsi="Arial" w:cs="Arial"/>
          <w:sz w:val="20"/>
          <w:szCs w:val="20"/>
          <w:lang w:val="en-US"/>
        </w:rPr>
      </w:pPr>
      <w:r w:rsidRPr="0090389F">
        <w:rPr>
          <w:rFonts w:ascii="Arial" w:hAnsi="Arial" w:cs="Arial"/>
          <w:sz w:val="20"/>
          <w:szCs w:val="20"/>
          <w:lang w:val="en-US"/>
        </w:rPr>
        <w:t xml:space="preserve">The study was conducted on a commercial farm in </w:t>
      </w:r>
      <w:proofErr w:type="spellStart"/>
      <w:r w:rsidRPr="0090389F">
        <w:rPr>
          <w:rFonts w:ascii="Arial" w:hAnsi="Arial" w:cs="Arial"/>
          <w:sz w:val="20"/>
          <w:szCs w:val="20"/>
          <w:lang w:val="en-US"/>
        </w:rPr>
        <w:t>Caarapó</w:t>
      </w:r>
      <w:proofErr w:type="spellEnd"/>
      <w:r w:rsidRPr="0090389F">
        <w:rPr>
          <w:rFonts w:ascii="Arial" w:hAnsi="Arial" w:cs="Arial"/>
          <w:sz w:val="20"/>
          <w:szCs w:val="20"/>
          <w:lang w:val="en-US"/>
        </w:rPr>
        <w:t xml:space="preserve">, Mato Grosso do Sul, characterized by high-clay </w:t>
      </w:r>
      <w:proofErr w:type="spellStart"/>
      <w:r w:rsidRPr="0090389F">
        <w:rPr>
          <w:rFonts w:ascii="Arial" w:hAnsi="Arial" w:cs="Arial"/>
          <w:sz w:val="20"/>
          <w:szCs w:val="20"/>
          <w:lang w:val="en-US"/>
        </w:rPr>
        <w:t>Oxisol</w:t>
      </w:r>
      <w:proofErr w:type="spellEnd"/>
      <w:r w:rsidRPr="0090389F">
        <w:rPr>
          <w:rFonts w:ascii="Arial" w:hAnsi="Arial" w:cs="Arial"/>
          <w:sz w:val="20"/>
          <w:szCs w:val="20"/>
          <w:lang w:val="en-US"/>
        </w:rPr>
        <w:t xml:space="preserve"> soils, a soybean–maize crop rotation, and no-tillage practices. These edaphoclimatic conditions, along with annual precipitation levels and farm-level management strategies, can influence the effectiveness of PA technologies. As such, the environmental performance gains observed here may not be fully replicable in regions with different soil textures (e.g., sandy soils with lower nutrient retention), water constraints, or in agroecosystems subject to greater climatic variability.</w:t>
      </w:r>
    </w:p>
    <w:p w14:paraId="167294A9" w14:textId="77777777" w:rsidR="00210321" w:rsidRPr="0090389F" w:rsidRDefault="00210321" w:rsidP="0090389F">
      <w:pPr>
        <w:spacing w:line="360" w:lineRule="auto"/>
        <w:jc w:val="both"/>
        <w:rPr>
          <w:rFonts w:ascii="Arial" w:hAnsi="Arial" w:cs="Arial"/>
          <w:sz w:val="20"/>
          <w:szCs w:val="20"/>
          <w:lang w:val="en-US"/>
        </w:rPr>
      </w:pPr>
      <w:r w:rsidRPr="0090389F">
        <w:rPr>
          <w:rFonts w:ascii="Arial" w:hAnsi="Arial" w:cs="Arial"/>
          <w:sz w:val="20"/>
          <w:szCs w:val="20"/>
          <w:lang w:val="en-US"/>
        </w:rPr>
        <w:t>Moreover, the studied farm benefits from high mechanization levels and access to technical support, which may not reflect the realities of small- and medium-sized farms, where capital and digital infrastructure are often more limited. These structural differences may affect both the adoption and the effectiveness of PA practices.</w:t>
      </w:r>
    </w:p>
    <w:p w14:paraId="44BDDDC1" w14:textId="31654DA5" w:rsidR="00210321" w:rsidRPr="0090389F" w:rsidRDefault="00210321" w:rsidP="0090389F">
      <w:pPr>
        <w:spacing w:line="360" w:lineRule="auto"/>
        <w:jc w:val="both"/>
        <w:rPr>
          <w:rFonts w:ascii="Arial" w:hAnsi="Arial" w:cs="Arial"/>
          <w:sz w:val="20"/>
          <w:szCs w:val="20"/>
          <w:lang w:val="en-US"/>
        </w:rPr>
      </w:pPr>
      <w:r w:rsidRPr="0090389F">
        <w:rPr>
          <w:rFonts w:ascii="Arial" w:hAnsi="Arial" w:cs="Arial"/>
          <w:sz w:val="20"/>
          <w:szCs w:val="20"/>
          <w:lang w:val="en-US"/>
        </w:rPr>
        <w:t>It is also important to note that this study focused exclusively on fertility management. Other components of crop production, such as pest management, irrigation, or harvesting logistics, also contribute substantially to environmental impacts and may interact with PA tools in complex ways.</w:t>
      </w:r>
    </w:p>
    <w:p w14:paraId="42F0FE18" w14:textId="67DB90B7" w:rsidR="00210321" w:rsidRPr="0090389F" w:rsidRDefault="00210321" w:rsidP="0090389F">
      <w:pPr>
        <w:spacing w:line="360" w:lineRule="auto"/>
        <w:jc w:val="both"/>
        <w:rPr>
          <w:rFonts w:ascii="Arial" w:hAnsi="Arial" w:cs="Arial"/>
          <w:sz w:val="20"/>
          <w:szCs w:val="20"/>
          <w:lang w:val="en-US"/>
        </w:rPr>
      </w:pPr>
      <w:r w:rsidRPr="0090389F">
        <w:rPr>
          <w:rFonts w:ascii="Arial" w:hAnsi="Arial" w:cs="Arial"/>
          <w:sz w:val="20"/>
          <w:szCs w:val="20"/>
          <w:lang w:val="en-US"/>
        </w:rPr>
        <w:t>Finally, the quasi-experimental design, while reinforced by five years of primary data and Monte Carlo simulations, does not include spatial replications across multiple farms or biomes. Thus, generalizations to other Brazilian regions, such as the Amazon, Caatinga, or Pantana</w:t>
      </w:r>
      <w:r w:rsidR="00D52F45" w:rsidRPr="0090389F">
        <w:rPr>
          <w:rFonts w:ascii="Arial" w:hAnsi="Arial" w:cs="Arial"/>
          <w:sz w:val="20"/>
          <w:szCs w:val="20"/>
          <w:lang w:val="en-US"/>
        </w:rPr>
        <w:t>l</w:t>
      </w:r>
      <w:r w:rsidRPr="0090389F">
        <w:rPr>
          <w:rFonts w:ascii="Arial" w:hAnsi="Arial" w:cs="Arial"/>
          <w:sz w:val="20"/>
          <w:szCs w:val="20"/>
          <w:lang w:val="en-US"/>
        </w:rPr>
        <w:t>, or to diversified farming systems (e.g., polycultures, agroforestry) should be approached with caution.</w:t>
      </w:r>
    </w:p>
    <w:p w14:paraId="4DF24585" w14:textId="77777777" w:rsidR="00F44CB5" w:rsidRPr="00D22C5B" w:rsidRDefault="00F44CB5" w:rsidP="00210321">
      <w:pPr>
        <w:spacing w:after="0" w:line="360" w:lineRule="auto"/>
        <w:ind w:firstLine="708"/>
        <w:jc w:val="both"/>
        <w:rPr>
          <w:rFonts w:ascii="Arial" w:hAnsi="Arial" w:cs="Arial"/>
          <w:sz w:val="24"/>
          <w:szCs w:val="24"/>
          <w:lang w:val="en-US"/>
        </w:rPr>
      </w:pPr>
    </w:p>
    <w:p w14:paraId="359D97A9" w14:textId="3A027A55" w:rsidR="006C25E0" w:rsidRDefault="006C25E0" w:rsidP="00F44CB5">
      <w:pPr>
        <w:spacing w:after="0" w:line="360" w:lineRule="auto"/>
        <w:jc w:val="both"/>
        <w:rPr>
          <w:rFonts w:ascii="Arial" w:hAnsi="Arial" w:cs="Arial"/>
          <w:b/>
          <w:bCs/>
          <w:sz w:val="24"/>
          <w:szCs w:val="24"/>
          <w:lang w:val="en-US"/>
        </w:rPr>
      </w:pPr>
      <w:r w:rsidRPr="00D22C5B">
        <w:rPr>
          <w:rFonts w:ascii="Arial" w:hAnsi="Arial" w:cs="Arial"/>
          <w:b/>
          <w:bCs/>
          <w:sz w:val="24"/>
          <w:szCs w:val="24"/>
          <w:lang w:val="en-US"/>
        </w:rPr>
        <w:t xml:space="preserve">4 </w:t>
      </w:r>
      <w:r w:rsidR="0090389F" w:rsidRPr="00D22C5B">
        <w:rPr>
          <w:rFonts w:ascii="Arial" w:hAnsi="Arial" w:cs="Arial"/>
          <w:b/>
          <w:bCs/>
          <w:sz w:val="24"/>
          <w:szCs w:val="24"/>
          <w:lang w:val="en-US"/>
        </w:rPr>
        <w:t>CONCLUSIONS</w:t>
      </w:r>
      <w:bookmarkEnd w:id="10"/>
    </w:p>
    <w:p w14:paraId="5BB9EF7D" w14:textId="77777777" w:rsidR="0090389F" w:rsidRPr="00D22C5B" w:rsidRDefault="0090389F" w:rsidP="00F44CB5">
      <w:pPr>
        <w:spacing w:after="0" w:line="360" w:lineRule="auto"/>
        <w:jc w:val="both"/>
        <w:rPr>
          <w:rFonts w:ascii="Arial" w:hAnsi="Arial" w:cs="Arial"/>
          <w:b/>
          <w:bCs/>
          <w:sz w:val="24"/>
          <w:szCs w:val="24"/>
          <w:lang w:val="en-US"/>
        </w:rPr>
      </w:pPr>
    </w:p>
    <w:p w14:paraId="4FD610A2" w14:textId="71244A41" w:rsidR="001416A9" w:rsidRPr="0090389F" w:rsidRDefault="00015524" w:rsidP="0090389F">
      <w:pPr>
        <w:spacing w:line="360" w:lineRule="auto"/>
        <w:jc w:val="both"/>
        <w:rPr>
          <w:rFonts w:ascii="Arial" w:hAnsi="Arial" w:cs="Arial"/>
          <w:sz w:val="20"/>
          <w:szCs w:val="20"/>
          <w:lang w:val="en-US"/>
        </w:rPr>
      </w:pPr>
      <w:r w:rsidRPr="0090389F">
        <w:rPr>
          <w:rFonts w:ascii="Arial" w:hAnsi="Arial" w:cs="Arial"/>
          <w:sz w:val="20"/>
          <w:szCs w:val="20"/>
          <w:lang w:val="en-US"/>
        </w:rPr>
        <w:t>This study provides compelling evidence that Precision Agriculture technologies significantly enhance the environmental sustainability of soybean production systems. By improving fertility management through spatially explicit input use, PA reduced key environmental impacts</w:t>
      </w:r>
      <w:r w:rsidR="0092462F" w:rsidRPr="0090389F">
        <w:rPr>
          <w:rFonts w:ascii="Arial" w:hAnsi="Arial" w:cs="Arial"/>
          <w:sz w:val="20"/>
          <w:szCs w:val="20"/>
          <w:lang w:val="en-US"/>
        </w:rPr>
        <w:t xml:space="preserve">, </w:t>
      </w:r>
      <w:r w:rsidRPr="0090389F">
        <w:rPr>
          <w:rFonts w:ascii="Arial" w:hAnsi="Arial" w:cs="Arial"/>
          <w:sz w:val="20"/>
          <w:szCs w:val="20"/>
          <w:lang w:val="en-US"/>
        </w:rPr>
        <w:t xml:space="preserve">including global warming, eutrophication, acidification, and human toxicity potentials, compared to conventional practices. </w:t>
      </w:r>
      <w:r w:rsidR="003379FC" w:rsidRPr="0090389F">
        <w:rPr>
          <w:rFonts w:ascii="Arial" w:hAnsi="Arial" w:cs="Arial"/>
          <w:sz w:val="20"/>
          <w:szCs w:val="20"/>
          <w:lang w:val="en-US"/>
        </w:rPr>
        <w:t>Estimates of direct emissions and the sensitivity analysis further reinforced the robustness of the findings. The results demonstrate that even under input variability scenarios, PA consistently outperforms conventional management in terms of environmental performance.</w:t>
      </w:r>
    </w:p>
    <w:p w14:paraId="2636F261" w14:textId="593E8DE3" w:rsidR="00015524" w:rsidRPr="0090389F" w:rsidRDefault="00015524" w:rsidP="0090389F">
      <w:pPr>
        <w:spacing w:line="360" w:lineRule="auto"/>
        <w:jc w:val="both"/>
        <w:rPr>
          <w:rFonts w:ascii="Arial" w:hAnsi="Arial" w:cs="Arial"/>
          <w:sz w:val="20"/>
          <w:szCs w:val="20"/>
          <w:lang w:val="en-US"/>
        </w:rPr>
      </w:pPr>
      <w:r w:rsidRPr="0090389F">
        <w:rPr>
          <w:rFonts w:ascii="Arial" w:hAnsi="Arial" w:cs="Arial"/>
          <w:sz w:val="20"/>
          <w:szCs w:val="20"/>
          <w:lang w:val="en-US"/>
        </w:rPr>
        <w:t>The consistent reductions across multiple impact categories reinforce PA's role as a viable strategy for sustainable intensification, especially in large-scale farming operations. Beyond environmental gains, the optimized use of inputs also implies potential economic efficiencies that could strengthen the business case for broader PA adoption in Brazil and beyond.</w:t>
      </w:r>
    </w:p>
    <w:p w14:paraId="24FD4BE1" w14:textId="77777777" w:rsidR="00015524" w:rsidRPr="0090389F" w:rsidRDefault="00015524" w:rsidP="0090389F">
      <w:pPr>
        <w:spacing w:line="360" w:lineRule="auto"/>
        <w:jc w:val="both"/>
        <w:rPr>
          <w:rFonts w:ascii="Arial" w:hAnsi="Arial" w:cs="Arial"/>
          <w:sz w:val="20"/>
          <w:szCs w:val="20"/>
          <w:lang w:val="en-US"/>
        </w:rPr>
      </w:pPr>
      <w:r w:rsidRPr="0090389F">
        <w:rPr>
          <w:rFonts w:ascii="Arial" w:hAnsi="Arial" w:cs="Arial"/>
          <w:sz w:val="20"/>
          <w:szCs w:val="20"/>
          <w:lang w:val="en-US"/>
        </w:rPr>
        <w:t xml:space="preserve">Importantly, PA should not be viewed in isolation but as part of a broader transition toward climate-smart and resource-efficient agriculture. The integration of PA with supportive policies, inclusive financing </w:t>
      </w:r>
      <w:r w:rsidRPr="0090389F">
        <w:rPr>
          <w:rFonts w:ascii="Arial" w:hAnsi="Arial" w:cs="Arial"/>
          <w:sz w:val="20"/>
          <w:szCs w:val="20"/>
          <w:lang w:val="en-US"/>
        </w:rPr>
        <w:lastRenderedPageBreak/>
        <w:t>mechanisms, and capacity-building programs could accelerate its adoption and maximize its environmental and socio-economic benefits.</w:t>
      </w:r>
    </w:p>
    <w:p w14:paraId="2454CC02" w14:textId="5F52BE13" w:rsidR="00015524" w:rsidRPr="0090389F" w:rsidRDefault="00015524" w:rsidP="0090389F">
      <w:pPr>
        <w:spacing w:line="360" w:lineRule="auto"/>
        <w:jc w:val="both"/>
        <w:rPr>
          <w:rFonts w:ascii="Arial" w:hAnsi="Arial" w:cs="Arial"/>
          <w:sz w:val="20"/>
          <w:szCs w:val="20"/>
          <w:lang w:val="en-US"/>
        </w:rPr>
      </w:pPr>
      <w:r w:rsidRPr="0090389F">
        <w:rPr>
          <w:rFonts w:ascii="Arial" w:hAnsi="Arial" w:cs="Arial"/>
          <w:sz w:val="20"/>
          <w:szCs w:val="20"/>
          <w:lang w:val="en-US"/>
        </w:rPr>
        <w:t>Future research should explore the long-term effects of PA adoption across different agroecosystems, and assess trade-offs related to energy use and system resilience. Moreover, investigating PA's impacts on biodiversity, soil health, and rural livelihoods would provide a more holistic understanding of its role in sustainable agriculture.</w:t>
      </w:r>
    </w:p>
    <w:p w14:paraId="64233753" w14:textId="3814E0E2" w:rsidR="00015524" w:rsidRPr="0090389F" w:rsidRDefault="00015524" w:rsidP="0090389F">
      <w:pPr>
        <w:spacing w:line="360" w:lineRule="auto"/>
        <w:jc w:val="both"/>
        <w:rPr>
          <w:rFonts w:ascii="Arial" w:hAnsi="Arial" w:cs="Arial"/>
          <w:sz w:val="20"/>
          <w:szCs w:val="20"/>
          <w:lang w:val="en-US"/>
        </w:rPr>
      </w:pPr>
      <w:r w:rsidRPr="0090389F">
        <w:rPr>
          <w:rFonts w:ascii="Arial" w:hAnsi="Arial" w:cs="Arial"/>
          <w:sz w:val="20"/>
          <w:szCs w:val="20"/>
          <w:lang w:val="en-US"/>
        </w:rPr>
        <w:t>Ultimately, fostering a knowledge-based transition supported by empirical evidence, such as this study, can enable producers, policymakers, and stakeholders to align agricultural productivity with global sustainability goals.</w:t>
      </w:r>
    </w:p>
    <w:p w14:paraId="60F815FF" w14:textId="77777777" w:rsidR="00807399" w:rsidRDefault="00807399" w:rsidP="0090389F">
      <w:pPr>
        <w:pStyle w:val="ReferHead"/>
        <w:spacing w:after="0"/>
        <w:jc w:val="both"/>
        <w:rPr>
          <w:rFonts w:ascii="Arial" w:hAnsi="Arial" w:cs="Arial"/>
          <w:b w:val="0"/>
          <w:caps w:val="0"/>
          <w:sz w:val="20"/>
        </w:rPr>
      </w:pPr>
      <w:bookmarkStart w:id="11" w:name="_Toc1377909"/>
      <w:bookmarkStart w:id="12" w:name="_GoBack"/>
      <w:bookmarkEnd w:id="12"/>
    </w:p>
    <w:p w14:paraId="536873CE" w14:textId="77777777" w:rsidR="00807399" w:rsidRPr="00807399" w:rsidRDefault="00807399" w:rsidP="00807399">
      <w:pPr>
        <w:pStyle w:val="ReferHead"/>
        <w:spacing w:after="0"/>
        <w:jc w:val="both"/>
        <w:rPr>
          <w:rFonts w:ascii="Arial" w:hAnsi="Arial" w:cs="Arial"/>
          <w:b w:val="0"/>
          <w:caps w:val="0"/>
          <w:sz w:val="20"/>
        </w:rPr>
      </w:pPr>
      <w:r w:rsidRPr="00807399">
        <w:rPr>
          <w:rFonts w:ascii="Arial" w:hAnsi="Arial" w:cs="Arial"/>
          <w:b w:val="0"/>
          <w:caps w:val="0"/>
          <w:sz w:val="20"/>
        </w:rPr>
        <w:t>COMPETING INTERESTS DISCLAIMER:</w:t>
      </w:r>
    </w:p>
    <w:p w14:paraId="23102C1B" w14:textId="692F890A" w:rsidR="00807399" w:rsidRPr="009C2B62" w:rsidRDefault="00807399" w:rsidP="00807399">
      <w:pPr>
        <w:pStyle w:val="ReferHead"/>
        <w:spacing w:after="0"/>
        <w:jc w:val="both"/>
        <w:rPr>
          <w:rFonts w:ascii="Arial" w:hAnsi="Arial" w:cs="Arial"/>
          <w:b w:val="0"/>
          <w:caps w:val="0"/>
          <w:sz w:val="20"/>
        </w:rPr>
      </w:pPr>
      <w:r w:rsidRPr="00807399">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06D71EF4" w14:textId="77777777" w:rsidR="00341E9F" w:rsidRDefault="00341E9F" w:rsidP="00FE0CD9">
      <w:pPr>
        <w:spacing w:line="360" w:lineRule="auto"/>
        <w:jc w:val="both"/>
        <w:rPr>
          <w:rFonts w:ascii="Arial" w:hAnsi="Arial" w:cs="Arial"/>
          <w:b/>
          <w:bCs/>
          <w:sz w:val="24"/>
          <w:szCs w:val="24"/>
          <w:lang w:val="en-US"/>
        </w:rPr>
      </w:pPr>
    </w:p>
    <w:p w14:paraId="77512B1D" w14:textId="59D621AF" w:rsidR="006C25E0" w:rsidRPr="00D22C5B" w:rsidRDefault="006C25E0" w:rsidP="00FE0CD9">
      <w:pPr>
        <w:spacing w:line="360" w:lineRule="auto"/>
        <w:jc w:val="both"/>
        <w:rPr>
          <w:rFonts w:ascii="Arial" w:hAnsi="Arial" w:cs="Arial"/>
          <w:b/>
          <w:bCs/>
          <w:sz w:val="24"/>
          <w:szCs w:val="24"/>
          <w:lang w:val="en-US"/>
        </w:rPr>
      </w:pPr>
      <w:r w:rsidRPr="00D22C5B">
        <w:rPr>
          <w:rFonts w:ascii="Arial" w:hAnsi="Arial" w:cs="Arial"/>
          <w:b/>
          <w:bCs/>
          <w:sz w:val="24"/>
          <w:szCs w:val="24"/>
          <w:lang w:val="en-US"/>
        </w:rPr>
        <w:t xml:space="preserve">5 </w:t>
      </w:r>
      <w:r w:rsidR="00341E9F" w:rsidRPr="00D22C5B">
        <w:rPr>
          <w:rFonts w:ascii="Arial" w:hAnsi="Arial" w:cs="Arial"/>
          <w:b/>
          <w:bCs/>
          <w:sz w:val="24"/>
          <w:szCs w:val="24"/>
          <w:lang w:val="en-US"/>
        </w:rPr>
        <w:t>REFERENCES</w:t>
      </w:r>
      <w:bookmarkEnd w:id="11"/>
    </w:p>
    <w:p w14:paraId="3A3D068D" w14:textId="74E8AC90" w:rsidR="003E632C" w:rsidRPr="00CA32E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OECD/FAO (2024).</w:t>
      </w:r>
      <w:r w:rsidRPr="003E632C">
        <w:rPr>
          <w:rFonts w:ascii="Arial" w:eastAsia="Times New Roman" w:hAnsi="Arial" w:cs="Arial"/>
          <w:sz w:val="20"/>
          <w:szCs w:val="20"/>
          <w:lang w:val="en-US" w:eastAsia="pt-BR"/>
        </w:rPr>
        <w:t xml:space="preserve"> OECD FAO agricultural outlook 2024–2033. </w:t>
      </w:r>
      <w:r w:rsidRPr="00CA32EC">
        <w:rPr>
          <w:rFonts w:ascii="Arial" w:eastAsia="Times New Roman" w:hAnsi="Arial" w:cs="Arial"/>
          <w:sz w:val="20"/>
          <w:szCs w:val="20"/>
          <w:lang w:val="en-US" w:eastAsia="pt-BR"/>
        </w:rPr>
        <w:t xml:space="preserve">DOI: 10.1787/4c5d2cfb-en </w:t>
      </w:r>
    </w:p>
    <w:p w14:paraId="52311DD2" w14:textId="3BF210B1" w:rsidR="003E632C" w:rsidRPr="003E632C" w:rsidRDefault="003E632C" w:rsidP="003E632C">
      <w:pPr>
        <w:spacing w:line="240" w:lineRule="auto"/>
        <w:jc w:val="both"/>
        <w:rPr>
          <w:rFonts w:ascii="Arial" w:eastAsia="Times New Roman" w:hAnsi="Arial" w:cs="Arial"/>
          <w:sz w:val="20"/>
          <w:szCs w:val="20"/>
          <w:lang w:eastAsia="pt-BR"/>
        </w:rPr>
      </w:pPr>
      <w:r w:rsidRPr="00CA32EC">
        <w:rPr>
          <w:rFonts w:ascii="Arial" w:eastAsia="Times New Roman" w:hAnsi="Arial" w:cs="Arial"/>
          <w:color w:val="000000"/>
          <w:sz w:val="20"/>
          <w:szCs w:val="20"/>
          <w:lang w:val="en-US" w:eastAsia="pt-BR"/>
        </w:rPr>
        <w:t>Sader V. &amp; Engelke P. (2024).</w:t>
      </w:r>
      <w:r w:rsidRPr="00CA32EC">
        <w:rPr>
          <w:rFonts w:ascii="Arial" w:eastAsia="Times New Roman" w:hAnsi="Arial" w:cs="Arial"/>
          <w:sz w:val="20"/>
          <w:szCs w:val="20"/>
          <w:lang w:val="en-US" w:eastAsia="pt-BR"/>
        </w:rPr>
        <w:t xml:space="preserve"> </w:t>
      </w:r>
      <w:r w:rsidRPr="003E632C">
        <w:rPr>
          <w:rFonts w:ascii="Arial" w:eastAsia="Times New Roman" w:hAnsi="Arial" w:cs="Arial"/>
          <w:sz w:val="20"/>
          <w:szCs w:val="20"/>
          <w:lang w:val="en-US" w:eastAsia="pt-BR"/>
        </w:rPr>
        <w:t xml:space="preserve">Brazil 2050: A vision for global food security. </w:t>
      </w:r>
      <w:r w:rsidRPr="003E632C">
        <w:rPr>
          <w:rFonts w:ascii="Arial" w:eastAsia="Times New Roman" w:hAnsi="Arial" w:cs="Arial"/>
          <w:sz w:val="20"/>
          <w:szCs w:val="20"/>
          <w:lang w:eastAsia="pt-BR"/>
        </w:rPr>
        <w:t xml:space="preserve">Atlantic Council. </w:t>
      </w:r>
    </w:p>
    <w:p w14:paraId="4151EFE2" w14:textId="5A541125"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t>Conab (2025).</w:t>
      </w:r>
      <w:r w:rsidRPr="003E632C">
        <w:rPr>
          <w:rFonts w:ascii="Arial" w:eastAsia="Times New Roman" w:hAnsi="Arial" w:cs="Arial"/>
          <w:sz w:val="20"/>
          <w:szCs w:val="20"/>
          <w:lang w:eastAsia="pt-BR"/>
        </w:rPr>
        <w:t xml:space="preserve"> Acompanhamento da safra brasileira. </w:t>
      </w:r>
    </w:p>
    <w:p w14:paraId="7F6C8ED5" w14:textId="0C675894"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t>Instituto Nacional de Pesquisas Espaciais (INPE) (2023).</w:t>
      </w:r>
      <w:r w:rsidRPr="003E632C">
        <w:rPr>
          <w:rFonts w:ascii="Arial" w:eastAsia="Times New Roman" w:hAnsi="Arial" w:cs="Arial"/>
          <w:sz w:val="20"/>
          <w:szCs w:val="20"/>
          <w:lang w:eastAsia="pt-BR"/>
        </w:rPr>
        <w:t xml:space="preserve"> Projeto de Monitoramento do Desmatamento na Amazônia Legal por Satélite (PRODES). Ministério da Ciência, Tecnologia e Inovações. </w:t>
      </w:r>
    </w:p>
    <w:p w14:paraId="02B08A80" w14:textId="29018DE3" w:rsidR="003E632C" w:rsidRPr="003E632C" w:rsidRDefault="003E632C" w:rsidP="003E632C">
      <w:pPr>
        <w:spacing w:line="240" w:lineRule="auto"/>
        <w:jc w:val="both"/>
        <w:rPr>
          <w:rFonts w:ascii="Arial" w:eastAsia="Times New Roman" w:hAnsi="Arial" w:cs="Arial"/>
          <w:sz w:val="20"/>
          <w:szCs w:val="20"/>
          <w:lang w:val="en-US" w:eastAsia="pt-BR"/>
        </w:rPr>
      </w:pPr>
      <w:r w:rsidRPr="00CA32EC">
        <w:rPr>
          <w:rFonts w:ascii="Arial" w:eastAsia="Times New Roman" w:hAnsi="Arial" w:cs="Arial"/>
          <w:color w:val="000000"/>
          <w:sz w:val="20"/>
          <w:szCs w:val="20"/>
          <w:lang w:eastAsia="pt-BR"/>
        </w:rPr>
        <w:t xml:space="preserve">Jensen H.G. et al. </w:t>
      </w:r>
      <w:r w:rsidRPr="003E632C">
        <w:rPr>
          <w:rFonts w:ascii="Arial" w:eastAsia="Times New Roman" w:hAnsi="Arial" w:cs="Arial"/>
          <w:color w:val="000000"/>
          <w:sz w:val="20"/>
          <w:szCs w:val="20"/>
          <w:lang w:val="en-US" w:eastAsia="pt-BR"/>
        </w:rPr>
        <w:t>(2012).</w:t>
      </w:r>
      <w:r w:rsidRPr="003E632C">
        <w:rPr>
          <w:rFonts w:ascii="Arial" w:eastAsia="Times New Roman" w:hAnsi="Arial" w:cs="Arial"/>
          <w:sz w:val="20"/>
          <w:szCs w:val="20"/>
          <w:lang w:val="en-US" w:eastAsia="pt-BR"/>
        </w:rPr>
        <w:t xml:space="preserve"> Socioeconomic impact of widespread adoption of precision farming and controlled traffic systems in Denmark. Precision Agriculture, 13(6), 661–677. DOI: 10.1007/s11119-012-9276-3 </w:t>
      </w:r>
    </w:p>
    <w:p w14:paraId="49BE1390" w14:textId="4DC596BC"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Gasso V. et al. (2014).</w:t>
      </w:r>
      <w:r w:rsidRPr="003E632C">
        <w:rPr>
          <w:rFonts w:ascii="Arial" w:eastAsia="Times New Roman" w:hAnsi="Arial" w:cs="Arial"/>
          <w:sz w:val="20"/>
          <w:szCs w:val="20"/>
          <w:lang w:val="en-US" w:eastAsia="pt-BR"/>
        </w:rPr>
        <w:t xml:space="preserve"> An environmental life cycle assessment of controlled traffic farming. Journal of Cleaner Production, 73, 175–182. DOI: 10.1016/j.jclepro.2014.03.040 </w:t>
      </w:r>
    </w:p>
    <w:p w14:paraId="1C014499" w14:textId="1E664EFF" w:rsidR="003E632C" w:rsidRPr="003E632C" w:rsidRDefault="003E632C" w:rsidP="003E632C">
      <w:pPr>
        <w:spacing w:line="240" w:lineRule="auto"/>
        <w:jc w:val="both"/>
        <w:rPr>
          <w:rFonts w:ascii="Arial" w:eastAsia="Times New Roman" w:hAnsi="Arial" w:cs="Arial"/>
          <w:sz w:val="20"/>
          <w:szCs w:val="20"/>
          <w:lang w:val="en-US" w:eastAsia="pt-BR"/>
        </w:rPr>
      </w:pPr>
      <w:proofErr w:type="spellStart"/>
      <w:r w:rsidRPr="00CA32EC">
        <w:rPr>
          <w:rFonts w:ascii="Arial" w:eastAsia="Times New Roman" w:hAnsi="Arial" w:cs="Arial"/>
          <w:color w:val="000000"/>
          <w:sz w:val="20"/>
          <w:szCs w:val="20"/>
          <w:lang w:val="en-US" w:eastAsia="pt-BR"/>
        </w:rPr>
        <w:t>Balafoutis</w:t>
      </w:r>
      <w:proofErr w:type="spellEnd"/>
      <w:r w:rsidRPr="00CA32EC">
        <w:rPr>
          <w:rFonts w:ascii="Arial" w:eastAsia="Times New Roman" w:hAnsi="Arial" w:cs="Arial"/>
          <w:color w:val="000000"/>
          <w:sz w:val="20"/>
          <w:szCs w:val="20"/>
          <w:lang w:val="en-US" w:eastAsia="pt-BR"/>
        </w:rPr>
        <w:t xml:space="preserve"> A.T. et al. </w:t>
      </w:r>
      <w:r w:rsidRPr="003E632C">
        <w:rPr>
          <w:rFonts w:ascii="Arial" w:eastAsia="Times New Roman" w:hAnsi="Arial" w:cs="Arial"/>
          <w:color w:val="000000"/>
          <w:sz w:val="20"/>
          <w:szCs w:val="20"/>
          <w:lang w:val="en-US" w:eastAsia="pt-BR"/>
        </w:rPr>
        <w:t>(2017).</w:t>
      </w:r>
      <w:r w:rsidRPr="003E632C">
        <w:rPr>
          <w:rFonts w:ascii="Arial" w:eastAsia="Times New Roman" w:hAnsi="Arial" w:cs="Arial"/>
          <w:sz w:val="20"/>
          <w:szCs w:val="20"/>
          <w:lang w:val="en-US" w:eastAsia="pt-BR"/>
        </w:rPr>
        <w:t xml:space="preserve"> Life cycle assessment of two vineyards after the application of precision viticulture techniques: A case study. Sustainability, 9(11). DOI: 10.3390/su9111997 </w:t>
      </w:r>
    </w:p>
    <w:p w14:paraId="77B15E6C" w14:textId="06EC53C2"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val="en-US" w:eastAsia="pt-BR"/>
        </w:rPr>
        <w:t>Hedayati M. et al. (2019).</w:t>
      </w:r>
      <w:r w:rsidRPr="003E632C">
        <w:rPr>
          <w:rFonts w:ascii="Arial" w:eastAsia="Times New Roman" w:hAnsi="Arial" w:cs="Arial"/>
          <w:sz w:val="20"/>
          <w:szCs w:val="20"/>
          <w:lang w:val="en-US" w:eastAsia="pt-BR"/>
        </w:rPr>
        <w:t xml:space="preserve"> Farm level strategies to reduce the life cycle greenhouse gas emissions of cotton production: An Australian perspective. </w:t>
      </w:r>
      <w:r w:rsidRPr="003E632C">
        <w:rPr>
          <w:rFonts w:ascii="Arial" w:eastAsia="Times New Roman" w:hAnsi="Arial" w:cs="Arial"/>
          <w:sz w:val="20"/>
          <w:szCs w:val="20"/>
          <w:lang w:eastAsia="pt-BR"/>
        </w:rPr>
        <w:t xml:space="preserve">Journal of Cleaner Production, 212, 974–985. DOI: 10.1016/j.jclepro.2018.11.190 </w:t>
      </w:r>
    </w:p>
    <w:p w14:paraId="6A8041F4" w14:textId="345C4611" w:rsidR="003E632C" w:rsidRPr="003E632C" w:rsidRDefault="003E632C" w:rsidP="003E632C">
      <w:pPr>
        <w:spacing w:line="240" w:lineRule="auto"/>
        <w:jc w:val="both"/>
        <w:rPr>
          <w:rFonts w:ascii="Arial" w:eastAsia="Times New Roman" w:hAnsi="Arial" w:cs="Arial"/>
          <w:sz w:val="20"/>
          <w:szCs w:val="20"/>
          <w:lang w:val="fr-FR" w:eastAsia="pt-BR"/>
        </w:rPr>
      </w:pPr>
      <w:r w:rsidRPr="003E632C">
        <w:rPr>
          <w:rFonts w:ascii="Arial" w:eastAsia="Times New Roman" w:hAnsi="Arial" w:cs="Arial"/>
          <w:color w:val="000000"/>
          <w:sz w:val="20"/>
          <w:szCs w:val="20"/>
          <w:lang w:eastAsia="pt-BR"/>
        </w:rPr>
        <w:t>Bottega, E. L., de Queiroz, D. M., de Carvalho Pinto, F. A., Valente, D. S. M., &amp; de Souza, C. M. A. (2017).</w:t>
      </w:r>
      <w:r w:rsidRPr="003E632C">
        <w:rPr>
          <w:rFonts w:ascii="Arial" w:eastAsia="Times New Roman" w:hAnsi="Arial" w:cs="Arial"/>
          <w:sz w:val="20"/>
          <w:szCs w:val="20"/>
          <w:lang w:eastAsia="pt-BR"/>
        </w:rPr>
        <w:t xml:space="preserve"> </w:t>
      </w:r>
      <w:r w:rsidRPr="003E632C">
        <w:rPr>
          <w:rFonts w:ascii="Arial" w:eastAsia="Times New Roman" w:hAnsi="Arial" w:cs="Arial"/>
          <w:sz w:val="20"/>
          <w:szCs w:val="20"/>
          <w:lang w:val="en-US" w:eastAsia="pt-BR"/>
        </w:rPr>
        <w:t xml:space="preserve">Precision agriculture applied to soybean: Part III – Spatial and temporal variability of yield. </w:t>
      </w:r>
      <w:r w:rsidRPr="003E632C">
        <w:rPr>
          <w:rFonts w:ascii="Arial" w:eastAsia="Times New Roman" w:hAnsi="Arial" w:cs="Arial"/>
          <w:sz w:val="20"/>
          <w:szCs w:val="20"/>
          <w:lang w:val="fr-FR" w:eastAsia="pt-BR"/>
        </w:rPr>
        <w:t xml:space="preserve">Australian Journal of Crop Science, 11(7), 799–805. </w:t>
      </w:r>
      <w:proofErr w:type="gramStart"/>
      <w:r w:rsidRPr="003E632C">
        <w:rPr>
          <w:rFonts w:ascii="Arial" w:eastAsia="Times New Roman" w:hAnsi="Arial" w:cs="Arial"/>
          <w:sz w:val="20"/>
          <w:szCs w:val="20"/>
          <w:lang w:val="fr-FR" w:eastAsia="pt-BR"/>
        </w:rPr>
        <w:t>DOI:</w:t>
      </w:r>
      <w:proofErr w:type="gramEnd"/>
      <w:r w:rsidRPr="003E632C">
        <w:rPr>
          <w:rFonts w:ascii="Arial" w:eastAsia="Times New Roman" w:hAnsi="Arial" w:cs="Arial"/>
          <w:sz w:val="20"/>
          <w:szCs w:val="20"/>
          <w:lang w:val="fr-FR" w:eastAsia="pt-BR"/>
        </w:rPr>
        <w:t xml:space="preserve"> 10.21475/ajcs.17.11.07.pne383 </w:t>
      </w:r>
    </w:p>
    <w:p w14:paraId="556F1D0F" w14:textId="7FC4A63B"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val="fr-FR" w:eastAsia="pt-BR"/>
        </w:rPr>
        <w:t xml:space="preserve">Țopa D.C. et al. </w:t>
      </w:r>
      <w:r w:rsidRPr="003E632C">
        <w:rPr>
          <w:rFonts w:ascii="Arial" w:eastAsia="Times New Roman" w:hAnsi="Arial" w:cs="Arial"/>
          <w:color w:val="000000"/>
          <w:sz w:val="20"/>
          <w:szCs w:val="20"/>
          <w:lang w:val="en-US" w:eastAsia="pt-BR"/>
        </w:rPr>
        <w:t>(2025).</w:t>
      </w:r>
      <w:r w:rsidRPr="003E632C">
        <w:rPr>
          <w:rFonts w:ascii="Arial" w:eastAsia="Times New Roman" w:hAnsi="Arial" w:cs="Arial"/>
          <w:sz w:val="20"/>
          <w:szCs w:val="20"/>
          <w:lang w:val="en-US" w:eastAsia="pt-BR"/>
        </w:rPr>
        <w:t xml:space="preserve"> Sustainable practices for enhancing soil health and crop quality in modern agriculture: A review. </w:t>
      </w:r>
      <w:r w:rsidRPr="003E632C">
        <w:rPr>
          <w:rFonts w:ascii="Arial" w:eastAsia="Times New Roman" w:hAnsi="Arial" w:cs="Arial"/>
          <w:sz w:val="20"/>
          <w:szCs w:val="20"/>
          <w:lang w:eastAsia="pt-BR"/>
        </w:rPr>
        <w:t xml:space="preserve">Agriculture, 15(9), 998. DOI: 10.3390/agriculture15090998 </w:t>
      </w:r>
    </w:p>
    <w:p w14:paraId="23A58866" w14:textId="77777777" w:rsid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t>McKinsey &amp; Company (2024).</w:t>
      </w:r>
      <w:r w:rsidRPr="003E632C">
        <w:rPr>
          <w:rFonts w:ascii="Arial" w:eastAsia="Times New Roman" w:hAnsi="Arial" w:cs="Arial"/>
          <w:sz w:val="20"/>
          <w:szCs w:val="20"/>
          <w:lang w:eastAsia="pt-BR"/>
        </w:rPr>
        <w:t xml:space="preserve"> Mente do agricultor. </w:t>
      </w:r>
      <w:r>
        <w:rPr>
          <w:rFonts w:ascii="Arial" w:eastAsia="Times New Roman" w:hAnsi="Arial" w:cs="Arial"/>
          <w:sz w:val="20"/>
          <w:szCs w:val="20"/>
          <w:lang w:eastAsia="pt-BR"/>
        </w:rPr>
        <w:t>m</w:t>
      </w:r>
      <w:r w:rsidRPr="003E632C">
        <w:rPr>
          <w:rFonts w:ascii="Arial" w:eastAsia="Times New Roman" w:hAnsi="Arial" w:cs="Arial"/>
          <w:sz w:val="20"/>
          <w:szCs w:val="20"/>
          <w:lang w:eastAsia="pt-BR"/>
        </w:rPr>
        <w:t>ente-do-agricultor.mckinsey.com</w:t>
      </w:r>
    </w:p>
    <w:p w14:paraId="35CE3163" w14:textId="14B829EA"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t>Molin J.P. (2017).</w:t>
      </w:r>
      <w:r w:rsidRPr="003E632C">
        <w:rPr>
          <w:rFonts w:ascii="Arial" w:eastAsia="Times New Roman" w:hAnsi="Arial" w:cs="Arial"/>
          <w:sz w:val="20"/>
          <w:szCs w:val="20"/>
          <w:lang w:eastAsia="pt-BR"/>
        </w:rPr>
        <w:t xml:space="preserve"> Agricultura de precisão: números do mercado brasileiro. Agricultura de Precisão: boletim técnico, 3, 7. </w:t>
      </w:r>
    </w:p>
    <w:p w14:paraId="42497AEE" w14:textId="0A12F6F1"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eastAsia="pt-BR"/>
        </w:rPr>
        <w:t>Pereira Lavorato, M., &amp; Braga, M. J. (2018).</w:t>
      </w:r>
      <w:r w:rsidRPr="003E632C">
        <w:rPr>
          <w:rFonts w:ascii="Arial" w:eastAsia="Times New Roman" w:hAnsi="Arial" w:cs="Arial"/>
          <w:sz w:val="20"/>
          <w:szCs w:val="20"/>
          <w:lang w:eastAsia="pt-BR"/>
        </w:rPr>
        <w:t xml:space="preserve"> </w:t>
      </w:r>
      <w:r w:rsidRPr="003E632C">
        <w:rPr>
          <w:rFonts w:ascii="Arial" w:eastAsia="Times New Roman" w:hAnsi="Arial" w:cs="Arial"/>
          <w:sz w:val="20"/>
          <w:szCs w:val="20"/>
          <w:lang w:val="en-US" w:eastAsia="pt-BR"/>
        </w:rPr>
        <w:t xml:space="preserve">Risk and return of soybeans precision production: a case study in Mato Grosso do Sul state, Brazil1. Italian Review of Agricultural Economics (REA), 73(1), 27–36. DOI: 10.13128/REA-23577 </w:t>
      </w:r>
    </w:p>
    <w:p w14:paraId="17FDDFBE" w14:textId="72E50C2C" w:rsidR="003E632C" w:rsidRPr="00CA32E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val="en-US" w:eastAsia="pt-BR"/>
        </w:rPr>
        <w:lastRenderedPageBreak/>
        <w:t>Kang Y. &amp; Özdoğan M. (2019).</w:t>
      </w:r>
      <w:r w:rsidRPr="003E632C">
        <w:rPr>
          <w:rFonts w:ascii="Arial" w:eastAsia="Times New Roman" w:hAnsi="Arial" w:cs="Arial"/>
          <w:sz w:val="20"/>
          <w:szCs w:val="20"/>
          <w:lang w:val="en-US" w:eastAsia="pt-BR"/>
        </w:rPr>
        <w:t xml:space="preserve"> Field level crop yield mapping with Landsat using a hierarchical data assimilation approach. </w:t>
      </w:r>
      <w:r w:rsidRPr="00CA32EC">
        <w:rPr>
          <w:rFonts w:ascii="Arial" w:eastAsia="Times New Roman" w:hAnsi="Arial" w:cs="Arial"/>
          <w:sz w:val="20"/>
          <w:szCs w:val="20"/>
          <w:lang w:eastAsia="pt-BR"/>
        </w:rPr>
        <w:t xml:space="preserve">Remote Sensing of Environment, 228, 144–163. DOI: 10.1016/j.rse.2019.04.005 </w:t>
      </w:r>
    </w:p>
    <w:p w14:paraId="017D495B" w14:textId="41CCDDD2"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eastAsia="pt-BR"/>
        </w:rPr>
        <w:t>Inácio C.M., de Moura M.R., Silva A.R.C. da &amp; Guimarães P.H.S. (2021).</w:t>
      </w:r>
      <w:r w:rsidRPr="003E632C">
        <w:rPr>
          <w:rFonts w:ascii="Arial" w:eastAsia="Times New Roman" w:hAnsi="Arial" w:cs="Arial"/>
          <w:sz w:val="20"/>
          <w:szCs w:val="20"/>
          <w:lang w:eastAsia="pt-BR"/>
        </w:rPr>
        <w:t xml:space="preserve"> </w:t>
      </w:r>
      <w:r w:rsidRPr="003E632C">
        <w:rPr>
          <w:rFonts w:ascii="Arial" w:eastAsia="Times New Roman" w:hAnsi="Arial" w:cs="Arial"/>
          <w:sz w:val="20"/>
          <w:szCs w:val="20"/>
          <w:lang w:val="en-US" w:eastAsia="pt-BR"/>
        </w:rPr>
        <w:t xml:space="preserve">Barriers to the adoption of precision agriculture in Brazil. </w:t>
      </w:r>
      <w:proofErr w:type="spellStart"/>
      <w:r w:rsidRPr="003E632C">
        <w:rPr>
          <w:rFonts w:ascii="Arial" w:eastAsia="Times New Roman" w:hAnsi="Arial" w:cs="Arial"/>
          <w:sz w:val="20"/>
          <w:szCs w:val="20"/>
          <w:lang w:val="en-US" w:eastAsia="pt-BR"/>
        </w:rPr>
        <w:t>Revista</w:t>
      </w:r>
      <w:proofErr w:type="spellEnd"/>
      <w:r w:rsidRPr="003E632C">
        <w:rPr>
          <w:rFonts w:ascii="Arial" w:eastAsia="Times New Roman" w:hAnsi="Arial" w:cs="Arial"/>
          <w:sz w:val="20"/>
          <w:szCs w:val="20"/>
          <w:lang w:val="en-US" w:eastAsia="pt-BR"/>
        </w:rPr>
        <w:t xml:space="preserve"> de Economia e </w:t>
      </w:r>
      <w:proofErr w:type="spellStart"/>
      <w:r w:rsidRPr="003E632C">
        <w:rPr>
          <w:rFonts w:ascii="Arial" w:eastAsia="Times New Roman" w:hAnsi="Arial" w:cs="Arial"/>
          <w:sz w:val="20"/>
          <w:szCs w:val="20"/>
          <w:lang w:val="en-US" w:eastAsia="pt-BR"/>
        </w:rPr>
        <w:t>Sociologia</w:t>
      </w:r>
      <w:proofErr w:type="spellEnd"/>
      <w:r w:rsidRPr="003E632C">
        <w:rPr>
          <w:rFonts w:ascii="Arial" w:eastAsia="Times New Roman" w:hAnsi="Arial" w:cs="Arial"/>
          <w:sz w:val="20"/>
          <w:szCs w:val="20"/>
          <w:lang w:val="en-US" w:eastAsia="pt-BR"/>
        </w:rPr>
        <w:t xml:space="preserve"> Rural, 59(2), e224976. DOI: 10.5539/</w:t>
      </w:r>
      <w:proofErr w:type="gramStart"/>
      <w:r w:rsidRPr="003E632C">
        <w:rPr>
          <w:rFonts w:ascii="Arial" w:eastAsia="Times New Roman" w:hAnsi="Arial" w:cs="Arial"/>
          <w:sz w:val="20"/>
          <w:szCs w:val="20"/>
          <w:lang w:val="en-US" w:eastAsia="pt-BR"/>
        </w:rPr>
        <w:t>jas.v</w:t>
      </w:r>
      <w:proofErr w:type="gramEnd"/>
      <w:r w:rsidRPr="003E632C">
        <w:rPr>
          <w:rFonts w:ascii="Arial" w:eastAsia="Times New Roman" w:hAnsi="Arial" w:cs="Arial"/>
          <w:sz w:val="20"/>
          <w:szCs w:val="20"/>
          <w:lang w:val="en-US" w:eastAsia="pt-BR"/>
        </w:rPr>
        <w:t xml:space="preserve">8n11p89 </w:t>
      </w:r>
    </w:p>
    <w:p w14:paraId="3E73C68E" w14:textId="123401C7" w:rsidR="003E632C" w:rsidRPr="003E632C" w:rsidRDefault="003E632C" w:rsidP="003E632C">
      <w:pPr>
        <w:spacing w:line="240" w:lineRule="auto"/>
        <w:jc w:val="both"/>
        <w:rPr>
          <w:rFonts w:ascii="Arial" w:eastAsia="Times New Roman" w:hAnsi="Arial" w:cs="Arial"/>
          <w:sz w:val="20"/>
          <w:szCs w:val="20"/>
          <w:lang w:val="en-US" w:eastAsia="pt-BR"/>
        </w:rPr>
      </w:pPr>
      <w:proofErr w:type="spellStart"/>
      <w:r w:rsidRPr="003E632C">
        <w:rPr>
          <w:rFonts w:ascii="Arial" w:eastAsia="Times New Roman" w:hAnsi="Arial" w:cs="Arial"/>
          <w:color w:val="000000"/>
          <w:sz w:val="20"/>
          <w:szCs w:val="20"/>
          <w:lang w:val="en-US" w:eastAsia="pt-BR"/>
        </w:rPr>
        <w:t>Fartek</w:t>
      </w:r>
      <w:proofErr w:type="spellEnd"/>
      <w:r w:rsidRPr="003E632C">
        <w:rPr>
          <w:rFonts w:ascii="Arial" w:eastAsia="Times New Roman" w:hAnsi="Arial" w:cs="Arial"/>
          <w:color w:val="000000"/>
          <w:sz w:val="20"/>
          <w:szCs w:val="20"/>
          <w:lang w:val="en-US" w:eastAsia="pt-BR"/>
        </w:rPr>
        <w:t xml:space="preserve"> C.P., Schmidt L.M., </w:t>
      </w:r>
      <w:proofErr w:type="spellStart"/>
      <w:r w:rsidRPr="003E632C">
        <w:rPr>
          <w:rFonts w:ascii="Arial" w:eastAsia="Times New Roman" w:hAnsi="Arial" w:cs="Arial"/>
          <w:color w:val="000000"/>
          <w:sz w:val="20"/>
          <w:szCs w:val="20"/>
          <w:lang w:val="en-US" w:eastAsia="pt-BR"/>
        </w:rPr>
        <w:t>Gröngröft</w:t>
      </w:r>
      <w:proofErr w:type="spellEnd"/>
      <w:r w:rsidRPr="003E632C">
        <w:rPr>
          <w:rFonts w:ascii="Arial" w:eastAsia="Times New Roman" w:hAnsi="Arial" w:cs="Arial"/>
          <w:color w:val="000000"/>
          <w:sz w:val="20"/>
          <w:szCs w:val="20"/>
          <w:lang w:val="en-US" w:eastAsia="pt-BR"/>
        </w:rPr>
        <w:t xml:space="preserve"> A. &amp; Don A. (2016).</w:t>
      </w:r>
      <w:r w:rsidRPr="003E632C">
        <w:rPr>
          <w:rFonts w:ascii="Arial" w:eastAsia="Times New Roman" w:hAnsi="Arial" w:cs="Arial"/>
          <w:sz w:val="20"/>
          <w:szCs w:val="20"/>
          <w:lang w:val="en-US" w:eastAsia="pt-BR"/>
        </w:rPr>
        <w:t xml:space="preserve"> Precision farming enables climate smart agriculture: Case study for a barley field in NE Germany. Biofuels, Bioproducts and Biorefining, 10(3), 275–286. DOI: 10.1002/bbb.1623 </w:t>
      </w:r>
    </w:p>
    <w:p w14:paraId="7A950CA7" w14:textId="2F0DBFAA"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Kumar V. et al. (2018).</w:t>
      </w:r>
      <w:r w:rsidRPr="003E632C">
        <w:rPr>
          <w:rFonts w:ascii="Arial" w:eastAsia="Times New Roman" w:hAnsi="Arial" w:cs="Arial"/>
          <w:sz w:val="20"/>
          <w:szCs w:val="20"/>
          <w:lang w:val="en-US" w:eastAsia="pt-BR"/>
        </w:rPr>
        <w:t xml:space="preserve"> Can productivity and profitability be enhanced in intensively managed cereal systems while reducing the environmental footprint of production? Assessing sustainable intensification options in the breadbasket of India. Agriculture, Ecosystems &amp; Environment, 252, 132–147. DOI: 10.1016/j.agee.2017.10.006 </w:t>
      </w:r>
    </w:p>
    <w:p w14:paraId="43134A85" w14:textId="6EEC9030" w:rsidR="003E632C" w:rsidRPr="003E632C" w:rsidRDefault="003E632C" w:rsidP="003E632C">
      <w:pPr>
        <w:spacing w:line="240" w:lineRule="auto"/>
        <w:jc w:val="both"/>
        <w:rPr>
          <w:rFonts w:ascii="Arial" w:eastAsia="Times New Roman" w:hAnsi="Arial" w:cs="Arial"/>
          <w:sz w:val="20"/>
          <w:szCs w:val="20"/>
          <w:lang w:val="en-US" w:eastAsia="pt-BR"/>
        </w:rPr>
      </w:pPr>
      <w:r w:rsidRPr="00CA32EC">
        <w:rPr>
          <w:rFonts w:ascii="Arial" w:eastAsia="Times New Roman" w:hAnsi="Arial" w:cs="Arial"/>
          <w:color w:val="000000"/>
          <w:sz w:val="20"/>
          <w:szCs w:val="20"/>
          <w:lang w:val="en-US" w:eastAsia="pt-BR"/>
        </w:rPr>
        <w:t>Gonzales Gemio C. &amp; Sanz Martín L. (2025).</w:t>
      </w:r>
      <w:r w:rsidRPr="00CA32EC">
        <w:rPr>
          <w:rFonts w:ascii="Arial" w:eastAsia="Times New Roman" w:hAnsi="Arial" w:cs="Arial"/>
          <w:sz w:val="20"/>
          <w:szCs w:val="20"/>
          <w:lang w:val="en-US" w:eastAsia="pt-BR"/>
        </w:rPr>
        <w:t xml:space="preserve"> </w:t>
      </w:r>
      <w:r w:rsidRPr="003E632C">
        <w:rPr>
          <w:rFonts w:ascii="Arial" w:eastAsia="Times New Roman" w:hAnsi="Arial" w:cs="Arial"/>
          <w:sz w:val="20"/>
          <w:szCs w:val="20"/>
          <w:lang w:val="en-US" w:eastAsia="pt-BR"/>
        </w:rPr>
        <w:t xml:space="preserve">Socioeconomic barriers to the adoption of carbon farming in Spain, Italy, Egypt, and Tunisia: An analysis based on the diffusion of innovations model. Journal of Cleaner Production, 498, 145155. DOI: 10.1016/j.jclepro.2025.145155 </w:t>
      </w:r>
    </w:p>
    <w:p w14:paraId="561EA0DD" w14:textId="28FFF902"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Lima M. et al. (2019).</w:t>
      </w:r>
      <w:r w:rsidRPr="003E632C">
        <w:rPr>
          <w:rFonts w:ascii="Arial" w:eastAsia="Times New Roman" w:hAnsi="Arial" w:cs="Arial"/>
          <w:sz w:val="20"/>
          <w:szCs w:val="20"/>
          <w:lang w:val="en-US" w:eastAsia="pt-BR"/>
        </w:rPr>
        <w:t xml:space="preserve"> Demystifying sustainable soy in Brazil. Land Use Policy, 82, 349–352. DOI: 10.1016/j.landusepol.2018.12.016 </w:t>
      </w:r>
    </w:p>
    <w:p w14:paraId="700E223D" w14:textId="22828A62" w:rsidR="003E632C" w:rsidRPr="003E632C" w:rsidRDefault="003E632C" w:rsidP="003E632C">
      <w:pPr>
        <w:spacing w:line="240" w:lineRule="auto"/>
        <w:jc w:val="both"/>
        <w:rPr>
          <w:rFonts w:ascii="Arial" w:eastAsia="Times New Roman" w:hAnsi="Arial" w:cs="Arial"/>
          <w:sz w:val="20"/>
          <w:szCs w:val="20"/>
          <w:lang w:val="en-US" w:eastAsia="pt-BR"/>
        </w:rPr>
      </w:pPr>
      <w:proofErr w:type="spellStart"/>
      <w:r w:rsidRPr="003E632C">
        <w:rPr>
          <w:rFonts w:ascii="Arial" w:eastAsia="Times New Roman" w:hAnsi="Arial" w:cs="Arial"/>
          <w:color w:val="000000"/>
          <w:sz w:val="20"/>
          <w:szCs w:val="20"/>
          <w:lang w:val="en-US" w:eastAsia="pt-BR"/>
        </w:rPr>
        <w:t>Mgendi</w:t>
      </w:r>
      <w:proofErr w:type="spellEnd"/>
      <w:r w:rsidRPr="003E632C">
        <w:rPr>
          <w:rFonts w:ascii="Arial" w:eastAsia="Times New Roman" w:hAnsi="Arial" w:cs="Arial"/>
          <w:color w:val="000000"/>
          <w:sz w:val="20"/>
          <w:szCs w:val="20"/>
          <w:lang w:val="en-US" w:eastAsia="pt-BR"/>
        </w:rPr>
        <w:t xml:space="preserve"> G. (2024).</w:t>
      </w:r>
      <w:r w:rsidRPr="003E632C">
        <w:rPr>
          <w:rFonts w:ascii="Arial" w:eastAsia="Times New Roman" w:hAnsi="Arial" w:cs="Arial"/>
          <w:sz w:val="20"/>
          <w:szCs w:val="20"/>
          <w:lang w:val="en-US" w:eastAsia="pt-BR"/>
        </w:rPr>
        <w:t xml:space="preserve"> Unlocking the potential of precision agriculture for sustainable farming. Discover Agriculture, 2, 87. DOI: 10.1007/s44279-024-00078-3 </w:t>
      </w:r>
    </w:p>
    <w:p w14:paraId="694463D6" w14:textId="55603D61"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 xml:space="preserve">Getahun S., </w:t>
      </w:r>
      <w:proofErr w:type="spellStart"/>
      <w:r w:rsidRPr="003E632C">
        <w:rPr>
          <w:rFonts w:ascii="Arial" w:eastAsia="Times New Roman" w:hAnsi="Arial" w:cs="Arial"/>
          <w:color w:val="000000"/>
          <w:sz w:val="20"/>
          <w:szCs w:val="20"/>
          <w:lang w:val="en-US" w:eastAsia="pt-BR"/>
        </w:rPr>
        <w:t>Kefale</w:t>
      </w:r>
      <w:proofErr w:type="spellEnd"/>
      <w:r w:rsidRPr="003E632C">
        <w:rPr>
          <w:rFonts w:ascii="Arial" w:eastAsia="Times New Roman" w:hAnsi="Arial" w:cs="Arial"/>
          <w:color w:val="000000"/>
          <w:sz w:val="20"/>
          <w:szCs w:val="20"/>
          <w:lang w:val="en-US" w:eastAsia="pt-BR"/>
        </w:rPr>
        <w:t xml:space="preserve"> H. &amp; </w:t>
      </w:r>
      <w:proofErr w:type="spellStart"/>
      <w:r w:rsidRPr="003E632C">
        <w:rPr>
          <w:rFonts w:ascii="Arial" w:eastAsia="Times New Roman" w:hAnsi="Arial" w:cs="Arial"/>
          <w:color w:val="000000"/>
          <w:sz w:val="20"/>
          <w:szCs w:val="20"/>
          <w:lang w:val="en-US" w:eastAsia="pt-BR"/>
        </w:rPr>
        <w:t>Gelaye</w:t>
      </w:r>
      <w:proofErr w:type="spellEnd"/>
      <w:r w:rsidRPr="003E632C">
        <w:rPr>
          <w:rFonts w:ascii="Arial" w:eastAsia="Times New Roman" w:hAnsi="Arial" w:cs="Arial"/>
          <w:color w:val="000000"/>
          <w:sz w:val="20"/>
          <w:szCs w:val="20"/>
          <w:lang w:val="en-US" w:eastAsia="pt-BR"/>
        </w:rPr>
        <w:t xml:space="preserve"> Y. (2024).</w:t>
      </w:r>
      <w:r w:rsidRPr="003E632C">
        <w:rPr>
          <w:rFonts w:ascii="Arial" w:eastAsia="Times New Roman" w:hAnsi="Arial" w:cs="Arial"/>
          <w:sz w:val="20"/>
          <w:szCs w:val="20"/>
          <w:lang w:val="en-US" w:eastAsia="pt-BR"/>
        </w:rPr>
        <w:t xml:space="preserve"> Application of precision agriculture technologies for sustainable crop production and environmental sustainability: A systematic review. The Scientific World Journal, 2024, 2126734. DOI: 10.1155/2024/2126734 </w:t>
      </w:r>
    </w:p>
    <w:p w14:paraId="7FB6F54F" w14:textId="5FC55026"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 xml:space="preserve">Petrovic B. &amp; </w:t>
      </w:r>
      <w:proofErr w:type="spellStart"/>
      <w:r w:rsidRPr="003E632C">
        <w:rPr>
          <w:rFonts w:ascii="Arial" w:eastAsia="Times New Roman" w:hAnsi="Arial" w:cs="Arial"/>
          <w:color w:val="000000"/>
          <w:sz w:val="20"/>
          <w:szCs w:val="20"/>
          <w:lang w:val="en-US" w:eastAsia="pt-BR"/>
        </w:rPr>
        <w:t>Csambalik</w:t>
      </w:r>
      <w:proofErr w:type="spellEnd"/>
      <w:r w:rsidRPr="003E632C">
        <w:rPr>
          <w:rFonts w:ascii="Arial" w:eastAsia="Times New Roman" w:hAnsi="Arial" w:cs="Arial"/>
          <w:color w:val="000000"/>
          <w:sz w:val="20"/>
          <w:szCs w:val="20"/>
          <w:lang w:val="en-US" w:eastAsia="pt-BR"/>
        </w:rPr>
        <w:t xml:space="preserve"> L. (2025).</w:t>
      </w:r>
      <w:r w:rsidRPr="003E632C">
        <w:rPr>
          <w:rFonts w:ascii="Arial" w:eastAsia="Times New Roman" w:hAnsi="Arial" w:cs="Arial"/>
          <w:sz w:val="20"/>
          <w:szCs w:val="20"/>
          <w:lang w:val="en-US" w:eastAsia="pt-BR"/>
        </w:rPr>
        <w:t xml:space="preserve"> Enhancing precision agriculture for climate change mitigation in Visegrad countries: Factors shaping adaptation. Land, 14(2), 399. DOI: 10.3390/land14020399 </w:t>
      </w:r>
    </w:p>
    <w:p w14:paraId="28EDDF79" w14:textId="46B95B9A"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FAO (2017c).</w:t>
      </w:r>
      <w:r w:rsidRPr="003E632C">
        <w:rPr>
          <w:rFonts w:ascii="Arial" w:eastAsia="Times New Roman" w:hAnsi="Arial" w:cs="Arial"/>
          <w:sz w:val="20"/>
          <w:szCs w:val="20"/>
          <w:lang w:val="en-US" w:eastAsia="pt-BR"/>
        </w:rPr>
        <w:t xml:space="preserve"> Strategic work of FAO for inclusive and efficient food systems. </w:t>
      </w:r>
    </w:p>
    <w:p w14:paraId="48A2DD87" w14:textId="4B6CD944" w:rsidR="003E632C" w:rsidRPr="003E632C" w:rsidRDefault="003E632C" w:rsidP="003E632C">
      <w:pPr>
        <w:spacing w:line="240" w:lineRule="auto"/>
        <w:jc w:val="both"/>
        <w:rPr>
          <w:rFonts w:ascii="Arial" w:eastAsia="Times New Roman" w:hAnsi="Arial" w:cs="Arial"/>
          <w:sz w:val="20"/>
          <w:szCs w:val="20"/>
          <w:lang w:val="fr-FR" w:eastAsia="pt-BR"/>
        </w:rPr>
      </w:pPr>
      <w:proofErr w:type="spellStart"/>
      <w:r w:rsidRPr="003E632C">
        <w:rPr>
          <w:rFonts w:ascii="Arial" w:eastAsia="Times New Roman" w:hAnsi="Arial" w:cs="Arial"/>
          <w:color w:val="000000"/>
          <w:sz w:val="20"/>
          <w:szCs w:val="20"/>
          <w:lang w:val="en-US" w:eastAsia="pt-BR"/>
        </w:rPr>
        <w:t>Makate</w:t>
      </w:r>
      <w:proofErr w:type="spellEnd"/>
      <w:r w:rsidRPr="003E632C">
        <w:rPr>
          <w:rFonts w:ascii="Arial" w:eastAsia="Times New Roman" w:hAnsi="Arial" w:cs="Arial"/>
          <w:color w:val="000000"/>
          <w:sz w:val="20"/>
          <w:szCs w:val="20"/>
          <w:lang w:val="en-US" w:eastAsia="pt-BR"/>
        </w:rPr>
        <w:t xml:space="preserve"> C. et al. (2019).</w:t>
      </w:r>
      <w:r w:rsidRPr="003E632C">
        <w:rPr>
          <w:rFonts w:ascii="Arial" w:eastAsia="Times New Roman" w:hAnsi="Arial" w:cs="Arial"/>
          <w:sz w:val="20"/>
          <w:szCs w:val="20"/>
          <w:lang w:val="en-US" w:eastAsia="pt-BR"/>
        </w:rPr>
        <w:t xml:space="preserve"> Increasing resilience of smallholder farmers to climate change through multiple adoption of proven climate smart agriculture innovations: Lessons from Southern Africa. </w:t>
      </w:r>
      <w:r w:rsidRPr="003E632C">
        <w:rPr>
          <w:rFonts w:ascii="Arial" w:eastAsia="Times New Roman" w:hAnsi="Arial" w:cs="Arial"/>
          <w:sz w:val="20"/>
          <w:szCs w:val="20"/>
          <w:lang w:val="fr-FR" w:eastAsia="pt-BR"/>
        </w:rPr>
        <w:t xml:space="preserve">Journal of Environmental Management, 231, 858–868. </w:t>
      </w:r>
      <w:proofErr w:type="gramStart"/>
      <w:r w:rsidRPr="003E632C">
        <w:rPr>
          <w:rFonts w:ascii="Arial" w:eastAsia="Times New Roman" w:hAnsi="Arial" w:cs="Arial"/>
          <w:sz w:val="20"/>
          <w:szCs w:val="20"/>
          <w:lang w:val="fr-FR" w:eastAsia="pt-BR"/>
        </w:rPr>
        <w:t>DOI:</w:t>
      </w:r>
      <w:proofErr w:type="gramEnd"/>
      <w:r w:rsidRPr="003E632C">
        <w:rPr>
          <w:rFonts w:ascii="Arial" w:eastAsia="Times New Roman" w:hAnsi="Arial" w:cs="Arial"/>
          <w:sz w:val="20"/>
          <w:szCs w:val="20"/>
          <w:lang w:val="fr-FR" w:eastAsia="pt-BR"/>
        </w:rPr>
        <w:t xml:space="preserve"> 10.1016/j.jenvman.2018.10.069 </w:t>
      </w:r>
    </w:p>
    <w:p w14:paraId="2B196334" w14:textId="736488D7"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fr-FR" w:eastAsia="pt-BR"/>
        </w:rPr>
        <w:t>Xu Y., Li Y., Zhang M. &amp; Zhang S. (2024).</w:t>
      </w:r>
      <w:r w:rsidRPr="003E632C">
        <w:rPr>
          <w:rFonts w:ascii="Arial" w:eastAsia="Times New Roman" w:hAnsi="Arial" w:cs="Arial"/>
          <w:sz w:val="20"/>
          <w:szCs w:val="20"/>
          <w:lang w:val="fr-FR" w:eastAsia="pt-BR"/>
        </w:rPr>
        <w:t xml:space="preserve"> </w:t>
      </w:r>
      <w:r w:rsidRPr="003E632C">
        <w:rPr>
          <w:rFonts w:ascii="Arial" w:eastAsia="Times New Roman" w:hAnsi="Arial" w:cs="Arial"/>
          <w:sz w:val="20"/>
          <w:szCs w:val="20"/>
          <w:lang w:val="en-US" w:eastAsia="pt-BR"/>
        </w:rPr>
        <w:t xml:space="preserve">Sustainable agriculture in the digital era: Past, present, and future trends by bibliometric analysis. </w:t>
      </w:r>
      <w:proofErr w:type="spellStart"/>
      <w:r w:rsidRPr="003E632C">
        <w:rPr>
          <w:rFonts w:ascii="Arial" w:eastAsia="Times New Roman" w:hAnsi="Arial" w:cs="Arial"/>
          <w:sz w:val="20"/>
          <w:szCs w:val="20"/>
          <w:lang w:val="en-US" w:eastAsia="pt-BR"/>
        </w:rPr>
        <w:t>Heliyon</w:t>
      </w:r>
      <w:proofErr w:type="spellEnd"/>
      <w:r w:rsidRPr="003E632C">
        <w:rPr>
          <w:rFonts w:ascii="Arial" w:eastAsia="Times New Roman" w:hAnsi="Arial" w:cs="Arial"/>
          <w:sz w:val="20"/>
          <w:szCs w:val="20"/>
          <w:lang w:val="en-US" w:eastAsia="pt-BR"/>
        </w:rPr>
        <w:t xml:space="preserve">, 10(14), e34612. DOI: </w:t>
      </w:r>
      <w:proofErr w:type="gramStart"/>
      <w:r w:rsidRPr="003E632C">
        <w:rPr>
          <w:rFonts w:ascii="Arial" w:eastAsia="Times New Roman" w:hAnsi="Arial" w:cs="Arial"/>
          <w:sz w:val="20"/>
          <w:szCs w:val="20"/>
          <w:lang w:val="en-US" w:eastAsia="pt-BR"/>
        </w:rPr>
        <w:t>10.1016/j.heliyon.2024.e</w:t>
      </w:r>
      <w:proofErr w:type="gramEnd"/>
      <w:r w:rsidRPr="003E632C">
        <w:rPr>
          <w:rFonts w:ascii="Arial" w:eastAsia="Times New Roman" w:hAnsi="Arial" w:cs="Arial"/>
          <w:sz w:val="20"/>
          <w:szCs w:val="20"/>
          <w:lang w:val="en-US" w:eastAsia="pt-BR"/>
        </w:rPr>
        <w:t xml:space="preserve">34612 </w:t>
      </w:r>
    </w:p>
    <w:p w14:paraId="07FF8F98" w14:textId="55FE775B"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International Organization for Standardization (2006).</w:t>
      </w:r>
      <w:r w:rsidRPr="003E632C">
        <w:rPr>
          <w:rFonts w:ascii="Arial" w:eastAsia="Times New Roman" w:hAnsi="Arial" w:cs="Arial"/>
          <w:sz w:val="20"/>
          <w:szCs w:val="20"/>
          <w:lang w:val="en-US" w:eastAsia="pt-BR"/>
        </w:rPr>
        <w:t xml:space="preserve"> ISO 14040 – Environmental management – Life Cycle Assessment – Principles and framework. </w:t>
      </w:r>
    </w:p>
    <w:p w14:paraId="72347B8E" w14:textId="2EE25045"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Nemecek T. et al. (2015).</w:t>
      </w:r>
      <w:r w:rsidRPr="003E632C">
        <w:rPr>
          <w:rFonts w:ascii="Arial" w:eastAsia="Times New Roman" w:hAnsi="Arial" w:cs="Arial"/>
          <w:sz w:val="20"/>
          <w:szCs w:val="20"/>
          <w:lang w:val="en-US" w:eastAsia="pt-BR"/>
        </w:rPr>
        <w:t xml:space="preserve"> World Food LCA Database – Methodological guidelines for the life cycle inventory of agricultural products. Version 3.0, p. 84. </w:t>
      </w:r>
    </w:p>
    <w:p w14:paraId="6274DF69" w14:textId="35600D30"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International Organization for Standardization (2006).</w:t>
      </w:r>
      <w:r w:rsidRPr="003E632C">
        <w:rPr>
          <w:rFonts w:ascii="Arial" w:eastAsia="Times New Roman" w:hAnsi="Arial" w:cs="Arial"/>
          <w:sz w:val="20"/>
          <w:szCs w:val="20"/>
          <w:lang w:val="en-US" w:eastAsia="pt-BR"/>
        </w:rPr>
        <w:t xml:space="preserve"> ISO 14044 – Environmental management – Life Cycle Assessment – Requirements and guidelines. </w:t>
      </w:r>
    </w:p>
    <w:p w14:paraId="38AB9D7B" w14:textId="091C8BDF"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t>Colaço A.F. &amp; Molin J.P. (2015).</w:t>
      </w:r>
      <w:r w:rsidRPr="003E632C">
        <w:rPr>
          <w:rFonts w:ascii="Arial" w:eastAsia="Times New Roman" w:hAnsi="Arial" w:cs="Arial"/>
          <w:sz w:val="20"/>
          <w:szCs w:val="20"/>
          <w:lang w:eastAsia="pt-BR"/>
        </w:rPr>
        <w:t xml:space="preserve"> Amostragem georreferenciada. In Agricultura de precisão – Boletim Técnico 02 (p. 4). </w:t>
      </w:r>
    </w:p>
    <w:p w14:paraId="2AC54576" w14:textId="00276A48"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val="en-US" w:eastAsia="pt-BR"/>
        </w:rPr>
        <w:t>Broch D.L. &amp; Ranno S.K. (2012).</w:t>
      </w:r>
      <w:r w:rsidRPr="003E632C">
        <w:rPr>
          <w:rFonts w:ascii="Arial" w:eastAsia="Times New Roman" w:hAnsi="Arial" w:cs="Arial"/>
          <w:sz w:val="20"/>
          <w:szCs w:val="20"/>
          <w:lang w:val="en-US" w:eastAsia="pt-BR"/>
        </w:rPr>
        <w:t xml:space="preserve"> </w:t>
      </w:r>
      <w:r w:rsidRPr="003E632C">
        <w:rPr>
          <w:rFonts w:ascii="Arial" w:eastAsia="Times New Roman" w:hAnsi="Arial" w:cs="Arial"/>
          <w:sz w:val="20"/>
          <w:szCs w:val="20"/>
          <w:lang w:eastAsia="pt-BR"/>
        </w:rPr>
        <w:t xml:space="preserve">Fertilidade do solo, adubação e nutrição da cultura da soja. In Tecnologia de produção de soja e milho 2008/2009 (pp. 240–252). </w:t>
      </w:r>
    </w:p>
    <w:p w14:paraId="6D06882C" w14:textId="5CB0A586"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t>MAPA (2013).</w:t>
      </w:r>
      <w:r w:rsidRPr="003E632C">
        <w:rPr>
          <w:rFonts w:ascii="Arial" w:eastAsia="Times New Roman" w:hAnsi="Arial" w:cs="Arial"/>
          <w:sz w:val="20"/>
          <w:szCs w:val="20"/>
          <w:lang w:eastAsia="pt-BR"/>
        </w:rPr>
        <w:t xml:space="preserve"> Agricultura de precisão. </w:t>
      </w:r>
    </w:p>
    <w:p w14:paraId="2EA2E4B0" w14:textId="19B5691A"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t>Vullaganti N., Ram B.G. &amp; Sun X. (2025).</w:t>
      </w:r>
      <w:r w:rsidRPr="003E632C">
        <w:rPr>
          <w:rFonts w:ascii="Arial" w:eastAsia="Times New Roman" w:hAnsi="Arial" w:cs="Arial"/>
          <w:sz w:val="20"/>
          <w:szCs w:val="20"/>
          <w:lang w:eastAsia="pt-BR"/>
        </w:rPr>
        <w:t xml:space="preserve"> Precision agriculture technologies for soil site specific nutrient management: A comprehensive review. Artificial Intelligence in Agriculture, 15(2), 147–161. DOI: 10.1016/j.aiia.2025.02.001 </w:t>
      </w:r>
    </w:p>
    <w:p w14:paraId="3A2C1293" w14:textId="4D6AD04B"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eastAsia="pt-BR"/>
        </w:rPr>
        <w:t>Nemecek T. &amp; Schnetzer J. (2012).</w:t>
      </w:r>
      <w:r w:rsidRPr="003E632C">
        <w:rPr>
          <w:rFonts w:ascii="Arial" w:eastAsia="Times New Roman" w:hAnsi="Arial" w:cs="Arial"/>
          <w:sz w:val="20"/>
          <w:szCs w:val="20"/>
          <w:lang w:eastAsia="pt-BR"/>
        </w:rPr>
        <w:t xml:space="preserve"> </w:t>
      </w:r>
      <w:r w:rsidRPr="003E632C">
        <w:rPr>
          <w:rFonts w:ascii="Arial" w:eastAsia="Times New Roman" w:hAnsi="Arial" w:cs="Arial"/>
          <w:sz w:val="20"/>
          <w:szCs w:val="20"/>
          <w:lang w:val="en-US" w:eastAsia="pt-BR"/>
        </w:rPr>
        <w:t xml:space="preserve">Methods of assessment of direct field emissions for LCIs of agricultural production systems. </w:t>
      </w:r>
      <w:proofErr w:type="spellStart"/>
      <w:r w:rsidRPr="003E632C">
        <w:rPr>
          <w:rFonts w:ascii="Arial" w:eastAsia="Times New Roman" w:hAnsi="Arial" w:cs="Arial"/>
          <w:sz w:val="20"/>
          <w:szCs w:val="20"/>
          <w:lang w:val="en-US" w:eastAsia="pt-BR"/>
        </w:rPr>
        <w:t>Agroscope</w:t>
      </w:r>
      <w:proofErr w:type="spellEnd"/>
      <w:r w:rsidRPr="003E632C">
        <w:rPr>
          <w:rFonts w:ascii="Arial" w:eastAsia="Times New Roman" w:hAnsi="Arial" w:cs="Arial"/>
          <w:sz w:val="20"/>
          <w:szCs w:val="20"/>
          <w:lang w:val="en-US" w:eastAsia="pt-BR"/>
        </w:rPr>
        <w:t xml:space="preserve"> </w:t>
      </w:r>
      <w:proofErr w:type="spellStart"/>
      <w:r w:rsidRPr="003E632C">
        <w:rPr>
          <w:rFonts w:ascii="Arial" w:eastAsia="Times New Roman" w:hAnsi="Arial" w:cs="Arial"/>
          <w:sz w:val="20"/>
          <w:szCs w:val="20"/>
          <w:lang w:val="en-US" w:eastAsia="pt-BR"/>
        </w:rPr>
        <w:t>Reckenholz-Tänikon</w:t>
      </w:r>
      <w:proofErr w:type="spellEnd"/>
      <w:r w:rsidRPr="003E632C">
        <w:rPr>
          <w:rFonts w:ascii="Arial" w:eastAsia="Times New Roman" w:hAnsi="Arial" w:cs="Arial"/>
          <w:sz w:val="20"/>
          <w:szCs w:val="20"/>
          <w:lang w:val="en-US" w:eastAsia="pt-BR"/>
        </w:rPr>
        <w:t xml:space="preserve"> Research Station, 15, 34. </w:t>
      </w:r>
    </w:p>
    <w:p w14:paraId="47D154B0" w14:textId="6726D4BA" w:rsidR="003E632C" w:rsidRPr="003E632C" w:rsidRDefault="003E632C" w:rsidP="003E632C">
      <w:pPr>
        <w:spacing w:line="240" w:lineRule="auto"/>
        <w:jc w:val="both"/>
        <w:rPr>
          <w:rFonts w:ascii="Arial" w:eastAsia="Times New Roman" w:hAnsi="Arial" w:cs="Arial"/>
          <w:sz w:val="20"/>
          <w:szCs w:val="20"/>
          <w:lang w:val="en-US" w:eastAsia="pt-BR"/>
        </w:rPr>
      </w:pPr>
      <w:proofErr w:type="spellStart"/>
      <w:r w:rsidRPr="00CA32EC">
        <w:rPr>
          <w:rFonts w:ascii="Arial" w:eastAsia="Times New Roman" w:hAnsi="Arial" w:cs="Arial"/>
          <w:color w:val="000000"/>
          <w:sz w:val="20"/>
          <w:szCs w:val="20"/>
          <w:lang w:val="en-US" w:eastAsia="pt-BR"/>
        </w:rPr>
        <w:lastRenderedPageBreak/>
        <w:t>Folegatti</w:t>
      </w:r>
      <w:proofErr w:type="spellEnd"/>
      <w:r w:rsidRPr="00CA32EC">
        <w:rPr>
          <w:rFonts w:ascii="Arial" w:eastAsia="Times New Roman" w:hAnsi="Arial" w:cs="Arial"/>
          <w:color w:val="000000"/>
          <w:sz w:val="20"/>
          <w:szCs w:val="20"/>
          <w:lang w:val="en-US" w:eastAsia="pt-BR"/>
        </w:rPr>
        <w:t xml:space="preserve">-Matsuura, M. I. S.; </w:t>
      </w:r>
      <w:proofErr w:type="spellStart"/>
      <w:r w:rsidRPr="00CA32EC">
        <w:rPr>
          <w:rFonts w:ascii="Arial" w:eastAsia="Times New Roman" w:hAnsi="Arial" w:cs="Arial"/>
          <w:color w:val="000000"/>
          <w:sz w:val="20"/>
          <w:szCs w:val="20"/>
          <w:lang w:val="en-US" w:eastAsia="pt-BR"/>
        </w:rPr>
        <w:t>Picoli</w:t>
      </w:r>
      <w:proofErr w:type="spellEnd"/>
      <w:r w:rsidRPr="00CA32EC">
        <w:rPr>
          <w:rFonts w:ascii="Arial" w:eastAsia="Times New Roman" w:hAnsi="Arial" w:cs="Arial"/>
          <w:color w:val="000000"/>
          <w:sz w:val="20"/>
          <w:szCs w:val="20"/>
          <w:lang w:val="en-US" w:eastAsia="pt-BR"/>
        </w:rPr>
        <w:t xml:space="preserve">, J. </w:t>
      </w:r>
      <w:proofErr w:type="gramStart"/>
      <w:r w:rsidRPr="00CA32EC">
        <w:rPr>
          <w:rFonts w:ascii="Arial" w:eastAsia="Times New Roman" w:hAnsi="Arial" w:cs="Arial"/>
          <w:color w:val="000000"/>
          <w:sz w:val="20"/>
          <w:szCs w:val="20"/>
          <w:lang w:val="en-US" w:eastAsia="pt-BR"/>
        </w:rPr>
        <w:t>F.(</w:t>
      </w:r>
      <w:proofErr w:type="gramEnd"/>
      <w:r w:rsidRPr="00CA32EC">
        <w:rPr>
          <w:rFonts w:ascii="Arial" w:eastAsia="Times New Roman" w:hAnsi="Arial" w:cs="Arial"/>
          <w:color w:val="000000"/>
          <w:sz w:val="20"/>
          <w:szCs w:val="20"/>
          <w:lang w:val="en-US" w:eastAsia="pt-BR"/>
        </w:rPr>
        <w:t>2018).</w:t>
      </w:r>
      <w:r w:rsidRPr="00CA32EC">
        <w:rPr>
          <w:rFonts w:ascii="Arial" w:eastAsia="Times New Roman" w:hAnsi="Arial" w:cs="Arial"/>
          <w:sz w:val="20"/>
          <w:szCs w:val="20"/>
          <w:lang w:val="en-US" w:eastAsia="pt-BR"/>
        </w:rPr>
        <w:t xml:space="preserve"> </w:t>
      </w:r>
      <w:r w:rsidRPr="003E632C">
        <w:rPr>
          <w:rFonts w:ascii="Arial" w:eastAsia="Times New Roman" w:hAnsi="Arial" w:cs="Arial"/>
          <w:sz w:val="20"/>
          <w:szCs w:val="20"/>
          <w:lang w:val="en-US" w:eastAsia="pt-BR"/>
        </w:rPr>
        <w:t xml:space="preserve">Life cycle inventories of agriculture, forestry and animal husbandry - Brazil. </w:t>
      </w:r>
      <w:proofErr w:type="spellStart"/>
      <w:r w:rsidRPr="003E632C">
        <w:rPr>
          <w:rFonts w:ascii="Arial" w:eastAsia="Times New Roman" w:hAnsi="Arial" w:cs="Arial"/>
          <w:sz w:val="20"/>
          <w:szCs w:val="20"/>
          <w:lang w:val="en-US" w:eastAsia="pt-BR"/>
        </w:rPr>
        <w:t>Jaguariúna</w:t>
      </w:r>
      <w:proofErr w:type="spellEnd"/>
      <w:r w:rsidRPr="003E632C">
        <w:rPr>
          <w:rFonts w:ascii="Arial" w:eastAsia="Times New Roman" w:hAnsi="Arial" w:cs="Arial"/>
          <w:sz w:val="20"/>
          <w:szCs w:val="20"/>
          <w:lang w:val="en-US" w:eastAsia="pt-BR"/>
        </w:rPr>
        <w:t xml:space="preserve">: </w:t>
      </w:r>
      <w:proofErr w:type="spellStart"/>
      <w:r w:rsidRPr="003E632C">
        <w:rPr>
          <w:rFonts w:ascii="Arial" w:eastAsia="Times New Roman" w:hAnsi="Arial" w:cs="Arial"/>
          <w:sz w:val="20"/>
          <w:szCs w:val="20"/>
          <w:lang w:val="en-US" w:eastAsia="pt-BR"/>
        </w:rPr>
        <w:t>Embrapa</w:t>
      </w:r>
      <w:proofErr w:type="spellEnd"/>
      <w:r w:rsidRPr="003E632C">
        <w:rPr>
          <w:rFonts w:ascii="Arial" w:eastAsia="Times New Roman" w:hAnsi="Arial" w:cs="Arial"/>
          <w:sz w:val="20"/>
          <w:szCs w:val="20"/>
          <w:lang w:val="en-US" w:eastAsia="pt-BR"/>
        </w:rPr>
        <w:t xml:space="preserve"> </w:t>
      </w:r>
      <w:proofErr w:type="spellStart"/>
      <w:r w:rsidRPr="003E632C">
        <w:rPr>
          <w:rFonts w:ascii="Arial" w:eastAsia="Times New Roman" w:hAnsi="Arial" w:cs="Arial"/>
          <w:sz w:val="20"/>
          <w:szCs w:val="20"/>
          <w:lang w:val="en-US" w:eastAsia="pt-BR"/>
        </w:rPr>
        <w:t>Meio</w:t>
      </w:r>
      <w:proofErr w:type="spellEnd"/>
      <w:r w:rsidRPr="003E632C">
        <w:rPr>
          <w:rFonts w:ascii="Arial" w:eastAsia="Times New Roman" w:hAnsi="Arial" w:cs="Arial"/>
          <w:sz w:val="20"/>
          <w:szCs w:val="20"/>
          <w:lang w:val="en-US" w:eastAsia="pt-BR"/>
        </w:rPr>
        <w:t xml:space="preserve"> Ambiente.143 p. </w:t>
      </w:r>
    </w:p>
    <w:p w14:paraId="44AAC21F" w14:textId="2178F207"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Li A. et al. (2016).</w:t>
      </w:r>
      <w:r w:rsidRPr="003E632C">
        <w:rPr>
          <w:rFonts w:ascii="Arial" w:eastAsia="Times New Roman" w:hAnsi="Arial" w:cs="Arial"/>
          <w:sz w:val="20"/>
          <w:szCs w:val="20"/>
          <w:lang w:val="en-US" w:eastAsia="pt-BR"/>
        </w:rPr>
        <w:t xml:space="preserve"> A case study of environmental benefits of </w:t>
      </w:r>
      <w:proofErr w:type="gramStart"/>
      <w:r w:rsidRPr="003E632C">
        <w:rPr>
          <w:rFonts w:ascii="Arial" w:eastAsia="Times New Roman" w:hAnsi="Arial" w:cs="Arial"/>
          <w:sz w:val="20"/>
          <w:szCs w:val="20"/>
          <w:lang w:val="en-US" w:eastAsia="pt-BR"/>
        </w:rPr>
        <w:t>sensor based</w:t>
      </w:r>
      <w:proofErr w:type="gramEnd"/>
      <w:r w:rsidRPr="003E632C">
        <w:rPr>
          <w:rFonts w:ascii="Arial" w:eastAsia="Times New Roman" w:hAnsi="Arial" w:cs="Arial"/>
          <w:sz w:val="20"/>
          <w:szCs w:val="20"/>
          <w:lang w:val="en-US" w:eastAsia="pt-BR"/>
        </w:rPr>
        <w:t xml:space="preserve"> nitrogen application in corn. Journal of Environmental Quality, 45(2), 675. DOI: 10.2134/jeq2015.07.0404 </w:t>
      </w:r>
    </w:p>
    <w:p w14:paraId="65E60576" w14:textId="7C305726" w:rsidR="003E632C" w:rsidRPr="003E632C" w:rsidRDefault="003E632C" w:rsidP="003E632C">
      <w:pPr>
        <w:spacing w:line="240" w:lineRule="auto"/>
        <w:jc w:val="both"/>
        <w:rPr>
          <w:rFonts w:ascii="Arial" w:eastAsia="Times New Roman" w:hAnsi="Arial" w:cs="Arial"/>
          <w:sz w:val="20"/>
          <w:szCs w:val="20"/>
          <w:lang w:val="en-US" w:eastAsia="pt-BR"/>
        </w:rPr>
      </w:pPr>
      <w:r>
        <w:rPr>
          <w:rFonts w:ascii="Arial" w:eastAsia="Times New Roman" w:hAnsi="Arial" w:cs="Arial"/>
          <w:color w:val="000000"/>
          <w:sz w:val="20"/>
          <w:szCs w:val="20"/>
          <w:lang w:val="en-US" w:eastAsia="pt-BR"/>
        </w:rPr>
        <w:t>J</w:t>
      </w:r>
      <w:r w:rsidRPr="003E632C">
        <w:rPr>
          <w:rFonts w:ascii="Arial" w:eastAsia="Times New Roman" w:hAnsi="Arial" w:cs="Arial"/>
          <w:color w:val="000000"/>
          <w:sz w:val="20"/>
          <w:szCs w:val="20"/>
          <w:lang w:val="en-US" w:eastAsia="pt-BR"/>
        </w:rPr>
        <w:t xml:space="preserve">ensen T.A., </w:t>
      </w:r>
      <w:proofErr w:type="spellStart"/>
      <w:r w:rsidRPr="003E632C">
        <w:rPr>
          <w:rFonts w:ascii="Arial" w:eastAsia="Times New Roman" w:hAnsi="Arial" w:cs="Arial"/>
          <w:color w:val="000000"/>
          <w:sz w:val="20"/>
          <w:szCs w:val="20"/>
          <w:lang w:val="en-US" w:eastAsia="pt-BR"/>
        </w:rPr>
        <w:t>Antille</w:t>
      </w:r>
      <w:proofErr w:type="spellEnd"/>
      <w:r w:rsidRPr="003E632C">
        <w:rPr>
          <w:rFonts w:ascii="Arial" w:eastAsia="Times New Roman" w:hAnsi="Arial" w:cs="Arial"/>
          <w:color w:val="000000"/>
          <w:sz w:val="20"/>
          <w:szCs w:val="20"/>
          <w:lang w:val="en-US" w:eastAsia="pt-BR"/>
        </w:rPr>
        <w:t xml:space="preserve"> D.L. &amp; </w:t>
      </w:r>
      <w:proofErr w:type="spellStart"/>
      <w:r w:rsidRPr="003E632C">
        <w:rPr>
          <w:rFonts w:ascii="Arial" w:eastAsia="Times New Roman" w:hAnsi="Arial" w:cs="Arial"/>
          <w:color w:val="000000"/>
          <w:sz w:val="20"/>
          <w:szCs w:val="20"/>
          <w:lang w:val="en-US" w:eastAsia="pt-BR"/>
        </w:rPr>
        <w:t>Tullberg</w:t>
      </w:r>
      <w:proofErr w:type="spellEnd"/>
      <w:r w:rsidRPr="003E632C">
        <w:rPr>
          <w:rFonts w:ascii="Arial" w:eastAsia="Times New Roman" w:hAnsi="Arial" w:cs="Arial"/>
          <w:color w:val="000000"/>
          <w:sz w:val="20"/>
          <w:szCs w:val="20"/>
          <w:lang w:val="en-US" w:eastAsia="pt-BR"/>
        </w:rPr>
        <w:t xml:space="preserve"> J.N. (2025).</w:t>
      </w:r>
      <w:r w:rsidRPr="003E632C">
        <w:rPr>
          <w:rFonts w:ascii="Arial" w:eastAsia="Times New Roman" w:hAnsi="Arial" w:cs="Arial"/>
          <w:sz w:val="20"/>
          <w:szCs w:val="20"/>
          <w:lang w:val="en-US" w:eastAsia="pt-BR"/>
        </w:rPr>
        <w:t xml:space="preserve"> Improving on farm energy use efficiency by optimizing machinery operations and management: A review. Agricultural Research, 14, 15–33. DOI: 10.1007/s40003-024-00824-5 </w:t>
      </w:r>
    </w:p>
    <w:p w14:paraId="446C76C7" w14:textId="062A7E25"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 xml:space="preserve">Adewuyi A., </w:t>
      </w:r>
      <w:proofErr w:type="spellStart"/>
      <w:r w:rsidRPr="003E632C">
        <w:rPr>
          <w:rFonts w:ascii="Arial" w:eastAsia="Times New Roman" w:hAnsi="Arial" w:cs="Arial"/>
          <w:color w:val="000000"/>
          <w:sz w:val="20"/>
          <w:szCs w:val="20"/>
          <w:lang w:val="en-US" w:eastAsia="pt-BR"/>
        </w:rPr>
        <w:t>Anyibama</w:t>
      </w:r>
      <w:proofErr w:type="spellEnd"/>
      <w:r w:rsidRPr="003E632C">
        <w:rPr>
          <w:rFonts w:ascii="Arial" w:eastAsia="Times New Roman" w:hAnsi="Arial" w:cs="Arial"/>
          <w:color w:val="000000"/>
          <w:sz w:val="20"/>
          <w:szCs w:val="20"/>
          <w:lang w:val="en-US" w:eastAsia="pt-BR"/>
        </w:rPr>
        <w:t xml:space="preserve"> B., Adebayo K., </w:t>
      </w:r>
      <w:proofErr w:type="spellStart"/>
      <w:r w:rsidRPr="003E632C">
        <w:rPr>
          <w:rFonts w:ascii="Arial" w:eastAsia="Times New Roman" w:hAnsi="Arial" w:cs="Arial"/>
          <w:color w:val="000000"/>
          <w:sz w:val="20"/>
          <w:szCs w:val="20"/>
          <w:lang w:val="en-US" w:eastAsia="pt-BR"/>
        </w:rPr>
        <w:t>Kalinzi</w:t>
      </w:r>
      <w:proofErr w:type="spellEnd"/>
      <w:r w:rsidRPr="003E632C">
        <w:rPr>
          <w:rFonts w:ascii="Arial" w:eastAsia="Times New Roman" w:hAnsi="Arial" w:cs="Arial"/>
          <w:color w:val="000000"/>
          <w:sz w:val="20"/>
          <w:szCs w:val="20"/>
          <w:lang w:val="en-US" w:eastAsia="pt-BR"/>
        </w:rPr>
        <w:t xml:space="preserve"> J., Adeniyi S. &amp; Wada I. (2024).</w:t>
      </w:r>
      <w:r w:rsidRPr="003E632C">
        <w:rPr>
          <w:rFonts w:ascii="Arial" w:eastAsia="Times New Roman" w:hAnsi="Arial" w:cs="Arial"/>
          <w:sz w:val="20"/>
          <w:szCs w:val="20"/>
          <w:lang w:val="en-US" w:eastAsia="pt-BR"/>
        </w:rPr>
        <w:t xml:space="preserve"> Precision agriculture: Leveraging data science for sustainable farming. International Journal of Science and Research Archive, 12(2), 1122–1129. DOI: 10.30574/ijsra.2024.12.2.1371 </w:t>
      </w:r>
    </w:p>
    <w:p w14:paraId="10159440" w14:textId="3D09EA1A" w:rsidR="003E632C" w:rsidRPr="003E632C" w:rsidRDefault="003E632C" w:rsidP="003E632C">
      <w:pPr>
        <w:spacing w:line="240" w:lineRule="auto"/>
        <w:jc w:val="both"/>
        <w:rPr>
          <w:rFonts w:ascii="Arial" w:eastAsia="Times New Roman" w:hAnsi="Arial" w:cs="Arial"/>
          <w:sz w:val="20"/>
          <w:szCs w:val="20"/>
          <w:lang w:val="en-US" w:eastAsia="pt-BR"/>
        </w:rPr>
      </w:pPr>
      <w:r w:rsidRPr="00CA32EC">
        <w:rPr>
          <w:rFonts w:ascii="Arial" w:eastAsia="Times New Roman" w:hAnsi="Arial" w:cs="Arial"/>
          <w:color w:val="000000"/>
          <w:sz w:val="20"/>
          <w:szCs w:val="20"/>
          <w:lang w:val="en-US" w:eastAsia="pt-BR"/>
        </w:rPr>
        <w:t>Galati A., Sofia S. &amp; Crescimanno M. (2025).</w:t>
      </w:r>
      <w:r w:rsidRPr="00CA32EC">
        <w:rPr>
          <w:rFonts w:ascii="Arial" w:eastAsia="Times New Roman" w:hAnsi="Arial" w:cs="Arial"/>
          <w:sz w:val="20"/>
          <w:szCs w:val="20"/>
          <w:lang w:val="en-US" w:eastAsia="pt-BR"/>
        </w:rPr>
        <w:t xml:space="preserve"> </w:t>
      </w:r>
      <w:r w:rsidRPr="003E632C">
        <w:rPr>
          <w:rFonts w:ascii="Arial" w:eastAsia="Times New Roman" w:hAnsi="Arial" w:cs="Arial"/>
          <w:sz w:val="20"/>
          <w:szCs w:val="20"/>
          <w:lang w:val="en-US" w:eastAsia="pt-BR"/>
        </w:rPr>
        <w:t xml:space="preserve">Economics and barriers of precision viticulture technologies: A comprehensive systematic literature review. Information Processing in Agriculture. Advance online publication. DOI: 10.1016/j.inpa.2025.04.001 </w:t>
      </w:r>
    </w:p>
    <w:p w14:paraId="26E51A91" w14:textId="0676ACE1" w:rsidR="003E632C" w:rsidRPr="003E632C" w:rsidRDefault="003E632C" w:rsidP="003E632C">
      <w:pPr>
        <w:spacing w:line="240" w:lineRule="auto"/>
        <w:jc w:val="both"/>
        <w:rPr>
          <w:rFonts w:ascii="Arial" w:eastAsia="Times New Roman" w:hAnsi="Arial" w:cs="Arial"/>
          <w:sz w:val="20"/>
          <w:szCs w:val="20"/>
          <w:lang w:val="fr-FR" w:eastAsia="pt-BR"/>
        </w:rPr>
      </w:pPr>
      <w:proofErr w:type="spellStart"/>
      <w:r w:rsidRPr="00CA32EC">
        <w:rPr>
          <w:rFonts w:ascii="Arial" w:eastAsia="Times New Roman" w:hAnsi="Arial" w:cs="Arial"/>
          <w:color w:val="000000"/>
          <w:sz w:val="20"/>
          <w:szCs w:val="20"/>
          <w:lang w:val="en-US" w:eastAsia="pt-BR"/>
        </w:rPr>
        <w:t>Milindi</w:t>
      </w:r>
      <w:proofErr w:type="spellEnd"/>
      <w:r w:rsidRPr="00CA32EC">
        <w:rPr>
          <w:rFonts w:ascii="Arial" w:eastAsia="Times New Roman" w:hAnsi="Arial" w:cs="Arial"/>
          <w:color w:val="000000"/>
          <w:sz w:val="20"/>
          <w:szCs w:val="20"/>
          <w:lang w:val="en-US" w:eastAsia="pt-BR"/>
        </w:rPr>
        <w:t xml:space="preserve"> P.S., </w:t>
      </w:r>
      <w:proofErr w:type="spellStart"/>
      <w:r w:rsidRPr="00CA32EC">
        <w:rPr>
          <w:rFonts w:ascii="Arial" w:eastAsia="Times New Roman" w:hAnsi="Arial" w:cs="Arial"/>
          <w:color w:val="000000"/>
          <w:sz w:val="20"/>
          <w:szCs w:val="20"/>
          <w:lang w:val="en-US" w:eastAsia="pt-BR"/>
        </w:rPr>
        <w:t>Nsenuka</w:t>
      </w:r>
      <w:proofErr w:type="spellEnd"/>
      <w:r w:rsidRPr="00CA32EC">
        <w:rPr>
          <w:rFonts w:ascii="Arial" w:eastAsia="Times New Roman" w:hAnsi="Arial" w:cs="Arial"/>
          <w:color w:val="000000"/>
          <w:sz w:val="20"/>
          <w:szCs w:val="20"/>
          <w:lang w:val="en-US" w:eastAsia="pt-BR"/>
        </w:rPr>
        <w:t xml:space="preserve"> E.E. &amp; Chopra S.S. (2024).</w:t>
      </w:r>
      <w:r w:rsidRPr="00CA32EC">
        <w:rPr>
          <w:rFonts w:ascii="Arial" w:eastAsia="Times New Roman" w:hAnsi="Arial" w:cs="Arial"/>
          <w:sz w:val="20"/>
          <w:szCs w:val="20"/>
          <w:lang w:val="en-US" w:eastAsia="pt-BR"/>
        </w:rPr>
        <w:t xml:space="preserve"> </w:t>
      </w:r>
      <w:r w:rsidRPr="003E632C">
        <w:rPr>
          <w:rFonts w:ascii="Arial" w:eastAsia="Times New Roman" w:hAnsi="Arial" w:cs="Arial"/>
          <w:sz w:val="20"/>
          <w:szCs w:val="20"/>
          <w:lang w:val="en-US" w:eastAsia="pt-BR"/>
        </w:rPr>
        <w:t xml:space="preserve">Driving sustainability in the sugarcane industry: Life cycle assessment of conventional and emerging spraying technologies in Tanzania. </w:t>
      </w:r>
      <w:r w:rsidRPr="003E632C">
        <w:rPr>
          <w:rFonts w:ascii="Arial" w:eastAsia="Times New Roman" w:hAnsi="Arial" w:cs="Arial"/>
          <w:sz w:val="20"/>
          <w:szCs w:val="20"/>
          <w:lang w:val="fr-FR" w:eastAsia="pt-BR"/>
        </w:rPr>
        <w:t xml:space="preserve">Science of the Total Environment, 955, 176963. </w:t>
      </w:r>
      <w:proofErr w:type="gramStart"/>
      <w:r w:rsidRPr="003E632C">
        <w:rPr>
          <w:rFonts w:ascii="Arial" w:eastAsia="Times New Roman" w:hAnsi="Arial" w:cs="Arial"/>
          <w:sz w:val="20"/>
          <w:szCs w:val="20"/>
          <w:lang w:val="fr-FR" w:eastAsia="pt-BR"/>
        </w:rPr>
        <w:t>DOI:</w:t>
      </w:r>
      <w:proofErr w:type="gramEnd"/>
      <w:r w:rsidRPr="003E632C">
        <w:rPr>
          <w:rFonts w:ascii="Arial" w:eastAsia="Times New Roman" w:hAnsi="Arial" w:cs="Arial"/>
          <w:sz w:val="20"/>
          <w:szCs w:val="20"/>
          <w:lang w:val="fr-FR" w:eastAsia="pt-BR"/>
        </w:rPr>
        <w:t xml:space="preserve"> 10.1016/j.scitotenv.2024.176963 </w:t>
      </w:r>
    </w:p>
    <w:p w14:paraId="3E38F2CF" w14:textId="4EC460CB"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fr-FR" w:eastAsia="pt-BR"/>
        </w:rPr>
        <w:t xml:space="preserve">Papadopoulos G. et al. </w:t>
      </w:r>
      <w:r w:rsidRPr="003E632C">
        <w:rPr>
          <w:rFonts w:ascii="Arial" w:eastAsia="Times New Roman" w:hAnsi="Arial" w:cs="Arial"/>
          <w:color w:val="000000"/>
          <w:sz w:val="20"/>
          <w:szCs w:val="20"/>
          <w:lang w:val="en-US" w:eastAsia="pt-BR"/>
        </w:rPr>
        <w:t>(2024).</w:t>
      </w:r>
      <w:r w:rsidRPr="003E632C">
        <w:rPr>
          <w:rFonts w:ascii="Arial" w:eastAsia="Times New Roman" w:hAnsi="Arial" w:cs="Arial"/>
          <w:sz w:val="20"/>
          <w:szCs w:val="20"/>
          <w:lang w:val="en-US" w:eastAsia="pt-BR"/>
        </w:rPr>
        <w:t xml:space="preserve"> Economic and environmental benefits of digital agricultural technologies in crop production: A review. Smart Agricultural Technology, 8, 100441. DOI: 10.1016/j.atech.2024.100441 </w:t>
      </w:r>
    </w:p>
    <w:p w14:paraId="29C7C9A4" w14:textId="1C30B575"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 xml:space="preserve">Medel Jiménez F., </w:t>
      </w:r>
      <w:proofErr w:type="spellStart"/>
      <w:r w:rsidRPr="003E632C">
        <w:rPr>
          <w:rFonts w:ascii="Arial" w:eastAsia="Times New Roman" w:hAnsi="Arial" w:cs="Arial"/>
          <w:color w:val="000000"/>
          <w:sz w:val="20"/>
          <w:szCs w:val="20"/>
          <w:lang w:val="en-US" w:eastAsia="pt-BR"/>
        </w:rPr>
        <w:t>Krexner</w:t>
      </w:r>
      <w:proofErr w:type="spellEnd"/>
      <w:r w:rsidRPr="003E632C">
        <w:rPr>
          <w:rFonts w:ascii="Arial" w:eastAsia="Times New Roman" w:hAnsi="Arial" w:cs="Arial"/>
          <w:color w:val="000000"/>
          <w:sz w:val="20"/>
          <w:szCs w:val="20"/>
          <w:lang w:val="en-US" w:eastAsia="pt-BR"/>
        </w:rPr>
        <w:t xml:space="preserve"> T., </w:t>
      </w:r>
      <w:proofErr w:type="spellStart"/>
      <w:r w:rsidRPr="003E632C">
        <w:rPr>
          <w:rFonts w:ascii="Arial" w:eastAsia="Times New Roman" w:hAnsi="Arial" w:cs="Arial"/>
          <w:color w:val="000000"/>
          <w:sz w:val="20"/>
          <w:szCs w:val="20"/>
          <w:lang w:val="en-US" w:eastAsia="pt-BR"/>
        </w:rPr>
        <w:t>Gronauer</w:t>
      </w:r>
      <w:proofErr w:type="spellEnd"/>
      <w:r w:rsidRPr="003E632C">
        <w:rPr>
          <w:rFonts w:ascii="Arial" w:eastAsia="Times New Roman" w:hAnsi="Arial" w:cs="Arial"/>
          <w:color w:val="000000"/>
          <w:sz w:val="20"/>
          <w:szCs w:val="20"/>
          <w:lang w:val="en-US" w:eastAsia="pt-BR"/>
        </w:rPr>
        <w:t xml:space="preserve"> A. &amp; Kral I. (2024).</w:t>
      </w:r>
      <w:r w:rsidRPr="003E632C">
        <w:rPr>
          <w:rFonts w:ascii="Arial" w:eastAsia="Times New Roman" w:hAnsi="Arial" w:cs="Arial"/>
          <w:sz w:val="20"/>
          <w:szCs w:val="20"/>
          <w:lang w:val="en-US" w:eastAsia="pt-BR"/>
        </w:rPr>
        <w:t xml:space="preserve"> Life cycle assessment of four different precision agriculture technologies and comparison with a conventional scheme. Journal of Cleaner Production, 434, 140198. DOI: 10.1016/j.jclepro.2023.140198 </w:t>
      </w:r>
    </w:p>
    <w:p w14:paraId="708F5544" w14:textId="2D6CCFA1" w:rsidR="003E632C" w:rsidRPr="00CA32E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Chang W. et al. (2025).</w:t>
      </w:r>
      <w:r w:rsidRPr="003E632C">
        <w:rPr>
          <w:rFonts w:ascii="Arial" w:eastAsia="Times New Roman" w:hAnsi="Arial" w:cs="Arial"/>
          <w:sz w:val="20"/>
          <w:szCs w:val="20"/>
          <w:lang w:val="en-US" w:eastAsia="pt-BR"/>
        </w:rPr>
        <w:t xml:space="preserve"> Yield increase and emission reduction effects of alfalfa in the Yellow River irrigation district of Gansu Province: The coupling mechanism of biodegradable mulch and controlled release nitrogen fertilizer. </w:t>
      </w:r>
      <w:r w:rsidRPr="00CA32EC">
        <w:rPr>
          <w:rFonts w:ascii="Arial" w:eastAsia="Times New Roman" w:hAnsi="Arial" w:cs="Arial"/>
          <w:sz w:val="20"/>
          <w:szCs w:val="20"/>
          <w:lang w:val="en-US" w:eastAsia="pt-BR"/>
        </w:rPr>
        <w:t xml:space="preserve">Plants, 14(13), 2022. DOI: 10.3390/plants14132022 </w:t>
      </w:r>
    </w:p>
    <w:p w14:paraId="45C716DA" w14:textId="1FFD5241" w:rsidR="003E632C" w:rsidRPr="003E632C" w:rsidRDefault="003E632C" w:rsidP="003E632C">
      <w:pPr>
        <w:spacing w:line="240" w:lineRule="auto"/>
        <w:jc w:val="both"/>
        <w:rPr>
          <w:rFonts w:ascii="Arial" w:eastAsia="Times New Roman" w:hAnsi="Arial" w:cs="Arial"/>
          <w:sz w:val="20"/>
          <w:szCs w:val="20"/>
          <w:lang w:val="en-US" w:eastAsia="pt-BR"/>
        </w:rPr>
      </w:pPr>
      <w:r w:rsidRPr="00CA32EC">
        <w:rPr>
          <w:rFonts w:ascii="Arial" w:eastAsia="Times New Roman" w:hAnsi="Arial" w:cs="Arial"/>
          <w:color w:val="000000"/>
          <w:sz w:val="20"/>
          <w:szCs w:val="20"/>
          <w:lang w:val="en-US" w:eastAsia="pt-BR"/>
        </w:rPr>
        <w:t>Soto I. et al. (2019).</w:t>
      </w:r>
      <w:r w:rsidRPr="00CA32EC">
        <w:rPr>
          <w:rFonts w:ascii="Arial" w:eastAsia="Times New Roman" w:hAnsi="Arial" w:cs="Arial"/>
          <w:sz w:val="20"/>
          <w:szCs w:val="20"/>
          <w:lang w:val="en-US" w:eastAsia="pt-BR"/>
        </w:rPr>
        <w:t xml:space="preserve"> </w:t>
      </w:r>
      <w:r w:rsidRPr="003E632C">
        <w:rPr>
          <w:rFonts w:ascii="Arial" w:eastAsia="Times New Roman" w:hAnsi="Arial" w:cs="Arial"/>
          <w:sz w:val="20"/>
          <w:szCs w:val="20"/>
          <w:lang w:val="en-US" w:eastAsia="pt-BR"/>
        </w:rPr>
        <w:t xml:space="preserve">The contribution of precision agriculture technologies to farm productivity and the mitigation of greenhouse gas emissions in the EU. EUR. Publications Office of the European Union, Luxembourg. DOI: 10.2760/016263 </w:t>
      </w:r>
    </w:p>
    <w:p w14:paraId="01C47A7F" w14:textId="2648D53E"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 xml:space="preserve">Costantini, M., &amp; </w:t>
      </w:r>
      <w:proofErr w:type="spellStart"/>
      <w:r w:rsidRPr="003E632C">
        <w:rPr>
          <w:rFonts w:ascii="Arial" w:eastAsia="Times New Roman" w:hAnsi="Arial" w:cs="Arial"/>
          <w:color w:val="000000"/>
          <w:sz w:val="20"/>
          <w:szCs w:val="20"/>
          <w:lang w:val="en-US" w:eastAsia="pt-BR"/>
        </w:rPr>
        <w:t>Bacenetti</w:t>
      </w:r>
      <w:proofErr w:type="spellEnd"/>
      <w:r w:rsidRPr="003E632C">
        <w:rPr>
          <w:rFonts w:ascii="Arial" w:eastAsia="Times New Roman" w:hAnsi="Arial" w:cs="Arial"/>
          <w:color w:val="000000"/>
          <w:sz w:val="20"/>
          <w:szCs w:val="20"/>
          <w:lang w:val="en-US" w:eastAsia="pt-BR"/>
        </w:rPr>
        <w:t>, J. (2021).</w:t>
      </w:r>
      <w:r w:rsidRPr="003E632C">
        <w:rPr>
          <w:rFonts w:ascii="Arial" w:eastAsia="Times New Roman" w:hAnsi="Arial" w:cs="Arial"/>
          <w:sz w:val="20"/>
          <w:szCs w:val="20"/>
          <w:lang w:val="en-US" w:eastAsia="pt-BR"/>
        </w:rPr>
        <w:t xml:space="preserve"> Soybean and maize cultivation in South America: Environmental comparison of different cropping systems. Cleaner Environmental Systems, 2, 100017. DOI: 10.1016/j.cesys.2021.100017 </w:t>
      </w:r>
    </w:p>
    <w:p w14:paraId="699C10AF" w14:textId="70FD50E6"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Telles T.S., Reydon B.P. &amp; Maia A.G. (2018).</w:t>
      </w:r>
      <w:r w:rsidRPr="003E632C">
        <w:rPr>
          <w:rFonts w:ascii="Arial" w:eastAsia="Times New Roman" w:hAnsi="Arial" w:cs="Arial"/>
          <w:sz w:val="20"/>
          <w:szCs w:val="20"/>
          <w:lang w:val="en-US" w:eastAsia="pt-BR"/>
        </w:rPr>
        <w:t xml:space="preserve"> Effects of no tillage on agricultural land values in Brazil. Land Use Policy, 76, 124–129. DOI: 10.1016/j.landusepol.2018.04.053 </w:t>
      </w:r>
    </w:p>
    <w:p w14:paraId="2338EC69" w14:textId="7B51BFD1" w:rsidR="003E632C" w:rsidRPr="003E632C" w:rsidRDefault="003E632C" w:rsidP="003E632C">
      <w:pPr>
        <w:spacing w:line="240" w:lineRule="auto"/>
        <w:jc w:val="both"/>
        <w:rPr>
          <w:rFonts w:ascii="Arial" w:eastAsia="Times New Roman" w:hAnsi="Arial" w:cs="Arial"/>
          <w:sz w:val="20"/>
          <w:szCs w:val="20"/>
          <w:lang w:eastAsia="pt-BR"/>
        </w:rPr>
      </w:pPr>
      <w:proofErr w:type="spellStart"/>
      <w:r w:rsidRPr="00CA32EC">
        <w:rPr>
          <w:rFonts w:ascii="Arial" w:eastAsia="Times New Roman" w:hAnsi="Arial" w:cs="Arial"/>
          <w:color w:val="000000"/>
          <w:sz w:val="20"/>
          <w:szCs w:val="20"/>
          <w:lang w:val="en-US" w:eastAsia="pt-BR"/>
        </w:rPr>
        <w:t>Possamai</w:t>
      </w:r>
      <w:proofErr w:type="spellEnd"/>
      <w:r w:rsidRPr="00CA32EC">
        <w:rPr>
          <w:rFonts w:ascii="Arial" w:eastAsia="Times New Roman" w:hAnsi="Arial" w:cs="Arial"/>
          <w:color w:val="000000"/>
          <w:sz w:val="20"/>
          <w:szCs w:val="20"/>
          <w:lang w:val="en-US" w:eastAsia="pt-BR"/>
        </w:rPr>
        <w:t xml:space="preserve"> E.J. et al. </w:t>
      </w:r>
      <w:r w:rsidRPr="003E632C">
        <w:rPr>
          <w:rFonts w:ascii="Arial" w:eastAsia="Times New Roman" w:hAnsi="Arial" w:cs="Arial"/>
          <w:color w:val="000000"/>
          <w:sz w:val="20"/>
          <w:szCs w:val="20"/>
          <w:lang w:val="en-US" w:eastAsia="pt-BR"/>
        </w:rPr>
        <w:t>(2022).</w:t>
      </w:r>
      <w:r w:rsidRPr="003E632C">
        <w:rPr>
          <w:rFonts w:ascii="Arial" w:eastAsia="Times New Roman" w:hAnsi="Arial" w:cs="Arial"/>
          <w:sz w:val="20"/>
          <w:szCs w:val="20"/>
          <w:lang w:val="en-US" w:eastAsia="pt-BR"/>
        </w:rPr>
        <w:t xml:space="preserve"> Adoption of the no tillage system in Paraná State: A (re)view. </w:t>
      </w:r>
      <w:r w:rsidRPr="003E632C">
        <w:rPr>
          <w:rFonts w:ascii="Arial" w:eastAsia="Times New Roman" w:hAnsi="Arial" w:cs="Arial"/>
          <w:sz w:val="20"/>
          <w:szCs w:val="20"/>
          <w:lang w:eastAsia="pt-BR"/>
        </w:rPr>
        <w:t xml:space="preserve">Revista Brasileira de Ciência do Solo, 46, e0210104. DOI: 10.36783/18069657rbcs20210104 </w:t>
      </w:r>
    </w:p>
    <w:p w14:paraId="59D232AA" w14:textId="1CA0E7AD"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eastAsia="pt-BR"/>
        </w:rPr>
        <w:t xml:space="preserve">Villagrán E. et al. </w:t>
      </w:r>
      <w:r w:rsidRPr="003E632C">
        <w:rPr>
          <w:rFonts w:ascii="Arial" w:eastAsia="Times New Roman" w:hAnsi="Arial" w:cs="Arial"/>
          <w:color w:val="000000"/>
          <w:sz w:val="20"/>
          <w:szCs w:val="20"/>
          <w:lang w:val="en-US" w:eastAsia="pt-BR"/>
        </w:rPr>
        <w:t>(2024).</w:t>
      </w:r>
      <w:r w:rsidRPr="003E632C">
        <w:rPr>
          <w:rFonts w:ascii="Arial" w:eastAsia="Times New Roman" w:hAnsi="Arial" w:cs="Arial"/>
          <w:sz w:val="20"/>
          <w:szCs w:val="20"/>
          <w:lang w:val="en-US" w:eastAsia="pt-BR"/>
        </w:rPr>
        <w:t xml:space="preserve"> Life cycle assessment in protected agriculture: Where are we now, and where should we go next? </w:t>
      </w:r>
      <w:proofErr w:type="spellStart"/>
      <w:r w:rsidRPr="003E632C">
        <w:rPr>
          <w:rFonts w:ascii="Arial" w:eastAsia="Times New Roman" w:hAnsi="Arial" w:cs="Arial"/>
          <w:sz w:val="20"/>
          <w:szCs w:val="20"/>
          <w:lang w:val="en-US" w:eastAsia="pt-BR"/>
        </w:rPr>
        <w:t>Horticulturae</w:t>
      </w:r>
      <w:proofErr w:type="spellEnd"/>
      <w:r w:rsidRPr="003E632C">
        <w:rPr>
          <w:rFonts w:ascii="Arial" w:eastAsia="Times New Roman" w:hAnsi="Arial" w:cs="Arial"/>
          <w:sz w:val="20"/>
          <w:szCs w:val="20"/>
          <w:lang w:val="en-US" w:eastAsia="pt-BR"/>
        </w:rPr>
        <w:t xml:space="preserve">, 10(1), 15. DOI: 10.3390/horticulturae10010015 </w:t>
      </w:r>
    </w:p>
    <w:p w14:paraId="6FEE7846" w14:textId="1BCBE13F"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Plouffe S. et al. (2011).</w:t>
      </w:r>
      <w:r w:rsidRPr="003E632C">
        <w:rPr>
          <w:rFonts w:ascii="Arial" w:eastAsia="Times New Roman" w:hAnsi="Arial" w:cs="Arial"/>
          <w:sz w:val="20"/>
          <w:szCs w:val="20"/>
          <w:lang w:val="en-US" w:eastAsia="pt-BR"/>
        </w:rPr>
        <w:t xml:space="preserve"> Economic benefits tied to </w:t>
      </w:r>
      <w:proofErr w:type="spellStart"/>
      <w:r w:rsidRPr="003E632C">
        <w:rPr>
          <w:rFonts w:ascii="Arial" w:eastAsia="Times New Roman" w:hAnsi="Arial" w:cs="Arial"/>
          <w:sz w:val="20"/>
          <w:szCs w:val="20"/>
          <w:lang w:val="en-US" w:eastAsia="pt-BR"/>
        </w:rPr>
        <w:t>ecodesign</w:t>
      </w:r>
      <w:proofErr w:type="spellEnd"/>
      <w:r w:rsidRPr="003E632C">
        <w:rPr>
          <w:rFonts w:ascii="Arial" w:eastAsia="Times New Roman" w:hAnsi="Arial" w:cs="Arial"/>
          <w:sz w:val="20"/>
          <w:szCs w:val="20"/>
          <w:lang w:val="en-US" w:eastAsia="pt-BR"/>
        </w:rPr>
        <w:t xml:space="preserve">. Journal of Cleaner Production, 19, 573-579. DOI: 10.1016/j.jclepro.2010.12.003 </w:t>
      </w:r>
    </w:p>
    <w:p w14:paraId="2A891170" w14:textId="188635D0" w:rsidR="003E632C" w:rsidRPr="003E632C" w:rsidRDefault="003E632C" w:rsidP="003E632C">
      <w:pPr>
        <w:spacing w:line="240" w:lineRule="auto"/>
        <w:jc w:val="both"/>
        <w:rPr>
          <w:rFonts w:ascii="Arial" w:eastAsia="Times New Roman" w:hAnsi="Arial" w:cs="Arial"/>
          <w:sz w:val="20"/>
          <w:szCs w:val="20"/>
          <w:lang w:val="en-US" w:eastAsia="pt-BR"/>
        </w:rPr>
      </w:pPr>
      <w:proofErr w:type="spellStart"/>
      <w:r w:rsidRPr="003E632C">
        <w:rPr>
          <w:rFonts w:ascii="Arial" w:eastAsia="Times New Roman" w:hAnsi="Arial" w:cs="Arial"/>
          <w:color w:val="000000"/>
          <w:sz w:val="20"/>
          <w:szCs w:val="20"/>
          <w:lang w:val="en-US" w:eastAsia="pt-BR"/>
        </w:rPr>
        <w:t>Talaviya</w:t>
      </w:r>
      <w:proofErr w:type="spellEnd"/>
      <w:r w:rsidRPr="003E632C">
        <w:rPr>
          <w:rFonts w:ascii="Arial" w:eastAsia="Times New Roman" w:hAnsi="Arial" w:cs="Arial"/>
          <w:color w:val="000000"/>
          <w:sz w:val="20"/>
          <w:szCs w:val="20"/>
          <w:lang w:val="en-US" w:eastAsia="pt-BR"/>
        </w:rPr>
        <w:t xml:space="preserve"> T. et al. (2020).</w:t>
      </w:r>
      <w:r w:rsidRPr="003E632C">
        <w:rPr>
          <w:rFonts w:ascii="Arial" w:eastAsia="Times New Roman" w:hAnsi="Arial" w:cs="Arial"/>
          <w:sz w:val="20"/>
          <w:szCs w:val="20"/>
          <w:lang w:val="en-US" w:eastAsia="pt-BR"/>
        </w:rPr>
        <w:t xml:space="preserve"> Implementation of artificial intelligence in agriculture for </w:t>
      </w:r>
      <w:proofErr w:type="spellStart"/>
      <w:r w:rsidRPr="003E632C">
        <w:rPr>
          <w:rFonts w:ascii="Arial" w:eastAsia="Times New Roman" w:hAnsi="Arial" w:cs="Arial"/>
          <w:sz w:val="20"/>
          <w:szCs w:val="20"/>
          <w:lang w:val="en-US" w:eastAsia="pt-BR"/>
        </w:rPr>
        <w:t>optimisation</w:t>
      </w:r>
      <w:proofErr w:type="spellEnd"/>
      <w:r w:rsidRPr="003E632C">
        <w:rPr>
          <w:rFonts w:ascii="Arial" w:eastAsia="Times New Roman" w:hAnsi="Arial" w:cs="Arial"/>
          <w:sz w:val="20"/>
          <w:szCs w:val="20"/>
          <w:lang w:val="en-US" w:eastAsia="pt-BR"/>
        </w:rPr>
        <w:t xml:space="preserve"> of irrigation and application of pesticides and herbicides. Artificial Intelligence in Agriculture, 4, 58–73. DOI: 10.1016/j.aiia.2020.04.002 </w:t>
      </w:r>
    </w:p>
    <w:p w14:paraId="676EC0D7" w14:textId="58D946B0" w:rsidR="003E632C" w:rsidRPr="003E632C" w:rsidRDefault="003E632C" w:rsidP="003E632C">
      <w:pPr>
        <w:spacing w:line="240" w:lineRule="auto"/>
        <w:jc w:val="both"/>
        <w:rPr>
          <w:rFonts w:ascii="Arial" w:eastAsia="Times New Roman" w:hAnsi="Arial" w:cs="Arial"/>
          <w:sz w:val="20"/>
          <w:szCs w:val="20"/>
          <w:lang w:val="en-US" w:eastAsia="pt-BR"/>
        </w:rPr>
      </w:pPr>
      <w:r w:rsidRPr="00CA32EC">
        <w:rPr>
          <w:rFonts w:ascii="Arial" w:eastAsia="Times New Roman" w:hAnsi="Arial" w:cs="Arial"/>
          <w:color w:val="000000"/>
          <w:sz w:val="20"/>
          <w:szCs w:val="20"/>
          <w:lang w:val="en-US" w:eastAsia="pt-BR"/>
        </w:rPr>
        <w:t>Monteiro A., Santos S. &amp; Gonçalves P. (2021).</w:t>
      </w:r>
      <w:r w:rsidRPr="00CA32EC">
        <w:rPr>
          <w:rFonts w:ascii="Arial" w:eastAsia="Times New Roman" w:hAnsi="Arial" w:cs="Arial"/>
          <w:sz w:val="20"/>
          <w:szCs w:val="20"/>
          <w:lang w:val="en-US" w:eastAsia="pt-BR"/>
        </w:rPr>
        <w:t xml:space="preserve"> </w:t>
      </w:r>
      <w:r w:rsidRPr="003E632C">
        <w:rPr>
          <w:rFonts w:ascii="Arial" w:eastAsia="Times New Roman" w:hAnsi="Arial" w:cs="Arial"/>
          <w:sz w:val="20"/>
          <w:szCs w:val="20"/>
          <w:lang w:val="en-US" w:eastAsia="pt-BR"/>
        </w:rPr>
        <w:t xml:space="preserve">Precision agriculture for crop and livestock farming – Brief review. Animals (Basel), 11(8), 2345. DOI: 10.3390/ani11082345 </w:t>
      </w:r>
    </w:p>
    <w:p w14:paraId="1EE8D911" w14:textId="073152BD" w:rsidR="003E632C" w:rsidRPr="003E632C" w:rsidRDefault="003E632C" w:rsidP="003E632C">
      <w:pPr>
        <w:spacing w:line="240" w:lineRule="auto"/>
        <w:jc w:val="both"/>
        <w:rPr>
          <w:rFonts w:ascii="Arial" w:eastAsia="Times New Roman" w:hAnsi="Arial" w:cs="Arial"/>
          <w:sz w:val="20"/>
          <w:szCs w:val="20"/>
          <w:lang w:val="en-US" w:eastAsia="pt-BR"/>
        </w:rPr>
      </w:pPr>
      <w:proofErr w:type="spellStart"/>
      <w:r w:rsidRPr="003E632C">
        <w:rPr>
          <w:rFonts w:ascii="Arial" w:eastAsia="Times New Roman" w:hAnsi="Arial" w:cs="Arial"/>
          <w:color w:val="000000"/>
          <w:sz w:val="20"/>
          <w:szCs w:val="20"/>
          <w:lang w:val="en-US" w:eastAsia="pt-BR"/>
        </w:rPr>
        <w:t>Sanyaolu</w:t>
      </w:r>
      <w:proofErr w:type="spellEnd"/>
      <w:r w:rsidRPr="003E632C">
        <w:rPr>
          <w:rFonts w:ascii="Arial" w:eastAsia="Times New Roman" w:hAnsi="Arial" w:cs="Arial"/>
          <w:color w:val="000000"/>
          <w:sz w:val="20"/>
          <w:szCs w:val="20"/>
          <w:lang w:val="en-US" w:eastAsia="pt-BR"/>
        </w:rPr>
        <w:t xml:space="preserve"> M. &amp; Sadowski A. (2024).</w:t>
      </w:r>
      <w:r w:rsidRPr="003E632C">
        <w:rPr>
          <w:rFonts w:ascii="Arial" w:eastAsia="Times New Roman" w:hAnsi="Arial" w:cs="Arial"/>
          <w:sz w:val="20"/>
          <w:szCs w:val="20"/>
          <w:lang w:val="en-US" w:eastAsia="pt-BR"/>
        </w:rPr>
        <w:t xml:space="preserve"> The role of precision agriculture technologies in enhancing sustainable agriculture. Sustainability, 16(15), 6668. DOI: 10.3390/su16156668 </w:t>
      </w:r>
    </w:p>
    <w:p w14:paraId="6A5BEAFA" w14:textId="0AE22630" w:rsidR="00196191" w:rsidRDefault="003E632C" w:rsidP="003E632C">
      <w:pPr>
        <w:jc w:val="both"/>
        <w:rPr>
          <w:rFonts w:ascii="Arial" w:eastAsia="Times New Roman" w:hAnsi="Arial" w:cs="Arial"/>
          <w:sz w:val="20"/>
          <w:szCs w:val="20"/>
          <w:lang w:eastAsia="pt-BR"/>
        </w:rPr>
      </w:pPr>
      <w:r w:rsidRPr="00D72ED6">
        <w:rPr>
          <w:rFonts w:ascii="Arial" w:eastAsia="Times New Roman" w:hAnsi="Arial" w:cs="Arial"/>
          <w:color w:val="000000"/>
          <w:sz w:val="20"/>
          <w:szCs w:val="20"/>
          <w:lang w:val="en-US" w:eastAsia="pt-BR"/>
        </w:rPr>
        <w:lastRenderedPageBreak/>
        <w:t>Avellaneda Torres L.M., Núñez A.P.P., Pérez L.D.J. &amp; Buitrago B.A. (2022).</w:t>
      </w:r>
      <w:r w:rsidRPr="00D72ED6">
        <w:rPr>
          <w:rFonts w:ascii="Arial" w:eastAsia="Times New Roman" w:hAnsi="Arial" w:cs="Arial"/>
          <w:sz w:val="20"/>
          <w:szCs w:val="20"/>
          <w:lang w:val="en-US" w:eastAsia="pt-BR"/>
        </w:rPr>
        <w:t xml:space="preserve"> </w:t>
      </w:r>
      <w:r w:rsidRPr="00CA32EC">
        <w:rPr>
          <w:rFonts w:ascii="Arial" w:eastAsia="Times New Roman" w:hAnsi="Arial" w:cs="Arial"/>
          <w:sz w:val="20"/>
          <w:szCs w:val="20"/>
          <w:lang w:val="en-US" w:eastAsia="pt-BR"/>
        </w:rPr>
        <w:t xml:space="preserve">Heavy metals and pesticides in soils under different land use patterns in neotropical high Andean Páramos. </w:t>
      </w:r>
      <w:r w:rsidRPr="003E632C">
        <w:rPr>
          <w:rFonts w:ascii="Arial" w:eastAsia="Times New Roman" w:hAnsi="Arial" w:cs="Arial"/>
          <w:sz w:val="20"/>
          <w:szCs w:val="20"/>
          <w:lang w:eastAsia="pt-BR"/>
        </w:rPr>
        <w:t>Revista Brasileira de Ciência do Solo, 46, e0210135. DOI: 10.36783/18069657rbcs20210135</w:t>
      </w:r>
    </w:p>
    <w:sectPr w:rsidR="00196191" w:rsidSect="00E96CBE">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F8A02" w14:textId="77777777" w:rsidR="00C31968" w:rsidRDefault="00C31968" w:rsidP="00BB40F4">
      <w:pPr>
        <w:spacing w:after="0" w:line="240" w:lineRule="auto"/>
      </w:pPr>
      <w:r>
        <w:separator/>
      </w:r>
    </w:p>
  </w:endnote>
  <w:endnote w:type="continuationSeparator" w:id="0">
    <w:p w14:paraId="3A7E7EA0" w14:textId="77777777" w:rsidR="00C31968" w:rsidRDefault="00C31968" w:rsidP="00BB4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8C260" w14:textId="77777777" w:rsidR="00E96CBE" w:rsidRDefault="00E96C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E4871" w14:textId="77777777" w:rsidR="00E96CBE" w:rsidRDefault="00E96C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3AC50" w14:textId="77777777" w:rsidR="00E96CBE" w:rsidRDefault="00E96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F4B47" w14:textId="77777777" w:rsidR="00C31968" w:rsidRDefault="00C31968" w:rsidP="00BB40F4">
      <w:pPr>
        <w:spacing w:after="0" w:line="240" w:lineRule="auto"/>
      </w:pPr>
      <w:r>
        <w:separator/>
      </w:r>
    </w:p>
  </w:footnote>
  <w:footnote w:type="continuationSeparator" w:id="0">
    <w:p w14:paraId="412668DE" w14:textId="77777777" w:rsidR="00C31968" w:rsidRDefault="00C31968" w:rsidP="00BB4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47137" w14:textId="0A0D1E1E" w:rsidR="00E96CBE" w:rsidRDefault="00E96CBE">
    <w:pPr>
      <w:pStyle w:val="Header"/>
    </w:pPr>
    <w:r>
      <w:rPr>
        <w:noProof/>
      </w:rPr>
      <w:pict w14:anchorId="7DC85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8514657"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2DDD8" w14:textId="60AD9994" w:rsidR="006C25E0" w:rsidRDefault="00E96CBE">
    <w:pPr>
      <w:pStyle w:val="Header"/>
      <w:jc w:val="right"/>
    </w:pPr>
    <w:r>
      <w:rPr>
        <w:noProof/>
      </w:rPr>
      <w:pict w14:anchorId="13EF5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8514658" o:spid="_x0000_s2051" type="#_x0000_t136" style="position:absolute;left:0;text-align:left;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r w:rsidR="006C25E0">
      <w:fldChar w:fldCharType="begin"/>
    </w:r>
    <w:r w:rsidR="006C25E0">
      <w:instrText xml:space="preserve"> PAGE   \* MERGEFORMAT </w:instrText>
    </w:r>
    <w:r w:rsidR="006C25E0">
      <w:fldChar w:fldCharType="separate"/>
    </w:r>
    <w:r w:rsidR="004D1926">
      <w:rPr>
        <w:noProof/>
      </w:rPr>
      <w:t>2</w:t>
    </w:r>
    <w:r w:rsidR="004D1926">
      <w:rPr>
        <w:noProof/>
      </w:rPr>
      <w:t>6</w:t>
    </w:r>
    <w:r w:rsidR="006C25E0">
      <w:rPr>
        <w:noProof/>
      </w:rPr>
      <w:fldChar w:fldCharType="end"/>
    </w:r>
  </w:p>
  <w:p w14:paraId="171574B9" w14:textId="77777777" w:rsidR="006C25E0" w:rsidRDefault="006C25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C01E9" w14:textId="52123079" w:rsidR="00E96CBE" w:rsidRDefault="00E96CBE">
    <w:pPr>
      <w:pStyle w:val="Header"/>
    </w:pPr>
    <w:r>
      <w:rPr>
        <w:noProof/>
      </w:rPr>
      <w:pict w14:anchorId="43B35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8514656"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AxMTMyNjSxNDaztDBV0lEKTi0uzszPAykwMq4FAConBcUtAAAA"/>
  </w:docVars>
  <w:rsids>
    <w:rsidRoot w:val="00801603"/>
    <w:rsid w:val="00000CF3"/>
    <w:rsid w:val="00001A2C"/>
    <w:rsid w:val="00003653"/>
    <w:rsid w:val="000051D3"/>
    <w:rsid w:val="000051F2"/>
    <w:rsid w:val="000065CB"/>
    <w:rsid w:val="000105DD"/>
    <w:rsid w:val="000137CF"/>
    <w:rsid w:val="0001440E"/>
    <w:rsid w:val="00014B5A"/>
    <w:rsid w:val="00015524"/>
    <w:rsid w:val="00016DAE"/>
    <w:rsid w:val="000173C7"/>
    <w:rsid w:val="000203C5"/>
    <w:rsid w:val="00021C94"/>
    <w:rsid w:val="00022034"/>
    <w:rsid w:val="000238E5"/>
    <w:rsid w:val="00023EEC"/>
    <w:rsid w:val="000251AD"/>
    <w:rsid w:val="0002523C"/>
    <w:rsid w:val="0002560B"/>
    <w:rsid w:val="000302CC"/>
    <w:rsid w:val="00030E33"/>
    <w:rsid w:val="000311A7"/>
    <w:rsid w:val="00031DC2"/>
    <w:rsid w:val="00033405"/>
    <w:rsid w:val="0003341A"/>
    <w:rsid w:val="000334DE"/>
    <w:rsid w:val="00036DCA"/>
    <w:rsid w:val="00042856"/>
    <w:rsid w:val="00046266"/>
    <w:rsid w:val="0005196C"/>
    <w:rsid w:val="00052501"/>
    <w:rsid w:val="000548D2"/>
    <w:rsid w:val="00055BF1"/>
    <w:rsid w:val="0005719E"/>
    <w:rsid w:val="000620CF"/>
    <w:rsid w:val="000626B3"/>
    <w:rsid w:val="0006594C"/>
    <w:rsid w:val="00066D35"/>
    <w:rsid w:val="00070D84"/>
    <w:rsid w:val="00073C60"/>
    <w:rsid w:val="000758D2"/>
    <w:rsid w:val="000775E0"/>
    <w:rsid w:val="000805EE"/>
    <w:rsid w:val="00085109"/>
    <w:rsid w:val="00085CE4"/>
    <w:rsid w:val="00086C23"/>
    <w:rsid w:val="00087D74"/>
    <w:rsid w:val="00087D7B"/>
    <w:rsid w:val="00087DCA"/>
    <w:rsid w:val="00092F40"/>
    <w:rsid w:val="0009431B"/>
    <w:rsid w:val="00095BF8"/>
    <w:rsid w:val="0009690A"/>
    <w:rsid w:val="00097537"/>
    <w:rsid w:val="000A066D"/>
    <w:rsid w:val="000A0E16"/>
    <w:rsid w:val="000A261E"/>
    <w:rsid w:val="000A317D"/>
    <w:rsid w:val="000A419A"/>
    <w:rsid w:val="000B14D2"/>
    <w:rsid w:val="000B6EFA"/>
    <w:rsid w:val="000B7F07"/>
    <w:rsid w:val="000C365C"/>
    <w:rsid w:val="000D102F"/>
    <w:rsid w:val="000D3F81"/>
    <w:rsid w:val="000D729F"/>
    <w:rsid w:val="000D7A1A"/>
    <w:rsid w:val="000E218F"/>
    <w:rsid w:val="000E6CE0"/>
    <w:rsid w:val="000F2DA7"/>
    <w:rsid w:val="000F59C8"/>
    <w:rsid w:val="000F6B9B"/>
    <w:rsid w:val="000F713C"/>
    <w:rsid w:val="000F7257"/>
    <w:rsid w:val="001032A4"/>
    <w:rsid w:val="00103C6B"/>
    <w:rsid w:val="00104975"/>
    <w:rsid w:val="00107033"/>
    <w:rsid w:val="001074EC"/>
    <w:rsid w:val="00112958"/>
    <w:rsid w:val="00113189"/>
    <w:rsid w:val="00113282"/>
    <w:rsid w:val="00113E21"/>
    <w:rsid w:val="00114CDA"/>
    <w:rsid w:val="00117A07"/>
    <w:rsid w:val="00117A25"/>
    <w:rsid w:val="00120628"/>
    <w:rsid w:val="00122705"/>
    <w:rsid w:val="001235F5"/>
    <w:rsid w:val="0012414A"/>
    <w:rsid w:val="001266C2"/>
    <w:rsid w:val="001307FB"/>
    <w:rsid w:val="00136D86"/>
    <w:rsid w:val="001406D8"/>
    <w:rsid w:val="001416A9"/>
    <w:rsid w:val="0014299E"/>
    <w:rsid w:val="00145CDA"/>
    <w:rsid w:val="00145EE5"/>
    <w:rsid w:val="001460B6"/>
    <w:rsid w:val="001461E6"/>
    <w:rsid w:val="0015166F"/>
    <w:rsid w:val="0015400E"/>
    <w:rsid w:val="00154977"/>
    <w:rsid w:val="001551D2"/>
    <w:rsid w:val="00155934"/>
    <w:rsid w:val="0015775E"/>
    <w:rsid w:val="00162739"/>
    <w:rsid w:val="00162932"/>
    <w:rsid w:val="00162AA9"/>
    <w:rsid w:val="001639F6"/>
    <w:rsid w:val="00164774"/>
    <w:rsid w:val="00164B7A"/>
    <w:rsid w:val="001654FC"/>
    <w:rsid w:val="00165E39"/>
    <w:rsid w:val="00167C8C"/>
    <w:rsid w:val="00172574"/>
    <w:rsid w:val="001754AD"/>
    <w:rsid w:val="001777D2"/>
    <w:rsid w:val="00181A7E"/>
    <w:rsid w:val="00182ACE"/>
    <w:rsid w:val="00184AA6"/>
    <w:rsid w:val="00186B2A"/>
    <w:rsid w:val="00187D70"/>
    <w:rsid w:val="00191BBD"/>
    <w:rsid w:val="0019257E"/>
    <w:rsid w:val="001925F5"/>
    <w:rsid w:val="0019430A"/>
    <w:rsid w:val="001947A7"/>
    <w:rsid w:val="0019566C"/>
    <w:rsid w:val="00195A60"/>
    <w:rsid w:val="00196191"/>
    <w:rsid w:val="001A5F38"/>
    <w:rsid w:val="001B0856"/>
    <w:rsid w:val="001B092F"/>
    <w:rsid w:val="001B100C"/>
    <w:rsid w:val="001B610E"/>
    <w:rsid w:val="001C0085"/>
    <w:rsid w:val="001C0A3A"/>
    <w:rsid w:val="001C4E3E"/>
    <w:rsid w:val="001C5122"/>
    <w:rsid w:val="001C592E"/>
    <w:rsid w:val="001C5DDE"/>
    <w:rsid w:val="001C5F67"/>
    <w:rsid w:val="001C68F0"/>
    <w:rsid w:val="001D3056"/>
    <w:rsid w:val="001D4EDA"/>
    <w:rsid w:val="001D58BE"/>
    <w:rsid w:val="001D78A5"/>
    <w:rsid w:val="001E1739"/>
    <w:rsid w:val="001E36EB"/>
    <w:rsid w:val="001E447E"/>
    <w:rsid w:val="001E47DF"/>
    <w:rsid w:val="001F0C2D"/>
    <w:rsid w:val="001F1C21"/>
    <w:rsid w:val="001F3AEF"/>
    <w:rsid w:val="001F575C"/>
    <w:rsid w:val="002020FF"/>
    <w:rsid w:val="00202612"/>
    <w:rsid w:val="002041A1"/>
    <w:rsid w:val="00205DD5"/>
    <w:rsid w:val="00210321"/>
    <w:rsid w:val="002173E8"/>
    <w:rsid w:val="0022034B"/>
    <w:rsid w:val="00220F0E"/>
    <w:rsid w:val="00221284"/>
    <w:rsid w:val="00224DC3"/>
    <w:rsid w:val="00227742"/>
    <w:rsid w:val="00231F98"/>
    <w:rsid w:val="00235260"/>
    <w:rsid w:val="002379C4"/>
    <w:rsid w:val="00240A0F"/>
    <w:rsid w:val="0024530A"/>
    <w:rsid w:val="00252572"/>
    <w:rsid w:val="00254910"/>
    <w:rsid w:val="00257F0E"/>
    <w:rsid w:val="00265CBC"/>
    <w:rsid w:val="00266F61"/>
    <w:rsid w:val="002754DC"/>
    <w:rsid w:val="00277822"/>
    <w:rsid w:val="002803D0"/>
    <w:rsid w:val="002816EA"/>
    <w:rsid w:val="00286404"/>
    <w:rsid w:val="00290552"/>
    <w:rsid w:val="00290C3D"/>
    <w:rsid w:val="00291D6D"/>
    <w:rsid w:val="00291F73"/>
    <w:rsid w:val="0029463F"/>
    <w:rsid w:val="00295C80"/>
    <w:rsid w:val="00297C03"/>
    <w:rsid w:val="002A248E"/>
    <w:rsid w:val="002A6C7E"/>
    <w:rsid w:val="002B0CEF"/>
    <w:rsid w:val="002B20B9"/>
    <w:rsid w:val="002B4E04"/>
    <w:rsid w:val="002B4FE6"/>
    <w:rsid w:val="002B53AC"/>
    <w:rsid w:val="002B5510"/>
    <w:rsid w:val="002B6A5E"/>
    <w:rsid w:val="002B74D6"/>
    <w:rsid w:val="002C078A"/>
    <w:rsid w:val="002C0BEB"/>
    <w:rsid w:val="002C146D"/>
    <w:rsid w:val="002C2FA3"/>
    <w:rsid w:val="002C6E19"/>
    <w:rsid w:val="002C78E0"/>
    <w:rsid w:val="002D3A35"/>
    <w:rsid w:val="002D5C02"/>
    <w:rsid w:val="002D7461"/>
    <w:rsid w:val="002E00FF"/>
    <w:rsid w:val="002E22DF"/>
    <w:rsid w:val="002E2998"/>
    <w:rsid w:val="002E30C3"/>
    <w:rsid w:val="002F3902"/>
    <w:rsid w:val="002F6B4F"/>
    <w:rsid w:val="003035A1"/>
    <w:rsid w:val="0030477B"/>
    <w:rsid w:val="00311398"/>
    <w:rsid w:val="00312EC4"/>
    <w:rsid w:val="00313462"/>
    <w:rsid w:val="00313AC4"/>
    <w:rsid w:val="00314232"/>
    <w:rsid w:val="00314775"/>
    <w:rsid w:val="00315551"/>
    <w:rsid w:val="00320546"/>
    <w:rsid w:val="003215A8"/>
    <w:rsid w:val="00321D6A"/>
    <w:rsid w:val="00322C0F"/>
    <w:rsid w:val="00322CE2"/>
    <w:rsid w:val="00323B22"/>
    <w:rsid w:val="00325061"/>
    <w:rsid w:val="00330DD8"/>
    <w:rsid w:val="00331C90"/>
    <w:rsid w:val="003330F8"/>
    <w:rsid w:val="0033334E"/>
    <w:rsid w:val="003339C1"/>
    <w:rsid w:val="00333EC8"/>
    <w:rsid w:val="003351A5"/>
    <w:rsid w:val="003379FC"/>
    <w:rsid w:val="00341E9F"/>
    <w:rsid w:val="00342BBB"/>
    <w:rsid w:val="00343923"/>
    <w:rsid w:val="00354F22"/>
    <w:rsid w:val="00356578"/>
    <w:rsid w:val="0035754E"/>
    <w:rsid w:val="003634F6"/>
    <w:rsid w:val="003636D4"/>
    <w:rsid w:val="00365AB3"/>
    <w:rsid w:val="0036733F"/>
    <w:rsid w:val="00367522"/>
    <w:rsid w:val="0037063C"/>
    <w:rsid w:val="003714C2"/>
    <w:rsid w:val="003734ED"/>
    <w:rsid w:val="0037586D"/>
    <w:rsid w:val="00376656"/>
    <w:rsid w:val="00376754"/>
    <w:rsid w:val="0037677D"/>
    <w:rsid w:val="003824DA"/>
    <w:rsid w:val="0038455F"/>
    <w:rsid w:val="003848FD"/>
    <w:rsid w:val="00384E45"/>
    <w:rsid w:val="0038696F"/>
    <w:rsid w:val="00390D78"/>
    <w:rsid w:val="00390DD1"/>
    <w:rsid w:val="0039271E"/>
    <w:rsid w:val="00393C33"/>
    <w:rsid w:val="003A0D1E"/>
    <w:rsid w:val="003A3387"/>
    <w:rsid w:val="003A4440"/>
    <w:rsid w:val="003A44C6"/>
    <w:rsid w:val="003A4D1F"/>
    <w:rsid w:val="003A651D"/>
    <w:rsid w:val="003B01B5"/>
    <w:rsid w:val="003B0B7B"/>
    <w:rsid w:val="003B136B"/>
    <w:rsid w:val="003B5207"/>
    <w:rsid w:val="003B7D84"/>
    <w:rsid w:val="003B7EBF"/>
    <w:rsid w:val="003C0A8E"/>
    <w:rsid w:val="003C1054"/>
    <w:rsid w:val="003C1273"/>
    <w:rsid w:val="003C31FB"/>
    <w:rsid w:val="003C3B25"/>
    <w:rsid w:val="003C4075"/>
    <w:rsid w:val="003C5994"/>
    <w:rsid w:val="003C694C"/>
    <w:rsid w:val="003C7021"/>
    <w:rsid w:val="003D27F4"/>
    <w:rsid w:val="003D3214"/>
    <w:rsid w:val="003D63CC"/>
    <w:rsid w:val="003E0A4E"/>
    <w:rsid w:val="003E17D1"/>
    <w:rsid w:val="003E2B89"/>
    <w:rsid w:val="003E2F47"/>
    <w:rsid w:val="003E3264"/>
    <w:rsid w:val="003E632C"/>
    <w:rsid w:val="003E6C90"/>
    <w:rsid w:val="003F37BB"/>
    <w:rsid w:val="003F5429"/>
    <w:rsid w:val="003F5B65"/>
    <w:rsid w:val="003F695C"/>
    <w:rsid w:val="003F736F"/>
    <w:rsid w:val="00400615"/>
    <w:rsid w:val="00402029"/>
    <w:rsid w:val="00405687"/>
    <w:rsid w:val="00407042"/>
    <w:rsid w:val="00410219"/>
    <w:rsid w:val="00410A1D"/>
    <w:rsid w:val="00412229"/>
    <w:rsid w:val="0041459A"/>
    <w:rsid w:val="004153F5"/>
    <w:rsid w:val="00416B17"/>
    <w:rsid w:val="0042049E"/>
    <w:rsid w:val="00424406"/>
    <w:rsid w:val="0042713F"/>
    <w:rsid w:val="00430D39"/>
    <w:rsid w:val="004312B0"/>
    <w:rsid w:val="004329B3"/>
    <w:rsid w:val="00432E7D"/>
    <w:rsid w:val="00434C96"/>
    <w:rsid w:val="0043692D"/>
    <w:rsid w:val="0043696F"/>
    <w:rsid w:val="00437B6C"/>
    <w:rsid w:val="0044108A"/>
    <w:rsid w:val="004424DC"/>
    <w:rsid w:val="004425FF"/>
    <w:rsid w:val="00445054"/>
    <w:rsid w:val="00446BA3"/>
    <w:rsid w:val="0044772D"/>
    <w:rsid w:val="0045150C"/>
    <w:rsid w:val="00456AD2"/>
    <w:rsid w:val="00457436"/>
    <w:rsid w:val="00461FCC"/>
    <w:rsid w:val="00463E34"/>
    <w:rsid w:val="00465D8C"/>
    <w:rsid w:val="00466B3D"/>
    <w:rsid w:val="00466FFD"/>
    <w:rsid w:val="00475908"/>
    <w:rsid w:val="004812C0"/>
    <w:rsid w:val="004848CD"/>
    <w:rsid w:val="004944C4"/>
    <w:rsid w:val="004945FD"/>
    <w:rsid w:val="00495505"/>
    <w:rsid w:val="00496A80"/>
    <w:rsid w:val="004A29EE"/>
    <w:rsid w:val="004A3C90"/>
    <w:rsid w:val="004A5AB9"/>
    <w:rsid w:val="004A5EA6"/>
    <w:rsid w:val="004A6040"/>
    <w:rsid w:val="004B06D9"/>
    <w:rsid w:val="004B0756"/>
    <w:rsid w:val="004B0FF3"/>
    <w:rsid w:val="004B12D3"/>
    <w:rsid w:val="004C26B4"/>
    <w:rsid w:val="004D1926"/>
    <w:rsid w:val="004D38DB"/>
    <w:rsid w:val="004D3A38"/>
    <w:rsid w:val="004D4D5A"/>
    <w:rsid w:val="004D64E5"/>
    <w:rsid w:val="004E205E"/>
    <w:rsid w:val="004E2323"/>
    <w:rsid w:val="004E5162"/>
    <w:rsid w:val="004F01D2"/>
    <w:rsid w:val="004F5193"/>
    <w:rsid w:val="004F6427"/>
    <w:rsid w:val="005000EE"/>
    <w:rsid w:val="00501295"/>
    <w:rsid w:val="00503971"/>
    <w:rsid w:val="005058B6"/>
    <w:rsid w:val="00514F03"/>
    <w:rsid w:val="0051531A"/>
    <w:rsid w:val="00516EDC"/>
    <w:rsid w:val="00520103"/>
    <w:rsid w:val="00523FE3"/>
    <w:rsid w:val="00524D0E"/>
    <w:rsid w:val="00527C39"/>
    <w:rsid w:val="00531256"/>
    <w:rsid w:val="00533CA2"/>
    <w:rsid w:val="0053467C"/>
    <w:rsid w:val="0053556B"/>
    <w:rsid w:val="00541AF4"/>
    <w:rsid w:val="00553C60"/>
    <w:rsid w:val="0056165F"/>
    <w:rsid w:val="00564558"/>
    <w:rsid w:val="005673FD"/>
    <w:rsid w:val="0057176C"/>
    <w:rsid w:val="00571935"/>
    <w:rsid w:val="00572C45"/>
    <w:rsid w:val="00573D7B"/>
    <w:rsid w:val="00575312"/>
    <w:rsid w:val="00575DBE"/>
    <w:rsid w:val="005763B9"/>
    <w:rsid w:val="0058361D"/>
    <w:rsid w:val="0058652B"/>
    <w:rsid w:val="00586A7C"/>
    <w:rsid w:val="00590C5D"/>
    <w:rsid w:val="00590EF2"/>
    <w:rsid w:val="00592FBE"/>
    <w:rsid w:val="00593B23"/>
    <w:rsid w:val="00594AF5"/>
    <w:rsid w:val="005A34B1"/>
    <w:rsid w:val="005A6060"/>
    <w:rsid w:val="005A6759"/>
    <w:rsid w:val="005B0F5B"/>
    <w:rsid w:val="005B2304"/>
    <w:rsid w:val="005B31AA"/>
    <w:rsid w:val="005B3E20"/>
    <w:rsid w:val="005B7577"/>
    <w:rsid w:val="005C1C9A"/>
    <w:rsid w:val="005C1F4E"/>
    <w:rsid w:val="005C2510"/>
    <w:rsid w:val="005C42D8"/>
    <w:rsid w:val="005C7E9F"/>
    <w:rsid w:val="005D059E"/>
    <w:rsid w:val="005D07F8"/>
    <w:rsid w:val="005D2594"/>
    <w:rsid w:val="005D4785"/>
    <w:rsid w:val="005D49E6"/>
    <w:rsid w:val="005D6582"/>
    <w:rsid w:val="005D6D89"/>
    <w:rsid w:val="005E2175"/>
    <w:rsid w:val="005E3157"/>
    <w:rsid w:val="005E5D5D"/>
    <w:rsid w:val="005E6DB0"/>
    <w:rsid w:val="005F04F2"/>
    <w:rsid w:val="005F1004"/>
    <w:rsid w:val="005F10A3"/>
    <w:rsid w:val="005F508A"/>
    <w:rsid w:val="005F53A3"/>
    <w:rsid w:val="005F5AF0"/>
    <w:rsid w:val="005F5B3B"/>
    <w:rsid w:val="005F7E47"/>
    <w:rsid w:val="00602CD9"/>
    <w:rsid w:val="00606D6A"/>
    <w:rsid w:val="00607302"/>
    <w:rsid w:val="00611EE3"/>
    <w:rsid w:val="00620A0B"/>
    <w:rsid w:val="006214A6"/>
    <w:rsid w:val="00621776"/>
    <w:rsid w:val="006218AE"/>
    <w:rsid w:val="00621AD1"/>
    <w:rsid w:val="00621F0F"/>
    <w:rsid w:val="006231F9"/>
    <w:rsid w:val="0062352E"/>
    <w:rsid w:val="00624243"/>
    <w:rsid w:val="00624402"/>
    <w:rsid w:val="00624520"/>
    <w:rsid w:val="00625D4B"/>
    <w:rsid w:val="0062740C"/>
    <w:rsid w:val="0063066D"/>
    <w:rsid w:val="00630A50"/>
    <w:rsid w:val="0063134A"/>
    <w:rsid w:val="0063184E"/>
    <w:rsid w:val="006335A5"/>
    <w:rsid w:val="0063433E"/>
    <w:rsid w:val="00634E1D"/>
    <w:rsid w:val="00640FD4"/>
    <w:rsid w:val="00641FAC"/>
    <w:rsid w:val="006421FD"/>
    <w:rsid w:val="00644A27"/>
    <w:rsid w:val="00644EFE"/>
    <w:rsid w:val="00645B89"/>
    <w:rsid w:val="006472CE"/>
    <w:rsid w:val="00647B25"/>
    <w:rsid w:val="00651460"/>
    <w:rsid w:val="00655ADD"/>
    <w:rsid w:val="00655E0A"/>
    <w:rsid w:val="00656420"/>
    <w:rsid w:val="006604FC"/>
    <w:rsid w:val="00660D16"/>
    <w:rsid w:val="00663392"/>
    <w:rsid w:val="00665C54"/>
    <w:rsid w:val="00672186"/>
    <w:rsid w:val="006724AD"/>
    <w:rsid w:val="006766D1"/>
    <w:rsid w:val="00677FDD"/>
    <w:rsid w:val="006800A2"/>
    <w:rsid w:val="006800E0"/>
    <w:rsid w:val="00681B99"/>
    <w:rsid w:val="0068204B"/>
    <w:rsid w:val="00684617"/>
    <w:rsid w:val="00684D1D"/>
    <w:rsid w:val="006870CD"/>
    <w:rsid w:val="0069098B"/>
    <w:rsid w:val="00691EFF"/>
    <w:rsid w:val="0069512B"/>
    <w:rsid w:val="00695CDF"/>
    <w:rsid w:val="00695DC1"/>
    <w:rsid w:val="00695FD3"/>
    <w:rsid w:val="00696C7D"/>
    <w:rsid w:val="0069723E"/>
    <w:rsid w:val="006A28C9"/>
    <w:rsid w:val="006A38AA"/>
    <w:rsid w:val="006A3B6E"/>
    <w:rsid w:val="006A3EB9"/>
    <w:rsid w:val="006A3FED"/>
    <w:rsid w:val="006A43A4"/>
    <w:rsid w:val="006A6378"/>
    <w:rsid w:val="006A6A5A"/>
    <w:rsid w:val="006A741F"/>
    <w:rsid w:val="006B1F2C"/>
    <w:rsid w:val="006B2094"/>
    <w:rsid w:val="006B2D1B"/>
    <w:rsid w:val="006B5EE4"/>
    <w:rsid w:val="006B6150"/>
    <w:rsid w:val="006B7174"/>
    <w:rsid w:val="006B7E50"/>
    <w:rsid w:val="006C1E0B"/>
    <w:rsid w:val="006C228C"/>
    <w:rsid w:val="006C25E0"/>
    <w:rsid w:val="006C5AC3"/>
    <w:rsid w:val="006D02C2"/>
    <w:rsid w:val="006D20DC"/>
    <w:rsid w:val="006D309F"/>
    <w:rsid w:val="006D3C08"/>
    <w:rsid w:val="006D460C"/>
    <w:rsid w:val="006D4FB5"/>
    <w:rsid w:val="006D607F"/>
    <w:rsid w:val="006D60DF"/>
    <w:rsid w:val="006D67BE"/>
    <w:rsid w:val="006D6984"/>
    <w:rsid w:val="006E6432"/>
    <w:rsid w:val="006F2E74"/>
    <w:rsid w:val="006F55D8"/>
    <w:rsid w:val="006F64AD"/>
    <w:rsid w:val="006F6CF8"/>
    <w:rsid w:val="007012FE"/>
    <w:rsid w:val="0070185D"/>
    <w:rsid w:val="00701B3D"/>
    <w:rsid w:val="007026F2"/>
    <w:rsid w:val="00703A3D"/>
    <w:rsid w:val="00703E98"/>
    <w:rsid w:val="0070643F"/>
    <w:rsid w:val="00707A4B"/>
    <w:rsid w:val="00710268"/>
    <w:rsid w:val="00711432"/>
    <w:rsid w:val="00712619"/>
    <w:rsid w:val="00713A5D"/>
    <w:rsid w:val="00717F5A"/>
    <w:rsid w:val="00725741"/>
    <w:rsid w:val="007279B3"/>
    <w:rsid w:val="00727E39"/>
    <w:rsid w:val="00730BC7"/>
    <w:rsid w:val="00731A88"/>
    <w:rsid w:val="00735279"/>
    <w:rsid w:val="0073628B"/>
    <w:rsid w:val="00740A84"/>
    <w:rsid w:val="00743CE6"/>
    <w:rsid w:val="00744EED"/>
    <w:rsid w:val="00746C43"/>
    <w:rsid w:val="00747874"/>
    <w:rsid w:val="00751DFF"/>
    <w:rsid w:val="007530F8"/>
    <w:rsid w:val="00753737"/>
    <w:rsid w:val="00754A78"/>
    <w:rsid w:val="00755917"/>
    <w:rsid w:val="007576B3"/>
    <w:rsid w:val="007619C5"/>
    <w:rsid w:val="0076318D"/>
    <w:rsid w:val="00765C68"/>
    <w:rsid w:val="00770473"/>
    <w:rsid w:val="0077654A"/>
    <w:rsid w:val="007771AB"/>
    <w:rsid w:val="00777BBB"/>
    <w:rsid w:val="00777E66"/>
    <w:rsid w:val="00780E52"/>
    <w:rsid w:val="00787688"/>
    <w:rsid w:val="00790500"/>
    <w:rsid w:val="00791BCE"/>
    <w:rsid w:val="0079391B"/>
    <w:rsid w:val="0079407E"/>
    <w:rsid w:val="00797527"/>
    <w:rsid w:val="00797D1E"/>
    <w:rsid w:val="007A0317"/>
    <w:rsid w:val="007A2503"/>
    <w:rsid w:val="007A32A9"/>
    <w:rsid w:val="007A41D6"/>
    <w:rsid w:val="007A7B01"/>
    <w:rsid w:val="007B2046"/>
    <w:rsid w:val="007B2C11"/>
    <w:rsid w:val="007B56E5"/>
    <w:rsid w:val="007B59CD"/>
    <w:rsid w:val="007C0CEF"/>
    <w:rsid w:val="007C122A"/>
    <w:rsid w:val="007C3746"/>
    <w:rsid w:val="007C62A1"/>
    <w:rsid w:val="007C7831"/>
    <w:rsid w:val="007D384E"/>
    <w:rsid w:val="007D46D4"/>
    <w:rsid w:val="007D55F0"/>
    <w:rsid w:val="007D5FE5"/>
    <w:rsid w:val="007E03F8"/>
    <w:rsid w:val="007E0900"/>
    <w:rsid w:val="007E1708"/>
    <w:rsid w:val="007E39F5"/>
    <w:rsid w:val="007E423F"/>
    <w:rsid w:val="007F0D66"/>
    <w:rsid w:val="007F1A50"/>
    <w:rsid w:val="007F2DE5"/>
    <w:rsid w:val="007F3AE5"/>
    <w:rsid w:val="007F3EFD"/>
    <w:rsid w:val="007F433F"/>
    <w:rsid w:val="007F4C0C"/>
    <w:rsid w:val="007F57DE"/>
    <w:rsid w:val="007F614B"/>
    <w:rsid w:val="007F7769"/>
    <w:rsid w:val="007F7D9E"/>
    <w:rsid w:val="007F7DC6"/>
    <w:rsid w:val="00801603"/>
    <w:rsid w:val="0080684F"/>
    <w:rsid w:val="00807399"/>
    <w:rsid w:val="0081037B"/>
    <w:rsid w:val="008103BE"/>
    <w:rsid w:val="00812249"/>
    <w:rsid w:val="00812D37"/>
    <w:rsid w:val="00813796"/>
    <w:rsid w:val="00814755"/>
    <w:rsid w:val="00821379"/>
    <w:rsid w:val="00821664"/>
    <w:rsid w:val="008256EE"/>
    <w:rsid w:val="008269EF"/>
    <w:rsid w:val="00827A90"/>
    <w:rsid w:val="008347D3"/>
    <w:rsid w:val="008367E3"/>
    <w:rsid w:val="00836B9B"/>
    <w:rsid w:val="008448F0"/>
    <w:rsid w:val="008456FE"/>
    <w:rsid w:val="008474EE"/>
    <w:rsid w:val="00847D92"/>
    <w:rsid w:val="0085389B"/>
    <w:rsid w:val="00854191"/>
    <w:rsid w:val="00854BB2"/>
    <w:rsid w:val="00854EE0"/>
    <w:rsid w:val="008563D2"/>
    <w:rsid w:val="00860BDB"/>
    <w:rsid w:val="00860D3E"/>
    <w:rsid w:val="00861EA1"/>
    <w:rsid w:val="00863B7B"/>
    <w:rsid w:val="00866DF8"/>
    <w:rsid w:val="00870E62"/>
    <w:rsid w:val="00871F4A"/>
    <w:rsid w:val="00873914"/>
    <w:rsid w:val="00874158"/>
    <w:rsid w:val="0087454E"/>
    <w:rsid w:val="00874674"/>
    <w:rsid w:val="0087487B"/>
    <w:rsid w:val="008770BE"/>
    <w:rsid w:val="008775B5"/>
    <w:rsid w:val="00877C55"/>
    <w:rsid w:val="00880444"/>
    <w:rsid w:val="0088093D"/>
    <w:rsid w:val="00881577"/>
    <w:rsid w:val="0088516E"/>
    <w:rsid w:val="00886682"/>
    <w:rsid w:val="008870C8"/>
    <w:rsid w:val="0088731F"/>
    <w:rsid w:val="00891D08"/>
    <w:rsid w:val="008947BB"/>
    <w:rsid w:val="0089608E"/>
    <w:rsid w:val="008964A4"/>
    <w:rsid w:val="008A087D"/>
    <w:rsid w:val="008A13D9"/>
    <w:rsid w:val="008A4E28"/>
    <w:rsid w:val="008B00EE"/>
    <w:rsid w:val="008B0DC1"/>
    <w:rsid w:val="008B15CF"/>
    <w:rsid w:val="008B17BF"/>
    <w:rsid w:val="008B1EAC"/>
    <w:rsid w:val="008B529E"/>
    <w:rsid w:val="008C2211"/>
    <w:rsid w:val="008C3786"/>
    <w:rsid w:val="008C73F9"/>
    <w:rsid w:val="008C791F"/>
    <w:rsid w:val="008D1F3B"/>
    <w:rsid w:val="008D2C79"/>
    <w:rsid w:val="008D3944"/>
    <w:rsid w:val="008D6EBB"/>
    <w:rsid w:val="008D75DB"/>
    <w:rsid w:val="008D7A10"/>
    <w:rsid w:val="008E359B"/>
    <w:rsid w:val="008E3B20"/>
    <w:rsid w:val="008E4369"/>
    <w:rsid w:val="008E4B12"/>
    <w:rsid w:val="008E5467"/>
    <w:rsid w:val="008E636E"/>
    <w:rsid w:val="008F2576"/>
    <w:rsid w:val="008F3FC9"/>
    <w:rsid w:val="008F3FED"/>
    <w:rsid w:val="008F5BBA"/>
    <w:rsid w:val="008F6EC9"/>
    <w:rsid w:val="008F76DA"/>
    <w:rsid w:val="0090153C"/>
    <w:rsid w:val="00902B02"/>
    <w:rsid w:val="0090389F"/>
    <w:rsid w:val="00905CC0"/>
    <w:rsid w:val="0090783D"/>
    <w:rsid w:val="00913849"/>
    <w:rsid w:val="009139A1"/>
    <w:rsid w:val="00914108"/>
    <w:rsid w:val="00922A06"/>
    <w:rsid w:val="0092462F"/>
    <w:rsid w:val="0092474B"/>
    <w:rsid w:val="00924D7A"/>
    <w:rsid w:val="00926F11"/>
    <w:rsid w:val="00927216"/>
    <w:rsid w:val="00931A39"/>
    <w:rsid w:val="009323BC"/>
    <w:rsid w:val="00937E87"/>
    <w:rsid w:val="00937FFA"/>
    <w:rsid w:val="0094014F"/>
    <w:rsid w:val="009421E7"/>
    <w:rsid w:val="009425CA"/>
    <w:rsid w:val="00945836"/>
    <w:rsid w:val="00946CE2"/>
    <w:rsid w:val="009500E9"/>
    <w:rsid w:val="009505EE"/>
    <w:rsid w:val="009563AB"/>
    <w:rsid w:val="00956AE4"/>
    <w:rsid w:val="00962B63"/>
    <w:rsid w:val="00963993"/>
    <w:rsid w:val="00963B60"/>
    <w:rsid w:val="00963E77"/>
    <w:rsid w:val="00966968"/>
    <w:rsid w:val="009669AD"/>
    <w:rsid w:val="0097048D"/>
    <w:rsid w:val="009736D9"/>
    <w:rsid w:val="009741A4"/>
    <w:rsid w:val="00976BD9"/>
    <w:rsid w:val="00980A83"/>
    <w:rsid w:val="009817F8"/>
    <w:rsid w:val="00985617"/>
    <w:rsid w:val="00986672"/>
    <w:rsid w:val="00987A56"/>
    <w:rsid w:val="00991FD3"/>
    <w:rsid w:val="00993723"/>
    <w:rsid w:val="009948FE"/>
    <w:rsid w:val="009954A2"/>
    <w:rsid w:val="009A0845"/>
    <w:rsid w:val="009A2507"/>
    <w:rsid w:val="009A42EC"/>
    <w:rsid w:val="009A4AB6"/>
    <w:rsid w:val="009A5334"/>
    <w:rsid w:val="009B0E1F"/>
    <w:rsid w:val="009B35AC"/>
    <w:rsid w:val="009B5E8F"/>
    <w:rsid w:val="009B7D60"/>
    <w:rsid w:val="009C0F32"/>
    <w:rsid w:val="009C1871"/>
    <w:rsid w:val="009C2B62"/>
    <w:rsid w:val="009C50D7"/>
    <w:rsid w:val="009C5EAC"/>
    <w:rsid w:val="009C786B"/>
    <w:rsid w:val="009D320C"/>
    <w:rsid w:val="009D4858"/>
    <w:rsid w:val="009D52EF"/>
    <w:rsid w:val="009E341A"/>
    <w:rsid w:val="009E4A5E"/>
    <w:rsid w:val="009E65B5"/>
    <w:rsid w:val="009E663F"/>
    <w:rsid w:val="009E6D5C"/>
    <w:rsid w:val="009F1499"/>
    <w:rsid w:val="009F446A"/>
    <w:rsid w:val="009F4C27"/>
    <w:rsid w:val="00A00E1B"/>
    <w:rsid w:val="00A05E6C"/>
    <w:rsid w:val="00A111D9"/>
    <w:rsid w:val="00A12908"/>
    <w:rsid w:val="00A12C17"/>
    <w:rsid w:val="00A1476E"/>
    <w:rsid w:val="00A14977"/>
    <w:rsid w:val="00A202DD"/>
    <w:rsid w:val="00A21F60"/>
    <w:rsid w:val="00A223A1"/>
    <w:rsid w:val="00A233BE"/>
    <w:rsid w:val="00A24539"/>
    <w:rsid w:val="00A25014"/>
    <w:rsid w:val="00A269A6"/>
    <w:rsid w:val="00A300D6"/>
    <w:rsid w:val="00A301FC"/>
    <w:rsid w:val="00A32480"/>
    <w:rsid w:val="00A33A38"/>
    <w:rsid w:val="00A34CB4"/>
    <w:rsid w:val="00A35138"/>
    <w:rsid w:val="00A420ED"/>
    <w:rsid w:val="00A434C3"/>
    <w:rsid w:val="00A4489E"/>
    <w:rsid w:val="00A44F5F"/>
    <w:rsid w:val="00A4597D"/>
    <w:rsid w:val="00A45D2C"/>
    <w:rsid w:val="00A4699F"/>
    <w:rsid w:val="00A47C4A"/>
    <w:rsid w:val="00A5183B"/>
    <w:rsid w:val="00A54157"/>
    <w:rsid w:val="00A559F3"/>
    <w:rsid w:val="00A60855"/>
    <w:rsid w:val="00A624A0"/>
    <w:rsid w:val="00A62633"/>
    <w:rsid w:val="00A6285A"/>
    <w:rsid w:val="00A65E7C"/>
    <w:rsid w:val="00A66D4D"/>
    <w:rsid w:val="00A6780F"/>
    <w:rsid w:val="00A678DA"/>
    <w:rsid w:val="00A67F7A"/>
    <w:rsid w:val="00A709DF"/>
    <w:rsid w:val="00A73BBD"/>
    <w:rsid w:val="00A73F00"/>
    <w:rsid w:val="00A73F6C"/>
    <w:rsid w:val="00A8014D"/>
    <w:rsid w:val="00A80CF1"/>
    <w:rsid w:val="00A82C5C"/>
    <w:rsid w:val="00A8630E"/>
    <w:rsid w:val="00A865E9"/>
    <w:rsid w:val="00A87227"/>
    <w:rsid w:val="00A909E8"/>
    <w:rsid w:val="00A90BF0"/>
    <w:rsid w:val="00A90D2A"/>
    <w:rsid w:val="00A91CE2"/>
    <w:rsid w:val="00A92A2D"/>
    <w:rsid w:val="00A934E3"/>
    <w:rsid w:val="00A94860"/>
    <w:rsid w:val="00A94D04"/>
    <w:rsid w:val="00A94D36"/>
    <w:rsid w:val="00A968A4"/>
    <w:rsid w:val="00A97D36"/>
    <w:rsid w:val="00AA0A79"/>
    <w:rsid w:val="00AA14BE"/>
    <w:rsid w:val="00AA3DA9"/>
    <w:rsid w:val="00AA41E7"/>
    <w:rsid w:val="00AA4225"/>
    <w:rsid w:val="00AA4AC1"/>
    <w:rsid w:val="00AB3A7A"/>
    <w:rsid w:val="00AB3C32"/>
    <w:rsid w:val="00AB48A4"/>
    <w:rsid w:val="00AB4D55"/>
    <w:rsid w:val="00AB6715"/>
    <w:rsid w:val="00AB7AEC"/>
    <w:rsid w:val="00AC054E"/>
    <w:rsid w:val="00AC13B1"/>
    <w:rsid w:val="00AC7742"/>
    <w:rsid w:val="00AD0742"/>
    <w:rsid w:val="00AD0DE2"/>
    <w:rsid w:val="00AD188E"/>
    <w:rsid w:val="00AD201C"/>
    <w:rsid w:val="00AD23CB"/>
    <w:rsid w:val="00AD3A70"/>
    <w:rsid w:val="00AD6BE2"/>
    <w:rsid w:val="00AD70DB"/>
    <w:rsid w:val="00AD7979"/>
    <w:rsid w:val="00AE00F7"/>
    <w:rsid w:val="00AE3E2C"/>
    <w:rsid w:val="00AE67FE"/>
    <w:rsid w:val="00AE7D8D"/>
    <w:rsid w:val="00AF1358"/>
    <w:rsid w:val="00AF298D"/>
    <w:rsid w:val="00AF36A3"/>
    <w:rsid w:val="00AF4813"/>
    <w:rsid w:val="00AF55F4"/>
    <w:rsid w:val="00B01F5A"/>
    <w:rsid w:val="00B0305F"/>
    <w:rsid w:val="00B03E3E"/>
    <w:rsid w:val="00B0535D"/>
    <w:rsid w:val="00B101BE"/>
    <w:rsid w:val="00B13078"/>
    <w:rsid w:val="00B13513"/>
    <w:rsid w:val="00B1351D"/>
    <w:rsid w:val="00B13957"/>
    <w:rsid w:val="00B15A42"/>
    <w:rsid w:val="00B17FCE"/>
    <w:rsid w:val="00B323C5"/>
    <w:rsid w:val="00B327F7"/>
    <w:rsid w:val="00B348C1"/>
    <w:rsid w:val="00B34B90"/>
    <w:rsid w:val="00B36375"/>
    <w:rsid w:val="00B37C8D"/>
    <w:rsid w:val="00B43309"/>
    <w:rsid w:val="00B43E7F"/>
    <w:rsid w:val="00B44D7B"/>
    <w:rsid w:val="00B46A64"/>
    <w:rsid w:val="00B50BAA"/>
    <w:rsid w:val="00B54FAF"/>
    <w:rsid w:val="00B5622B"/>
    <w:rsid w:val="00B60467"/>
    <w:rsid w:val="00B64C60"/>
    <w:rsid w:val="00B65E53"/>
    <w:rsid w:val="00B73348"/>
    <w:rsid w:val="00B73439"/>
    <w:rsid w:val="00B73C1B"/>
    <w:rsid w:val="00B7491B"/>
    <w:rsid w:val="00B77230"/>
    <w:rsid w:val="00B7762D"/>
    <w:rsid w:val="00B77A4B"/>
    <w:rsid w:val="00B81BFD"/>
    <w:rsid w:val="00B83AF3"/>
    <w:rsid w:val="00B84139"/>
    <w:rsid w:val="00B90F81"/>
    <w:rsid w:val="00B9157B"/>
    <w:rsid w:val="00B91CA8"/>
    <w:rsid w:val="00B91CEF"/>
    <w:rsid w:val="00B91D52"/>
    <w:rsid w:val="00B9470A"/>
    <w:rsid w:val="00B97354"/>
    <w:rsid w:val="00B977B0"/>
    <w:rsid w:val="00BA003B"/>
    <w:rsid w:val="00BA1388"/>
    <w:rsid w:val="00BA18A2"/>
    <w:rsid w:val="00BA1E52"/>
    <w:rsid w:val="00BA2552"/>
    <w:rsid w:val="00BA3F24"/>
    <w:rsid w:val="00BA7DD5"/>
    <w:rsid w:val="00BB0D69"/>
    <w:rsid w:val="00BB1222"/>
    <w:rsid w:val="00BB3649"/>
    <w:rsid w:val="00BB3DB4"/>
    <w:rsid w:val="00BB40F4"/>
    <w:rsid w:val="00BC1731"/>
    <w:rsid w:val="00BC1A12"/>
    <w:rsid w:val="00BC667C"/>
    <w:rsid w:val="00BC6EA9"/>
    <w:rsid w:val="00BC7C0D"/>
    <w:rsid w:val="00BD0925"/>
    <w:rsid w:val="00BD49A8"/>
    <w:rsid w:val="00BE060C"/>
    <w:rsid w:val="00BE4020"/>
    <w:rsid w:val="00BE47BF"/>
    <w:rsid w:val="00BE770D"/>
    <w:rsid w:val="00BF1803"/>
    <w:rsid w:val="00BF4756"/>
    <w:rsid w:val="00C02268"/>
    <w:rsid w:val="00C0230E"/>
    <w:rsid w:val="00C03F9B"/>
    <w:rsid w:val="00C058C0"/>
    <w:rsid w:val="00C110FE"/>
    <w:rsid w:val="00C112D4"/>
    <w:rsid w:val="00C1253E"/>
    <w:rsid w:val="00C126C5"/>
    <w:rsid w:val="00C15180"/>
    <w:rsid w:val="00C20FAC"/>
    <w:rsid w:val="00C26C11"/>
    <w:rsid w:val="00C27680"/>
    <w:rsid w:val="00C311D1"/>
    <w:rsid w:val="00C31968"/>
    <w:rsid w:val="00C31AF3"/>
    <w:rsid w:val="00C3210A"/>
    <w:rsid w:val="00C3346B"/>
    <w:rsid w:val="00C34FF5"/>
    <w:rsid w:val="00C36AD4"/>
    <w:rsid w:val="00C402B1"/>
    <w:rsid w:val="00C40CAF"/>
    <w:rsid w:val="00C40F4C"/>
    <w:rsid w:val="00C50E4C"/>
    <w:rsid w:val="00C55B86"/>
    <w:rsid w:val="00C571A3"/>
    <w:rsid w:val="00C57A86"/>
    <w:rsid w:val="00C6293E"/>
    <w:rsid w:val="00C64F4A"/>
    <w:rsid w:val="00C6579D"/>
    <w:rsid w:val="00C66A01"/>
    <w:rsid w:val="00C67142"/>
    <w:rsid w:val="00C7263B"/>
    <w:rsid w:val="00C802A0"/>
    <w:rsid w:val="00C828E8"/>
    <w:rsid w:val="00C83314"/>
    <w:rsid w:val="00C94592"/>
    <w:rsid w:val="00C94D9C"/>
    <w:rsid w:val="00C96068"/>
    <w:rsid w:val="00C960A2"/>
    <w:rsid w:val="00C96A7E"/>
    <w:rsid w:val="00CA0F7F"/>
    <w:rsid w:val="00CA10DC"/>
    <w:rsid w:val="00CA1444"/>
    <w:rsid w:val="00CA1DE3"/>
    <w:rsid w:val="00CA2357"/>
    <w:rsid w:val="00CA31A1"/>
    <w:rsid w:val="00CA32EB"/>
    <w:rsid w:val="00CA32EC"/>
    <w:rsid w:val="00CA3B4E"/>
    <w:rsid w:val="00CA3FD5"/>
    <w:rsid w:val="00CA7201"/>
    <w:rsid w:val="00CA7316"/>
    <w:rsid w:val="00CB0528"/>
    <w:rsid w:val="00CB0E9C"/>
    <w:rsid w:val="00CB4254"/>
    <w:rsid w:val="00CB5A4A"/>
    <w:rsid w:val="00CB5FD8"/>
    <w:rsid w:val="00CB68D9"/>
    <w:rsid w:val="00CC0B69"/>
    <w:rsid w:val="00CC4149"/>
    <w:rsid w:val="00CC77CE"/>
    <w:rsid w:val="00CC79A9"/>
    <w:rsid w:val="00CD5027"/>
    <w:rsid w:val="00CD559F"/>
    <w:rsid w:val="00CD59BF"/>
    <w:rsid w:val="00CD62AE"/>
    <w:rsid w:val="00CD6DA2"/>
    <w:rsid w:val="00CE43CB"/>
    <w:rsid w:val="00CE5547"/>
    <w:rsid w:val="00CF0943"/>
    <w:rsid w:val="00CF15D9"/>
    <w:rsid w:val="00CF1873"/>
    <w:rsid w:val="00CF1D3E"/>
    <w:rsid w:val="00CF3ABF"/>
    <w:rsid w:val="00CF49FD"/>
    <w:rsid w:val="00CF690D"/>
    <w:rsid w:val="00CF74DB"/>
    <w:rsid w:val="00D00692"/>
    <w:rsid w:val="00D02FA7"/>
    <w:rsid w:val="00D03089"/>
    <w:rsid w:val="00D030F6"/>
    <w:rsid w:val="00D0364E"/>
    <w:rsid w:val="00D03A1C"/>
    <w:rsid w:val="00D10420"/>
    <w:rsid w:val="00D10C82"/>
    <w:rsid w:val="00D10E6B"/>
    <w:rsid w:val="00D11DF4"/>
    <w:rsid w:val="00D11E51"/>
    <w:rsid w:val="00D12626"/>
    <w:rsid w:val="00D1276D"/>
    <w:rsid w:val="00D13393"/>
    <w:rsid w:val="00D13BA4"/>
    <w:rsid w:val="00D16864"/>
    <w:rsid w:val="00D169D6"/>
    <w:rsid w:val="00D171F0"/>
    <w:rsid w:val="00D17472"/>
    <w:rsid w:val="00D209C1"/>
    <w:rsid w:val="00D211EB"/>
    <w:rsid w:val="00D2124F"/>
    <w:rsid w:val="00D22C5B"/>
    <w:rsid w:val="00D22CC6"/>
    <w:rsid w:val="00D23916"/>
    <w:rsid w:val="00D24672"/>
    <w:rsid w:val="00D247CF"/>
    <w:rsid w:val="00D33829"/>
    <w:rsid w:val="00D36708"/>
    <w:rsid w:val="00D3761D"/>
    <w:rsid w:val="00D43034"/>
    <w:rsid w:val="00D44F8F"/>
    <w:rsid w:val="00D4608B"/>
    <w:rsid w:val="00D460CE"/>
    <w:rsid w:val="00D474E2"/>
    <w:rsid w:val="00D50306"/>
    <w:rsid w:val="00D52044"/>
    <w:rsid w:val="00D5259C"/>
    <w:rsid w:val="00D52979"/>
    <w:rsid w:val="00D52F45"/>
    <w:rsid w:val="00D53E6D"/>
    <w:rsid w:val="00D56635"/>
    <w:rsid w:val="00D56C54"/>
    <w:rsid w:val="00D622D5"/>
    <w:rsid w:val="00D645E7"/>
    <w:rsid w:val="00D64B1F"/>
    <w:rsid w:val="00D66721"/>
    <w:rsid w:val="00D66A33"/>
    <w:rsid w:val="00D70043"/>
    <w:rsid w:val="00D7013C"/>
    <w:rsid w:val="00D72C4F"/>
    <w:rsid w:val="00D72ED6"/>
    <w:rsid w:val="00D74CAE"/>
    <w:rsid w:val="00D75ADC"/>
    <w:rsid w:val="00D8023D"/>
    <w:rsid w:val="00D805C4"/>
    <w:rsid w:val="00D81A06"/>
    <w:rsid w:val="00D943B2"/>
    <w:rsid w:val="00D95A23"/>
    <w:rsid w:val="00DA067C"/>
    <w:rsid w:val="00DA16DB"/>
    <w:rsid w:val="00DA262E"/>
    <w:rsid w:val="00DA5FC6"/>
    <w:rsid w:val="00DA6CDF"/>
    <w:rsid w:val="00DB00F4"/>
    <w:rsid w:val="00DB0889"/>
    <w:rsid w:val="00DB181D"/>
    <w:rsid w:val="00DB2B3A"/>
    <w:rsid w:val="00DB50E4"/>
    <w:rsid w:val="00DB674D"/>
    <w:rsid w:val="00DB708E"/>
    <w:rsid w:val="00DC089B"/>
    <w:rsid w:val="00DC228C"/>
    <w:rsid w:val="00DC22DE"/>
    <w:rsid w:val="00DC378C"/>
    <w:rsid w:val="00DD193C"/>
    <w:rsid w:val="00DD1D28"/>
    <w:rsid w:val="00DD4D20"/>
    <w:rsid w:val="00DD5451"/>
    <w:rsid w:val="00DD7D32"/>
    <w:rsid w:val="00DE1626"/>
    <w:rsid w:val="00DE27B7"/>
    <w:rsid w:val="00DE4691"/>
    <w:rsid w:val="00DE59ED"/>
    <w:rsid w:val="00DE6F3A"/>
    <w:rsid w:val="00DF0248"/>
    <w:rsid w:val="00DF1248"/>
    <w:rsid w:val="00DF1EAF"/>
    <w:rsid w:val="00DF2644"/>
    <w:rsid w:val="00DF28C1"/>
    <w:rsid w:val="00DF3AE3"/>
    <w:rsid w:val="00DF5B08"/>
    <w:rsid w:val="00DF7E1A"/>
    <w:rsid w:val="00E0017E"/>
    <w:rsid w:val="00E01201"/>
    <w:rsid w:val="00E025BA"/>
    <w:rsid w:val="00E02AD9"/>
    <w:rsid w:val="00E062C1"/>
    <w:rsid w:val="00E06E88"/>
    <w:rsid w:val="00E07260"/>
    <w:rsid w:val="00E1000F"/>
    <w:rsid w:val="00E10F1E"/>
    <w:rsid w:val="00E12935"/>
    <w:rsid w:val="00E14FD5"/>
    <w:rsid w:val="00E1788A"/>
    <w:rsid w:val="00E17A69"/>
    <w:rsid w:val="00E17E02"/>
    <w:rsid w:val="00E20337"/>
    <w:rsid w:val="00E20561"/>
    <w:rsid w:val="00E2082A"/>
    <w:rsid w:val="00E20FC2"/>
    <w:rsid w:val="00E21A1C"/>
    <w:rsid w:val="00E21D79"/>
    <w:rsid w:val="00E269B4"/>
    <w:rsid w:val="00E30B18"/>
    <w:rsid w:val="00E31A69"/>
    <w:rsid w:val="00E40024"/>
    <w:rsid w:val="00E425B3"/>
    <w:rsid w:val="00E44A34"/>
    <w:rsid w:val="00E450C1"/>
    <w:rsid w:val="00E470AC"/>
    <w:rsid w:val="00E47F79"/>
    <w:rsid w:val="00E55C62"/>
    <w:rsid w:val="00E57307"/>
    <w:rsid w:val="00E573AC"/>
    <w:rsid w:val="00E60146"/>
    <w:rsid w:val="00E611A1"/>
    <w:rsid w:val="00E61AA2"/>
    <w:rsid w:val="00E634C2"/>
    <w:rsid w:val="00E63617"/>
    <w:rsid w:val="00E6491E"/>
    <w:rsid w:val="00E651B0"/>
    <w:rsid w:val="00E67E77"/>
    <w:rsid w:val="00E700D1"/>
    <w:rsid w:val="00E742F5"/>
    <w:rsid w:val="00E7466C"/>
    <w:rsid w:val="00E75D82"/>
    <w:rsid w:val="00E76923"/>
    <w:rsid w:val="00E76DE2"/>
    <w:rsid w:val="00E84048"/>
    <w:rsid w:val="00E87F69"/>
    <w:rsid w:val="00E90CB9"/>
    <w:rsid w:val="00E913AF"/>
    <w:rsid w:val="00E91DBB"/>
    <w:rsid w:val="00E921A7"/>
    <w:rsid w:val="00E92692"/>
    <w:rsid w:val="00E95A4F"/>
    <w:rsid w:val="00E95C37"/>
    <w:rsid w:val="00E967C9"/>
    <w:rsid w:val="00E96950"/>
    <w:rsid w:val="00E96CBE"/>
    <w:rsid w:val="00E978FE"/>
    <w:rsid w:val="00EA1DE8"/>
    <w:rsid w:val="00EA2719"/>
    <w:rsid w:val="00EA28AE"/>
    <w:rsid w:val="00EA5CA7"/>
    <w:rsid w:val="00EA796F"/>
    <w:rsid w:val="00EB292E"/>
    <w:rsid w:val="00EB4533"/>
    <w:rsid w:val="00EB65A9"/>
    <w:rsid w:val="00EB6713"/>
    <w:rsid w:val="00EC025D"/>
    <w:rsid w:val="00EC17A6"/>
    <w:rsid w:val="00EC2A8C"/>
    <w:rsid w:val="00EC3B02"/>
    <w:rsid w:val="00EC617A"/>
    <w:rsid w:val="00EC6484"/>
    <w:rsid w:val="00EC71C8"/>
    <w:rsid w:val="00ED06F4"/>
    <w:rsid w:val="00ED1AF8"/>
    <w:rsid w:val="00ED38B9"/>
    <w:rsid w:val="00ED7052"/>
    <w:rsid w:val="00ED739A"/>
    <w:rsid w:val="00ED76DB"/>
    <w:rsid w:val="00EE132F"/>
    <w:rsid w:val="00EE1FA5"/>
    <w:rsid w:val="00EE2185"/>
    <w:rsid w:val="00EE4482"/>
    <w:rsid w:val="00EE707E"/>
    <w:rsid w:val="00EF294B"/>
    <w:rsid w:val="00EF46E8"/>
    <w:rsid w:val="00EF66C8"/>
    <w:rsid w:val="00EF6BD0"/>
    <w:rsid w:val="00EF6C3C"/>
    <w:rsid w:val="00F00371"/>
    <w:rsid w:val="00F009E2"/>
    <w:rsid w:val="00F025F1"/>
    <w:rsid w:val="00F04658"/>
    <w:rsid w:val="00F0589A"/>
    <w:rsid w:val="00F07709"/>
    <w:rsid w:val="00F11C53"/>
    <w:rsid w:val="00F14869"/>
    <w:rsid w:val="00F15920"/>
    <w:rsid w:val="00F16EBD"/>
    <w:rsid w:val="00F17338"/>
    <w:rsid w:val="00F20D5E"/>
    <w:rsid w:val="00F20E60"/>
    <w:rsid w:val="00F251D1"/>
    <w:rsid w:val="00F25E0B"/>
    <w:rsid w:val="00F31FAE"/>
    <w:rsid w:val="00F3224F"/>
    <w:rsid w:val="00F3411E"/>
    <w:rsid w:val="00F3448D"/>
    <w:rsid w:val="00F34CE0"/>
    <w:rsid w:val="00F36F9C"/>
    <w:rsid w:val="00F401C3"/>
    <w:rsid w:val="00F4093D"/>
    <w:rsid w:val="00F41AB5"/>
    <w:rsid w:val="00F434D3"/>
    <w:rsid w:val="00F43589"/>
    <w:rsid w:val="00F43A3A"/>
    <w:rsid w:val="00F440AC"/>
    <w:rsid w:val="00F44BF1"/>
    <w:rsid w:val="00F44CB5"/>
    <w:rsid w:val="00F44E7A"/>
    <w:rsid w:val="00F452A2"/>
    <w:rsid w:val="00F4556D"/>
    <w:rsid w:val="00F455FA"/>
    <w:rsid w:val="00F46E43"/>
    <w:rsid w:val="00F4777B"/>
    <w:rsid w:val="00F507F0"/>
    <w:rsid w:val="00F51C8A"/>
    <w:rsid w:val="00F52468"/>
    <w:rsid w:val="00F526CE"/>
    <w:rsid w:val="00F55C63"/>
    <w:rsid w:val="00F56632"/>
    <w:rsid w:val="00F60BB1"/>
    <w:rsid w:val="00F61C10"/>
    <w:rsid w:val="00F634EF"/>
    <w:rsid w:val="00F642A4"/>
    <w:rsid w:val="00F67BB1"/>
    <w:rsid w:val="00F704EA"/>
    <w:rsid w:val="00F75A84"/>
    <w:rsid w:val="00F76940"/>
    <w:rsid w:val="00F77210"/>
    <w:rsid w:val="00F777B5"/>
    <w:rsid w:val="00F8155E"/>
    <w:rsid w:val="00F81D54"/>
    <w:rsid w:val="00F8353C"/>
    <w:rsid w:val="00F83F80"/>
    <w:rsid w:val="00F848FB"/>
    <w:rsid w:val="00F857D1"/>
    <w:rsid w:val="00F85F8B"/>
    <w:rsid w:val="00F87061"/>
    <w:rsid w:val="00F87612"/>
    <w:rsid w:val="00F9278B"/>
    <w:rsid w:val="00F92F7D"/>
    <w:rsid w:val="00F94481"/>
    <w:rsid w:val="00F95798"/>
    <w:rsid w:val="00F97446"/>
    <w:rsid w:val="00F97922"/>
    <w:rsid w:val="00FA219F"/>
    <w:rsid w:val="00FA4423"/>
    <w:rsid w:val="00FB299A"/>
    <w:rsid w:val="00FB3B07"/>
    <w:rsid w:val="00FB6F7B"/>
    <w:rsid w:val="00FC40BE"/>
    <w:rsid w:val="00FD676D"/>
    <w:rsid w:val="00FD6FE7"/>
    <w:rsid w:val="00FD7622"/>
    <w:rsid w:val="00FE0CD9"/>
    <w:rsid w:val="00FE0F9D"/>
    <w:rsid w:val="00FE32FB"/>
    <w:rsid w:val="00FE5868"/>
    <w:rsid w:val="00FE6A89"/>
    <w:rsid w:val="00FF09A9"/>
    <w:rsid w:val="00FF1CD0"/>
    <w:rsid w:val="00FF570D"/>
    <w:rsid w:val="00FF6804"/>
    <w:rsid w:val="00FF6948"/>
    <w:rsid w:val="00FF7B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DA3DEE"/>
  <w15:docId w15:val="{4A0F1716-623D-4694-8A52-B5146B18B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5A23"/>
    <w:pPr>
      <w:spacing w:after="160" w:line="259" w:lineRule="auto"/>
    </w:pPr>
    <w:rPr>
      <w:sz w:val="22"/>
      <w:szCs w:val="22"/>
      <w:lang w:eastAsia="en-US"/>
    </w:rPr>
  </w:style>
  <w:style w:type="paragraph" w:styleId="Heading1">
    <w:name w:val="heading 1"/>
    <w:basedOn w:val="Normal"/>
    <w:link w:val="Heading1Char"/>
    <w:uiPriority w:val="9"/>
    <w:qFormat/>
    <w:rsid w:val="008D1F3B"/>
    <w:pPr>
      <w:spacing w:before="100" w:beforeAutospacing="1" w:after="100" w:afterAutospacing="1" w:line="240" w:lineRule="auto"/>
      <w:outlineLvl w:val="0"/>
    </w:pPr>
    <w:rPr>
      <w:rFonts w:ascii="Arial" w:eastAsia="Times New Roman" w:hAnsi="Arial"/>
      <w:b/>
      <w:bCs/>
      <w:kern w:val="36"/>
      <w:sz w:val="24"/>
      <w:szCs w:val="48"/>
      <w:lang w:eastAsia="pt-BR"/>
    </w:rPr>
  </w:style>
  <w:style w:type="paragraph" w:styleId="Heading2">
    <w:name w:val="heading 2"/>
    <w:basedOn w:val="Normal"/>
    <w:link w:val="Heading2Char"/>
    <w:uiPriority w:val="9"/>
    <w:qFormat/>
    <w:rsid w:val="008D1F3B"/>
    <w:pPr>
      <w:spacing w:before="100" w:beforeAutospacing="1" w:after="100" w:afterAutospacing="1" w:line="240" w:lineRule="auto"/>
      <w:outlineLvl w:val="1"/>
    </w:pPr>
    <w:rPr>
      <w:rFonts w:ascii="Arial" w:eastAsia="Times New Roman" w:hAnsi="Arial"/>
      <w:b/>
      <w:bCs/>
      <w:sz w:val="24"/>
      <w:szCs w:val="36"/>
      <w:lang w:eastAsia="pt-BR"/>
    </w:rPr>
  </w:style>
  <w:style w:type="paragraph" w:styleId="Heading3">
    <w:name w:val="heading 3"/>
    <w:basedOn w:val="Normal"/>
    <w:next w:val="Normal"/>
    <w:link w:val="Heading3Char"/>
    <w:uiPriority w:val="9"/>
    <w:unhideWhenUsed/>
    <w:qFormat/>
    <w:rsid w:val="006C25E0"/>
    <w:pPr>
      <w:keepNext/>
      <w:keepLines/>
      <w:spacing w:before="40" w:after="0"/>
      <w:outlineLvl w:val="2"/>
    </w:pPr>
    <w:rPr>
      <w:rFonts w:ascii="Arial" w:eastAsia="Times New Roman" w:hAnsi="Arial"/>
      <w:i/>
      <w:sz w:val="24"/>
      <w:szCs w:val="24"/>
    </w:rPr>
  </w:style>
  <w:style w:type="paragraph" w:styleId="Heading4">
    <w:name w:val="heading 4"/>
    <w:basedOn w:val="Normal"/>
    <w:next w:val="Normal"/>
    <w:link w:val="Heading4Char"/>
    <w:uiPriority w:val="9"/>
    <w:unhideWhenUsed/>
    <w:qFormat/>
    <w:rsid w:val="00AF55F4"/>
    <w:pPr>
      <w:keepNext/>
      <w:keepLines/>
      <w:spacing w:before="40" w:after="0"/>
      <w:outlineLvl w:val="3"/>
    </w:pPr>
    <w:rPr>
      <w:rFonts w:ascii="Calibri Light" w:eastAsia="Times New Roma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1F3B"/>
    <w:rPr>
      <w:rFonts w:ascii="Arial" w:eastAsia="Times New Roman" w:hAnsi="Arial"/>
      <w:b/>
      <w:bCs/>
      <w:kern w:val="36"/>
      <w:sz w:val="24"/>
      <w:szCs w:val="48"/>
    </w:rPr>
  </w:style>
  <w:style w:type="character" w:customStyle="1" w:styleId="Heading2Char">
    <w:name w:val="Heading 2 Char"/>
    <w:link w:val="Heading2"/>
    <w:uiPriority w:val="9"/>
    <w:rsid w:val="008D1F3B"/>
    <w:rPr>
      <w:rFonts w:ascii="Arial" w:eastAsia="Times New Roman" w:hAnsi="Arial"/>
      <w:b/>
      <w:bCs/>
      <w:sz w:val="24"/>
      <w:szCs w:val="36"/>
    </w:rPr>
  </w:style>
  <w:style w:type="character" w:customStyle="1" w:styleId="size-xl">
    <w:name w:val="size-xl"/>
    <w:basedOn w:val="DefaultParagraphFont"/>
    <w:rsid w:val="00AF55F4"/>
  </w:style>
  <w:style w:type="character" w:styleId="Hyperlink">
    <w:name w:val="Hyperlink"/>
    <w:uiPriority w:val="99"/>
    <w:unhideWhenUsed/>
    <w:rsid w:val="00AF55F4"/>
    <w:rPr>
      <w:color w:val="0000FF"/>
      <w:u w:val="single"/>
    </w:rPr>
  </w:style>
  <w:style w:type="character" w:customStyle="1" w:styleId="size-m">
    <w:name w:val="size-m"/>
    <w:basedOn w:val="DefaultParagraphFont"/>
    <w:rsid w:val="00AF55F4"/>
  </w:style>
  <w:style w:type="character" w:customStyle="1" w:styleId="sr-only">
    <w:name w:val="sr-only"/>
    <w:basedOn w:val="DefaultParagraphFont"/>
    <w:rsid w:val="00AF55F4"/>
  </w:style>
  <w:style w:type="character" w:customStyle="1" w:styleId="text">
    <w:name w:val="text"/>
    <w:basedOn w:val="DefaultParagraphFont"/>
    <w:rsid w:val="00AF55F4"/>
  </w:style>
  <w:style w:type="character" w:customStyle="1" w:styleId="author-ref">
    <w:name w:val="author-ref"/>
    <w:basedOn w:val="DefaultParagraphFont"/>
    <w:rsid w:val="00AF55F4"/>
  </w:style>
  <w:style w:type="paragraph" w:styleId="NormalWeb">
    <w:name w:val="Normal (Web)"/>
    <w:basedOn w:val="Normal"/>
    <w:uiPriority w:val="99"/>
    <w:unhideWhenUsed/>
    <w:rsid w:val="00AF55F4"/>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Heading3Char">
    <w:name w:val="Heading 3 Char"/>
    <w:link w:val="Heading3"/>
    <w:uiPriority w:val="9"/>
    <w:rsid w:val="006C25E0"/>
    <w:rPr>
      <w:rFonts w:ascii="Arial" w:eastAsia="Times New Roman" w:hAnsi="Arial"/>
      <w:i/>
      <w:sz w:val="24"/>
      <w:szCs w:val="24"/>
      <w:lang w:eastAsia="en-US"/>
    </w:rPr>
  </w:style>
  <w:style w:type="character" w:customStyle="1" w:styleId="Heading4Char">
    <w:name w:val="Heading 4 Char"/>
    <w:link w:val="Heading4"/>
    <w:uiPriority w:val="9"/>
    <w:semiHidden/>
    <w:rsid w:val="00AF55F4"/>
    <w:rPr>
      <w:rFonts w:ascii="Calibri Light" w:eastAsia="Times New Roman" w:hAnsi="Calibri Light" w:cs="Times New Roman"/>
      <w:i/>
      <w:iCs/>
      <w:color w:val="2E74B5"/>
    </w:rPr>
  </w:style>
  <w:style w:type="character" w:customStyle="1" w:styleId="label">
    <w:name w:val="label"/>
    <w:basedOn w:val="DefaultParagraphFont"/>
    <w:rsid w:val="00DA262E"/>
  </w:style>
  <w:style w:type="character" w:styleId="Strong">
    <w:name w:val="Strong"/>
    <w:uiPriority w:val="22"/>
    <w:qFormat/>
    <w:rsid w:val="00DA262E"/>
    <w:rPr>
      <w:b/>
      <w:bCs/>
    </w:rPr>
  </w:style>
  <w:style w:type="character" w:styleId="Emphasis">
    <w:name w:val="Emphasis"/>
    <w:uiPriority w:val="20"/>
    <w:qFormat/>
    <w:rsid w:val="00DA262E"/>
    <w:rPr>
      <w:i/>
      <w:iCs/>
    </w:rPr>
  </w:style>
  <w:style w:type="paragraph" w:styleId="ListParagraph">
    <w:name w:val="List Paragraph"/>
    <w:basedOn w:val="Normal"/>
    <w:uiPriority w:val="34"/>
    <w:qFormat/>
    <w:rsid w:val="00DA262E"/>
    <w:pPr>
      <w:ind w:left="720"/>
      <w:contextualSpacing/>
    </w:pPr>
  </w:style>
  <w:style w:type="character" w:styleId="CommentReference">
    <w:name w:val="annotation reference"/>
    <w:uiPriority w:val="99"/>
    <w:semiHidden/>
    <w:unhideWhenUsed/>
    <w:rsid w:val="00AA0A79"/>
    <w:rPr>
      <w:sz w:val="16"/>
      <w:szCs w:val="16"/>
    </w:rPr>
  </w:style>
  <w:style w:type="paragraph" w:styleId="CommentText">
    <w:name w:val="annotation text"/>
    <w:basedOn w:val="Normal"/>
    <w:link w:val="CommentTextChar"/>
    <w:uiPriority w:val="99"/>
    <w:semiHidden/>
    <w:unhideWhenUsed/>
    <w:rsid w:val="00AA0A79"/>
    <w:pPr>
      <w:spacing w:line="240" w:lineRule="auto"/>
    </w:pPr>
    <w:rPr>
      <w:sz w:val="20"/>
      <w:szCs w:val="20"/>
    </w:rPr>
  </w:style>
  <w:style w:type="character" w:customStyle="1" w:styleId="CommentTextChar">
    <w:name w:val="Comment Text Char"/>
    <w:link w:val="CommentText"/>
    <w:uiPriority w:val="99"/>
    <w:semiHidden/>
    <w:rsid w:val="00AA0A79"/>
    <w:rPr>
      <w:sz w:val="20"/>
      <w:szCs w:val="20"/>
    </w:rPr>
  </w:style>
  <w:style w:type="paragraph" w:styleId="CommentSubject">
    <w:name w:val="annotation subject"/>
    <w:basedOn w:val="CommentText"/>
    <w:next w:val="CommentText"/>
    <w:link w:val="CommentSubjectChar"/>
    <w:uiPriority w:val="99"/>
    <w:semiHidden/>
    <w:unhideWhenUsed/>
    <w:rsid w:val="00AA0A79"/>
    <w:rPr>
      <w:b/>
      <w:bCs/>
    </w:rPr>
  </w:style>
  <w:style w:type="character" w:customStyle="1" w:styleId="CommentSubjectChar">
    <w:name w:val="Comment Subject Char"/>
    <w:link w:val="CommentSubject"/>
    <w:uiPriority w:val="99"/>
    <w:semiHidden/>
    <w:rsid w:val="00AA0A79"/>
    <w:rPr>
      <w:b/>
      <w:bCs/>
      <w:sz w:val="20"/>
      <w:szCs w:val="20"/>
    </w:rPr>
  </w:style>
  <w:style w:type="paragraph" w:styleId="BalloonText">
    <w:name w:val="Balloon Text"/>
    <w:basedOn w:val="Normal"/>
    <w:link w:val="BalloonTextChar"/>
    <w:uiPriority w:val="99"/>
    <w:semiHidden/>
    <w:unhideWhenUsed/>
    <w:rsid w:val="00AA0A7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A0A79"/>
    <w:rPr>
      <w:rFonts w:ascii="Segoe UI" w:hAnsi="Segoe UI" w:cs="Segoe UI"/>
      <w:sz w:val="18"/>
      <w:szCs w:val="18"/>
    </w:rPr>
  </w:style>
  <w:style w:type="paragraph" w:styleId="Header">
    <w:name w:val="header"/>
    <w:basedOn w:val="Normal"/>
    <w:link w:val="HeaderChar"/>
    <w:uiPriority w:val="99"/>
    <w:unhideWhenUsed/>
    <w:rsid w:val="00BB40F4"/>
    <w:pPr>
      <w:tabs>
        <w:tab w:val="center" w:pos="4252"/>
        <w:tab w:val="right" w:pos="8504"/>
      </w:tabs>
      <w:spacing w:after="0" w:line="240" w:lineRule="auto"/>
    </w:pPr>
  </w:style>
  <w:style w:type="character" w:customStyle="1" w:styleId="HeaderChar">
    <w:name w:val="Header Char"/>
    <w:basedOn w:val="DefaultParagraphFont"/>
    <w:link w:val="Header"/>
    <w:uiPriority w:val="99"/>
    <w:rsid w:val="00BB40F4"/>
  </w:style>
  <w:style w:type="paragraph" w:styleId="Footer">
    <w:name w:val="footer"/>
    <w:basedOn w:val="Normal"/>
    <w:link w:val="FooterChar"/>
    <w:unhideWhenUsed/>
    <w:rsid w:val="00BB40F4"/>
    <w:pPr>
      <w:tabs>
        <w:tab w:val="center" w:pos="4252"/>
        <w:tab w:val="right" w:pos="8504"/>
      </w:tabs>
      <w:spacing w:after="0" w:line="240" w:lineRule="auto"/>
    </w:pPr>
  </w:style>
  <w:style w:type="character" w:customStyle="1" w:styleId="FooterChar">
    <w:name w:val="Footer Char"/>
    <w:basedOn w:val="DefaultParagraphFont"/>
    <w:link w:val="Footer"/>
    <w:uiPriority w:val="99"/>
    <w:rsid w:val="00BB40F4"/>
  </w:style>
  <w:style w:type="character" w:styleId="FollowedHyperlink">
    <w:name w:val="FollowedHyperlink"/>
    <w:uiPriority w:val="99"/>
    <w:semiHidden/>
    <w:unhideWhenUsed/>
    <w:rsid w:val="00CD5027"/>
    <w:rPr>
      <w:color w:val="954F72"/>
      <w:u w:val="single"/>
    </w:rPr>
  </w:style>
  <w:style w:type="paragraph" w:styleId="Revision">
    <w:name w:val="Revision"/>
    <w:hidden/>
    <w:uiPriority w:val="99"/>
    <w:semiHidden/>
    <w:rsid w:val="006A3FED"/>
    <w:rPr>
      <w:sz w:val="22"/>
      <w:szCs w:val="22"/>
      <w:lang w:eastAsia="en-US"/>
    </w:rPr>
  </w:style>
  <w:style w:type="paragraph" w:customStyle="1" w:styleId="Default">
    <w:name w:val="Default"/>
    <w:rsid w:val="006A3FED"/>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39"/>
    <w:rsid w:val="00046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02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link w:val="HTMLPreformatted"/>
    <w:uiPriority w:val="99"/>
    <w:rsid w:val="002020FF"/>
    <w:rPr>
      <w:rFonts w:ascii="Courier New" w:eastAsia="Times New Roman" w:hAnsi="Courier New" w:cs="Courier New"/>
    </w:rPr>
  </w:style>
  <w:style w:type="character" w:styleId="UnresolvedMention">
    <w:name w:val="Unresolved Mention"/>
    <w:uiPriority w:val="99"/>
    <w:semiHidden/>
    <w:unhideWhenUsed/>
    <w:rsid w:val="000105DD"/>
    <w:rPr>
      <w:color w:val="808080"/>
      <w:shd w:val="clear" w:color="auto" w:fill="E6E6E6"/>
    </w:rPr>
  </w:style>
  <w:style w:type="paragraph" w:styleId="BodyText">
    <w:name w:val="Body Text"/>
    <w:basedOn w:val="Normal"/>
    <w:link w:val="BodyTextChar"/>
    <w:rsid w:val="00684617"/>
    <w:pPr>
      <w:spacing w:after="140" w:line="288" w:lineRule="auto"/>
    </w:pPr>
    <w:rPr>
      <w:rFonts w:ascii="Times New Roman" w:eastAsia="Times New Roman" w:hAnsi="Times New Roman"/>
      <w:bCs/>
      <w:color w:val="000000"/>
      <w:shd w:val="clear" w:color="auto" w:fill="FFFFFF"/>
      <w:lang w:eastAsia="pt-BR"/>
    </w:rPr>
  </w:style>
  <w:style w:type="character" w:customStyle="1" w:styleId="BodyTextChar">
    <w:name w:val="Body Text Char"/>
    <w:link w:val="BodyText"/>
    <w:rsid w:val="00684617"/>
    <w:rPr>
      <w:rFonts w:ascii="Times New Roman" w:eastAsia="Times New Roman" w:hAnsi="Times New Roman"/>
      <w:bCs/>
      <w:color w:val="000000"/>
      <w:sz w:val="22"/>
      <w:szCs w:val="22"/>
    </w:rPr>
  </w:style>
  <w:style w:type="paragraph" w:styleId="Title">
    <w:name w:val="Title"/>
    <w:basedOn w:val="Normal"/>
    <w:next w:val="Normal"/>
    <w:link w:val="TitleChar"/>
    <w:uiPriority w:val="10"/>
    <w:qFormat/>
    <w:rsid w:val="00B03E3E"/>
    <w:pPr>
      <w:spacing w:before="240" w:after="60"/>
      <w:outlineLvl w:val="0"/>
    </w:pPr>
    <w:rPr>
      <w:rFonts w:ascii="Arial" w:eastAsia="Times New Roman" w:hAnsi="Arial"/>
      <w:b/>
      <w:bCs/>
      <w:kern w:val="28"/>
      <w:sz w:val="24"/>
      <w:szCs w:val="32"/>
    </w:rPr>
  </w:style>
  <w:style w:type="character" w:customStyle="1" w:styleId="TitleChar">
    <w:name w:val="Title Char"/>
    <w:link w:val="Title"/>
    <w:uiPriority w:val="10"/>
    <w:rsid w:val="00B03E3E"/>
    <w:rPr>
      <w:rFonts w:ascii="Arial" w:eastAsia="Times New Roman" w:hAnsi="Arial" w:cs="Times New Roman"/>
      <w:b/>
      <w:bCs/>
      <w:kern w:val="28"/>
      <w:sz w:val="24"/>
      <w:szCs w:val="32"/>
      <w:lang w:eastAsia="en-US"/>
    </w:rPr>
  </w:style>
  <w:style w:type="paragraph" w:styleId="Subtitle">
    <w:name w:val="Subtitle"/>
    <w:basedOn w:val="Normal"/>
    <w:next w:val="Normal"/>
    <w:link w:val="SubtitleChar"/>
    <w:uiPriority w:val="11"/>
    <w:qFormat/>
    <w:rsid w:val="00B03E3E"/>
    <w:pPr>
      <w:spacing w:after="60"/>
      <w:outlineLvl w:val="1"/>
    </w:pPr>
    <w:rPr>
      <w:rFonts w:ascii="Arial" w:eastAsia="Times New Roman" w:hAnsi="Arial"/>
      <w:b/>
      <w:sz w:val="24"/>
      <w:szCs w:val="24"/>
    </w:rPr>
  </w:style>
  <w:style w:type="character" w:customStyle="1" w:styleId="SubtitleChar">
    <w:name w:val="Subtitle Char"/>
    <w:link w:val="Subtitle"/>
    <w:uiPriority w:val="11"/>
    <w:rsid w:val="00B03E3E"/>
    <w:rPr>
      <w:rFonts w:ascii="Arial" w:eastAsia="Times New Roman" w:hAnsi="Arial" w:cs="Times New Roman"/>
      <w:b/>
      <w:sz w:val="24"/>
      <w:szCs w:val="24"/>
      <w:lang w:eastAsia="en-US"/>
    </w:rPr>
  </w:style>
  <w:style w:type="character" w:styleId="SubtleEmphasis">
    <w:name w:val="Subtle Emphasis"/>
    <w:uiPriority w:val="19"/>
    <w:qFormat/>
    <w:rsid w:val="00B03E3E"/>
    <w:rPr>
      <w:rFonts w:ascii="Arial" w:hAnsi="Arial"/>
      <w:i/>
      <w:iCs/>
      <w:color w:val="404040"/>
      <w:sz w:val="24"/>
    </w:rPr>
  </w:style>
  <w:style w:type="paragraph" w:customStyle="1" w:styleId="Title2">
    <w:name w:val="Title 2"/>
    <w:basedOn w:val="Title"/>
    <w:link w:val="Title2Char"/>
    <w:qFormat/>
    <w:rsid w:val="00854BB2"/>
    <w:pPr>
      <w:jc w:val="center"/>
    </w:pPr>
    <w:rPr>
      <w:lang w:val="en-US"/>
    </w:rPr>
  </w:style>
  <w:style w:type="paragraph" w:styleId="TOCHeading">
    <w:name w:val="TOC Heading"/>
    <w:basedOn w:val="Heading1"/>
    <w:next w:val="Normal"/>
    <w:uiPriority w:val="39"/>
    <w:unhideWhenUsed/>
    <w:qFormat/>
    <w:rsid w:val="001307FB"/>
    <w:pPr>
      <w:keepNext/>
      <w:keepLines/>
      <w:spacing w:before="240" w:beforeAutospacing="0" w:after="0" w:afterAutospacing="0" w:line="259" w:lineRule="auto"/>
      <w:outlineLvl w:val="9"/>
    </w:pPr>
    <w:rPr>
      <w:rFonts w:ascii="Calibri Light" w:hAnsi="Calibri Light"/>
      <w:b w:val="0"/>
      <w:bCs w:val="0"/>
      <w:color w:val="2E74B5"/>
      <w:kern w:val="0"/>
      <w:sz w:val="32"/>
      <w:szCs w:val="32"/>
      <w:lang w:val="en-US" w:eastAsia="en-US"/>
    </w:rPr>
  </w:style>
  <w:style w:type="character" w:customStyle="1" w:styleId="Title2Char">
    <w:name w:val="Title 2 Char"/>
    <w:link w:val="Title2"/>
    <w:rsid w:val="00854BB2"/>
    <w:rPr>
      <w:rFonts w:ascii="Arial" w:eastAsia="Times New Roman" w:hAnsi="Arial" w:cs="Times New Roman"/>
      <w:b/>
      <w:bCs/>
      <w:kern w:val="28"/>
      <w:sz w:val="24"/>
      <w:szCs w:val="32"/>
      <w:lang w:val="en-US" w:eastAsia="en-US"/>
    </w:rPr>
  </w:style>
  <w:style w:type="paragraph" w:styleId="TOC1">
    <w:name w:val="toc 1"/>
    <w:basedOn w:val="Normal"/>
    <w:next w:val="Normal"/>
    <w:autoRedefine/>
    <w:uiPriority w:val="39"/>
    <w:unhideWhenUsed/>
    <w:rsid w:val="001307FB"/>
  </w:style>
  <w:style w:type="paragraph" w:styleId="TOC2">
    <w:name w:val="toc 2"/>
    <w:basedOn w:val="Normal"/>
    <w:next w:val="Normal"/>
    <w:autoRedefine/>
    <w:uiPriority w:val="39"/>
    <w:unhideWhenUsed/>
    <w:rsid w:val="001307FB"/>
    <w:pPr>
      <w:ind w:left="220"/>
    </w:pPr>
  </w:style>
  <w:style w:type="paragraph" w:styleId="TOC3">
    <w:name w:val="toc 3"/>
    <w:basedOn w:val="Normal"/>
    <w:next w:val="Normal"/>
    <w:autoRedefine/>
    <w:uiPriority w:val="39"/>
    <w:unhideWhenUsed/>
    <w:rsid w:val="006C25E0"/>
    <w:pPr>
      <w:ind w:left="440"/>
    </w:pPr>
  </w:style>
  <w:style w:type="paragraph" w:styleId="Caption">
    <w:name w:val="caption"/>
    <w:basedOn w:val="Normal"/>
    <w:next w:val="Normal"/>
    <w:uiPriority w:val="35"/>
    <w:unhideWhenUsed/>
    <w:qFormat/>
    <w:rsid w:val="00755917"/>
    <w:rPr>
      <w:b/>
      <w:bCs/>
      <w:sz w:val="20"/>
      <w:szCs w:val="20"/>
    </w:rPr>
  </w:style>
  <w:style w:type="paragraph" w:styleId="TableofFigures">
    <w:name w:val="table of figures"/>
    <w:basedOn w:val="Normal"/>
    <w:next w:val="Normal"/>
    <w:uiPriority w:val="99"/>
    <w:unhideWhenUsed/>
    <w:rsid w:val="00F46E43"/>
  </w:style>
  <w:style w:type="character" w:styleId="LineNumber">
    <w:name w:val="line number"/>
    <w:basedOn w:val="DefaultParagraphFont"/>
    <w:uiPriority w:val="99"/>
    <w:semiHidden/>
    <w:unhideWhenUsed/>
    <w:rsid w:val="00624402"/>
  </w:style>
  <w:style w:type="paragraph" w:customStyle="1" w:styleId="Body">
    <w:name w:val="Body"/>
    <w:basedOn w:val="Normal"/>
    <w:rsid w:val="00D22C5B"/>
    <w:pPr>
      <w:spacing w:after="240" w:line="240" w:lineRule="auto"/>
      <w:jc w:val="both"/>
    </w:pPr>
    <w:rPr>
      <w:rFonts w:ascii="Helvetica" w:eastAsia="Times New Roman" w:hAnsi="Helvetica"/>
      <w:sz w:val="20"/>
      <w:szCs w:val="20"/>
      <w:lang w:val="en-US"/>
    </w:rPr>
  </w:style>
  <w:style w:type="paragraph" w:customStyle="1" w:styleId="Author">
    <w:name w:val="Author"/>
    <w:basedOn w:val="Normal"/>
    <w:rsid w:val="00D22C5B"/>
    <w:pPr>
      <w:spacing w:after="0" w:line="280" w:lineRule="exact"/>
      <w:jc w:val="right"/>
    </w:pPr>
    <w:rPr>
      <w:rFonts w:ascii="Helvetica" w:eastAsia="Times New Roman" w:hAnsi="Helvetica"/>
      <w:b/>
      <w:sz w:val="24"/>
      <w:szCs w:val="20"/>
      <w:lang w:val="en-US"/>
    </w:rPr>
  </w:style>
  <w:style w:type="paragraph" w:customStyle="1" w:styleId="Affiliation">
    <w:name w:val="Affiliation"/>
    <w:basedOn w:val="Normal"/>
    <w:rsid w:val="00D22C5B"/>
    <w:pPr>
      <w:spacing w:after="240" w:line="240" w:lineRule="exact"/>
      <w:jc w:val="right"/>
    </w:pPr>
    <w:rPr>
      <w:rFonts w:ascii="Helvetica" w:eastAsia="Times New Roman" w:hAnsi="Helvetica"/>
      <w:sz w:val="20"/>
      <w:szCs w:val="20"/>
      <w:lang w:val="en-US"/>
    </w:rPr>
  </w:style>
  <w:style w:type="paragraph" w:customStyle="1" w:styleId="AbstHead">
    <w:name w:val="Abst Head"/>
    <w:basedOn w:val="Normal"/>
    <w:rsid w:val="00D22C5B"/>
    <w:pPr>
      <w:keepNext/>
      <w:spacing w:after="240" w:line="240" w:lineRule="auto"/>
    </w:pPr>
    <w:rPr>
      <w:rFonts w:ascii="Helvetica" w:eastAsia="Times New Roman" w:hAnsi="Helvetica"/>
      <w:b/>
      <w:caps/>
      <w:szCs w:val="20"/>
      <w:lang w:val="en-US"/>
    </w:rPr>
  </w:style>
  <w:style w:type="paragraph" w:styleId="FootnoteText">
    <w:name w:val="footnote text"/>
    <w:basedOn w:val="Normal"/>
    <w:link w:val="FootnoteTextChar"/>
    <w:uiPriority w:val="99"/>
    <w:semiHidden/>
    <w:unhideWhenUsed/>
    <w:rsid w:val="00D22C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2C5B"/>
    <w:rPr>
      <w:lang w:eastAsia="en-US"/>
    </w:rPr>
  </w:style>
  <w:style w:type="character" w:styleId="FootnoteReference">
    <w:name w:val="footnote reference"/>
    <w:basedOn w:val="DefaultParagraphFont"/>
    <w:uiPriority w:val="99"/>
    <w:semiHidden/>
    <w:unhideWhenUsed/>
    <w:rsid w:val="00D22C5B"/>
    <w:rPr>
      <w:vertAlign w:val="superscript"/>
    </w:rPr>
  </w:style>
  <w:style w:type="paragraph" w:customStyle="1" w:styleId="AcknHead">
    <w:name w:val="Ackn Head"/>
    <w:basedOn w:val="Normal"/>
    <w:rsid w:val="0090389F"/>
    <w:pPr>
      <w:keepNext/>
      <w:spacing w:after="240" w:line="240" w:lineRule="auto"/>
    </w:pPr>
    <w:rPr>
      <w:rFonts w:ascii="Helvetica" w:eastAsia="Times New Roman" w:hAnsi="Helvetica"/>
      <w:b/>
      <w:caps/>
      <w:szCs w:val="20"/>
      <w:lang w:val="en-US"/>
    </w:rPr>
  </w:style>
  <w:style w:type="paragraph" w:customStyle="1" w:styleId="ReferHead">
    <w:name w:val="Refer Head"/>
    <w:basedOn w:val="Normal"/>
    <w:rsid w:val="0090389F"/>
    <w:pPr>
      <w:keepNext/>
      <w:spacing w:after="240" w:line="240" w:lineRule="auto"/>
    </w:pPr>
    <w:rPr>
      <w:rFonts w:ascii="Helvetica" w:eastAsia="Times New Roman" w:hAnsi="Helvetica"/>
      <w:b/>
      <w:caps/>
      <w:szCs w:val="20"/>
      <w:lang w:val="en-US"/>
    </w:rPr>
  </w:style>
  <w:style w:type="paragraph" w:customStyle="1" w:styleId="DefAcrHead">
    <w:name w:val="DefAcrHead"/>
    <w:basedOn w:val="Normal"/>
    <w:rsid w:val="0090389F"/>
    <w:pPr>
      <w:keepNext/>
      <w:spacing w:after="240" w:line="240" w:lineRule="auto"/>
    </w:pPr>
    <w:rPr>
      <w:rFonts w:ascii="Helvetica" w:eastAsia="Times New Roman" w:hAnsi="Helvetica"/>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167">
      <w:bodyDiv w:val="1"/>
      <w:marLeft w:val="0"/>
      <w:marRight w:val="0"/>
      <w:marTop w:val="0"/>
      <w:marBottom w:val="0"/>
      <w:divBdr>
        <w:top w:val="none" w:sz="0" w:space="0" w:color="auto"/>
        <w:left w:val="none" w:sz="0" w:space="0" w:color="auto"/>
        <w:bottom w:val="none" w:sz="0" w:space="0" w:color="auto"/>
        <w:right w:val="none" w:sz="0" w:space="0" w:color="auto"/>
      </w:divBdr>
    </w:div>
    <w:div w:id="6367002">
      <w:bodyDiv w:val="1"/>
      <w:marLeft w:val="0"/>
      <w:marRight w:val="0"/>
      <w:marTop w:val="0"/>
      <w:marBottom w:val="0"/>
      <w:divBdr>
        <w:top w:val="none" w:sz="0" w:space="0" w:color="auto"/>
        <w:left w:val="none" w:sz="0" w:space="0" w:color="auto"/>
        <w:bottom w:val="none" w:sz="0" w:space="0" w:color="auto"/>
        <w:right w:val="none" w:sz="0" w:space="0" w:color="auto"/>
      </w:divBdr>
    </w:div>
    <w:div w:id="7760223">
      <w:bodyDiv w:val="1"/>
      <w:marLeft w:val="0"/>
      <w:marRight w:val="0"/>
      <w:marTop w:val="0"/>
      <w:marBottom w:val="0"/>
      <w:divBdr>
        <w:top w:val="none" w:sz="0" w:space="0" w:color="auto"/>
        <w:left w:val="none" w:sz="0" w:space="0" w:color="auto"/>
        <w:bottom w:val="none" w:sz="0" w:space="0" w:color="auto"/>
        <w:right w:val="none" w:sz="0" w:space="0" w:color="auto"/>
      </w:divBdr>
    </w:div>
    <w:div w:id="15426164">
      <w:bodyDiv w:val="1"/>
      <w:marLeft w:val="0"/>
      <w:marRight w:val="0"/>
      <w:marTop w:val="0"/>
      <w:marBottom w:val="0"/>
      <w:divBdr>
        <w:top w:val="none" w:sz="0" w:space="0" w:color="auto"/>
        <w:left w:val="none" w:sz="0" w:space="0" w:color="auto"/>
        <w:bottom w:val="none" w:sz="0" w:space="0" w:color="auto"/>
        <w:right w:val="none" w:sz="0" w:space="0" w:color="auto"/>
      </w:divBdr>
    </w:div>
    <w:div w:id="22023660">
      <w:bodyDiv w:val="1"/>
      <w:marLeft w:val="0"/>
      <w:marRight w:val="0"/>
      <w:marTop w:val="0"/>
      <w:marBottom w:val="0"/>
      <w:divBdr>
        <w:top w:val="none" w:sz="0" w:space="0" w:color="auto"/>
        <w:left w:val="none" w:sz="0" w:space="0" w:color="auto"/>
        <w:bottom w:val="none" w:sz="0" w:space="0" w:color="auto"/>
        <w:right w:val="none" w:sz="0" w:space="0" w:color="auto"/>
      </w:divBdr>
    </w:div>
    <w:div w:id="48843411">
      <w:bodyDiv w:val="1"/>
      <w:marLeft w:val="0"/>
      <w:marRight w:val="0"/>
      <w:marTop w:val="0"/>
      <w:marBottom w:val="0"/>
      <w:divBdr>
        <w:top w:val="none" w:sz="0" w:space="0" w:color="auto"/>
        <w:left w:val="none" w:sz="0" w:space="0" w:color="auto"/>
        <w:bottom w:val="none" w:sz="0" w:space="0" w:color="auto"/>
        <w:right w:val="none" w:sz="0" w:space="0" w:color="auto"/>
      </w:divBdr>
    </w:div>
    <w:div w:id="66654379">
      <w:bodyDiv w:val="1"/>
      <w:marLeft w:val="0"/>
      <w:marRight w:val="0"/>
      <w:marTop w:val="0"/>
      <w:marBottom w:val="0"/>
      <w:divBdr>
        <w:top w:val="none" w:sz="0" w:space="0" w:color="auto"/>
        <w:left w:val="none" w:sz="0" w:space="0" w:color="auto"/>
        <w:bottom w:val="none" w:sz="0" w:space="0" w:color="auto"/>
        <w:right w:val="none" w:sz="0" w:space="0" w:color="auto"/>
      </w:divBdr>
    </w:div>
    <w:div w:id="71587654">
      <w:bodyDiv w:val="1"/>
      <w:marLeft w:val="0"/>
      <w:marRight w:val="0"/>
      <w:marTop w:val="0"/>
      <w:marBottom w:val="0"/>
      <w:divBdr>
        <w:top w:val="none" w:sz="0" w:space="0" w:color="auto"/>
        <w:left w:val="none" w:sz="0" w:space="0" w:color="auto"/>
        <w:bottom w:val="none" w:sz="0" w:space="0" w:color="auto"/>
        <w:right w:val="none" w:sz="0" w:space="0" w:color="auto"/>
      </w:divBdr>
    </w:div>
    <w:div w:id="71895231">
      <w:bodyDiv w:val="1"/>
      <w:marLeft w:val="0"/>
      <w:marRight w:val="0"/>
      <w:marTop w:val="0"/>
      <w:marBottom w:val="0"/>
      <w:divBdr>
        <w:top w:val="none" w:sz="0" w:space="0" w:color="auto"/>
        <w:left w:val="none" w:sz="0" w:space="0" w:color="auto"/>
        <w:bottom w:val="none" w:sz="0" w:space="0" w:color="auto"/>
        <w:right w:val="none" w:sz="0" w:space="0" w:color="auto"/>
      </w:divBdr>
    </w:div>
    <w:div w:id="80874046">
      <w:bodyDiv w:val="1"/>
      <w:marLeft w:val="0"/>
      <w:marRight w:val="0"/>
      <w:marTop w:val="0"/>
      <w:marBottom w:val="0"/>
      <w:divBdr>
        <w:top w:val="none" w:sz="0" w:space="0" w:color="auto"/>
        <w:left w:val="none" w:sz="0" w:space="0" w:color="auto"/>
        <w:bottom w:val="none" w:sz="0" w:space="0" w:color="auto"/>
        <w:right w:val="none" w:sz="0" w:space="0" w:color="auto"/>
      </w:divBdr>
    </w:div>
    <w:div w:id="84695497">
      <w:bodyDiv w:val="1"/>
      <w:marLeft w:val="0"/>
      <w:marRight w:val="0"/>
      <w:marTop w:val="0"/>
      <w:marBottom w:val="0"/>
      <w:divBdr>
        <w:top w:val="none" w:sz="0" w:space="0" w:color="auto"/>
        <w:left w:val="none" w:sz="0" w:space="0" w:color="auto"/>
        <w:bottom w:val="none" w:sz="0" w:space="0" w:color="auto"/>
        <w:right w:val="none" w:sz="0" w:space="0" w:color="auto"/>
      </w:divBdr>
    </w:div>
    <w:div w:id="113981577">
      <w:bodyDiv w:val="1"/>
      <w:marLeft w:val="0"/>
      <w:marRight w:val="0"/>
      <w:marTop w:val="0"/>
      <w:marBottom w:val="0"/>
      <w:divBdr>
        <w:top w:val="none" w:sz="0" w:space="0" w:color="auto"/>
        <w:left w:val="none" w:sz="0" w:space="0" w:color="auto"/>
        <w:bottom w:val="none" w:sz="0" w:space="0" w:color="auto"/>
        <w:right w:val="none" w:sz="0" w:space="0" w:color="auto"/>
      </w:divBdr>
    </w:div>
    <w:div w:id="117844311">
      <w:bodyDiv w:val="1"/>
      <w:marLeft w:val="0"/>
      <w:marRight w:val="0"/>
      <w:marTop w:val="0"/>
      <w:marBottom w:val="0"/>
      <w:divBdr>
        <w:top w:val="none" w:sz="0" w:space="0" w:color="auto"/>
        <w:left w:val="none" w:sz="0" w:space="0" w:color="auto"/>
        <w:bottom w:val="none" w:sz="0" w:space="0" w:color="auto"/>
        <w:right w:val="none" w:sz="0" w:space="0" w:color="auto"/>
      </w:divBdr>
    </w:div>
    <w:div w:id="120273448">
      <w:bodyDiv w:val="1"/>
      <w:marLeft w:val="0"/>
      <w:marRight w:val="0"/>
      <w:marTop w:val="0"/>
      <w:marBottom w:val="0"/>
      <w:divBdr>
        <w:top w:val="none" w:sz="0" w:space="0" w:color="auto"/>
        <w:left w:val="none" w:sz="0" w:space="0" w:color="auto"/>
        <w:bottom w:val="none" w:sz="0" w:space="0" w:color="auto"/>
        <w:right w:val="none" w:sz="0" w:space="0" w:color="auto"/>
      </w:divBdr>
    </w:div>
    <w:div w:id="127744883">
      <w:bodyDiv w:val="1"/>
      <w:marLeft w:val="0"/>
      <w:marRight w:val="0"/>
      <w:marTop w:val="0"/>
      <w:marBottom w:val="0"/>
      <w:divBdr>
        <w:top w:val="none" w:sz="0" w:space="0" w:color="auto"/>
        <w:left w:val="none" w:sz="0" w:space="0" w:color="auto"/>
        <w:bottom w:val="none" w:sz="0" w:space="0" w:color="auto"/>
        <w:right w:val="none" w:sz="0" w:space="0" w:color="auto"/>
      </w:divBdr>
    </w:div>
    <w:div w:id="130948753">
      <w:bodyDiv w:val="1"/>
      <w:marLeft w:val="0"/>
      <w:marRight w:val="0"/>
      <w:marTop w:val="0"/>
      <w:marBottom w:val="0"/>
      <w:divBdr>
        <w:top w:val="none" w:sz="0" w:space="0" w:color="auto"/>
        <w:left w:val="none" w:sz="0" w:space="0" w:color="auto"/>
        <w:bottom w:val="none" w:sz="0" w:space="0" w:color="auto"/>
        <w:right w:val="none" w:sz="0" w:space="0" w:color="auto"/>
      </w:divBdr>
      <w:divsChild>
        <w:div w:id="328758607">
          <w:marLeft w:val="0"/>
          <w:marRight w:val="0"/>
          <w:marTop w:val="0"/>
          <w:marBottom w:val="0"/>
          <w:divBdr>
            <w:top w:val="none" w:sz="0" w:space="0" w:color="auto"/>
            <w:left w:val="none" w:sz="0" w:space="0" w:color="auto"/>
            <w:bottom w:val="none" w:sz="0" w:space="0" w:color="auto"/>
            <w:right w:val="none" w:sz="0" w:space="0" w:color="auto"/>
          </w:divBdr>
        </w:div>
      </w:divsChild>
    </w:div>
    <w:div w:id="135803496">
      <w:bodyDiv w:val="1"/>
      <w:marLeft w:val="0"/>
      <w:marRight w:val="0"/>
      <w:marTop w:val="0"/>
      <w:marBottom w:val="0"/>
      <w:divBdr>
        <w:top w:val="none" w:sz="0" w:space="0" w:color="auto"/>
        <w:left w:val="none" w:sz="0" w:space="0" w:color="auto"/>
        <w:bottom w:val="none" w:sz="0" w:space="0" w:color="auto"/>
        <w:right w:val="none" w:sz="0" w:space="0" w:color="auto"/>
      </w:divBdr>
    </w:div>
    <w:div w:id="136076754">
      <w:bodyDiv w:val="1"/>
      <w:marLeft w:val="0"/>
      <w:marRight w:val="0"/>
      <w:marTop w:val="0"/>
      <w:marBottom w:val="0"/>
      <w:divBdr>
        <w:top w:val="none" w:sz="0" w:space="0" w:color="auto"/>
        <w:left w:val="none" w:sz="0" w:space="0" w:color="auto"/>
        <w:bottom w:val="none" w:sz="0" w:space="0" w:color="auto"/>
        <w:right w:val="none" w:sz="0" w:space="0" w:color="auto"/>
      </w:divBdr>
      <w:divsChild>
        <w:div w:id="863058039">
          <w:marLeft w:val="0"/>
          <w:marRight w:val="0"/>
          <w:marTop w:val="0"/>
          <w:marBottom w:val="0"/>
          <w:divBdr>
            <w:top w:val="none" w:sz="0" w:space="0" w:color="auto"/>
            <w:left w:val="none" w:sz="0" w:space="0" w:color="auto"/>
            <w:bottom w:val="none" w:sz="0" w:space="0" w:color="auto"/>
            <w:right w:val="none" w:sz="0" w:space="0" w:color="auto"/>
          </w:divBdr>
          <w:divsChild>
            <w:div w:id="465660643">
              <w:marLeft w:val="0"/>
              <w:marRight w:val="0"/>
              <w:marTop w:val="0"/>
              <w:marBottom w:val="0"/>
              <w:divBdr>
                <w:top w:val="none" w:sz="0" w:space="0" w:color="auto"/>
                <w:left w:val="none" w:sz="0" w:space="0" w:color="auto"/>
                <w:bottom w:val="none" w:sz="0" w:space="0" w:color="auto"/>
                <w:right w:val="none" w:sz="0" w:space="0" w:color="auto"/>
              </w:divBdr>
              <w:divsChild>
                <w:div w:id="35281553">
                  <w:marLeft w:val="0"/>
                  <w:marRight w:val="0"/>
                  <w:marTop w:val="240"/>
                  <w:marBottom w:val="240"/>
                  <w:divBdr>
                    <w:top w:val="single" w:sz="12" w:space="0" w:color="EBEBEB"/>
                    <w:left w:val="none" w:sz="0" w:space="0" w:color="auto"/>
                    <w:bottom w:val="single" w:sz="12" w:space="0" w:color="EBEBEB"/>
                    <w:right w:val="none" w:sz="0" w:space="0" w:color="auto"/>
                  </w:divBdr>
                  <w:divsChild>
                    <w:div w:id="1894149581">
                      <w:marLeft w:val="0"/>
                      <w:marRight w:val="0"/>
                      <w:marTop w:val="240"/>
                      <w:marBottom w:val="240"/>
                      <w:divBdr>
                        <w:top w:val="none" w:sz="0" w:space="0" w:color="auto"/>
                        <w:left w:val="none" w:sz="0" w:space="0" w:color="auto"/>
                        <w:bottom w:val="none" w:sz="0" w:space="0" w:color="auto"/>
                        <w:right w:val="none" w:sz="0" w:space="0" w:color="auto"/>
                      </w:divBdr>
                    </w:div>
                    <w:div w:id="1972127731">
                      <w:marLeft w:val="360"/>
                      <w:marRight w:val="360"/>
                      <w:marTop w:val="240"/>
                      <w:marBottom w:val="300"/>
                      <w:divBdr>
                        <w:top w:val="none" w:sz="0" w:space="0" w:color="auto"/>
                        <w:left w:val="none" w:sz="0" w:space="0" w:color="auto"/>
                        <w:bottom w:val="none" w:sz="0" w:space="0" w:color="auto"/>
                        <w:right w:val="none" w:sz="0" w:space="0" w:color="auto"/>
                      </w:divBdr>
                    </w:div>
                  </w:divsChild>
                </w:div>
              </w:divsChild>
            </w:div>
            <w:div w:id="1723862947">
              <w:marLeft w:val="0"/>
              <w:marRight w:val="0"/>
              <w:marTop w:val="0"/>
              <w:marBottom w:val="0"/>
              <w:divBdr>
                <w:top w:val="none" w:sz="0" w:space="0" w:color="auto"/>
                <w:left w:val="none" w:sz="0" w:space="0" w:color="auto"/>
                <w:bottom w:val="none" w:sz="0" w:space="0" w:color="auto"/>
                <w:right w:val="none" w:sz="0" w:space="0" w:color="auto"/>
              </w:divBdr>
              <w:divsChild>
                <w:div w:id="2101873747">
                  <w:marLeft w:val="360"/>
                  <w:marRight w:val="360"/>
                  <w:marTop w:val="0"/>
                  <w:marBottom w:val="300"/>
                  <w:divBdr>
                    <w:top w:val="none" w:sz="0" w:space="0" w:color="auto"/>
                    <w:left w:val="none" w:sz="0" w:space="0" w:color="auto"/>
                    <w:bottom w:val="none" w:sz="0" w:space="0" w:color="auto"/>
                    <w:right w:val="none" w:sz="0" w:space="0" w:color="auto"/>
                  </w:divBdr>
                </w:div>
              </w:divsChild>
            </w:div>
          </w:divsChild>
        </w:div>
        <w:div w:id="1117211954">
          <w:marLeft w:val="0"/>
          <w:marRight w:val="0"/>
          <w:marTop w:val="0"/>
          <w:marBottom w:val="0"/>
          <w:divBdr>
            <w:top w:val="none" w:sz="0" w:space="0" w:color="auto"/>
            <w:left w:val="none" w:sz="0" w:space="0" w:color="auto"/>
            <w:bottom w:val="none" w:sz="0" w:space="0" w:color="auto"/>
            <w:right w:val="none" w:sz="0" w:space="0" w:color="auto"/>
          </w:divBdr>
          <w:divsChild>
            <w:div w:id="489490374">
              <w:marLeft w:val="0"/>
              <w:marRight w:val="0"/>
              <w:marTop w:val="240"/>
              <w:marBottom w:val="240"/>
              <w:divBdr>
                <w:top w:val="single" w:sz="12" w:space="0" w:color="EBEBEB"/>
                <w:left w:val="none" w:sz="0" w:space="0" w:color="auto"/>
                <w:bottom w:val="single" w:sz="12" w:space="0" w:color="EBEBEB"/>
                <w:right w:val="none" w:sz="0" w:space="0" w:color="auto"/>
              </w:divBdr>
              <w:divsChild>
                <w:div w:id="1095323801">
                  <w:marLeft w:val="0"/>
                  <w:marRight w:val="0"/>
                  <w:marTop w:val="240"/>
                  <w:marBottom w:val="240"/>
                  <w:divBdr>
                    <w:top w:val="none" w:sz="0" w:space="0" w:color="auto"/>
                    <w:left w:val="none" w:sz="0" w:space="0" w:color="auto"/>
                    <w:bottom w:val="none" w:sz="0" w:space="0" w:color="auto"/>
                    <w:right w:val="none" w:sz="0" w:space="0" w:color="auto"/>
                  </w:divBdr>
                </w:div>
                <w:div w:id="1212422771">
                  <w:marLeft w:val="360"/>
                  <w:marRight w:val="360"/>
                  <w:marTop w:val="240"/>
                  <w:marBottom w:val="300"/>
                  <w:divBdr>
                    <w:top w:val="none" w:sz="0" w:space="0" w:color="auto"/>
                    <w:left w:val="none" w:sz="0" w:space="0" w:color="auto"/>
                    <w:bottom w:val="none" w:sz="0" w:space="0" w:color="auto"/>
                    <w:right w:val="none" w:sz="0" w:space="0" w:color="auto"/>
                  </w:divBdr>
                </w:div>
              </w:divsChild>
            </w:div>
          </w:divsChild>
        </w:div>
      </w:divsChild>
    </w:div>
    <w:div w:id="142240909">
      <w:bodyDiv w:val="1"/>
      <w:marLeft w:val="0"/>
      <w:marRight w:val="0"/>
      <w:marTop w:val="0"/>
      <w:marBottom w:val="0"/>
      <w:divBdr>
        <w:top w:val="none" w:sz="0" w:space="0" w:color="auto"/>
        <w:left w:val="none" w:sz="0" w:space="0" w:color="auto"/>
        <w:bottom w:val="none" w:sz="0" w:space="0" w:color="auto"/>
        <w:right w:val="none" w:sz="0" w:space="0" w:color="auto"/>
      </w:divBdr>
      <w:divsChild>
        <w:div w:id="562720799">
          <w:marLeft w:val="0"/>
          <w:marRight w:val="0"/>
          <w:marTop w:val="0"/>
          <w:marBottom w:val="0"/>
          <w:divBdr>
            <w:top w:val="none" w:sz="0" w:space="0" w:color="auto"/>
            <w:left w:val="none" w:sz="0" w:space="0" w:color="auto"/>
            <w:bottom w:val="none" w:sz="0" w:space="0" w:color="auto"/>
            <w:right w:val="none" w:sz="0" w:space="0" w:color="auto"/>
          </w:divBdr>
        </w:div>
      </w:divsChild>
    </w:div>
    <w:div w:id="162353958">
      <w:bodyDiv w:val="1"/>
      <w:marLeft w:val="0"/>
      <w:marRight w:val="0"/>
      <w:marTop w:val="0"/>
      <w:marBottom w:val="0"/>
      <w:divBdr>
        <w:top w:val="none" w:sz="0" w:space="0" w:color="auto"/>
        <w:left w:val="none" w:sz="0" w:space="0" w:color="auto"/>
        <w:bottom w:val="none" w:sz="0" w:space="0" w:color="auto"/>
        <w:right w:val="none" w:sz="0" w:space="0" w:color="auto"/>
      </w:divBdr>
    </w:div>
    <w:div w:id="169568463">
      <w:bodyDiv w:val="1"/>
      <w:marLeft w:val="0"/>
      <w:marRight w:val="0"/>
      <w:marTop w:val="0"/>
      <w:marBottom w:val="0"/>
      <w:divBdr>
        <w:top w:val="none" w:sz="0" w:space="0" w:color="auto"/>
        <w:left w:val="none" w:sz="0" w:space="0" w:color="auto"/>
        <w:bottom w:val="none" w:sz="0" w:space="0" w:color="auto"/>
        <w:right w:val="none" w:sz="0" w:space="0" w:color="auto"/>
      </w:divBdr>
    </w:div>
    <w:div w:id="175190892">
      <w:bodyDiv w:val="1"/>
      <w:marLeft w:val="0"/>
      <w:marRight w:val="0"/>
      <w:marTop w:val="0"/>
      <w:marBottom w:val="0"/>
      <w:divBdr>
        <w:top w:val="none" w:sz="0" w:space="0" w:color="auto"/>
        <w:left w:val="none" w:sz="0" w:space="0" w:color="auto"/>
        <w:bottom w:val="none" w:sz="0" w:space="0" w:color="auto"/>
        <w:right w:val="none" w:sz="0" w:space="0" w:color="auto"/>
      </w:divBdr>
      <w:divsChild>
        <w:div w:id="13923329">
          <w:marLeft w:val="0"/>
          <w:marRight w:val="0"/>
          <w:marTop w:val="0"/>
          <w:marBottom w:val="0"/>
          <w:divBdr>
            <w:top w:val="none" w:sz="0" w:space="0" w:color="auto"/>
            <w:left w:val="none" w:sz="0" w:space="0" w:color="auto"/>
            <w:bottom w:val="none" w:sz="0" w:space="0" w:color="auto"/>
            <w:right w:val="none" w:sz="0" w:space="0" w:color="auto"/>
          </w:divBdr>
          <w:divsChild>
            <w:div w:id="45766021">
              <w:marLeft w:val="360"/>
              <w:marRight w:val="360"/>
              <w:marTop w:val="0"/>
              <w:marBottom w:val="300"/>
              <w:divBdr>
                <w:top w:val="none" w:sz="0" w:space="0" w:color="auto"/>
                <w:left w:val="none" w:sz="0" w:space="0" w:color="auto"/>
                <w:bottom w:val="none" w:sz="0" w:space="0" w:color="auto"/>
                <w:right w:val="none" w:sz="0" w:space="0" w:color="auto"/>
              </w:divBdr>
            </w:div>
          </w:divsChild>
        </w:div>
        <w:div w:id="1190875909">
          <w:marLeft w:val="0"/>
          <w:marRight w:val="0"/>
          <w:marTop w:val="0"/>
          <w:marBottom w:val="0"/>
          <w:divBdr>
            <w:top w:val="none" w:sz="0" w:space="0" w:color="auto"/>
            <w:left w:val="none" w:sz="0" w:space="0" w:color="auto"/>
            <w:bottom w:val="none" w:sz="0" w:space="0" w:color="auto"/>
            <w:right w:val="none" w:sz="0" w:space="0" w:color="auto"/>
          </w:divBdr>
          <w:divsChild>
            <w:div w:id="1061715195">
              <w:marLeft w:val="360"/>
              <w:marRight w:val="360"/>
              <w:marTop w:val="0"/>
              <w:marBottom w:val="300"/>
              <w:divBdr>
                <w:top w:val="none" w:sz="0" w:space="0" w:color="auto"/>
                <w:left w:val="none" w:sz="0" w:space="0" w:color="auto"/>
                <w:bottom w:val="none" w:sz="0" w:space="0" w:color="auto"/>
                <w:right w:val="none" w:sz="0" w:space="0" w:color="auto"/>
              </w:divBdr>
            </w:div>
          </w:divsChild>
        </w:div>
      </w:divsChild>
    </w:div>
    <w:div w:id="192378876">
      <w:bodyDiv w:val="1"/>
      <w:marLeft w:val="0"/>
      <w:marRight w:val="0"/>
      <w:marTop w:val="0"/>
      <w:marBottom w:val="0"/>
      <w:divBdr>
        <w:top w:val="none" w:sz="0" w:space="0" w:color="auto"/>
        <w:left w:val="none" w:sz="0" w:space="0" w:color="auto"/>
        <w:bottom w:val="none" w:sz="0" w:space="0" w:color="auto"/>
        <w:right w:val="none" w:sz="0" w:space="0" w:color="auto"/>
      </w:divBdr>
    </w:div>
    <w:div w:id="206569886">
      <w:bodyDiv w:val="1"/>
      <w:marLeft w:val="0"/>
      <w:marRight w:val="0"/>
      <w:marTop w:val="0"/>
      <w:marBottom w:val="0"/>
      <w:divBdr>
        <w:top w:val="none" w:sz="0" w:space="0" w:color="auto"/>
        <w:left w:val="none" w:sz="0" w:space="0" w:color="auto"/>
        <w:bottom w:val="none" w:sz="0" w:space="0" w:color="auto"/>
        <w:right w:val="none" w:sz="0" w:space="0" w:color="auto"/>
      </w:divBdr>
    </w:div>
    <w:div w:id="208154414">
      <w:bodyDiv w:val="1"/>
      <w:marLeft w:val="0"/>
      <w:marRight w:val="0"/>
      <w:marTop w:val="0"/>
      <w:marBottom w:val="0"/>
      <w:divBdr>
        <w:top w:val="none" w:sz="0" w:space="0" w:color="auto"/>
        <w:left w:val="none" w:sz="0" w:space="0" w:color="auto"/>
        <w:bottom w:val="none" w:sz="0" w:space="0" w:color="auto"/>
        <w:right w:val="none" w:sz="0" w:space="0" w:color="auto"/>
      </w:divBdr>
    </w:div>
    <w:div w:id="215942830">
      <w:bodyDiv w:val="1"/>
      <w:marLeft w:val="0"/>
      <w:marRight w:val="0"/>
      <w:marTop w:val="0"/>
      <w:marBottom w:val="0"/>
      <w:divBdr>
        <w:top w:val="none" w:sz="0" w:space="0" w:color="auto"/>
        <w:left w:val="none" w:sz="0" w:space="0" w:color="auto"/>
        <w:bottom w:val="none" w:sz="0" w:space="0" w:color="auto"/>
        <w:right w:val="none" w:sz="0" w:space="0" w:color="auto"/>
      </w:divBdr>
    </w:div>
    <w:div w:id="216012957">
      <w:bodyDiv w:val="1"/>
      <w:marLeft w:val="0"/>
      <w:marRight w:val="0"/>
      <w:marTop w:val="0"/>
      <w:marBottom w:val="0"/>
      <w:divBdr>
        <w:top w:val="none" w:sz="0" w:space="0" w:color="auto"/>
        <w:left w:val="none" w:sz="0" w:space="0" w:color="auto"/>
        <w:bottom w:val="none" w:sz="0" w:space="0" w:color="auto"/>
        <w:right w:val="none" w:sz="0" w:space="0" w:color="auto"/>
      </w:divBdr>
    </w:div>
    <w:div w:id="216672130">
      <w:bodyDiv w:val="1"/>
      <w:marLeft w:val="0"/>
      <w:marRight w:val="0"/>
      <w:marTop w:val="0"/>
      <w:marBottom w:val="0"/>
      <w:divBdr>
        <w:top w:val="none" w:sz="0" w:space="0" w:color="auto"/>
        <w:left w:val="none" w:sz="0" w:space="0" w:color="auto"/>
        <w:bottom w:val="none" w:sz="0" w:space="0" w:color="auto"/>
        <w:right w:val="none" w:sz="0" w:space="0" w:color="auto"/>
      </w:divBdr>
    </w:div>
    <w:div w:id="217210103">
      <w:bodyDiv w:val="1"/>
      <w:marLeft w:val="0"/>
      <w:marRight w:val="0"/>
      <w:marTop w:val="0"/>
      <w:marBottom w:val="0"/>
      <w:divBdr>
        <w:top w:val="none" w:sz="0" w:space="0" w:color="auto"/>
        <w:left w:val="none" w:sz="0" w:space="0" w:color="auto"/>
        <w:bottom w:val="none" w:sz="0" w:space="0" w:color="auto"/>
        <w:right w:val="none" w:sz="0" w:space="0" w:color="auto"/>
      </w:divBdr>
      <w:divsChild>
        <w:div w:id="518156022">
          <w:marLeft w:val="0"/>
          <w:marRight w:val="0"/>
          <w:marTop w:val="0"/>
          <w:marBottom w:val="0"/>
          <w:divBdr>
            <w:top w:val="none" w:sz="0" w:space="0" w:color="auto"/>
            <w:left w:val="none" w:sz="0" w:space="0" w:color="auto"/>
            <w:bottom w:val="none" w:sz="0" w:space="0" w:color="auto"/>
            <w:right w:val="none" w:sz="0" w:space="0" w:color="auto"/>
          </w:divBdr>
        </w:div>
      </w:divsChild>
    </w:div>
    <w:div w:id="222764828">
      <w:bodyDiv w:val="1"/>
      <w:marLeft w:val="0"/>
      <w:marRight w:val="0"/>
      <w:marTop w:val="0"/>
      <w:marBottom w:val="0"/>
      <w:divBdr>
        <w:top w:val="none" w:sz="0" w:space="0" w:color="auto"/>
        <w:left w:val="none" w:sz="0" w:space="0" w:color="auto"/>
        <w:bottom w:val="none" w:sz="0" w:space="0" w:color="auto"/>
        <w:right w:val="none" w:sz="0" w:space="0" w:color="auto"/>
      </w:divBdr>
      <w:divsChild>
        <w:div w:id="1267812751">
          <w:marLeft w:val="0"/>
          <w:marRight w:val="0"/>
          <w:marTop w:val="0"/>
          <w:marBottom w:val="0"/>
          <w:divBdr>
            <w:top w:val="none" w:sz="0" w:space="0" w:color="auto"/>
            <w:left w:val="none" w:sz="0" w:space="0" w:color="auto"/>
            <w:bottom w:val="none" w:sz="0" w:space="0" w:color="auto"/>
            <w:right w:val="none" w:sz="0" w:space="0" w:color="auto"/>
          </w:divBdr>
          <w:divsChild>
            <w:div w:id="1132987184">
              <w:marLeft w:val="360"/>
              <w:marRight w:val="360"/>
              <w:marTop w:val="0"/>
              <w:marBottom w:val="300"/>
              <w:divBdr>
                <w:top w:val="none" w:sz="0" w:space="0" w:color="auto"/>
                <w:left w:val="none" w:sz="0" w:space="0" w:color="auto"/>
                <w:bottom w:val="none" w:sz="0" w:space="0" w:color="auto"/>
                <w:right w:val="none" w:sz="0" w:space="0" w:color="auto"/>
              </w:divBdr>
            </w:div>
          </w:divsChild>
        </w:div>
        <w:div w:id="2024237650">
          <w:marLeft w:val="0"/>
          <w:marRight w:val="0"/>
          <w:marTop w:val="0"/>
          <w:marBottom w:val="0"/>
          <w:divBdr>
            <w:top w:val="none" w:sz="0" w:space="0" w:color="auto"/>
            <w:left w:val="none" w:sz="0" w:space="0" w:color="auto"/>
            <w:bottom w:val="none" w:sz="0" w:space="0" w:color="auto"/>
            <w:right w:val="none" w:sz="0" w:space="0" w:color="auto"/>
          </w:divBdr>
          <w:divsChild>
            <w:div w:id="1657493510">
              <w:marLeft w:val="360"/>
              <w:marRight w:val="360"/>
              <w:marTop w:val="0"/>
              <w:marBottom w:val="300"/>
              <w:divBdr>
                <w:top w:val="none" w:sz="0" w:space="0" w:color="auto"/>
                <w:left w:val="none" w:sz="0" w:space="0" w:color="auto"/>
                <w:bottom w:val="none" w:sz="0" w:space="0" w:color="auto"/>
                <w:right w:val="none" w:sz="0" w:space="0" w:color="auto"/>
              </w:divBdr>
            </w:div>
          </w:divsChild>
        </w:div>
      </w:divsChild>
    </w:div>
    <w:div w:id="228270913">
      <w:bodyDiv w:val="1"/>
      <w:marLeft w:val="0"/>
      <w:marRight w:val="0"/>
      <w:marTop w:val="0"/>
      <w:marBottom w:val="0"/>
      <w:divBdr>
        <w:top w:val="none" w:sz="0" w:space="0" w:color="auto"/>
        <w:left w:val="none" w:sz="0" w:space="0" w:color="auto"/>
        <w:bottom w:val="none" w:sz="0" w:space="0" w:color="auto"/>
        <w:right w:val="none" w:sz="0" w:space="0" w:color="auto"/>
      </w:divBdr>
    </w:div>
    <w:div w:id="250702700">
      <w:bodyDiv w:val="1"/>
      <w:marLeft w:val="0"/>
      <w:marRight w:val="0"/>
      <w:marTop w:val="0"/>
      <w:marBottom w:val="0"/>
      <w:divBdr>
        <w:top w:val="none" w:sz="0" w:space="0" w:color="auto"/>
        <w:left w:val="none" w:sz="0" w:space="0" w:color="auto"/>
        <w:bottom w:val="none" w:sz="0" w:space="0" w:color="auto"/>
        <w:right w:val="none" w:sz="0" w:space="0" w:color="auto"/>
      </w:divBdr>
    </w:div>
    <w:div w:id="257103137">
      <w:bodyDiv w:val="1"/>
      <w:marLeft w:val="0"/>
      <w:marRight w:val="0"/>
      <w:marTop w:val="0"/>
      <w:marBottom w:val="0"/>
      <w:divBdr>
        <w:top w:val="none" w:sz="0" w:space="0" w:color="auto"/>
        <w:left w:val="none" w:sz="0" w:space="0" w:color="auto"/>
        <w:bottom w:val="none" w:sz="0" w:space="0" w:color="auto"/>
        <w:right w:val="none" w:sz="0" w:space="0" w:color="auto"/>
      </w:divBdr>
    </w:div>
    <w:div w:id="267200943">
      <w:bodyDiv w:val="1"/>
      <w:marLeft w:val="0"/>
      <w:marRight w:val="0"/>
      <w:marTop w:val="0"/>
      <w:marBottom w:val="0"/>
      <w:divBdr>
        <w:top w:val="none" w:sz="0" w:space="0" w:color="auto"/>
        <w:left w:val="none" w:sz="0" w:space="0" w:color="auto"/>
        <w:bottom w:val="none" w:sz="0" w:space="0" w:color="auto"/>
        <w:right w:val="none" w:sz="0" w:space="0" w:color="auto"/>
      </w:divBdr>
    </w:div>
    <w:div w:id="272056536">
      <w:bodyDiv w:val="1"/>
      <w:marLeft w:val="0"/>
      <w:marRight w:val="0"/>
      <w:marTop w:val="0"/>
      <w:marBottom w:val="0"/>
      <w:divBdr>
        <w:top w:val="none" w:sz="0" w:space="0" w:color="auto"/>
        <w:left w:val="none" w:sz="0" w:space="0" w:color="auto"/>
        <w:bottom w:val="none" w:sz="0" w:space="0" w:color="auto"/>
        <w:right w:val="none" w:sz="0" w:space="0" w:color="auto"/>
      </w:divBdr>
    </w:div>
    <w:div w:id="295183323">
      <w:bodyDiv w:val="1"/>
      <w:marLeft w:val="0"/>
      <w:marRight w:val="0"/>
      <w:marTop w:val="0"/>
      <w:marBottom w:val="0"/>
      <w:divBdr>
        <w:top w:val="none" w:sz="0" w:space="0" w:color="auto"/>
        <w:left w:val="none" w:sz="0" w:space="0" w:color="auto"/>
        <w:bottom w:val="none" w:sz="0" w:space="0" w:color="auto"/>
        <w:right w:val="none" w:sz="0" w:space="0" w:color="auto"/>
      </w:divBdr>
    </w:div>
    <w:div w:id="297154045">
      <w:bodyDiv w:val="1"/>
      <w:marLeft w:val="0"/>
      <w:marRight w:val="0"/>
      <w:marTop w:val="0"/>
      <w:marBottom w:val="0"/>
      <w:divBdr>
        <w:top w:val="none" w:sz="0" w:space="0" w:color="auto"/>
        <w:left w:val="none" w:sz="0" w:space="0" w:color="auto"/>
        <w:bottom w:val="none" w:sz="0" w:space="0" w:color="auto"/>
        <w:right w:val="none" w:sz="0" w:space="0" w:color="auto"/>
      </w:divBdr>
    </w:div>
    <w:div w:id="302388433">
      <w:bodyDiv w:val="1"/>
      <w:marLeft w:val="0"/>
      <w:marRight w:val="0"/>
      <w:marTop w:val="0"/>
      <w:marBottom w:val="0"/>
      <w:divBdr>
        <w:top w:val="none" w:sz="0" w:space="0" w:color="auto"/>
        <w:left w:val="none" w:sz="0" w:space="0" w:color="auto"/>
        <w:bottom w:val="none" w:sz="0" w:space="0" w:color="auto"/>
        <w:right w:val="none" w:sz="0" w:space="0" w:color="auto"/>
      </w:divBdr>
    </w:div>
    <w:div w:id="306401188">
      <w:bodyDiv w:val="1"/>
      <w:marLeft w:val="0"/>
      <w:marRight w:val="0"/>
      <w:marTop w:val="0"/>
      <w:marBottom w:val="0"/>
      <w:divBdr>
        <w:top w:val="none" w:sz="0" w:space="0" w:color="auto"/>
        <w:left w:val="none" w:sz="0" w:space="0" w:color="auto"/>
        <w:bottom w:val="none" w:sz="0" w:space="0" w:color="auto"/>
        <w:right w:val="none" w:sz="0" w:space="0" w:color="auto"/>
      </w:divBdr>
    </w:div>
    <w:div w:id="317155544">
      <w:bodyDiv w:val="1"/>
      <w:marLeft w:val="0"/>
      <w:marRight w:val="0"/>
      <w:marTop w:val="0"/>
      <w:marBottom w:val="0"/>
      <w:divBdr>
        <w:top w:val="none" w:sz="0" w:space="0" w:color="auto"/>
        <w:left w:val="none" w:sz="0" w:space="0" w:color="auto"/>
        <w:bottom w:val="none" w:sz="0" w:space="0" w:color="auto"/>
        <w:right w:val="none" w:sz="0" w:space="0" w:color="auto"/>
      </w:divBdr>
    </w:div>
    <w:div w:id="327365122">
      <w:bodyDiv w:val="1"/>
      <w:marLeft w:val="0"/>
      <w:marRight w:val="0"/>
      <w:marTop w:val="0"/>
      <w:marBottom w:val="0"/>
      <w:divBdr>
        <w:top w:val="none" w:sz="0" w:space="0" w:color="auto"/>
        <w:left w:val="none" w:sz="0" w:space="0" w:color="auto"/>
        <w:bottom w:val="none" w:sz="0" w:space="0" w:color="auto"/>
        <w:right w:val="none" w:sz="0" w:space="0" w:color="auto"/>
      </w:divBdr>
    </w:div>
    <w:div w:id="330913944">
      <w:bodyDiv w:val="1"/>
      <w:marLeft w:val="0"/>
      <w:marRight w:val="0"/>
      <w:marTop w:val="0"/>
      <w:marBottom w:val="0"/>
      <w:divBdr>
        <w:top w:val="none" w:sz="0" w:space="0" w:color="auto"/>
        <w:left w:val="none" w:sz="0" w:space="0" w:color="auto"/>
        <w:bottom w:val="none" w:sz="0" w:space="0" w:color="auto"/>
        <w:right w:val="none" w:sz="0" w:space="0" w:color="auto"/>
      </w:divBdr>
    </w:div>
    <w:div w:id="331032220">
      <w:bodyDiv w:val="1"/>
      <w:marLeft w:val="0"/>
      <w:marRight w:val="0"/>
      <w:marTop w:val="0"/>
      <w:marBottom w:val="0"/>
      <w:divBdr>
        <w:top w:val="none" w:sz="0" w:space="0" w:color="auto"/>
        <w:left w:val="none" w:sz="0" w:space="0" w:color="auto"/>
        <w:bottom w:val="none" w:sz="0" w:space="0" w:color="auto"/>
        <w:right w:val="none" w:sz="0" w:space="0" w:color="auto"/>
      </w:divBdr>
    </w:div>
    <w:div w:id="376976805">
      <w:bodyDiv w:val="1"/>
      <w:marLeft w:val="0"/>
      <w:marRight w:val="0"/>
      <w:marTop w:val="0"/>
      <w:marBottom w:val="0"/>
      <w:divBdr>
        <w:top w:val="none" w:sz="0" w:space="0" w:color="auto"/>
        <w:left w:val="none" w:sz="0" w:space="0" w:color="auto"/>
        <w:bottom w:val="none" w:sz="0" w:space="0" w:color="auto"/>
        <w:right w:val="none" w:sz="0" w:space="0" w:color="auto"/>
      </w:divBdr>
    </w:div>
    <w:div w:id="385300139">
      <w:bodyDiv w:val="1"/>
      <w:marLeft w:val="0"/>
      <w:marRight w:val="0"/>
      <w:marTop w:val="0"/>
      <w:marBottom w:val="0"/>
      <w:divBdr>
        <w:top w:val="none" w:sz="0" w:space="0" w:color="auto"/>
        <w:left w:val="none" w:sz="0" w:space="0" w:color="auto"/>
        <w:bottom w:val="none" w:sz="0" w:space="0" w:color="auto"/>
        <w:right w:val="none" w:sz="0" w:space="0" w:color="auto"/>
      </w:divBdr>
    </w:div>
    <w:div w:id="388581416">
      <w:bodyDiv w:val="1"/>
      <w:marLeft w:val="0"/>
      <w:marRight w:val="0"/>
      <w:marTop w:val="0"/>
      <w:marBottom w:val="0"/>
      <w:divBdr>
        <w:top w:val="none" w:sz="0" w:space="0" w:color="auto"/>
        <w:left w:val="none" w:sz="0" w:space="0" w:color="auto"/>
        <w:bottom w:val="none" w:sz="0" w:space="0" w:color="auto"/>
        <w:right w:val="none" w:sz="0" w:space="0" w:color="auto"/>
      </w:divBdr>
    </w:div>
    <w:div w:id="393891101">
      <w:bodyDiv w:val="1"/>
      <w:marLeft w:val="0"/>
      <w:marRight w:val="0"/>
      <w:marTop w:val="0"/>
      <w:marBottom w:val="0"/>
      <w:divBdr>
        <w:top w:val="none" w:sz="0" w:space="0" w:color="auto"/>
        <w:left w:val="none" w:sz="0" w:space="0" w:color="auto"/>
        <w:bottom w:val="none" w:sz="0" w:space="0" w:color="auto"/>
        <w:right w:val="none" w:sz="0" w:space="0" w:color="auto"/>
      </w:divBdr>
    </w:div>
    <w:div w:id="406417180">
      <w:bodyDiv w:val="1"/>
      <w:marLeft w:val="0"/>
      <w:marRight w:val="0"/>
      <w:marTop w:val="0"/>
      <w:marBottom w:val="0"/>
      <w:divBdr>
        <w:top w:val="none" w:sz="0" w:space="0" w:color="auto"/>
        <w:left w:val="none" w:sz="0" w:space="0" w:color="auto"/>
        <w:bottom w:val="none" w:sz="0" w:space="0" w:color="auto"/>
        <w:right w:val="none" w:sz="0" w:space="0" w:color="auto"/>
      </w:divBdr>
    </w:div>
    <w:div w:id="411196529">
      <w:bodyDiv w:val="1"/>
      <w:marLeft w:val="0"/>
      <w:marRight w:val="0"/>
      <w:marTop w:val="0"/>
      <w:marBottom w:val="0"/>
      <w:divBdr>
        <w:top w:val="none" w:sz="0" w:space="0" w:color="auto"/>
        <w:left w:val="none" w:sz="0" w:space="0" w:color="auto"/>
        <w:bottom w:val="none" w:sz="0" w:space="0" w:color="auto"/>
        <w:right w:val="none" w:sz="0" w:space="0" w:color="auto"/>
      </w:divBdr>
    </w:div>
    <w:div w:id="422142501">
      <w:bodyDiv w:val="1"/>
      <w:marLeft w:val="0"/>
      <w:marRight w:val="0"/>
      <w:marTop w:val="0"/>
      <w:marBottom w:val="0"/>
      <w:divBdr>
        <w:top w:val="none" w:sz="0" w:space="0" w:color="auto"/>
        <w:left w:val="none" w:sz="0" w:space="0" w:color="auto"/>
        <w:bottom w:val="none" w:sz="0" w:space="0" w:color="auto"/>
        <w:right w:val="none" w:sz="0" w:space="0" w:color="auto"/>
      </w:divBdr>
    </w:div>
    <w:div w:id="423571681">
      <w:bodyDiv w:val="1"/>
      <w:marLeft w:val="0"/>
      <w:marRight w:val="0"/>
      <w:marTop w:val="0"/>
      <w:marBottom w:val="0"/>
      <w:divBdr>
        <w:top w:val="none" w:sz="0" w:space="0" w:color="auto"/>
        <w:left w:val="none" w:sz="0" w:space="0" w:color="auto"/>
        <w:bottom w:val="none" w:sz="0" w:space="0" w:color="auto"/>
        <w:right w:val="none" w:sz="0" w:space="0" w:color="auto"/>
      </w:divBdr>
    </w:div>
    <w:div w:id="429198981">
      <w:bodyDiv w:val="1"/>
      <w:marLeft w:val="0"/>
      <w:marRight w:val="0"/>
      <w:marTop w:val="0"/>
      <w:marBottom w:val="0"/>
      <w:divBdr>
        <w:top w:val="none" w:sz="0" w:space="0" w:color="auto"/>
        <w:left w:val="none" w:sz="0" w:space="0" w:color="auto"/>
        <w:bottom w:val="none" w:sz="0" w:space="0" w:color="auto"/>
        <w:right w:val="none" w:sz="0" w:space="0" w:color="auto"/>
      </w:divBdr>
    </w:div>
    <w:div w:id="435712886">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52023749">
      <w:bodyDiv w:val="1"/>
      <w:marLeft w:val="0"/>
      <w:marRight w:val="0"/>
      <w:marTop w:val="0"/>
      <w:marBottom w:val="0"/>
      <w:divBdr>
        <w:top w:val="none" w:sz="0" w:space="0" w:color="auto"/>
        <w:left w:val="none" w:sz="0" w:space="0" w:color="auto"/>
        <w:bottom w:val="none" w:sz="0" w:space="0" w:color="auto"/>
        <w:right w:val="none" w:sz="0" w:space="0" w:color="auto"/>
      </w:divBdr>
    </w:div>
    <w:div w:id="453598689">
      <w:bodyDiv w:val="1"/>
      <w:marLeft w:val="0"/>
      <w:marRight w:val="0"/>
      <w:marTop w:val="0"/>
      <w:marBottom w:val="0"/>
      <w:divBdr>
        <w:top w:val="none" w:sz="0" w:space="0" w:color="auto"/>
        <w:left w:val="none" w:sz="0" w:space="0" w:color="auto"/>
        <w:bottom w:val="none" w:sz="0" w:space="0" w:color="auto"/>
        <w:right w:val="none" w:sz="0" w:space="0" w:color="auto"/>
      </w:divBdr>
    </w:div>
    <w:div w:id="455636237">
      <w:bodyDiv w:val="1"/>
      <w:marLeft w:val="0"/>
      <w:marRight w:val="0"/>
      <w:marTop w:val="0"/>
      <w:marBottom w:val="0"/>
      <w:divBdr>
        <w:top w:val="none" w:sz="0" w:space="0" w:color="auto"/>
        <w:left w:val="none" w:sz="0" w:space="0" w:color="auto"/>
        <w:bottom w:val="none" w:sz="0" w:space="0" w:color="auto"/>
        <w:right w:val="none" w:sz="0" w:space="0" w:color="auto"/>
      </w:divBdr>
    </w:div>
    <w:div w:id="458689770">
      <w:bodyDiv w:val="1"/>
      <w:marLeft w:val="0"/>
      <w:marRight w:val="0"/>
      <w:marTop w:val="0"/>
      <w:marBottom w:val="0"/>
      <w:divBdr>
        <w:top w:val="none" w:sz="0" w:space="0" w:color="auto"/>
        <w:left w:val="none" w:sz="0" w:space="0" w:color="auto"/>
        <w:bottom w:val="none" w:sz="0" w:space="0" w:color="auto"/>
        <w:right w:val="none" w:sz="0" w:space="0" w:color="auto"/>
      </w:divBdr>
    </w:div>
    <w:div w:id="475225947">
      <w:bodyDiv w:val="1"/>
      <w:marLeft w:val="0"/>
      <w:marRight w:val="0"/>
      <w:marTop w:val="0"/>
      <w:marBottom w:val="0"/>
      <w:divBdr>
        <w:top w:val="none" w:sz="0" w:space="0" w:color="auto"/>
        <w:left w:val="none" w:sz="0" w:space="0" w:color="auto"/>
        <w:bottom w:val="none" w:sz="0" w:space="0" w:color="auto"/>
        <w:right w:val="none" w:sz="0" w:space="0" w:color="auto"/>
      </w:divBdr>
    </w:div>
    <w:div w:id="478309649">
      <w:bodyDiv w:val="1"/>
      <w:marLeft w:val="0"/>
      <w:marRight w:val="0"/>
      <w:marTop w:val="0"/>
      <w:marBottom w:val="0"/>
      <w:divBdr>
        <w:top w:val="none" w:sz="0" w:space="0" w:color="auto"/>
        <w:left w:val="none" w:sz="0" w:space="0" w:color="auto"/>
        <w:bottom w:val="none" w:sz="0" w:space="0" w:color="auto"/>
        <w:right w:val="none" w:sz="0" w:space="0" w:color="auto"/>
      </w:divBdr>
      <w:divsChild>
        <w:div w:id="2062292193">
          <w:marLeft w:val="0"/>
          <w:marRight w:val="0"/>
          <w:marTop w:val="0"/>
          <w:marBottom w:val="0"/>
          <w:divBdr>
            <w:top w:val="none" w:sz="0" w:space="0" w:color="auto"/>
            <w:left w:val="none" w:sz="0" w:space="0" w:color="auto"/>
            <w:bottom w:val="none" w:sz="0" w:space="0" w:color="auto"/>
            <w:right w:val="none" w:sz="0" w:space="0" w:color="auto"/>
          </w:divBdr>
        </w:div>
        <w:div w:id="645471849">
          <w:marLeft w:val="0"/>
          <w:marRight w:val="0"/>
          <w:marTop w:val="0"/>
          <w:marBottom w:val="0"/>
          <w:divBdr>
            <w:top w:val="none" w:sz="0" w:space="0" w:color="auto"/>
            <w:left w:val="none" w:sz="0" w:space="0" w:color="auto"/>
            <w:bottom w:val="none" w:sz="0" w:space="0" w:color="auto"/>
            <w:right w:val="none" w:sz="0" w:space="0" w:color="auto"/>
          </w:divBdr>
        </w:div>
        <w:div w:id="1870021220">
          <w:marLeft w:val="0"/>
          <w:marRight w:val="0"/>
          <w:marTop w:val="0"/>
          <w:marBottom w:val="0"/>
          <w:divBdr>
            <w:top w:val="none" w:sz="0" w:space="0" w:color="auto"/>
            <w:left w:val="none" w:sz="0" w:space="0" w:color="auto"/>
            <w:bottom w:val="none" w:sz="0" w:space="0" w:color="auto"/>
            <w:right w:val="none" w:sz="0" w:space="0" w:color="auto"/>
          </w:divBdr>
        </w:div>
        <w:div w:id="1164055609">
          <w:marLeft w:val="0"/>
          <w:marRight w:val="0"/>
          <w:marTop w:val="0"/>
          <w:marBottom w:val="0"/>
          <w:divBdr>
            <w:top w:val="none" w:sz="0" w:space="0" w:color="auto"/>
            <w:left w:val="none" w:sz="0" w:space="0" w:color="auto"/>
            <w:bottom w:val="none" w:sz="0" w:space="0" w:color="auto"/>
            <w:right w:val="none" w:sz="0" w:space="0" w:color="auto"/>
          </w:divBdr>
        </w:div>
        <w:div w:id="973438606">
          <w:marLeft w:val="0"/>
          <w:marRight w:val="0"/>
          <w:marTop w:val="0"/>
          <w:marBottom w:val="0"/>
          <w:divBdr>
            <w:top w:val="none" w:sz="0" w:space="0" w:color="auto"/>
            <w:left w:val="none" w:sz="0" w:space="0" w:color="auto"/>
            <w:bottom w:val="none" w:sz="0" w:space="0" w:color="auto"/>
            <w:right w:val="none" w:sz="0" w:space="0" w:color="auto"/>
          </w:divBdr>
        </w:div>
        <w:div w:id="306474624">
          <w:marLeft w:val="0"/>
          <w:marRight w:val="0"/>
          <w:marTop w:val="0"/>
          <w:marBottom w:val="0"/>
          <w:divBdr>
            <w:top w:val="none" w:sz="0" w:space="0" w:color="auto"/>
            <w:left w:val="none" w:sz="0" w:space="0" w:color="auto"/>
            <w:bottom w:val="none" w:sz="0" w:space="0" w:color="auto"/>
            <w:right w:val="none" w:sz="0" w:space="0" w:color="auto"/>
          </w:divBdr>
        </w:div>
        <w:div w:id="1131707352">
          <w:marLeft w:val="0"/>
          <w:marRight w:val="0"/>
          <w:marTop w:val="0"/>
          <w:marBottom w:val="0"/>
          <w:divBdr>
            <w:top w:val="none" w:sz="0" w:space="0" w:color="auto"/>
            <w:left w:val="none" w:sz="0" w:space="0" w:color="auto"/>
            <w:bottom w:val="none" w:sz="0" w:space="0" w:color="auto"/>
            <w:right w:val="none" w:sz="0" w:space="0" w:color="auto"/>
          </w:divBdr>
        </w:div>
        <w:div w:id="2109348763">
          <w:marLeft w:val="0"/>
          <w:marRight w:val="0"/>
          <w:marTop w:val="0"/>
          <w:marBottom w:val="0"/>
          <w:divBdr>
            <w:top w:val="none" w:sz="0" w:space="0" w:color="auto"/>
            <w:left w:val="none" w:sz="0" w:space="0" w:color="auto"/>
            <w:bottom w:val="none" w:sz="0" w:space="0" w:color="auto"/>
            <w:right w:val="none" w:sz="0" w:space="0" w:color="auto"/>
          </w:divBdr>
        </w:div>
        <w:div w:id="1406344956">
          <w:marLeft w:val="0"/>
          <w:marRight w:val="0"/>
          <w:marTop w:val="0"/>
          <w:marBottom w:val="0"/>
          <w:divBdr>
            <w:top w:val="none" w:sz="0" w:space="0" w:color="auto"/>
            <w:left w:val="none" w:sz="0" w:space="0" w:color="auto"/>
            <w:bottom w:val="none" w:sz="0" w:space="0" w:color="auto"/>
            <w:right w:val="none" w:sz="0" w:space="0" w:color="auto"/>
          </w:divBdr>
        </w:div>
        <w:div w:id="44567417">
          <w:marLeft w:val="0"/>
          <w:marRight w:val="0"/>
          <w:marTop w:val="0"/>
          <w:marBottom w:val="0"/>
          <w:divBdr>
            <w:top w:val="none" w:sz="0" w:space="0" w:color="auto"/>
            <w:left w:val="none" w:sz="0" w:space="0" w:color="auto"/>
            <w:bottom w:val="none" w:sz="0" w:space="0" w:color="auto"/>
            <w:right w:val="none" w:sz="0" w:space="0" w:color="auto"/>
          </w:divBdr>
        </w:div>
        <w:div w:id="1052772375">
          <w:marLeft w:val="0"/>
          <w:marRight w:val="0"/>
          <w:marTop w:val="0"/>
          <w:marBottom w:val="0"/>
          <w:divBdr>
            <w:top w:val="none" w:sz="0" w:space="0" w:color="auto"/>
            <w:left w:val="none" w:sz="0" w:space="0" w:color="auto"/>
            <w:bottom w:val="none" w:sz="0" w:space="0" w:color="auto"/>
            <w:right w:val="none" w:sz="0" w:space="0" w:color="auto"/>
          </w:divBdr>
        </w:div>
        <w:div w:id="1707019987">
          <w:marLeft w:val="0"/>
          <w:marRight w:val="0"/>
          <w:marTop w:val="0"/>
          <w:marBottom w:val="0"/>
          <w:divBdr>
            <w:top w:val="none" w:sz="0" w:space="0" w:color="auto"/>
            <w:left w:val="none" w:sz="0" w:space="0" w:color="auto"/>
            <w:bottom w:val="none" w:sz="0" w:space="0" w:color="auto"/>
            <w:right w:val="none" w:sz="0" w:space="0" w:color="auto"/>
          </w:divBdr>
        </w:div>
        <w:div w:id="1949317511">
          <w:marLeft w:val="0"/>
          <w:marRight w:val="0"/>
          <w:marTop w:val="0"/>
          <w:marBottom w:val="0"/>
          <w:divBdr>
            <w:top w:val="none" w:sz="0" w:space="0" w:color="auto"/>
            <w:left w:val="none" w:sz="0" w:space="0" w:color="auto"/>
            <w:bottom w:val="none" w:sz="0" w:space="0" w:color="auto"/>
            <w:right w:val="none" w:sz="0" w:space="0" w:color="auto"/>
          </w:divBdr>
        </w:div>
        <w:div w:id="1797067196">
          <w:marLeft w:val="0"/>
          <w:marRight w:val="0"/>
          <w:marTop w:val="0"/>
          <w:marBottom w:val="0"/>
          <w:divBdr>
            <w:top w:val="none" w:sz="0" w:space="0" w:color="auto"/>
            <w:left w:val="none" w:sz="0" w:space="0" w:color="auto"/>
            <w:bottom w:val="none" w:sz="0" w:space="0" w:color="auto"/>
            <w:right w:val="none" w:sz="0" w:space="0" w:color="auto"/>
          </w:divBdr>
        </w:div>
        <w:div w:id="2022925779">
          <w:marLeft w:val="0"/>
          <w:marRight w:val="0"/>
          <w:marTop w:val="0"/>
          <w:marBottom w:val="0"/>
          <w:divBdr>
            <w:top w:val="none" w:sz="0" w:space="0" w:color="auto"/>
            <w:left w:val="none" w:sz="0" w:space="0" w:color="auto"/>
            <w:bottom w:val="none" w:sz="0" w:space="0" w:color="auto"/>
            <w:right w:val="none" w:sz="0" w:space="0" w:color="auto"/>
          </w:divBdr>
        </w:div>
        <w:div w:id="1013651162">
          <w:marLeft w:val="0"/>
          <w:marRight w:val="0"/>
          <w:marTop w:val="0"/>
          <w:marBottom w:val="0"/>
          <w:divBdr>
            <w:top w:val="none" w:sz="0" w:space="0" w:color="auto"/>
            <w:left w:val="none" w:sz="0" w:space="0" w:color="auto"/>
            <w:bottom w:val="none" w:sz="0" w:space="0" w:color="auto"/>
            <w:right w:val="none" w:sz="0" w:space="0" w:color="auto"/>
          </w:divBdr>
        </w:div>
        <w:div w:id="1914309821">
          <w:marLeft w:val="0"/>
          <w:marRight w:val="0"/>
          <w:marTop w:val="0"/>
          <w:marBottom w:val="0"/>
          <w:divBdr>
            <w:top w:val="none" w:sz="0" w:space="0" w:color="auto"/>
            <w:left w:val="none" w:sz="0" w:space="0" w:color="auto"/>
            <w:bottom w:val="none" w:sz="0" w:space="0" w:color="auto"/>
            <w:right w:val="none" w:sz="0" w:space="0" w:color="auto"/>
          </w:divBdr>
        </w:div>
        <w:div w:id="1396973126">
          <w:marLeft w:val="0"/>
          <w:marRight w:val="0"/>
          <w:marTop w:val="0"/>
          <w:marBottom w:val="0"/>
          <w:divBdr>
            <w:top w:val="none" w:sz="0" w:space="0" w:color="auto"/>
            <w:left w:val="none" w:sz="0" w:space="0" w:color="auto"/>
            <w:bottom w:val="none" w:sz="0" w:space="0" w:color="auto"/>
            <w:right w:val="none" w:sz="0" w:space="0" w:color="auto"/>
          </w:divBdr>
        </w:div>
        <w:div w:id="721563241">
          <w:marLeft w:val="0"/>
          <w:marRight w:val="0"/>
          <w:marTop w:val="0"/>
          <w:marBottom w:val="0"/>
          <w:divBdr>
            <w:top w:val="none" w:sz="0" w:space="0" w:color="auto"/>
            <w:left w:val="none" w:sz="0" w:space="0" w:color="auto"/>
            <w:bottom w:val="none" w:sz="0" w:space="0" w:color="auto"/>
            <w:right w:val="none" w:sz="0" w:space="0" w:color="auto"/>
          </w:divBdr>
        </w:div>
        <w:div w:id="1609964201">
          <w:marLeft w:val="0"/>
          <w:marRight w:val="0"/>
          <w:marTop w:val="0"/>
          <w:marBottom w:val="0"/>
          <w:divBdr>
            <w:top w:val="none" w:sz="0" w:space="0" w:color="auto"/>
            <w:left w:val="none" w:sz="0" w:space="0" w:color="auto"/>
            <w:bottom w:val="none" w:sz="0" w:space="0" w:color="auto"/>
            <w:right w:val="none" w:sz="0" w:space="0" w:color="auto"/>
          </w:divBdr>
        </w:div>
        <w:div w:id="1692536077">
          <w:marLeft w:val="0"/>
          <w:marRight w:val="0"/>
          <w:marTop w:val="0"/>
          <w:marBottom w:val="0"/>
          <w:divBdr>
            <w:top w:val="none" w:sz="0" w:space="0" w:color="auto"/>
            <w:left w:val="none" w:sz="0" w:space="0" w:color="auto"/>
            <w:bottom w:val="none" w:sz="0" w:space="0" w:color="auto"/>
            <w:right w:val="none" w:sz="0" w:space="0" w:color="auto"/>
          </w:divBdr>
        </w:div>
        <w:div w:id="1605382512">
          <w:marLeft w:val="0"/>
          <w:marRight w:val="0"/>
          <w:marTop w:val="0"/>
          <w:marBottom w:val="0"/>
          <w:divBdr>
            <w:top w:val="none" w:sz="0" w:space="0" w:color="auto"/>
            <w:left w:val="none" w:sz="0" w:space="0" w:color="auto"/>
            <w:bottom w:val="none" w:sz="0" w:space="0" w:color="auto"/>
            <w:right w:val="none" w:sz="0" w:space="0" w:color="auto"/>
          </w:divBdr>
        </w:div>
        <w:div w:id="562375388">
          <w:marLeft w:val="0"/>
          <w:marRight w:val="0"/>
          <w:marTop w:val="0"/>
          <w:marBottom w:val="0"/>
          <w:divBdr>
            <w:top w:val="none" w:sz="0" w:space="0" w:color="auto"/>
            <w:left w:val="none" w:sz="0" w:space="0" w:color="auto"/>
            <w:bottom w:val="none" w:sz="0" w:space="0" w:color="auto"/>
            <w:right w:val="none" w:sz="0" w:space="0" w:color="auto"/>
          </w:divBdr>
        </w:div>
        <w:div w:id="1410957246">
          <w:marLeft w:val="0"/>
          <w:marRight w:val="0"/>
          <w:marTop w:val="0"/>
          <w:marBottom w:val="0"/>
          <w:divBdr>
            <w:top w:val="none" w:sz="0" w:space="0" w:color="auto"/>
            <w:left w:val="none" w:sz="0" w:space="0" w:color="auto"/>
            <w:bottom w:val="none" w:sz="0" w:space="0" w:color="auto"/>
            <w:right w:val="none" w:sz="0" w:space="0" w:color="auto"/>
          </w:divBdr>
        </w:div>
        <w:div w:id="2120297146">
          <w:marLeft w:val="0"/>
          <w:marRight w:val="0"/>
          <w:marTop w:val="0"/>
          <w:marBottom w:val="0"/>
          <w:divBdr>
            <w:top w:val="none" w:sz="0" w:space="0" w:color="auto"/>
            <w:left w:val="none" w:sz="0" w:space="0" w:color="auto"/>
            <w:bottom w:val="none" w:sz="0" w:space="0" w:color="auto"/>
            <w:right w:val="none" w:sz="0" w:space="0" w:color="auto"/>
          </w:divBdr>
        </w:div>
        <w:div w:id="1684436112">
          <w:marLeft w:val="0"/>
          <w:marRight w:val="0"/>
          <w:marTop w:val="0"/>
          <w:marBottom w:val="0"/>
          <w:divBdr>
            <w:top w:val="none" w:sz="0" w:space="0" w:color="auto"/>
            <w:left w:val="none" w:sz="0" w:space="0" w:color="auto"/>
            <w:bottom w:val="none" w:sz="0" w:space="0" w:color="auto"/>
            <w:right w:val="none" w:sz="0" w:space="0" w:color="auto"/>
          </w:divBdr>
        </w:div>
        <w:div w:id="1158620545">
          <w:marLeft w:val="0"/>
          <w:marRight w:val="0"/>
          <w:marTop w:val="0"/>
          <w:marBottom w:val="0"/>
          <w:divBdr>
            <w:top w:val="none" w:sz="0" w:space="0" w:color="auto"/>
            <w:left w:val="none" w:sz="0" w:space="0" w:color="auto"/>
            <w:bottom w:val="none" w:sz="0" w:space="0" w:color="auto"/>
            <w:right w:val="none" w:sz="0" w:space="0" w:color="auto"/>
          </w:divBdr>
        </w:div>
        <w:div w:id="169106093">
          <w:marLeft w:val="0"/>
          <w:marRight w:val="0"/>
          <w:marTop w:val="0"/>
          <w:marBottom w:val="0"/>
          <w:divBdr>
            <w:top w:val="none" w:sz="0" w:space="0" w:color="auto"/>
            <w:left w:val="none" w:sz="0" w:space="0" w:color="auto"/>
            <w:bottom w:val="none" w:sz="0" w:space="0" w:color="auto"/>
            <w:right w:val="none" w:sz="0" w:space="0" w:color="auto"/>
          </w:divBdr>
        </w:div>
        <w:div w:id="486676764">
          <w:marLeft w:val="0"/>
          <w:marRight w:val="0"/>
          <w:marTop w:val="0"/>
          <w:marBottom w:val="0"/>
          <w:divBdr>
            <w:top w:val="none" w:sz="0" w:space="0" w:color="auto"/>
            <w:left w:val="none" w:sz="0" w:space="0" w:color="auto"/>
            <w:bottom w:val="none" w:sz="0" w:space="0" w:color="auto"/>
            <w:right w:val="none" w:sz="0" w:space="0" w:color="auto"/>
          </w:divBdr>
        </w:div>
        <w:div w:id="1123378370">
          <w:marLeft w:val="0"/>
          <w:marRight w:val="0"/>
          <w:marTop w:val="0"/>
          <w:marBottom w:val="0"/>
          <w:divBdr>
            <w:top w:val="none" w:sz="0" w:space="0" w:color="auto"/>
            <w:left w:val="none" w:sz="0" w:space="0" w:color="auto"/>
            <w:bottom w:val="none" w:sz="0" w:space="0" w:color="auto"/>
            <w:right w:val="none" w:sz="0" w:space="0" w:color="auto"/>
          </w:divBdr>
        </w:div>
        <w:div w:id="268046654">
          <w:marLeft w:val="0"/>
          <w:marRight w:val="0"/>
          <w:marTop w:val="0"/>
          <w:marBottom w:val="0"/>
          <w:divBdr>
            <w:top w:val="none" w:sz="0" w:space="0" w:color="auto"/>
            <w:left w:val="none" w:sz="0" w:space="0" w:color="auto"/>
            <w:bottom w:val="none" w:sz="0" w:space="0" w:color="auto"/>
            <w:right w:val="none" w:sz="0" w:space="0" w:color="auto"/>
          </w:divBdr>
        </w:div>
        <w:div w:id="329522307">
          <w:marLeft w:val="0"/>
          <w:marRight w:val="0"/>
          <w:marTop w:val="0"/>
          <w:marBottom w:val="0"/>
          <w:divBdr>
            <w:top w:val="none" w:sz="0" w:space="0" w:color="auto"/>
            <w:left w:val="none" w:sz="0" w:space="0" w:color="auto"/>
            <w:bottom w:val="none" w:sz="0" w:space="0" w:color="auto"/>
            <w:right w:val="none" w:sz="0" w:space="0" w:color="auto"/>
          </w:divBdr>
        </w:div>
        <w:div w:id="579601165">
          <w:marLeft w:val="0"/>
          <w:marRight w:val="0"/>
          <w:marTop w:val="0"/>
          <w:marBottom w:val="0"/>
          <w:divBdr>
            <w:top w:val="none" w:sz="0" w:space="0" w:color="auto"/>
            <w:left w:val="none" w:sz="0" w:space="0" w:color="auto"/>
            <w:bottom w:val="none" w:sz="0" w:space="0" w:color="auto"/>
            <w:right w:val="none" w:sz="0" w:space="0" w:color="auto"/>
          </w:divBdr>
        </w:div>
        <w:div w:id="2089451014">
          <w:marLeft w:val="0"/>
          <w:marRight w:val="0"/>
          <w:marTop w:val="0"/>
          <w:marBottom w:val="0"/>
          <w:divBdr>
            <w:top w:val="none" w:sz="0" w:space="0" w:color="auto"/>
            <w:left w:val="none" w:sz="0" w:space="0" w:color="auto"/>
            <w:bottom w:val="none" w:sz="0" w:space="0" w:color="auto"/>
            <w:right w:val="none" w:sz="0" w:space="0" w:color="auto"/>
          </w:divBdr>
        </w:div>
        <w:div w:id="2073382465">
          <w:marLeft w:val="0"/>
          <w:marRight w:val="0"/>
          <w:marTop w:val="0"/>
          <w:marBottom w:val="0"/>
          <w:divBdr>
            <w:top w:val="none" w:sz="0" w:space="0" w:color="auto"/>
            <w:left w:val="none" w:sz="0" w:space="0" w:color="auto"/>
            <w:bottom w:val="none" w:sz="0" w:space="0" w:color="auto"/>
            <w:right w:val="none" w:sz="0" w:space="0" w:color="auto"/>
          </w:divBdr>
        </w:div>
        <w:div w:id="394016660">
          <w:marLeft w:val="0"/>
          <w:marRight w:val="0"/>
          <w:marTop w:val="0"/>
          <w:marBottom w:val="0"/>
          <w:divBdr>
            <w:top w:val="none" w:sz="0" w:space="0" w:color="auto"/>
            <w:left w:val="none" w:sz="0" w:space="0" w:color="auto"/>
            <w:bottom w:val="none" w:sz="0" w:space="0" w:color="auto"/>
            <w:right w:val="none" w:sz="0" w:space="0" w:color="auto"/>
          </w:divBdr>
        </w:div>
        <w:div w:id="82386840">
          <w:marLeft w:val="0"/>
          <w:marRight w:val="0"/>
          <w:marTop w:val="0"/>
          <w:marBottom w:val="0"/>
          <w:divBdr>
            <w:top w:val="none" w:sz="0" w:space="0" w:color="auto"/>
            <w:left w:val="none" w:sz="0" w:space="0" w:color="auto"/>
            <w:bottom w:val="none" w:sz="0" w:space="0" w:color="auto"/>
            <w:right w:val="none" w:sz="0" w:space="0" w:color="auto"/>
          </w:divBdr>
        </w:div>
        <w:div w:id="1104301511">
          <w:marLeft w:val="0"/>
          <w:marRight w:val="0"/>
          <w:marTop w:val="0"/>
          <w:marBottom w:val="0"/>
          <w:divBdr>
            <w:top w:val="none" w:sz="0" w:space="0" w:color="auto"/>
            <w:left w:val="none" w:sz="0" w:space="0" w:color="auto"/>
            <w:bottom w:val="none" w:sz="0" w:space="0" w:color="auto"/>
            <w:right w:val="none" w:sz="0" w:space="0" w:color="auto"/>
          </w:divBdr>
        </w:div>
        <w:div w:id="1169829328">
          <w:marLeft w:val="0"/>
          <w:marRight w:val="0"/>
          <w:marTop w:val="0"/>
          <w:marBottom w:val="0"/>
          <w:divBdr>
            <w:top w:val="none" w:sz="0" w:space="0" w:color="auto"/>
            <w:left w:val="none" w:sz="0" w:space="0" w:color="auto"/>
            <w:bottom w:val="none" w:sz="0" w:space="0" w:color="auto"/>
            <w:right w:val="none" w:sz="0" w:space="0" w:color="auto"/>
          </w:divBdr>
        </w:div>
      </w:divsChild>
    </w:div>
    <w:div w:id="481970478">
      <w:bodyDiv w:val="1"/>
      <w:marLeft w:val="0"/>
      <w:marRight w:val="0"/>
      <w:marTop w:val="0"/>
      <w:marBottom w:val="0"/>
      <w:divBdr>
        <w:top w:val="none" w:sz="0" w:space="0" w:color="auto"/>
        <w:left w:val="none" w:sz="0" w:space="0" w:color="auto"/>
        <w:bottom w:val="none" w:sz="0" w:space="0" w:color="auto"/>
        <w:right w:val="none" w:sz="0" w:space="0" w:color="auto"/>
      </w:divBdr>
    </w:div>
    <w:div w:id="483743775">
      <w:bodyDiv w:val="1"/>
      <w:marLeft w:val="0"/>
      <w:marRight w:val="0"/>
      <w:marTop w:val="0"/>
      <w:marBottom w:val="0"/>
      <w:divBdr>
        <w:top w:val="none" w:sz="0" w:space="0" w:color="auto"/>
        <w:left w:val="none" w:sz="0" w:space="0" w:color="auto"/>
        <w:bottom w:val="none" w:sz="0" w:space="0" w:color="auto"/>
        <w:right w:val="none" w:sz="0" w:space="0" w:color="auto"/>
      </w:divBdr>
    </w:div>
    <w:div w:id="487480398">
      <w:bodyDiv w:val="1"/>
      <w:marLeft w:val="0"/>
      <w:marRight w:val="0"/>
      <w:marTop w:val="0"/>
      <w:marBottom w:val="0"/>
      <w:divBdr>
        <w:top w:val="none" w:sz="0" w:space="0" w:color="auto"/>
        <w:left w:val="none" w:sz="0" w:space="0" w:color="auto"/>
        <w:bottom w:val="none" w:sz="0" w:space="0" w:color="auto"/>
        <w:right w:val="none" w:sz="0" w:space="0" w:color="auto"/>
      </w:divBdr>
    </w:div>
    <w:div w:id="488639383">
      <w:bodyDiv w:val="1"/>
      <w:marLeft w:val="0"/>
      <w:marRight w:val="0"/>
      <w:marTop w:val="0"/>
      <w:marBottom w:val="0"/>
      <w:divBdr>
        <w:top w:val="none" w:sz="0" w:space="0" w:color="auto"/>
        <w:left w:val="none" w:sz="0" w:space="0" w:color="auto"/>
        <w:bottom w:val="none" w:sz="0" w:space="0" w:color="auto"/>
        <w:right w:val="none" w:sz="0" w:space="0" w:color="auto"/>
      </w:divBdr>
    </w:div>
    <w:div w:id="499584255">
      <w:bodyDiv w:val="1"/>
      <w:marLeft w:val="0"/>
      <w:marRight w:val="0"/>
      <w:marTop w:val="0"/>
      <w:marBottom w:val="0"/>
      <w:divBdr>
        <w:top w:val="none" w:sz="0" w:space="0" w:color="auto"/>
        <w:left w:val="none" w:sz="0" w:space="0" w:color="auto"/>
        <w:bottom w:val="none" w:sz="0" w:space="0" w:color="auto"/>
        <w:right w:val="none" w:sz="0" w:space="0" w:color="auto"/>
      </w:divBdr>
    </w:div>
    <w:div w:id="509107063">
      <w:bodyDiv w:val="1"/>
      <w:marLeft w:val="0"/>
      <w:marRight w:val="0"/>
      <w:marTop w:val="0"/>
      <w:marBottom w:val="0"/>
      <w:divBdr>
        <w:top w:val="none" w:sz="0" w:space="0" w:color="auto"/>
        <w:left w:val="none" w:sz="0" w:space="0" w:color="auto"/>
        <w:bottom w:val="none" w:sz="0" w:space="0" w:color="auto"/>
        <w:right w:val="none" w:sz="0" w:space="0" w:color="auto"/>
      </w:divBdr>
    </w:div>
    <w:div w:id="509416202">
      <w:bodyDiv w:val="1"/>
      <w:marLeft w:val="0"/>
      <w:marRight w:val="0"/>
      <w:marTop w:val="0"/>
      <w:marBottom w:val="0"/>
      <w:divBdr>
        <w:top w:val="none" w:sz="0" w:space="0" w:color="auto"/>
        <w:left w:val="none" w:sz="0" w:space="0" w:color="auto"/>
        <w:bottom w:val="none" w:sz="0" w:space="0" w:color="auto"/>
        <w:right w:val="none" w:sz="0" w:space="0" w:color="auto"/>
      </w:divBdr>
    </w:div>
    <w:div w:id="535628077">
      <w:bodyDiv w:val="1"/>
      <w:marLeft w:val="0"/>
      <w:marRight w:val="0"/>
      <w:marTop w:val="0"/>
      <w:marBottom w:val="0"/>
      <w:divBdr>
        <w:top w:val="none" w:sz="0" w:space="0" w:color="auto"/>
        <w:left w:val="none" w:sz="0" w:space="0" w:color="auto"/>
        <w:bottom w:val="none" w:sz="0" w:space="0" w:color="auto"/>
        <w:right w:val="none" w:sz="0" w:space="0" w:color="auto"/>
      </w:divBdr>
    </w:div>
    <w:div w:id="535972972">
      <w:bodyDiv w:val="1"/>
      <w:marLeft w:val="0"/>
      <w:marRight w:val="0"/>
      <w:marTop w:val="0"/>
      <w:marBottom w:val="0"/>
      <w:divBdr>
        <w:top w:val="none" w:sz="0" w:space="0" w:color="auto"/>
        <w:left w:val="none" w:sz="0" w:space="0" w:color="auto"/>
        <w:bottom w:val="none" w:sz="0" w:space="0" w:color="auto"/>
        <w:right w:val="none" w:sz="0" w:space="0" w:color="auto"/>
      </w:divBdr>
    </w:div>
    <w:div w:id="539590593">
      <w:bodyDiv w:val="1"/>
      <w:marLeft w:val="0"/>
      <w:marRight w:val="0"/>
      <w:marTop w:val="0"/>
      <w:marBottom w:val="0"/>
      <w:divBdr>
        <w:top w:val="none" w:sz="0" w:space="0" w:color="auto"/>
        <w:left w:val="none" w:sz="0" w:space="0" w:color="auto"/>
        <w:bottom w:val="none" w:sz="0" w:space="0" w:color="auto"/>
        <w:right w:val="none" w:sz="0" w:space="0" w:color="auto"/>
      </w:divBdr>
    </w:div>
    <w:div w:id="539708469">
      <w:bodyDiv w:val="1"/>
      <w:marLeft w:val="0"/>
      <w:marRight w:val="0"/>
      <w:marTop w:val="0"/>
      <w:marBottom w:val="0"/>
      <w:divBdr>
        <w:top w:val="none" w:sz="0" w:space="0" w:color="auto"/>
        <w:left w:val="none" w:sz="0" w:space="0" w:color="auto"/>
        <w:bottom w:val="none" w:sz="0" w:space="0" w:color="auto"/>
        <w:right w:val="none" w:sz="0" w:space="0" w:color="auto"/>
      </w:divBdr>
    </w:div>
    <w:div w:id="552353662">
      <w:bodyDiv w:val="1"/>
      <w:marLeft w:val="0"/>
      <w:marRight w:val="0"/>
      <w:marTop w:val="0"/>
      <w:marBottom w:val="0"/>
      <w:divBdr>
        <w:top w:val="none" w:sz="0" w:space="0" w:color="auto"/>
        <w:left w:val="none" w:sz="0" w:space="0" w:color="auto"/>
        <w:bottom w:val="none" w:sz="0" w:space="0" w:color="auto"/>
        <w:right w:val="none" w:sz="0" w:space="0" w:color="auto"/>
      </w:divBdr>
    </w:div>
    <w:div w:id="558252749">
      <w:bodyDiv w:val="1"/>
      <w:marLeft w:val="0"/>
      <w:marRight w:val="0"/>
      <w:marTop w:val="0"/>
      <w:marBottom w:val="0"/>
      <w:divBdr>
        <w:top w:val="none" w:sz="0" w:space="0" w:color="auto"/>
        <w:left w:val="none" w:sz="0" w:space="0" w:color="auto"/>
        <w:bottom w:val="none" w:sz="0" w:space="0" w:color="auto"/>
        <w:right w:val="none" w:sz="0" w:space="0" w:color="auto"/>
      </w:divBdr>
    </w:div>
    <w:div w:id="565995242">
      <w:bodyDiv w:val="1"/>
      <w:marLeft w:val="0"/>
      <w:marRight w:val="0"/>
      <w:marTop w:val="0"/>
      <w:marBottom w:val="0"/>
      <w:divBdr>
        <w:top w:val="none" w:sz="0" w:space="0" w:color="auto"/>
        <w:left w:val="none" w:sz="0" w:space="0" w:color="auto"/>
        <w:bottom w:val="none" w:sz="0" w:space="0" w:color="auto"/>
        <w:right w:val="none" w:sz="0" w:space="0" w:color="auto"/>
      </w:divBdr>
    </w:div>
    <w:div w:id="568422802">
      <w:bodyDiv w:val="1"/>
      <w:marLeft w:val="0"/>
      <w:marRight w:val="0"/>
      <w:marTop w:val="0"/>
      <w:marBottom w:val="0"/>
      <w:divBdr>
        <w:top w:val="none" w:sz="0" w:space="0" w:color="auto"/>
        <w:left w:val="none" w:sz="0" w:space="0" w:color="auto"/>
        <w:bottom w:val="none" w:sz="0" w:space="0" w:color="auto"/>
        <w:right w:val="none" w:sz="0" w:space="0" w:color="auto"/>
      </w:divBdr>
    </w:div>
    <w:div w:id="571545111">
      <w:bodyDiv w:val="1"/>
      <w:marLeft w:val="0"/>
      <w:marRight w:val="0"/>
      <w:marTop w:val="0"/>
      <w:marBottom w:val="0"/>
      <w:divBdr>
        <w:top w:val="none" w:sz="0" w:space="0" w:color="auto"/>
        <w:left w:val="none" w:sz="0" w:space="0" w:color="auto"/>
        <w:bottom w:val="none" w:sz="0" w:space="0" w:color="auto"/>
        <w:right w:val="none" w:sz="0" w:space="0" w:color="auto"/>
      </w:divBdr>
    </w:div>
    <w:div w:id="581914553">
      <w:bodyDiv w:val="1"/>
      <w:marLeft w:val="0"/>
      <w:marRight w:val="0"/>
      <w:marTop w:val="0"/>
      <w:marBottom w:val="0"/>
      <w:divBdr>
        <w:top w:val="none" w:sz="0" w:space="0" w:color="auto"/>
        <w:left w:val="none" w:sz="0" w:space="0" w:color="auto"/>
        <w:bottom w:val="none" w:sz="0" w:space="0" w:color="auto"/>
        <w:right w:val="none" w:sz="0" w:space="0" w:color="auto"/>
      </w:divBdr>
    </w:div>
    <w:div w:id="599948439">
      <w:bodyDiv w:val="1"/>
      <w:marLeft w:val="0"/>
      <w:marRight w:val="0"/>
      <w:marTop w:val="0"/>
      <w:marBottom w:val="0"/>
      <w:divBdr>
        <w:top w:val="none" w:sz="0" w:space="0" w:color="auto"/>
        <w:left w:val="none" w:sz="0" w:space="0" w:color="auto"/>
        <w:bottom w:val="none" w:sz="0" w:space="0" w:color="auto"/>
        <w:right w:val="none" w:sz="0" w:space="0" w:color="auto"/>
      </w:divBdr>
    </w:div>
    <w:div w:id="645430823">
      <w:bodyDiv w:val="1"/>
      <w:marLeft w:val="0"/>
      <w:marRight w:val="0"/>
      <w:marTop w:val="0"/>
      <w:marBottom w:val="0"/>
      <w:divBdr>
        <w:top w:val="none" w:sz="0" w:space="0" w:color="auto"/>
        <w:left w:val="none" w:sz="0" w:space="0" w:color="auto"/>
        <w:bottom w:val="none" w:sz="0" w:space="0" w:color="auto"/>
        <w:right w:val="none" w:sz="0" w:space="0" w:color="auto"/>
      </w:divBdr>
    </w:div>
    <w:div w:id="682824619">
      <w:bodyDiv w:val="1"/>
      <w:marLeft w:val="0"/>
      <w:marRight w:val="0"/>
      <w:marTop w:val="0"/>
      <w:marBottom w:val="0"/>
      <w:divBdr>
        <w:top w:val="none" w:sz="0" w:space="0" w:color="auto"/>
        <w:left w:val="none" w:sz="0" w:space="0" w:color="auto"/>
        <w:bottom w:val="none" w:sz="0" w:space="0" w:color="auto"/>
        <w:right w:val="none" w:sz="0" w:space="0" w:color="auto"/>
      </w:divBdr>
    </w:div>
    <w:div w:id="687875944">
      <w:bodyDiv w:val="1"/>
      <w:marLeft w:val="0"/>
      <w:marRight w:val="0"/>
      <w:marTop w:val="0"/>
      <w:marBottom w:val="0"/>
      <w:divBdr>
        <w:top w:val="none" w:sz="0" w:space="0" w:color="auto"/>
        <w:left w:val="none" w:sz="0" w:space="0" w:color="auto"/>
        <w:bottom w:val="none" w:sz="0" w:space="0" w:color="auto"/>
        <w:right w:val="none" w:sz="0" w:space="0" w:color="auto"/>
      </w:divBdr>
    </w:div>
    <w:div w:id="697509271">
      <w:bodyDiv w:val="1"/>
      <w:marLeft w:val="0"/>
      <w:marRight w:val="0"/>
      <w:marTop w:val="0"/>
      <w:marBottom w:val="0"/>
      <w:divBdr>
        <w:top w:val="none" w:sz="0" w:space="0" w:color="auto"/>
        <w:left w:val="none" w:sz="0" w:space="0" w:color="auto"/>
        <w:bottom w:val="none" w:sz="0" w:space="0" w:color="auto"/>
        <w:right w:val="none" w:sz="0" w:space="0" w:color="auto"/>
      </w:divBdr>
    </w:div>
    <w:div w:id="716121099">
      <w:bodyDiv w:val="1"/>
      <w:marLeft w:val="0"/>
      <w:marRight w:val="0"/>
      <w:marTop w:val="0"/>
      <w:marBottom w:val="0"/>
      <w:divBdr>
        <w:top w:val="none" w:sz="0" w:space="0" w:color="auto"/>
        <w:left w:val="none" w:sz="0" w:space="0" w:color="auto"/>
        <w:bottom w:val="none" w:sz="0" w:space="0" w:color="auto"/>
        <w:right w:val="none" w:sz="0" w:space="0" w:color="auto"/>
      </w:divBdr>
    </w:div>
    <w:div w:id="737820871">
      <w:bodyDiv w:val="1"/>
      <w:marLeft w:val="0"/>
      <w:marRight w:val="0"/>
      <w:marTop w:val="0"/>
      <w:marBottom w:val="0"/>
      <w:divBdr>
        <w:top w:val="none" w:sz="0" w:space="0" w:color="auto"/>
        <w:left w:val="none" w:sz="0" w:space="0" w:color="auto"/>
        <w:bottom w:val="none" w:sz="0" w:space="0" w:color="auto"/>
        <w:right w:val="none" w:sz="0" w:space="0" w:color="auto"/>
      </w:divBdr>
    </w:div>
    <w:div w:id="751780003">
      <w:bodyDiv w:val="1"/>
      <w:marLeft w:val="0"/>
      <w:marRight w:val="0"/>
      <w:marTop w:val="0"/>
      <w:marBottom w:val="0"/>
      <w:divBdr>
        <w:top w:val="none" w:sz="0" w:space="0" w:color="auto"/>
        <w:left w:val="none" w:sz="0" w:space="0" w:color="auto"/>
        <w:bottom w:val="none" w:sz="0" w:space="0" w:color="auto"/>
        <w:right w:val="none" w:sz="0" w:space="0" w:color="auto"/>
      </w:divBdr>
    </w:div>
    <w:div w:id="752357013">
      <w:bodyDiv w:val="1"/>
      <w:marLeft w:val="0"/>
      <w:marRight w:val="0"/>
      <w:marTop w:val="0"/>
      <w:marBottom w:val="0"/>
      <w:divBdr>
        <w:top w:val="none" w:sz="0" w:space="0" w:color="auto"/>
        <w:left w:val="none" w:sz="0" w:space="0" w:color="auto"/>
        <w:bottom w:val="none" w:sz="0" w:space="0" w:color="auto"/>
        <w:right w:val="none" w:sz="0" w:space="0" w:color="auto"/>
      </w:divBdr>
    </w:div>
    <w:div w:id="755134056">
      <w:bodyDiv w:val="1"/>
      <w:marLeft w:val="0"/>
      <w:marRight w:val="0"/>
      <w:marTop w:val="0"/>
      <w:marBottom w:val="0"/>
      <w:divBdr>
        <w:top w:val="none" w:sz="0" w:space="0" w:color="auto"/>
        <w:left w:val="none" w:sz="0" w:space="0" w:color="auto"/>
        <w:bottom w:val="none" w:sz="0" w:space="0" w:color="auto"/>
        <w:right w:val="none" w:sz="0" w:space="0" w:color="auto"/>
      </w:divBdr>
    </w:div>
    <w:div w:id="766316545">
      <w:bodyDiv w:val="1"/>
      <w:marLeft w:val="0"/>
      <w:marRight w:val="0"/>
      <w:marTop w:val="0"/>
      <w:marBottom w:val="0"/>
      <w:divBdr>
        <w:top w:val="none" w:sz="0" w:space="0" w:color="auto"/>
        <w:left w:val="none" w:sz="0" w:space="0" w:color="auto"/>
        <w:bottom w:val="none" w:sz="0" w:space="0" w:color="auto"/>
        <w:right w:val="none" w:sz="0" w:space="0" w:color="auto"/>
      </w:divBdr>
    </w:div>
    <w:div w:id="768044466">
      <w:bodyDiv w:val="1"/>
      <w:marLeft w:val="0"/>
      <w:marRight w:val="0"/>
      <w:marTop w:val="0"/>
      <w:marBottom w:val="0"/>
      <w:divBdr>
        <w:top w:val="none" w:sz="0" w:space="0" w:color="auto"/>
        <w:left w:val="none" w:sz="0" w:space="0" w:color="auto"/>
        <w:bottom w:val="none" w:sz="0" w:space="0" w:color="auto"/>
        <w:right w:val="none" w:sz="0" w:space="0" w:color="auto"/>
      </w:divBdr>
    </w:div>
    <w:div w:id="770703545">
      <w:bodyDiv w:val="1"/>
      <w:marLeft w:val="0"/>
      <w:marRight w:val="0"/>
      <w:marTop w:val="0"/>
      <w:marBottom w:val="0"/>
      <w:divBdr>
        <w:top w:val="none" w:sz="0" w:space="0" w:color="auto"/>
        <w:left w:val="none" w:sz="0" w:space="0" w:color="auto"/>
        <w:bottom w:val="none" w:sz="0" w:space="0" w:color="auto"/>
        <w:right w:val="none" w:sz="0" w:space="0" w:color="auto"/>
      </w:divBdr>
    </w:div>
    <w:div w:id="771709022">
      <w:bodyDiv w:val="1"/>
      <w:marLeft w:val="0"/>
      <w:marRight w:val="0"/>
      <w:marTop w:val="0"/>
      <w:marBottom w:val="0"/>
      <w:divBdr>
        <w:top w:val="none" w:sz="0" w:space="0" w:color="auto"/>
        <w:left w:val="none" w:sz="0" w:space="0" w:color="auto"/>
        <w:bottom w:val="none" w:sz="0" w:space="0" w:color="auto"/>
        <w:right w:val="none" w:sz="0" w:space="0" w:color="auto"/>
      </w:divBdr>
    </w:div>
    <w:div w:id="781070966">
      <w:bodyDiv w:val="1"/>
      <w:marLeft w:val="0"/>
      <w:marRight w:val="0"/>
      <w:marTop w:val="0"/>
      <w:marBottom w:val="0"/>
      <w:divBdr>
        <w:top w:val="none" w:sz="0" w:space="0" w:color="auto"/>
        <w:left w:val="none" w:sz="0" w:space="0" w:color="auto"/>
        <w:bottom w:val="none" w:sz="0" w:space="0" w:color="auto"/>
        <w:right w:val="none" w:sz="0" w:space="0" w:color="auto"/>
      </w:divBdr>
    </w:div>
    <w:div w:id="782579830">
      <w:bodyDiv w:val="1"/>
      <w:marLeft w:val="0"/>
      <w:marRight w:val="0"/>
      <w:marTop w:val="0"/>
      <w:marBottom w:val="0"/>
      <w:divBdr>
        <w:top w:val="none" w:sz="0" w:space="0" w:color="auto"/>
        <w:left w:val="none" w:sz="0" w:space="0" w:color="auto"/>
        <w:bottom w:val="none" w:sz="0" w:space="0" w:color="auto"/>
        <w:right w:val="none" w:sz="0" w:space="0" w:color="auto"/>
      </w:divBdr>
    </w:div>
    <w:div w:id="792090330">
      <w:bodyDiv w:val="1"/>
      <w:marLeft w:val="0"/>
      <w:marRight w:val="0"/>
      <w:marTop w:val="0"/>
      <w:marBottom w:val="0"/>
      <w:divBdr>
        <w:top w:val="none" w:sz="0" w:space="0" w:color="auto"/>
        <w:left w:val="none" w:sz="0" w:space="0" w:color="auto"/>
        <w:bottom w:val="none" w:sz="0" w:space="0" w:color="auto"/>
        <w:right w:val="none" w:sz="0" w:space="0" w:color="auto"/>
      </w:divBdr>
    </w:div>
    <w:div w:id="798036913">
      <w:bodyDiv w:val="1"/>
      <w:marLeft w:val="0"/>
      <w:marRight w:val="0"/>
      <w:marTop w:val="0"/>
      <w:marBottom w:val="0"/>
      <w:divBdr>
        <w:top w:val="none" w:sz="0" w:space="0" w:color="auto"/>
        <w:left w:val="none" w:sz="0" w:space="0" w:color="auto"/>
        <w:bottom w:val="none" w:sz="0" w:space="0" w:color="auto"/>
        <w:right w:val="none" w:sz="0" w:space="0" w:color="auto"/>
      </w:divBdr>
    </w:div>
    <w:div w:id="800195269">
      <w:bodyDiv w:val="1"/>
      <w:marLeft w:val="0"/>
      <w:marRight w:val="0"/>
      <w:marTop w:val="0"/>
      <w:marBottom w:val="0"/>
      <w:divBdr>
        <w:top w:val="none" w:sz="0" w:space="0" w:color="auto"/>
        <w:left w:val="none" w:sz="0" w:space="0" w:color="auto"/>
        <w:bottom w:val="none" w:sz="0" w:space="0" w:color="auto"/>
        <w:right w:val="none" w:sz="0" w:space="0" w:color="auto"/>
      </w:divBdr>
    </w:div>
    <w:div w:id="825053747">
      <w:bodyDiv w:val="1"/>
      <w:marLeft w:val="0"/>
      <w:marRight w:val="0"/>
      <w:marTop w:val="0"/>
      <w:marBottom w:val="0"/>
      <w:divBdr>
        <w:top w:val="none" w:sz="0" w:space="0" w:color="auto"/>
        <w:left w:val="none" w:sz="0" w:space="0" w:color="auto"/>
        <w:bottom w:val="none" w:sz="0" w:space="0" w:color="auto"/>
        <w:right w:val="none" w:sz="0" w:space="0" w:color="auto"/>
      </w:divBdr>
    </w:div>
    <w:div w:id="827668580">
      <w:bodyDiv w:val="1"/>
      <w:marLeft w:val="0"/>
      <w:marRight w:val="0"/>
      <w:marTop w:val="0"/>
      <w:marBottom w:val="0"/>
      <w:divBdr>
        <w:top w:val="none" w:sz="0" w:space="0" w:color="auto"/>
        <w:left w:val="none" w:sz="0" w:space="0" w:color="auto"/>
        <w:bottom w:val="none" w:sz="0" w:space="0" w:color="auto"/>
        <w:right w:val="none" w:sz="0" w:space="0" w:color="auto"/>
      </w:divBdr>
    </w:div>
    <w:div w:id="829754030">
      <w:bodyDiv w:val="1"/>
      <w:marLeft w:val="0"/>
      <w:marRight w:val="0"/>
      <w:marTop w:val="0"/>
      <w:marBottom w:val="0"/>
      <w:divBdr>
        <w:top w:val="none" w:sz="0" w:space="0" w:color="auto"/>
        <w:left w:val="none" w:sz="0" w:space="0" w:color="auto"/>
        <w:bottom w:val="none" w:sz="0" w:space="0" w:color="auto"/>
        <w:right w:val="none" w:sz="0" w:space="0" w:color="auto"/>
      </w:divBdr>
    </w:div>
    <w:div w:id="843781669">
      <w:bodyDiv w:val="1"/>
      <w:marLeft w:val="0"/>
      <w:marRight w:val="0"/>
      <w:marTop w:val="0"/>
      <w:marBottom w:val="0"/>
      <w:divBdr>
        <w:top w:val="none" w:sz="0" w:space="0" w:color="auto"/>
        <w:left w:val="none" w:sz="0" w:space="0" w:color="auto"/>
        <w:bottom w:val="none" w:sz="0" w:space="0" w:color="auto"/>
        <w:right w:val="none" w:sz="0" w:space="0" w:color="auto"/>
      </w:divBdr>
    </w:div>
    <w:div w:id="844824779">
      <w:bodyDiv w:val="1"/>
      <w:marLeft w:val="0"/>
      <w:marRight w:val="0"/>
      <w:marTop w:val="0"/>
      <w:marBottom w:val="0"/>
      <w:divBdr>
        <w:top w:val="none" w:sz="0" w:space="0" w:color="auto"/>
        <w:left w:val="none" w:sz="0" w:space="0" w:color="auto"/>
        <w:bottom w:val="none" w:sz="0" w:space="0" w:color="auto"/>
        <w:right w:val="none" w:sz="0" w:space="0" w:color="auto"/>
      </w:divBdr>
    </w:div>
    <w:div w:id="849761903">
      <w:bodyDiv w:val="1"/>
      <w:marLeft w:val="0"/>
      <w:marRight w:val="0"/>
      <w:marTop w:val="0"/>
      <w:marBottom w:val="0"/>
      <w:divBdr>
        <w:top w:val="none" w:sz="0" w:space="0" w:color="auto"/>
        <w:left w:val="none" w:sz="0" w:space="0" w:color="auto"/>
        <w:bottom w:val="none" w:sz="0" w:space="0" w:color="auto"/>
        <w:right w:val="none" w:sz="0" w:space="0" w:color="auto"/>
      </w:divBdr>
      <w:divsChild>
        <w:div w:id="974483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812223">
      <w:bodyDiv w:val="1"/>
      <w:marLeft w:val="0"/>
      <w:marRight w:val="0"/>
      <w:marTop w:val="0"/>
      <w:marBottom w:val="0"/>
      <w:divBdr>
        <w:top w:val="none" w:sz="0" w:space="0" w:color="auto"/>
        <w:left w:val="none" w:sz="0" w:space="0" w:color="auto"/>
        <w:bottom w:val="none" w:sz="0" w:space="0" w:color="auto"/>
        <w:right w:val="none" w:sz="0" w:space="0" w:color="auto"/>
      </w:divBdr>
    </w:div>
    <w:div w:id="872889830">
      <w:bodyDiv w:val="1"/>
      <w:marLeft w:val="0"/>
      <w:marRight w:val="0"/>
      <w:marTop w:val="0"/>
      <w:marBottom w:val="0"/>
      <w:divBdr>
        <w:top w:val="none" w:sz="0" w:space="0" w:color="auto"/>
        <w:left w:val="none" w:sz="0" w:space="0" w:color="auto"/>
        <w:bottom w:val="none" w:sz="0" w:space="0" w:color="auto"/>
        <w:right w:val="none" w:sz="0" w:space="0" w:color="auto"/>
      </w:divBdr>
    </w:div>
    <w:div w:id="874389683">
      <w:bodyDiv w:val="1"/>
      <w:marLeft w:val="0"/>
      <w:marRight w:val="0"/>
      <w:marTop w:val="0"/>
      <w:marBottom w:val="0"/>
      <w:divBdr>
        <w:top w:val="none" w:sz="0" w:space="0" w:color="auto"/>
        <w:left w:val="none" w:sz="0" w:space="0" w:color="auto"/>
        <w:bottom w:val="none" w:sz="0" w:space="0" w:color="auto"/>
        <w:right w:val="none" w:sz="0" w:space="0" w:color="auto"/>
      </w:divBdr>
    </w:div>
    <w:div w:id="883523568">
      <w:bodyDiv w:val="1"/>
      <w:marLeft w:val="0"/>
      <w:marRight w:val="0"/>
      <w:marTop w:val="0"/>
      <w:marBottom w:val="0"/>
      <w:divBdr>
        <w:top w:val="none" w:sz="0" w:space="0" w:color="auto"/>
        <w:left w:val="none" w:sz="0" w:space="0" w:color="auto"/>
        <w:bottom w:val="none" w:sz="0" w:space="0" w:color="auto"/>
        <w:right w:val="none" w:sz="0" w:space="0" w:color="auto"/>
      </w:divBdr>
    </w:div>
    <w:div w:id="885723392">
      <w:bodyDiv w:val="1"/>
      <w:marLeft w:val="0"/>
      <w:marRight w:val="0"/>
      <w:marTop w:val="0"/>
      <w:marBottom w:val="0"/>
      <w:divBdr>
        <w:top w:val="none" w:sz="0" w:space="0" w:color="auto"/>
        <w:left w:val="none" w:sz="0" w:space="0" w:color="auto"/>
        <w:bottom w:val="none" w:sz="0" w:space="0" w:color="auto"/>
        <w:right w:val="none" w:sz="0" w:space="0" w:color="auto"/>
      </w:divBdr>
    </w:div>
    <w:div w:id="895511940">
      <w:bodyDiv w:val="1"/>
      <w:marLeft w:val="0"/>
      <w:marRight w:val="0"/>
      <w:marTop w:val="0"/>
      <w:marBottom w:val="0"/>
      <w:divBdr>
        <w:top w:val="none" w:sz="0" w:space="0" w:color="auto"/>
        <w:left w:val="none" w:sz="0" w:space="0" w:color="auto"/>
        <w:bottom w:val="none" w:sz="0" w:space="0" w:color="auto"/>
        <w:right w:val="none" w:sz="0" w:space="0" w:color="auto"/>
      </w:divBdr>
    </w:div>
    <w:div w:id="897741318">
      <w:bodyDiv w:val="1"/>
      <w:marLeft w:val="0"/>
      <w:marRight w:val="0"/>
      <w:marTop w:val="0"/>
      <w:marBottom w:val="0"/>
      <w:divBdr>
        <w:top w:val="none" w:sz="0" w:space="0" w:color="auto"/>
        <w:left w:val="none" w:sz="0" w:space="0" w:color="auto"/>
        <w:bottom w:val="none" w:sz="0" w:space="0" w:color="auto"/>
        <w:right w:val="none" w:sz="0" w:space="0" w:color="auto"/>
      </w:divBdr>
    </w:div>
    <w:div w:id="899556025">
      <w:bodyDiv w:val="1"/>
      <w:marLeft w:val="0"/>
      <w:marRight w:val="0"/>
      <w:marTop w:val="0"/>
      <w:marBottom w:val="0"/>
      <w:divBdr>
        <w:top w:val="none" w:sz="0" w:space="0" w:color="auto"/>
        <w:left w:val="none" w:sz="0" w:space="0" w:color="auto"/>
        <w:bottom w:val="none" w:sz="0" w:space="0" w:color="auto"/>
        <w:right w:val="none" w:sz="0" w:space="0" w:color="auto"/>
      </w:divBdr>
    </w:div>
    <w:div w:id="899633184">
      <w:bodyDiv w:val="1"/>
      <w:marLeft w:val="0"/>
      <w:marRight w:val="0"/>
      <w:marTop w:val="0"/>
      <w:marBottom w:val="0"/>
      <w:divBdr>
        <w:top w:val="none" w:sz="0" w:space="0" w:color="auto"/>
        <w:left w:val="none" w:sz="0" w:space="0" w:color="auto"/>
        <w:bottom w:val="none" w:sz="0" w:space="0" w:color="auto"/>
        <w:right w:val="none" w:sz="0" w:space="0" w:color="auto"/>
      </w:divBdr>
    </w:div>
    <w:div w:id="904798623">
      <w:bodyDiv w:val="1"/>
      <w:marLeft w:val="0"/>
      <w:marRight w:val="0"/>
      <w:marTop w:val="0"/>
      <w:marBottom w:val="0"/>
      <w:divBdr>
        <w:top w:val="none" w:sz="0" w:space="0" w:color="auto"/>
        <w:left w:val="none" w:sz="0" w:space="0" w:color="auto"/>
        <w:bottom w:val="none" w:sz="0" w:space="0" w:color="auto"/>
        <w:right w:val="none" w:sz="0" w:space="0" w:color="auto"/>
      </w:divBdr>
    </w:div>
    <w:div w:id="906501228">
      <w:bodyDiv w:val="1"/>
      <w:marLeft w:val="0"/>
      <w:marRight w:val="0"/>
      <w:marTop w:val="0"/>
      <w:marBottom w:val="0"/>
      <w:divBdr>
        <w:top w:val="none" w:sz="0" w:space="0" w:color="auto"/>
        <w:left w:val="none" w:sz="0" w:space="0" w:color="auto"/>
        <w:bottom w:val="none" w:sz="0" w:space="0" w:color="auto"/>
        <w:right w:val="none" w:sz="0" w:space="0" w:color="auto"/>
      </w:divBdr>
      <w:divsChild>
        <w:div w:id="780103956">
          <w:marLeft w:val="0"/>
          <w:marRight w:val="0"/>
          <w:marTop w:val="0"/>
          <w:marBottom w:val="0"/>
          <w:divBdr>
            <w:top w:val="none" w:sz="0" w:space="0" w:color="auto"/>
            <w:left w:val="none" w:sz="0" w:space="0" w:color="auto"/>
            <w:bottom w:val="none" w:sz="0" w:space="0" w:color="auto"/>
            <w:right w:val="none" w:sz="0" w:space="0" w:color="auto"/>
          </w:divBdr>
          <w:divsChild>
            <w:div w:id="63071627">
              <w:marLeft w:val="360"/>
              <w:marRight w:val="360"/>
              <w:marTop w:val="0"/>
              <w:marBottom w:val="300"/>
              <w:divBdr>
                <w:top w:val="none" w:sz="0" w:space="0" w:color="auto"/>
                <w:left w:val="none" w:sz="0" w:space="0" w:color="auto"/>
                <w:bottom w:val="none" w:sz="0" w:space="0" w:color="auto"/>
                <w:right w:val="none" w:sz="0" w:space="0" w:color="auto"/>
              </w:divBdr>
            </w:div>
          </w:divsChild>
        </w:div>
        <w:div w:id="2110003544">
          <w:marLeft w:val="0"/>
          <w:marRight w:val="0"/>
          <w:marTop w:val="0"/>
          <w:marBottom w:val="0"/>
          <w:divBdr>
            <w:top w:val="none" w:sz="0" w:space="0" w:color="auto"/>
            <w:left w:val="none" w:sz="0" w:space="0" w:color="auto"/>
            <w:bottom w:val="none" w:sz="0" w:space="0" w:color="auto"/>
            <w:right w:val="none" w:sz="0" w:space="0" w:color="auto"/>
          </w:divBdr>
          <w:divsChild>
            <w:div w:id="1542399879">
              <w:marLeft w:val="360"/>
              <w:marRight w:val="360"/>
              <w:marTop w:val="0"/>
              <w:marBottom w:val="300"/>
              <w:divBdr>
                <w:top w:val="none" w:sz="0" w:space="0" w:color="auto"/>
                <w:left w:val="none" w:sz="0" w:space="0" w:color="auto"/>
                <w:bottom w:val="none" w:sz="0" w:space="0" w:color="auto"/>
                <w:right w:val="none" w:sz="0" w:space="0" w:color="auto"/>
              </w:divBdr>
            </w:div>
          </w:divsChild>
        </w:div>
      </w:divsChild>
    </w:div>
    <w:div w:id="911545313">
      <w:bodyDiv w:val="1"/>
      <w:marLeft w:val="0"/>
      <w:marRight w:val="0"/>
      <w:marTop w:val="0"/>
      <w:marBottom w:val="0"/>
      <w:divBdr>
        <w:top w:val="none" w:sz="0" w:space="0" w:color="auto"/>
        <w:left w:val="none" w:sz="0" w:space="0" w:color="auto"/>
        <w:bottom w:val="none" w:sz="0" w:space="0" w:color="auto"/>
        <w:right w:val="none" w:sz="0" w:space="0" w:color="auto"/>
      </w:divBdr>
    </w:div>
    <w:div w:id="914625414">
      <w:bodyDiv w:val="1"/>
      <w:marLeft w:val="0"/>
      <w:marRight w:val="0"/>
      <w:marTop w:val="0"/>
      <w:marBottom w:val="0"/>
      <w:divBdr>
        <w:top w:val="none" w:sz="0" w:space="0" w:color="auto"/>
        <w:left w:val="none" w:sz="0" w:space="0" w:color="auto"/>
        <w:bottom w:val="none" w:sz="0" w:space="0" w:color="auto"/>
        <w:right w:val="none" w:sz="0" w:space="0" w:color="auto"/>
      </w:divBdr>
    </w:div>
    <w:div w:id="945693227">
      <w:bodyDiv w:val="1"/>
      <w:marLeft w:val="0"/>
      <w:marRight w:val="0"/>
      <w:marTop w:val="0"/>
      <w:marBottom w:val="0"/>
      <w:divBdr>
        <w:top w:val="none" w:sz="0" w:space="0" w:color="auto"/>
        <w:left w:val="none" w:sz="0" w:space="0" w:color="auto"/>
        <w:bottom w:val="none" w:sz="0" w:space="0" w:color="auto"/>
        <w:right w:val="none" w:sz="0" w:space="0" w:color="auto"/>
      </w:divBdr>
    </w:div>
    <w:div w:id="958873300">
      <w:bodyDiv w:val="1"/>
      <w:marLeft w:val="0"/>
      <w:marRight w:val="0"/>
      <w:marTop w:val="0"/>
      <w:marBottom w:val="0"/>
      <w:divBdr>
        <w:top w:val="none" w:sz="0" w:space="0" w:color="auto"/>
        <w:left w:val="none" w:sz="0" w:space="0" w:color="auto"/>
        <w:bottom w:val="none" w:sz="0" w:space="0" w:color="auto"/>
        <w:right w:val="none" w:sz="0" w:space="0" w:color="auto"/>
      </w:divBdr>
    </w:div>
    <w:div w:id="963535932">
      <w:bodyDiv w:val="1"/>
      <w:marLeft w:val="0"/>
      <w:marRight w:val="0"/>
      <w:marTop w:val="0"/>
      <w:marBottom w:val="0"/>
      <w:divBdr>
        <w:top w:val="none" w:sz="0" w:space="0" w:color="auto"/>
        <w:left w:val="none" w:sz="0" w:space="0" w:color="auto"/>
        <w:bottom w:val="none" w:sz="0" w:space="0" w:color="auto"/>
        <w:right w:val="none" w:sz="0" w:space="0" w:color="auto"/>
      </w:divBdr>
    </w:div>
    <w:div w:id="967322708">
      <w:bodyDiv w:val="1"/>
      <w:marLeft w:val="0"/>
      <w:marRight w:val="0"/>
      <w:marTop w:val="0"/>
      <w:marBottom w:val="0"/>
      <w:divBdr>
        <w:top w:val="none" w:sz="0" w:space="0" w:color="auto"/>
        <w:left w:val="none" w:sz="0" w:space="0" w:color="auto"/>
        <w:bottom w:val="none" w:sz="0" w:space="0" w:color="auto"/>
        <w:right w:val="none" w:sz="0" w:space="0" w:color="auto"/>
      </w:divBdr>
    </w:div>
    <w:div w:id="973952313">
      <w:bodyDiv w:val="1"/>
      <w:marLeft w:val="0"/>
      <w:marRight w:val="0"/>
      <w:marTop w:val="0"/>
      <w:marBottom w:val="0"/>
      <w:divBdr>
        <w:top w:val="none" w:sz="0" w:space="0" w:color="auto"/>
        <w:left w:val="none" w:sz="0" w:space="0" w:color="auto"/>
        <w:bottom w:val="none" w:sz="0" w:space="0" w:color="auto"/>
        <w:right w:val="none" w:sz="0" w:space="0" w:color="auto"/>
      </w:divBdr>
    </w:div>
    <w:div w:id="992368959">
      <w:bodyDiv w:val="1"/>
      <w:marLeft w:val="0"/>
      <w:marRight w:val="0"/>
      <w:marTop w:val="0"/>
      <w:marBottom w:val="0"/>
      <w:divBdr>
        <w:top w:val="none" w:sz="0" w:space="0" w:color="auto"/>
        <w:left w:val="none" w:sz="0" w:space="0" w:color="auto"/>
        <w:bottom w:val="none" w:sz="0" w:space="0" w:color="auto"/>
        <w:right w:val="none" w:sz="0" w:space="0" w:color="auto"/>
      </w:divBdr>
    </w:div>
    <w:div w:id="1011488158">
      <w:bodyDiv w:val="1"/>
      <w:marLeft w:val="0"/>
      <w:marRight w:val="0"/>
      <w:marTop w:val="0"/>
      <w:marBottom w:val="0"/>
      <w:divBdr>
        <w:top w:val="none" w:sz="0" w:space="0" w:color="auto"/>
        <w:left w:val="none" w:sz="0" w:space="0" w:color="auto"/>
        <w:bottom w:val="none" w:sz="0" w:space="0" w:color="auto"/>
        <w:right w:val="none" w:sz="0" w:space="0" w:color="auto"/>
      </w:divBdr>
    </w:div>
    <w:div w:id="1013067945">
      <w:bodyDiv w:val="1"/>
      <w:marLeft w:val="0"/>
      <w:marRight w:val="0"/>
      <w:marTop w:val="0"/>
      <w:marBottom w:val="0"/>
      <w:divBdr>
        <w:top w:val="none" w:sz="0" w:space="0" w:color="auto"/>
        <w:left w:val="none" w:sz="0" w:space="0" w:color="auto"/>
        <w:bottom w:val="none" w:sz="0" w:space="0" w:color="auto"/>
        <w:right w:val="none" w:sz="0" w:space="0" w:color="auto"/>
      </w:divBdr>
    </w:div>
    <w:div w:id="1020468102">
      <w:bodyDiv w:val="1"/>
      <w:marLeft w:val="0"/>
      <w:marRight w:val="0"/>
      <w:marTop w:val="0"/>
      <w:marBottom w:val="0"/>
      <w:divBdr>
        <w:top w:val="none" w:sz="0" w:space="0" w:color="auto"/>
        <w:left w:val="none" w:sz="0" w:space="0" w:color="auto"/>
        <w:bottom w:val="none" w:sz="0" w:space="0" w:color="auto"/>
        <w:right w:val="none" w:sz="0" w:space="0" w:color="auto"/>
      </w:divBdr>
      <w:divsChild>
        <w:div w:id="1468821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1788810">
      <w:bodyDiv w:val="1"/>
      <w:marLeft w:val="0"/>
      <w:marRight w:val="0"/>
      <w:marTop w:val="0"/>
      <w:marBottom w:val="0"/>
      <w:divBdr>
        <w:top w:val="none" w:sz="0" w:space="0" w:color="auto"/>
        <w:left w:val="none" w:sz="0" w:space="0" w:color="auto"/>
        <w:bottom w:val="none" w:sz="0" w:space="0" w:color="auto"/>
        <w:right w:val="none" w:sz="0" w:space="0" w:color="auto"/>
      </w:divBdr>
    </w:div>
    <w:div w:id="1047141566">
      <w:bodyDiv w:val="1"/>
      <w:marLeft w:val="0"/>
      <w:marRight w:val="0"/>
      <w:marTop w:val="0"/>
      <w:marBottom w:val="0"/>
      <w:divBdr>
        <w:top w:val="none" w:sz="0" w:space="0" w:color="auto"/>
        <w:left w:val="none" w:sz="0" w:space="0" w:color="auto"/>
        <w:bottom w:val="none" w:sz="0" w:space="0" w:color="auto"/>
        <w:right w:val="none" w:sz="0" w:space="0" w:color="auto"/>
      </w:divBdr>
    </w:div>
    <w:div w:id="1059859481">
      <w:bodyDiv w:val="1"/>
      <w:marLeft w:val="0"/>
      <w:marRight w:val="0"/>
      <w:marTop w:val="0"/>
      <w:marBottom w:val="0"/>
      <w:divBdr>
        <w:top w:val="none" w:sz="0" w:space="0" w:color="auto"/>
        <w:left w:val="none" w:sz="0" w:space="0" w:color="auto"/>
        <w:bottom w:val="none" w:sz="0" w:space="0" w:color="auto"/>
        <w:right w:val="none" w:sz="0" w:space="0" w:color="auto"/>
      </w:divBdr>
    </w:div>
    <w:div w:id="1065421216">
      <w:bodyDiv w:val="1"/>
      <w:marLeft w:val="0"/>
      <w:marRight w:val="0"/>
      <w:marTop w:val="0"/>
      <w:marBottom w:val="0"/>
      <w:divBdr>
        <w:top w:val="none" w:sz="0" w:space="0" w:color="auto"/>
        <w:left w:val="none" w:sz="0" w:space="0" w:color="auto"/>
        <w:bottom w:val="none" w:sz="0" w:space="0" w:color="auto"/>
        <w:right w:val="none" w:sz="0" w:space="0" w:color="auto"/>
      </w:divBdr>
    </w:div>
    <w:div w:id="1085151790">
      <w:bodyDiv w:val="1"/>
      <w:marLeft w:val="0"/>
      <w:marRight w:val="0"/>
      <w:marTop w:val="0"/>
      <w:marBottom w:val="0"/>
      <w:divBdr>
        <w:top w:val="none" w:sz="0" w:space="0" w:color="auto"/>
        <w:left w:val="none" w:sz="0" w:space="0" w:color="auto"/>
        <w:bottom w:val="none" w:sz="0" w:space="0" w:color="auto"/>
        <w:right w:val="none" w:sz="0" w:space="0" w:color="auto"/>
      </w:divBdr>
    </w:div>
    <w:div w:id="1087993940">
      <w:bodyDiv w:val="1"/>
      <w:marLeft w:val="0"/>
      <w:marRight w:val="0"/>
      <w:marTop w:val="0"/>
      <w:marBottom w:val="0"/>
      <w:divBdr>
        <w:top w:val="none" w:sz="0" w:space="0" w:color="auto"/>
        <w:left w:val="none" w:sz="0" w:space="0" w:color="auto"/>
        <w:bottom w:val="none" w:sz="0" w:space="0" w:color="auto"/>
        <w:right w:val="none" w:sz="0" w:space="0" w:color="auto"/>
      </w:divBdr>
      <w:divsChild>
        <w:div w:id="2129616080">
          <w:marLeft w:val="0"/>
          <w:marRight w:val="0"/>
          <w:marTop w:val="0"/>
          <w:marBottom w:val="0"/>
          <w:divBdr>
            <w:top w:val="none" w:sz="0" w:space="0" w:color="auto"/>
            <w:left w:val="none" w:sz="0" w:space="0" w:color="auto"/>
            <w:bottom w:val="none" w:sz="0" w:space="0" w:color="auto"/>
            <w:right w:val="none" w:sz="0" w:space="0" w:color="auto"/>
          </w:divBdr>
        </w:div>
        <w:div w:id="768892114">
          <w:marLeft w:val="0"/>
          <w:marRight w:val="0"/>
          <w:marTop w:val="0"/>
          <w:marBottom w:val="0"/>
          <w:divBdr>
            <w:top w:val="none" w:sz="0" w:space="0" w:color="auto"/>
            <w:left w:val="none" w:sz="0" w:space="0" w:color="auto"/>
            <w:bottom w:val="none" w:sz="0" w:space="0" w:color="auto"/>
            <w:right w:val="none" w:sz="0" w:space="0" w:color="auto"/>
          </w:divBdr>
        </w:div>
        <w:div w:id="45496959">
          <w:marLeft w:val="0"/>
          <w:marRight w:val="0"/>
          <w:marTop w:val="0"/>
          <w:marBottom w:val="0"/>
          <w:divBdr>
            <w:top w:val="none" w:sz="0" w:space="0" w:color="auto"/>
            <w:left w:val="none" w:sz="0" w:space="0" w:color="auto"/>
            <w:bottom w:val="none" w:sz="0" w:space="0" w:color="auto"/>
            <w:right w:val="none" w:sz="0" w:space="0" w:color="auto"/>
          </w:divBdr>
        </w:div>
        <w:div w:id="1336956813">
          <w:marLeft w:val="0"/>
          <w:marRight w:val="0"/>
          <w:marTop w:val="0"/>
          <w:marBottom w:val="0"/>
          <w:divBdr>
            <w:top w:val="none" w:sz="0" w:space="0" w:color="auto"/>
            <w:left w:val="none" w:sz="0" w:space="0" w:color="auto"/>
            <w:bottom w:val="none" w:sz="0" w:space="0" w:color="auto"/>
            <w:right w:val="none" w:sz="0" w:space="0" w:color="auto"/>
          </w:divBdr>
        </w:div>
        <w:div w:id="1854765267">
          <w:marLeft w:val="0"/>
          <w:marRight w:val="0"/>
          <w:marTop w:val="0"/>
          <w:marBottom w:val="0"/>
          <w:divBdr>
            <w:top w:val="none" w:sz="0" w:space="0" w:color="auto"/>
            <w:left w:val="none" w:sz="0" w:space="0" w:color="auto"/>
            <w:bottom w:val="none" w:sz="0" w:space="0" w:color="auto"/>
            <w:right w:val="none" w:sz="0" w:space="0" w:color="auto"/>
          </w:divBdr>
        </w:div>
        <w:div w:id="1413699601">
          <w:marLeft w:val="0"/>
          <w:marRight w:val="0"/>
          <w:marTop w:val="0"/>
          <w:marBottom w:val="0"/>
          <w:divBdr>
            <w:top w:val="none" w:sz="0" w:space="0" w:color="auto"/>
            <w:left w:val="none" w:sz="0" w:space="0" w:color="auto"/>
            <w:bottom w:val="none" w:sz="0" w:space="0" w:color="auto"/>
            <w:right w:val="none" w:sz="0" w:space="0" w:color="auto"/>
          </w:divBdr>
        </w:div>
        <w:div w:id="425422521">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
        <w:div w:id="1841115290">
          <w:marLeft w:val="0"/>
          <w:marRight w:val="0"/>
          <w:marTop w:val="0"/>
          <w:marBottom w:val="0"/>
          <w:divBdr>
            <w:top w:val="none" w:sz="0" w:space="0" w:color="auto"/>
            <w:left w:val="none" w:sz="0" w:space="0" w:color="auto"/>
            <w:bottom w:val="none" w:sz="0" w:space="0" w:color="auto"/>
            <w:right w:val="none" w:sz="0" w:space="0" w:color="auto"/>
          </w:divBdr>
        </w:div>
        <w:div w:id="1560551082">
          <w:marLeft w:val="0"/>
          <w:marRight w:val="0"/>
          <w:marTop w:val="0"/>
          <w:marBottom w:val="0"/>
          <w:divBdr>
            <w:top w:val="none" w:sz="0" w:space="0" w:color="auto"/>
            <w:left w:val="none" w:sz="0" w:space="0" w:color="auto"/>
            <w:bottom w:val="none" w:sz="0" w:space="0" w:color="auto"/>
            <w:right w:val="none" w:sz="0" w:space="0" w:color="auto"/>
          </w:divBdr>
        </w:div>
        <w:div w:id="1163621379">
          <w:marLeft w:val="0"/>
          <w:marRight w:val="0"/>
          <w:marTop w:val="0"/>
          <w:marBottom w:val="0"/>
          <w:divBdr>
            <w:top w:val="none" w:sz="0" w:space="0" w:color="auto"/>
            <w:left w:val="none" w:sz="0" w:space="0" w:color="auto"/>
            <w:bottom w:val="none" w:sz="0" w:space="0" w:color="auto"/>
            <w:right w:val="none" w:sz="0" w:space="0" w:color="auto"/>
          </w:divBdr>
        </w:div>
        <w:div w:id="2017027519">
          <w:marLeft w:val="0"/>
          <w:marRight w:val="0"/>
          <w:marTop w:val="0"/>
          <w:marBottom w:val="0"/>
          <w:divBdr>
            <w:top w:val="none" w:sz="0" w:space="0" w:color="auto"/>
            <w:left w:val="none" w:sz="0" w:space="0" w:color="auto"/>
            <w:bottom w:val="none" w:sz="0" w:space="0" w:color="auto"/>
            <w:right w:val="none" w:sz="0" w:space="0" w:color="auto"/>
          </w:divBdr>
        </w:div>
        <w:div w:id="659961849">
          <w:marLeft w:val="0"/>
          <w:marRight w:val="0"/>
          <w:marTop w:val="0"/>
          <w:marBottom w:val="0"/>
          <w:divBdr>
            <w:top w:val="none" w:sz="0" w:space="0" w:color="auto"/>
            <w:left w:val="none" w:sz="0" w:space="0" w:color="auto"/>
            <w:bottom w:val="none" w:sz="0" w:space="0" w:color="auto"/>
            <w:right w:val="none" w:sz="0" w:space="0" w:color="auto"/>
          </w:divBdr>
        </w:div>
        <w:div w:id="203176161">
          <w:marLeft w:val="0"/>
          <w:marRight w:val="0"/>
          <w:marTop w:val="0"/>
          <w:marBottom w:val="0"/>
          <w:divBdr>
            <w:top w:val="none" w:sz="0" w:space="0" w:color="auto"/>
            <w:left w:val="none" w:sz="0" w:space="0" w:color="auto"/>
            <w:bottom w:val="none" w:sz="0" w:space="0" w:color="auto"/>
            <w:right w:val="none" w:sz="0" w:space="0" w:color="auto"/>
          </w:divBdr>
        </w:div>
        <w:div w:id="226843583">
          <w:marLeft w:val="0"/>
          <w:marRight w:val="0"/>
          <w:marTop w:val="0"/>
          <w:marBottom w:val="0"/>
          <w:divBdr>
            <w:top w:val="none" w:sz="0" w:space="0" w:color="auto"/>
            <w:left w:val="none" w:sz="0" w:space="0" w:color="auto"/>
            <w:bottom w:val="none" w:sz="0" w:space="0" w:color="auto"/>
            <w:right w:val="none" w:sz="0" w:space="0" w:color="auto"/>
          </w:divBdr>
        </w:div>
        <w:div w:id="690840675">
          <w:marLeft w:val="0"/>
          <w:marRight w:val="0"/>
          <w:marTop w:val="0"/>
          <w:marBottom w:val="0"/>
          <w:divBdr>
            <w:top w:val="none" w:sz="0" w:space="0" w:color="auto"/>
            <w:left w:val="none" w:sz="0" w:space="0" w:color="auto"/>
            <w:bottom w:val="none" w:sz="0" w:space="0" w:color="auto"/>
            <w:right w:val="none" w:sz="0" w:space="0" w:color="auto"/>
          </w:divBdr>
        </w:div>
        <w:div w:id="1725593059">
          <w:marLeft w:val="0"/>
          <w:marRight w:val="0"/>
          <w:marTop w:val="0"/>
          <w:marBottom w:val="0"/>
          <w:divBdr>
            <w:top w:val="none" w:sz="0" w:space="0" w:color="auto"/>
            <w:left w:val="none" w:sz="0" w:space="0" w:color="auto"/>
            <w:bottom w:val="none" w:sz="0" w:space="0" w:color="auto"/>
            <w:right w:val="none" w:sz="0" w:space="0" w:color="auto"/>
          </w:divBdr>
        </w:div>
        <w:div w:id="2126656667">
          <w:marLeft w:val="0"/>
          <w:marRight w:val="0"/>
          <w:marTop w:val="0"/>
          <w:marBottom w:val="0"/>
          <w:divBdr>
            <w:top w:val="none" w:sz="0" w:space="0" w:color="auto"/>
            <w:left w:val="none" w:sz="0" w:space="0" w:color="auto"/>
            <w:bottom w:val="none" w:sz="0" w:space="0" w:color="auto"/>
            <w:right w:val="none" w:sz="0" w:space="0" w:color="auto"/>
          </w:divBdr>
        </w:div>
        <w:div w:id="388042732">
          <w:marLeft w:val="0"/>
          <w:marRight w:val="0"/>
          <w:marTop w:val="0"/>
          <w:marBottom w:val="0"/>
          <w:divBdr>
            <w:top w:val="none" w:sz="0" w:space="0" w:color="auto"/>
            <w:left w:val="none" w:sz="0" w:space="0" w:color="auto"/>
            <w:bottom w:val="none" w:sz="0" w:space="0" w:color="auto"/>
            <w:right w:val="none" w:sz="0" w:space="0" w:color="auto"/>
          </w:divBdr>
        </w:div>
        <w:div w:id="1801149328">
          <w:marLeft w:val="0"/>
          <w:marRight w:val="0"/>
          <w:marTop w:val="0"/>
          <w:marBottom w:val="0"/>
          <w:divBdr>
            <w:top w:val="none" w:sz="0" w:space="0" w:color="auto"/>
            <w:left w:val="none" w:sz="0" w:space="0" w:color="auto"/>
            <w:bottom w:val="none" w:sz="0" w:space="0" w:color="auto"/>
            <w:right w:val="none" w:sz="0" w:space="0" w:color="auto"/>
          </w:divBdr>
        </w:div>
        <w:div w:id="903098804">
          <w:marLeft w:val="0"/>
          <w:marRight w:val="0"/>
          <w:marTop w:val="0"/>
          <w:marBottom w:val="0"/>
          <w:divBdr>
            <w:top w:val="none" w:sz="0" w:space="0" w:color="auto"/>
            <w:left w:val="none" w:sz="0" w:space="0" w:color="auto"/>
            <w:bottom w:val="none" w:sz="0" w:space="0" w:color="auto"/>
            <w:right w:val="none" w:sz="0" w:space="0" w:color="auto"/>
          </w:divBdr>
        </w:div>
        <w:div w:id="1094517017">
          <w:marLeft w:val="0"/>
          <w:marRight w:val="0"/>
          <w:marTop w:val="0"/>
          <w:marBottom w:val="0"/>
          <w:divBdr>
            <w:top w:val="none" w:sz="0" w:space="0" w:color="auto"/>
            <w:left w:val="none" w:sz="0" w:space="0" w:color="auto"/>
            <w:bottom w:val="none" w:sz="0" w:space="0" w:color="auto"/>
            <w:right w:val="none" w:sz="0" w:space="0" w:color="auto"/>
          </w:divBdr>
        </w:div>
        <w:div w:id="1221673474">
          <w:marLeft w:val="0"/>
          <w:marRight w:val="0"/>
          <w:marTop w:val="0"/>
          <w:marBottom w:val="0"/>
          <w:divBdr>
            <w:top w:val="none" w:sz="0" w:space="0" w:color="auto"/>
            <w:left w:val="none" w:sz="0" w:space="0" w:color="auto"/>
            <w:bottom w:val="none" w:sz="0" w:space="0" w:color="auto"/>
            <w:right w:val="none" w:sz="0" w:space="0" w:color="auto"/>
          </w:divBdr>
        </w:div>
        <w:div w:id="696277618">
          <w:marLeft w:val="0"/>
          <w:marRight w:val="0"/>
          <w:marTop w:val="0"/>
          <w:marBottom w:val="0"/>
          <w:divBdr>
            <w:top w:val="none" w:sz="0" w:space="0" w:color="auto"/>
            <w:left w:val="none" w:sz="0" w:space="0" w:color="auto"/>
            <w:bottom w:val="none" w:sz="0" w:space="0" w:color="auto"/>
            <w:right w:val="none" w:sz="0" w:space="0" w:color="auto"/>
          </w:divBdr>
        </w:div>
        <w:div w:id="1539780505">
          <w:marLeft w:val="0"/>
          <w:marRight w:val="0"/>
          <w:marTop w:val="0"/>
          <w:marBottom w:val="0"/>
          <w:divBdr>
            <w:top w:val="none" w:sz="0" w:space="0" w:color="auto"/>
            <w:left w:val="none" w:sz="0" w:space="0" w:color="auto"/>
            <w:bottom w:val="none" w:sz="0" w:space="0" w:color="auto"/>
            <w:right w:val="none" w:sz="0" w:space="0" w:color="auto"/>
          </w:divBdr>
        </w:div>
        <w:div w:id="442923039">
          <w:marLeft w:val="0"/>
          <w:marRight w:val="0"/>
          <w:marTop w:val="0"/>
          <w:marBottom w:val="0"/>
          <w:divBdr>
            <w:top w:val="none" w:sz="0" w:space="0" w:color="auto"/>
            <w:left w:val="none" w:sz="0" w:space="0" w:color="auto"/>
            <w:bottom w:val="none" w:sz="0" w:space="0" w:color="auto"/>
            <w:right w:val="none" w:sz="0" w:space="0" w:color="auto"/>
          </w:divBdr>
        </w:div>
        <w:div w:id="403796650">
          <w:marLeft w:val="0"/>
          <w:marRight w:val="0"/>
          <w:marTop w:val="0"/>
          <w:marBottom w:val="0"/>
          <w:divBdr>
            <w:top w:val="none" w:sz="0" w:space="0" w:color="auto"/>
            <w:left w:val="none" w:sz="0" w:space="0" w:color="auto"/>
            <w:bottom w:val="none" w:sz="0" w:space="0" w:color="auto"/>
            <w:right w:val="none" w:sz="0" w:space="0" w:color="auto"/>
          </w:divBdr>
        </w:div>
        <w:div w:id="1516578588">
          <w:marLeft w:val="0"/>
          <w:marRight w:val="0"/>
          <w:marTop w:val="0"/>
          <w:marBottom w:val="0"/>
          <w:divBdr>
            <w:top w:val="none" w:sz="0" w:space="0" w:color="auto"/>
            <w:left w:val="none" w:sz="0" w:space="0" w:color="auto"/>
            <w:bottom w:val="none" w:sz="0" w:space="0" w:color="auto"/>
            <w:right w:val="none" w:sz="0" w:space="0" w:color="auto"/>
          </w:divBdr>
        </w:div>
        <w:div w:id="113402963">
          <w:marLeft w:val="0"/>
          <w:marRight w:val="0"/>
          <w:marTop w:val="0"/>
          <w:marBottom w:val="0"/>
          <w:divBdr>
            <w:top w:val="none" w:sz="0" w:space="0" w:color="auto"/>
            <w:left w:val="none" w:sz="0" w:space="0" w:color="auto"/>
            <w:bottom w:val="none" w:sz="0" w:space="0" w:color="auto"/>
            <w:right w:val="none" w:sz="0" w:space="0" w:color="auto"/>
          </w:divBdr>
        </w:div>
        <w:div w:id="1582640007">
          <w:marLeft w:val="0"/>
          <w:marRight w:val="0"/>
          <w:marTop w:val="0"/>
          <w:marBottom w:val="0"/>
          <w:divBdr>
            <w:top w:val="none" w:sz="0" w:space="0" w:color="auto"/>
            <w:left w:val="none" w:sz="0" w:space="0" w:color="auto"/>
            <w:bottom w:val="none" w:sz="0" w:space="0" w:color="auto"/>
            <w:right w:val="none" w:sz="0" w:space="0" w:color="auto"/>
          </w:divBdr>
        </w:div>
        <w:div w:id="305283009">
          <w:marLeft w:val="0"/>
          <w:marRight w:val="0"/>
          <w:marTop w:val="0"/>
          <w:marBottom w:val="0"/>
          <w:divBdr>
            <w:top w:val="none" w:sz="0" w:space="0" w:color="auto"/>
            <w:left w:val="none" w:sz="0" w:space="0" w:color="auto"/>
            <w:bottom w:val="none" w:sz="0" w:space="0" w:color="auto"/>
            <w:right w:val="none" w:sz="0" w:space="0" w:color="auto"/>
          </w:divBdr>
        </w:div>
        <w:div w:id="1072583472">
          <w:marLeft w:val="0"/>
          <w:marRight w:val="0"/>
          <w:marTop w:val="0"/>
          <w:marBottom w:val="0"/>
          <w:divBdr>
            <w:top w:val="none" w:sz="0" w:space="0" w:color="auto"/>
            <w:left w:val="none" w:sz="0" w:space="0" w:color="auto"/>
            <w:bottom w:val="none" w:sz="0" w:space="0" w:color="auto"/>
            <w:right w:val="none" w:sz="0" w:space="0" w:color="auto"/>
          </w:divBdr>
        </w:div>
        <w:div w:id="228073831">
          <w:marLeft w:val="0"/>
          <w:marRight w:val="0"/>
          <w:marTop w:val="0"/>
          <w:marBottom w:val="0"/>
          <w:divBdr>
            <w:top w:val="none" w:sz="0" w:space="0" w:color="auto"/>
            <w:left w:val="none" w:sz="0" w:space="0" w:color="auto"/>
            <w:bottom w:val="none" w:sz="0" w:space="0" w:color="auto"/>
            <w:right w:val="none" w:sz="0" w:space="0" w:color="auto"/>
          </w:divBdr>
        </w:div>
        <w:div w:id="857549476">
          <w:marLeft w:val="0"/>
          <w:marRight w:val="0"/>
          <w:marTop w:val="0"/>
          <w:marBottom w:val="0"/>
          <w:divBdr>
            <w:top w:val="none" w:sz="0" w:space="0" w:color="auto"/>
            <w:left w:val="none" w:sz="0" w:space="0" w:color="auto"/>
            <w:bottom w:val="none" w:sz="0" w:space="0" w:color="auto"/>
            <w:right w:val="none" w:sz="0" w:space="0" w:color="auto"/>
          </w:divBdr>
        </w:div>
        <w:div w:id="587615550">
          <w:marLeft w:val="0"/>
          <w:marRight w:val="0"/>
          <w:marTop w:val="0"/>
          <w:marBottom w:val="0"/>
          <w:divBdr>
            <w:top w:val="none" w:sz="0" w:space="0" w:color="auto"/>
            <w:left w:val="none" w:sz="0" w:space="0" w:color="auto"/>
            <w:bottom w:val="none" w:sz="0" w:space="0" w:color="auto"/>
            <w:right w:val="none" w:sz="0" w:space="0" w:color="auto"/>
          </w:divBdr>
        </w:div>
        <w:div w:id="866334543">
          <w:marLeft w:val="0"/>
          <w:marRight w:val="0"/>
          <w:marTop w:val="0"/>
          <w:marBottom w:val="0"/>
          <w:divBdr>
            <w:top w:val="none" w:sz="0" w:space="0" w:color="auto"/>
            <w:left w:val="none" w:sz="0" w:space="0" w:color="auto"/>
            <w:bottom w:val="none" w:sz="0" w:space="0" w:color="auto"/>
            <w:right w:val="none" w:sz="0" w:space="0" w:color="auto"/>
          </w:divBdr>
        </w:div>
        <w:div w:id="1267469986">
          <w:marLeft w:val="0"/>
          <w:marRight w:val="0"/>
          <w:marTop w:val="0"/>
          <w:marBottom w:val="0"/>
          <w:divBdr>
            <w:top w:val="none" w:sz="0" w:space="0" w:color="auto"/>
            <w:left w:val="none" w:sz="0" w:space="0" w:color="auto"/>
            <w:bottom w:val="none" w:sz="0" w:space="0" w:color="auto"/>
            <w:right w:val="none" w:sz="0" w:space="0" w:color="auto"/>
          </w:divBdr>
        </w:div>
        <w:div w:id="659886472">
          <w:marLeft w:val="0"/>
          <w:marRight w:val="0"/>
          <w:marTop w:val="0"/>
          <w:marBottom w:val="0"/>
          <w:divBdr>
            <w:top w:val="none" w:sz="0" w:space="0" w:color="auto"/>
            <w:left w:val="none" w:sz="0" w:space="0" w:color="auto"/>
            <w:bottom w:val="none" w:sz="0" w:space="0" w:color="auto"/>
            <w:right w:val="none" w:sz="0" w:space="0" w:color="auto"/>
          </w:divBdr>
        </w:div>
        <w:div w:id="1395929467">
          <w:marLeft w:val="0"/>
          <w:marRight w:val="0"/>
          <w:marTop w:val="0"/>
          <w:marBottom w:val="0"/>
          <w:divBdr>
            <w:top w:val="none" w:sz="0" w:space="0" w:color="auto"/>
            <w:left w:val="none" w:sz="0" w:space="0" w:color="auto"/>
            <w:bottom w:val="none" w:sz="0" w:space="0" w:color="auto"/>
            <w:right w:val="none" w:sz="0" w:space="0" w:color="auto"/>
          </w:divBdr>
        </w:div>
      </w:divsChild>
    </w:div>
    <w:div w:id="1096754052">
      <w:bodyDiv w:val="1"/>
      <w:marLeft w:val="0"/>
      <w:marRight w:val="0"/>
      <w:marTop w:val="0"/>
      <w:marBottom w:val="0"/>
      <w:divBdr>
        <w:top w:val="none" w:sz="0" w:space="0" w:color="auto"/>
        <w:left w:val="none" w:sz="0" w:space="0" w:color="auto"/>
        <w:bottom w:val="none" w:sz="0" w:space="0" w:color="auto"/>
        <w:right w:val="none" w:sz="0" w:space="0" w:color="auto"/>
      </w:divBdr>
    </w:div>
    <w:div w:id="1101536653">
      <w:bodyDiv w:val="1"/>
      <w:marLeft w:val="0"/>
      <w:marRight w:val="0"/>
      <w:marTop w:val="0"/>
      <w:marBottom w:val="0"/>
      <w:divBdr>
        <w:top w:val="none" w:sz="0" w:space="0" w:color="auto"/>
        <w:left w:val="none" w:sz="0" w:space="0" w:color="auto"/>
        <w:bottom w:val="none" w:sz="0" w:space="0" w:color="auto"/>
        <w:right w:val="none" w:sz="0" w:space="0" w:color="auto"/>
      </w:divBdr>
    </w:div>
    <w:div w:id="1105464075">
      <w:bodyDiv w:val="1"/>
      <w:marLeft w:val="0"/>
      <w:marRight w:val="0"/>
      <w:marTop w:val="0"/>
      <w:marBottom w:val="0"/>
      <w:divBdr>
        <w:top w:val="none" w:sz="0" w:space="0" w:color="auto"/>
        <w:left w:val="none" w:sz="0" w:space="0" w:color="auto"/>
        <w:bottom w:val="none" w:sz="0" w:space="0" w:color="auto"/>
        <w:right w:val="none" w:sz="0" w:space="0" w:color="auto"/>
      </w:divBdr>
    </w:div>
    <w:div w:id="1128553197">
      <w:bodyDiv w:val="1"/>
      <w:marLeft w:val="0"/>
      <w:marRight w:val="0"/>
      <w:marTop w:val="0"/>
      <w:marBottom w:val="0"/>
      <w:divBdr>
        <w:top w:val="none" w:sz="0" w:space="0" w:color="auto"/>
        <w:left w:val="none" w:sz="0" w:space="0" w:color="auto"/>
        <w:bottom w:val="none" w:sz="0" w:space="0" w:color="auto"/>
        <w:right w:val="none" w:sz="0" w:space="0" w:color="auto"/>
      </w:divBdr>
    </w:div>
    <w:div w:id="1129009952">
      <w:bodyDiv w:val="1"/>
      <w:marLeft w:val="0"/>
      <w:marRight w:val="0"/>
      <w:marTop w:val="0"/>
      <w:marBottom w:val="0"/>
      <w:divBdr>
        <w:top w:val="none" w:sz="0" w:space="0" w:color="auto"/>
        <w:left w:val="none" w:sz="0" w:space="0" w:color="auto"/>
        <w:bottom w:val="none" w:sz="0" w:space="0" w:color="auto"/>
        <w:right w:val="none" w:sz="0" w:space="0" w:color="auto"/>
      </w:divBdr>
    </w:div>
    <w:div w:id="1133864149">
      <w:bodyDiv w:val="1"/>
      <w:marLeft w:val="0"/>
      <w:marRight w:val="0"/>
      <w:marTop w:val="0"/>
      <w:marBottom w:val="0"/>
      <w:divBdr>
        <w:top w:val="none" w:sz="0" w:space="0" w:color="auto"/>
        <w:left w:val="none" w:sz="0" w:space="0" w:color="auto"/>
        <w:bottom w:val="none" w:sz="0" w:space="0" w:color="auto"/>
        <w:right w:val="none" w:sz="0" w:space="0" w:color="auto"/>
      </w:divBdr>
    </w:div>
    <w:div w:id="1148715612">
      <w:bodyDiv w:val="1"/>
      <w:marLeft w:val="0"/>
      <w:marRight w:val="0"/>
      <w:marTop w:val="0"/>
      <w:marBottom w:val="0"/>
      <w:divBdr>
        <w:top w:val="none" w:sz="0" w:space="0" w:color="auto"/>
        <w:left w:val="none" w:sz="0" w:space="0" w:color="auto"/>
        <w:bottom w:val="none" w:sz="0" w:space="0" w:color="auto"/>
        <w:right w:val="none" w:sz="0" w:space="0" w:color="auto"/>
      </w:divBdr>
    </w:div>
    <w:div w:id="1149441342">
      <w:bodyDiv w:val="1"/>
      <w:marLeft w:val="0"/>
      <w:marRight w:val="0"/>
      <w:marTop w:val="0"/>
      <w:marBottom w:val="0"/>
      <w:divBdr>
        <w:top w:val="none" w:sz="0" w:space="0" w:color="auto"/>
        <w:left w:val="none" w:sz="0" w:space="0" w:color="auto"/>
        <w:bottom w:val="none" w:sz="0" w:space="0" w:color="auto"/>
        <w:right w:val="none" w:sz="0" w:space="0" w:color="auto"/>
      </w:divBdr>
      <w:divsChild>
        <w:div w:id="2115712045">
          <w:marLeft w:val="0"/>
          <w:marRight w:val="0"/>
          <w:marTop w:val="0"/>
          <w:marBottom w:val="0"/>
          <w:divBdr>
            <w:top w:val="none" w:sz="0" w:space="0" w:color="auto"/>
            <w:left w:val="none" w:sz="0" w:space="0" w:color="auto"/>
            <w:bottom w:val="none" w:sz="0" w:space="0" w:color="auto"/>
            <w:right w:val="none" w:sz="0" w:space="0" w:color="auto"/>
          </w:divBdr>
        </w:div>
      </w:divsChild>
    </w:div>
    <w:div w:id="1160006394">
      <w:bodyDiv w:val="1"/>
      <w:marLeft w:val="0"/>
      <w:marRight w:val="0"/>
      <w:marTop w:val="0"/>
      <w:marBottom w:val="0"/>
      <w:divBdr>
        <w:top w:val="none" w:sz="0" w:space="0" w:color="auto"/>
        <w:left w:val="none" w:sz="0" w:space="0" w:color="auto"/>
        <w:bottom w:val="none" w:sz="0" w:space="0" w:color="auto"/>
        <w:right w:val="none" w:sz="0" w:space="0" w:color="auto"/>
      </w:divBdr>
    </w:div>
    <w:div w:id="1168790523">
      <w:bodyDiv w:val="1"/>
      <w:marLeft w:val="0"/>
      <w:marRight w:val="0"/>
      <w:marTop w:val="0"/>
      <w:marBottom w:val="0"/>
      <w:divBdr>
        <w:top w:val="none" w:sz="0" w:space="0" w:color="auto"/>
        <w:left w:val="none" w:sz="0" w:space="0" w:color="auto"/>
        <w:bottom w:val="none" w:sz="0" w:space="0" w:color="auto"/>
        <w:right w:val="none" w:sz="0" w:space="0" w:color="auto"/>
      </w:divBdr>
    </w:div>
    <w:div w:id="1178084182">
      <w:bodyDiv w:val="1"/>
      <w:marLeft w:val="0"/>
      <w:marRight w:val="0"/>
      <w:marTop w:val="0"/>
      <w:marBottom w:val="0"/>
      <w:divBdr>
        <w:top w:val="none" w:sz="0" w:space="0" w:color="auto"/>
        <w:left w:val="none" w:sz="0" w:space="0" w:color="auto"/>
        <w:bottom w:val="none" w:sz="0" w:space="0" w:color="auto"/>
        <w:right w:val="none" w:sz="0" w:space="0" w:color="auto"/>
      </w:divBdr>
    </w:div>
    <w:div w:id="1209879798">
      <w:bodyDiv w:val="1"/>
      <w:marLeft w:val="0"/>
      <w:marRight w:val="0"/>
      <w:marTop w:val="0"/>
      <w:marBottom w:val="0"/>
      <w:divBdr>
        <w:top w:val="none" w:sz="0" w:space="0" w:color="auto"/>
        <w:left w:val="none" w:sz="0" w:space="0" w:color="auto"/>
        <w:bottom w:val="none" w:sz="0" w:space="0" w:color="auto"/>
        <w:right w:val="none" w:sz="0" w:space="0" w:color="auto"/>
      </w:divBdr>
    </w:div>
    <w:div w:id="1212234241">
      <w:bodyDiv w:val="1"/>
      <w:marLeft w:val="0"/>
      <w:marRight w:val="0"/>
      <w:marTop w:val="0"/>
      <w:marBottom w:val="0"/>
      <w:divBdr>
        <w:top w:val="none" w:sz="0" w:space="0" w:color="auto"/>
        <w:left w:val="none" w:sz="0" w:space="0" w:color="auto"/>
        <w:bottom w:val="none" w:sz="0" w:space="0" w:color="auto"/>
        <w:right w:val="none" w:sz="0" w:space="0" w:color="auto"/>
      </w:divBdr>
    </w:div>
    <w:div w:id="1229421858">
      <w:bodyDiv w:val="1"/>
      <w:marLeft w:val="0"/>
      <w:marRight w:val="0"/>
      <w:marTop w:val="0"/>
      <w:marBottom w:val="0"/>
      <w:divBdr>
        <w:top w:val="none" w:sz="0" w:space="0" w:color="auto"/>
        <w:left w:val="none" w:sz="0" w:space="0" w:color="auto"/>
        <w:bottom w:val="none" w:sz="0" w:space="0" w:color="auto"/>
        <w:right w:val="none" w:sz="0" w:space="0" w:color="auto"/>
      </w:divBdr>
    </w:div>
    <w:div w:id="1230195624">
      <w:bodyDiv w:val="1"/>
      <w:marLeft w:val="0"/>
      <w:marRight w:val="0"/>
      <w:marTop w:val="0"/>
      <w:marBottom w:val="0"/>
      <w:divBdr>
        <w:top w:val="none" w:sz="0" w:space="0" w:color="auto"/>
        <w:left w:val="none" w:sz="0" w:space="0" w:color="auto"/>
        <w:bottom w:val="none" w:sz="0" w:space="0" w:color="auto"/>
        <w:right w:val="none" w:sz="0" w:space="0" w:color="auto"/>
      </w:divBdr>
    </w:div>
    <w:div w:id="1231422114">
      <w:bodyDiv w:val="1"/>
      <w:marLeft w:val="0"/>
      <w:marRight w:val="0"/>
      <w:marTop w:val="0"/>
      <w:marBottom w:val="0"/>
      <w:divBdr>
        <w:top w:val="none" w:sz="0" w:space="0" w:color="auto"/>
        <w:left w:val="none" w:sz="0" w:space="0" w:color="auto"/>
        <w:bottom w:val="none" w:sz="0" w:space="0" w:color="auto"/>
        <w:right w:val="none" w:sz="0" w:space="0" w:color="auto"/>
      </w:divBdr>
    </w:div>
    <w:div w:id="1236551268">
      <w:bodyDiv w:val="1"/>
      <w:marLeft w:val="0"/>
      <w:marRight w:val="0"/>
      <w:marTop w:val="0"/>
      <w:marBottom w:val="0"/>
      <w:divBdr>
        <w:top w:val="none" w:sz="0" w:space="0" w:color="auto"/>
        <w:left w:val="none" w:sz="0" w:space="0" w:color="auto"/>
        <w:bottom w:val="none" w:sz="0" w:space="0" w:color="auto"/>
        <w:right w:val="none" w:sz="0" w:space="0" w:color="auto"/>
      </w:divBdr>
    </w:div>
    <w:div w:id="1252161595">
      <w:bodyDiv w:val="1"/>
      <w:marLeft w:val="0"/>
      <w:marRight w:val="0"/>
      <w:marTop w:val="0"/>
      <w:marBottom w:val="0"/>
      <w:divBdr>
        <w:top w:val="none" w:sz="0" w:space="0" w:color="auto"/>
        <w:left w:val="none" w:sz="0" w:space="0" w:color="auto"/>
        <w:bottom w:val="none" w:sz="0" w:space="0" w:color="auto"/>
        <w:right w:val="none" w:sz="0" w:space="0" w:color="auto"/>
      </w:divBdr>
    </w:div>
    <w:div w:id="1264876321">
      <w:bodyDiv w:val="1"/>
      <w:marLeft w:val="0"/>
      <w:marRight w:val="0"/>
      <w:marTop w:val="0"/>
      <w:marBottom w:val="0"/>
      <w:divBdr>
        <w:top w:val="none" w:sz="0" w:space="0" w:color="auto"/>
        <w:left w:val="none" w:sz="0" w:space="0" w:color="auto"/>
        <w:bottom w:val="none" w:sz="0" w:space="0" w:color="auto"/>
        <w:right w:val="none" w:sz="0" w:space="0" w:color="auto"/>
      </w:divBdr>
    </w:div>
    <w:div w:id="1276525129">
      <w:bodyDiv w:val="1"/>
      <w:marLeft w:val="0"/>
      <w:marRight w:val="0"/>
      <w:marTop w:val="0"/>
      <w:marBottom w:val="0"/>
      <w:divBdr>
        <w:top w:val="none" w:sz="0" w:space="0" w:color="auto"/>
        <w:left w:val="none" w:sz="0" w:space="0" w:color="auto"/>
        <w:bottom w:val="none" w:sz="0" w:space="0" w:color="auto"/>
        <w:right w:val="none" w:sz="0" w:space="0" w:color="auto"/>
      </w:divBdr>
    </w:div>
    <w:div w:id="1289891527">
      <w:bodyDiv w:val="1"/>
      <w:marLeft w:val="0"/>
      <w:marRight w:val="0"/>
      <w:marTop w:val="0"/>
      <w:marBottom w:val="0"/>
      <w:divBdr>
        <w:top w:val="none" w:sz="0" w:space="0" w:color="auto"/>
        <w:left w:val="none" w:sz="0" w:space="0" w:color="auto"/>
        <w:bottom w:val="none" w:sz="0" w:space="0" w:color="auto"/>
        <w:right w:val="none" w:sz="0" w:space="0" w:color="auto"/>
      </w:divBdr>
    </w:div>
    <w:div w:id="1294021514">
      <w:bodyDiv w:val="1"/>
      <w:marLeft w:val="0"/>
      <w:marRight w:val="0"/>
      <w:marTop w:val="0"/>
      <w:marBottom w:val="0"/>
      <w:divBdr>
        <w:top w:val="none" w:sz="0" w:space="0" w:color="auto"/>
        <w:left w:val="none" w:sz="0" w:space="0" w:color="auto"/>
        <w:bottom w:val="none" w:sz="0" w:space="0" w:color="auto"/>
        <w:right w:val="none" w:sz="0" w:space="0" w:color="auto"/>
      </w:divBdr>
    </w:div>
    <w:div w:id="1294403410">
      <w:bodyDiv w:val="1"/>
      <w:marLeft w:val="0"/>
      <w:marRight w:val="0"/>
      <w:marTop w:val="0"/>
      <w:marBottom w:val="0"/>
      <w:divBdr>
        <w:top w:val="none" w:sz="0" w:space="0" w:color="auto"/>
        <w:left w:val="none" w:sz="0" w:space="0" w:color="auto"/>
        <w:bottom w:val="none" w:sz="0" w:space="0" w:color="auto"/>
        <w:right w:val="none" w:sz="0" w:space="0" w:color="auto"/>
      </w:divBdr>
    </w:div>
    <w:div w:id="1296448117">
      <w:bodyDiv w:val="1"/>
      <w:marLeft w:val="0"/>
      <w:marRight w:val="0"/>
      <w:marTop w:val="0"/>
      <w:marBottom w:val="0"/>
      <w:divBdr>
        <w:top w:val="none" w:sz="0" w:space="0" w:color="auto"/>
        <w:left w:val="none" w:sz="0" w:space="0" w:color="auto"/>
        <w:bottom w:val="none" w:sz="0" w:space="0" w:color="auto"/>
        <w:right w:val="none" w:sz="0" w:space="0" w:color="auto"/>
      </w:divBdr>
      <w:divsChild>
        <w:div w:id="500001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7095598">
      <w:bodyDiv w:val="1"/>
      <w:marLeft w:val="0"/>
      <w:marRight w:val="0"/>
      <w:marTop w:val="0"/>
      <w:marBottom w:val="0"/>
      <w:divBdr>
        <w:top w:val="none" w:sz="0" w:space="0" w:color="auto"/>
        <w:left w:val="none" w:sz="0" w:space="0" w:color="auto"/>
        <w:bottom w:val="none" w:sz="0" w:space="0" w:color="auto"/>
        <w:right w:val="none" w:sz="0" w:space="0" w:color="auto"/>
      </w:divBdr>
      <w:divsChild>
        <w:div w:id="916089390">
          <w:marLeft w:val="0"/>
          <w:marRight w:val="0"/>
          <w:marTop w:val="0"/>
          <w:marBottom w:val="0"/>
          <w:divBdr>
            <w:top w:val="none" w:sz="0" w:space="0" w:color="auto"/>
            <w:left w:val="none" w:sz="0" w:space="0" w:color="auto"/>
            <w:bottom w:val="none" w:sz="0" w:space="0" w:color="auto"/>
            <w:right w:val="none" w:sz="0" w:space="0" w:color="auto"/>
          </w:divBdr>
          <w:divsChild>
            <w:div w:id="294796944">
              <w:marLeft w:val="0"/>
              <w:marRight w:val="0"/>
              <w:marTop w:val="0"/>
              <w:marBottom w:val="120"/>
              <w:divBdr>
                <w:top w:val="none" w:sz="0" w:space="0" w:color="auto"/>
                <w:left w:val="none" w:sz="0" w:space="0" w:color="auto"/>
                <w:bottom w:val="none" w:sz="0" w:space="0" w:color="auto"/>
                <w:right w:val="none" w:sz="0" w:space="0" w:color="auto"/>
              </w:divBdr>
              <w:divsChild>
                <w:div w:id="89689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931145">
          <w:marLeft w:val="0"/>
          <w:marRight w:val="0"/>
          <w:marTop w:val="0"/>
          <w:marBottom w:val="480"/>
          <w:divBdr>
            <w:top w:val="none" w:sz="0" w:space="0" w:color="auto"/>
            <w:left w:val="none" w:sz="0" w:space="0" w:color="auto"/>
            <w:bottom w:val="single" w:sz="12" w:space="24" w:color="EBEBEB"/>
            <w:right w:val="none" w:sz="0" w:space="0" w:color="auto"/>
          </w:divBdr>
          <w:divsChild>
            <w:div w:id="689375444">
              <w:marLeft w:val="0"/>
              <w:marRight w:val="0"/>
              <w:marTop w:val="0"/>
              <w:marBottom w:val="0"/>
              <w:divBdr>
                <w:top w:val="none" w:sz="0" w:space="0" w:color="auto"/>
                <w:left w:val="none" w:sz="0" w:space="0" w:color="auto"/>
                <w:bottom w:val="none" w:sz="0" w:space="0" w:color="auto"/>
                <w:right w:val="none" w:sz="0" w:space="0" w:color="auto"/>
              </w:divBdr>
              <w:divsChild>
                <w:div w:id="534275751">
                  <w:marLeft w:val="0"/>
                  <w:marRight w:val="0"/>
                  <w:marTop w:val="0"/>
                  <w:marBottom w:val="0"/>
                  <w:divBdr>
                    <w:top w:val="none" w:sz="0" w:space="0" w:color="auto"/>
                    <w:left w:val="none" w:sz="0" w:space="0" w:color="auto"/>
                    <w:bottom w:val="none" w:sz="0" w:space="0" w:color="auto"/>
                    <w:right w:val="none" w:sz="0" w:space="0" w:color="auto"/>
                  </w:divBdr>
                </w:div>
                <w:div w:id="930745234">
                  <w:marLeft w:val="0"/>
                  <w:marRight w:val="0"/>
                  <w:marTop w:val="0"/>
                  <w:marBottom w:val="0"/>
                  <w:divBdr>
                    <w:top w:val="none" w:sz="0" w:space="0" w:color="auto"/>
                    <w:left w:val="none" w:sz="0" w:space="0" w:color="auto"/>
                    <w:bottom w:val="none" w:sz="0" w:space="0" w:color="auto"/>
                    <w:right w:val="none" w:sz="0" w:space="0" w:color="auto"/>
                  </w:divBdr>
                </w:div>
                <w:div w:id="993416381">
                  <w:marLeft w:val="0"/>
                  <w:marRight w:val="0"/>
                  <w:marTop w:val="0"/>
                  <w:marBottom w:val="0"/>
                  <w:divBdr>
                    <w:top w:val="none" w:sz="0" w:space="0" w:color="auto"/>
                    <w:left w:val="none" w:sz="0" w:space="0" w:color="auto"/>
                    <w:bottom w:val="none" w:sz="0" w:space="0" w:color="auto"/>
                    <w:right w:val="none" w:sz="0" w:space="0" w:color="auto"/>
                  </w:divBdr>
                </w:div>
                <w:div w:id="1229343117">
                  <w:marLeft w:val="0"/>
                  <w:marRight w:val="0"/>
                  <w:marTop w:val="0"/>
                  <w:marBottom w:val="0"/>
                  <w:divBdr>
                    <w:top w:val="none" w:sz="0" w:space="0" w:color="auto"/>
                    <w:left w:val="none" w:sz="0" w:space="0" w:color="auto"/>
                    <w:bottom w:val="none" w:sz="0" w:space="0" w:color="auto"/>
                    <w:right w:val="none" w:sz="0" w:space="0" w:color="auto"/>
                  </w:divBdr>
                </w:div>
                <w:div w:id="1986277908">
                  <w:marLeft w:val="0"/>
                  <w:marRight w:val="0"/>
                  <w:marTop w:val="0"/>
                  <w:marBottom w:val="0"/>
                  <w:divBdr>
                    <w:top w:val="none" w:sz="0" w:space="0" w:color="auto"/>
                    <w:left w:val="none" w:sz="0" w:space="0" w:color="auto"/>
                    <w:bottom w:val="none" w:sz="0" w:space="0" w:color="auto"/>
                    <w:right w:val="none" w:sz="0" w:space="0" w:color="auto"/>
                  </w:divBdr>
                </w:div>
                <w:div w:id="21071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5496">
      <w:bodyDiv w:val="1"/>
      <w:marLeft w:val="0"/>
      <w:marRight w:val="0"/>
      <w:marTop w:val="0"/>
      <w:marBottom w:val="0"/>
      <w:divBdr>
        <w:top w:val="none" w:sz="0" w:space="0" w:color="auto"/>
        <w:left w:val="none" w:sz="0" w:space="0" w:color="auto"/>
        <w:bottom w:val="none" w:sz="0" w:space="0" w:color="auto"/>
        <w:right w:val="none" w:sz="0" w:space="0" w:color="auto"/>
      </w:divBdr>
    </w:div>
    <w:div w:id="1392384627">
      <w:bodyDiv w:val="1"/>
      <w:marLeft w:val="0"/>
      <w:marRight w:val="0"/>
      <w:marTop w:val="0"/>
      <w:marBottom w:val="0"/>
      <w:divBdr>
        <w:top w:val="none" w:sz="0" w:space="0" w:color="auto"/>
        <w:left w:val="none" w:sz="0" w:space="0" w:color="auto"/>
        <w:bottom w:val="none" w:sz="0" w:space="0" w:color="auto"/>
        <w:right w:val="none" w:sz="0" w:space="0" w:color="auto"/>
      </w:divBdr>
    </w:div>
    <w:div w:id="1400520133">
      <w:bodyDiv w:val="1"/>
      <w:marLeft w:val="0"/>
      <w:marRight w:val="0"/>
      <w:marTop w:val="0"/>
      <w:marBottom w:val="0"/>
      <w:divBdr>
        <w:top w:val="none" w:sz="0" w:space="0" w:color="auto"/>
        <w:left w:val="none" w:sz="0" w:space="0" w:color="auto"/>
        <w:bottom w:val="none" w:sz="0" w:space="0" w:color="auto"/>
        <w:right w:val="none" w:sz="0" w:space="0" w:color="auto"/>
      </w:divBdr>
    </w:div>
    <w:div w:id="1405378572">
      <w:bodyDiv w:val="1"/>
      <w:marLeft w:val="0"/>
      <w:marRight w:val="0"/>
      <w:marTop w:val="0"/>
      <w:marBottom w:val="0"/>
      <w:divBdr>
        <w:top w:val="none" w:sz="0" w:space="0" w:color="auto"/>
        <w:left w:val="none" w:sz="0" w:space="0" w:color="auto"/>
        <w:bottom w:val="none" w:sz="0" w:space="0" w:color="auto"/>
        <w:right w:val="none" w:sz="0" w:space="0" w:color="auto"/>
      </w:divBdr>
    </w:div>
    <w:div w:id="1421557599">
      <w:bodyDiv w:val="1"/>
      <w:marLeft w:val="0"/>
      <w:marRight w:val="0"/>
      <w:marTop w:val="0"/>
      <w:marBottom w:val="0"/>
      <w:divBdr>
        <w:top w:val="none" w:sz="0" w:space="0" w:color="auto"/>
        <w:left w:val="none" w:sz="0" w:space="0" w:color="auto"/>
        <w:bottom w:val="none" w:sz="0" w:space="0" w:color="auto"/>
        <w:right w:val="none" w:sz="0" w:space="0" w:color="auto"/>
      </w:divBdr>
    </w:div>
    <w:div w:id="1436444790">
      <w:bodyDiv w:val="1"/>
      <w:marLeft w:val="0"/>
      <w:marRight w:val="0"/>
      <w:marTop w:val="0"/>
      <w:marBottom w:val="0"/>
      <w:divBdr>
        <w:top w:val="none" w:sz="0" w:space="0" w:color="auto"/>
        <w:left w:val="none" w:sz="0" w:space="0" w:color="auto"/>
        <w:bottom w:val="none" w:sz="0" w:space="0" w:color="auto"/>
        <w:right w:val="none" w:sz="0" w:space="0" w:color="auto"/>
      </w:divBdr>
      <w:divsChild>
        <w:div w:id="1273437415">
          <w:marLeft w:val="0"/>
          <w:marRight w:val="0"/>
          <w:marTop w:val="0"/>
          <w:marBottom w:val="0"/>
          <w:divBdr>
            <w:top w:val="none" w:sz="0" w:space="0" w:color="auto"/>
            <w:left w:val="none" w:sz="0" w:space="0" w:color="auto"/>
            <w:bottom w:val="none" w:sz="0" w:space="0" w:color="auto"/>
            <w:right w:val="none" w:sz="0" w:space="0" w:color="auto"/>
          </w:divBdr>
        </w:div>
      </w:divsChild>
    </w:div>
    <w:div w:id="1465736078">
      <w:bodyDiv w:val="1"/>
      <w:marLeft w:val="0"/>
      <w:marRight w:val="0"/>
      <w:marTop w:val="0"/>
      <w:marBottom w:val="0"/>
      <w:divBdr>
        <w:top w:val="none" w:sz="0" w:space="0" w:color="auto"/>
        <w:left w:val="none" w:sz="0" w:space="0" w:color="auto"/>
        <w:bottom w:val="none" w:sz="0" w:space="0" w:color="auto"/>
        <w:right w:val="none" w:sz="0" w:space="0" w:color="auto"/>
      </w:divBdr>
    </w:div>
    <w:div w:id="1535733000">
      <w:bodyDiv w:val="1"/>
      <w:marLeft w:val="0"/>
      <w:marRight w:val="0"/>
      <w:marTop w:val="0"/>
      <w:marBottom w:val="0"/>
      <w:divBdr>
        <w:top w:val="none" w:sz="0" w:space="0" w:color="auto"/>
        <w:left w:val="none" w:sz="0" w:space="0" w:color="auto"/>
        <w:bottom w:val="none" w:sz="0" w:space="0" w:color="auto"/>
        <w:right w:val="none" w:sz="0" w:space="0" w:color="auto"/>
      </w:divBdr>
    </w:div>
    <w:div w:id="1585920905">
      <w:bodyDiv w:val="1"/>
      <w:marLeft w:val="0"/>
      <w:marRight w:val="0"/>
      <w:marTop w:val="0"/>
      <w:marBottom w:val="0"/>
      <w:divBdr>
        <w:top w:val="none" w:sz="0" w:space="0" w:color="auto"/>
        <w:left w:val="none" w:sz="0" w:space="0" w:color="auto"/>
        <w:bottom w:val="none" w:sz="0" w:space="0" w:color="auto"/>
        <w:right w:val="none" w:sz="0" w:space="0" w:color="auto"/>
      </w:divBdr>
    </w:div>
    <w:div w:id="1590237973">
      <w:bodyDiv w:val="1"/>
      <w:marLeft w:val="0"/>
      <w:marRight w:val="0"/>
      <w:marTop w:val="0"/>
      <w:marBottom w:val="0"/>
      <w:divBdr>
        <w:top w:val="none" w:sz="0" w:space="0" w:color="auto"/>
        <w:left w:val="none" w:sz="0" w:space="0" w:color="auto"/>
        <w:bottom w:val="none" w:sz="0" w:space="0" w:color="auto"/>
        <w:right w:val="none" w:sz="0" w:space="0" w:color="auto"/>
      </w:divBdr>
    </w:div>
    <w:div w:id="1609965306">
      <w:bodyDiv w:val="1"/>
      <w:marLeft w:val="0"/>
      <w:marRight w:val="0"/>
      <w:marTop w:val="0"/>
      <w:marBottom w:val="0"/>
      <w:divBdr>
        <w:top w:val="none" w:sz="0" w:space="0" w:color="auto"/>
        <w:left w:val="none" w:sz="0" w:space="0" w:color="auto"/>
        <w:bottom w:val="none" w:sz="0" w:space="0" w:color="auto"/>
        <w:right w:val="none" w:sz="0" w:space="0" w:color="auto"/>
      </w:divBdr>
    </w:div>
    <w:div w:id="1613128993">
      <w:bodyDiv w:val="1"/>
      <w:marLeft w:val="0"/>
      <w:marRight w:val="0"/>
      <w:marTop w:val="0"/>
      <w:marBottom w:val="0"/>
      <w:divBdr>
        <w:top w:val="none" w:sz="0" w:space="0" w:color="auto"/>
        <w:left w:val="none" w:sz="0" w:space="0" w:color="auto"/>
        <w:bottom w:val="none" w:sz="0" w:space="0" w:color="auto"/>
        <w:right w:val="none" w:sz="0" w:space="0" w:color="auto"/>
      </w:divBdr>
    </w:div>
    <w:div w:id="1622111096">
      <w:bodyDiv w:val="1"/>
      <w:marLeft w:val="0"/>
      <w:marRight w:val="0"/>
      <w:marTop w:val="0"/>
      <w:marBottom w:val="0"/>
      <w:divBdr>
        <w:top w:val="none" w:sz="0" w:space="0" w:color="auto"/>
        <w:left w:val="none" w:sz="0" w:space="0" w:color="auto"/>
        <w:bottom w:val="none" w:sz="0" w:space="0" w:color="auto"/>
        <w:right w:val="none" w:sz="0" w:space="0" w:color="auto"/>
      </w:divBdr>
    </w:div>
    <w:div w:id="1626235848">
      <w:bodyDiv w:val="1"/>
      <w:marLeft w:val="0"/>
      <w:marRight w:val="0"/>
      <w:marTop w:val="0"/>
      <w:marBottom w:val="0"/>
      <w:divBdr>
        <w:top w:val="none" w:sz="0" w:space="0" w:color="auto"/>
        <w:left w:val="none" w:sz="0" w:space="0" w:color="auto"/>
        <w:bottom w:val="none" w:sz="0" w:space="0" w:color="auto"/>
        <w:right w:val="none" w:sz="0" w:space="0" w:color="auto"/>
      </w:divBdr>
    </w:div>
    <w:div w:id="1630355783">
      <w:bodyDiv w:val="1"/>
      <w:marLeft w:val="0"/>
      <w:marRight w:val="0"/>
      <w:marTop w:val="0"/>
      <w:marBottom w:val="0"/>
      <w:divBdr>
        <w:top w:val="none" w:sz="0" w:space="0" w:color="auto"/>
        <w:left w:val="none" w:sz="0" w:space="0" w:color="auto"/>
        <w:bottom w:val="none" w:sz="0" w:space="0" w:color="auto"/>
        <w:right w:val="none" w:sz="0" w:space="0" w:color="auto"/>
      </w:divBdr>
    </w:div>
    <w:div w:id="1649163647">
      <w:bodyDiv w:val="1"/>
      <w:marLeft w:val="0"/>
      <w:marRight w:val="0"/>
      <w:marTop w:val="0"/>
      <w:marBottom w:val="0"/>
      <w:divBdr>
        <w:top w:val="none" w:sz="0" w:space="0" w:color="auto"/>
        <w:left w:val="none" w:sz="0" w:space="0" w:color="auto"/>
        <w:bottom w:val="none" w:sz="0" w:space="0" w:color="auto"/>
        <w:right w:val="none" w:sz="0" w:space="0" w:color="auto"/>
      </w:divBdr>
      <w:divsChild>
        <w:div w:id="28192073">
          <w:marLeft w:val="0"/>
          <w:marRight w:val="0"/>
          <w:marTop w:val="0"/>
          <w:marBottom w:val="0"/>
          <w:divBdr>
            <w:top w:val="none" w:sz="0" w:space="0" w:color="auto"/>
            <w:left w:val="none" w:sz="0" w:space="0" w:color="auto"/>
            <w:bottom w:val="none" w:sz="0" w:space="0" w:color="auto"/>
            <w:right w:val="none" w:sz="0" w:space="0" w:color="auto"/>
          </w:divBdr>
        </w:div>
        <w:div w:id="82337281">
          <w:marLeft w:val="0"/>
          <w:marRight w:val="0"/>
          <w:marTop w:val="0"/>
          <w:marBottom w:val="135"/>
          <w:divBdr>
            <w:top w:val="none" w:sz="0" w:space="0" w:color="auto"/>
            <w:left w:val="none" w:sz="0" w:space="0" w:color="auto"/>
            <w:bottom w:val="single" w:sz="12" w:space="9" w:color="EBEBEB"/>
            <w:right w:val="none" w:sz="0" w:space="0" w:color="auto"/>
          </w:divBdr>
          <w:divsChild>
            <w:div w:id="1064718528">
              <w:marLeft w:val="0"/>
              <w:marRight w:val="0"/>
              <w:marTop w:val="0"/>
              <w:marBottom w:val="0"/>
              <w:divBdr>
                <w:top w:val="none" w:sz="0" w:space="0" w:color="auto"/>
                <w:left w:val="none" w:sz="0" w:space="0" w:color="auto"/>
                <w:bottom w:val="none" w:sz="0" w:space="0" w:color="auto"/>
                <w:right w:val="none" w:sz="0" w:space="0" w:color="auto"/>
              </w:divBdr>
            </w:div>
          </w:divsChild>
        </w:div>
        <w:div w:id="1316489539">
          <w:marLeft w:val="0"/>
          <w:marRight w:val="0"/>
          <w:marTop w:val="0"/>
          <w:marBottom w:val="120"/>
          <w:divBdr>
            <w:top w:val="none" w:sz="0" w:space="0" w:color="auto"/>
            <w:left w:val="none" w:sz="0" w:space="0" w:color="auto"/>
            <w:bottom w:val="none" w:sz="0" w:space="0" w:color="auto"/>
            <w:right w:val="none" w:sz="0" w:space="0" w:color="auto"/>
          </w:divBdr>
          <w:divsChild>
            <w:div w:id="2141142573">
              <w:marLeft w:val="0"/>
              <w:marRight w:val="0"/>
              <w:marTop w:val="0"/>
              <w:marBottom w:val="0"/>
              <w:divBdr>
                <w:top w:val="none" w:sz="0" w:space="0" w:color="auto"/>
                <w:left w:val="none" w:sz="0" w:space="0" w:color="auto"/>
                <w:bottom w:val="none" w:sz="0" w:space="0" w:color="auto"/>
                <w:right w:val="none" w:sz="0" w:space="0" w:color="auto"/>
              </w:divBdr>
              <w:divsChild>
                <w:div w:id="1426919412">
                  <w:marLeft w:val="0"/>
                  <w:marRight w:val="0"/>
                  <w:marTop w:val="0"/>
                  <w:marBottom w:val="0"/>
                  <w:divBdr>
                    <w:top w:val="none" w:sz="0" w:space="0" w:color="auto"/>
                    <w:left w:val="none" w:sz="0" w:space="0" w:color="auto"/>
                    <w:bottom w:val="none" w:sz="0" w:space="0" w:color="auto"/>
                    <w:right w:val="none" w:sz="0" w:space="0" w:color="auto"/>
                  </w:divBdr>
                  <w:divsChild>
                    <w:div w:id="13588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4146">
      <w:bodyDiv w:val="1"/>
      <w:marLeft w:val="0"/>
      <w:marRight w:val="0"/>
      <w:marTop w:val="0"/>
      <w:marBottom w:val="0"/>
      <w:divBdr>
        <w:top w:val="none" w:sz="0" w:space="0" w:color="auto"/>
        <w:left w:val="none" w:sz="0" w:space="0" w:color="auto"/>
        <w:bottom w:val="none" w:sz="0" w:space="0" w:color="auto"/>
        <w:right w:val="none" w:sz="0" w:space="0" w:color="auto"/>
      </w:divBdr>
    </w:div>
    <w:div w:id="1658218440">
      <w:bodyDiv w:val="1"/>
      <w:marLeft w:val="0"/>
      <w:marRight w:val="0"/>
      <w:marTop w:val="0"/>
      <w:marBottom w:val="0"/>
      <w:divBdr>
        <w:top w:val="none" w:sz="0" w:space="0" w:color="auto"/>
        <w:left w:val="none" w:sz="0" w:space="0" w:color="auto"/>
        <w:bottom w:val="none" w:sz="0" w:space="0" w:color="auto"/>
        <w:right w:val="none" w:sz="0" w:space="0" w:color="auto"/>
      </w:divBdr>
    </w:div>
    <w:div w:id="1666595067">
      <w:bodyDiv w:val="1"/>
      <w:marLeft w:val="0"/>
      <w:marRight w:val="0"/>
      <w:marTop w:val="0"/>
      <w:marBottom w:val="0"/>
      <w:divBdr>
        <w:top w:val="none" w:sz="0" w:space="0" w:color="auto"/>
        <w:left w:val="none" w:sz="0" w:space="0" w:color="auto"/>
        <w:bottom w:val="none" w:sz="0" w:space="0" w:color="auto"/>
        <w:right w:val="none" w:sz="0" w:space="0" w:color="auto"/>
      </w:divBdr>
    </w:div>
    <w:div w:id="1674915841">
      <w:bodyDiv w:val="1"/>
      <w:marLeft w:val="0"/>
      <w:marRight w:val="0"/>
      <w:marTop w:val="0"/>
      <w:marBottom w:val="0"/>
      <w:divBdr>
        <w:top w:val="none" w:sz="0" w:space="0" w:color="auto"/>
        <w:left w:val="none" w:sz="0" w:space="0" w:color="auto"/>
        <w:bottom w:val="none" w:sz="0" w:space="0" w:color="auto"/>
        <w:right w:val="none" w:sz="0" w:space="0" w:color="auto"/>
      </w:divBdr>
    </w:div>
    <w:div w:id="1677028573">
      <w:bodyDiv w:val="1"/>
      <w:marLeft w:val="0"/>
      <w:marRight w:val="0"/>
      <w:marTop w:val="0"/>
      <w:marBottom w:val="0"/>
      <w:divBdr>
        <w:top w:val="none" w:sz="0" w:space="0" w:color="auto"/>
        <w:left w:val="none" w:sz="0" w:space="0" w:color="auto"/>
        <w:bottom w:val="none" w:sz="0" w:space="0" w:color="auto"/>
        <w:right w:val="none" w:sz="0" w:space="0" w:color="auto"/>
      </w:divBdr>
    </w:div>
    <w:div w:id="1682509499">
      <w:bodyDiv w:val="1"/>
      <w:marLeft w:val="0"/>
      <w:marRight w:val="0"/>
      <w:marTop w:val="0"/>
      <w:marBottom w:val="0"/>
      <w:divBdr>
        <w:top w:val="none" w:sz="0" w:space="0" w:color="auto"/>
        <w:left w:val="none" w:sz="0" w:space="0" w:color="auto"/>
        <w:bottom w:val="none" w:sz="0" w:space="0" w:color="auto"/>
        <w:right w:val="none" w:sz="0" w:space="0" w:color="auto"/>
      </w:divBdr>
    </w:div>
    <w:div w:id="1697460589">
      <w:bodyDiv w:val="1"/>
      <w:marLeft w:val="0"/>
      <w:marRight w:val="0"/>
      <w:marTop w:val="0"/>
      <w:marBottom w:val="0"/>
      <w:divBdr>
        <w:top w:val="none" w:sz="0" w:space="0" w:color="auto"/>
        <w:left w:val="none" w:sz="0" w:space="0" w:color="auto"/>
        <w:bottom w:val="none" w:sz="0" w:space="0" w:color="auto"/>
        <w:right w:val="none" w:sz="0" w:space="0" w:color="auto"/>
      </w:divBdr>
    </w:div>
    <w:div w:id="1711606912">
      <w:bodyDiv w:val="1"/>
      <w:marLeft w:val="0"/>
      <w:marRight w:val="0"/>
      <w:marTop w:val="0"/>
      <w:marBottom w:val="0"/>
      <w:divBdr>
        <w:top w:val="none" w:sz="0" w:space="0" w:color="auto"/>
        <w:left w:val="none" w:sz="0" w:space="0" w:color="auto"/>
        <w:bottom w:val="none" w:sz="0" w:space="0" w:color="auto"/>
        <w:right w:val="none" w:sz="0" w:space="0" w:color="auto"/>
      </w:divBdr>
    </w:div>
    <w:div w:id="1718047656">
      <w:bodyDiv w:val="1"/>
      <w:marLeft w:val="0"/>
      <w:marRight w:val="0"/>
      <w:marTop w:val="0"/>
      <w:marBottom w:val="0"/>
      <w:divBdr>
        <w:top w:val="none" w:sz="0" w:space="0" w:color="auto"/>
        <w:left w:val="none" w:sz="0" w:space="0" w:color="auto"/>
        <w:bottom w:val="none" w:sz="0" w:space="0" w:color="auto"/>
        <w:right w:val="none" w:sz="0" w:space="0" w:color="auto"/>
      </w:divBdr>
    </w:div>
    <w:div w:id="1743942350">
      <w:bodyDiv w:val="1"/>
      <w:marLeft w:val="0"/>
      <w:marRight w:val="0"/>
      <w:marTop w:val="0"/>
      <w:marBottom w:val="0"/>
      <w:divBdr>
        <w:top w:val="none" w:sz="0" w:space="0" w:color="auto"/>
        <w:left w:val="none" w:sz="0" w:space="0" w:color="auto"/>
        <w:bottom w:val="none" w:sz="0" w:space="0" w:color="auto"/>
        <w:right w:val="none" w:sz="0" w:space="0" w:color="auto"/>
      </w:divBdr>
    </w:div>
    <w:div w:id="1745570179">
      <w:bodyDiv w:val="1"/>
      <w:marLeft w:val="0"/>
      <w:marRight w:val="0"/>
      <w:marTop w:val="0"/>
      <w:marBottom w:val="0"/>
      <w:divBdr>
        <w:top w:val="none" w:sz="0" w:space="0" w:color="auto"/>
        <w:left w:val="none" w:sz="0" w:space="0" w:color="auto"/>
        <w:bottom w:val="none" w:sz="0" w:space="0" w:color="auto"/>
        <w:right w:val="none" w:sz="0" w:space="0" w:color="auto"/>
      </w:divBdr>
    </w:div>
    <w:div w:id="1757436586">
      <w:bodyDiv w:val="1"/>
      <w:marLeft w:val="0"/>
      <w:marRight w:val="0"/>
      <w:marTop w:val="0"/>
      <w:marBottom w:val="0"/>
      <w:divBdr>
        <w:top w:val="none" w:sz="0" w:space="0" w:color="auto"/>
        <w:left w:val="none" w:sz="0" w:space="0" w:color="auto"/>
        <w:bottom w:val="none" w:sz="0" w:space="0" w:color="auto"/>
        <w:right w:val="none" w:sz="0" w:space="0" w:color="auto"/>
      </w:divBdr>
    </w:div>
    <w:div w:id="1764954336">
      <w:bodyDiv w:val="1"/>
      <w:marLeft w:val="0"/>
      <w:marRight w:val="0"/>
      <w:marTop w:val="0"/>
      <w:marBottom w:val="0"/>
      <w:divBdr>
        <w:top w:val="none" w:sz="0" w:space="0" w:color="auto"/>
        <w:left w:val="none" w:sz="0" w:space="0" w:color="auto"/>
        <w:bottom w:val="none" w:sz="0" w:space="0" w:color="auto"/>
        <w:right w:val="none" w:sz="0" w:space="0" w:color="auto"/>
      </w:divBdr>
    </w:div>
    <w:div w:id="1777945833">
      <w:bodyDiv w:val="1"/>
      <w:marLeft w:val="0"/>
      <w:marRight w:val="0"/>
      <w:marTop w:val="0"/>
      <w:marBottom w:val="0"/>
      <w:divBdr>
        <w:top w:val="none" w:sz="0" w:space="0" w:color="auto"/>
        <w:left w:val="none" w:sz="0" w:space="0" w:color="auto"/>
        <w:bottom w:val="none" w:sz="0" w:space="0" w:color="auto"/>
        <w:right w:val="none" w:sz="0" w:space="0" w:color="auto"/>
      </w:divBdr>
    </w:div>
    <w:div w:id="1809783505">
      <w:bodyDiv w:val="1"/>
      <w:marLeft w:val="0"/>
      <w:marRight w:val="0"/>
      <w:marTop w:val="0"/>
      <w:marBottom w:val="0"/>
      <w:divBdr>
        <w:top w:val="none" w:sz="0" w:space="0" w:color="auto"/>
        <w:left w:val="none" w:sz="0" w:space="0" w:color="auto"/>
        <w:bottom w:val="none" w:sz="0" w:space="0" w:color="auto"/>
        <w:right w:val="none" w:sz="0" w:space="0" w:color="auto"/>
      </w:divBdr>
    </w:div>
    <w:div w:id="1817987208">
      <w:bodyDiv w:val="1"/>
      <w:marLeft w:val="0"/>
      <w:marRight w:val="0"/>
      <w:marTop w:val="0"/>
      <w:marBottom w:val="0"/>
      <w:divBdr>
        <w:top w:val="none" w:sz="0" w:space="0" w:color="auto"/>
        <w:left w:val="none" w:sz="0" w:space="0" w:color="auto"/>
        <w:bottom w:val="none" w:sz="0" w:space="0" w:color="auto"/>
        <w:right w:val="none" w:sz="0" w:space="0" w:color="auto"/>
      </w:divBdr>
    </w:div>
    <w:div w:id="1819180999">
      <w:bodyDiv w:val="1"/>
      <w:marLeft w:val="0"/>
      <w:marRight w:val="0"/>
      <w:marTop w:val="0"/>
      <w:marBottom w:val="0"/>
      <w:divBdr>
        <w:top w:val="none" w:sz="0" w:space="0" w:color="auto"/>
        <w:left w:val="none" w:sz="0" w:space="0" w:color="auto"/>
        <w:bottom w:val="none" w:sz="0" w:space="0" w:color="auto"/>
        <w:right w:val="none" w:sz="0" w:space="0" w:color="auto"/>
      </w:divBdr>
    </w:div>
    <w:div w:id="1833329698">
      <w:bodyDiv w:val="1"/>
      <w:marLeft w:val="0"/>
      <w:marRight w:val="0"/>
      <w:marTop w:val="0"/>
      <w:marBottom w:val="0"/>
      <w:divBdr>
        <w:top w:val="none" w:sz="0" w:space="0" w:color="auto"/>
        <w:left w:val="none" w:sz="0" w:space="0" w:color="auto"/>
        <w:bottom w:val="none" w:sz="0" w:space="0" w:color="auto"/>
        <w:right w:val="none" w:sz="0" w:space="0" w:color="auto"/>
      </w:divBdr>
    </w:div>
    <w:div w:id="1857380808">
      <w:bodyDiv w:val="1"/>
      <w:marLeft w:val="0"/>
      <w:marRight w:val="0"/>
      <w:marTop w:val="0"/>
      <w:marBottom w:val="0"/>
      <w:divBdr>
        <w:top w:val="none" w:sz="0" w:space="0" w:color="auto"/>
        <w:left w:val="none" w:sz="0" w:space="0" w:color="auto"/>
        <w:bottom w:val="none" w:sz="0" w:space="0" w:color="auto"/>
        <w:right w:val="none" w:sz="0" w:space="0" w:color="auto"/>
      </w:divBdr>
      <w:divsChild>
        <w:div w:id="871723192">
          <w:marLeft w:val="0"/>
          <w:marRight w:val="0"/>
          <w:marTop w:val="0"/>
          <w:marBottom w:val="0"/>
          <w:divBdr>
            <w:top w:val="none" w:sz="0" w:space="0" w:color="auto"/>
            <w:left w:val="none" w:sz="0" w:space="0" w:color="auto"/>
            <w:bottom w:val="none" w:sz="0" w:space="0" w:color="auto"/>
            <w:right w:val="none" w:sz="0" w:space="0" w:color="auto"/>
          </w:divBdr>
        </w:div>
      </w:divsChild>
    </w:div>
    <w:div w:id="1897860084">
      <w:bodyDiv w:val="1"/>
      <w:marLeft w:val="0"/>
      <w:marRight w:val="0"/>
      <w:marTop w:val="0"/>
      <w:marBottom w:val="0"/>
      <w:divBdr>
        <w:top w:val="none" w:sz="0" w:space="0" w:color="auto"/>
        <w:left w:val="none" w:sz="0" w:space="0" w:color="auto"/>
        <w:bottom w:val="none" w:sz="0" w:space="0" w:color="auto"/>
        <w:right w:val="none" w:sz="0" w:space="0" w:color="auto"/>
      </w:divBdr>
    </w:div>
    <w:div w:id="1900167831">
      <w:bodyDiv w:val="1"/>
      <w:marLeft w:val="0"/>
      <w:marRight w:val="0"/>
      <w:marTop w:val="0"/>
      <w:marBottom w:val="0"/>
      <w:divBdr>
        <w:top w:val="none" w:sz="0" w:space="0" w:color="auto"/>
        <w:left w:val="none" w:sz="0" w:space="0" w:color="auto"/>
        <w:bottom w:val="none" w:sz="0" w:space="0" w:color="auto"/>
        <w:right w:val="none" w:sz="0" w:space="0" w:color="auto"/>
      </w:divBdr>
    </w:div>
    <w:div w:id="1908110348">
      <w:bodyDiv w:val="1"/>
      <w:marLeft w:val="0"/>
      <w:marRight w:val="0"/>
      <w:marTop w:val="0"/>
      <w:marBottom w:val="0"/>
      <w:divBdr>
        <w:top w:val="none" w:sz="0" w:space="0" w:color="auto"/>
        <w:left w:val="none" w:sz="0" w:space="0" w:color="auto"/>
        <w:bottom w:val="none" w:sz="0" w:space="0" w:color="auto"/>
        <w:right w:val="none" w:sz="0" w:space="0" w:color="auto"/>
      </w:divBdr>
    </w:div>
    <w:div w:id="1912233937">
      <w:bodyDiv w:val="1"/>
      <w:marLeft w:val="0"/>
      <w:marRight w:val="0"/>
      <w:marTop w:val="0"/>
      <w:marBottom w:val="0"/>
      <w:divBdr>
        <w:top w:val="none" w:sz="0" w:space="0" w:color="auto"/>
        <w:left w:val="none" w:sz="0" w:space="0" w:color="auto"/>
        <w:bottom w:val="none" w:sz="0" w:space="0" w:color="auto"/>
        <w:right w:val="none" w:sz="0" w:space="0" w:color="auto"/>
      </w:divBdr>
    </w:div>
    <w:div w:id="1940522321">
      <w:bodyDiv w:val="1"/>
      <w:marLeft w:val="0"/>
      <w:marRight w:val="0"/>
      <w:marTop w:val="0"/>
      <w:marBottom w:val="0"/>
      <w:divBdr>
        <w:top w:val="none" w:sz="0" w:space="0" w:color="auto"/>
        <w:left w:val="none" w:sz="0" w:space="0" w:color="auto"/>
        <w:bottom w:val="none" w:sz="0" w:space="0" w:color="auto"/>
        <w:right w:val="none" w:sz="0" w:space="0" w:color="auto"/>
      </w:divBdr>
    </w:div>
    <w:div w:id="1956019936">
      <w:bodyDiv w:val="1"/>
      <w:marLeft w:val="0"/>
      <w:marRight w:val="0"/>
      <w:marTop w:val="0"/>
      <w:marBottom w:val="0"/>
      <w:divBdr>
        <w:top w:val="none" w:sz="0" w:space="0" w:color="auto"/>
        <w:left w:val="none" w:sz="0" w:space="0" w:color="auto"/>
        <w:bottom w:val="none" w:sz="0" w:space="0" w:color="auto"/>
        <w:right w:val="none" w:sz="0" w:space="0" w:color="auto"/>
      </w:divBdr>
    </w:div>
    <w:div w:id="1961301152">
      <w:bodyDiv w:val="1"/>
      <w:marLeft w:val="0"/>
      <w:marRight w:val="0"/>
      <w:marTop w:val="0"/>
      <w:marBottom w:val="0"/>
      <w:divBdr>
        <w:top w:val="none" w:sz="0" w:space="0" w:color="auto"/>
        <w:left w:val="none" w:sz="0" w:space="0" w:color="auto"/>
        <w:bottom w:val="none" w:sz="0" w:space="0" w:color="auto"/>
        <w:right w:val="none" w:sz="0" w:space="0" w:color="auto"/>
      </w:divBdr>
    </w:div>
    <w:div w:id="1962495274">
      <w:bodyDiv w:val="1"/>
      <w:marLeft w:val="0"/>
      <w:marRight w:val="0"/>
      <w:marTop w:val="0"/>
      <w:marBottom w:val="0"/>
      <w:divBdr>
        <w:top w:val="none" w:sz="0" w:space="0" w:color="auto"/>
        <w:left w:val="none" w:sz="0" w:space="0" w:color="auto"/>
        <w:bottom w:val="none" w:sz="0" w:space="0" w:color="auto"/>
        <w:right w:val="none" w:sz="0" w:space="0" w:color="auto"/>
      </w:divBdr>
      <w:divsChild>
        <w:div w:id="941841684">
          <w:marLeft w:val="0"/>
          <w:marRight w:val="0"/>
          <w:marTop w:val="0"/>
          <w:marBottom w:val="0"/>
          <w:divBdr>
            <w:top w:val="none" w:sz="0" w:space="0" w:color="auto"/>
            <w:left w:val="none" w:sz="0" w:space="0" w:color="auto"/>
            <w:bottom w:val="none" w:sz="0" w:space="0" w:color="auto"/>
            <w:right w:val="none" w:sz="0" w:space="0" w:color="auto"/>
          </w:divBdr>
          <w:divsChild>
            <w:div w:id="900600594">
              <w:marLeft w:val="360"/>
              <w:marRight w:val="360"/>
              <w:marTop w:val="0"/>
              <w:marBottom w:val="300"/>
              <w:divBdr>
                <w:top w:val="none" w:sz="0" w:space="0" w:color="auto"/>
                <w:left w:val="none" w:sz="0" w:space="0" w:color="auto"/>
                <w:bottom w:val="none" w:sz="0" w:space="0" w:color="auto"/>
                <w:right w:val="none" w:sz="0" w:space="0" w:color="auto"/>
              </w:divBdr>
            </w:div>
          </w:divsChild>
        </w:div>
        <w:div w:id="967318559">
          <w:marLeft w:val="0"/>
          <w:marRight w:val="0"/>
          <w:marTop w:val="0"/>
          <w:marBottom w:val="0"/>
          <w:divBdr>
            <w:top w:val="none" w:sz="0" w:space="0" w:color="auto"/>
            <w:left w:val="none" w:sz="0" w:space="0" w:color="auto"/>
            <w:bottom w:val="none" w:sz="0" w:space="0" w:color="auto"/>
            <w:right w:val="none" w:sz="0" w:space="0" w:color="auto"/>
          </w:divBdr>
          <w:divsChild>
            <w:div w:id="1515419534">
              <w:marLeft w:val="360"/>
              <w:marRight w:val="360"/>
              <w:marTop w:val="0"/>
              <w:marBottom w:val="300"/>
              <w:divBdr>
                <w:top w:val="none" w:sz="0" w:space="0" w:color="auto"/>
                <w:left w:val="none" w:sz="0" w:space="0" w:color="auto"/>
                <w:bottom w:val="none" w:sz="0" w:space="0" w:color="auto"/>
                <w:right w:val="none" w:sz="0" w:space="0" w:color="auto"/>
              </w:divBdr>
            </w:div>
          </w:divsChild>
        </w:div>
      </w:divsChild>
    </w:div>
    <w:div w:id="1965113642">
      <w:bodyDiv w:val="1"/>
      <w:marLeft w:val="0"/>
      <w:marRight w:val="0"/>
      <w:marTop w:val="0"/>
      <w:marBottom w:val="0"/>
      <w:divBdr>
        <w:top w:val="none" w:sz="0" w:space="0" w:color="auto"/>
        <w:left w:val="none" w:sz="0" w:space="0" w:color="auto"/>
        <w:bottom w:val="none" w:sz="0" w:space="0" w:color="auto"/>
        <w:right w:val="none" w:sz="0" w:space="0" w:color="auto"/>
      </w:divBdr>
    </w:div>
    <w:div w:id="1969123494">
      <w:bodyDiv w:val="1"/>
      <w:marLeft w:val="0"/>
      <w:marRight w:val="0"/>
      <w:marTop w:val="0"/>
      <w:marBottom w:val="0"/>
      <w:divBdr>
        <w:top w:val="none" w:sz="0" w:space="0" w:color="auto"/>
        <w:left w:val="none" w:sz="0" w:space="0" w:color="auto"/>
        <w:bottom w:val="none" w:sz="0" w:space="0" w:color="auto"/>
        <w:right w:val="none" w:sz="0" w:space="0" w:color="auto"/>
      </w:divBdr>
    </w:div>
    <w:div w:id="1972977804">
      <w:bodyDiv w:val="1"/>
      <w:marLeft w:val="0"/>
      <w:marRight w:val="0"/>
      <w:marTop w:val="0"/>
      <w:marBottom w:val="0"/>
      <w:divBdr>
        <w:top w:val="none" w:sz="0" w:space="0" w:color="auto"/>
        <w:left w:val="none" w:sz="0" w:space="0" w:color="auto"/>
        <w:bottom w:val="none" w:sz="0" w:space="0" w:color="auto"/>
        <w:right w:val="none" w:sz="0" w:space="0" w:color="auto"/>
      </w:divBdr>
    </w:div>
    <w:div w:id="1996765341">
      <w:bodyDiv w:val="1"/>
      <w:marLeft w:val="0"/>
      <w:marRight w:val="0"/>
      <w:marTop w:val="0"/>
      <w:marBottom w:val="0"/>
      <w:divBdr>
        <w:top w:val="none" w:sz="0" w:space="0" w:color="auto"/>
        <w:left w:val="none" w:sz="0" w:space="0" w:color="auto"/>
        <w:bottom w:val="none" w:sz="0" w:space="0" w:color="auto"/>
        <w:right w:val="none" w:sz="0" w:space="0" w:color="auto"/>
      </w:divBdr>
    </w:div>
    <w:div w:id="2038658055">
      <w:bodyDiv w:val="1"/>
      <w:marLeft w:val="0"/>
      <w:marRight w:val="0"/>
      <w:marTop w:val="0"/>
      <w:marBottom w:val="0"/>
      <w:divBdr>
        <w:top w:val="none" w:sz="0" w:space="0" w:color="auto"/>
        <w:left w:val="none" w:sz="0" w:space="0" w:color="auto"/>
        <w:bottom w:val="none" w:sz="0" w:space="0" w:color="auto"/>
        <w:right w:val="none" w:sz="0" w:space="0" w:color="auto"/>
      </w:divBdr>
    </w:div>
    <w:div w:id="2043822880">
      <w:bodyDiv w:val="1"/>
      <w:marLeft w:val="0"/>
      <w:marRight w:val="0"/>
      <w:marTop w:val="0"/>
      <w:marBottom w:val="0"/>
      <w:divBdr>
        <w:top w:val="none" w:sz="0" w:space="0" w:color="auto"/>
        <w:left w:val="none" w:sz="0" w:space="0" w:color="auto"/>
        <w:bottom w:val="none" w:sz="0" w:space="0" w:color="auto"/>
        <w:right w:val="none" w:sz="0" w:space="0" w:color="auto"/>
      </w:divBdr>
    </w:div>
    <w:div w:id="2057269378">
      <w:bodyDiv w:val="1"/>
      <w:marLeft w:val="0"/>
      <w:marRight w:val="0"/>
      <w:marTop w:val="0"/>
      <w:marBottom w:val="0"/>
      <w:divBdr>
        <w:top w:val="none" w:sz="0" w:space="0" w:color="auto"/>
        <w:left w:val="none" w:sz="0" w:space="0" w:color="auto"/>
        <w:bottom w:val="none" w:sz="0" w:space="0" w:color="auto"/>
        <w:right w:val="none" w:sz="0" w:space="0" w:color="auto"/>
      </w:divBdr>
      <w:divsChild>
        <w:div w:id="538206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9013653">
      <w:bodyDiv w:val="1"/>
      <w:marLeft w:val="0"/>
      <w:marRight w:val="0"/>
      <w:marTop w:val="0"/>
      <w:marBottom w:val="0"/>
      <w:divBdr>
        <w:top w:val="none" w:sz="0" w:space="0" w:color="auto"/>
        <w:left w:val="none" w:sz="0" w:space="0" w:color="auto"/>
        <w:bottom w:val="none" w:sz="0" w:space="0" w:color="auto"/>
        <w:right w:val="none" w:sz="0" w:space="0" w:color="auto"/>
      </w:divBdr>
    </w:div>
    <w:div w:id="2060740794">
      <w:bodyDiv w:val="1"/>
      <w:marLeft w:val="0"/>
      <w:marRight w:val="0"/>
      <w:marTop w:val="0"/>
      <w:marBottom w:val="0"/>
      <w:divBdr>
        <w:top w:val="none" w:sz="0" w:space="0" w:color="auto"/>
        <w:left w:val="none" w:sz="0" w:space="0" w:color="auto"/>
        <w:bottom w:val="none" w:sz="0" w:space="0" w:color="auto"/>
        <w:right w:val="none" w:sz="0" w:space="0" w:color="auto"/>
      </w:divBdr>
    </w:div>
    <w:div w:id="2064793898">
      <w:bodyDiv w:val="1"/>
      <w:marLeft w:val="0"/>
      <w:marRight w:val="0"/>
      <w:marTop w:val="0"/>
      <w:marBottom w:val="0"/>
      <w:divBdr>
        <w:top w:val="none" w:sz="0" w:space="0" w:color="auto"/>
        <w:left w:val="none" w:sz="0" w:space="0" w:color="auto"/>
        <w:bottom w:val="none" w:sz="0" w:space="0" w:color="auto"/>
        <w:right w:val="none" w:sz="0" w:space="0" w:color="auto"/>
      </w:divBdr>
    </w:div>
    <w:div w:id="2074306704">
      <w:bodyDiv w:val="1"/>
      <w:marLeft w:val="0"/>
      <w:marRight w:val="0"/>
      <w:marTop w:val="0"/>
      <w:marBottom w:val="0"/>
      <w:divBdr>
        <w:top w:val="none" w:sz="0" w:space="0" w:color="auto"/>
        <w:left w:val="none" w:sz="0" w:space="0" w:color="auto"/>
        <w:bottom w:val="none" w:sz="0" w:space="0" w:color="auto"/>
        <w:right w:val="none" w:sz="0" w:space="0" w:color="auto"/>
      </w:divBdr>
    </w:div>
    <w:div w:id="2079790043">
      <w:bodyDiv w:val="1"/>
      <w:marLeft w:val="0"/>
      <w:marRight w:val="0"/>
      <w:marTop w:val="0"/>
      <w:marBottom w:val="0"/>
      <w:divBdr>
        <w:top w:val="none" w:sz="0" w:space="0" w:color="auto"/>
        <w:left w:val="none" w:sz="0" w:space="0" w:color="auto"/>
        <w:bottom w:val="none" w:sz="0" w:space="0" w:color="auto"/>
        <w:right w:val="none" w:sz="0" w:space="0" w:color="auto"/>
      </w:divBdr>
    </w:div>
    <w:div w:id="2085059768">
      <w:bodyDiv w:val="1"/>
      <w:marLeft w:val="0"/>
      <w:marRight w:val="0"/>
      <w:marTop w:val="0"/>
      <w:marBottom w:val="0"/>
      <w:divBdr>
        <w:top w:val="none" w:sz="0" w:space="0" w:color="auto"/>
        <w:left w:val="none" w:sz="0" w:space="0" w:color="auto"/>
        <w:bottom w:val="none" w:sz="0" w:space="0" w:color="auto"/>
        <w:right w:val="none" w:sz="0" w:space="0" w:color="auto"/>
      </w:divBdr>
    </w:div>
    <w:div w:id="2089840263">
      <w:bodyDiv w:val="1"/>
      <w:marLeft w:val="0"/>
      <w:marRight w:val="0"/>
      <w:marTop w:val="0"/>
      <w:marBottom w:val="0"/>
      <w:divBdr>
        <w:top w:val="none" w:sz="0" w:space="0" w:color="auto"/>
        <w:left w:val="none" w:sz="0" w:space="0" w:color="auto"/>
        <w:bottom w:val="none" w:sz="0" w:space="0" w:color="auto"/>
        <w:right w:val="none" w:sz="0" w:space="0" w:color="auto"/>
      </w:divBdr>
    </w:div>
    <w:div w:id="2092386171">
      <w:bodyDiv w:val="1"/>
      <w:marLeft w:val="0"/>
      <w:marRight w:val="0"/>
      <w:marTop w:val="0"/>
      <w:marBottom w:val="0"/>
      <w:divBdr>
        <w:top w:val="none" w:sz="0" w:space="0" w:color="auto"/>
        <w:left w:val="none" w:sz="0" w:space="0" w:color="auto"/>
        <w:bottom w:val="none" w:sz="0" w:space="0" w:color="auto"/>
        <w:right w:val="none" w:sz="0" w:space="0" w:color="auto"/>
      </w:divBdr>
    </w:div>
    <w:div w:id="2104641389">
      <w:bodyDiv w:val="1"/>
      <w:marLeft w:val="0"/>
      <w:marRight w:val="0"/>
      <w:marTop w:val="0"/>
      <w:marBottom w:val="0"/>
      <w:divBdr>
        <w:top w:val="none" w:sz="0" w:space="0" w:color="auto"/>
        <w:left w:val="none" w:sz="0" w:space="0" w:color="auto"/>
        <w:bottom w:val="none" w:sz="0" w:space="0" w:color="auto"/>
        <w:right w:val="none" w:sz="0" w:space="0" w:color="auto"/>
      </w:divBdr>
    </w:div>
    <w:div w:id="2105999964">
      <w:bodyDiv w:val="1"/>
      <w:marLeft w:val="0"/>
      <w:marRight w:val="0"/>
      <w:marTop w:val="0"/>
      <w:marBottom w:val="0"/>
      <w:divBdr>
        <w:top w:val="none" w:sz="0" w:space="0" w:color="auto"/>
        <w:left w:val="none" w:sz="0" w:space="0" w:color="auto"/>
        <w:bottom w:val="none" w:sz="0" w:space="0" w:color="auto"/>
        <w:right w:val="none" w:sz="0" w:space="0" w:color="auto"/>
      </w:divBdr>
    </w:div>
    <w:div w:id="2106681548">
      <w:bodyDiv w:val="1"/>
      <w:marLeft w:val="0"/>
      <w:marRight w:val="0"/>
      <w:marTop w:val="0"/>
      <w:marBottom w:val="0"/>
      <w:divBdr>
        <w:top w:val="none" w:sz="0" w:space="0" w:color="auto"/>
        <w:left w:val="none" w:sz="0" w:space="0" w:color="auto"/>
        <w:bottom w:val="none" w:sz="0" w:space="0" w:color="auto"/>
        <w:right w:val="none" w:sz="0" w:space="0" w:color="auto"/>
      </w:divBdr>
    </w:div>
    <w:div w:id="2111774306">
      <w:bodyDiv w:val="1"/>
      <w:marLeft w:val="0"/>
      <w:marRight w:val="0"/>
      <w:marTop w:val="0"/>
      <w:marBottom w:val="0"/>
      <w:divBdr>
        <w:top w:val="none" w:sz="0" w:space="0" w:color="auto"/>
        <w:left w:val="none" w:sz="0" w:space="0" w:color="auto"/>
        <w:bottom w:val="none" w:sz="0" w:space="0" w:color="auto"/>
        <w:right w:val="none" w:sz="0" w:space="0" w:color="auto"/>
      </w:divBdr>
    </w:div>
    <w:div w:id="2114009905">
      <w:bodyDiv w:val="1"/>
      <w:marLeft w:val="0"/>
      <w:marRight w:val="0"/>
      <w:marTop w:val="0"/>
      <w:marBottom w:val="0"/>
      <w:divBdr>
        <w:top w:val="none" w:sz="0" w:space="0" w:color="auto"/>
        <w:left w:val="none" w:sz="0" w:space="0" w:color="auto"/>
        <w:bottom w:val="none" w:sz="0" w:space="0" w:color="auto"/>
        <w:right w:val="none" w:sz="0" w:space="0" w:color="auto"/>
      </w:divBdr>
    </w:div>
    <w:div w:id="212488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FB4BE-CDD3-4D37-8578-A8D078598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18</Pages>
  <Words>5849</Words>
  <Characters>33343</Characters>
  <Application>Microsoft Office Word</Application>
  <DocSecurity>0</DocSecurity>
  <Lines>277</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e Roseli</dc:creator>
  <cp:keywords/>
  <dc:description/>
  <cp:lastModifiedBy>SDI 1180</cp:lastModifiedBy>
  <cp:revision>44</cp:revision>
  <cp:lastPrinted>2017-11-05T12:37:00Z</cp:lastPrinted>
  <dcterms:created xsi:type="dcterms:W3CDTF">2025-07-17T22:18:00Z</dcterms:created>
  <dcterms:modified xsi:type="dcterms:W3CDTF">2025-07-21T06:40:00Z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http://www.zotero.org/styles/associacao-brasileira-de-normas-tecnicas</vt:lpwstr>
  </property>
  <property fmtid="{D5CDD505-2E9C-101B-9397-08002B2CF9AE}" pid="11" name="Mendeley Recent Style Name 4_1">
    <vt:lpwstr>Associação Brasileira de Normas Técnicas (Portuguese - Brazil)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2d6c7d22-85a9-3b64-a9ab-bafa91f301be</vt:lpwstr>
  </property>
  <property fmtid="{D5CDD505-2E9C-101B-9397-08002B2CF9AE}" pid="24" name="Mendeley Citation Style_1">
    <vt:lpwstr>http://www.zotero.org/styles/associacao-brasileira-de-normas-tecnicas</vt:lpwstr>
  </property>
</Properties>
</file>