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A5044" w14:textId="6D8469AF" w:rsidR="00B50836" w:rsidRPr="00B50836" w:rsidRDefault="00B50836" w:rsidP="00B50836">
      <w:pPr>
        <w:pStyle w:val="Author"/>
        <w:spacing w:line="240" w:lineRule="auto"/>
        <w:contextualSpacing/>
        <w:jc w:val="left"/>
        <w:rPr>
          <w:rFonts w:ascii="Arial" w:hAnsi="Arial" w:cs="Arial"/>
          <w:bCs/>
          <w:iCs/>
          <w:kern w:val="28"/>
          <w:sz w:val="32"/>
          <w:szCs w:val="18"/>
          <w:u w:val="single"/>
        </w:rPr>
      </w:pPr>
      <w:r w:rsidRPr="00B50836">
        <w:rPr>
          <w:rFonts w:ascii="Arial" w:hAnsi="Arial" w:cs="Arial"/>
          <w:bCs/>
          <w:iCs/>
          <w:kern w:val="28"/>
          <w:sz w:val="32"/>
          <w:szCs w:val="18"/>
          <w:u w:val="single"/>
        </w:rPr>
        <w:t>Original Research Article</w:t>
      </w:r>
    </w:p>
    <w:p w14:paraId="4E4BD51D" w14:textId="4B76B9FF" w:rsidR="00163BC4" w:rsidRPr="00DD5E24" w:rsidRDefault="002E3A58" w:rsidP="00783962">
      <w:pPr>
        <w:pStyle w:val="Author"/>
        <w:spacing w:line="240" w:lineRule="auto"/>
        <w:contextualSpacing/>
        <w:rPr>
          <w:rFonts w:ascii="Arial" w:hAnsi="Arial" w:cs="Arial"/>
          <w:bCs/>
          <w:iCs/>
          <w:kern w:val="28"/>
          <w:sz w:val="36"/>
        </w:rPr>
      </w:pPr>
      <w:r w:rsidRPr="00DD5E24">
        <w:rPr>
          <w:rFonts w:ascii="Arial" w:hAnsi="Arial" w:cs="Arial"/>
          <w:bCs/>
          <w:iCs/>
          <w:kern w:val="28"/>
          <w:sz w:val="36"/>
        </w:rPr>
        <w:t>Rotenone-treated in the early life stages of zebrafish (</w:t>
      </w:r>
      <w:r w:rsidR="005D469D" w:rsidRPr="00DD5E24">
        <w:rPr>
          <w:rFonts w:ascii="Arial" w:hAnsi="Arial" w:cs="Arial"/>
          <w:bCs/>
          <w:i/>
          <w:iCs/>
          <w:kern w:val="28"/>
          <w:sz w:val="36"/>
        </w:rPr>
        <w:t>Danio rerio</w:t>
      </w:r>
      <w:r w:rsidRPr="00DD5E24">
        <w:rPr>
          <w:rFonts w:ascii="Arial" w:hAnsi="Arial" w:cs="Arial"/>
          <w:bCs/>
          <w:iCs/>
          <w:kern w:val="28"/>
          <w:sz w:val="36"/>
        </w:rPr>
        <w:t>) as a model for Parkinson-like motor and non-motor symptoms, and anxiety-like behavior</w:t>
      </w:r>
    </w:p>
    <w:p w14:paraId="4E3B9B2B" w14:textId="77777777" w:rsidR="00A258C3" w:rsidRPr="00DD5E24" w:rsidRDefault="00A258C3" w:rsidP="00783962">
      <w:pPr>
        <w:pStyle w:val="Author"/>
        <w:spacing w:line="240" w:lineRule="auto"/>
        <w:contextualSpacing/>
        <w:jc w:val="both"/>
        <w:rPr>
          <w:rFonts w:ascii="Arial" w:hAnsi="Arial" w:cs="Arial"/>
          <w:sz w:val="36"/>
        </w:rPr>
      </w:pPr>
    </w:p>
    <w:p w14:paraId="35AC245C" w14:textId="77777777" w:rsidR="002C57D2" w:rsidRPr="00DD5E24" w:rsidRDefault="002C57D2" w:rsidP="00783962">
      <w:pPr>
        <w:pStyle w:val="Affiliation"/>
        <w:spacing w:after="0" w:line="240" w:lineRule="auto"/>
        <w:contextualSpacing/>
        <w:jc w:val="both"/>
        <w:rPr>
          <w:rFonts w:ascii="Arial" w:hAnsi="Arial" w:cs="Arial"/>
        </w:rPr>
      </w:pPr>
    </w:p>
    <w:p w14:paraId="27FBAEA5" w14:textId="460D1039" w:rsidR="00B01FCD" w:rsidRPr="00DD5E24" w:rsidRDefault="00022CD9" w:rsidP="00783962">
      <w:pPr>
        <w:pStyle w:val="Copyright"/>
        <w:spacing w:after="0" w:line="240" w:lineRule="auto"/>
        <w:contextualSpacing/>
        <w:jc w:val="both"/>
        <w:rPr>
          <w:rFonts w:ascii="Arial" w:hAnsi="Arial" w:cs="Arial"/>
        </w:rPr>
        <w:sectPr w:rsidR="00B01FCD" w:rsidRPr="00DD5E24" w:rsidSect="00C042C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DD5E24">
        <w:rPr>
          <w:rFonts w:ascii="Arial" w:hAnsi="Arial" w:cs="Arial"/>
          <w:noProof/>
        </w:rPr>
        <mc:AlternateContent>
          <mc:Choice Requires="wps">
            <w:drawing>
              <wp:inline distT="0" distB="0" distL="0" distR="0" wp14:anchorId="04E30443" wp14:editId="544DC1B5">
                <wp:extent cx="5303520" cy="635"/>
                <wp:effectExtent l="17145" t="11430" r="13335" b="17145"/>
                <wp:docPr id="68257493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482D42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DD5E24">
        <w:rPr>
          <w:rFonts w:ascii="Arial" w:hAnsi="Arial" w:cs="Arial"/>
        </w:rPr>
        <w:t>.</w:t>
      </w:r>
    </w:p>
    <w:p w14:paraId="7D67C5E1" w14:textId="6A3B18FC" w:rsidR="00B01FCD" w:rsidRPr="00DD5E24" w:rsidRDefault="00B01FCD" w:rsidP="00783962">
      <w:pPr>
        <w:pStyle w:val="AbstHead"/>
        <w:spacing w:after="0"/>
        <w:contextualSpacing/>
        <w:jc w:val="both"/>
        <w:rPr>
          <w:rFonts w:ascii="Arial" w:hAnsi="Arial" w:cs="Arial"/>
        </w:rPr>
      </w:pPr>
      <w:r w:rsidRPr="00DD5E24">
        <w:rPr>
          <w:rFonts w:ascii="Arial" w:hAnsi="Arial" w:cs="Arial"/>
        </w:rPr>
        <w:t>ABSTRACT</w:t>
      </w:r>
    </w:p>
    <w:p w14:paraId="111F560E" w14:textId="77777777" w:rsidR="00790ADA" w:rsidRPr="00DD5E24" w:rsidRDefault="00790ADA" w:rsidP="00783962">
      <w:pPr>
        <w:pStyle w:val="AbstHead"/>
        <w:spacing w:after="0"/>
        <w:contextualSpacing/>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DD5E24" w14:paraId="6B0CE592" w14:textId="77777777" w:rsidTr="001E44FE">
        <w:tc>
          <w:tcPr>
            <w:tcW w:w="9576" w:type="dxa"/>
            <w:shd w:val="clear" w:color="auto" w:fill="F2F2F2"/>
          </w:tcPr>
          <w:p w14:paraId="3F7EA6B6" w14:textId="1EFA0E0A" w:rsidR="002D38AA" w:rsidRPr="00DD5E24" w:rsidRDefault="00BA1B01" w:rsidP="00783962">
            <w:pPr>
              <w:pStyle w:val="Body"/>
              <w:spacing w:after="0"/>
              <w:contextualSpacing/>
              <w:rPr>
                <w:rFonts w:ascii="Arial" w:eastAsia="Calibri" w:hAnsi="Arial" w:cs="Arial"/>
                <w:bCs/>
                <w:szCs w:val="22"/>
              </w:rPr>
            </w:pPr>
            <w:r w:rsidRPr="00DD5E24">
              <w:rPr>
                <w:rFonts w:ascii="Arial" w:eastAsia="Calibri" w:hAnsi="Arial" w:cs="Arial"/>
                <w:b/>
                <w:szCs w:val="22"/>
              </w:rPr>
              <w:t>Aims</w:t>
            </w:r>
            <w:r w:rsidR="0009527D" w:rsidRPr="00DD5E24">
              <w:rPr>
                <w:rFonts w:ascii="Arial" w:eastAsia="Calibri" w:hAnsi="Arial" w:cs="Arial"/>
                <w:b/>
                <w:szCs w:val="22"/>
              </w:rPr>
              <w:t>:</w:t>
            </w:r>
            <w:r w:rsidR="0009527D" w:rsidRPr="00DD5E24">
              <w:t xml:space="preserve"> </w:t>
            </w:r>
            <w:r w:rsidR="002D38AA" w:rsidRPr="00DD5E24">
              <w:rPr>
                <w:rFonts w:ascii="Arial" w:eastAsia="Calibri" w:hAnsi="Arial" w:cs="Arial"/>
                <w:bCs/>
                <w:szCs w:val="22"/>
              </w:rPr>
              <w:t>To establish a zebrafish (</w:t>
            </w:r>
            <w:r w:rsidR="005D469D" w:rsidRPr="00DD5E24">
              <w:rPr>
                <w:rFonts w:ascii="Arial" w:eastAsia="Calibri" w:hAnsi="Arial" w:cs="Arial"/>
                <w:bCs/>
                <w:i/>
                <w:iCs/>
                <w:szCs w:val="22"/>
              </w:rPr>
              <w:t>Danio rerio</w:t>
            </w:r>
            <w:r w:rsidR="002D38AA" w:rsidRPr="00DD5E24">
              <w:rPr>
                <w:rFonts w:ascii="Arial" w:eastAsia="Calibri" w:hAnsi="Arial" w:cs="Arial"/>
                <w:bCs/>
                <w:szCs w:val="22"/>
              </w:rPr>
              <w:t>) model for Parkinson-like symptoms by evaluating the developmental, teratogenic, and behavioral effects of rotenone, with a specific focus on non-motor and anxiety-like behaviors.</w:t>
            </w:r>
          </w:p>
          <w:p w14:paraId="4DA8CCA3" w14:textId="3C52065D" w:rsidR="00BA1B01" w:rsidRPr="00DD5E24" w:rsidRDefault="00BA1B01" w:rsidP="00783962">
            <w:pPr>
              <w:pStyle w:val="Body"/>
              <w:spacing w:after="0"/>
              <w:contextualSpacing/>
              <w:rPr>
                <w:rFonts w:ascii="Arial" w:eastAsia="Calibri" w:hAnsi="Arial" w:cs="Arial"/>
                <w:szCs w:val="22"/>
              </w:rPr>
            </w:pPr>
            <w:r w:rsidRPr="00DD5E24">
              <w:rPr>
                <w:rFonts w:ascii="Arial" w:eastAsia="Calibri" w:hAnsi="Arial" w:cs="Arial"/>
                <w:b/>
                <w:szCs w:val="22"/>
              </w:rPr>
              <w:t>Study design:</w:t>
            </w:r>
            <w:r w:rsidRPr="00DD5E24">
              <w:rPr>
                <w:rFonts w:ascii="Arial" w:eastAsia="Calibri" w:hAnsi="Arial" w:cs="Arial"/>
                <w:szCs w:val="22"/>
              </w:rPr>
              <w:t xml:space="preserve"> </w:t>
            </w:r>
            <w:r w:rsidR="002D38AA" w:rsidRPr="00DD5E24">
              <w:rPr>
                <w:rFonts w:ascii="Arial" w:eastAsia="Calibri" w:hAnsi="Arial" w:cs="Arial"/>
                <w:szCs w:val="22"/>
              </w:rPr>
              <w:t xml:space="preserve">An </w:t>
            </w:r>
            <w:r w:rsidR="002D38AA" w:rsidRPr="00DD5E24">
              <w:rPr>
                <w:rFonts w:ascii="Arial" w:eastAsia="Calibri" w:hAnsi="Arial" w:cs="Arial"/>
                <w:i/>
                <w:iCs/>
                <w:szCs w:val="22"/>
              </w:rPr>
              <w:t>in vivo</w:t>
            </w:r>
            <w:r w:rsidR="002D38AA" w:rsidRPr="00DD5E24">
              <w:rPr>
                <w:rFonts w:ascii="Arial" w:eastAsia="Calibri" w:hAnsi="Arial" w:cs="Arial"/>
                <w:szCs w:val="22"/>
              </w:rPr>
              <w:t xml:space="preserve"> experimental study evaluating dose-response effects of rotenone on zebrafish embryo-larvae.</w:t>
            </w:r>
          </w:p>
          <w:p w14:paraId="5FBF5C29" w14:textId="7830AC0A" w:rsidR="00BA1B01" w:rsidRPr="00DD5E24" w:rsidRDefault="00BA1B01" w:rsidP="00783962">
            <w:pPr>
              <w:pStyle w:val="Body"/>
              <w:spacing w:after="0"/>
              <w:contextualSpacing/>
              <w:rPr>
                <w:rFonts w:ascii="Arial" w:eastAsia="Calibri" w:hAnsi="Arial" w:cs="Arial"/>
                <w:szCs w:val="22"/>
              </w:rPr>
            </w:pPr>
            <w:r w:rsidRPr="00DD5E24">
              <w:rPr>
                <w:rFonts w:ascii="Arial" w:eastAsia="Calibri" w:hAnsi="Arial" w:cs="Arial"/>
                <w:b/>
                <w:szCs w:val="22"/>
              </w:rPr>
              <w:t>Place and Duration of Study:</w:t>
            </w:r>
            <w:r w:rsidRPr="00DD5E24">
              <w:rPr>
                <w:rFonts w:ascii="Arial" w:eastAsia="Calibri" w:hAnsi="Arial" w:cs="Arial"/>
                <w:szCs w:val="22"/>
              </w:rPr>
              <w:t xml:space="preserve"> </w:t>
            </w:r>
            <w:proofErr w:type="spellStart"/>
            <w:r w:rsidR="0009527D" w:rsidRPr="00DD5E24">
              <w:rPr>
                <w:rFonts w:ascii="Arial" w:eastAsia="Calibri" w:hAnsi="Arial" w:cs="Arial"/>
                <w:szCs w:val="22"/>
              </w:rPr>
              <w:t>Laboratório</w:t>
            </w:r>
            <w:proofErr w:type="spellEnd"/>
            <w:r w:rsidR="0009527D" w:rsidRPr="00DD5E24">
              <w:rPr>
                <w:rFonts w:ascii="Arial" w:eastAsia="Calibri" w:hAnsi="Arial" w:cs="Arial"/>
                <w:szCs w:val="22"/>
              </w:rPr>
              <w:t xml:space="preserve"> de </w:t>
            </w:r>
            <w:proofErr w:type="spellStart"/>
            <w:r w:rsidR="0009527D" w:rsidRPr="00DD5E24">
              <w:rPr>
                <w:rFonts w:ascii="Arial" w:eastAsia="Calibri" w:hAnsi="Arial" w:cs="Arial"/>
                <w:szCs w:val="22"/>
              </w:rPr>
              <w:t>Ecofisiologia</w:t>
            </w:r>
            <w:proofErr w:type="spellEnd"/>
            <w:r w:rsidR="0009527D" w:rsidRPr="00DD5E24">
              <w:rPr>
                <w:rFonts w:ascii="Arial" w:eastAsia="Calibri" w:hAnsi="Arial" w:cs="Arial"/>
                <w:szCs w:val="22"/>
              </w:rPr>
              <w:t xml:space="preserve"> e </w:t>
            </w:r>
            <w:proofErr w:type="spellStart"/>
            <w:r w:rsidR="0009527D" w:rsidRPr="00DD5E24">
              <w:rPr>
                <w:rFonts w:ascii="Arial" w:eastAsia="Calibri" w:hAnsi="Arial" w:cs="Arial"/>
                <w:szCs w:val="22"/>
              </w:rPr>
              <w:t>Comportamento</w:t>
            </w:r>
            <w:proofErr w:type="spellEnd"/>
            <w:r w:rsidR="0009527D" w:rsidRPr="00DD5E24">
              <w:rPr>
                <w:rFonts w:ascii="Arial" w:eastAsia="Calibri" w:hAnsi="Arial" w:cs="Arial"/>
                <w:szCs w:val="22"/>
              </w:rPr>
              <w:t xml:space="preserve"> Animal (LECA), </w:t>
            </w:r>
            <w:proofErr w:type="spellStart"/>
            <w:r w:rsidR="0009527D" w:rsidRPr="00DD5E24">
              <w:rPr>
                <w:rFonts w:ascii="Arial" w:eastAsia="Calibri" w:hAnsi="Arial" w:cs="Arial"/>
                <w:szCs w:val="22"/>
              </w:rPr>
              <w:t>Universidade</w:t>
            </w:r>
            <w:proofErr w:type="spellEnd"/>
            <w:r w:rsidR="0009527D" w:rsidRPr="00DD5E24">
              <w:rPr>
                <w:rFonts w:ascii="Arial" w:eastAsia="Calibri" w:hAnsi="Arial" w:cs="Arial"/>
                <w:szCs w:val="22"/>
              </w:rPr>
              <w:t xml:space="preserve"> Federal Rural de Pernambuco (UFRPE), Recife, PE, Brazil, between </w:t>
            </w:r>
            <w:r w:rsidR="008F6BD3" w:rsidRPr="00DD5E24">
              <w:rPr>
                <w:rFonts w:ascii="Arial" w:eastAsia="Calibri" w:hAnsi="Arial" w:cs="Arial"/>
                <w:szCs w:val="22"/>
              </w:rPr>
              <w:t>August 2020</w:t>
            </w:r>
            <w:r w:rsidR="0009527D" w:rsidRPr="00DD5E24">
              <w:rPr>
                <w:rFonts w:ascii="Arial" w:eastAsia="Calibri" w:hAnsi="Arial" w:cs="Arial"/>
                <w:szCs w:val="22"/>
              </w:rPr>
              <w:t xml:space="preserve"> and </w:t>
            </w:r>
            <w:r w:rsidR="008F6BD3" w:rsidRPr="00DD5E24">
              <w:rPr>
                <w:rFonts w:ascii="Arial" w:eastAsia="Calibri" w:hAnsi="Arial" w:cs="Arial"/>
                <w:szCs w:val="22"/>
              </w:rPr>
              <w:t>July 2021</w:t>
            </w:r>
            <w:r w:rsidR="0009527D" w:rsidRPr="00DD5E24">
              <w:rPr>
                <w:rFonts w:ascii="Arial" w:eastAsia="Calibri" w:hAnsi="Arial" w:cs="Arial"/>
                <w:szCs w:val="22"/>
              </w:rPr>
              <w:t>.</w:t>
            </w:r>
          </w:p>
          <w:p w14:paraId="4F14F9B7" w14:textId="77777777" w:rsidR="002D38AA" w:rsidRPr="00DD5E24" w:rsidRDefault="00BA1B01" w:rsidP="00783962">
            <w:pPr>
              <w:pStyle w:val="Body"/>
              <w:spacing w:after="0"/>
              <w:contextualSpacing/>
              <w:rPr>
                <w:rFonts w:ascii="Arial" w:eastAsia="Calibri" w:hAnsi="Arial" w:cs="Arial"/>
                <w:szCs w:val="22"/>
              </w:rPr>
            </w:pPr>
            <w:r w:rsidRPr="00DD5E24">
              <w:rPr>
                <w:rFonts w:ascii="Arial" w:eastAsia="Calibri" w:hAnsi="Arial" w:cs="Arial"/>
                <w:b/>
                <w:bCs/>
                <w:szCs w:val="22"/>
              </w:rPr>
              <w:t>Methodology:</w:t>
            </w:r>
            <w:r w:rsidRPr="00DD5E24">
              <w:rPr>
                <w:rFonts w:ascii="Arial" w:eastAsia="Calibri" w:hAnsi="Arial" w:cs="Arial"/>
                <w:szCs w:val="22"/>
              </w:rPr>
              <w:t xml:space="preserve"> </w:t>
            </w:r>
            <w:r w:rsidR="002D38AA" w:rsidRPr="00DD5E24">
              <w:rPr>
                <w:rFonts w:ascii="Arial" w:eastAsia="Calibri" w:hAnsi="Arial" w:cs="Arial"/>
                <w:szCs w:val="22"/>
              </w:rPr>
              <w:t>Zebrafish embryo-larvae were exposed to rotenone (5, 10, 15, and 20 µg/L) from 2 hours post-fertilization (</w:t>
            </w:r>
            <w:proofErr w:type="spellStart"/>
            <w:r w:rsidR="002D38AA" w:rsidRPr="00DD5E24">
              <w:rPr>
                <w:rFonts w:ascii="Arial" w:eastAsia="Calibri" w:hAnsi="Arial" w:cs="Arial"/>
                <w:szCs w:val="22"/>
              </w:rPr>
              <w:t>hpf</w:t>
            </w:r>
            <w:proofErr w:type="spellEnd"/>
            <w:r w:rsidR="002D38AA" w:rsidRPr="00DD5E24">
              <w:rPr>
                <w:rFonts w:ascii="Arial" w:eastAsia="Calibri" w:hAnsi="Arial" w:cs="Arial"/>
                <w:szCs w:val="22"/>
              </w:rPr>
              <w:t xml:space="preserve">). Developmental endpoints (epiboly rate, teratogenicity, mortality, morphometry) and behavioral endpoints (thigmotaxis, touch sensitivity, optomotor response) were analyzed up to 144 </w:t>
            </w:r>
            <w:proofErr w:type="spellStart"/>
            <w:r w:rsidR="002D38AA" w:rsidRPr="00DD5E24">
              <w:rPr>
                <w:rFonts w:ascii="Arial" w:eastAsia="Calibri" w:hAnsi="Arial" w:cs="Arial"/>
                <w:szCs w:val="22"/>
              </w:rPr>
              <w:t>hpf</w:t>
            </w:r>
            <w:proofErr w:type="spellEnd"/>
            <w:r w:rsidR="002D38AA" w:rsidRPr="00DD5E24">
              <w:rPr>
                <w:rFonts w:ascii="Arial" w:eastAsia="Calibri" w:hAnsi="Arial" w:cs="Arial"/>
                <w:szCs w:val="22"/>
              </w:rPr>
              <w:t>.</w:t>
            </w:r>
          </w:p>
          <w:p w14:paraId="31D9C162" w14:textId="420510C2" w:rsidR="002D38AA" w:rsidRPr="00DD5E24" w:rsidRDefault="00BA1B01" w:rsidP="00783962">
            <w:pPr>
              <w:pStyle w:val="Body"/>
              <w:spacing w:after="0"/>
              <w:contextualSpacing/>
              <w:rPr>
                <w:rFonts w:ascii="Arial" w:eastAsia="Calibri" w:hAnsi="Arial" w:cs="Arial"/>
                <w:szCs w:val="22"/>
              </w:rPr>
            </w:pPr>
            <w:r w:rsidRPr="00DD5E24">
              <w:rPr>
                <w:rFonts w:ascii="Arial" w:eastAsia="Calibri" w:hAnsi="Arial" w:cs="Arial"/>
                <w:b/>
                <w:bCs/>
                <w:szCs w:val="22"/>
              </w:rPr>
              <w:t>Results:</w:t>
            </w:r>
            <w:r w:rsidRPr="00DD5E24">
              <w:rPr>
                <w:rFonts w:ascii="Arial" w:eastAsia="Calibri" w:hAnsi="Arial" w:cs="Arial"/>
                <w:szCs w:val="22"/>
              </w:rPr>
              <w:t xml:space="preserve"> </w:t>
            </w:r>
            <w:r w:rsidR="002D38AA" w:rsidRPr="00DD5E24">
              <w:rPr>
                <w:rFonts w:ascii="Arial" w:eastAsia="Calibri" w:hAnsi="Arial" w:cs="Arial"/>
                <w:szCs w:val="22"/>
              </w:rPr>
              <w:t>Rotenone exposure increased mortality and teratogenicity in a dose-dependent manner, yielding an LC</w:t>
            </w:r>
            <w:r w:rsidR="002D38AA" w:rsidRPr="00DD5E24">
              <w:rPr>
                <w:rFonts w:ascii="Cambria Math" w:eastAsia="Calibri" w:hAnsi="Cambria Math" w:cs="Cambria Math"/>
                <w:szCs w:val="22"/>
              </w:rPr>
              <w:t>₅₀</w:t>
            </w:r>
            <w:r w:rsidR="002D38AA" w:rsidRPr="00DD5E24">
              <w:rPr>
                <w:rFonts w:ascii="Arial" w:eastAsia="Calibri" w:hAnsi="Arial" w:cs="Arial"/>
                <w:szCs w:val="22"/>
              </w:rPr>
              <w:t xml:space="preserve"> of 13.88 µg/L and an EC</w:t>
            </w:r>
            <w:r w:rsidR="002D38AA" w:rsidRPr="00DD5E24">
              <w:rPr>
                <w:rFonts w:ascii="Cambria Math" w:eastAsia="Calibri" w:hAnsi="Cambria Math" w:cs="Cambria Math"/>
                <w:szCs w:val="22"/>
              </w:rPr>
              <w:t>₅₀</w:t>
            </w:r>
            <w:r w:rsidR="002D38AA" w:rsidRPr="00DD5E24">
              <w:rPr>
                <w:rFonts w:ascii="Arial" w:eastAsia="Calibri" w:hAnsi="Arial" w:cs="Arial"/>
                <w:szCs w:val="22"/>
              </w:rPr>
              <w:t xml:space="preserve"> of 11.24 µg/L at 96 </w:t>
            </w:r>
            <w:proofErr w:type="spellStart"/>
            <w:r w:rsidR="002D38AA" w:rsidRPr="00DD5E24">
              <w:rPr>
                <w:rFonts w:ascii="Arial" w:eastAsia="Calibri" w:hAnsi="Arial" w:cs="Arial"/>
                <w:szCs w:val="22"/>
              </w:rPr>
              <w:t>hpf</w:t>
            </w:r>
            <w:proofErr w:type="spellEnd"/>
            <w:r w:rsidR="002D38AA" w:rsidRPr="00DD5E24">
              <w:rPr>
                <w:rFonts w:ascii="Arial" w:eastAsia="Calibri" w:hAnsi="Arial" w:cs="Arial"/>
                <w:szCs w:val="22"/>
              </w:rPr>
              <w:t>. Significant reductions in head and body length were observed at all concentrations (</w:t>
            </w:r>
            <w:r w:rsidR="002D38AA" w:rsidRPr="00DD5E24">
              <w:rPr>
                <w:rFonts w:ascii="Arial" w:eastAsia="Calibri" w:hAnsi="Arial" w:cs="Arial"/>
                <w:i/>
                <w:iCs/>
                <w:szCs w:val="22"/>
              </w:rPr>
              <w:t>P</w:t>
            </w:r>
            <w:r w:rsidR="002D38AA" w:rsidRPr="00DD5E24">
              <w:rPr>
                <w:rFonts w:ascii="Arial" w:eastAsia="Calibri" w:hAnsi="Arial" w:cs="Arial"/>
                <w:szCs w:val="22"/>
              </w:rPr>
              <w:t xml:space="preserve"> &lt;</w:t>
            </w:r>
            <w:r w:rsidR="006635D7" w:rsidRPr="00DD5E24">
              <w:rPr>
                <w:rFonts w:ascii="Arial" w:eastAsia="Calibri" w:hAnsi="Arial" w:cs="Arial"/>
                <w:szCs w:val="22"/>
              </w:rPr>
              <w:t xml:space="preserve"> </w:t>
            </w:r>
            <w:r w:rsidR="002D38AA" w:rsidRPr="00DD5E24">
              <w:rPr>
                <w:rFonts w:ascii="Arial" w:eastAsia="Calibri" w:hAnsi="Arial" w:cs="Arial"/>
                <w:szCs w:val="22"/>
              </w:rPr>
              <w:t>.05), with a notable decrease of 6% in head length and 5% in body length even at the lowest dose (5 µg/L). Anxiety-like behavior, indicated by a significant loss of thigmotaxis, was evident at 15 µg/L (</w:t>
            </w:r>
            <w:r w:rsidR="002D38AA" w:rsidRPr="00DD5E24">
              <w:rPr>
                <w:rFonts w:ascii="Arial" w:eastAsia="Calibri" w:hAnsi="Arial" w:cs="Arial"/>
                <w:i/>
                <w:iCs/>
                <w:szCs w:val="22"/>
              </w:rPr>
              <w:t>P</w:t>
            </w:r>
            <w:r w:rsidR="002D38AA" w:rsidRPr="00DD5E24">
              <w:rPr>
                <w:rFonts w:ascii="Arial" w:eastAsia="Calibri" w:hAnsi="Arial" w:cs="Arial"/>
                <w:szCs w:val="22"/>
              </w:rPr>
              <w:t xml:space="preserve"> =</w:t>
            </w:r>
            <w:r w:rsidR="006635D7" w:rsidRPr="00DD5E24">
              <w:rPr>
                <w:rFonts w:ascii="Arial" w:eastAsia="Calibri" w:hAnsi="Arial" w:cs="Arial"/>
                <w:szCs w:val="22"/>
              </w:rPr>
              <w:t xml:space="preserve"> </w:t>
            </w:r>
            <w:r w:rsidR="002D38AA" w:rsidRPr="00DD5E24">
              <w:rPr>
                <w:rFonts w:ascii="Arial" w:eastAsia="Calibri" w:hAnsi="Arial" w:cs="Arial"/>
                <w:szCs w:val="22"/>
              </w:rPr>
              <w:t>.013) and 20 µg/L (</w:t>
            </w:r>
            <w:r w:rsidR="002D38AA" w:rsidRPr="00DD5E24">
              <w:rPr>
                <w:rFonts w:ascii="Arial" w:eastAsia="Calibri" w:hAnsi="Arial" w:cs="Arial"/>
                <w:i/>
                <w:iCs/>
                <w:szCs w:val="22"/>
              </w:rPr>
              <w:t>P</w:t>
            </w:r>
            <w:r w:rsidR="002D38AA" w:rsidRPr="00DD5E24">
              <w:rPr>
                <w:rFonts w:ascii="Arial" w:eastAsia="Calibri" w:hAnsi="Arial" w:cs="Arial"/>
                <w:szCs w:val="22"/>
              </w:rPr>
              <w:t xml:space="preserve"> =</w:t>
            </w:r>
            <w:r w:rsidR="006635D7" w:rsidRPr="00DD5E24">
              <w:rPr>
                <w:rFonts w:ascii="Arial" w:eastAsia="Calibri" w:hAnsi="Arial" w:cs="Arial"/>
                <w:szCs w:val="22"/>
              </w:rPr>
              <w:t xml:space="preserve"> </w:t>
            </w:r>
            <w:r w:rsidR="002D38AA" w:rsidRPr="00DD5E24">
              <w:rPr>
                <w:rFonts w:ascii="Arial" w:eastAsia="Calibri" w:hAnsi="Arial" w:cs="Arial"/>
                <w:szCs w:val="22"/>
              </w:rPr>
              <w:t xml:space="preserve">.001), where the response rate dropped from 92% in controls to 68% and 63%, respectively. In contrast, touch sensitivity was only affected at the highest concentration (20 µg/L, </w:t>
            </w:r>
            <w:r w:rsidR="002D38AA" w:rsidRPr="00DD5E24">
              <w:rPr>
                <w:rFonts w:ascii="Arial" w:eastAsia="Calibri" w:hAnsi="Arial" w:cs="Arial"/>
                <w:i/>
                <w:iCs/>
                <w:szCs w:val="22"/>
              </w:rPr>
              <w:t>P</w:t>
            </w:r>
            <w:r w:rsidR="002D38AA" w:rsidRPr="00DD5E24">
              <w:rPr>
                <w:rFonts w:ascii="Arial" w:eastAsia="Calibri" w:hAnsi="Arial" w:cs="Arial"/>
                <w:szCs w:val="22"/>
              </w:rPr>
              <w:t xml:space="preserve"> =</w:t>
            </w:r>
            <w:r w:rsidR="006635D7" w:rsidRPr="00DD5E24">
              <w:rPr>
                <w:rFonts w:ascii="Arial" w:eastAsia="Calibri" w:hAnsi="Arial" w:cs="Arial"/>
                <w:szCs w:val="22"/>
              </w:rPr>
              <w:t xml:space="preserve"> </w:t>
            </w:r>
            <w:r w:rsidR="002D38AA" w:rsidRPr="00DD5E24">
              <w:rPr>
                <w:rFonts w:ascii="Arial" w:eastAsia="Calibri" w:hAnsi="Arial" w:cs="Arial"/>
                <w:szCs w:val="22"/>
              </w:rPr>
              <w:t>.009), with the escape response rate dropping from 100% in controls to 85%. The optomotor response was unaffected.</w:t>
            </w:r>
          </w:p>
          <w:p w14:paraId="2361692F" w14:textId="770BACA7" w:rsidR="00505F06" w:rsidRPr="00DD5E24" w:rsidRDefault="00BA1B01" w:rsidP="00783962">
            <w:pPr>
              <w:pStyle w:val="Body"/>
              <w:spacing w:after="0"/>
              <w:contextualSpacing/>
              <w:rPr>
                <w:rFonts w:ascii="Arial" w:eastAsia="Calibri" w:hAnsi="Arial" w:cs="Arial"/>
                <w:szCs w:val="22"/>
              </w:rPr>
            </w:pPr>
            <w:r w:rsidRPr="00DD5E24">
              <w:rPr>
                <w:rFonts w:ascii="Arial" w:eastAsia="Calibri" w:hAnsi="Arial" w:cs="Arial"/>
                <w:b/>
                <w:bCs/>
                <w:szCs w:val="22"/>
              </w:rPr>
              <w:t>Conclusion:</w:t>
            </w:r>
            <w:r w:rsidRPr="00DD5E24">
              <w:rPr>
                <w:rFonts w:ascii="Arial" w:eastAsia="Calibri" w:hAnsi="Arial" w:cs="Arial"/>
                <w:szCs w:val="22"/>
              </w:rPr>
              <w:t xml:space="preserve"> </w:t>
            </w:r>
            <w:r w:rsidR="002D38AA" w:rsidRPr="00DD5E24">
              <w:rPr>
                <w:rFonts w:ascii="Arial" w:eastAsia="Calibri" w:hAnsi="Arial" w:cs="Arial"/>
                <w:szCs w:val="22"/>
              </w:rPr>
              <w:t>Rotenone exposure in early-stage zebrafish effectively models key features of Parkinson's disease, including developmental defects and non-motor symptoms like anxiety-like behavior. The 10-15 µg/L concentration range offers an optimal window for inducing these phenotypes, establishing a robust and high-throughput model for screening potential therapeutics.</w:t>
            </w:r>
          </w:p>
        </w:tc>
      </w:tr>
    </w:tbl>
    <w:p w14:paraId="0F927AB5" w14:textId="749D63F9" w:rsidR="00A24E7E" w:rsidRPr="00DD5E24" w:rsidRDefault="00A24E7E" w:rsidP="00783962">
      <w:pPr>
        <w:pStyle w:val="Body"/>
        <w:spacing w:after="0"/>
        <w:contextualSpacing/>
        <w:rPr>
          <w:rFonts w:ascii="Arial" w:hAnsi="Arial" w:cs="Arial"/>
          <w:i/>
        </w:rPr>
      </w:pPr>
      <w:r w:rsidRPr="00DD5E24">
        <w:rPr>
          <w:rFonts w:ascii="Arial" w:hAnsi="Arial" w:cs="Arial"/>
          <w:i/>
        </w:rPr>
        <w:t xml:space="preserve">Keywords: </w:t>
      </w:r>
      <w:r w:rsidR="0009527D" w:rsidRPr="00DD5E24">
        <w:rPr>
          <w:rFonts w:ascii="Arial" w:hAnsi="Arial" w:cs="Arial"/>
          <w:i/>
        </w:rPr>
        <w:t>Parkinson’s disease; anxiety-like behavior; animal model; rotenone; zebrafish</w:t>
      </w:r>
    </w:p>
    <w:p w14:paraId="6C86DBD3" w14:textId="77777777" w:rsidR="00057E36" w:rsidRDefault="00057E36" w:rsidP="00783962">
      <w:pPr>
        <w:pStyle w:val="AbstHead"/>
        <w:spacing w:after="0"/>
        <w:contextualSpacing/>
        <w:jc w:val="both"/>
        <w:rPr>
          <w:rFonts w:ascii="Arial" w:hAnsi="Arial" w:cs="Arial"/>
        </w:rPr>
      </w:pPr>
    </w:p>
    <w:p w14:paraId="7C2E554D" w14:textId="1AB6A93A" w:rsidR="007F7B32" w:rsidRPr="00DD5E24" w:rsidRDefault="00902823" w:rsidP="00783962">
      <w:pPr>
        <w:pStyle w:val="AbstHead"/>
        <w:spacing w:after="0"/>
        <w:contextualSpacing/>
        <w:jc w:val="both"/>
        <w:rPr>
          <w:rFonts w:ascii="Arial" w:hAnsi="Arial" w:cs="Arial"/>
        </w:rPr>
      </w:pPr>
      <w:r w:rsidRPr="00DD5E24">
        <w:rPr>
          <w:rFonts w:ascii="Arial" w:hAnsi="Arial" w:cs="Arial"/>
        </w:rPr>
        <w:t xml:space="preserve">1. </w:t>
      </w:r>
      <w:r w:rsidR="00B01FCD" w:rsidRPr="00DD5E24">
        <w:rPr>
          <w:rFonts w:ascii="Arial" w:hAnsi="Arial" w:cs="Arial"/>
        </w:rPr>
        <w:t>INTRODUCTION</w:t>
      </w:r>
    </w:p>
    <w:p w14:paraId="188B7717" w14:textId="77777777" w:rsidR="00790ADA" w:rsidRPr="00DD5E24" w:rsidRDefault="00790ADA" w:rsidP="00783962">
      <w:pPr>
        <w:pStyle w:val="AbstHead"/>
        <w:spacing w:after="0"/>
        <w:contextualSpacing/>
        <w:jc w:val="both"/>
        <w:rPr>
          <w:rFonts w:ascii="Arial" w:hAnsi="Arial" w:cs="Arial"/>
        </w:rPr>
      </w:pPr>
    </w:p>
    <w:p w14:paraId="327E9849" w14:textId="424B5066" w:rsidR="00C4241F" w:rsidRPr="00DD5E24" w:rsidRDefault="00731EB0" w:rsidP="00783962">
      <w:pPr>
        <w:pStyle w:val="Body"/>
        <w:spacing w:after="0"/>
        <w:contextualSpacing/>
        <w:rPr>
          <w:rFonts w:ascii="Arial" w:hAnsi="Arial" w:cs="Arial"/>
        </w:rPr>
      </w:pPr>
      <w:r w:rsidRPr="00DD5E24">
        <w:rPr>
          <w:rFonts w:ascii="Arial" w:hAnsi="Arial" w:cs="Arial"/>
        </w:rPr>
        <w:t xml:space="preserve">Parkinson's disease (PD) is the fastest-growing progressive neurodegenerative disorder in prevalence and disability among neurological disorders and has become a leading cause of disability worldwide (Zhu et al., 2024). The most well-known symptoms are primarily based on motor features, such as a slowly progressive asymmetric resting tremor, cogwheel rigidity, and bradykinesia, although non-motor features, which include anosmia, constipation, depression and REM sleep behavior disorder, can develop years before motor deficits (Simon et al., 2020). A proper understanding of these behavioral changes is crucial to understanding the pathophysiological mechanisms of PD and evaluating the efficacy and safety of new </w:t>
      </w:r>
      <w:r w:rsidRPr="00DD5E24">
        <w:rPr>
          <w:rFonts w:ascii="Arial" w:hAnsi="Arial" w:cs="Arial"/>
        </w:rPr>
        <w:lastRenderedPageBreak/>
        <w:t>therapies (Asakawa et al., 2016). Motor, smell, and sleep alterations are already well known and addressed in animal models (Titova et al., 2017). On the other hand, behavioral changes, anxiety, and depression remain poorly studied and are limited to clinical studies due to the lack of vertebrate animal models (Wang et al., 2017).</w:t>
      </w:r>
    </w:p>
    <w:p w14:paraId="00C6FF6E" w14:textId="77777777" w:rsidR="00783962" w:rsidRPr="00DD5E24" w:rsidRDefault="00783962" w:rsidP="00783962">
      <w:pPr>
        <w:pStyle w:val="Body"/>
        <w:spacing w:after="0"/>
        <w:contextualSpacing/>
        <w:rPr>
          <w:rFonts w:ascii="Arial" w:hAnsi="Arial" w:cs="Arial"/>
        </w:rPr>
      </w:pPr>
    </w:p>
    <w:p w14:paraId="61F2E436" w14:textId="3C243BAC" w:rsidR="00731EB0" w:rsidRPr="00DD5E24" w:rsidRDefault="00731EB0" w:rsidP="00783962">
      <w:pPr>
        <w:pStyle w:val="Body"/>
        <w:spacing w:after="0"/>
        <w:contextualSpacing/>
        <w:rPr>
          <w:rFonts w:ascii="Arial" w:hAnsi="Arial" w:cs="Arial"/>
        </w:rPr>
      </w:pPr>
      <w:r w:rsidRPr="00DD5E24">
        <w:rPr>
          <w:rFonts w:ascii="Arial" w:hAnsi="Arial" w:cs="Arial"/>
        </w:rPr>
        <w:t>A suitable animal model for performing this type of study is the zebrafish (</w:t>
      </w:r>
      <w:r w:rsidR="005D469D" w:rsidRPr="00DD5E24">
        <w:rPr>
          <w:rFonts w:ascii="Arial" w:hAnsi="Arial" w:cs="Arial"/>
          <w:i/>
          <w:iCs/>
        </w:rPr>
        <w:t>Danio rerio</w:t>
      </w:r>
      <w:r w:rsidRPr="00DD5E24">
        <w:rPr>
          <w:rFonts w:ascii="Arial" w:hAnsi="Arial" w:cs="Arial"/>
        </w:rPr>
        <w:t>), widely used as models of neurological diseases and pharmacological tests (Basnet et al., 2019). Among the main advantages of this teleost are the small size of the larval and adult forms, transparent embryos, low maintenance cost, rapid external fertilization, robust reproductive capacity, and large-scale quantitative methods of behavior (Doyle and Croll, 2022). The genomes of humans and zebrafish are highly conserved, with 76–82% of human disease genes shared with the zebrafish (</w:t>
      </w:r>
      <w:proofErr w:type="spellStart"/>
      <w:r w:rsidRPr="00DD5E24">
        <w:rPr>
          <w:rFonts w:ascii="Arial" w:hAnsi="Arial" w:cs="Arial"/>
        </w:rPr>
        <w:t>Çalışkan</w:t>
      </w:r>
      <w:proofErr w:type="spellEnd"/>
      <w:r w:rsidRPr="00DD5E24">
        <w:rPr>
          <w:rFonts w:ascii="Arial" w:hAnsi="Arial" w:cs="Arial"/>
        </w:rPr>
        <w:t xml:space="preserve"> and </w:t>
      </w:r>
      <w:proofErr w:type="spellStart"/>
      <w:r w:rsidRPr="00DD5E24">
        <w:rPr>
          <w:rFonts w:ascii="Arial" w:hAnsi="Arial" w:cs="Arial"/>
        </w:rPr>
        <w:t>Emekli-Alturfan</w:t>
      </w:r>
      <w:proofErr w:type="spellEnd"/>
      <w:r w:rsidRPr="00DD5E24">
        <w:rPr>
          <w:rFonts w:ascii="Arial" w:hAnsi="Arial" w:cs="Arial"/>
        </w:rPr>
        <w:t xml:space="preserve">, 2021). Another important factor for the use of zebrafish embryos is their suitability for the bioethical principle of the 3Rs (Cassar et al. 2020). The zebrafish animal model can be used in the Replacement of animals with higher taxonomic levels, such as mammals; to promote the Reduction of </w:t>
      </w:r>
      <w:r w:rsidR="00DD5E24" w:rsidRPr="00DD5E24">
        <w:rPr>
          <w:rFonts w:ascii="Arial" w:hAnsi="Arial" w:cs="Arial"/>
        </w:rPr>
        <w:t>Mammalian</w:t>
      </w:r>
      <w:r w:rsidRPr="00DD5E24">
        <w:rPr>
          <w:rFonts w:ascii="Arial" w:hAnsi="Arial" w:cs="Arial"/>
        </w:rPr>
        <w:t xml:space="preserve"> use in the initial selection of pharmacological candidate compounds; and the possibility of Refinement of administration of the compounds to be tested by immersion in the aqueous environment, mitigating the use of invasive procedures (Cassar et al. 2020).</w:t>
      </w:r>
    </w:p>
    <w:p w14:paraId="200C7ADC" w14:textId="77777777" w:rsidR="00783962" w:rsidRPr="00DD5E24" w:rsidRDefault="00783962" w:rsidP="00783962">
      <w:pPr>
        <w:pStyle w:val="Body"/>
        <w:spacing w:after="0"/>
        <w:contextualSpacing/>
        <w:rPr>
          <w:rFonts w:ascii="Arial" w:hAnsi="Arial" w:cs="Arial"/>
        </w:rPr>
      </w:pPr>
    </w:p>
    <w:p w14:paraId="0DF9B876" w14:textId="77777777" w:rsidR="009E6C8A" w:rsidRPr="00DD5E24" w:rsidRDefault="00731EB0" w:rsidP="00783962">
      <w:pPr>
        <w:pStyle w:val="Body"/>
        <w:spacing w:after="0"/>
        <w:contextualSpacing/>
        <w:rPr>
          <w:rFonts w:ascii="Arial" w:hAnsi="Arial" w:cs="Arial"/>
        </w:rPr>
      </w:pPr>
      <w:r w:rsidRPr="00DD5E24">
        <w:rPr>
          <w:rFonts w:ascii="Arial" w:hAnsi="Arial" w:cs="Arial"/>
        </w:rPr>
        <w:t>In addition to these characteristics, zebrafish are valuable in PD research because they embody the mechanisms for the neurotoxicity of PD-like inducing chemicals such as 1-methyl-4-phenyl-1,2,3,6-tetrahydropyridine (MPTP), methyl-4-phenylpyridinium ion (MPP+), 6-hydroxydopamine (6-OHDA), paraquat, and rotenone (</w:t>
      </w:r>
      <w:proofErr w:type="spellStart"/>
      <w:r w:rsidRPr="00DD5E24">
        <w:rPr>
          <w:rFonts w:ascii="Arial" w:hAnsi="Arial" w:cs="Arial"/>
        </w:rPr>
        <w:t>Bretaud</w:t>
      </w:r>
      <w:proofErr w:type="spellEnd"/>
      <w:r w:rsidRPr="00DD5E24">
        <w:rPr>
          <w:rFonts w:ascii="Arial" w:hAnsi="Arial" w:cs="Arial"/>
        </w:rPr>
        <w:t>, Lee and Guo, 2004; Kalyn et al., 2020). The use of these chemicals in zebrafish was able to cause motor changes and loss of dopaminergic cells in the different life stages of the animal (</w:t>
      </w:r>
      <w:proofErr w:type="spellStart"/>
      <w:r w:rsidRPr="00DD5E24">
        <w:rPr>
          <w:rFonts w:ascii="Arial" w:hAnsi="Arial" w:cs="Arial"/>
        </w:rPr>
        <w:t>Khotimah</w:t>
      </w:r>
      <w:proofErr w:type="spellEnd"/>
      <w:r w:rsidRPr="00DD5E24">
        <w:rPr>
          <w:rFonts w:ascii="Arial" w:hAnsi="Arial" w:cs="Arial"/>
        </w:rPr>
        <w:t xml:space="preserve"> et al., 2015; Melo et al., 2015; Wang et al., 2017; Kalyn et al., 2020). However, there are no studies that have investigated non-motor symptoms of PD in the early life stages of zebrafish such as depression-like or anxiety-like behaviors using PD-like inducing chemicals (Doyle and Croll, 2022). Rotenone is one of these neurotoxins, which like MPTP and MPP+ acts on the functional inhibition of the mitochondrial complex I, creating an environment of oxidative stress that results in the loss of dopaminergic neurons (Watabe and Nakaki, 2007).</w:t>
      </w:r>
    </w:p>
    <w:p w14:paraId="3E29C6F5" w14:textId="32CA17A4" w:rsidR="00731EB0" w:rsidRPr="00DD5E24" w:rsidRDefault="00731EB0" w:rsidP="00783962">
      <w:pPr>
        <w:pStyle w:val="Body"/>
        <w:spacing w:after="0"/>
        <w:contextualSpacing/>
        <w:rPr>
          <w:rFonts w:ascii="Arial" w:hAnsi="Arial" w:cs="Arial"/>
        </w:rPr>
      </w:pPr>
      <w:r w:rsidRPr="00DD5E24">
        <w:rPr>
          <w:rFonts w:ascii="Arial" w:hAnsi="Arial" w:cs="Arial"/>
        </w:rPr>
        <w:t xml:space="preserve">  </w:t>
      </w:r>
    </w:p>
    <w:p w14:paraId="6E50E5B5" w14:textId="41CDE275" w:rsidR="009E6C8A" w:rsidRPr="00DD5E24" w:rsidRDefault="00731EB0" w:rsidP="00783962">
      <w:pPr>
        <w:pStyle w:val="Body"/>
        <w:spacing w:after="0"/>
        <w:contextualSpacing/>
        <w:rPr>
          <w:rFonts w:ascii="Arial" w:hAnsi="Arial" w:cs="Arial"/>
        </w:rPr>
      </w:pPr>
      <w:r w:rsidRPr="00DD5E24">
        <w:rPr>
          <w:rFonts w:ascii="Arial" w:hAnsi="Arial" w:cs="Arial"/>
        </w:rPr>
        <w:t>Rotenone is a pesticide derived from a natural toxin present in plants and is used in agriculture and aquaculture to eliminate unwanted fish (Doyle and Croll, 2022). It has a hydrophobic nature that allows easy penetration of neuronal cell membranes (Ott, 200</w:t>
      </w:r>
      <w:r w:rsidR="00F448D7" w:rsidRPr="00DD5E24">
        <w:rPr>
          <w:rFonts w:ascii="Arial" w:hAnsi="Arial" w:cs="Arial"/>
        </w:rPr>
        <w:t>6</w:t>
      </w:r>
      <w:r w:rsidRPr="00DD5E24">
        <w:rPr>
          <w:rFonts w:ascii="Arial" w:hAnsi="Arial" w:cs="Arial"/>
        </w:rPr>
        <w:t xml:space="preserve">). The toxicity of rotenone in fish makes it difficult to determine an optimal dose that efficiently reduces dopaminergic neurons with low mortality (Kalyn et al., 2020). However, Melo et al. (2015) measured a half-maximal effective concentration (EC50) at 96 </w:t>
      </w:r>
      <w:proofErr w:type="spellStart"/>
      <w:r w:rsidRPr="00DD5E24">
        <w:rPr>
          <w:rFonts w:ascii="Arial" w:hAnsi="Arial" w:cs="Arial"/>
        </w:rPr>
        <w:t>hpf</w:t>
      </w:r>
      <w:proofErr w:type="spellEnd"/>
      <w:r w:rsidRPr="00DD5E24">
        <w:rPr>
          <w:rFonts w:ascii="Arial" w:hAnsi="Arial" w:cs="Arial"/>
        </w:rPr>
        <w:t xml:space="preserve"> for zebrafish embryos of 12.2 µg/L when evaluating the acute toxicity of rotenone in different fish species. In other studies, such as that by </w:t>
      </w:r>
      <w:proofErr w:type="spellStart"/>
      <w:r w:rsidRPr="00DD5E24">
        <w:rPr>
          <w:rFonts w:ascii="Arial" w:hAnsi="Arial" w:cs="Arial"/>
        </w:rPr>
        <w:t>Khotimah</w:t>
      </w:r>
      <w:proofErr w:type="spellEnd"/>
      <w:r w:rsidRPr="00DD5E24">
        <w:rPr>
          <w:rFonts w:ascii="Arial" w:hAnsi="Arial" w:cs="Arial"/>
        </w:rPr>
        <w:t xml:space="preserve"> et al. (2021), a growth reduction in embryos exposed to a concentration of 12.5 µg/L of rotenone was observed. Kalyn et al. (2020) found that zebrafish embryos were exposed to 50 </w:t>
      </w:r>
      <w:proofErr w:type="spellStart"/>
      <w:r w:rsidRPr="00DD5E24">
        <w:rPr>
          <w:rFonts w:ascii="Arial" w:hAnsi="Arial" w:cs="Arial"/>
        </w:rPr>
        <w:t>nM</w:t>
      </w:r>
      <w:proofErr w:type="spellEnd"/>
      <w:r w:rsidRPr="00DD5E24">
        <w:rPr>
          <w:rFonts w:ascii="Arial" w:hAnsi="Arial" w:cs="Arial"/>
        </w:rPr>
        <w:t xml:space="preserve"> of rotenone, producing a moderate reduction in locomotor activity and cardiac malformations. Other studies found PD-like symptoms in adult zebrafish exposed to 5 µg/L rotenone, including motor activity reduction (</w:t>
      </w:r>
      <w:proofErr w:type="spellStart"/>
      <w:r w:rsidRPr="00DD5E24">
        <w:rPr>
          <w:rFonts w:ascii="Arial" w:hAnsi="Arial" w:cs="Arial"/>
        </w:rPr>
        <w:t>Khotimah</w:t>
      </w:r>
      <w:proofErr w:type="spellEnd"/>
      <w:r w:rsidRPr="00DD5E24">
        <w:rPr>
          <w:rFonts w:ascii="Arial" w:hAnsi="Arial" w:cs="Arial"/>
        </w:rPr>
        <w:t xml:space="preserve"> et al., 2015), olfactory dysfunction, and anxiety-like behavior (Wang et al., 2017). For this reason, it is necessary to describe the methodologies used in the zebrafish model that </w:t>
      </w:r>
      <w:r w:rsidR="00DD5E24" w:rsidRPr="00DD5E24">
        <w:rPr>
          <w:rFonts w:ascii="Arial" w:hAnsi="Arial" w:cs="Arial"/>
        </w:rPr>
        <w:t>allows</w:t>
      </w:r>
      <w:r w:rsidRPr="00DD5E24">
        <w:rPr>
          <w:rFonts w:ascii="Arial" w:hAnsi="Arial" w:cs="Arial"/>
        </w:rPr>
        <w:t xml:space="preserve"> the assessment of larval behavioral parameters PD with developmental deficits caused by PD-like inducing agents. One of the ways to assess the developmental deficit of the zebrafish embryo is by observing the process of epiboly, the first morphogenetic event that occurs when cells spread over the yolk cell (Kimmel et al., 1995; Bruce and Heisenberg, 2020).</w:t>
      </w:r>
    </w:p>
    <w:p w14:paraId="63C26896" w14:textId="5198CF2E" w:rsidR="00731EB0" w:rsidRPr="00DD5E24" w:rsidRDefault="00731EB0" w:rsidP="00783962">
      <w:pPr>
        <w:pStyle w:val="Body"/>
        <w:spacing w:after="0"/>
        <w:contextualSpacing/>
        <w:rPr>
          <w:rFonts w:ascii="Arial" w:hAnsi="Arial" w:cs="Arial"/>
        </w:rPr>
      </w:pPr>
      <w:r w:rsidRPr="00DD5E24">
        <w:rPr>
          <w:rFonts w:ascii="Arial" w:hAnsi="Arial" w:cs="Arial"/>
        </w:rPr>
        <w:t xml:space="preserve"> </w:t>
      </w:r>
    </w:p>
    <w:p w14:paraId="34333C8D" w14:textId="77777777" w:rsidR="00731EB0" w:rsidRPr="00DD5E24" w:rsidRDefault="00731EB0" w:rsidP="00783962">
      <w:pPr>
        <w:pStyle w:val="Body"/>
        <w:spacing w:after="0"/>
        <w:contextualSpacing/>
        <w:rPr>
          <w:rFonts w:ascii="Arial" w:hAnsi="Arial" w:cs="Arial"/>
        </w:rPr>
      </w:pPr>
      <w:r w:rsidRPr="00DD5E24">
        <w:rPr>
          <w:rFonts w:ascii="Arial" w:hAnsi="Arial" w:cs="Arial"/>
        </w:rPr>
        <w:t xml:space="preserve">In addition to the zebrafish being suitable for the assessment of embryonic development, several mammalian and zebrafish behaviors are similar, suggesting evolutionary conservation </w:t>
      </w:r>
      <w:r w:rsidRPr="00DD5E24">
        <w:rPr>
          <w:rFonts w:ascii="Arial" w:hAnsi="Arial" w:cs="Arial"/>
        </w:rPr>
        <w:lastRenderedPageBreak/>
        <w:t>of behaviors across species (Basnet et al., 2019). Chronic oral administration of rotenone in mice was shown to cause behavioral impairments (Doyle and Croll, 2022). One of the ways to assess behaviors in zebrafish larvae is by the thigmotaxis test, an index of anxiety-like behavior, in which the zebrafish avoids the center of an area and moves to the edge (Basnet et al., 2019). Visual dysfunction is another non-motor symptom of PD that negatively affects patients' quality of life, which has recently been described (Weil et al., 2016). The zebrafish model is capable of evaluating visual acuity by measuring the optomotor response (OMR). The OMR test is used to assess zebrafish visual and motor responses using an animation of a series of black and white lines that simulate movement, stimulating the larvae to follow the movement direction and align with the animation (</w:t>
      </w:r>
      <w:proofErr w:type="spellStart"/>
      <w:r w:rsidRPr="00DD5E24">
        <w:rPr>
          <w:rFonts w:ascii="Arial" w:hAnsi="Arial" w:cs="Arial"/>
        </w:rPr>
        <w:t>Brastrom</w:t>
      </w:r>
      <w:proofErr w:type="spellEnd"/>
      <w:r w:rsidRPr="00DD5E24">
        <w:rPr>
          <w:rFonts w:ascii="Arial" w:hAnsi="Arial" w:cs="Arial"/>
        </w:rPr>
        <w:t xml:space="preserve"> et al., 2019).</w:t>
      </w:r>
    </w:p>
    <w:p w14:paraId="01B1803B" w14:textId="77777777" w:rsidR="009E6C8A" w:rsidRPr="00DD5E24" w:rsidRDefault="009E6C8A" w:rsidP="00783962">
      <w:pPr>
        <w:pStyle w:val="Body"/>
        <w:spacing w:after="0"/>
        <w:contextualSpacing/>
        <w:rPr>
          <w:rFonts w:ascii="Arial" w:hAnsi="Arial" w:cs="Arial"/>
        </w:rPr>
      </w:pPr>
    </w:p>
    <w:p w14:paraId="1AE44D84" w14:textId="2CA6C2F1" w:rsidR="00790ADA" w:rsidRPr="00DD5E24" w:rsidRDefault="00731EB0" w:rsidP="00783962">
      <w:pPr>
        <w:pStyle w:val="Body"/>
        <w:spacing w:after="0"/>
        <w:contextualSpacing/>
        <w:rPr>
          <w:rFonts w:ascii="Arial" w:hAnsi="Arial" w:cs="Arial"/>
        </w:rPr>
      </w:pPr>
      <w:r w:rsidRPr="00DD5E24">
        <w:rPr>
          <w:rFonts w:ascii="Arial" w:hAnsi="Arial" w:cs="Arial"/>
        </w:rPr>
        <w:t>The development and behavior of zebrafish are useful parameters to analyze drugs capable of protecting or mitigating the emergence of PD-like symptoms. In this study, adequate rotenone concentrations to induce PD-like symptoms in zebrafish embryos were tested and epibolic, morphological, behavioral, visual, and mortality effects were measured. We found that the zebrafish was a useful model to evaluate non-motor symptoms of PD.</w:t>
      </w:r>
    </w:p>
    <w:p w14:paraId="22E94239" w14:textId="77777777" w:rsidR="00731EB0" w:rsidRPr="00DD5E24" w:rsidRDefault="00731EB0" w:rsidP="00783962">
      <w:pPr>
        <w:pStyle w:val="Body"/>
        <w:spacing w:after="0"/>
        <w:contextualSpacing/>
        <w:rPr>
          <w:rFonts w:ascii="Arial" w:hAnsi="Arial" w:cs="Arial"/>
        </w:rPr>
      </w:pPr>
    </w:p>
    <w:p w14:paraId="437E7687" w14:textId="4859837F" w:rsidR="007F7B32" w:rsidRPr="00DD5E24" w:rsidRDefault="00902823" w:rsidP="00783962">
      <w:pPr>
        <w:pStyle w:val="AbstHead"/>
        <w:spacing w:after="0"/>
        <w:contextualSpacing/>
        <w:jc w:val="both"/>
        <w:rPr>
          <w:rFonts w:ascii="Arial" w:hAnsi="Arial" w:cs="Arial"/>
        </w:rPr>
      </w:pPr>
      <w:r w:rsidRPr="00DD5E24">
        <w:rPr>
          <w:rFonts w:ascii="Arial" w:hAnsi="Arial" w:cs="Arial"/>
        </w:rPr>
        <w:t>2. material and method</w:t>
      </w:r>
      <w:r w:rsidR="00000F8F" w:rsidRPr="00DD5E24">
        <w:rPr>
          <w:rFonts w:ascii="Arial" w:hAnsi="Arial" w:cs="Arial"/>
        </w:rPr>
        <w:t>s</w:t>
      </w:r>
    </w:p>
    <w:p w14:paraId="6595EE02" w14:textId="77777777" w:rsidR="00790ADA" w:rsidRPr="00DD5E24" w:rsidRDefault="00790ADA" w:rsidP="00783962">
      <w:pPr>
        <w:pStyle w:val="AbstHead"/>
        <w:spacing w:after="0"/>
        <w:contextualSpacing/>
        <w:jc w:val="both"/>
        <w:rPr>
          <w:rFonts w:ascii="Arial" w:hAnsi="Arial" w:cs="Arial"/>
        </w:rPr>
      </w:pPr>
    </w:p>
    <w:p w14:paraId="38E463FE" w14:textId="56B5D001" w:rsidR="00AA74E0" w:rsidRPr="00DD5E24" w:rsidRDefault="00AA74E0" w:rsidP="00783962">
      <w:pPr>
        <w:pStyle w:val="Body"/>
        <w:spacing w:after="0"/>
        <w:contextualSpacing/>
        <w:rPr>
          <w:rFonts w:ascii="Arial" w:hAnsi="Arial" w:cs="Arial"/>
        </w:rPr>
      </w:pPr>
      <w:r w:rsidRPr="00DD5E24">
        <w:rPr>
          <w:rFonts w:ascii="Arial" w:hAnsi="Arial" w:cs="Arial"/>
          <w:b/>
          <w:caps/>
          <w:sz w:val="22"/>
        </w:rPr>
        <w:t xml:space="preserve">2.1 </w:t>
      </w:r>
      <w:r w:rsidR="00731EB0" w:rsidRPr="00DD5E24">
        <w:rPr>
          <w:rFonts w:ascii="Arial" w:hAnsi="Arial" w:cs="Arial"/>
          <w:b/>
          <w:sz w:val="22"/>
        </w:rPr>
        <w:t>Zebrafish maintenance</w:t>
      </w:r>
    </w:p>
    <w:p w14:paraId="2CDCCC0F" w14:textId="77777777" w:rsidR="00505F06" w:rsidRPr="00DD5E24" w:rsidRDefault="00505F06" w:rsidP="00783962">
      <w:pPr>
        <w:pStyle w:val="Body"/>
        <w:spacing w:after="0"/>
        <w:contextualSpacing/>
        <w:rPr>
          <w:rFonts w:ascii="Arial" w:hAnsi="Arial" w:cs="Arial"/>
        </w:rPr>
      </w:pPr>
    </w:p>
    <w:p w14:paraId="48B5EDA0" w14:textId="310A93DE" w:rsidR="00731EB0" w:rsidRPr="00DD5E24" w:rsidRDefault="00731EB0" w:rsidP="00783962">
      <w:pPr>
        <w:pStyle w:val="Body"/>
        <w:spacing w:after="0"/>
        <w:contextualSpacing/>
        <w:rPr>
          <w:rFonts w:ascii="Arial" w:hAnsi="Arial" w:cs="Arial"/>
        </w:rPr>
      </w:pPr>
      <w:r w:rsidRPr="00DD5E24">
        <w:rPr>
          <w:rFonts w:ascii="Arial" w:hAnsi="Arial" w:cs="Arial"/>
        </w:rPr>
        <w:t xml:space="preserve">The experiments were carried out at the </w:t>
      </w:r>
      <w:proofErr w:type="spellStart"/>
      <w:r w:rsidRPr="00DD5E24">
        <w:rPr>
          <w:rFonts w:ascii="Arial" w:hAnsi="Arial" w:cs="Arial"/>
          <w:i/>
          <w:iCs/>
        </w:rPr>
        <w:t>Laboratório</w:t>
      </w:r>
      <w:proofErr w:type="spellEnd"/>
      <w:r w:rsidRPr="00DD5E24">
        <w:rPr>
          <w:rFonts w:ascii="Arial" w:hAnsi="Arial" w:cs="Arial"/>
          <w:i/>
          <w:iCs/>
        </w:rPr>
        <w:t xml:space="preserve"> de </w:t>
      </w:r>
      <w:proofErr w:type="spellStart"/>
      <w:r w:rsidRPr="00DD5E24">
        <w:rPr>
          <w:rFonts w:ascii="Arial" w:hAnsi="Arial" w:cs="Arial"/>
          <w:i/>
          <w:iCs/>
        </w:rPr>
        <w:t>Ecofisiologia</w:t>
      </w:r>
      <w:proofErr w:type="spellEnd"/>
      <w:r w:rsidRPr="00DD5E24">
        <w:rPr>
          <w:rFonts w:ascii="Arial" w:hAnsi="Arial" w:cs="Arial"/>
          <w:i/>
          <w:iCs/>
        </w:rPr>
        <w:t xml:space="preserve"> e </w:t>
      </w:r>
      <w:proofErr w:type="spellStart"/>
      <w:r w:rsidRPr="00DD5E24">
        <w:rPr>
          <w:rFonts w:ascii="Arial" w:hAnsi="Arial" w:cs="Arial"/>
          <w:i/>
          <w:iCs/>
        </w:rPr>
        <w:t>Comportamento</w:t>
      </w:r>
      <w:proofErr w:type="spellEnd"/>
      <w:r w:rsidRPr="00DD5E24">
        <w:rPr>
          <w:rFonts w:ascii="Arial" w:hAnsi="Arial" w:cs="Arial"/>
          <w:i/>
          <w:iCs/>
        </w:rPr>
        <w:t xml:space="preserve"> Animal</w:t>
      </w:r>
      <w:r w:rsidRPr="00DD5E24">
        <w:rPr>
          <w:rFonts w:ascii="Arial" w:hAnsi="Arial" w:cs="Arial"/>
        </w:rPr>
        <w:t xml:space="preserve"> – LECA, </w:t>
      </w:r>
      <w:proofErr w:type="spellStart"/>
      <w:r w:rsidRPr="00DD5E24">
        <w:rPr>
          <w:rFonts w:ascii="Arial" w:hAnsi="Arial" w:cs="Arial"/>
          <w:i/>
          <w:iCs/>
        </w:rPr>
        <w:t>Universidade</w:t>
      </w:r>
      <w:proofErr w:type="spellEnd"/>
      <w:r w:rsidRPr="00DD5E24">
        <w:rPr>
          <w:rFonts w:ascii="Arial" w:hAnsi="Arial" w:cs="Arial"/>
          <w:i/>
          <w:iCs/>
        </w:rPr>
        <w:t xml:space="preserve"> Federal Rural de Pernambuco</w:t>
      </w:r>
      <w:r w:rsidRPr="00DD5E24">
        <w:rPr>
          <w:rFonts w:ascii="Arial" w:hAnsi="Arial" w:cs="Arial"/>
        </w:rPr>
        <w:t xml:space="preserve"> - UFRPE. The protocols were previously approved by the ethics committee in the use of animals of the same University, with protocol number 3581030221. Adult zebrafish (</w:t>
      </w:r>
      <w:r w:rsidR="005D469D" w:rsidRPr="00DD5E24">
        <w:rPr>
          <w:rFonts w:ascii="Arial" w:hAnsi="Arial" w:cs="Arial"/>
          <w:i/>
          <w:iCs/>
        </w:rPr>
        <w:t>Danio rerio</w:t>
      </w:r>
      <w:r w:rsidRPr="00DD5E24">
        <w:rPr>
          <w:rFonts w:ascii="Arial" w:hAnsi="Arial" w:cs="Arial"/>
        </w:rPr>
        <w:t>, WT, nine months) were raised and maintained at 26.5 ± 1 ºC under a 14/10h light/dark cycle and fed twice per day with extruded commercial fish feed (40% crude protein) and brine shrimp (</w:t>
      </w:r>
      <w:proofErr w:type="spellStart"/>
      <w:r w:rsidRPr="00DD5E24">
        <w:rPr>
          <w:rFonts w:ascii="Arial" w:hAnsi="Arial" w:cs="Arial"/>
        </w:rPr>
        <w:t>Westerfield</w:t>
      </w:r>
      <w:proofErr w:type="spellEnd"/>
      <w:r w:rsidRPr="00DD5E24">
        <w:rPr>
          <w:rFonts w:ascii="Arial" w:hAnsi="Arial" w:cs="Arial"/>
        </w:rPr>
        <w:t>, 2000; OECD 236, 2013). Adults’ male/female zebrafish with a 4:2 ratio (</w:t>
      </w:r>
      <w:proofErr w:type="spellStart"/>
      <w:r w:rsidRPr="00DD5E24">
        <w:rPr>
          <w:rFonts w:ascii="Arial" w:hAnsi="Arial" w:cs="Arial"/>
        </w:rPr>
        <w:t>Westerfield</w:t>
      </w:r>
      <w:proofErr w:type="spellEnd"/>
      <w:r w:rsidRPr="00DD5E24">
        <w:rPr>
          <w:rFonts w:ascii="Arial" w:hAnsi="Arial" w:cs="Arial"/>
        </w:rPr>
        <w:t>, 2000) was used for crossing in spawning aquariums developed in the laboratory (Patent BR 20 2016 017042 2). The eggs were collected 30 minutes after natural spawning, washed with distilled water in Petri plates, and unfertilized eggs and embryos showing irregular cleavage, injuries, or other malformations were discarded (</w:t>
      </w:r>
      <w:proofErr w:type="spellStart"/>
      <w:r w:rsidRPr="00DD5E24">
        <w:rPr>
          <w:rFonts w:ascii="Arial" w:hAnsi="Arial" w:cs="Arial"/>
        </w:rPr>
        <w:t>Westerfield</w:t>
      </w:r>
      <w:proofErr w:type="spellEnd"/>
      <w:r w:rsidRPr="00DD5E24">
        <w:rPr>
          <w:rFonts w:ascii="Arial" w:hAnsi="Arial" w:cs="Arial"/>
        </w:rPr>
        <w:t>, 2000; Silva et al., 2019). Only embryos showing normal development of the blastula during the cleavage period (</w:t>
      </w:r>
      <w:proofErr w:type="spellStart"/>
      <w:r w:rsidRPr="00DD5E24">
        <w:rPr>
          <w:rFonts w:ascii="Arial" w:hAnsi="Arial" w:cs="Arial"/>
        </w:rPr>
        <w:t>Westerfield</w:t>
      </w:r>
      <w:proofErr w:type="spellEnd"/>
      <w:r w:rsidRPr="00DD5E24">
        <w:rPr>
          <w:rFonts w:ascii="Arial" w:hAnsi="Arial" w:cs="Arial"/>
        </w:rPr>
        <w:t>, 2000) were used for experiments.</w:t>
      </w:r>
    </w:p>
    <w:p w14:paraId="65E281CA" w14:textId="77777777" w:rsidR="00731EB0" w:rsidRPr="00DD5E24" w:rsidRDefault="00731EB0" w:rsidP="00783962">
      <w:pPr>
        <w:pStyle w:val="Body"/>
        <w:spacing w:after="0"/>
        <w:contextualSpacing/>
        <w:rPr>
          <w:rFonts w:ascii="Arial" w:hAnsi="Arial" w:cs="Arial"/>
        </w:rPr>
      </w:pPr>
    </w:p>
    <w:p w14:paraId="518D6BB1" w14:textId="7D446887" w:rsidR="00731EB0" w:rsidRPr="00DD5E24" w:rsidRDefault="00731EB0" w:rsidP="00783962">
      <w:pPr>
        <w:pStyle w:val="Body"/>
        <w:spacing w:after="0"/>
        <w:contextualSpacing/>
        <w:rPr>
          <w:rFonts w:ascii="Arial" w:hAnsi="Arial" w:cs="Arial"/>
        </w:rPr>
      </w:pPr>
      <w:r w:rsidRPr="00DD5E24">
        <w:rPr>
          <w:rFonts w:ascii="Arial" w:hAnsi="Arial" w:cs="Arial"/>
          <w:b/>
          <w:caps/>
          <w:sz w:val="22"/>
        </w:rPr>
        <w:t xml:space="preserve">2.2 </w:t>
      </w:r>
      <w:r w:rsidRPr="00DD5E24">
        <w:rPr>
          <w:rFonts w:ascii="Arial" w:hAnsi="Arial" w:cs="Arial"/>
          <w:b/>
          <w:sz w:val="22"/>
        </w:rPr>
        <w:t>Rotenone preparation and exposure</w:t>
      </w:r>
    </w:p>
    <w:p w14:paraId="3969424A" w14:textId="77777777" w:rsidR="00731EB0" w:rsidRPr="00DD5E24" w:rsidRDefault="00731EB0" w:rsidP="00783962">
      <w:pPr>
        <w:pStyle w:val="Body"/>
        <w:spacing w:after="0"/>
        <w:contextualSpacing/>
        <w:rPr>
          <w:rFonts w:ascii="Arial" w:hAnsi="Arial" w:cs="Arial"/>
        </w:rPr>
      </w:pPr>
    </w:p>
    <w:p w14:paraId="7A035E23" w14:textId="140202E8" w:rsidR="00731EB0" w:rsidRPr="00DD5E24" w:rsidRDefault="00731EB0" w:rsidP="00783962">
      <w:pPr>
        <w:pStyle w:val="Body"/>
        <w:spacing w:after="0"/>
        <w:contextualSpacing/>
        <w:rPr>
          <w:rFonts w:ascii="Arial" w:hAnsi="Arial" w:cs="Arial"/>
        </w:rPr>
      </w:pPr>
      <w:r w:rsidRPr="00DD5E24">
        <w:rPr>
          <w:rFonts w:ascii="Arial" w:hAnsi="Arial" w:cs="Arial"/>
        </w:rPr>
        <w:t xml:space="preserve">Rotenone (lot # MKBZ2534V, CAS Number: 83-79-4, ≥ 95% purity) was purchased from Sigma (St. Louis MO, USA), and all other reagents were of analytical grade. The rotenone stock solution was made fresh before the experiments and prepared by dissolving in 0.1% (v/v) dimethyl sulfoxide (lot # 85713, CAS Number: 67-68-5, ≥ 99.9% purity, </w:t>
      </w:r>
      <w:proofErr w:type="spellStart"/>
      <w:r w:rsidRPr="00DD5E24">
        <w:rPr>
          <w:rFonts w:ascii="Arial" w:hAnsi="Arial" w:cs="Arial"/>
        </w:rPr>
        <w:t>Dinâmica</w:t>
      </w:r>
      <w:proofErr w:type="spellEnd"/>
      <w:r w:rsidRPr="00DD5E24">
        <w:rPr>
          <w:rFonts w:ascii="Arial" w:hAnsi="Arial" w:cs="Arial"/>
        </w:rPr>
        <w:t>, Brazil) and then diluted with the distilled water to obtain a final nominal concentration of 0.02 mg/</w:t>
      </w:r>
      <w:proofErr w:type="spellStart"/>
      <w:r w:rsidRPr="00DD5E24">
        <w:rPr>
          <w:rFonts w:ascii="Arial" w:hAnsi="Arial" w:cs="Arial"/>
        </w:rPr>
        <w:t>mL.</w:t>
      </w:r>
      <w:proofErr w:type="spellEnd"/>
      <w:r w:rsidRPr="00DD5E24">
        <w:rPr>
          <w:rFonts w:ascii="Arial" w:hAnsi="Arial" w:cs="Arial"/>
        </w:rPr>
        <w:t xml:space="preserve"> The stock solution was stored in Eppendorf tubes (2 mL) and maintained under refrigeration at 10 °C to be used on the following exposure days. Storing rotenone at a temperature of 9 ~ 10 ºC in a refrigerator prevents its rapid degradation (</w:t>
      </w:r>
      <w:proofErr w:type="spellStart"/>
      <w:r w:rsidRPr="00DD5E24">
        <w:rPr>
          <w:rFonts w:ascii="Arial" w:hAnsi="Arial" w:cs="Arial"/>
        </w:rPr>
        <w:t>Summera</w:t>
      </w:r>
      <w:proofErr w:type="spellEnd"/>
      <w:r w:rsidRPr="00DD5E24">
        <w:rPr>
          <w:rFonts w:ascii="Arial" w:hAnsi="Arial" w:cs="Arial"/>
        </w:rPr>
        <w:t xml:space="preserve"> and </w:t>
      </w:r>
      <w:proofErr w:type="spellStart"/>
      <w:r w:rsidRPr="00DD5E24">
        <w:rPr>
          <w:rFonts w:ascii="Arial" w:hAnsi="Arial" w:cs="Arial"/>
        </w:rPr>
        <w:t>Connato</w:t>
      </w:r>
      <w:proofErr w:type="spellEnd"/>
      <w:r w:rsidR="00267524" w:rsidRPr="00DD5E24">
        <w:rPr>
          <w:rFonts w:ascii="Arial" w:hAnsi="Arial" w:cs="Arial"/>
        </w:rPr>
        <w:t>,</w:t>
      </w:r>
      <w:r w:rsidRPr="00DD5E24">
        <w:rPr>
          <w:rFonts w:ascii="Arial" w:hAnsi="Arial" w:cs="Arial"/>
        </w:rPr>
        <w:t xml:space="preserve"> 2006).</w:t>
      </w:r>
    </w:p>
    <w:p w14:paraId="0DB83809" w14:textId="77777777" w:rsidR="00B21862" w:rsidRPr="00DD5E24" w:rsidRDefault="00B21862" w:rsidP="00783962">
      <w:pPr>
        <w:pStyle w:val="Body"/>
        <w:spacing w:after="0"/>
        <w:contextualSpacing/>
        <w:rPr>
          <w:rFonts w:ascii="Arial" w:hAnsi="Arial" w:cs="Arial"/>
        </w:rPr>
      </w:pPr>
    </w:p>
    <w:p w14:paraId="56A5D05B" w14:textId="6E3F51BC" w:rsidR="00731EB0" w:rsidRPr="00DD5E24" w:rsidRDefault="00731EB0" w:rsidP="00783962">
      <w:pPr>
        <w:pStyle w:val="Body"/>
        <w:spacing w:after="0"/>
        <w:contextualSpacing/>
        <w:rPr>
          <w:rFonts w:ascii="Arial" w:hAnsi="Arial" w:cs="Arial"/>
        </w:rPr>
      </w:pPr>
      <w:r w:rsidRPr="00DD5E24">
        <w:rPr>
          <w:rFonts w:ascii="Arial" w:hAnsi="Arial" w:cs="Arial"/>
        </w:rPr>
        <w:t xml:space="preserve">The healthy embryos at 2 </w:t>
      </w:r>
      <w:proofErr w:type="spellStart"/>
      <w:r w:rsidRPr="00DD5E24">
        <w:rPr>
          <w:rFonts w:ascii="Arial" w:hAnsi="Arial" w:cs="Arial"/>
        </w:rPr>
        <w:t>hpf</w:t>
      </w:r>
      <w:proofErr w:type="spellEnd"/>
      <w:r w:rsidRPr="00DD5E24">
        <w:rPr>
          <w:rFonts w:ascii="Arial" w:hAnsi="Arial" w:cs="Arial"/>
        </w:rPr>
        <w:t xml:space="preserve"> (hours postfertilization) were exposed to 5, 10, 15, and 20 µg/L of rotenone, named ROT5, ROT10, ROT15, and ROT20 groups, respectively, and the control treatment with only 0.1% (v/v) dimethyl sulfoxide (DMSO group), that does not affect the studied parameters (Christou et al., 2020). The groups of each treatment had six replicates (15 embryos per replicate). Then the embryos were randomly incubated in sterile polystyrene test chambers with a capacity of 80 mL and kept at an incubator developed in the laboratory (Patent BR 10 2018 0150 4) with a controlled temperature of 26 ± 1 ºC and pH of 7.5 ± 0.5 </w:t>
      </w:r>
      <w:r w:rsidRPr="00DD5E24">
        <w:rPr>
          <w:rFonts w:ascii="Arial" w:hAnsi="Arial" w:cs="Arial"/>
        </w:rPr>
        <w:lastRenderedPageBreak/>
        <w:t>(OECD 236, 2013; Silva et al., 2019). The polystyrene test chambers containing embryos and larvae were cleaned every day to remove dead embryos and chorions with the replacement of rotenone concentrations.</w:t>
      </w:r>
    </w:p>
    <w:p w14:paraId="79F5375C" w14:textId="77777777" w:rsidR="00731EB0" w:rsidRPr="00DD5E24" w:rsidRDefault="00731EB0" w:rsidP="00783962">
      <w:pPr>
        <w:pStyle w:val="Body"/>
        <w:spacing w:after="0"/>
        <w:contextualSpacing/>
        <w:rPr>
          <w:rFonts w:ascii="Arial" w:hAnsi="Arial" w:cs="Arial"/>
        </w:rPr>
      </w:pPr>
    </w:p>
    <w:p w14:paraId="4D07B70C" w14:textId="2FFAF007" w:rsidR="00731EB0" w:rsidRPr="00DD5E24" w:rsidRDefault="00731EB0" w:rsidP="00783962">
      <w:pPr>
        <w:pStyle w:val="Body"/>
        <w:spacing w:after="0"/>
        <w:contextualSpacing/>
        <w:rPr>
          <w:rFonts w:ascii="Arial" w:hAnsi="Arial" w:cs="Arial"/>
        </w:rPr>
      </w:pPr>
      <w:r w:rsidRPr="00DD5E24">
        <w:rPr>
          <w:rFonts w:ascii="Arial" w:hAnsi="Arial" w:cs="Arial"/>
          <w:b/>
          <w:caps/>
          <w:sz w:val="22"/>
        </w:rPr>
        <w:t xml:space="preserve">2.3 </w:t>
      </w:r>
      <w:r w:rsidRPr="00DD5E24">
        <w:rPr>
          <w:rFonts w:ascii="Arial" w:hAnsi="Arial" w:cs="Arial"/>
          <w:b/>
          <w:sz w:val="22"/>
        </w:rPr>
        <w:t>Measurement of epiboly rate</w:t>
      </w:r>
    </w:p>
    <w:p w14:paraId="3C062731" w14:textId="77777777" w:rsidR="00731EB0" w:rsidRPr="00DD5E24" w:rsidRDefault="00731EB0" w:rsidP="00783962">
      <w:pPr>
        <w:pStyle w:val="Body"/>
        <w:spacing w:after="0"/>
        <w:contextualSpacing/>
        <w:rPr>
          <w:rFonts w:ascii="Arial" w:hAnsi="Arial" w:cs="Arial"/>
        </w:rPr>
      </w:pPr>
    </w:p>
    <w:p w14:paraId="3BE3AEA5" w14:textId="6955E5D1" w:rsidR="00731EB0" w:rsidRPr="00DD5E24" w:rsidRDefault="00731EB0" w:rsidP="00783962">
      <w:pPr>
        <w:pStyle w:val="Body"/>
        <w:spacing w:after="0"/>
        <w:contextualSpacing/>
        <w:rPr>
          <w:rFonts w:ascii="Arial" w:hAnsi="Arial" w:cs="Arial"/>
        </w:rPr>
      </w:pPr>
      <w:r w:rsidRPr="00DD5E24">
        <w:rPr>
          <w:rFonts w:ascii="Arial" w:hAnsi="Arial" w:cs="Arial"/>
        </w:rPr>
        <w:t xml:space="preserve">To assess the epiboly rate, zebrafish embryos (n = 141) with 8 </w:t>
      </w:r>
      <w:proofErr w:type="spellStart"/>
      <w:r w:rsidRPr="00DD5E24">
        <w:rPr>
          <w:rFonts w:ascii="Arial" w:hAnsi="Arial" w:cs="Arial"/>
        </w:rPr>
        <w:t>hpf</w:t>
      </w:r>
      <w:proofErr w:type="spellEnd"/>
      <w:r w:rsidRPr="00DD5E24">
        <w:rPr>
          <w:rFonts w:ascii="Arial" w:hAnsi="Arial" w:cs="Arial"/>
        </w:rPr>
        <w:t xml:space="preserve"> (after 6 h of experimental treatment) were fixed in 4% paraformaldehyde (PFA) in phosphate-buffered saline (PBS) pH 7.1 for 24 h (Marrs et al., 2010; Cadena et al., 2020b). Subsequently, the fixed embryos were washed with PBS three times. Images were captured using a microscope (Bel model Solaris-T) with an attached camera (Bio-HDMI Model) for digital microscopy. The images were measured using ImageJ software (version 1.53e, 2021, National Institutes of Health, MD). To calculate the percentage of epiboly, the distance from the animal pole to the germ ring was measured (embryonic length), divided by the distance from the animal pole of the embryo to the vegetal pole (total length), and then multiplied by 100 (Figure 1) (Cadena et al., 2020b; Sales-Cadena et al., 2021).</w:t>
      </w:r>
    </w:p>
    <w:p w14:paraId="43CC6216" w14:textId="77777777" w:rsidR="008F2DE6" w:rsidRPr="00DD5E24" w:rsidRDefault="008F2DE6" w:rsidP="00783962">
      <w:pPr>
        <w:pStyle w:val="Body"/>
        <w:spacing w:after="0"/>
        <w:contextualSpacing/>
        <w:rPr>
          <w:rFonts w:ascii="Arial" w:hAnsi="Arial" w:cs="Arial"/>
        </w:rPr>
      </w:pPr>
    </w:p>
    <w:p w14:paraId="3C9A40A0" w14:textId="3DEB6D1F" w:rsidR="008F2DE6" w:rsidRPr="00DD5E24" w:rsidRDefault="008F2DE6" w:rsidP="00783962">
      <w:pPr>
        <w:pStyle w:val="Body"/>
        <w:spacing w:after="0"/>
        <w:contextualSpacing/>
        <w:jc w:val="center"/>
        <w:rPr>
          <w:rFonts w:ascii="Arial" w:hAnsi="Arial" w:cs="Arial"/>
        </w:rPr>
      </w:pPr>
      <w:r w:rsidRPr="00DD5E24">
        <w:rPr>
          <w:rFonts w:ascii="Arial" w:hAnsi="Arial" w:cs="Arial"/>
          <w:noProof/>
        </w:rPr>
        <w:drawing>
          <wp:inline distT="0" distB="0" distL="0" distR="0" wp14:anchorId="0BC60ED0" wp14:editId="38D377C9">
            <wp:extent cx="4629150" cy="2257425"/>
            <wp:effectExtent l="0" t="0" r="0" b="9525"/>
            <wp:docPr id="118828311" name="Imagem 2" descr="Uma imagem contendo no interior, mesa, maçã, pr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8311" name="Imagem 2" descr="Uma imagem contendo no interior, mesa, maçã, prata&#10;&#10;O conteúdo gerado por IA pode estar incorreto."/>
                    <pic:cNvPicPr/>
                  </pic:nvPicPr>
                  <pic:blipFill>
                    <a:blip r:embed="rId14">
                      <a:extLst>
                        <a:ext uri="{28A0092B-C50C-407E-A947-70E740481C1C}">
                          <a14:useLocalDpi xmlns:a14="http://schemas.microsoft.com/office/drawing/2010/main" val="0"/>
                        </a:ext>
                      </a:extLst>
                    </a:blip>
                    <a:stretch>
                      <a:fillRect/>
                    </a:stretch>
                  </pic:blipFill>
                  <pic:spPr>
                    <a:xfrm>
                      <a:off x="0" y="0"/>
                      <a:ext cx="4629150" cy="2257425"/>
                    </a:xfrm>
                    <a:prstGeom prst="rect">
                      <a:avLst/>
                    </a:prstGeom>
                  </pic:spPr>
                </pic:pic>
              </a:graphicData>
            </a:graphic>
          </wp:inline>
        </w:drawing>
      </w:r>
    </w:p>
    <w:p w14:paraId="48B902C3" w14:textId="77777777" w:rsidR="003C29EE" w:rsidRPr="00DD5E24" w:rsidRDefault="003C29EE" w:rsidP="00783962">
      <w:pPr>
        <w:pStyle w:val="Body"/>
        <w:spacing w:after="0"/>
        <w:contextualSpacing/>
        <w:rPr>
          <w:rFonts w:ascii="Arial" w:hAnsi="Arial" w:cs="Arial"/>
          <w:b/>
          <w:bCs/>
        </w:rPr>
      </w:pPr>
    </w:p>
    <w:p w14:paraId="5A7CC1D0" w14:textId="278F8A4A" w:rsidR="008F2DE6" w:rsidRPr="00DD5E24" w:rsidRDefault="008F2DE6" w:rsidP="00783962">
      <w:pPr>
        <w:pStyle w:val="Body"/>
        <w:spacing w:after="0"/>
        <w:contextualSpacing/>
        <w:rPr>
          <w:rFonts w:ascii="Arial" w:hAnsi="Arial" w:cs="Arial"/>
        </w:rPr>
      </w:pPr>
      <w:r w:rsidRPr="00DD5E24">
        <w:rPr>
          <w:rFonts w:ascii="Arial" w:hAnsi="Arial" w:cs="Arial"/>
          <w:b/>
          <w:bCs/>
        </w:rPr>
        <w:t>Fig. 1.</w:t>
      </w:r>
      <w:r w:rsidRPr="00DD5E24">
        <w:rPr>
          <w:rFonts w:ascii="Arial" w:hAnsi="Arial" w:cs="Arial"/>
        </w:rPr>
        <w:t xml:space="preserve"> </w:t>
      </w:r>
      <w:r w:rsidRPr="00DD5E24">
        <w:rPr>
          <w:rFonts w:ascii="Arial" w:hAnsi="Arial" w:cs="Arial"/>
          <w:b/>
          <w:bCs/>
        </w:rPr>
        <w:t>Measurement of epiboly in zebrafish embryos.</w:t>
      </w:r>
      <w:r w:rsidRPr="00DD5E24">
        <w:rPr>
          <w:rFonts w:ascii="Arial" w:hAnsi="Arial" w:cs="Arial"/>
        </w:rPr>
        <w:t xml:space="preserve"> (1) White dotted line (total length): from Animal Pole (AP) to Vegetative Pole (VP); (2) Yellow dotted line (embryo length): from Animal Pole (AP) to germ ring.</w:t>
      </w:r>
    </w:p>
    <w:p w14:paraId="45292DFC" w14:textId="77777777" w:rsidR="00731EB0" w:rsidRPr="00DD5E24" w:rsidRDefault="00731EB0" w:rsidP="00783962">
      <w:pPr>
        <w:pStyle w:val="Body"/>
        <w:spacing w:after="0"/>
        <w:contextualSpacing/>
        <w:rPr>
          <w:rFonts w:ascii="Arial" w:hAnsi="Arial" w:cs="Arial"/>
        </w:rPr>
      </w:pPr>
    </w:p>
    <w:p w14:paraId="31C64D35" w14:textId="5FD3AE3D" w:rsidR="00731EB0" w:rsidRPr="00DD5E24" w:rsidRDefault="00731EB0" w:rsidP="00783962">
      <w:pPr>
        <w:pStyle w:val="Body"/>
        <w:spacing w:after="0"/>
        <w:contextualSpacing/>
        <w:rPr>
          <w:rFonts w:ascii="Arial" w:hAnsi="Arial" w:cs="Arial"/>
          <w:b/>
          <w:sz w:val="22"/>
        </w:rPr>
      </w:pPr>
      <w:r w:rsidRPr="00DD5E24">
        <w:rPr>
          <w:rFonts w:ascii="Arial" w:hAnsi="Arial" w:cs="Arial"/>
          <w:b/>
          <w:caps/>
          <w:sz w:val="22"/>
        </w:rPr>
        <w:t xml:space="preserve">2.4 </w:t>
      </w:r>
      <w:r w:rsidRPr="00DD5E24">
        <w:rPr>
          <w:rFonts w:ascii="Arial" w:hAnsi="Arial" w:cs="Arial"/>
          <w:b/>
          <w:sz w:val="22"/>
        </w:rPr>
        <w:t>Analysis of embryonic development and teratogenic effects</w:t>
      </w:r>
    </w:p>
    <w:p w14:paraId="45746A2C" w14:textId="77777777" w:rsidR="00731EB0" w:rsidRPr="00DD5E24" w:rsidRDefault="00731EB0" w:rsidP="00783962">
      <w:pPr>
        <w:pStyle w:val="Body"/>
        <w:spacing w:after="0"/>
        <w:contextualSpacing/>
        <w:rPr>
          <w:rFonts w:ascii="Arial" w:hAnsi="Arial" w:cs="Arial"/>
        </w:rPr>
      </w:pPr>
    </w:p>
    <w:p w14:paraId="0822EA9D" w14:textId="104C9F53" w:rsidR="00731EB0" w:rsidRPr="00DD5E24" w:rsidRDefault="00731EB0" w:rsidP="00783962">
      <w:pPr>
        <w:pStyle w:val="Body"/>
        <w:spacing w:after="0"/>
        <w:contextualSpacing/>
        <w:rPr>
          <w:rFonts w:ascii="Arial" w:hAnsi="Arial" w:cs="Arial"/>
        </w:rPr>
      </w:pPr>
      <w:r w:rsidRPr="00DD5E24">
        <w:rPr>
          <w:rFonts w:ascii="Arial" w:hAnsi="Arial" w:cs="Arial"/>
        </w:rPr>
        <w:t xml:space="preserve">Embryos and larvae (n = 450) were evaluated for developmental parameters daily between 24-96 </w:t>
      </w:r>
      <w:proofErr w:type="spellStart"/>
      <w:r w:rsidRPr="00DD5E24">
        <w:rPr>
          <w:rFonts w:ascii="Arial" w:hAnsi="Arial" w:cs="Arial"/>
        </w:rPr>
        <w:t>hpf</w:t>
      </w:r>
      <w:proofErr w:type="spellEnd"/>
      <w:r w:rsidRPr="00DD5E24">
        <w:rPr>
          <w:rFonts w:ascii="Arial" w:hAnsi="Arial" w:cs="Arial"/>
        </w:rPr>
        <w:t xml:space="preserve"> with an optical microscope with an attached camera to capture embryo and larvae images. Mortality was recorded daily using the assessment of embryonic lethality protocol following the proposal by OECD 236 (2013). The half-maximal lethal concentration (LC50) and the half-maximal effect concentration (EC50) were calculated from the data collected on mortality and teratogenic effects. Teratogenic effect endpoints were analyzed in vivo, including pericardial edema (PE), yolk sac edema (YSE), coagulation (CO), spinal deformation (SD), tail deformation (TD), absence of pigmentation (AP), absence of swim bladder (ASB), absence of </w:t>
      </w:r>
      <w:proofErr w:type="spellStart"/>
      <w:r w:rsidRPr="00DD5E24">
        <w:rPr>
          <w:rFonts w:ascii="Arial" w:hAnsi="Arial" w:cs="Arial"/>
        </w:rPr>
        <w:t>somites</w:t>
      </w:r>
      <w:proofErr w:type="spellEnd"/>
      <w:r w:rsidRPr="00DD5E24">
        <w:rPr>
          <w:rFonts w:ascii="Arial" w:hAnsi="Arial" w:cs="Arial"/>
        </w:rPr>
        <w:t xml:space="preserve"> (AS), and developmental delay (DD) (Figure </w:t>
      </w:r>
      <w:r w:rsidR="008F2DE6" w:rsidRPr="00DD5E24">
        <w:rPr>
          <w:rFonts w:ascii="Arial" w:hAnsi="Arial" w:cs="Arial"/>
        </w:rPr>
        <w:t>2a</w:t>
      </w:r>
      <w:r w:rsidRPr="00DD5E24">
        <w:rPr>
          <w:rFonts w:ascii="Arial" w:hAnsi="Arial" w:cs="Arial"/>
        </w:rPr>
        <w:t>-</w:t>
      </w:r>
      <w:r w:rsidR="003C29EE" w:rsidRPr="00DD5E24">
        <w:rPr>
          <w:rFonts w:ascii="Arial" w:hAnsi="Arial" w:cs="Arial"/>
        </w:rPr>
        <w:t>e</w:t>
      </w:r>
      <w:r w:rsidRPr="00DD5E24">
        <w:rPr>
          <w:rFonts w:ascii="Arial" w:hAnsi="Arial" w:cs="Arial"/>
        </w:rPr>
        <w:t>) (OECD, 2013; Silva et al., 2019; Cadena et al., 2020a; Cadena et al., 2020b). The animal was considered affected if any of the teratogenic effects described above or mortality were observed. All these parameters were evaluated qualitatively, and the results were expressed as a percentage of affected animals (with teratogenic effects + dead animals).</w:t>
      </w:r>
    </w:p>
    <w:p w14:paraId="60370429" w14:textId="77777777" w:rsidR="00731EB0" w:rsidRPr="00DD5E24" w:rsidRDefault="00731EB0" w:rsidP="00783962">
      <w:pPr>
        <w:pStyle w:val="Body"/>
        <w:spacing w:after="0"/>
        <w:contextualSpacing/>
        <w:rPr>
          <w:rFonts w:ascii="Arial" w:hAnsi="Arial" w:cs="Arial"/>
        </w:rPr>
      </w:pPr>
    </w:p>
    <w:p w14:paraId="238A944A" w14:textId="67537D76" w:rsidR="00731EB0" w:rsidRPr="00DD5E24" w:rsidRDefault="00731EB0" w:rsidP="00783962">
      <w:pPr>
        <w:pStyle w:val="Body"/>
        <w:spacing w:after="0"/>
        <w:contextualSpacing/>
        <w:rPr>
          <w:rFonts w:ascii="Arial" w:hAnsi="Arial" w:cs="Arial"/>
          <w:b/>
          <w:sz w:val="22"/>
        </w:rPr>
      </w:pPr>
      <w:r w:rsidRPr="00DD5E24">
        <w:rPr>
          <w:rFonts w:ascii="Arial" w:hAnsi="Arial" w:cs="Arial"/>
          <w:b/>
          <w:caps/>
          <w:sz w:val="22"/>
        </w:rPr>
        <w:lastRenderedPageBreak/>
        <w:t xml:space="preserve">2.5 </w:t>
      </w:r>
      <w:r w:rsidRPr="00DD5E24">
        <w:rPr>
          <w:rFonts w:ascii="Arial" w:hAnsi="Arial" w:cs="Arial"/>
          <w:b/>
          <w:sz w:val="22"/>
        </w:rPr>
        <w:t>Larvae morphometry</w:t>
      </w:r>
    </w:p>
    <w:p w14:paraId="1667AB6F" w14:textId="77777777" w:rsidR="00731EB0" w:rsidRPr="00DD5E24" w:rsidRDefault="00731EB0" w:rsidP="00783962">
      <w:pPr>
        <w:pStyle w:val="Body"/>
        <w:spacing w:after="0"/>
        <w:contextualSpacing/>
        <w:rPr>
          <w:rFonts w:ascii="Arial" w:hAnsi="Arial" w:cs="Arial"/>
        </w:rPr>
      </w:pPr>
    </w:p>
    <w:p w14:paraId="4AC458E5" w14:textId="7B1F7093" w:rsidR="00731EB0" w:rsidRPr="00DD5E24" w:rsidRDefault="00731EB0" w:rsidP="00783962">
      <w:pPr>
        <w:pStyle w:val="Body"/>
        <w:spacing w:after="0"/>
        <w:contextualSpacing/>
        <w:rPr>
          <w:rFonts w:ascii="Arial" w:hAnsi="Arial" w:cs="Arial"/>
        </w:rPr>
      </w:pPr>
      <w:r w:rsidRPr="00DD5E24">
        <w:rPr>
          <w:rFonts w:ascii="Arial" w:hAnsi="Arial" w:cs="Arial"/>
        </w:rPr>
        <w:t xml:space="preserve">Larvae morphometry (n = 374) at 144 </w:t>
      </w:r>
      <w:proofErr w:type="spellStart"/>
      <w:r w:rsidRPr="00DD5E24">
        <w:rPr>
          <w:rFonts w:ascii="Arial" w:hAnsi="Arial" w:cs="Arial"/>
        </w:rPr>
        <w:t>hpf</w:t>
      </w:r>
      <w:proofErr w:type="spellEnd"/>
      <w:r w:rsidRPr="00DD5E24">
        <w:rPr>
          <w:rFonts w:ascii="Arial" w:hAnsi="Arial" w:cs="Arial"/>
        </w:rPr>
        <w:t xml:space="preserve"> was performed after euthanasia using 1200 µg/L eugenol immersion (Strykowski and Schech, 2015, modified). The animals were euthanized after behavior tests were completed. Larvae were fixed 4% PFA in PBS pH 7.1 overnight, and then, the larvae were washed 3 times with PBS. Fish were imaged in the dorsal view of the head (Figure </w:t>
      </w:r>
      <w:r w:rsidR="003C29EE" w:rsidRPr="00DD5E24">
        <w:rPr>
          <w:rFonts w:ascii="Arial" w:hAnsi="Arial" w:cs="Arial"/>
        </w:rPr>
        <w:t>2f</w:t>
      </w:r>
      <w:r w:rsidRPr="00DD5E24">
        <w:rPr>
          <w:rFonts w:ascii="Arial" w:hAnsi="Arial" w:cs="Arial"/>
        </w:rPr>
        <w:t xml:space="preserve">) and lateral view of the body (Figure </w:t>
      </w:r>
      <w:r w:rsidR="000B04E5" w:rsidRPr="00DD5E24">
        <w:rPr>
          <w:rFonts w:ascii="Arial" w:hAnsi="Arial" w:cs="Arial"/>
        </w:rPr>
        <w:t>2</w:t>
      </w:r>
      <w:r w:rsidR="003C29EE" w:rsidRPr="00DD5E24">
        <w:rPr>
          <w:rFonts w:ascii="Arial" w:hAnsi="Arial" w:cs="Arial"/>
        </w:rPr>
        <w:t>g</w:t>
      </w:r>
      <w:r w:rsidRPr="00DD5E24">
        <w:rPr>
          <w:rFonts w:ascii="Arial" w:hAnsi="Arial" w:cs="Arial"/>
        </w:rPr>
        <w:t xml:space="preserve">). The following parameters were measured on the dorsal view (Sales-Cadena et al., 2021): Head Length (HL); Eye Diameter (ED); and Head Width (HW) (Figure </w:t>
      </w:r>
      <w:r w:rsidR="005868E8" w:rsidRPr="00DD5E24">
        <w:rPr>
          <w:rFonts w:ascii="Arial" w:hAnsi="Arial" w:cs="Arial"/>
        </w:rPr>
        <w:t>2</w:t>
      </w:r>
      <w:r w:rsidR="00592C61" w:rsidRPr="00DD5E24">
        <w:rPr>
          <w:rFonts w:ascii="Arial" w:hAnsi="Arial" w:cs="Arial"/>
        </w:rPr>
        <w:t>f</w:t>
      </w:r>
      <w:r w:rsidRPr="00DD5E24">
        <w:rPr>
          <w:rFonts w:ascii="Arial" w:hAnsi="Arial" w:cs="Arial"/>
        </w:rPr>
        <w:t xml:space="preserve">). In the lateral view, only the Body Length (BL) was measured (Figure </w:t>
      </w:r>
      <w:r w:rsidR="00B00BA1" w:rsidRPr="00DD5E24">
        <w:rPr>
          <w:rFonts w:ascii="Arial" w:hAnsi="Arial" w:cs="Arial"/>
        </w:rPr>
        <w:t>2g</w:t>
      </w:r>
      <w:r w:rsidRPr="00DD5E24">
        <w:rPr>
          <w:rFonts w:ascii="Arial" w:hAnsi="Arial" w:cs="Arial"/>
        </w:rPr>
        <w:t>). The measurements were made with ImageJ 1.53e software.</w:t>
      </w:r>
    </w:p>
    <w:p w14:paraId="2F05CD50" w14:textId="77777777" w:rsidR="003C29EE" w:rsidRPr="00DD5E24" w:rsidRDefault="003C29EE" w:rsidP="00783962">
      <w:pPr>
        <w:pStyle w:val="Body"/>
        <w:spacing w:after="0"/>
        <w:contextualSpacing/>
        <w:rPr>
          <w:rFonts w:ascii="Arial" w:hAnsi="Arial" w:cs="Arial"/>
        </w:rPr>
      </w:pPr>
    </w:p>
    <w:p w14:paraId="623246F8" w14:textId="5E8BBC06" w:rsidR="003C29EE" w:rsidRPr="00DD5E24" w:rsidRDefault="003C29EE" w:rsidP="00783962">
      <w:pPr>
        <w:pStyle w:val="Body"/>
        <w:spacing w:after="0"/>
        <w:contextualSpacing/>
        <w:jc w:val="center"/>
        <w:rPr>
          <w:rFonts w:ascii="Arial" w:hAnsi="Arial" w:cs="Arial"/>
        </w:rPr>
      </w:pPr>
      <w:r w:rsidRPr="00DD5E24">
        <w:rPr>
          <w:rFonts w:ascii="Arial" w:hAnsi="Arial" w:cs="Arial"/>
          <w:noProof/>
        </w:rPr>
        <w:drawing>
          <wp:inline distT="0" distB="0" distL="0" distR="0" wp14:anchorId="31B92AE4" wp14:editId="4FDC6272">
            <wp:extent cx="3914775" cy="3019425"/>
            <wp:effectExtent l="0" t="0" r="9525" b="9525"/>
            <wp:docPr id="1683799348" name="Imagem 3" descr="Uma imagem contendo caixa de som&#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99348" name="Imagem 3" descr="Uma imagem contendo caixa de som&#10;&#10;O conteúdo gerado por IA pode estar incorreto."/>
                    <pic:cNvPicPr/>
                  </pic:nvPicPr>
                  <pic:blipFill rotWithShape="1">
                    <a:blip r:embed="rId15">
                      <a:extLst>
                        <a:ext uri="{28A0092B-C50C-407E-A947-70E740481C1C}">
                          <a14:useLocalDpi xmlns:a14="http://schemas.microsoft.com/office/drawing/2010/main" val="0"/>
                        </a:ext>
                      </a:extLst>
                    </a:blip>
                    <a:srcRect l="12611" t="8448" r="12280" b="7867"/>
                    <a:stretch>
                      <a:fillRect/>
                    </a:stretch>
                  </pic:blipFill>
                  <pic:spPr bwMode="auto">
                    <a:xfrm>
                      <a:off x="0" y="0"/>
                      <a:ext cx="3914775" cy="3019425"/>
                    </a:xfrm>
                    <a:prstGeom prst="rect">
                      <a:avLst/>
                    </a:prstGeom>
                    <a:ln>
                      <a:noFill/>
                    </a:ln>
                    <a:extLst>
                      <a:ext uri="{53640926-AAD7-44D8-BBD7-CCE9431645EC}">
                        <a14:shadowObscured xmlns:a14="http://schemas.microsoft.com/office/drawing/2010/main"/>
                      </a:ext>
                    </a:extLst>
                  </pic:spPr>
                </pic:pic>
              </a:graphicData>
            </a:graphic>
          </wp:inline>
        </w:drawing>
      </w:r>
    </w:p>
    <w:p w14:paraId="2A25EBA4" w14:textId="77777777" w:rsidR="003C29EE" w:rsidRPr="00DD5E24" w:rsidRDefault="003C29EE" w:rsidP="00783962">
      <w:pPr>
        <w:pStyle w:val="Body"/>
        <w:spacing w:after="0"/>
        <w:contextualSpacing/>
        <w:rPr>
          <w:rFonts w:ascii="Arial" w:hAnsi="Arial" w:cs="Arial"/>
          <w:b/>
          <w:bCs/>
        </w:rPr>
      </w:pPr>
    </w:p>
    <w:p w14:paraId="393594BC" w14:textId="515E4FBD" w:rsidR="003C29EE" w:rsidRPr="00DD5E24" w:rsidRDefault="003C29EE" w:rsidP="00783962">
      <w:pPr>
        <w:pStyle w:val="Body"/>
        <w:spacing w:after="0"/>
        <w:contextualSpacing/>
        <w:rPr>
          <w:rFonts w:ascii="Arial" w:hAnsi="Arial" w:cs="Arial"/>
        </w:rPr>
      </w:pPr>
      <w:r w:rsidRPr="00DD5E24">
        <w:rPr>
          <w:rFonts w:ascii="Arial" w:hAnsi="Arial" w:cs="Arial"/>
          <w:b/>
          <w:bCs/>
        </w:rPr>
        <w:t>Fig 2. Zebrafish embryo and larvae exposed to rotenone, main teratogenic effects (a - e) and morphometric measurements (f and g).</w:t>
      </w:r>
      <w:r w:rsidRPr="00DD5E24">
        <w:rPr>
          <w:rFonts w:ascii="Arial" w:hAnsi="Arial" w:cs="Arial"/>
        </w:rPr>
        <w:t xml:space="preserve"> (a) Zebrafish embryo of DMSO group at 24 </w:t>
      </w:r>
      <w:proofErr w:type="spellStart"/>
      <w:r w:rsidRPr="00DD5E24">
        <w:rPr>
          <w:rFonts w:ascii="Arial" w:hAnsi="Arial" w:cs="Arial"/>
        </w:rPr>
        <w:t>hpf</w:t>
      </w:r>
      <w:proofErr w:type="spellEnd"/>
      <w:r w:rsidRPr="00DD5E24">
        <w:rPr>
          <w:rFonts w:ascii="Arial" w:hAnsi="Arial" w:cs="Arial"/>
        </w:rPr>
        <w:t xml:space="preserve">; (b) Zebrafish embryo exposed to 10 µg/L rotenone at 24 </w:t>
      </w:r>
      <w:proofErr w:type="spellStart"/>
      <w:r w:rsidRPr="00DD5E24">
        <w:rPr>
          <w:rFonts w:ascii="Arial" w:hAnsi="Arial" w:cs="Arial"/>
        </w:rPr>
        <w:t>hpf</w:t>
      </w:r>
      <w:proofErr w:type="spellEnd"/>
      <w:r w:rsidRPr="00DD5E24">
        <w:rPr>
          <w:rFonts w:ascii="Arial" w:hAnsi="Arial" w:cs="Arial"/>
        </w:rPr>
        <w:t xml:space="preserve">; (c) Zebrafish embryo exposed to 20 µg/L rotenone at 24 </w:t>
      </w:r>
      <w:proofErr w:type="spellStart"/>
      <w:r w:rsidRPr="00DD5E24">
        <w:rPr>
          <w:rFonts w:ascii="Arial" w:hAnsi="Arial" w:cs="Arial"/>
        </w:rPr>
        <w:t>hpf</w:t>
      </w:r>
      <w:proofErr w:type="spellEnd"/>
      <w:r w:rsidRPr="00DD5E24">
        <w:rPr>
          <w:rFonts w:ascii="Arial" w:hAnsi="Arial" w:cs="Arial"/>
        </w:rPr>
        <w:t xml:space="preserve">; (d) Zebrafish larvae of DMSO group at 96 </w:t>
      </w:r>
      <w:proofErr w:type="spellStart"/>
      <w:r w:rsidRPr="00DD5E24">
        <w:rPr>
          <w:rFonts w:ascii="Arial" w:hAnsi="Arial" w:cs="Arial"/>
        </w:rPr>
        <w:t>hpf</w:t>
      </w:r>
      <w:proofErr w:type="spellEnd"/>
      <w:r w:rsidRPr="00DD5E24">
        <w:rPr>
          <w:rFonts w:ascii="Arial" w:hAnsi="Arial" w:cs="Arial"/>
        </w:rPr>
        <w:t xml:space="preserve">; (e) Zebrafish larvae exposed to 20 µg/L rotenone at 96 </w:t>
      </w:r>
      <w:proofErr w:type="spellStart"/>
      <w:r w:rsidRPr="00DD5E24">
        <w:rPr>
          <w:rFonts w:ascii="Arial" w:hAnsi="Arial" w:cs="Arial"/>
        </w:rPr>
        <w:t>hpf</w:t>
      </w:r>
      <w:proofErr w:type="spellEnd"/>
      <w:r w:rsidRPr="00DD5E24">
        <w:rPr>
          <w:rFonts w:ascii="Arial" w:hAnsi="Arial" w:cs="Arial"/>
        </w:rPr>
        <w:t xml:space="preserve">. (f) Morphometric measurements of head in dorsal view; (g) Morphometric measurement of body in lateral view. Abbreviations indicate main teratogenic effects as AP – Absence of Pigmentation; AS – Absence of </w:t>
      </w:r>
      <w:proofErr w:type="spellStart"/>
      <w:r w:rsidRPr="00DD5E24">
        <w:rPr>
          <w:rFonts w:ascii="Arial" w:hAnsi="Arial" w:cs="Arial"/>
        </w:rPr>
        <w:t>Somites</w:t>
      </w:r>
      <w:proofErr w:type="spellEnd"/>
      <w:r w:rsidRPr="00DD5E24">
        <w:rPr>
          <w:rFonts w:ascii="Arial" w:hAnsi="Arial" w:cs="Arial"/>
        </w:rPr>
        <w:t>; ASB – Absence of Swim Bladder; DD – Developmental Delay; CO – Coagulation; PE – Pericardial Edema; SD – Spinal Deformation; TD – Tail Deformation; YSE – Yolk Sac Edema. Abbreviations for morphometric measurements are BL – Body Length; ED – Eye Diameter; HL – Head Length; HW – Head Width.</w:t>
      </w:r>
    </w:p>
    <w:p w14:paraId="7A8290F8" w14:textId="1204ED01" w:rsidR="00C4241F" w:rsidRPr="00DD5E24" w:rsidRDefault="00C4241F" w:rsidP="00783962">
      <w:pPr>
        <w:pStyle w:val="Body"/>
        <w:spacing w:after="0"/>
        <w:contextualSpacing/>
        <w:rPr>
          <w:rFonts w:ascii="Arial" w:hAnsi="Arial" w:cs="Arial"/>
          <w:b/>
          <w:sz w:val="22"/>
        </w:rPr>
      </w:pPr>
      <w:r w:rsidRPr="00DD5E24">
        <w:rPr>
          <w:rFonts w:ascii="Arial" w:hAnsi="Arial" w:cs="Arial"/>
          <w:b/>
          <w:caps/>
          <w:sz w:val="22"/>
        </w:rPr>
        <w:t xml:space="preserve">2.6 </w:t>
      </w:r>
      <w:r w:rsidRPr="00DD5E24">
        <w:rPr>
          <w:rFonts w:ascii="Arial" w:hAnsi="Arial" w:cs="Arial"/>
          <w:b/>
          <w:sz w:val="22"/>
        </w:rPr>
        <w:t>Evaluation of behavioral parameters</w:t>
      </w:r>
    </w:p>
    <w:p w14:paraId="7E006C48" w14:textId="77777777" w:rsidR="00C4241F" w:rsidRPr="00DD5E24" w:rsidRDefault="00C4241F" w:rsidP="00783962">
      <w:pPr>
        <w:pStyle w:val="Body"/>
        <w:spacing w:after="0"/>
        <w:contextualSpacing/>
        <w:rPr>
          <w:rFonts w:ascii="Arial" w:hAnsi="Arial" w:cs="Arial"/>
        </w:rPr>
      </w:pPr>
    </w:p>
    <w:p w14:paraId="6EEE97EF" w14:textId="387E9AF9" w:rsidR="00C4241F" w:rsidRPr="00DD5E24" w:rsidRDefault="00C4241F" w:rsidP="00783962">
      <w:pPr>
        <w:pStyle w:val="Body"/>
        <w:spacing w:after="0"/>
        <w:contextualSpacing/>
        <w:rPr>
          <w:rFonts w:ascii="Arial" w:hAnsi="Arial" w:cs="Arial"/>
        </w:rPr>
      </w:pPr>
      <w:r w:rsidRPr="00DD5E24">
        <w:rPr>
          <w:rFonts w:ascii="Arial" w:hAnsi="Arial" w:cs="Arial"/>
        </w:rPr>
        <w:t xml:space="preserve">For the evaluation of behavioral parameters, larvae at 144 </w:t>
      </w:r>
      <w:proofErr w:type="spellStart"/>
      <w:r w:rsidRPr="00DD5E24">
        <w:rPr>
          <w:rFonts w:ascii="Arial" w:hAnsi="Arial" w:cs="Arial"/>
        </w:rPr>
        <w:t>hpf</w:t>
      </w:r>
      <w:proofErr w:type="spellEnd"/>
      <w:r w:rsidRPr="00DD5E24">
        <w:rPr>
          <w:rFonts w:ascii="Arial" w:hAnsi="Arial" w:cs="Arial"/>
        </w:rPr>
        <w:t xml:space="preserve"> (n = 374) from all treatment groups were transferred from the respective polystyrene test chambers to 48-well plates, and only one larva was placed in each well (Figure </w:t>
      </w:r>
      <w:r w:rsidR="00933AEB" w:rsidRPr="00DD5E24">
        <w:rPr>
          <w:rFonts w:ascii="Arial" w:hAnsi="Arial" w:cs="Arial"/>
        </w:rPr>
        <w:t>3</w:t>
      </w:r>
      <w:r w:rsidRPr="00DD5E24">
        <w:rPr>
          <w:rFonts w:ascii="Arial" w:hAnsi="Arial" w:cs="Arial"/>
        </w:rPr>
        <w:t xml:space="preserve">). Larvae with teratogenic effects that could affect movement, for example, spine and tail deformation, or dead larvae, were not used in </w:t>
      </w:r>
      <w:r w:rsidR="0037613D" w:rsidRPr="00DD5E24">
        <w:rPr>
          <w:rFonts w:ascii="Arial" w:hAnsi="Arial" w:cs="Arial"/>
        </w:rPr>
        <w:t>behavioral</w:t>
      </w:r>
      <w:r w:rsidRPr="00DD5E24">
        <w:rPr>
          <w:rFonts w:ascii="Arial" w:hAnsi="Arial" w:cs="Arial"/>
        </w:rPr>
        <w:t xml:space="preserve"> tests. The first behavioral test performed was the Thigmotaxis (TH test). This test evaluates anxiety-like behaviors in zebrafish by observing the percentage of larvae that swim close to the wall of the wells (</w:t>
      </w:r>
      <w:proofErr w:type="spellStart"/>
      <w:r w:rsidRPr="00DD5E24">
        <w:rPr>
          <w:rFonts w:ascii="Arial" w:hAnsi="Arial" w:cs="Arial"/>
        </w:rPr>
        <w:t>Schnörr</w:t>
      </w:r>
      <w:proofErr w:type="spellEnd"/>
      <w:r w:rsidRPr="00DD5E24">
        <w:rPr>
          <w:rFonts w:ascii="Arial" w:hAnsi="Arial" w:cs="Arial"/>
        </w:rPr>
        <w:t xml:space="preserve"> et al. 2012; Cadena et al., 2020a). After conditioning the </w:t>
      </w:r>
      <w:r w:rsidRPr="00DD5E24">
        <w:rPr>
          <w:rFonts w:ascii="Arial" w:hAnsi="Arial" w:cs="Arial"/>
        </w:rPr>
        <w:lastRenderedPageBreak/>
        <w:t xml:space="preserve">animals from all treatments, the plates were placed on a white surface in a light environment. After 10 minutes of acclimatization, the scan sampling observation method (Silva et al., 2019) was performed to obtain a dichotomous response from each animal: yes (for animals close to the wall) or no (for animals away from the wall) (Figure </w:t>
      </w:r>
      <w:r w:rsidR="003C29EE" w:rsidRPr="00DD5E24">
        <w:rPr>
          <w:rFonts w:ascii="Arial" w:hAnsi="Arial" w:cs="Arial"/>
        </w:rPr>
        <w:t>3</w:t>
      </w:r>
      <w:r w:rsidRPr="00DD5E24">
        <w:rPr>
          <w:rFonts w:ascii="Arial" w:hAnsi="Arial" w:cs="Arial"/>
        </w:rPr>
        <w:t>a).</w:t>
      </w:r>
    </w:p>
    <w:p w14:paraId="7CE3744E" w14:textId="77777777" w:rsidR="00B21862" w:rsidRPr="00DD5E24" w:rsidRDefault="00B21862" w:rsidP="00783962">
      <w:pPr>
        <w:pStyle w:val="Body"/>
        <w:spacing w:after="0"/>
        <w:contextualSpacing/>
        <w:rPr>
          <w:rFonts w:ascii="Arial" w:hAnsi="Arial" w:cs="Arial"/>
        </w:rPr>
      </w:pPr>
    </w:p>
    <w:p w14:paraId="0E258F6E" w14:textId="77777777" w:rsidR="006472C6" w:rsidRPr="00DD5E24" w:rsidRDefault="00C4241F" w:rsidP="00783962">
      <w:pPr>
        <w:pStyle w:val="Body"/>
        <w:spacing w:after="0"/>
        <w:contextualSpacing/>
        <w:rPr>
          <w:rFonts w:ascii="Arial" w:hAnsi="Arial" w:cs="Arial"/>
        </w:rPr>
      </w:pPr>
      <w:r w:rsidRPr="00DD5E24">
        <w:rPr>
          <w:rFonts w:ascii="Arial" w:hAnsi="Arial" w:cs="Arial"/>
        </w:rPr>
        <w:t xml:space="preserve">The second behavioral test performed was the Touch Sensitivity test (TS test) to evaluate the larval response to mechanical stimulation (Cadena et al., 2020a). This test was performed as soon as the TH test of the 48-well plate was done. Using the scan sampling method (Silva et al., 2019), the larvae from each well were touched on the tail. A dichotomous response was evaluated after touch: yes (for the larva that exhibited escape behavior) or no (for animals that did not exhibit escape behavior) (Figure </w:t>
      </w:r>
      <w:r w:rsidR="003C29EE" w:rsidRPr="00DD5E24">
        <w:rPr>
          <w:rFonts w:ascii="Arial" w:hAnsi="Arial" w:cs="Arial"/>
        </w:rPr>
        <w:t>3</w:t>
      </w:r>
      <w:r w:rsidRPr="00DD5E24">
        <w:rPr>
          <w:rFonts w:ascii="Arial" w:hAnsi="Arial" w:cs="Arial"/>
        </w:rPr>
        <w:t>b).</w:t>
      </w:r>
    </w:p>
    <w:p w14:paraId="7776E5D2" w14:textId="77777777" w:rsidR="00B21862" w:rsidRPr="00DD5E24" w:rsidRDefault="00B21862" w:rsidP="00783962">
      <w:pPr>
        <w:pStyle w:val="Body"/>
        <w:spacing w:after="0"/>
        <w:contextualSpacing/>
        <w:rPr>
          <w:rFonts w:ascii="Arial" w:hAnsi="Arial" w:cs="Arial"/>
        </w:rPr>
      </w:pPr>
    </w:p>
    <w:p w14:paraId="178CFC4C" w14:textId="31CFDB87" w:rsidR="00731EB0" w:rsidRPr="00DD5E24" w:rsidRDefault="00C4241F" w:rsidP="00783962">
      <w:pPr>
        <w:pStyle w:val="Body"/>
        <w:spacing w:after="0"/>
        <w:contextualSpacing/>
        <w:rPr>
          <w:rFonts w:ascii="Arial" w:hAnsi="Arial" w:cs="Arial"/>
        </w:rPr>
      </w:pPr>
      <w:r w:rsidRPr="00DD5E24">
        <w:rPr>
          <w:rFonts w:ascii="Arial" w:hAnsi="Arial" w:cs="Arial"/>
        </w:rPr>
        <w:t>The Optomotor Response test (OMR test) was performed after completing the other two behavioral tests and consisted of obtaining data to assess whether the larva had its visual acuity affected by rotenone (</w:t>
      </w:r>
      <w:proofErr w:type="spellStart"/>
      <w:r w:rsidRPr="00DD5E24">
        <w:rPr>
          <w:rFonts w:ascii="Arial" w:hAnsi="Arial" w:cs="Arial"/>
        </w:rPr>
        <w:t>Brastrom</w:t>
      </w:r>
      <w:proofErr w:type="spellEnd"/>
      <w:r w:rsidRPr="00DD5E24">
        <w:rPr>
          <w:rFonts w:ascii="Arial" w:hAnsi="Arial" w:cs="Arial"/>
        </w:rPr>
        <w:t xml:space="preserve"> et al. 2019; Cadena et al., 2020a). The 48-well plates were placed on a horizontally oriented computer monitor in which a 40-second OMR animation was played and filmed by a smartphone camera with a top view (≈ 20 cm) of the 48-well plate. The animation consisted of an initial 5 s of solid white to note the initial larval position (IP), 30 s of alternating black and white bars from right to left to get a response, and 5 s of solid white to note the final larval position (MP). According to the position of the larva in the well and the moment of the video, the responses obtained were dichotomous: Larva in low-alignment, when it was in a region up to 70% away from the direction of the visual stimulus; Larva in high-alignment, when it was in a region up to 30% close to direction of the visual stimulus (Figure </w:t>
      </w:r>
      <w:r w:rsidR="003C29EE" w:rsidRPr="00DD5E24">
        <w:rPr>
          <w:rFonts w:ascii="Arial" w:hAnsi="Arial" w:cs="Arial"/>
        </w:rPr>
        <w:t>3</w:t>
      </w:r>
      <w:r w:rsidRPr="00DD5E24">
        <w:rPr>
          <w:rFonts w:ascii="Arial" w:hAnsi="Arial" w:cs="Arial"/>
        </w:rPr>
        <w:t>c).</w:t>
      </w:r>
    </w:p>
    <w:p w14:paraId="21077621" w14:textId="77777777" w:rsidR="00C4241F" w:rsidRPr="00DD5E24" w:rsidRDefault="00C4241F" w:rsidP="00783962">
      <w:pPr>
        <w:pStyle w:val="Body"/>
        <w:spacing w:after="0"/>
        <w:contextualSpacing/>
        <w:rPr>
          <w:rFonts w:ascii="Arial" w:hAnsi="Arial" w:cs="Arial"/>
        </w:rPr>
      </w:pPr>
    </w:p>
    <w:p w14:paraId="79A04A62" w14:textId="64006869" w:rsidR="003C29EE" w:rsidRPr="00DD5E24" w:rsidRDefault="003C29EE" w:rsidP="00783962">
      <w:pPr>
        <w:pStyle w:val="Body"/>
        <w:spacing w:after="0"/>
        <w:contextualSpacing/>
        <w:jc w:val="center"/>
        <w:rPr>
          <w:rFonts w:ascii="Arial" w:hAnsi="Arial" w:cs="Arial"/>
        </w:rPr>
      </w:pPr>
      <w:r w:rsidRPr="00DD5E24">
        <w:rPr>
          <w:rFonts w:ascii="Arial" w:hAnsi="Arial" w:cs="Arial"/>
          <w:noProof/>
        </w:rPr>
        <w:drawing>
          <wp:inline distT="0" distB="0" distL="0" distR="0" wp14:anchorId="7EB26FD0" wp14:editId="6EA6370D">
            <wp:extent cx="4962525" cy="1857375"/>
            <wp:effectExtent l="0" t="0" r="9525" b="9525"/>
            <wp:docPr id="364262166" name="Imagem 4"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62166" name="Imagem 4" descr="Diagrama&#10;&#10;O conteúdo gerado por IA pode estar incorreto."/>
                    <pic:cNvPicPr/>
                  </pic:nvPicPr>
                  <pic:blipFill rotWithShape="1">
                    <a:blip r:embed="rId16" cstate="print">
                      <a:extLst>
                        <a:ext uri="{28A0092B-C50C-407E-A947-70E740481C1C}">
                          <a14:useLocalDpi xmlns:a14="http://schemas.microsoft.com/office/drawing/2010/main" val="0"/>
                        </a:ext>
                      </a:extLst>
                    </a:blip>
                    <a:srcRect l="2376" t="18844" r="2412" b="17803"/>
                    <a:stretch>
                      <a:fillRect/>
                    </a:stretch>
                  </pic:blipFill>
                  <pic:spPr bwMode="auto">
                    <a:xfrm>
                      <a:off x="0" y="0"/>
                      <a:ext cx="4962525" cy="1857375"/>
                    </a:xfrm>
                    <a:prstGeom prst="rect">
                      <a:avLst/>
                    </a:prstGeom>
                    <a:ln>
                      <a:noFill/>
                    </a:ln>
                    <a:extLst>
                      <a:ext uri="{53640926-AAD7-44D8-BBD7-CCE9431645EC}">
                        <a14:shadowObscured xmlns:a14="http://schemas.microsoft.com/office/drawing/2010/main"/>
                      </a:ext>
                    </a:extLst>
                  </pic:spPr>
                </pic:pic>
              </a:graphicData>
            </a:graphic>
          </wp:inline>
        </w:drawing>
      </w:r>
    </w:p>
    <w:p w14:paraId="3627F156" w14:textId="77777777" w:rsidR="003C29EE" w:rsidRPr="00DD5E24" w:rsidRDefault="003C29EE" w:rsidP="00783962">
      <w:pPr>
        <w:pStyle w:val="Body"/>
        <w:spacing w:after="0"/>
        <w:contextualSpacing/>
        <w:rPr>
          <w:rFonts w:ascii="Arial" w:hAnsi="Arial" w:cs="Arial"/>
        </w:rPr>
      </w:pPr>
    </w:p>
    <w:p w14:paraId="327B4222" w14:textId="65052DF3" w:rsidR="003C29EE" w:rsidRPr="00DD5E24" w:rsidRDefault="003C29EE" w:rsidP="00783962">
      <w:pPr>
        <w:pStyle w:val="Body"/>
        <w:spacing w:after="0"/>
        <w:contextualSpacing/>
        <w:rPr>
          <w:rFonts w:ascii="Arial" w:hAnsi="Arial" w:cs="Arial"/>
        </w:rPr>
      </w:pPr>
      <w:r w:rsidRPr="00DD5E24">
        <w:rPr>
          <w:rFonts w:ascii="Arial" w:hAnsi="Arial" w:cs="Arial"/>
          <w:b/>
          <w:bCs/>
        </w:rPr>
        <w:t>Fig 3.</w:t>
      </w:r>
      <w:r w:rsidRPr="00DD5E24">
        <w:rPr>
          <w:rFonts w:ascii="Arial" w:hAnsi="Arial" w:cs="Arial"/>
        </w:rPr>
        <w:t xml:space="preserve"> </w:t>
      </w:r>
      <w:r w:rsidRPr="00DD5E24">
        <w:rPr>
          <w:rFonts w:ascii="Arial" w:hAnsi="Arial" w:cs="Arial"/>
          <w:b/>
          <w:bCs/>
        </w:rPr>
        <w:t xml:space="preserve">Explanatory scheme of behavioral tests used to assess non-motor PD-like symptoms in zebrafish larvae exposed to rotenone at 144 </w:t>
      </w:r>
      <w:proofErr w:type="spellStart"/>
      <w:r w:rsidRPr="00DD5E24">
        <w:rPr>
          <w:rFonts w:ascii="Arial" w:hAnsi="Arial" w:cs="Arial"/>
          <w:b/>
          <w:bCs/>
        </w:rPr>
        <w:t>hpf</w:t>
      </w:r>
      <w:proofErr w:type="spellEnd"/>
      <w:r w:rsidRPr="00DD5E24">
        <w:rPr>
          <w:rFonts w:ascii="Arial" w:hAnsi="Arial" w:cs="Arial"/>
          <w:b/>
          <w:bCs/>
        </w:rPr>
        <w:t>.</w:t>
      </w:r>
      <w:r w:rsidRPr="00DD5E24">
        <w:rPr>
          <w:rFonts w:ascii="Arial" w:hAnsi="Arial" w:cs="Arial"/>
        </w:rPr>
        <w:t xml:space="preserve"> (a) Method of collecting the behavioral response in the Thigmotaxis test, detailing which response zebrafish larvae may exhibit; (b) Method of collecting the behavioral response in the Touch Sensitivity test; (c) Method of collecting the Optomotor Response of zebrafish larvae.</w:t>
      </w:r>
    </w:p>
    <w:p w14:paraId="21785755" w14:textId="5314E373" w:rsidR="00C4241F" w:rsidRPr="00DD5E24" w:rsidRDefault="00C4241F" w:rsidP="00783962">
      <w:pPr>
        <w:pStyle w:val="Body"/>
        <w:spacing w:after="0"/>
        <w:contextualSpacing/>
        <w:rPr>
          <w:rFonts w:ascii="Arial" w:hAnsi="Arial" w:cs="Arial"/>
          <w:b/>
          <w:sz w:val="22"/>
        </w:rPr>
      </w:pPr>
      <w:r w:rsidRPr="00DD5E24">
        <w:rPr>
          <w:rFonts w:ascii="Arial" w:hAnsi="Arial" w:cs="Arial"/>
          <w:b/>
          <w:caps/>
          <w:sz w:val="22"/>
        </w:rPr>
        <w:t xml:space="preserve">2.7 </w:t>
      </w:r>
      <w:r w:rsidRPr="00DD5E24">
        <w:rPr>
          <w:rFonts w:ascii="Arial" w:hAnsi="Arial" w:cs="Arial"/>
          <w:b/>
          <w:sz w:val="22"/>
        </w:rPr>
        <w:t>Statistical analysis</w:t>
      </w:r>
    </w:p>
    <w:p w14:paraId="20BB0BBB" w14:textId="77777777" w:rsidR="00C4241F" w:rsidRPr="00DD5E24" w:rsidRDefault="00C4241F" w:rsidP="00783962">
      <w:pPr>
        <w:pStyle w:val="Body"/>
        <w:spacing w:after="0"/>
        <w:contextualSpacing/>
        <w:rPr>
          <w:rFonts w:ascii="Arial" w:hAnsi="Arial" w:cs="Arial"/>
        </w:rPr>
      </w:pPr>
    </w:p>
    <w:p w14:paraId="42BDD315" w14:textId="353C3E67" w:rsidR="00C4241F" w:rsidRPr="00DD5E24" w:rsidRDefault="00C4241F" w:rsidP="00783962">
      <w:pPr>
        <w:pStyle w:val="Body"/>
        <w:spacing w:after="0"/>
        <w:contextualSpacing/>
        <w:rPr>
          <w:rFonts w:ascii="Arial" w:hAnsi="Arial" w:cs="Arial"/>
        </w:rPr>
      </w:pPr>
      <w:r w:rsidRPr="00DD5E24">
        <w:rPr>
          <w:rFonts w:ascii="Arial" w:hAnsi="Arial" w:cs="Arial"/>
        </w:rPr>
        <w:t xml:space="preserve">The data collected in the experiments were presented as mean ± standard deviation (SD). Data on teratogenic effects, morphometry, TH, and TS tests were analyzed by one-way ANOVA using Origin Pro Academic 2015 (Origin Lab. Northampton, MA USA). When the difference was significant, the means were compared using the Tukey test with </w:t>
      </w:r>
      <w:r w:rsidRPr="00DD5E24">
        <w:rPr>
          <w:rFonts w:ascii="Arial" w:hAnsi="Arial" w:cs="Arial"/>
          <w:i/>
          <w:iCs/>
        </w:rPr>
        <w:t>P</w:t>
      </w:r>
      <w:r w:rsidRPr="00DD5E24">
        <w:rPr>
          <w:rFonts w:ascii="Arial" w:hAnsi="Arial" w:cs="Arial"/>
        </w:rPr>
        <w:t xml:space="preserve"> &lt; .05. The OMR test results were analyzed by the McNemar symmetry test with </w:t>
      </w:r>
      <w:r w:rsidRPr="00DD5E24">
        <w:rPr>
          <w:rFonts w:ascii="Arial" w:hAnsi="Arial" w:cs="Arial"/>
          <w:i/>
          <w:iCs/>
        </w:rPr>
        <w:t>P</w:t>
      </w:r>
      <w:r w:rsidRPr="00DD5E24">
        <w:rPr>
          <w:rFonts w:ascii="Arial" w:hAnsi="Arial" w:cs="Arial"/>
        </w:rPr>
        <w:t xml:space="preserve"> &lt; .05. The effective concentrations (half-maximal effective concentration - EC</w:t>
      </w:r>
      <w:r w:rsidRPr="00DD5E24">
        <w:rPr>
          <w:rFonts w:ascii="Cambria Math" w:hAnsi="Cambria Math" w:cs="Cambria Math"/>
        </w:rPr>
        <w:t>₅₀</w:t>
      </w:r>
      <w:r w:rsidRPr="00DD5E24">
        <w:rPr>
          <w:rFonts w:ascii="Arial" w:hAnsi="Arial" w:cs="Arial"/>
        </w:rPr>
        <w:t>) were calculated using the nonlinear allosteric decay function using a spreadsheet built in Microsoft Excel.</w:t>
      </w:r>
    </w:p>
    <w:p w14:paraId="42D9CE23" w14:textId="77777777" w:rsidR="00B21862" w:rsidRPr="00DD5E24" w:rsidRDefault="00B21862" w:rsidP="00783962">
      <w:pPr>
        <w:pStyle w:val="Body"/>
        <w:spacing w:after="0"/>
        <w:contextualSpacing/>
        <w:rPr>
          <w:rFonts w:ascii="Arial" w:hAnsi="Arial" w:cs="Arial"/>
        </w:rPr>
      </w:pPr>
    </w:p>
    <w:p w14:paraId="01A03826" w14:textId="77777777" w:rsidR="00902823" w:rsidRPr="00DD5E24" w:rsidRDefault="00000F8F" w:rsidP="00783962">
      <w:pPr>
        <w:pStyle w:val="Head1"/>
        <w:spacing w:after="0"/>
        <w:contextualSpacing/>
        <w:jc w:val="both"/>
        <w:rPr>
          <w:rFonts w:ascii="Arial" w:hAnsi="Arial" w:cs="Arial"/>
        </w:rPr>
      </w:pPr>
      <w:r w:rsidRPr="00DD5E24">
        <w:rPr>
          <w:rFonts w:ascii="Arial" w:hAnsi="Arial" w:cs="Arial"/>
        </w:rPr>
        <w:t>3</w:t>
      </w:r>
      <w:r w:rsidR="00902823" w:rsidRPr="00DD5E24">
        <w:rPr>
          <w:rFonts w:ascii="Arial" w:hAnsi="Arial" w:cs="Arial"/>
        </w:rPr>
        <w:t xml:space="preserve">. </w:t>
      </w:r>
      <w:r w:rsidRPr="00DD5E24">
        <w:rPr>
          <w:rFonts w:ascii="Arial" w:hAnsi="Arial" w:cs="Arial"/>
        </w:rPr>
        <w:t>results and discussion</w:t>
      </w:r>
    </w:p>
    <w:p w14:paraId="7A96A8AC" w14:textId="77777777" w:rsidR="00790ADA" w:rsidRPr="00DD5E24" w:rsidRDefault="00790ADA" w:rsidP="00783962">
      <w:pPr>
        <w:pStyle w:val="Head1"/>
        <w:spacing w:after="0"/>
        <w:contextualSpacing/>
        <w:jc w:val="both"/>
        <w:rPr>
          <w:rFonts w:ascii="Arial" w:hAnsi="Arial" w:cs="Arial"/>
        </w:rPr>
      </w:pPr>
    </w:p>
    <w:p w14:paraId="2824F697" w14:textId="40AF08EE" w:rsidR="00863BD3" w:rsidRPr="00DD5E24" w:rsidRDefault="00075568" w:rsidP="00783962">
      <w:pPr>
        <w:pStyle w:val="Body"/>
        <w:spacing w:after="0"/>
        <w:contextualSpacing/>
        <w:rPr>
          <w:rFonts w:ascii="Arial" w:hAnsi="Arial" w:cs="Arial"/>
        </w:rPr>
      </w:pPr>
      <w:r w:rsidRPr="00DD5E24">
        <w:rPr>
          <w:rFonts w:ascii="Arial" w:hAnsi="Arial" w:cs="Arial"/>
        </w:rPr>
        <w:t>The classic symptoms of Parkinson's Disease, which are related to motor disorders, are not the only ones to negatively affect the quality of life in patients. Several non-motor symptoms are reported as the first symptoms in PD patients, including behavioral changes such as anxiety and depression (Simon et al., 2020). Another feature of PD is the treatments only address symptoms, and no treatment or medication to date can stop or delay the neurodegeneration process in PD (Doyle and Croll, 2022). Thus, it is necessary to carry out studies with animal models that can reproduce PD-like symptoms to help identify new treatments and drugs. Recent studies found that exposing zebrafish embryos to rotenone can induce PD-like motor symptoms (Kalyn et al., 2020). We examined whether rotenone induced behavioral and developmental changes in zebrafish and found delayed epiboly, morphometric changes, teratogenic effects, and behavioral changes. These parameters are reminiscent of PD-like symptoms. These endpoints could be used in drug screening experiments to identify candidate PD treatments.</w:t>
      </w:r>
    </w:p>
    <w:p w14:paraId="3B6E79C6" w14:textId="77777777" w:rsidR="00075568" w:rsidRPr="00DD5E24" w:rsidRDefault="00075568" w:rsidP="00783962">
      <w:pPr>
        <w:pStyle w:val="Body"/>
        <w:spacing w:after="0"/>
        <w:contextualSpacing/>
        <w:rPr>
          <w:rFonts w:ascii="Arial" w:hAnsi="Arial" w:cs="Arial"/>
        </w:rPr>
      </w:pPr>
    </w:p>
    <w:p w14:paraId="4D8510E5" w14:textId="711809AC" w:rsidR="006472C6" w:rsidRPr="00DD5E24" w:rsidRDefault="006472C6" w:rsidP="00783962">
      <w:pPr>
        <w:pStyle w:val="Body"/>
        <w:spacing w:after="0"/>
        <w:contextualSpacing/>
        <w:rPr>
          <w:rFonts w:ascii="Arial" w:hAnsi="Arial" w:cs="Arial"/>
          <w:b/>
          <w:sz w:val="22"/>
        </w:rPr>
      </w:pPr>
      <w:r w:rsidRPr="00DD5E24">
        <w:rPr>
          <w:rFonts w:ascii="Arial" w:hAnsi="Arial" w:cs="Arial"/>
          <w:b/>
          <w:caps/>
          <w:sz w:val="22"/>
        </w:rPr>
        <w:t xml:space="preserve">3.1 </w:t>
      </w:r>
      <w:r w:rsidRPr="00DD5E24">
        <w:rPr>
          <w:rFonts w:ascii="Arial" w:hAnsi="Arial" w:cs="Arial"/>
          <w:b/>
          <w:sz w:val="22"/>
        </w:rPr>
        <w:t>Epiboly Rate</w:t>
      </w:r>
    </w:p>
    <w:p w14:paraId="6F6862D8" w14:textId="77777777" w:rsidR="006472C6" w:rsidRPr="00DD5E24" w:rsidRDefault="006472C6" w:rsidP="00783962">
      <w:pPr>
        <w:pStyle w:val="Body"/>
        <w:spacing w:after="0"/>
        <w:contextualSpacing/>
        <w:rPr>
          <w:rFonts w:ascii="Arial" w:hAnsi="Arial" w:cs="Arial"/>
          <w:b/>
          <w:sz w:val="22"/>
        </w:rPr>
      </w:pPr>
    </w:p>
    <w:p w14:paraId="7061B201" w14:textId="625187D0" w:rsidR="006472C6" w:rsidRPr="00DD5E24" w:rsidRDefault="006472C6" w:rsidP="00783962">
      <w:pPr>
        <w:pStyle w:val="Body"/>
        <w:spacing w:after="0"/>
        <w:contextualSpacing/>
        <w:rPr>
          <w:rFonts w:ascii="Arial" w:hAnsi="Arial" w:cs="Arial"/>
        </w:rPr>
      </w:pPr>
      <w:r w:rsidRPr="00DD5E24">
        <w:rPr>
          <w:rFonts w:ascii="Arial" w:hAnsi="Arial" w:cs="Arial"/>
        </w:rPr>
        <w:t xml:space="preserve">Exposure to different concentrations of rotenone in zebrafish embryos during the period from cleavage to mid-gastrulation (Kimmel et al., 1995) caused delays in embryonic development (Figure </w:t>
      </w:r>
      <w:r w:rsidR="00F8543B" w:rsidRPr="00DD5E24">
        <w:rPr>
          <w:rFonts w:ascii="Arial" w:hAnsi="Arial" w:cs="Arial"/>
        </w:rPr>
        <w:t>4</w:t>
      </w:r>
      <w:r w:rsidRPr="00DD5E24">
        <w:rPr>
          <w:rFonts w:ascii="Arial" w:hAnsi="Arial" w:cs="Arial"/>
        </w:rPr>
        <w:t xml:space="preserve">). The DMSO group showed the extent of yolk the cell covered by the growing embryo was not affected (Marrs et al., 2010; Cadena et al., 2020b). In the ROT5 group, progress of epiboly at 8 </w:t>
      </w:r>
      <w:proofErr w:type="spellStart"/>
      <w:r w:rsidRPr="00DD5E24">
        <w:rPr>
          <w:rFonts w:ascii="Arial" w:hAnsi="Arial" w:cs="Arial"/>
        </w:rPr>
        <w:t>hpf</w:t>
      </w:r>
      <w:proofErr w:type="spellEnd"/>
      <w:r w:rsidRPr="00DD5E24">
        <w:rPr>
          <w:rFonts w:ascii="Arial" w:hAnsi="Arial" w:cs="Arial"/>
        </w:rPr>
        <w:t xml:space="preserve"> compared to the DMSO group was not affected, indicating low embryo toxicity of rotenone at this concentration. The epiboly rate of the ROT10, ROT15, and ROT20 groups was significantly reduced, but there were no differences in the progress of epiboly between these groups (Figure 4). The toxicity of rotenone in the early stages of embryonic development observed by the evaluation of epiboly rate may be indicative of later teratogenic effects and other parameters.</w:t>
      </w:r>
    </w:p>
    <w:p w14:paraId="0F0F3C73" w14:textId="77777777" w:rsidR="00514D98" w:rsidRPr="00DD5E24" w:rsidRDefault="00514D98" w:rsidP="00783962">
      <w:pPr>
        <w:pStyle w:val="Body"/>
        <w:spacing w:after="0"/>
        <w:contextualSpacing/>
        <w:rPr>
          <w:rFonts w:ascii="Arial" w:hAnsi="Arial" w:cs="Arial"/>
        </w:rPr>
      </w:pPr>
    </w:p>
    <w:p w14:paraId="6E4CFB7D" w14:textId="02E17569" w:rsidR="00F8543B" w:rsidRPr="00DD5E24" w:rsidRDefault="00514D98" w:rsidP="00783962">
      <w:pPr>
        <w:pStyle w:val="Body"/>
        <w:spacing w:after="0"/>
        <w:contextualSpacing/>
        <w:rPr>
          <w:rFonts w:ascii="Arial" w:hAnsi="Arial" w:cs="Arial"/>
        </w:rPr>
      </w:pPr>
      <w:r w:rsidRPr="00DD5E24">
        <w:rPr>
          <w:rFonts w:ascii="Arial" w:hAnsi="Arial" w:cs="Arial"/>
        </w:rPr>
        <w:t xml:space="preserve">Epiboly is the first morphogenetic event during zebrafish development that is essential for normal development and coupled with gastrulation, which occurs from the late blastula (4.3 </w:t>
      </w:r>
      <w:proofErr w:type="spellStart"/>
      <w:r w:rsidRPr="00DD5E24">
        <w:rPr>
          <w:rFonts w:ascii="Arial" w:hAnsi="Arial" w:cs="Arial"/>
        </w:rPr>
        <w:t>hpf</w:t>
      </w:r>
      <w:proofErr w:type="spellEnd"/>
      <w:r w:rsidRPr="00DD5E24">
        <w:rPr>
          <w:rFonts w:ascii="Arial" w:hAnsi="Arial" w:cs="Arial"/>
        </w:rPr>
        <w:t xml:space="preserve">) to the bud stage (10 </w:t>
      </w:r>
      <w:proofErr w:type="spellStart"/>
      <w:r w:rsidRPr="00DD5E24">
        <w:rPr>
          <w:rFonts w:ascii="Arial" w:hAnsi="Arial" w:cs="Arial"/>
        </w:rPr>
        <w:t>hpf</w:t>
      </w:r>
      <w:proofErr w:type="spellEnd"/>
      <w:r w:rsidRPr="00DD5E24">
        <w:rPr>
          <w:rFonts w:ascii="Arial" w:hAnsi="Arial" w:cs="Arial"/>
        </w:rPr>
        <w:t xml:space="preserve">) (Bruce and Heisenberg, 2020). Zebrafish development at this stage of life is highly sensitive to chemical exposure. The chorion acts as a protective barrier to limit chemical exposure prior to hatching (Mandrell et al. 2012). However, we observed that exposure to rotenone at 10 to 20 µg/L from 2-8 </w:t>
      </w:r>
      <w:proofErr w:type="spellStart"/>
      <w:r w:rsidRPr="00DD5E24">
        <w:rPr>
          <w:rFonts w:ascii="Arial" w:hAnsi="Arial" w:cs="Arial"/>
        </w:rPr>
        <w:t>hpf</w:t>
      </w:r>
      <w:proofErr w:type="spellEnd"/>
      <w:r w:rsidRPr="00DD5E24">
        <w:rPr>
          <w:rFonts w:ascii="Arial" w:hAnsi="Arial" w:cs="Arial"/>
        </w:rPr>
        <w:t xml:space="preserve"> caused embryotoxicity, as reduced epiboly rate. In the literature, no evaluations of epiboly rate were found in zebrafish exposed to chemicals that have already been used for PD-like models. This may be related to the fact that the initial exposure time for PD-like induction in zebrafish normally occurs at 24 </w:t>
      </w:r>
      <w:proofErr w:type="spellStart"/>
      <w:r w:rsidRPr="00DD5E24">
        <w:rPr>
          <w:rFonts w:ascii="Arial" w:hAnsi="Arial" w:cs="Arial"/>
        </w:rPr>
        <w:t>hpf</w:t>
      </w:r>
      <w:proofErr w:type="spellEnd"/>
      <w:r w:rsidRPr="00DD5E24">
        <w:rPr>
          <w:rFonts w:ascii="Arial" w:hAnsi="Arial" w:cs="Arial"/>
        </w:rPr>
        <w:t xml:space="preserve"> (Kalyn et al. 2020). In order to evaluate the susceptibility of zebrafish embryos to rotenone, the epiboly rate proved to be adequate to confirm the influence of early stages of development. In addition, the epiboly rate can be a rapidly obtained endpoint used in the evaluation of new protective or treatment in the zebrafish PD-like model.</w:t>
      </w:r>
    </w:p>
    <w:p w14:paraId="4B9487BC" w14:textId="0CE3204F" w:rsidR="00F8543B" w:rsidRPr="00DD5E24" w:rsidRDefault="00F8543B" w:rsidP="00514D98">
      <w:pPr>
        <w:pStyle w:val="Body"/>
        <w:spacing w:after="0"/>
        <w:contextualSpacing/>
        <w:jc w:val="center"/>
        <w:rPr>
          <w:rFonts w:ascii="Arial" w:hAnsi="Arial" w:cs="Arial"/>
        </w:rPr>
      </w:pPr>
      <w:r w:rsidRPr="00DD5E24">
        <w:rPr>
          <w:rFonts w:ascii="Arial" w:hAnsi="Arial" w:cs="Arial"/>
          <w:noProof/>
        </w:rPr>
        <w:lastRenderedPageBreak/>
        <w:drawing>
          <wp:inline distT="0" distB="0" distL="0" distR="0" wp14:anchorId="672DCBCE" wp14:editId="7851A14E">
            <wp:extent cx="4603750" cy="3522956"/>
            <wp:effectExtent l="0" t="0" r="6350" b="1905"/>
            <wp:docPr id="1432413627" name="Imagem 10"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13627" name="Imagem 10" descr="Gráfico&#10;&#10;O conteúdo gerado por IA pode estar incorreto."/>
                    <pic:cNvPicPr/>
                  </pic:nvPicPr>
                  <pic:blipFill rotWithShape="1">
                    <a:blip r:embed="rId17" cstate="print">
                      <a:extLst>
                        <a:ext uri="{28A0092B-C50C-407E-A947-70E740481C1C}">
                          <a14:useLocalDpi xmlns:a14="http://schemas.microsoft.com/office/drawing/2010/main" val="0"/>
                        </a:ext>
                      </a:extLst>
                    </a:blip>
                    <a:stretch>
                      <a:fillRect/>
                    </a:stretch>
                  </pic:blipFill>
                  <pic:spPr bwMode="auto">
                    <a:xfrm>
                      <a:off x="0" y="0"/>
                      <a:ext cx="4615704" cy="3532104"/>
                    </a:xfrm>
                    <a:prstGeom prst="rect">
                      <a:avLst/>
                    </a:prstGeom>
                    <a:extLst>
                      <a:ext uri="{53640926-AAD7-44D8-BBD7-CCE9431645EC}">
                        <a14:shadowObscured xmlns:a14="http://schemas.microsoft.com/office/drawing/2010/main"/>
                      </a:ext>
                    </a:extLst>
                  </pic:spPr>
                </pic:pic>
              </a:graphicData>
            </a:graphic>
          </wp:inline>
        </w:drawing>
      </w:r>
    </w:p>
    <w:p w14:paraId="04A9EF20" w14:textId="3B69789F" w:rsidR="006472C6" w:rsidRPr="00DD5E24" w:rsidRDefault="00F8543B" w:rsidP="00783962">
      <w:pPr>
        <w:pStyle w:val="Body"/>
        <w:spacing w:after="0"/>
        <w:contextualSpacing/>
        <w:rPr>
          <w:rFonts w:ascii="Arial" w:hAnsi="Arial" w:cs="Arial"/>
        </w:rPr>
      </w:pPr>
      <w:r w:rsidRPr="00DD5E24">
        <w:rPr>
          <w:rFonts w:ascii="Arial" w:hAnsi="Arial" w:cs="Arial"/>
          <w:b/>
          <w:bCs/>
        </w:rPr>
        <w:t>Fig. 4.</w:t>
      </w:r>
      <w:r w:rsidRPr="00DD5E24">
        <w:rPr>
          <w:rFonts w:ascii="Arial" w:hAnsi="Arial" w:cs="Arial"/>
        </w:rPr>
        <w:t xml:space="preserve"> </w:t>
      </w:r>
      <w:r w:rsidRPr="00DD5E24">
        <w:rPr>
          <w:rFonts w:ascii="Arial" w:hAnsi="Arial" w:cs="Arial"/>
          <w:b/>
          <w:bCs/>
        </w:rPr>
        <w:t xml:space="preserve">Epiboly rate of zebrafish embryos exposed to rotenone between 2 to 8 </w:t>
      </w:r>
      <w:proofErr w:type="spellStart"/>
      <w:r w:rsidRPr="00DD5E24">
        <w:rPr>
          <w:rFonts w:ascii="Arial" w:hAnsi="Arial" w:cs="Arial"/>
          <w:b/>
          <w:bCs/>
        </w:rPr>
        <w:t>hpf</w:t>
      </w:r>
      <w:proofErr w:type="spellEnd"/>
      <w:r w:rsidRPr="00DD5E24">
        <w:rPr>
          <w:rFonts w:ascii="Arial" w:hAnsi="Arial" w:cs="Arial"/>
          <w:b/>
          <w:bCs/>
        </w:rPr>
        <w:t>.</w:t>
      </w:r>
      <w:r w:rsidRPr="00DD5E24">
        <w:rPr>
          <w:rFonts w:ascii="Arial" w:hAnsi="Arial" w:cs="Arial"/>
        </w:rPr>
        <w:t xml:space="preserve"> Epiboly rate was considered affected when * = </w:t>
      </w:r>
      <w:r w:rsidRPr="00DD5E24">
        <w:rPr>
          <w:rFonts w:ascii="Arial" w:hAnsi="Arial" w:cs="Arial"/>
          <w:i/>
          <w:iCs/>
        </w:rPr>
        <w:t>P</w:t>
      </w:r>
      <w:r w:rsidRPr="00DD5E24">
        <w:rPr>
          <w:rFonts w:ascii="Arial" w:hAnsi="Arial" w:cs="Arial"/>
        </w:rPr>
        <w:t xml:space="preserve"> &lt; .05. Each rotenone group was compared with the DMSO group by one-way ANOVA (</w:t>
      </w:r>
      <w:proofErr w:type="gramStart"/>
      <w:r w:rsidRPr="00DD5E24">
        <w:rPr>
          <w:rFonts w:ascii="Arial" w:hAnsi="Arial" w:cs="Arial"/>
        </w:rPr>
        <w:t>F(</w:t>
      </w:r>
      <w:proofErr w:type="gramEnd"/>
      <w:r w:rsidRPr="00DD5E24">
        <w:rPr>
          <w:rFonts w:ascii="Arial" w:hAnsi="Arial" w:cs="Arial"/>
        </w:rPr>
        <w:t xml:space="preserve">4,141) = 23.904 </w:t>
      </w:r>
      <w:r w:rsidRPr="00DD5E24">
        <w:rPr>
          <w:rFonts w:ascii="Arial" w:hAnsi="Arial" w:cs="Arial"/>
          <w:i/>
          <w:iCs/>
        </w:rPr>
        <w:t>P</w:t>
      </w:r>
      <w:r w:rsidRPr="00DD5E24">
        <w:rPr>
          <w:rFonts w:ascii="Arial" w:hAnsi="Arial" w:cs="Arial"/>
        </w:rPr>
        <w:t xml:space="preserve"> &lt; .05) followed by Tukey's test (against DMSO group ROT5 </w:t>
      </w:r>
      <w:r w:rsidRPr="00DD5E24">
        <w:rPr>
          <w:rFonts w:ascii="Arial" w:hAnsi="Arial" w:cs="Arial"/>
          <w:i/>
          <w:iCs/>
        </w:rPr>
        <w:t>P</w:t>
      </w:r>
      <w:r w:rsidRPr="00DD5E24">
        <w:rPr>
          <w:rFonts w:ascii="Arial" w:hAnsi="Arial" w:cs="Arial"/>
        </w:rPr>
        <w:t xml:space="preserve"> = .98, ROT10 </w:t>
      </w:r>
      <w:r w:rsidRPr="00DD5E24">
        <w:rPr>
          <w:rFonts w:ascii="Arial" w:hAnsi="Arial" w:cs="Arial"/>
          <w:i/>
          <w:iCs/>
        </w:rPr>
        <w:t>P</w:t>
      </w:r>
      <w:r w:rsidRPr="00DD5E24">
        <w:rPr>
          <w:rFonts w:ascii="Arial" w:hAnsi="Arial" w:cs="Arial"/>
        </w:rPr>
        <w:t xml:space="preserve"> &lt; .001, ROT15 </w:t>
      </w:r>
      <w:r w:rsidRPr="00DD5E24">
        <w:rPr>
          <w:rFonts w:ascii="Arial" w:hAnsi="Arial" w:cs="Arial"/>
          <w:i/>
          <w:iCs/>
        </w:rPr>
        <w:t>P</w:t>
      </w:r>
      <w:r w:rsidRPr="00DD5E24">
        <w:rPr>
          <w:rFonts w:ascii="Arial" w:hAnsi="Arial" w:cs="Arial"/>
        </w:rPr>
        <w:t xml:space="preserve"> &lt; .001, ROT20 </w:t>
      </w:r>
      <w:r w:rsidRPr="00DD5E24">
        <w:rPr>
          <w:rFonts w:ascii="Arial" w:hAnsi="Arial" w:cs="Arial"/>
          <w:i/>
          <w:iCs/>
        </w:rPr>
        <w:t>P</w:t>
      </w:r>
      <w:r w:rsidRPr="00DD5E24">
        <w:rPr>
          <w:rFonts w:ascii="Arial" w:hAnsi="Arial" w:cs="Arial"/>
        </w:rPr>
        <w:t xml:space="preserve"> &lt; .001). Legend of experimental groups: DMSO – 0.1% (v/v) Dimethyl sulfoxide; ROT5, ROT10, ROT15, and ROT20 – 5, 10, 15 and 20 µg/L of rotenone, respectively.</w:t>
      </w:r>
    </w:p>
    <w:p w14:paraId="587841B5" w14:textId="77777777" w:rsidR="0090767B" w:rsidRPr="00DD5E24" w:rsidRDefault="0090767B" w:rsidP="00783962">
      <w:pPr>
        <w:pStyle w:val="Body"/>
        <w:spacing w:after="0"/>
        <w:contextualSpacing/>
        <w:rPr>
          <w:rFonts w:ascii="Arial" w:hAnsi="Arial" w:cs="Arial"/>
        </w:rPr>
      </w:pPr>
    </w:p>
    <w:p w14:paraId="79443B29" w14:textId="0D32DED7" w:rsidR="006472C6" w:rsidRPr="00DD5E24" w:rsidRDefault="006472C6" w:rsidP="00783962">
      <w:pPr>
        <w:pStyle w:val="Body"/>
        <w:spacing w:after="0"/>
        <w:contextualSpacing/>
        <w:rPr>
          <w:rFonts w:ascii="Arial" w:hAnsi="Arial" w:cs="Arial"/>
          <w:b/>
          <w:sz w:val="22"/>
        </w:rPr>
      </w:pPr>
      <w:r w:rsidRPr="00DD5E24">
        <w:rPr>
          <w:rFonts w:ascii="Arial" w:hAnsi="Arial" w:cs="Arial"/>
          <w:b/>
          <w:caps/>
          <w:sz w:val="22"/>
        </w:rPr>
        <w:t xml:space="preserve">3.2 </w:t>
      </w:r>
      <w:r w:rsidRPr="00DD5E24">
        <w:rPr>
          <w:rFonts w:ascii="Arial" w:hAnsi="Arial" w:cs="Arial"/>
          <w:b/>
          <w:sz w:val="22"/>
        </w:rPr>
        <w:t>Analysis of embryonic development and teratogenic effects</w:t>
      </w:r>
    </w:p>
    <w:p w14:paraId="6E6E9EE8" w14:textId="77777777" w:rsidR="006472C6" w:rsidRPr="00DD5E24" w:rsidRDefault="006472C6" w:rsidP="00783962">
      <w:pPr>
        <w:pStyle w:val="Body"/>
        <w:spacing w:after="0"/>
        <w:contextualSpacing/>
        <w:rPr>
          <w:rFonts w:ascii="Arial" w:hAnsi="Arial" w:cs="Arial"/>
          <w:b/>
          <w:sz w:val="22"/>
        </w:rPr>
      </w:pPr>
    </w:p>
    <w:p w14:paraId="330BCCD8" w14:textId="3EFCAB48" w:rsidR="006472C6" w:rsidRPr="00DD5E24" w:rsidRDefault="006472C6" w:rsidP="00783962">
      <w:pPr>
        <w:pStyle w:val="Body"/>
        <w:spacing w:after="0"/>
        <w:contextualSpacing/>
        <w:rPr>
          <w:rFonts w:ascii="Arial" w:hAnsi="Arial" w:cs="Arial"/>
          <w:bCs/>
          <w:szCs w:val="18"/>
        </w:rPr>
      </w:pPr>
      <w:r w:rsidRPr="00DD5E24">
        <w:rPr>
          <w:rFonts w:ascii="Arial" w:hAnsi="Arial" w:cs="Arial"/>
          <w:bCs/>
          <w:szCs w:val="18"/>
        </w:rPr>
        <w:t xml:space="preserve">During the entire period between 24-144 </w:t>
      </w:r>
      <w:proofErr w:type="spellStart"/>
      <w:r w:rsidRPr="00DD5E24">
        <w:rPr>
          <w:rFonts w:ascii="Arial" w:hAnsi="Arial" w:cs="Arial"/>
          <w:bCs/>
          <w:szCs w:val="18"/>
        </w:rPr>
        <w:t>hpf</w:t>
      </w:r>
      <w:proofErr w:type="spellEnd"/>
      <w:r w:rsidRPr="00DD5E24">
        <w:rPr>
          <w:rFonts w:ascii="Arial" w:hAnsi="Arial" w:cs="Arial"/>
          <w:bCs/>
          <w:szCs w:val="18"/>
        </w:rPr>
        <w:t xml:space="preserve">, little or no teratogenic effects and mortality equal to or below 10% (OECD 236, 2013) were observed in the individuals of the DMSO group (Figures 5 and </w:t>
      </w:r>
      <w:r w:rsidR="0025181D" w:rsidRPr="00DD5E24">
        <w:rPr>
          <w:rFonts w:ascii="Arial" w:hAnsi="Arial" w:cs="Arial"/>
          <w:bCs/>
          <w:szCs w:val="18"/>
        </w:rPr>
        <w:t>6</w:t>
      </w:r>
      <w:r w:rsidRPr="00DD5E24">
        <w:rPr>
          <w:rFonts w:ascii="Arial" w:hAnsi="Arial" w:cs="Arial"/>
          <w:bCs/>
          <w:szCs w:val="18"/>
        </w:rPr>
        <w:t xml:space="preserve">). The only group exposed to rotenone that did not </w:t>
      </w:r>
      <w:proofErr w:type="spellStart"/>
      <w:r w:rsidRPr="00DD5E24">
        <w:rPr>
          <w:rFonts w:ascii="Arial" w:hAnsi="Arial" w:cs="Arial"/>
          <w:bCs/>
          <w:szCs w:val="18"/>
        </w:rPr>
        <w:t>excede</w:t>
      </w:r>
      <w:proofErr w:type="spellEnd"/>
      <w:r w:rsidRPr="00DD5E24">
        <w:rPr>
          <w:rFonts w:ascii="Arial" w:hAnsi="Arial" w:cs="Arial"/>
          <w:bCs/>
          <w:szCs w:val="18"/>
        </w:rPr>
        <w:t xml:space="preserve"> a mortality rate of 10% was ROT5, indicating low toxicity of rotenone at this concentration (Figure </w:t>
      </w:r>
      <w:r w:rsidR="00653675" w:rsidRPr="00DD5E24">
        <w:rPr>
          <w:rFonts w:ascii="Arial" w:hAnsi="Arial" w:cs="Arial"/>
          <w:bCs/>
          <w:szCs w:val="18"/>
        </w:rPr>
        <w:t>5</w:t>
      </w:r>
      <w:r w:rsidRPr="00DD5E24">
        <w:rPr>
          <w:rFonts w:ascii="Arial" w:hAnsi="Arial" w:cs="Arial"/>
          <w:bCs/>
          <w:szCs w:val="18"/>
        </w:rPr>
        <w:t xml:space="preserve">), as observed for epiboly. Between 48-72 </w:t>
      </w:r>
      <w:proofErr w:type="spellStart"/>
      <w:r w:rsidRPr="00DD5E24">
        <w:rPr>
          <w:rFonts w:ascii="Arial" w:hAnsi="Arial" w:cs="Arial"/>
          <w:bCs/>
          <w:szCs w:val="18"/>
        </w:rPr>
        <w:t>hpf</w:t>
      </w:r>
      <w:proofErr w:type="spellEnd"/>
      <w:r w:rsidRPr="00DD5E24">
        <w:rPr>
          <w:rFonts w:ascii="Arial" w:hAnsi="Arial" w:cs="Arial"/>
          <w:bCs/>
          <w:szCs w:val="18"/>
        </w:rPr>
        <w:t xml:space="preserve">, which coincides with the hatching period of the larvae (Kimmel et al., 1995), the mortality rate of the ROT10, ROT15, and ROT20 groups increased significantly, indicating that the chorion acted as a protective barrier against exposure to rotenone. At the end of 144 </w:t>
      </w:r>
      <w:proofErr w:type="spellStart"/>
      <w:r w:rsidRPr="00DD5E24">
        <w:rPr>
          <w:rFonts w:ascii="Arial" w:hAnsi="Arial" w:cs="Arial"/>
          <w:bCs/>
          <w:szCs w:val="18"/>
        </w:rPr>
        <w:t>hpf</w:t>
      </w:r>
      <w:proofErr w:type="spellEnd"/>
      <w:r w:rsidRPr="00DD5E24">
        <w:rPr>
          <w:rFonts w:ascii="Arial" w:hAnsi="Arial" w:cs="Arial"/>
          <w:bCs/>
          <w:szCs w:val="18"/>
        </w:rPr>
        <w:t>, the ROT15 and ROT20 groups had a mortality rate above 50%</w:t>
      </w:r>
      <w:r w:rsidR="00DE4376" w:rsidRPr="00DD5E24">
        <w:rPr>
          <w:rFonts w:ascii="Arial" w:hAnsi="Arial" w:cs="Arial"/>
          <w:bCs/>
          <w:szCs w:val="18"/>
        </w:rPr>
        <w:t>.</w:t>
      </w:r>
    </w:p>
    <w:p w14:paraId="0105F5E3" w14:textId="77777777" w:rsidR="006472C6" w:rsidRPr="00DD5E24" w:rsidRDefault="006472C6" w:rsidP="00783962">
      <w:pPr>
        <w:pStyle w:val="Body"/>
        <w:spacing w:after="0"/>
        <w:contextualSpacing/>
        <w:rPr>
          <w:rFonts w:ascii="Arial" w:hAnsi="Arial" w:cs="Arial"/>
        </w:rPr>
      </w:pPr>
    </w:p>
    <w:p w14:paraId="66D5AFF9" w14:textId="67998E39" w:rsidR="00F8543B" w:rsidRPr="00DD5E24" w:rsidRDefault="00F8543B" w:rsidP="00783962">
      <w:pPr>
        <w:pStyle w:val="Body"/>
        <w:spacing w:after="0"/>
        <w:contextualSpacing/>
        <w:rPr>
          <w:rFonts w:ascii="Arial" w:hAnsi="Arial" w:cs="Arial"/>
        </w:rPr>
      </w:pPr>
      <w:r w:rsidRPr="00DD5E24">
        <w:rPr>
          <w:rFonts w:ascii="Arial" w:hAnsi="Arial" w:cs="Arial"/>
          <w:noProof/>
        </w:rPr>
        <w:lastRenderedPageBreak/>
        <w:drawing>
          <wp:inline distT="0" distB="0" distL="0" distR="0" wp14:anchorId="08F1FDD9" wp14:editId="46279A27">
            <wp:extent cx="5212080" cy="3750310"/>
            <wp:effectExtent l="0" t="0" r="7620" b="2540"/>
            <wp:docPr id="1489726885" name="Imagem 9"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26885" name="Imagem 9" descr="Gráfico&#10;&#10;O conteúdo gerado por IA pode estar incorre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3750310"/>
                    </a:xfrm>
                    <a:prstGeom prst="rect">
                      <a:avLst/>
                    </a:prstGeom>
                  </pic:spPr>
                </pic:pic>
              </a:graphicData>
            </a:graphic>
          </wp:inline>
        </w:drawing>
      </w:r>
    </w:p>
    <w:p w14:paraId="7376C670" w14:textId="2D5AC154" w:rsidR="00F8543B" w:rsidRPr="00DD5E24" w:rsidRDefault="00F8543B" w:rsidP="00783962">
      <w:pPr>
        <w:pStyle w:val="Body"/>
        <w:spacing w:after="0"/>
        <w:contextualSpacing/>
        <w:rPr>
          <w:rFonts w:ascii="Arial" w:hAnsi="Arial" w:cs="Arial"/>
        </w:rPr>
      </w:pPr>
      <w:r w:rsidRPr="00DD5E24">
        <w:rPr>
          <w:rFonts w:ascii="Arial" w:hAnsi="Arial" w:cs="Arial"/>
          <w:b/>
          <w:bCs/>
        </w:rPr>
        <w:t xml:space="preserve">Fig. 5. The mortality rate of zebrafish embryos exposed to different concentrations of rotenone. Zebrafish embryos were exposed with rotenone at 2 </w:t>
      </w:r>
      <w:proofErr w:type="spellStart"/>
      <w:r w:rsidRPr="00DD5E24">
        <w:rPr>
          <w:rFonts w:ascii="Arial" w:hAnsi="Arial" w:cs="Arial"/>
          <w:b/>
          <w:bCs/>
        </w:rPr>
        <w:t>hpf</w:t>
      </w:r>
      <w:proofErr w:type="spellEnd"/>
      <w:r w:rsidRPr="00DD5E24">
        <w:rPr>
          <w:rFonts w:ascii="Arial" w:hAnsi="Arial" w:cs="Arial"/>
          <w:b/>
          <w:bCs/>
        </w:rPr>
        <w:t xml:space="preserve"> and the mortality was recorded at 24 to 144 </w:t>
      </w:r>
      <w:proofErr w:type="spellStart"/>
      <w:r w:rsidRPr="00DD5E24">
        <w:rPr>
          <w:rFonts w:ascii="Arial" w:hAnsi="Arial" w:cs="Arial"/>
          <w:b/>
          <w:bCs/>
        </w:rPr>
        <w:t>hpf</w:t>
      </w:r>
      <w:proofErr w:type="spellEnd"/>
      <w:r w:rsidRPr="00DD5E24">
        <w:rPr>
          <w:rFonts w:ascii="Arial" w:hAnsi="Arial" w:cs="Arial"/>
          <w:b/>
          <w:bCs/>
        </w:rPr>
        <w:t xml:space="preserve"> after exposure.</w:t>
      </w:r>
      <w:r w:rsidRPr="00DD5E24">
        <w:rPr>
          <w:rFonts w:ascii="Arial" w:hAnsi="Arial" w:cs="Arial"/>
        </w:rPr>
        <w:t xml:space="preserve"> Experimental groups included: DMSO – 0.1% (v/v) Dimethyl sulfoxide; ROT5, ROT10, ROT15, and ROT20 – 5, 10, 15 and 20 µg/L of rotenone, respectively.</w:t>
      </w:r>
    </w:p>
    <w:p w14:paraId="57175804" w14:textId="77777777" w:rsidR="00F8543B" w:rsidRPr="00DD5E24" w:rsidRDefault="00F8543B" w:rsidP="00783962">
      <w:pPr>
        <w:pStyle w:val="Body"/>
        <w:spacing w:after="0"/>
        <w:contextualSpacing/>
        <w:rPr>
          <w:rFonts w:ascii="Arial" w:hAnsi="Arial" w:cs="Arial"/>
        </w:rPr>
      </w:pPr>
    </w:p>
    <w:p w14:paraId="4CBE3816" w14:textId="21247608" w:rsidR="006472C6" w:rsidRPr="00DD5E24" w:rsidRDefault="0025181D" w:rsidP="00783962">
      <w:pPr>
        <w:pStyle w:val="Body"/>
        <w:spacing w:after="0"/>
        <w:contextualSpacing/>
        <w:rPr>
          <w:rFonts w:ascii="Arial" w:hAnsi="Arial" w:cs="Arial"/>
        </w:rPr>
      </w:pPr>
      <w:r w:rsidRPr="00DD5E24">
        <w:rPr>
          <w:rFonts w:ascii="Arial" w:hAnsi="Arial" w:cs="Arial"/>
        </w:rPr>
        <w:t xml:space="preserve">Teratogenic effects were analyzed to measure developmental effects on surviving animals exposed to rotenone. During the periods of 24-48 </w:t>
      </w:r>
      <w:proofErr w:type="spellStart"/>
      <w:r w:rsidRPr="00DD5E24">
        <w:rPr>
          <w:rFonts w:ascii="Arial" w:hAnsi="Arial" w:cs="Arial"/>
        </w:rPr>
        <w:t>hpf</w:t>
      </w:r>
      <w:proofErr w:type="spellEnd"/>
      <w:r w:rsidRPr="00DD5E24">
        <w:rPr>
          <w:rFonts w:ascii="Arial" w:hAnsi="Arial" w:cs="Arial"/>
        </w:rPr>
        <w:t xml:space="preserve"> (Figure 6a-b), the most common effects were pericardial edema, absence of pigmentation, and developmental delay at 24 </w:t>
      </w:r>
      <w:proofErr w:type="spellStart"/>
      <w:r w:rsidRPr="00DD5E24">
        <w:rPr>
          <w:rFonts w:ascii="Arial" w:hAnsi="Arial" w:cs="Arial"/>
        </w:rPr>
        <w:t>hpf</w:t>
      </w:r>
      <w:proofErr w:type="spellEnd"/>
      <w:r w:rsidRPr="00DD5E24">
        <w:rPr>
          <w:rFonts w:ascii="Arial" w:hAnsi="Arial" w:cs="Arial"/>
        </w:rPr>
        <w:t xml:space="preserve"> in the groups ROT10, ROT15, and ROT20. Absence of pigmentation was observed at 24 </w:t>
      </w:r>
      <w:proofErr w:type="spellStart"/>
      <w:r w:rsidRPr="00DD5E24">
        <w:rPr>
          <w:rFonts w:ascii="Arial" w:hAnsi="Arial" w:cs="Arial"/>
        </w:rPr>
        <w:t>hpf</w:t>
      </w:r>
      <w:proofErr w:type="spellEnd"/>
      <w:r w:rsidRPr="00DD5E24">
        <w:rPr>
          <w:rFonts w:ascii="Arial" w:hAnsi="Arial" w:cs="Arial"/>
        </w:rPr>
        <w:t xml:space="preserve">, but this effect was no longer observed in these groups at 48 </w:t>
      </w:r>
      <w:proofErr w:type="spellStart"/>
      <w:r w:rsidRPr="00DD5E24">
        <w:rPr>
          <w:rFonts w:ascii="Arial" w:hAnsi="Arial" w:cs="Arial"/>
        </w:rPr>
        <w:t>hpf</w:t>
      </w:r>
      <w:proofErr w:type="spellEnd"/>
      <w:r w:rsidRPr="00DD5E24">
        <w:rPr>
          <w:rFonts w:ascii="Arial" w:hAnsi="Arial" w:cs="Arial"/>
        </w:rPr>
        <w:t xml:space="preserve">. From 72-96 </w:t>
      </w:r>
      <w:proofErr w:type="spellStart"/>
      <w:r w:rsidRPr="00DD5E24">
        <w:rPr>
          <w:rFonts w:ascii="Arial" w:hAnsi="Arial" w:cs="Arial"/>
        </w:rPr>
        <w:t>hpf</w:t>
      </w:r>
      <w:proofErr w:type="spellEnd"/>
      <w:r w:rsidRPr="00DD5E24">
        <w:rPr>
          <w:rFonts w:ascii="Arial" w:hAnsi="Arial" w:cs="Arial"/>
        </w:rPr>
        <w:t xml:space="preserve"> (Figure 6c-d), there was additional mortality in the ROT10, ROT15, and ROT20 groups. Even with increased mortality, teratogenic effects were still observed, the most prevalent teratogenic effects in these last two periods were developmental delay, pericardial edema, and yolk sac edema observed in the ROT10, ROT15, and ROT20 groups with a consistent incidence proportional to the number of animals. Based on the observed data, the EC50 found for zebrafish embryos at 96 </w:t>
      </w:r>
      <w:proofErr w:type="spellStart"/>
      <w:r w:rsidRPr="00DD5E24">
        <w:rPr>
          <w:rFonts w:ascii="Arial" w:hAnsi="Arial" w:cs="Arial"/>
        </w:rPr>
        <w:t>hpf</w:t>
      </w:r>
      <w:proofErr w:type="spellEnd"/>
      <w:r w:rsidRPr="00DD5E24">
        <w:rPr>
          <w:rFonts w:ascii="Arial" w:hAnsi="Arial" w:cs="Arial"/>
        </w:rPr>
        <w:t xml:space="preserve"> was 11.24 µg/L, and the LC50 at 96 </w:t>
      </w:r>
      <w:proofErr w:type="spellStart"/>
      <w:r w:rsidRPr="00DD5E24">
        <w:rPr>
          <w:rFonts w:ascii="Arial" w:hAnsi="Arial" w:cs="Arial"/>
        </w:rPr>
        <w:t>hpf</w:t>
      </w:r>
      <w:proofErr w:type="spellEnd"/>
      <w:r w:rsidRPr="00DD5E24">
        <w:rPr>
          <w:rFonts w:ascii="Arial" w:hAnsi="Arial" w:cs="Arial"/>
        </w:rPr>
        <w:t xml:space="preserve"> was 13.88 µg/L.</w:t>
      </w:r>
    </w:p>
    <w:p w14:paraId="31F5FB4A" w14:textId="77777777" w:rsidR="00514D98" w:rsidRPr="00DD5E24" w:rsidRDefault="00514D98" w:rsidP="00783962">
      <w:pPr>
        <w:pStyle w:val="Body"/>
        <w:spacing w:after="0"/>
        <w:contextualSpacing/>
        <w:rPr>
          <w:rFonts w:ascii="Arial" w:hAnsi="Arial" w:cs="Arial"/>
        </w:rPr>
      </w:pPr>
    </w:p>
    <w:p w14:paraId="5520190E" w14:textId="75CB23F8" w:rsidR="00514D98" w:rsidRPr="00DD5E24" w:rsidRDefault="00514D98" w:rsidP="00783962">
      <w:pPr>
        <w:pStyle w:val="Body"/>
        <w:spacing w:after="0"/>
        <w:contextualSpacing/>
        <w:rPr>
          <w:rFonts w:ascii="Arial" w:hAnsi="Arial" w:cs="Arial"/>
        </w:rPr>
      </w:pPr>
      <w:r w:rsidRPr="00DD5E24">
        <w:rPr>
          <w:rFonts w:ascii="Arial" w:hAnsi="Arial" w:cs="Arial"/>
        </w:rPr>
        <w:t xml:space="preserve">The exposure of zebrafish embryos to rotenone caused teratogenic defects and mortality, affecting ROT10, ROT15, and ROT20 groups that were the same groups that showed delayed epiboly. Similar results were found by Melo et al. (2015), showing lack of pigmentation and developmental delay in embryos at 24 </w:t>
      </w:r>
      <w:proofErr w:type="spellStart"/>
      <w:r w:rsidRPr="00DD5E24">
        <w:rPr>
          <w:rFonts w:ascii="Arial" w:hAnsi="Arial" w:cs="Arial"/>
        </w:rPr>
        <w:t>hpf</w:t>
      </w:r>
      <w:proofErr w:type="spellEnd"/>
      <w:r w:rsidRPr="00DD5E24">
        <w:rPr>
          <w:rFonts w:ascii="Arial" w:hAnsi="Arial" w:cs="Arial"/>
        </w:rPr>
        <w:t xml:space="preserve"> that were exposed to 10, 20, 40, and 80 µg/L rotenone beginning after fertilization. At 48 </w:t>
      </w:r>
      <w:proofErr w:type="spellStart"/>
      <w:r w:rsidRPr="00DD5E24">
        <w:rPr>
          <w:rFonts w:ascii="Arial" w:hAnsi="Arial" w:cs="Arial"/>
        </w:rPr>
        <w:t>hpf</w:t>
      </w:r>
      <w:proofErr w:type="spellEnd"/>
      <w:r w:rsidRPr="00DD5E24">
        <w:rPr>
          <w:rFonts w:ascii="Arial" w:hAnsi="Arial" w:cs="Arial"/>
        </w:rPr>
        <w:t xml:space="preserve">, the ROT10 group did not have a significantly higher rate of affected animals than the DMSO group, and the pigmentation defect was not observed at 48 </w:t>
      </w:r>
      <w:proofErr w:type="spellStart"/>
      <w:r w:rsidRPr="00DD5E24">
        <w:rPr>
          <w:rFonts w:ascii="Arial" w:hAnsi="Arial" w:cs="Arial"/>
        </w:rPr>
        <w:t>hpf</w:t>
      </w:r>
      <w:proofErr w:type="spellEnd"/>
      <w:r w:rsidRPr="00DD5E24">
        <w:rPr>
          <w:rFonts w:ascii="Arial" w:hAnsi="Arial" w:cs="Arial"/>
        </w:rPr>
        <w:t xml:space="preserve"> and subsequent observation periods, indicating that pigmentation was delay, not blocked. However, our results are different from those observed by Melo et al. (2015), particularly the appearance of pericardial edema after 72 </w:t>
      </w:r>
      <w:proofErr w:type="spellStart"/>
      <w:r w:rsidRPr="00DD5E24">
        <w:rPr>
          <w:rFonts w:ascii="Arial" w:hAnsi="Arial" w:cs="Arial"/>
        </w:rPr>
        <w:t>hpf</w:t>
      </w:r>
      <w:proofErr w:type="spellEnd"/>
      <w:r w:rsidRPr="00DD5E24">
        <w:rPr>
          <w:rFonts w:ascii="Arial" w:hAnsi="Arial" w:cs="Arial"/>
        </w:rPr>
        <w:t xml:space="preserve"> in the three groups exposed to the highest concentration of rotenone. In 24 and 48 </w:t>
      </w:r>
      <w:proofErr w:type="spellStart"/>
      <w:r w:rsidRPr="00DD5E24">
        <w:rPr>
          <w:rFonts w:ascii="Arial" w:hAnsi="Arial" w:cs="Arial"/>
        </w:rPr>
        <w:t>hpf</w:t>
      </w:r>
      <w:proofErr w:type="spellEnd"/>
      <w:r w:rsidRPr="00DD5E24">
        <w:rPr>
          <w:rFonts w:ascii="Arial" w:hAnsi="Arial" w:cs="Arial"/>
        </w:rPr>
        <w:t xml:space="preserve">, the increasing mortality </w:t>
      </w:r>
      <w:r w:rsidRPr="00DD5E24">
        <w:rPr>
          <w:rFonts w:ascii="Arial" w:hAnsi="Arial" w:cs="Arial"/>
        </w:rPr>
        <w:lastRenderedPageBreak/>
        <w:t xml:space="preserve">produced higher proportions of affected the embryos with increasing rotenone concentrations. Yolk sac edema was first observed at 72 and 96 </w:t>
      </w:r>
      <w:proofErr w:type="spellStart"/>
      <w:r w:rsidRPr="00DD5E24">
        <w:rPr>
          <w:rFonts w:ascii="Arial" w:hAnsi="Arial" w:cs="Arial"/>
        </w:rPr>
        <w:t>hpf</w:t>
      </w:r>
      <w:proofErr w:type="spellEnd"/>
      <w:r w:rsidRPr="00DD5E24">
        <w:rPr>
          <w:rFonts w:ascii="Arial" w:hAnsi="Arial" w:cs="Arial"/>
        </w:rPr>
        <w:t xml:space="preserve">, and the developmental delay and pericardial edema effects persisted at these stages. Kalyn et al. (2020) exposed zebrafish to 50 </w:t>
      </w:r>
      <w:proofErr w:type="spellStart"/>
      <w:r w:rsidRPr="00DD5E24">
        <w:rPr>
          <w:rFonts w:ascii="Arial" w:hAnsi="Arial" w:cs="Arial"/>
        </w:rPr>
        <w:t>nM</w:t>
      </w:r>
      <w:proofErr w:type="spellEnd"/>
      <w:r w:rsidRPr="00DD5E24">
        <w:rPr>
          <w:rFonts w:ascii="Arial" w:hAnsi="Arial" w:cs="Arial"/>
        </w:rPr>
        <w:t xml:space="preserve"> rotenone starting at 72 </w:t>
      </w:r>
      <w:proofErr w:type="spellStart"/>
      <w:r w:rsidR="00926FFF" w:rsidRPr="00DD5E24">
        <w:rPr>
          <w:rFonts w:ascii="Arial" w:hAnsi="Arial" w:cs="Arial"/>
        </w:rPr>
        <w:t>hpf</w:t>
      </w:r>
      <w:proofErr w:type="spellEnd"/>
      <w:r w:rsidR="00926FFF" w:rsidRPr="00DD5E24">
        <w:rPr>
          <w:rFonts w:ascii="Arial" w:hAnsi="Arial" w:cs="Arial"/>
        </w:rPr>
        <w:t xml:space="preserve"> and</w:t>
      </w:r>
      <w:r w:rsidRPr="00DD5E24">
        <w:rPr>
          <w:rFonts w:ascii="Arial" w:hAnsi="Arial" w:cs="Arial"/>
        </w:rPr>
        <w:t xml:space="preserve"> observed cardiac edema. The developmental mechanism of rotenone's effects </w:t>
      </w:r>
      <w:r w:rsidR="00926FFF" w:rsidRPr="00DD5E24">
        <w:rPr>
          <w:rFonts w:ascii="Arial" w:hAnsi="Arial" w:cs="Arial"/>
        </w:rPr>
        <w:t>remains</w:t>
      </w:r>
      <w:r w:rsidRPr="00DD5E24">
        <w:rPr>
          <w:rFonts w:ascii="Arial" w:hAnsi="Arial" w:cs="Arial"/>
        </w:rPr>
        <w:t xml:space="preserve"> unknown.</w:t>
      </w:r>
    </w:p>
    <w:p w14:paraId="32CE7307" w14:textId="77777777" w:rsidR="00514D98" w:rsidRPr="00DD5E24" w:rsidRDefault="00514D98" w:rsidP="00783962">
      <w:pPr>
        <w:pStyle w:val="Body"/>
        <w:spacing w:after="0"/>
        <w:contextualSpacing/>
        <w:rPr>
          <w:rFonts w:ascii="Arial" w:hAnsi="Arial" w:cs="Arial"/>
        </w:rPr>
      </w:pPr>
    </w:p>
    <w:p w14:paraId="66FB7FB5" w14:textId="7FE6F9E7" w:rsidR="0025181D" w:rsidRPr="00DD5E24" w:rsidRDefault="00926FFF" w:rsidP="00926FFF">
      <w:pPr>
        <w:pStyle w:val="Body"/>
        <w:spacing w:after="0"/>
        <w:contextualSpacing/>
        <w:jc w:val="center"/>
        <w:rPr>
          <w:rFonts w:ascii="Arial" w:hAnsi="Arial" w:cs="Arial"/>
        </w:rPr>
      </w:pPr>
      <w:r w:rsidRPr="00DD5E24">
        <w:rPr>
          <w:rFonts w:ascii="Arial" w:hAnsi="Arial" w:cs="Arial"/>
          <w:noProof/>
        </w:rPr>
        <w:drawing>
          <wp:inline distT="0" distB="0" distL="0" distR="0" wp14:anchorId="0B78C3D7" wp14:editId="33E6482E">
            <wp:extent cx="4298160" cy="5435600"/>
            <wp:effectExtent l="0" t="0" r="7620" b="0"/>
            <wp:docPr id="1585226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0756" cy="5476822"/>
                    </a:xfrm>
                    <a:prstGeom prst="rect">
                      <a:avLst/>
                    </a:prstGeom>
                    <a:noFill/>
                    <a:ln>
                      <a:noFill/>
                    </a:ln>
                  </pic:spPr>
                </pic:pic>
              </a:graphicData>
            </a:graphic>
          </wp:inline>
        </w:drawing>
      </w:r>
    </w:p>
    <w:p w14:paraId="1179F6C3" w14:textId="20E3FDE2" w:rsidR="0025181D" w:rsidRPr="00DD5E24" w:rsidRDefault="0025181D" w:rsidP="00783962">
      <w:pPr>
        <w:pStyle w:val="Body"/>
        <w:spacing w:after="0"/>
        <w:contextualSpacing/>
        <w:rPr>
          <w:rFonts w:ascii="Arial" w:hAnsi="Arial" w:cs="Arial"/>
        </w:rPr>
      </w:pPr>
      <w:r w:rsidRPr="00DD5E24">
        <w:rPr>
          <w:rFonts w:ascii="Arial" w:hAnsi="Arial" w:cs="Arial"/>
          <w:b/>
          <w:bCs/>
        </w:rPr>
        <w:t xml:space="preserve">Fig. 6. Percent of affected animals between 24 to 96 </w:t>
      </w:r>
      <w:proofErr w:type="spellStart"/>
      <w:r w:rsidRPr="00DD5E24">
        <w:rPr>
          <w:rFonts w:ascii="Arial" w:hAnsi="Arial" w:cs="Arial"/>
          <w:b/>
          <w:bCs/>
        </w:rPr>
        <w:t>hpf</w:t>
      </w:r>
      <w:proofErr w:type="spellEnd"/>
      <w:r w:rsidRPr="00DD5E24">
        <w:rPr>
          <w:rFonts w:ascii="Arial" w:hAnsi="Arial" w:cs="Arial"/>
          <w:b/>
          <w:bCs/>
        </w:rPr>
        <w:t xml:space="preserve"> after rotenone embryonic exposure. Significant increases in the percentage of affected animals were considered when * = </w:t>
      </w:r>
      <w:r w:rsidRPr="00DD5E24">
        <w:rPr>
          <w:rFonts w:ascii="Arial" w:hAnsi="Arial" w:cs="Arial"/>
          <w:b/>
          <w:bCs/>
          <w:i/>
          <w:iCs/>
        </w:rPr>
        <w:t>P</w:t>
      </w:r>
      <w:r w:rsidRPr="00DD5E24">
        <w:rPr>
          <w:rFonts w:ascii="Arial" w:hAnsi="Arial" w:cs="Arial"/>
          <w:b/>
          <w:bCs/>
        </w:rPr>
        <w:t xml:space="preserve"> &lt; .05. </w:t>
      </w:r>
      <w:r w:rsidRPr="00DD5E24">
        <w:rPr>
          <w:rFonts w:ascii="Arial" w:hAnsi="Arial" w:cs="Arial"/>
        </w:rPr>
        <w:t xml:space="preserve">For 24 </w:t>
      </w:r>
      <w:proofErr w:type="spellStart"/>
      <w:r w:rsidRPr="00DD5E24">
        <w:rPr>
          <w:rFonts w:ascii="Arial" w:hAnsi="Arial" w:cs="Arial"/>
        </w:rPr>
        <w:t>hpf</w:t>
      </w:r>
      <w:proofErr w:type="spellEnd"/>
      <w:r w:rsidRPr="00DD5E24">
        <w:rPr>
          <w:rFonts w:ascii="Arial" w:hAnsi="Arial" w:cs="Arial"/>
        </w:rPr>
        <w:t xml:space="preserve"> experimental group was compared with the DMSO group by one-way ANOVA (</w:t>
      </w:r>
      <w:proofErr w:type="gramStart"/>
      <w:r w:rsidRPr="00DD5E24">
        <w:rPr>
          <w:rFonts w:ascii="Arial" w:hAnsi="Arial" w:cs="Arial"/>
        </w:rPr>
        <w:t>F(</w:t>
      </w:r>
      <w:proofErr w:type="gramEnd"/>
      <w:r w:rsidRPr="00DD5E24">
        <w:rPr>
          <w:rFonts w:ascii="Arial" w:hAnsi="Arial" w:cs="Arial"/>
        </w:rPr>
        <w:t xml:space="preserve">4,29) = 7.867 </w:t>
      </w:r>
      <w:r w:rsidRPr="00DD5E24">
        <w:rPr>
          <w:rFonts w:ascii="Arial" w:hAnsi="Arial" w:cs="Arial"/>
          <w:i/>
          <w:iCs/>
        </w:rPr>
        <w:t>P</w:t>
      </w:r>
      <w:r w:rsidRPr="00DD5E24">
        <w:rPr>
          <w:rFonts w:ascii="Arial" w:hAnsi="Arial" w:cs="Arial"/>
        </w:rPr>
        <w:t xml:space="preserve"> &lt; .05) followed by Tukey's test (against DMSO group ROT5 </w:t>
      </w:r>
      <w:r w:rsidRPr="00DD5E24">
        <w:rPr>
          <w:rFonts w:ascii="Arial" w:hAnsi="Arial" w:cs="Arial"/>
          <w:i/>
          <w:iCs/>
        </w:rPr>
        <w:t>P</w:t>
      </w:r>
      <w:r w:rsidRPr="00DD5E24">
        <w:rPr>
          <w:rFonts w:ascii="Arial" w:hAnsi="Arial" w:cs="Arial"/>
        </w:rPr>
        <w:t xml:space="preserve"> = .1, ROT10 </w:t>
      </w:r>
      <w:r w:rsidRPr="00DD5E24">
        <w:rPr>
          <w:rFonts w:ascii="Arial" w:hAnsi="Arial" w:cs="Arial"/>
          <w:i/>
          <w:iCs/>
        </w:rPr>
        <w:t>P</w:t>
      </w:r>
      <w:r w:rsidRPr="00DD5E24">
        <w:rPr>
          <w:rFonts w:ascii="Arial" w:hAnsi="Arial" w:cs="Arial"/>
        </w:rPr>
        <w:t xml:space="preserve"> = .026, ROT15 </w:t>
      </w:r>
      <w:r w:rsidRPr="00DD5E24">
        <w:rPr>
          <w:rFonts w:ascii="Arial" w:hAnsi="Arial" w:cs="Arial"/>
          <w:i/>
          <w:iCs/>
        </w:rPr>
        <w:t>P</w:t>
      </w:r>
      <w:r w:rsidRPr="00DD5E24">
        <w:rPr>
          <w:rFonts w:ascii="Arial" w:hAnsi="Arial" w:cs="Arial"/>
        </w:rPr>
        <w:t xml:space="preserve"> = .002, ROT20 </w:t>
      </w:r>
      <w:r w:rsidRPr="00DD5E24">
        <w:rPr>
          <w:rFonts w:ascii="Arial" w:hAnsi="Arial" w:cs="Arial"/>
          <w:i/>
          <w:iCs/>
        </w:rPr>
        <w:t>P</w:t>
      </w:r>
      <w:r w:rsidRPr="00DD5E24">
        <w:rPr>
          <w:rFonts w:ascii="Arial" w:hAnsi="Arial" w:cs="Arial"/>
        </w:rPr>
        <w:t xml:space="preserve"> = .012). For 48 </w:t>
      </w:r>
      <w:proofErr w:type="spellStart"/>
      <w:r w:rsidRPr="00DD5E24">
        <w:rPr>
          <w:rFonts w:ascii="Arial" w:hAnsi="Arial" w:cs="Arial"/>
        </w:rPr>
        <w:t>hpf</w:t>
      </w:r>
      <w:proofErr w:type="spellEnd"/>
      <w:r w:rsidRPr="00DD5E24">
        <w:rPr>
          <w:rFonts w:ascii="Arial" w:hAnsi="Arial" w:cs="Arial"/>
        </w:rPr>
        <w:t xml:space="preserve"> one-way ANOVA (</w:t>
      </w:r>
      <w:proofErr w:type="gramStart"/>
      <w:r w:rsidRPr="00DD5E24">
        <w:rPr>
          <w:rFonts w:ascii="Arial" w:hAnsi="Arial" w:cs="Arial"/>
        </w:rPr>
        <w:t>F(</w:t>
      </w:r>
      <w:proofErr w:type="gramEnd"/>
      <w:r w:rsidRPr="00DD5E24">
        <w:rPr>
          <w:rFonts w:ascii="Arial" w:hAnsi="Arial" w:cs="Arial"/>
        </w:rPr>
        <w:t xml:space="preserve">4,29) = 5.378 </w:t>
      </w:r>
      <w:r w:rsidRPr="00DD5E24">
        <w:rPr>
          <w:rFonts w:ascii="Arial" w:hAnsi="Arial" w:cs="Arial"/>
          <w:i/>
          <w:iCs/>
        </w:rPr>
        <w:t>P</w:t>
      </w:r>
      <w:r w:rsidRPr="00DD5E24">
        <w:rPr>
          <w:rFonts w:ascii="Arial" w:hAnsi="Arial" w:cs="Arial"/>
        </w:rPr>
        <w:t xml:space="preserve"> &lt; .05) followed by Tukey's test (against DMSO group ROT5 </w:t>
      </w:r>
      <w:r w:rsidRPr="00DD5E24">
        <w:rPr>
          <w:rFonts w:ascii="Arial" w:hAnsi="Arial" w:cs="Arial"/>
          <w:i/>
          <w:iCs/>
        </w:rPr>
        <w:t>P</w:t>
      </w:r>
      <w:r w:rsidRPr="00DD5E24">
        <w:rPr>
          <w:rFonts w:ascii="Arial" w:hAnsi="Arial" w:cs="Arial"/>
        </w:rPr>
        <w:t xml:space="preserve"> = .905, ROT10 </w:t>
      </w:r>
      <w:r w:rsidRPr="00DD5E24">
        <w:rPr>
          <w:rFonts w:ascii="Arial" w:hAnsi="Arial" w:cs="Arial"/>
          <w:i/>
          <w:iCs/>
        </w:rPr>
        <w:t>P</w:t>
      </w:r>
      <w:r w:rsidRPr="00DD5E24">
        <w:rPr>
          <w:rFonts w:ascii="Arial" w:hAnsi="Arial" w:cs="Arial"/>
        </w:rPr>
        <w:t xml:space="preserve"> = .47, ROT15 </w:t>
      </w:r>
      <w:r w:rsidRPr="00DD5E24">
        <w:rPr>
          <w:rFonts w:ascii="Arial" w:hAnsi="Arial" w:cs="Arial"/>
          <w:i/>
          <w:iCs/>
        </w:rPr>
        <w:t>P</w:t>
      </w:r>
      <w:r w:rsidRPr="00DD5E24">
        <w:rPr>
          <w:rFonts w:ascii="Arial" w:hAnsi="Arial" w:cs="Arial"/>
        </w:rPr>
        <w:t xml:space="preserve"> = .004, ROT20 </w:t>
      </w:r>
      <w:r w:rsidRPr="00DD5E24">
        <w:rPr>
          <w:rFonts w:ascii="Arial" w:hAnsi="Arial" w:cs="Arial"/>
          <w:i/>
          <w:iCs/>
        </w:rPr>
        <w:t>P</w:t>
      </w:r>
      <w:r w:rsidRPr="00DD5E24">
        <w:rPr>
          <w:rFonts w:ascii="Arial" w:hAnsi="Arial" w:cs="Arial"/>
        </w:rPr>
        <w:t xml:space="preserve"> = .023). For 72 </w:t>
      </w:r>
      <w:proofErr w:type="spellStart"/>
      <w:r w:rsidRPr="00DD5E24">
        <w:rPr>
          <w:rFonts w:ascii="Arial" w:hAnsi="Arial" w:cs="Arial"/>
        </w:rPr>
        <w:t>hpf</w:t>
      </w:r>
      <w:proofErr w:type="spellEnd"/>
      <w:r w:rsidRPr="00DD5E24">
        <w:rPr>
          <w:rFonts w:ascii="Arial" w:hAnsi="Arial" w:cs="Arial"/>
        </w:rPr>
        <w:t xml:space="preserve"> one-way ANOVA (</w:t>
      </w:r>
      <w:proofErr w:type="gramStart"/>
      <w:r w:rsidRPr="00DD5E24">
        <w:rPr>
          <w:rFonts w:ascii="Arial" w:hAnsi="Arial" w:cs="Arial"/>
        </w:rPr>
        <w:t>F(</w:t>
      </w:r>
      <w:proofErr w:type="gramEnd"/>
      <w:r w:rsidRPr="00DD5E24">
        <w:rPr>
          <w:rFonts w:ascii="Arial" w:hAnsi="Arial" w:cs="Arial"/>
        </w:rPr>
        <w:t xml:space="preserve">4,29) = 84.226 </w:t>
      </w:r>
      <w:r w:rsidRPr="00DD5E24">
        <w:rPr>
          <w:rFonts w:ascii="Arial" w:hAnsi="Arial" w:cs="Arial"/>
          <w:i/>
          <w:iCs/>
        </w:rPr>
        <w:t>P</w:t>
      </w:r>
      <w:r w:rsidRPr="00DD5E24">
        <w:rPr>
          <w:rFonts w:ascii="Arial" w:hAnsi="Arial" w:cs="Arial"/>
        </w:rPr>
        <w:t xml:space="preserve"> &lt; .05) followed by Tukey's test (against DMSO group ROT5 </w:t>
      </w:r>
      <w:r w:rsidRPr="00DD5E24">
        <w:rPr>
          <w:rFonts w:ascii="Arial" w:hAnsi="Arial" w:cs="Arial"/>
          <w:i/>
          <w:iCs/>
        </w:rPr>
        <w:t>P</w:t>
      </w:r>
      <w:r w:rsidRPr="00DD5E24">
        <w:rPr>
          <w:rFonts w:ascii="Arial" w:hAnsi="Arial" w:cs="Arial"/>
        </w:rPr>
        <w:t xml:space="preserve"> = .68, ROT10 </w:t>
      </w:r>
      <w:r w:rsidRPr="00DD5E24">
        <w:rPr>
          <w:rFonts w:ascii="Arial" w:hAnsi="Arial" w:cs="Arial"/>
          <w:i/>
          <w:iCs/>
        </w:rPr>
        <w:t>P</w:t>
      </w:r>
      <w:r w:rsidRPr="00DD5E24">
        <w:rPr>
          <w:rFonts w:ascii="Arial" w:hAnsi="Arial" w:cs="Arial"/>
        </w:rPr>
        <w:t xml:space="preserve"> &lt; .001, ROT15 </w:t>
      </w:r>
      <w:r w:rsidRPr="00DD5E24">
        <w:rPr>
          <w:rFonts w:ascii="Arial" w:hAnsi="Arial" w:cs="Arial"/>
          <w:i/>
          <w:iCs/>
        </w:rPr>
        <w:t>P</w:t>
      </w:r>
      <w:r w:rsidRPr="00DD5E24">
        <w:rPr>
          <w:rFonts w:ascii="Arial" w:hAnsi="Arial" w:cs="Arial"/>
        </w:rPr>
        <w:t xml:space="preserve"> &lt; .001, ROT20 </w:t>
      </w:r>
      <w:r w:rsidR="006B5EAB" w:rsidRPr="00DD5E24">
        <w:rPr>
          <w:rFonts w:ascii="Arial" w:hAnsi="Arial" w:cs="Arial"/>
          <w:i/>
          <w:iCs/>
        </w:rPr>
        <w:t>P</w:t>
      </w:r>
      <w:r w:rsidRPr="00DD5E24">
        <w:rPr>
          <w:rFonts w:ascii="Arial" w:hAnsi="Arial" w:cs="Arial"/>
        </w:rPr>
        <w:t xml:space="preserve"> &lt; .001). For 96 </w:t>
      </w:r>
      <w:proofErr w:type="spellStart"/>
      <w:r w:rsidRPr="00DD5E24">
        <w:rPr>
          <w:rFonts w:ascii="Arial" w:hAnsi="Arial" w:cs="Arial"/>
        </w:rPr>
        <w:t>hpf</w:t>
      </w:r>
      <w:proofErr w:type="spellEnd"/>
      <w:r w:rsidRPr="00DD5E24">
        <w:rPr>
          <w:rFonts w:ascii="Arial" w:hAnsi="Arial" w:cs="Arial"/>
        </w:rPr>
        <w:t xml:space="preserve"> one-way ANOVA (</w:t>
      </w:r>
      <w:proofErr w:type="gramStart"/>
      <w:r w:rsidRPr="00DD5E24">
        <w:rPr>
          <w:rFonts w:ascii="Arial" w:hAnsi="Arial" w:cs="Arial"/>
        </w:rPr>
        <w:t>F(</w:t>
      </w:r>
      <w:proofErr w:type="gramEnd"/>
      <w:r w:rsidRPr="00DD5E24">
        <w:rPr>
          <w:rFonts w:ascii="Arial" w:hAnsi="Arial" w:cs="Arial"/>
        </w:rPr>
        <w:t xml:space="preserve">4,29) = 32.095 </w:t>
      </w:r>
      <w:r w:rsidR="00EF2153" w:rsidRPr="00DD5E24">
        <w:rPr>
          <w:rFonts w:ascii="Arial" w:hAnsi="Arial" w:cs="Arial"/>
          <w:i/>
          <w:iCs/>
        </w:rPr>
        <w:t>P</w:t>
      </w:r>
      <w:r w:rsidRPr="00DD5E24">
        <w:rPr>
          <w:rFonts w:ascii="Arial" w:hAnsi="Arial" w:cs="Arial"/>
        </w:rPr>
        <w:t xml:space="preserve"> &lt; .05) followed by Tukey's test (against DMSO group ROT5 </w:t>
      </w:r>
      <w:r w:rsidRPr="00DD5E24">
        <w:rPr>
          <w:rFonts w:ascii="Arial" w:hAnsi="Arial" w:cs="Arial"/>
          <w:i/>
          <w:iCs/>
        </w:rPr>
        <w:t>P</w:t>
      </w:r>
      <w:r w:rsidRPr="00DD5E24">
        <w:rPr>
          <w:rFonts w:ascii="Arial" w:hAnsi="Arial" w:cs="Arial"/>
        </w:rPr>
        <w:t xml:space="preserve"> = .99, ROT10 </w:t>
      </w:r>
      <w:r w:rsidRPr="00DD5E24">
        <w:rPr>
          <w:rFonts w:ascii="Arial" w:hAnsi="Arial" w:cs="Arial"/>
          <w:i/>
          <w:iCs/>
        </w:rPr>
        <w:t>P</w:t>
      </w:r>
      <w:r w:rsidRPr="00DD5E24">
        <w:rPr>
          <w:rFonts w:ascii="Arial" w:hAnsi="Arial" w:cs="Arial"/>
        </w:rPr>
        <w:t xml:space="preserve"> = .007, ROT15 </w:t>
      </w:r>
      <w:r w:rsidRPr="00DD5E24">
        <w:rPr>
          <w:rFonts w:ascii="Arial" w:hAnsi="Arial" w:cs="Arial"/>
          <w:i/>
          <w:iCs/>
        </w:rPr>
        <w:lastRenderedPageBreak/>
        <w:t>P</w:t>
      </w:r>
      <w:r w:rsidRPr="00DD5E24">
        <w:rPr>
          <w:rFonts w:ascii="Arial" w:hAnsi="Arial" w:cs="Arial"/>
        </w:rPr>
        <w:t xml:space="preserve"> &lt; .001, ROT20 </w:t>
      </w:r>
      <w:r w:rsidRPr="00DD5E24">
        <w:rPr>
          <w:rFonts w:ascii="Arial" w:hAnsi="Arial" w:cs="Arial"/>
          <w:i/>
          <w:iCs/>
        </w:rPr>
        <w:t>P</w:t>
      </w:r>
      <w:r w:rsidRPr="00DD5E24">
        <w:rPr>
          <w:rFonts w:ascii="Arial" w:hAnsi="Arial" w:cs="Arial"/>
        </w:rPr>
        <w:t xml:space="preserve"> &lt; .001). Legend: DMSO – 0.1% (v/v) Dimethyl sulfoxide; ROT5, ROT10, ROT15, and ROT20 – 5, 10, 15 and 20 µg/L of rotenone, respectively.</w:t>
      </w:r>
    </w:p>
    <w:p w14:paraId="31CA444C" w14:textId="77777777" w:rsidR="0025181D" w:rsidRPr="00DD5E24" w:rsidRDefault="0025181D" w:rsidP="00783962">
      <w:pPr>
        <w:pStyle w:val="Body"/>
        <w:spacing w:after="0"/>
        <w:contextualSpacing/>
        <w:rPr>
          <w:rFonts w:ascii="Arial" w:hAnsi="Arial" w:cs="Arial"/>
        </w:rPr>
      </w:pPr>
    </w:p>
    <w:p w14:paraId="21F251D9" w14:textId="647FA99C" w:rsidR="0025181D" w:rsidRPr="00DD5E24" w:rsidRDefault="0025181D" w:rsidP="00783962">
      <w:pPr>
        <w:pStyle w:val="Body"/>
        <w:spacing w:after="0"/>
        <w:contextualSpacing/>
        <w:rPr>
          <w:rFonts w:ascii="Arial" w:hAnsi="Arial" w:cs="Arial"/>
        </w:rPr>
      </w:pPr>
      <w:r w:rsidRPr="00DD5E24">
        <w:rPr>
          <w:rFonts w:ascii="Arial" w:hAnsi="Arial" w:cs="Arial"/>
        </w:rPr>
        <w:t>Fish in embryonic and larval stages are known to be sensitive to xenobiotics (</w:t>
      </w:r>
      <w:proofErr w:type="spellStart"/>
      <w:r w:rsidRPr="00DD5E24">
        <w:rPr>
          <w:rFonts w:ascii="Arial" w:hAnsi="Arial" w:cs="Arial"/>
        </w:rPr>
        <w:t>Çalışkan</w:t>
      </w:r>
      <w:proofErr w:type="spellEnd"/>
      <w:r w:rsidRPr="00DD5E24">
        <w:rPr>
          <w:rFonts w:ascii="Arial" w:hAnsi="Arial" w:cs="Arial"/>
        </w:rPr>
        <w:t xml:space="preserve"> and </w:t>
      </w:r>
      <w:proofErr w:type="spellStart"/>
      <w:r w:rsidRPr="00DD5E24">
        <w:rPr>
          <w:rFonts w:ascii="Arial" w:hAnsi="Arial" w:cs="Arial"/>
        </w:rPr>
        <w:t>Emekli-Alturfan</w:t>
      </w:r>
      <w:proofErr w:type="spellEnd"/>
      <w:r w:rsidRPr="00DD5E24">
        <w:rPr>
          <w:rFonts w:ascii="Arial" w:hAnsi="Arial" w:cs="Arial"/>
        </w:rPr>
        <w:t xml:space="preserve">, 2021), as observed in our epiboly and affected animal analysis. However, the 5 µg/L concentration of rotenone was not able to cause other adverse effects, besides morphometry, in the zebrafish embryos tested. </w:t>
      </w:r>
      <w:proofErr w:type="spellStart"/>
      <w:r w:rsidRPr="00DD5E24">
        <w:rPr>
          <w:rFonts w:ascii="Arial" w:hAnsi="Arial" w:cs="Arial"/>
        </w:rPr>
        <w:t>Bretaud</w:t>
      </w:r>
      <w:proofErr w:type="spellEnd"/>
      <w:r w:rsidRPr="00DD5E24">
        <w:rPr>
          <w:rFonts w:ascii="Arial" w:hAnsi="Arial" w:cs="Arial"/>
        </w:rPr>
        <w:t xml:space="preserve"> et al. (2004) exposed zebrafish 24 </w:t>
      </w:r>
      <w:proofErr w:type="spellStart"/>
      <w:r w:rsidRPr="00DD5E24">
        <w:rPr>
          <w:rFonts w:ascii="Arial" w:hAnsi="Arial" w:cs="Arial"/>
        </w:rPr>
        <w:t>hpf</w:t>
      </w:r>
      <w:proofErr w:type="spellEnd"/>
      <w:r w:rsidRPr="00DD5E24">
        <w:rPr>
          <w:rFonts w:ascii="Arial" w:hAnsi="Arial" w:cs="Arial"/>
        </w:rPr>
        <w:t xml:space="preserve"> embryos to 5 and 10 µg/L rotenone, and no teratogenic effects were observed at either concentration. In contrast to our results, 10 µg/L rotenone exposure induced teratogenic effects, but 5 µg/L exposure had no observed effects.</w:t>
      </w:r>
    </w:p>
    <w:p w14:paraId="58306A71" w14:textId="77777777" w:rsidR="0025181D" w:rsidRPr="00DD5E24" w:rsidRDefault="0025181D" w:rsidP="00783962">
      <w:pPr>
        <w:pStyle w:val="Body"/>
        <w:spacing w:after="0"/>
        <w:contextualSpacing/>
        <w:rPr>
          <w:rFonts w:ascii="Arial" w:hAnsi="Arial" w:cs="Arial"/>
        </w:rPr>
      </w:pPr>
    </w:p>
    <w:p w14:paraId="2641F9AF" w14:textId="6355364B" w:rsidR="0025181D" w:rsidRPr="00DD5E24" w:rsidRDefault="0025181D" w:rsidP="00783962">
      <w:pPr>
        <w:pStyle w:val="Body"/>
        <w:spacing w:after="0"/>
        <w:contextualSpacing/>
        <w:rPr>
          <w:rFonts w:ascii="Arial" w:hAnsi="Arial" w:cs="Arial"/>
        </w:rPr>
      </w:pPr>
      <w:r w:rsidRPr="00DD5E24">
        <w:rPr>
          <w:rFonts w:ascii="Arial" w:hAnsi="Arial" w:cs="Arial"/>
        </w:rPr>
        <w:t>Adult zebrafish exposed to 2 to 5 µg/L rotenone for 28 days were able to induce locomotor changes and showed non-motor PD-like symptoms (</w:t>
      </w:r>
      <w:proofErr w:type="spellStart"/>
      <w:r w:rsidRPr="00DD5E24">
        <w:rPr>
          <w:rFonts w:ascii="Arial" w:hAnsi="Arial" w:cs="Arial"/>
        </w:rPr>
        <w:t>Khotimah</w:t>
      </w:r>
      <w:proofErr w:type="spellEnd"/>
      <w:r w:rsidRPr="00DD5E24">
        <w:rPr>
          <w:rFonts w:ascii="Arial" w:hAnsi="Arial" w:cs="Arial"/>
        </w:rPr>
        <w:t xml:space="preserve"> et al., 2015; Wang et al., 2017). The sensitivity of adult zebrafish to rotenone may be due to the long exposure duration and greater absorption by the gills, intestine, and skin. Due to its lipophilic structure, rotenone easily crosses the blood-brain barrier, enters the central nervous system and accumulates in mitochondria (Ünal et al., 2020). The rotenone doses causing effects are quite narrow, something that was also observed in our study (Melo et al. 2015). Therefore, we measured EC50 in order to find an ideal concentration to induce PD-like symptoms in zebrafish embryos without causing high mortality rates but causing several observable and measurable effects on development, behavior, and locomotor activity. In our study, an EC50 of 11.24 µg/L was observed for zebrafish embryos exposed to rotenone, like the EC50 of 12.2 µg/L measured by Melo et al. (2015).</w:t>
      </w:r>
    </w:p>
    <w:p w14:paraId="7FFEF4F8" w14:textId="77777777" w:rsidR="0025181D" w:rsidRPr="00DD5E24" w:rsidRDefault="0025181D" w:rsidP="00783962">
      <w:pPr>
        <w:pStyle w:val="Body"/>
        <w:spacing w:after="0"/>
        <w:contextualSpacing/>
        <w:rPr>
          <w:rFonts w:ascii="Arial" w:hAnsi="Arial" w:cs="Arial"/>
        </w:rPr>
      </w:pPr>
    </w:p>
    <w:p w14:paraId="2DD52936" w14:textId="16F58938" w:rsidR="00DE4376" w:rsidRPr="00DD5E24" w:rsidRDefault="00DE4376" w:rsidP="00783962">
      <w:pPr>
        <w:pStyle w:val="Body"/>
        <w:spacing w:after="0"/>
        <w:contextualSpacing/>
        <w:rPr>
          <w:rFonts w:ascii="Arial" w:hAnsi="Arial" w:cs="Arial"/>
          <w:b/>
          <w:sz w:val="22"/>
        </w:rPr>
      </w:pPr>
      <w:r w:rsidRPr="00DD5E24">
        <w:rPr>
          <w:rFonts w:ascii="Arial" w:hAnsi="Arial" w:cs="Arial"/>
          <w:b/>
          <w:caps/>
          <w:sz w:val="22"/>
        </w:rPr>
        <w:t xml:space="preserve">3.3 </w:t>
      </w:r>
      <w:r w:rsidRPr="00DD5E24">
        <w:rPr>
          <w:rFonts w:ascii="Arial" w:hAnsi="Arial" w:cs="Arial"/>
          <w:b/>
          <w:sz w:val="22"/>
        </w:rPr>
        <w:t xml:space="preserve">Morphometric </w:t>
      </w:r>
      <w:r w:rsidR="00FA66C7" w:rsidRPr="00DD5E24">
        <w:rPr>
          <w:rFonts w:ascii="Arial" w:hAnsi="Arial" w:cs="Arial"/>
          <w:b/>
          <w:sz w:val="22"/>
        </w:rPr>
        <w:t>A</w:t>
      </w:r>
      <w:r w:rsidRPr="00DD5E24">
        <w:rPr>
          <w:rFonts w:ascii="Arial" w:hAnsi="Arial" w:cs="Arial"/>
          <w:b/>
          <w:sz w:val="22"/>
        </w:rPr>
        <w:t>nalysis</w:t>
      </w:r>
    </w:p>
    <w:p w14:paraId="2432E772" w14:textId="77777777" w:rsidR="00DE4376" w:rsidRPr="00DD5E24" w:rsidRDefault="00DE4376" w:rsidP="00783962">
      <w:pPr>
        <w:pStyle w:val="Body"/>
        <w:spacing w:after="0"/>
        <w:contextualSpacing/>
        <w:rPr>
          <w:rFonts w:ascii="Arial" w:hAnsi="Arial" w:cs="Arial"/>
          <w:b/>
          <w:sz w:val="22"/>
        </w:rPr>
      </w:pPr>
    </w:p>
    <w:p w14:paraId="67D6770A" w14:textId="6E38D19D" w:rsidR="00DE4376" w:rsidRPr="00DD5E24" w:rsidRDefault="00DE4376" w:rsidP="00783962">
      <w:pPr>
        <w:pStyle w:val="Body"/>
        <w:spacing w:after="0"/>
        <w:contextualSpacing/>
        <w:rPr>
          <w:rFonts w:ascii="Arial" w:hAnsi="Arial" w:cs="Arial"/>
        </w:rPr>
      </w:pPr>
      <w:r w:rsidRPr="00DD5E24">
        <w:rPr>
          <w:rFonts w:ascii="Arial" w:hAnsi="Arial" w:cs="Arial"/>
        </w:rPr>
        <w:t xml:space="preserve">Morphometric changes in the head length, head width, and body length were observed in zebrafish larvae at 144 </w:t>
      </w:r>
      <w:proofErr w:type="spellStart"/>
      <w:r w:rsidRPr="00DD5E24">
        <w:rPr>
          <w:rFonts w:ascii="Arial" w:hAnsi="Arial" w:cs="Arial"/>
        </w:rPr>
        <w:t>hpf</w:t>
      </w:r>
      <w:proofErr w:type="spellEnd"/>
      <w:r w:rsidRPr="00DD5E24">
        <w:rPr>
          <w:rFonts w:ascii="Arial" w:hAnsi="Arial" w:cs="Arial"/>
        </w:rPr>
        <w:t xml:space="preserve"> (Tukey test p &gt; 0.05) in all groups exposed to rotenone (Table 1). The measurement of the eye diameter did not show significant differences (</w:t>
      </w:r>
      <w:r w:rsidRPr="00DD5E24">
        <w:rPr>
          <w:rFonts w:ascii="Arial" w:hAnsi="Arial" w:cs="Arial"/>
          <w:i/>
          <w:iCs/>
        </w:rPr>
        <w:t>P</w:t>
      </w:r>
      <w:r w:rsidRPr="00DD5E24">
        <w:rPr>
          <w:rFonts w:ascii="Arial" w:hAnsi="Arial" w:cs="Arial"/>
        </w:rPr>
        <w:t xml:space="preserve"> &gt; .05) between the groups exposed to rotenone and the DMSO group. The only parameters changed in zebrafish exposed to the lowest concentration of rotenone (ROT5) among all the analyses performed were the significant reduction in head length, head width, and body length. The morphometric changes observed in the ROT5 group indicate that even at low concentrations, rotenone was able to disrupt development of the animals tested, although no significant changes were observed in the other parameters evaluated in the ROT5 group.</w:t>
      </w:r>
    </w:p>
    <w:p w14:paraId="51FAC762" w14:textId="77777777" w:rsidR="0025181D" w:rsidRPr="00DD5E24" w:rsidRDefault="0025181D" w:rsidP="00783962">
      <w:pPr>
        <w:pStyle w:val="Body"/>
        <w:spacing w:after="0"/>
        <w:contextualSpacing/>
        <w:rPr>
          <w:rFonts w:ascii="Arial" w:hAnsi="Arial" w:cs="Arial"/>
        </w:rPr>
      </w:pPr>
    </w:p>
    <w:p w14:paraId="2AC29E20" w14:textId="77777777" w:rsidR="002B3E30" w:rsidRPr="00DD5E24" w:rsidRDefault="002B3E30" w:rsidP="00783962">
      <w:pPr>
        <w:pStyle w:val="Body"/>
        <w:spacing w:after="0"/>
        <w:contextualSpacing/>
        <w:rPr>
          <w:rFonts w:ascii="Arial" w:hAnsi="Arial" w:cs="Arial"/>
          <w:b/>
          <w:bCs/>
        </w:rPr>
      </w:pPr>
      <w:r w:rsidRPr="00DD5E24">
        <w:rPr>
          <w:rFonts w:ascii="Arial" w:hAnsi="Arial" w:cs="Arial"/>
          <w:b/>
          <w:bCs/>
        </w:rPr>
        <w:t xml:space="preserve">Table 1. Morphometric measurements of zebrafish larvae exposed to rotenone at 144 </w:t>
      </w:r>
      <w:proofErr w:type="spellStart"/>
      <w:r w:rsidRPr="00DD5E24">
        <w:rPr>
          <w:rFonts w:ascii="Arial" w:hAnsi="Arial" w:cs="Arial"/>
          <w:b/>
          <w:bCs/>
        </w:rPr>
        <w:t>hpf</w:t>
      </w:r>
      <w:proofErr w:type="spellEnd"/>
      <w:r w:rsidRPr="00DD5E24">
        <w:rPr>
          <w:rFonts w:ascii="Arial" w:hAnsi="Arial" w:cs="Arial"/>
          <w:b/>
          <w:bC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
        <w:gridCol w:w="1642"/>
        <w:gridCol w:w="1641"/>
        <w:gridCol w:w="1642"/>
        <w:gridCol w:w="1642"/>
      </w:tblGrid>
      <w:tr w:rsidR="002B3E30" w:rsidRPr="00DD5E24" w14:paraId="1EEAD477" w14:textId="77777777" w:rsidTr="004C1C83">
        <w:trPr>
          <w:trHeight w:val="397"/>
          <w:jc w:val="center"/>
        </w:trPr>
        <w:tc>
          <w:tcPr>
            <w:tcW w:w="972" w:type="dxa"/>
            <w:tcBorders>
              <w:top w:val="single" w:sz="8" w:space="0" w:color="auto"/>
              <w:bottom w:val="single" w:sz="4" w:space="0" w:color="auto"/>
            </w:tcBorders>
            <w:vAlign w:val="center"/>
          </w:tcPr>
          <w:p w14:paraId="0738E99A" w14:textId="77777777" w:rsidR="002B3E30" w:rsidRPr="00DD5E24" w:rsidRDefault="002B3E30" w:rsidP="00783962">
            <w:pPr>
              <w:pStyle w:val="Body"/>
              <w:spacing w:after="0"/>
              <w:contextualSpacing/>
              <w:jc w:val="center"/>
              <w:rPr>
                <w:rFonts w:ascii="Arial" w:hAnsi="Arial" w:cs="Arial"/>
                <w:b/>
                <w:bCs/>
                <w:sz w:val="20"/>
              </w:rPr>
            </w:pPr>
          </w:p>
        </w:tc>
        <w:tc>
          <w:tcPr>
            <w:tcW w:w="1642" w:type="dxa"/>
            <w:tcBorders>
              <w:top w:val="single" w:sz="8" w:space="0" w:color="auto"/>
              <w:bottom w:val="single" w:sz="4" w:space="0" w:color="auto"/>
            </w:tcBorders>
            <w:vAlign w:val="center"/>
          </w:tcPr>
          <w:p w14:paraId="2D66605C"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b/>
                <w:bCs/>
                <w:sz w:val="20"/>
              </w:rPr>
              <w:t>Head Length (mm)</w:t>
            </w:r>
          </w:p>
        </w:tc>
        <w:tc>
          <w:tcPr>
            <w:tcW w:w="1641" w:type="dxa"/>
            <w:tcBorders>
              <w:top w:val="single" w:sz="8" w:space="0" w:color="auto"/>
              <w:bottom w:val="single" w:sz="4" w:space="0" w:color="auto"/>
            </w:tcBorders>
            <w:vAlign w:val="center"/>
          </w:tcPr>
          <w:p w14:paraId="4B8B71BA"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b/>
                <w:bCs/>
                <w:sz w:val="20"/>
              </w:rPr>
              <w:t>Head Width (mm)</w:t>
            </w:r>
          </w:p>
        </w:tc>
        <w:tc>
          <w:tcPr>
            <w:tcW w:w="1642" w:type="dxa"/>
            <w:tcBorders>
              <w:top w:val="single" w:sz="8" w:space="0" w:color="auto"/>
              <w:bottom w:val="single" w:sz="4" w:space="0" w:color="auto"/>
            </w:tcBorders>
            <w:vAlign w:val="center"/>
          </w:tcPr>
          <w:p w14:paraId="3F96D146"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b/>
                <w:bCs/>
                <w:sz w:val="20"/>
              </w:rPr>
              <w:t>Eye Diameter (mm)</w:t>
            </w:r>
          </w:p>
        </w:tc>
        <w:tc>
          <w:tcPr>
            <w:tcW w:w="1642" w:type="dxa"/>
            <w:tcBorders>
              <w:top w:val="single" w:sz="8" w:space="0" w:color="auto"/>
              <w:bottom w:val="single" w:sz="4" w:space="0" w:color="auto"/>
            </w:tcBorders>
            <w:vAlign w:val="center"/>
          </w:tcPr>
          <w:p w14:paraId="17E74911"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b/>
                <w:bCs/>
                <w:sz w:val="20"/>
              </w:rPr>
              <w:t>Body Length (mm)</w:t>
            </w:r>
          </w:p>
        </w:tc>
      </w:tr>
      <w:tr w:rsidR="002B3E30" w:rsidRPr="00DD5E24" w14:paraId="216B0CE3" w14:textId="77777777" w:rsidTr="004C1C83">
        <w:trPr>
          <w:trHeight w:val="397"/>
          <w:jc w:val="center"/>
        </w:trPr>
        <w:tc>
          <w:tcPr>
            <w:tcW w:w="972" w:type="dxa"/>
            <w:tcBorders>
              <w:top w:val="single" w:sz="4" w:space="0" w:color="auto"/>
            </w:tcBorders>
            <w:vAlign w:val="center"/>
          </w:tcPr>
          <w:p w14:paraId="31E5910E"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b/>
                <w:bCs/>
                <w:sz w:val="20"/>
              </w:rPr>
              <w:t>DMSO</w:t>
            </w:r>
          </w:p>
        </w:tc>
        <w:tc>
          <w:tcPr>
            <w:tcW w:w="1642" w:type="dxa"/>
            <w:tcBorders>
              <w:top w:val="single" w:sz="4" w:space="0" w:color="auto"/>
            </w:tcBorders>
            <w:vAlign w:val="center"/>
          </w:tcPr>
          <w:p w14:paraId="4EFA85ED"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0.803 ± 0.050</w:t>
            </w:r>
          </w:p>
        </w:tc>
        <w:tc>
          <w:tcPr>
            <w:tcW w:w="1641" w:type="dxa"/>
            <w:tcBorders>
              <w:top w:val="single" w:sz="4" w:space="0" w:color="auto"/>
            </w:tcBorders>
            <w:vAlign w:val="center"/>
          </w:tcPr>
          <w:p w14:paraId="7BF0A5A4"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0.546 ± 0.041</w:t>
            </w:r>
          </w:p>
        </w:tc>
        <w:tc>
          <w:tcPr>
            <w:tcW w:w="1642" w:type="dxa"/>
            <w:tcBorders>
              <w:top w:val="single" w:sz="4" w:space="0" w:color="auto"/>
            </w:tcBorders>
            <w:vAlign w:val="center"/>
          </w:tcPr>
          <w:p w14:paraId="5A0F8EE5"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0.358 ± 0.022</w:t>
            </w:r>
          </w:p>
        </w:tc>
        <w:tc>
          <w:tcPr>
            <w:tcW w:w="1642" w:type="dxa"/>
            <w:tcBorders>
              <w:top w:val="single" w:sz="4" w:space="0" w:color="auto"/>
            </w:tcBorders>
            <w:vAlign w:val="center"/>
          </w:tcPr>
          <w:p w14:paraId="21E9CD05"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3.704 ± 0.203</w:t>
            </w:r>
          </w:p>
        </w:tc>
      </w:tr>
      <w:tr w:rsidR="002B3E30" w:rsidRPr="00DD5E24" w14:paraId="7A7A8EC1" w14:textId="77777777" w:rsidTr="004C1C83">
        <w:trPr>
          <w:trHeight w:val="397"/>
          <w:jc w:val="center"/>
        </w:trPr>
        <w:tc>
          <w:tcPr>
            <w:tcW w:w="972" w:type="dxa"/>
            <w:vAlign w:val="center"/>
          </w:tcPr>
          <w:p w14:paraId="22DA32AA"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b/>
                <w:bCs/>
                <w:sz w:val="20"/>
              </w:rPr>
              <w:t>ROT5</w:t>
            </w:r>
          </w:p>
        </w:tc>
        <w:tc>
          <w:tcPr>
            <w:tcW w:w="1642" w:type="dxa"/>
            <w:vAlign w:val="center"/>
          </w:tcPr>
          <w:p w14:paraId="27D66133"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0.755 ± 0.060*</w:t>
            </w:r>
          </w:p>
        </w:tc>
        <w:tc>
          <w:tcPr>
            <w:tcW w:w="1641" w:type="dxa"/>
            <w:vAlign w:val="center"/>
          </w:tcPr>
          <w:p w14:paraId="665BB944"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0.514 ± 0.041*</w:t>
            </w:r>
          </w:p>
        </w:tc>
        <w:tc>
          <w:tcPr>
            <w:tcW w:w="1642" w:type="dxa"/>
            <w:vAlign w:val="center"/>
          </w:tcPr>
          <w:p w14:paraId="67DF5A70"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0.361 ± 0.159</w:t>
            </w:r>
          </w:p>
        </w:tc>
        <w:tc>
          <w:tcPr>
            <w:tcW w:w="1642" w:type="dxa"/>
            <w:vAlign w:val="center"/>
          </w:tcPr>
          <w:p w14:paraId="7E9D7ABD"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3.560 ± 0.101*</w:t>
            </w:r>
          </w:p>
        </w:tc>
      </w:tr>
      <w:tr w:rsidR="002B3E30" w:rsidRPr="00DD5E24" w14:paraId="3C4BFB81" w14:textId="77777777" w:rsidTr="004C1C83">
        <w:trPr>
          <w:trHeight w:val="397"/>
          <w:jc w:val="center"/>
        </w:trPr>
        <w:tc>
          <w:tcPr>
            <w:tcW w:w="972" w:type="dxa"/>
            <w:vAlign w:val="center"/>
          </w:tcPr>
          <w:p w14:paraId="4AC38A1C"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b/>
                <w:bCs/>
                <w:sz w:val="20"/>
              </w:rPr>
              <w:t>ROT10</w:t>
            </w:r>
          </w:p>
        </w:tc>
        <w:tc>
          <w:tcPr>
            <w:tcW w:w="1642" w:type="dxa"/>
            <w:vAlign w:val="center"/>
          </w:tcPr>
          <w:p w14:paraId="4A9621B9"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0.770 ± 0.050*</w:t>
            </w:r>
          </w:p>
        </w:tc>
        <w:tc>
          <w:tcPr>
            <w:tcW w:w="1641" w:type="dxa"/>
            <w:vAlign w:val="center"/>
          </w:tcPr>
          <w:p w14:paraId="7C988FF8"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0.528 ± 0.033*</w:t>
            </w:r>
          </w:p>
        </w:tc>
        <w:tc>
          <w:tcPr>
            <w:tcW w:w="1642" w:type="dxa"/>
            <w:vAlign w:val="center"/>
          </w:tcPr>
          <w:p w14:paraId="03D80E2A"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0.342 ± 0.021</w:t>
            </w:r>
          </w:p>
        </w:tc>
        <w:tc>
          <w:tcPr>
            <w:tcW w:w="1642" w:type="dxa"/>
            <w:vAlign w:val="center"/>
          </w:tcPr>
          <w:p w14:paraId="12A4187C"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3.631 ± 0.181*</w:t>
            </w:r>
          </w:p>
        </w:tc>
      </w:tr>
      <w:tr w:rsidR="002B3E30" w:rsidRPr="00DD5E24" w14:paraId="152214E0" w14:textId="77777777" w:rsidTr="004C1C83">
        <w:trPr>
          <w:trHeight w:val="397"/>
          <w:jc w:val="center"/>
        </w:trPr>
        <w:tc>
          <w:tcPr>
            <w:tcW w:w="972" w:type="dxa"/>
            <w:vAlign w:val="center"/>
          </w:tcPr>
          <w:p w14:paraId="49FC4F04"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b/>
                <w:bCs/>
                <w:sz w:val="20"/>
              </w:rPr>
              <w:t>ROT15</w:t>
            </w:r>
          </w:p>
        </w:tc>
        <w:tc>
          <w:tcPr>
            <w:tcW w:w="1642" w:type="dxa"/>
            <w:vAlign w:val="center"/>
          </w:tcPr>
          <w:p w14:paraId="6F702D68"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0.775 ± 0.030*</w:t>
            </w:r>
          </w:p>
        </w:tc>
        <w:tc>
          <w:tcPr>
            <w:tcW w:w="1641" w:type="dxa"/>
            <w:vAlign w:val="center"/>
          </w:tcPr>
          <w:p w14:paraId="3D8AF0A2"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0.526 ± 0.029*</w:t>
            </w:r>
          </w:p>
        </w:tc>
        <w:tc>
          <w:tcPr>
            <w:tcW w:w="1642" w:type="dxa"/>
            <w:vAlign w:val="center"/>
          </w:tcPr>
          <w:p w14:paraId="163E4874"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0.343 ± 0.016</w:t>
            </w:r>
          </w:p>
        </w:tc>
        <w:tc>
          <w:tcPr>
            <w:tcW w:w="1642" w:type="dxa"/>
            <w:vAlign w:val="center"/>
          </w:tcPr>
          <w:p w14:paraId="6E6E3632"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3.538 ± 0.147*</w:t>
            </w:r>
          </w:p>
        </w:tc>
      </w:tr>
      <w:tr w:rsidR="002B3E30" w:rsidRPr="00DD5E24" w14:paraId="4C5560E3" w14:textId="77777777" w:rsidTr="004C1C83">
        <w:trPr>
          <w:trHeight w:val="397"/>
          <w:jc w:val="center"/>
        </w:trPr>
        <w:tc>
          <w:tcPr>
            <w:tcW w:w="972" w:type="dxa"/>
            <w:tcBorders>
              <w:bottom w:val="single" w:sz="8" w:space="0" w:color="auto"/>
            </w:tcBorders>
            <w:vAlign w:val="center"/>
          </w:tcPr>
          <w:p w14:paraId="5787A0D4"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b/>
                <w:bCs/>
                <w:sz w:val="20"/>
              </w:rPr>
              <w:t>ROT20</w:t>
            </w:r>
          </w:p>
        </w:tc>
        <w:tc>
          <w:tcPr>
            <w:tcW w:w="1642" w:type="dxa"/>
            <w:tcBorders>
              <w:bottom w:val="single" w:sz="8" w:space="0" w:color="auto"/>
            </w:tcBorders>
            <w:vAlign w:val="center"/>
          </w:tcPr>
          <w:p w14:paraId="0931BB7D"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0.764 ± 0.029*</w:t>
            </w:r>
          </w:p>
        </w:tc>
        <w:tc>
          <w:tcPr>
            <w:tcW w:w="1641" w:type="dxa"/>
            <w:tcBorders>
              <w:bottom w:val="single" w:sz="8" w:space="0" w:color="auto"/>
            </w:tcBorders>
            <w:vAlign w:val="center"/>
          </w:tcPr>
          <w:p w14:paraId="53F24F0D"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0.509 ± 0.025*</w:t>
            </w:r>
          </w:p>
        </w:tc>
        <w:tc>
          <w:tcPr>
            <w:tcW w:w="1642" w:type="dxa"/>
            <w:tcBorders>
              <w:bottom w:val="single" w:sz="8" w:space="0" w:color="auto"/>
            </w:tcBorders>
            <w:vAlign w:val="center"/>
          </w:tcPr>
          <w:p w14:paraId="11CF78BF"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0.349 ± 0.014</w:t>
            </w:r>
          </w:p>
        </w:tc>
        <w:tc>
          <w:tcPr>
            <w:tcW w:w="1642" w:type="dxa"/>
            <w:tcBorders>
              <w:bottom w:val="single" w:sz="8" w:space="0" w:color="auto"/>
            </w:tcBorders>
            <w:vAlign w:val="center"/>
          </w:tcPr>
          <w:p w14:paraId="5F57F4C0"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3.525 ± 0.128*</w:t>
            </w:r>
          </w:p>
        </w:tc>
      </w:tr>
    </w:tbl>
    <w:p w14:paraId="4441E6BA" w14:textId="5112474E" w:rsidR="00887F6E" w:rsidRPr="00DD5E24" w:rsidRDefault="002B3E30" w:rsidP="00783962">
      <w:pPr>
        <w:pStyle w:val="Body"/>
        <w:spacing w:after="0"/>
        <w:contextualSpacing/>
        <w:rPr>
          <w:rFonts w:ascii="Arial" w:hAnsi="Arial" w:cs="Arial"/>
        </w:rPr>
      </w:pPr>
      <w:r w:rsidRPr="00DD5E24">
        <w:rPr>
          <w:rFonts w:ascii="Arial" w:hAnsi="Arial" w:cs="Arial"/>
        </w:rPr>
        <w:t>Data are expressed as the mean ± SD. * Significant difference (</w:t>
      </w:r>
      <w:r w:rsidRPr="00DD5E24">
        <w:rPr>
          <w:rFonts w:ascii="Arial" w:hAnsi="Arial" w:cs="Arial"/>
          <w:i/>
          <w:iCs/>
        </w:rPr>
        <w:t>P</w:t>
      </w:r>
      <w:r w:rsidRPr="00DD5E24">
        <w:rPr>
          <w:rFonts w:ascii="Arial" w:hAnsi="Arial" w:cs="Arial"/>
        </w:rPr>
        <w:t xml:space="preserve"> &lt; .05) from the DMSO group. For head length each experimental group was compared with the DMSO group by one-way ANOVA (</w:t>
      </w:r>
      <w:proofErr w:type="gramStart"/>
      <w:r w:rsidRPr="00DD5E24">
        <w:rPr>
          <w:rFonts w:ascii="Arial" w:hAnsi="Arial" w:cs="Arial"/>
        </w:rPr>
        <w:t>F(</w:t>
      </w:r>
      <w:proofErr w:type="gramEnd"/>
      <w:r w:rsidRPr="00DD5E24">
        <w:rPr>
          <w:rFonts w:ascii="Arial" w:hAnsi="Arial" w:cs="Arial"/>
        </w:rPr>
        <w:t>4,374) = 13.772</w:t>
      </w:r>
      <w:r w:rsidRPr="00DD5E24">
        <w:rPr>
          <w:rFonts w:ascii="Arial" w:hAnsi="Arial" w:cs="Arial"/>
          <w:i/>
          <w:iCs/>
        </w:rPr>
        <w:t xml:space="preserve"> P </w:t>
      </w:r>
      <w:r w:rsidRPr="00DD5E24">
        <w:rPr>
          <w:rFonts w:ascii="Arial" w:hAnsi="Arial" w:cs="Arial"/>
        </w:rPr>
        <w:t>&lt; .05) followed by Tukey's test (ROT5</w:t>
      </w:r>
      <w:r w:rsidRPr="00DD5E24">
        <w:rPr>
          <w:rFonts w:ascii="Arial" w:hAnsi="Arial" w:cs="Arial"/>
          <w:i/>
          <w:iCs/>
        </w:rPr>
        <w:t xml:space="preserve"> P </w:t>
      </w:r>
      <w:r w:rsidRPr="00DD5E24">
        <w:rPr>
          <w:rFonts w:ascii="Arial" w:hAnsi="Arial" w:cs="Arial"/>
        </w:rPr>
        <w:t>= 0, ROT10</w:t>
      </w:r>
      <w:r w:rsidRPr="00DD5E24">
        <w:rPr>
          <w:rFonts w:ascii="Arial" w:hAnsi="Arial" w:cs="Arial"/>
          <w:i/>
          <w:iCs/>
        </w:rPr>
        <w:t xml:space="preserve"> P </w:t>
      </w:r>
      <w:r w:rsidRPr="00DD5E24">
        <w:rPr>
          <w:rFonts w:ascii="Arial" w:hAnsi="Arial" w:cs="Arial"/>
        </w:rPr>
        <w:t>&lt; .001, ROT15</w:t>
      </w:r>
      <w:r w:rsidRPr="00DD5E24">
        <w:rPr>
          <w:rFonts w:ascii="Arial" w:hAnsi="Arial" w:cs="Arial"/>
          <w:i/>
          <w:iCs/>
        </w:rPr>
        <w:t xml:space="preserve"> P </w:t>
      </w:r>
      <w:r w:rsidRPr="00DD5E24">
        <w:rPr>
          <w:rFonts w:ascii="Arial" w:hAnsi="Arial" w:cs="Arial"/>
        </w:rPr>
        <w:t>= ,018, ROT20</w:t>
      </w:r>
      <w:r w:rsidRPr="00DD5E24">
        <w:rPr>
          <w:rFonts w:ascii="Arial" w:hAnsi="Arial" w:cs="Arial"/>
          <w:i/>
          <w:iCs/>
        </w:rPr>
        <w:t xml:space="preserve"> P </w:t>
      </w:r>
      <w:r w:rsidRPr="00DD5E24">
        <w:rPr>
          <w:rFonts w:ascii="Arial" w:hAnsi="Arial" w:cs="Arial"/>
        </w:rPr>
        <w:t xml:space="preserve">&lt; 0.001). For head width each experimental group was compared </w:t>
      </w:r>
      <w:r w:rsidRPr="00DD5E24">
        <w:rPr>
          <w:rFonts w:ascii="Arial" w:hAnsi="Arial" w:cs="Arial"/>
        </w:rPr>
        <w:lastRenderedPageBreak/>
        <w:t>with the DMSO group by one-way ANOVA (</w:t>
      </w:r>
      <w:proofErr w:type="gramStart"/>
      <w:r w:rsidRPr="00DD5E24">
        <w:rPr>
          <w:rFonts w:ascii="Arial" w:hAnsi="Arial" w:cs="Arial"/>
        </w:rPr>
        <w:t>F(</w:t>
      </w:r>
      <w:proofErr w:type="gramEnd"/>
      <w:r w:rsidRPr="00DD5E24">
        <w:rPr>
          <w:rFonts w:ascii="Arial" w:hAnsi="Arial" w:cs="Arial"/>
        </w:rPr>
        <w:t>4,374) = 12.638</w:t>
      </w:r>
      <w:r w:rsidRPr="00DD5E24">
        <w:rPr>
          <w:rFonts w:ascii="Arial" w:hAnsi="Arial" w:cs="Arial"/>
          <w:i/>
          <w:iCs/>
        </w:rPr>
        <w:t xml:space="preserve"> P </w:t>
      </w:r>
      <w:r w:rsidRPr="00DD5E24">
        <w:rPr>
          <w:rFonts w:ascii="Arial" w:hAnsi="Arial" w:cs="Arial"/>
        </w:rPr>
        <w:t>&lt; .05) followed by Tukey's test (ROT5</w:t>
      </w:r>
      <w:r w:rsidRPr="00DD5E24">
        <w:rPr>
          <w:rFonts w:ascii="Arial" w:hAnsi="Arial" w:cs="Arial"/>
          <w:i/>
          <w:iCs/>
        </w:rPr>
        <w:t xml:space="preserve"> P </w:t>
      </w:r>
      <w:r w:rsidRPr="00DD5E24">
        <w:rPr>
          <w:rFonts w:ascii="Arial" w:hAnsi="Arial" w:cs="Arial"/>
        </w:rPr>
        <w:t>&lt; .001, ROT10</w:t>
      </w:r>
      <w:r w:rsidRPr="00DD5E24">
        <w:rPr>
          <w:rFonts w:ascii="Arial" w:hAnsi="Arial" w:cs="Arial"/>
          <w:i/>
          <w:iCs/>
        </w:rPr>
        <w:t xml:space="preserve"> P </w:t>
      </w:r>
      <w:r w:rsidRPr="00DD5E24">
        <w:rPr>
          <w:rFonts w:ascii="Arial" w:hAnsi="Arial" w:cs="Arial"/>
        </w:rPr>
        <w:t>= .013, ROT15</w:t>
      </w:r>
      <w:r w:rsidRPr="00DD5E24">
        <w:rPr>
          <w:rFonts w:ascii="Arial" w:hAnsi="Arial" w:cs="Arial"/>
          <w:i/>
          <w:iCs/>
        </w:rPr>
        <w:t xml:space="preserve"> P </w:t>
      </w:r>
      <w:r w:rsidRPr="00DD5E24">
        <w:rPr>
          <w:rFonts w:ascii="Arial" w:hAnsi="Arial" w:cs="Arial"/>
        </w:rPr>
        <w:t>= ,04, ROT20</w:t>
      </w:r>
      <w:r w:rsidRPr="00DD5E24">
        <w:rPr>
          <w:rFonts w:ascii="Arial" w:hAnsi="Arial" w:cs="Arial"/>
          <w:i/>
          <w:iCs/>
        </w:rPr>
        <w:t xml:space="preserve"> P </w:t>
      </w:r>
      <w:r w:rsidRPr="00DD5E24">
        <w:rPr>
          <w:rFonts w:ascii="Arial" w:hAnsi="Arial" w:cs="Arial"/>
        </w:rPr>
        <w:t>&lt; .001). For eye diameter each experimental group was compared with the DMSO group by one-way ANOVA (</w:t>
      </w:r>
      <w:proofErr w:type="gramStart"/>
      <w:r w:rsidRPr="00DD5E24">
        <w:rPr>
          <w:rFonts w:ascii="Arial" w:hAnsi="Arial" w:cs="Arial"/>
        </w:rPr>
        <w:t>F(</w:t>
      </w:r>
      <w:proofErr w:type="gramEnd"/>
      <w:r w:rsidRPr="00DD5E24">
        <w:rPr>
          <w:rFonts w:ascii="Arial" w:hAnsi="Arial" w:cs="Arial"/>
        </w:rPr>
        <w:t>4,374) = 0.881</w:t>
      </w:r>
      <w:r w:rsidRPr="00DD5E24">
        <w:rPr>
          <w:rFonts w:ascii="Arial" w:hAnsi="Arial" w:cs="Arial"/>
          <w:i/>
          <w:iCs/>
        </w:rPr>
        <w:t xml:space="preserve"> P </w:t>
      </w:r>
      <w:r w:rsidRPr="00DD5E24">
        <w:rPr>
          <w:rFonts w:ascii="Arial" w:hAnsi="Arial" w:cs="Arial"/>
        </w:rPr>
        <w:t>&lt; 0.05) followed by Tukey's test (ROT5</w:t>
      </w:r>
      <w:r w:rsidRPr="00DD5E24">
        <w:rPr>
          <w:rFonts w:ascii="Arial" w:hAnsi="Arial" w:cs="Arial"/>
          <w:i/>
          <w:iCs/>
        </w:rPr>
        <w:t xml:space="preserve"> P </w:t>
      </w:r>
      <w:r w:rsidRPr="00DD5E24">
        <w:rPr>
          <w:rFonts w:ascii="Arial" w:hAnsi="Arial" w:cs="Arial"/>
        </w:rPr>
        <w:t>= 0.1, ROT10</w:t>
      </w:r>
      <w:r w:rsidRPr="00DD5E24">
        <w:rPr>
          <w:rFonts w:ascii="Arial" w:hAnsi="Arial" w:cs="Arial"/>
          <w:i/>
          <w:iCs/>
        </w:rPr>
        <w:t xml:space="preserve"> P </w:t>
      </w:r>
      <w:r w:rsidRPr="00DD5E24">
        <w:rPr>
          <w:rFonts w:ascii="Arial" w:hAnsi="Arial" w:cs="Arial"/>
        </w:rPr>
        <w:t>= .63, ROT15</w:t>
      </w:r>
      <w:r w:rsidRPr="00DD5E24">
        <w:rPr>
          <w:rFonts w:ascii="Arial" w:hAnsi="Arial" w:cs="Arial"/>
          <w:i/>
          <w:iCs/>
        </w:rPr>
        <w:t xml:space="preserve"> P </w:t>
      </w:r>
      <w:r w:rsidRPr="00DD5E24">
        <w:rPr>
          <w:rFonts w:ascii="Arial" w:hAnsi="Arial" w:cs="Arial"/>
        </w:rPr>
        <w:t>= ,88, ROT20</w:t>
      </w:r>
      <w:r w:rsidRPr="00DD5E24">
        <w:rPr>
          <w:rFonts w:ascii="Arial" w:hAnsi="Arial" w:cs="Arial"/>
          <w:i/>
          <w:iCs/>
        </w:rPr>
        <w:t xml:space="preserve"> P </w:t>
      </w:r>
      <w:r w:rsidRPr="00DD5E24">
        <w:rPr>
          <w:rFonts w:ascii="Arial" w:hAnsi="Arial" w:cs="Arial"/>
        </w:rPr>
        <w:t>= .92). For body length each experimental group was compared with the DMSO group by one-way ANOVA (</w:t>
      </w:r>
      <w:proofErr w:type="gramStart"/>
      <w:r w:rsidRPr="00DD5E24">
        <w:rPr>
          <w:rFonts w:ascii="Arial" w:hAnsi="Arial" w:cs="Arial"/>
        </w:rPr>
        <w:t>F(</w:t>
      </w:r>
      <w:proofErr w:type="gramEnd"/>
      <w:r w:rsidRPr="00DD5E24">
        <w:rPr>
          <w:rFonts w:ascii="Arial" w:hAnsi="Arial" w:cs="Arial"/>
        </w:rPr>
        <w:t>4,374) = 17.174</w:t>
      </w:r>
      <w:r w:rsidRPr="00DD5E24">
        <w:rPr>
          <w:rFonts w:ascii="Arial" w:hAnsi="Arial" w:cs="Arial"/>
          <w:i/>
          <w:iCs/>
        </w:rPr>
        <w:t xml:space="preserve"> P </w:t>
      </w:r>
      <w:r w:rsidRPr="00DD5E24">
        <w:rPr>
          <w:rFonts w:ascii="Arial" w:hAnsi="Arial" w:cs="Arial"/>
        </w:rPr>
        <w:t>&lt; .05) followed by Tukey's test (ROT5</w:t>
      </w:r>
      <w:r w:rsidRPr="00DD5E24">
        <w:rPr>
          <w:rFonts w:ascii="Arial" w:hAnsi="Arial" w:cs="Arial"/>
          <w:i/>
          <w:iCs/>
        </w:rPr>
        <w:t xml:space="preserve"> P </w:t>
      </w:r>
      <w:r w:rsidRPr="00DD5E24">
        <w:rPr>
          <w:rFonts w:ascii="Arial" w:hAnsi="Arial" w:cs="Arial"/>
        </w:rPr>
        <w:t>&lt; .001, ROT10</w:t>
      </w:r>
      <w:r w:rsidRPr="00DD5E24">
        <w:rPr>
          <w:rFonts w:ascii="Arial" w:hAnsi="Arial" w:cs="Arial"/>
          <w:i/>
          <w:iCs/>
        </w:rPr>
        <w:t xml:space="preserve"> P </w:t>
      </w:r>
      <w:r w:rsidRPr="00DD5E24">
        <w:rPr>
          <w:rFonts w:ascii="Arial" w:hAnsi="Arial" w:cs="Arial"/>
        </w:rPr>
        <w:t>= .03, ROT15</w:t>
      </w:r>
      <w:r w:rsidRPr="00DD5E24">
        <w:rPr>
          <w:rFonts w:ascii="Arial" w:hAnsi="Arial" w:cs="Arial"/>
          <w:i/>
          <w:iCs/>
        </w:rPr>
        <w:t xml:space="preserve"> P </w:t>
      </w:r>
      <w:r w:rsidRPr="00DD5E24">
        <w:rPr>
          <w:rFonts w:ascii="Arial" w:hAnsi="Arial" w:cs="Arial"/>
        </w:rPr>
        <w:t>&lt; ,001, ROT20</w:t>
      </w:r>
      <w:r w:rsidRPr="00DD5E24">
        <w:rPr>
          <w:rFonts w:ascii="Arial" w:hAnsi="Arial" w:cs="Arial"/>
          <w:i/>
          <w:iCs/>
        </w:rPr>
        <w:t xml:space="preserve"> P </w:t>
      </w:r>
      <w:r w:rsidRPr="00DD5E24">
        <w:rPr>
          <w:rFonts w:ascii="Arial" w:hAnsi="Arial" w:cs="Arial"/>
        </w:rPr>
        <w:t>&lt; .001). Legend for exposed groups: DMSO - 0.1% (v/v) Dimethyl sulfoxide; ROT5, ROT10, ROT15, and ROT20 – 5, 10, 15 and 20 µg/L of rotenone, respectively.</w:t>
      </w:r>
    </w:p>
    <w:p w14:paraId="0A37F1A8" w14:textId="77777777" w:rsidR="00073ED9" w:rsidRPr="00DD5E24" w:rsidRDefault="00073ED9" w:rsidP="00783962">
      <w:pPr>
        <w:pStyle w:val="Body"/>
        <w:spacing w:after="0"/>
        <w:contextualSpacing/>
        <w:rPr>
          <w:rFonts w:ascii="Arial" w:hAnsi="Arial" w:cs="Arial"/>
          <w:vertAlign w:val="superscript"/>
        </w:rPr>
      </w:pPr>
    </w:p>
    <w:p w14:paraId="6F5D2FAB" w14:textId="2F7D23AE" w:rsidR="00FA66C7" w:rsidRPr="00DD5E24" w:rsidRDefault="00B95DD2" w:rsidP="00783962">
      <w:pPr>
        <w:pStyle w:val="ConcHead"/>
        <w:spacing w:after="0"/>
        <w:contextualSpacing/>
        <w:jc w:val="both"/>
        <w:rPr>
          <w:rFonts w:ascii="Arial" w:hAnsi="Arial" w:cs="Arial"/>
          <w:b w:val="0"/>
          <w:caps w:val="0"/>
          <w:sz w:val="20"/>
        </w:rPr>
      </w:pPr>
      <w:r w:rsidRPr="00DD5E24">
        <w:rPr>
          <w:rFonts w:ascii="Arial" w:hAnsi="Arial" w:cs="Arial"/>
          <w:b w:val="0"/>
          <w:caps w:val="0"/>
          <w:sz w:val="20"/>
        </w:rPr>
        <w:t xml:space="preserve">Changes in TH and TS behaviors due to rotenone exposure were observed in larval zebrafish at 144 </w:t>
      </w:r>
      <w:proofErr w:type="spellStart"/>
      <w:r w:rsidRPr="00DD5E24">
        <w:rPr>
          <w:rFonts w:ascii="Arial" w:hAnsi="Arial" w:cs="Arial"/>
          <w:b w:val="0"/>
          <w:caps w:val="0"/>
          <w:sz w:val="20"/>
        </w:rPr>
        <w:t>hpf</w:t>
      </w:r>
      <w:proofErr w:type="spellEnd"/>
      <w:r w:rsidRPr="00DD5E24">
        <w:rPr>
          <w:rFonts w:ascii="Arial" w:hAnsi="Arial" w:cs="Arial"/>
          <w:b w:val="0"/>
          <w:caps w:val="0"/>
          <w:sz w:val="20"/>
        </w:rPr>
        <w:t>. In the TH test, the larvae move close to the wall in the wells, as expected in healthy larvae, in the DMSO group, with less than 10% of the animals away from the wall of the well during the tests (Figure 6a). In contrast, rotenone caused significant behavioral changes (Figure 6a) in the groups with the two highest concentrations of rotenone (ROT15 and ROT20). This result may indicate that rotenone can alter neuronal activity, causing changes in anxiety-like behavior.</w:t>
      </w:r>
      <w:r w:rsidR="00FA66C7" w:rsidRPr="00DD5E24">
        <w:rPr>
          <w:rFonts w:ascii="Arial" w:hAnsi="Arial" w:cs="Arial"/>
          <w:b w:val="0"/>
          <w:caps w:val="0"/>
          <w:sz w:val="20"/>
        </w:rPr>
        <w:t xml:space="preserve"> </w:t>
      </w:r>
      <w:r w:rsidRPr="00DD5E24">
        <w:rPr>
          <w:rFonts w:ascii="Arial" w:hAnsi="Arial" w:cs="Arial"/>
          <w:b w:val="0"/>
          <w:caps w:val="0"/>
          <w:sz w:val="20"/>
        </w:rPr>
        <w:t>In the TS test, which examines the ability to respond to touch and the display of escape behavior, only larvae of the ROT20 group showed significant reductions in the escape response (Figure 6b). OMR visual stimuli test showed no change in this parameter (Figure 6c)</w:t>
      </w:r>
      <w:r w:rsidR="00FA66C7" w:rsidRPr="00DD5E24">
        <w:rPr>
          <w:rFonts w:ascii="Arial" w:hAnsi="Arial" w:cs="Arial"/>
          <w:b w:val="0"/>
          <w:caps w:val="0"/>
          <w:sz w:val="20"/>
        </w:rPr>
        <w:t>.</w:t>
      </w:r>
    </w:p>
    <w:p w14:paraId="26060C4F" w14:textId="77777777" w:rsidR="004E1105" w:rsidRPr="00DD5E24" w:rsidRDefault="004E1105" w:rsidP="00783962">
      <w:pPr>
        <w:pStyle w:val="ConcHead"/>
        <w:spacing w:after="0"/>
        <w:contextualSpacing/>
        <w:jc w:val="both"/>
        <w:rPr>
          <w:rFonts w:ascii="Arial" w:hAnsi="Arial" w:cs="Arial"/>
          <w:b w:val="0"/>
          <w:caps w:val="0"/>
          <w:sz w:val="20"/>
        </w:rPr>
      </w:pPr>
    </w:p>
    <w:p w14:paraId="320CADFD" w14:textId="3C5D2912" w:rsidR="00B95DD2" w:rsidRPr="00DD5E24" w:rsidRDefault="00B95DD2" w:rsidP="00783962">
      <w:pPr>
        <w:pStyle w:val="ConcHead"/>
        <w:spacing w:after="0"/>
        <w:contextualSpacing/>
        <w:jc w:val="both"/>
        <w:rPr>
          <w:rFonts w:ascii="Arial" w:hAnsi="Arial" w:cs="Arial"/>
          <w:b w:val="0"/>
        </w:rPr>
      </w:pPr>
      <w:r w:rsidRPr="00DD5E24">
        <w:rPr>
          <w:rFonts w:ascii="Arial" w:hAnsi="Arial" w:cs="Arial"/>
        </w:rPr>
        <w:t>3.</w:t>
      </w:r>
      <w:r w:rsidRPr="00DD5E24">
        <w:rPr>
          <w:rFonts w:ascii="Arial" w:hAnsi="Arial" w:cs="Arial"/>
          <w:caps w:val="0"/>
        </w:rPr>
        <w:t>4</w:t>
      </w:r>
      <w:r w:rsidRPr="00DD5E24">
        <w:rPr>
          <w:rFonts w:ascii="Arial" w:hAnsi="Arial" w:cs="Arial"/>
        </w:rPr>
        <w:t xml:space="preserve"> </w:t>
      </w:r>
      <w:r w:rsidR="00FA66C7" w:rsidRPr="00DD5E24">
        <w:rPr>
          <w:rFonts w:ascii="Arial" w:hAnsi="Arial" w:cs="Arial"/>
          <w:caps w:val="0"/>
        </w:rPr>
        <w:t>Evaluation of Behavioral Parameters</w:t>
      </w:r>
    </w:p>
    <w:p w14:paraId="5C96DD5B" w14:textId="77777777" w:rsidR="004E1105" w:rsidRPr="00DD5E24" w:rsidRDefault="004E1105" w:rsidP="00783962">
      <w:pPr>
        <w:pStyle w:val="ConcHead"/>
        <w:spacing w:after="0"/>
        <w:contextualSpacing/>
        <w:jc w:val="both"/>
        <w:rPr>
          <w:rFonts w:ascii="Arial" w:hAnsi="Arial" w:cs="Arial"/>
          <w:b w:val="0"/>
          <w:caps w:val="0"/>
          <w:sz w:val="20"/>
        </w:rPr>
      </w:pPr>
    </w:p>
    <w:p w14:paraId="092F184D" w14:textId="62C28C8D" w:rsidR="00B95DD2" w:rsidRPr="00DD5E24" w:rsidRDefault="00FA66C7" w:rsidP="00783962">
      <w:pPr>
        <w:pStyle w:val="ConcHead"/>
        <w:spacing w:after="0"/>
        <w:contextualSpacing/>
        <w:jc w:val="both"/>
        <w:rPr>
          <w:rFonts w:ascii="Arial" w:hAnsi="Arial" w:cs="Arial"/>
          <w:b w:val="0"/>
          <w:caps w:val="0"/>
          <w:sz w:val="20"/>
        </w:rPr>
      </w:pPr>
      <w:r w:rsidRPr="00DD5E24">
        <w:rPr>
          <w:rFonts w:ascii="Arial" w:hAnsi="Arial" w:cs="Arial"/>
          <w:b w:val="0"/>
          <w:caps w:val="0"/>
          <w:sz w:val="20"/>
        </w:rPr>
        <w:t xml:space="preserve">Changes in TH and TS behaviors due to rotenone exposure were observed in larval zebrafish at 144 </w:t>
      </w:r>
      <w:proofErr w:type="spellStart"/>
      <w:r w:rsidRPr="00DD5E24">
        <w:rPr>
          <w:rFonts w:ascii="Arial" w:hAnsi="Arial" w:cs="Arial"/>
          <w:b w:val="0"/>
          <w:caps w:val="0"/>
          <w:sz w:val="20"/>
        </w:rPr>
        <w:t>hpf</w:t>
      </w:r>
      <w:proofErr w:type="spellEnd"/>
      <w:r w:rsidRPr="00DD5E24">
        <w:rPr>
          <w:rFonts w:ascii="Arial" w:hAnsi="Arial" w:cs="Arial"/>
          <w:b w:val="0"/>
          <w:caps w:val="0"/>
          <w:sz w:val="20"/>
        </w:rPr>
        <w:t>. In the TH test, the larvae move close to the wall in the wells, as expected in healthy larvae, in the DMSO group, with less than 10% of the animals away from the wall of the well during the tests (Figure 7a). In contrast, rotenone caused significant behavioral changes (Figure 7a) in the groups with the two highest concentrations of rotenone (ROT15 and ROT20). This result may indicate that rotenone can alter neuronal activity, causing changes in anxiety-like behavior.</w:t>
      </w:r>
    </w:p>
    <w:p w14:paraId="1A42D66F" w14:textId="77777777" w:rsidR="004E1105" w:rsidRPr="00DD5E24" w:rsidRDefault="004E1105" w:rsidP="00783962">
      <w:pPr>
        <w:pStyle w:val="ConcHead"/>
        <w:spacing w:after="0"/>
        <w:contextualSpacing/>
        <w:jc w:val="both"/>
        <w:rPr>
          <w:rFonts w:ascii="Arial" w:hAnsi="Arial" w:cs="Arial"/>
          <w:b w:val="0"/>
          <w:caps w:val="0"/>
          <w:sz w:val="20"/>
        </w:rPr>
      </w:pPr>
    </w:p>
    <w:p w14:paraId="248885C3" w14:textId="4D507F77" w:rsidR="00FA66C7" w:rsidRPr="00DD5E24" w:rsidRDefault="00FA66C7" w:rsidP="00783962">
      <w:pPr>
        <w:pStyle w:val="ConcHead"/>
        <w:spacing w:after="0"/>
        <w:contextualSpacing/>
        <w:jc w:val="both"/>
        <w:rPr>
          <w:rFonts w:ascii="Arial" w:hAnsi="Arial" w:cs="Arial"/>
          <w:b w:val="0"/>
          <w:caps w:val="0"/>
          <w:sz w:val="20"/>
        </w:rPr>
      </w:pPr>
      <w:r w:rsidRPr="00DD5E24">
        <w:rPr>
          <w:rFonts w:ascii="Arial" w:hAnsi="Arial" w:cs="Arial"/>
          <w:b w:val="0"/>
          <w:caps w:val="0"/>
          <w:sz w:val="20"/>
        </w:rPr>
        <w:t>In the TS test, which examines the ability to respond to touch and the display of escape behavior, only larvae of the ROT20 group showed significant reductions in the escape</w:t>
      </w:r>
      <w:r w:rsidR="00AB4697" w:rsidRPr="00DD5E24">
        <w:rPr>
          <w:rFonts w:ascii="Arial" w:hAnsi="Arial" w:cs="Arial"/>
          <w:b w:val="0"/>
          <w:caps w:val="0"/>
          <w:sz w:val="20"/>
        </w:rPr>
        <w:t xml:space="preserve"> </w:t>
      </w:r>
      <w:r w:rsidRPr="00DD5E24">
        <w:rPr>
          <w:rFonts w:ascii="Arial" w:hAnsi="Arial" w:cs="Arial"/>
          <w:b w:val="0"/>
          <w:caps w:val="0"/>
          <w:sz w:val="20"/>
        </w:rPr>
        <w:t>response (Figure 7b). OMR visual stimuli test showed no change in this parameter (Figure 7c).</w:t>
      </w:r>
    </w:p>
    <w:p w14:paraId="0D041CAD" w14:textId="77777777" w:rsidR="00AB4697" w:rsidRPr="00DD5E24" w:rsidRDefault="00AB4697" w:rsidP="00783962">
      <w:pPr>
        <w:pStyle w:val="ConcHead"/>
        <w:spacing w:after="0"/>
        <w:contextualSpacing/>
        <w:jc w:val="both"/>
        <w:rPr>
          <w:rFonts w:ascii="Arial" w:hAnsi="Arial" w:cs="Arial"/>
          <w:b w:val="0"/>
          <w:caps w:val="0"/>
          <w:sz w:val="20"/>
        </w:rPr>
      </w:pPr>
    </w:p>
    <w:p w14:paraId="59D1737D" w14:textId="2E6B9C84" w:rsidR="00AB4697" w:rsidRPr="00DD5E24" w:rsidRDefault="00AB4697" w:rsidP="00783962">
      <w:pPr>
        <w:pStyle w:val="ConcHead"/>
        <w:spacing w:after="0"/>
        <w:contextualSpacing/>
        <w:jc w:val="both"/>
        <w:rPr>
          <w:rFonts w:ascii="Arial" w:hAnsi="Arial" w:cs="Arial"/>
          <w:b w:val="0"/>
          <w:caps w:val="0"/>
          <w:sz w:val="20"/>
        </w:rPr>
      </w:pPr>
      <w:r w:rsidRPr="00DD5E24">
        <w:rPr>
          <w:rFonts w:ascii="Arial" w:hAnsi="Arial" w:cs="Arial"/>
          <w:b w:val="0"/>
          <w:caps w:val="0"/>
          <w:sz w:val="20"/>
        </w:rPr>
        <w:t>Behaviors like thigmotaxis are evolutionary conserved by a wide variety of species, including rodents, fish, and humans (Basnet et al., 2019), which can be used to assess anxiety-like conditions. Thigmotaxis is one of the most commonly used behavioral parameters in preclinical studies employing rodent models, in which animals are placed in a novel environment and, by default, strongly avoid the center of that environment while trying to move close to the edges (</w:t>
      </w:r>
      <w:proofErr w:type="spellStart"/>
      <w:r w:rsidRPr="00DD5E24">
        <w:rPr>
          <w:rFonts w:ascii="Arial" w:hAnsi="Arial" w:cs="Arial"/>
          <w:b w:val="0"/>
          <w:caps w:val="0"/>
          <w:sz w:val="20"/>
        </w:rPr>
        <w:t>Schnörr</w:t>
      </w:r>
      <w:proofErr w:type="spellEnd"/>
      <w:r w:rsidRPr="00DD5E24">
        <w:rPr>
          <w:rFonts w:ascii="Arial" w:hAnsi="Arial" w:cs="Arial"/>
          <w:b w:val="0"/>
          <w:caps w:val="0"/>
          <w:sz w:val="20"/>
        </w:rPr>
        <w:t xml:space="preserve"> et al. 2012). In our thigmotaxis tests, larvae were placed in an unfamiliar environment. Fish showing apparent teratogenic defects or that impaired swimming </w:t>
      </w:r>
      <w:r w:rsidR="002F2EC2" w:rsidRPr="00DD5E24">
        <w:rPr>
          <w:rFonts w:ascii="Arial" w:hAnsi="Arial" w:cs="Arial"/>
          <w:b w:val="0"/>
          <w:caps w:val="0"/>
          <w:sz w:val="20"/>
        </w:rPr>
        <w:t>is</w:t>
      </w:r>
      <w:r w:rsidRPr="00DD5E24">
        <w:rPr>
          <w:rFonts w:ascii="Arial" w:hAnsi="Arial" w:cs="Arial"/>
          <w:b w:val="0"/>
          <w:caps w:val="0"/>
          <w:sz w:val="20"/>
        </w:rPr>
        <w:t xml:space="preserve"> not evaluated. Thigmotaxis </w:t>
      </w:r>
      <w:r w:rsidR="002F2EC2" w:rsidRPr="00DD5E24">
        <w:rPr>
          <w:rFonts w:ascii="Arial" w:hAnsi="Arial" w:cs="Arial"/>
          <w:b w:val="0"/>
          <w:caps w:val="0"/>
          <w:sz w:val="20"/>
        </w:rPr>
        <w:t>were</w:t>
      </w:r>
      <w:r w:rsidRPr="00DD5E24">
        <w:rPr>
          <w:rFonts w:ascii="Arial" w:hAnsi="Arial" w:cs="Arial"/>
          <w:b w:val="0"/>
          <w:caps w:val="0"/>
          <w:sz w:val="20"/>
        </w:rPr>
        <w:t xml:space="preserve"> reduced by the two highest concentrations of rotenone (15 and 20 µg/L). Previous studies using zebrafish PD-like models did not analyze anxiety-like behaviors, a non-motor symptom of PD. Wang et al., (2017) evaluated anxiety-like behaviors in the PD-like model of adult zebrafish and found that behavioral symptoms were associated with decreased levels of dopamine.</w:t>
      </w:r>
    </w:p>
    <w:p w14:paraId="68F2BCE6" w14:textId="77777777" w:rsidR="00EF1493" w:rsidRPr="00DD5E24" w:rsidRDefault="00EF1493" w:rsidP="00783962">
      <w:pPr>
        <w:pStyle w:val="ConcHead"/>
        <w:spacing w:after="0"/>
        <w:contextualSpacing/>
        <w:jc w:val="both"/>
        <w:rPr>
          <w:rFonts w:ascii="Arial" w:hAnsi="Arial" w:cs="Arial"/>
          <w:b w:val="0"/>
          <w:caps w:val="0"/>
          <w:sz w:val="20"/>
        </w:rPr>
      </w:pPr>
    </w:p>
    <w:p w14:paraId="122D8CD2" w14:textId="4C7B231B" w:rsidR="00EF1493" w:rsidRPr="00DD5E24" w:rsidRDefault="00EF1493" w:rsidP="00783962">
      <w:pPr>
        <w:pStyle w:val="ConcHead"/>
        <w:spacing w:after="0"/>
        <w:contextualSpacing/>
        <w:jc w:val="both"/>
        <w:rPr>
          <w:rFonts w:ascii="Arial" w:hAnsi="Arial" w:cs="Arial"/>
          <w:b w:val="0"/>
          <w:caps w:val="0"/>
          <w:sz w:val="20"/>
        </w:rPr>
      </w:pPr>
      <w:r w:rsidRPr="00DD5E24">
        <w:rPr>
          <w:rFonts w:ascii="Arial" w:hAnsi="Arial" w:cs="Arial"/>
          <w:b w:val="0"/>
          <w:caps w:val="0"/>
          <w:sz w:val="20"/>
        </w:rPr>
        <w:t xml:space="preserve">Only 20 µg/L of rotenone reduced the response of larvae to physical stimuli and subsequent escape behavior (14.55% compared to the DMSO control). The reduced sensitivity may be due to the neurotoxic action of rotenone and may indicate a mild locomotion defect (Kalyn et </w:t>
      </w:r>
      <w:r w:rsidRPr="00DD5E24">
        <w:rPr>
          <w:rFonts w:ascii="Arial" w:hAnsi="Arial" w:cs="Arial"/>
          <w:b w:val="0"/>
          <w:caps w:val="0"/>
          <w:sz w:val="20"/>
        </w:rPr>
        <w:lastRenderedPageBreak/>
        <w:t>al., 2020). TH and TS behavioral defects were produced in larvae exposed to the highest concentrations of rotenone, even in animals that did not have apparent teratogenic effects.</w:t>
      </w:r>
    </w:p>
    <w:p w14:paraId="65C0C178" w14:textId="77777777" w:rsidR="00FA66C7" w:rsidRPr="00DD5E24" w:rsidRDefault="00FA66C7" w:rsidP="00783962">
      <w:pPr>
        <w:pStyle w:val="ConcHead"/>
        <w:spacing w:after="0"/>
        <w:contextualSpacing/>
        <w:jc w:val="both"/>
        <w:rPr>
          <w:rFonts w:ascii="Arial" w:hAnsi="Arial" w:cs="Arial"/>
          <w:b w:val="0"/>
          <w:caps w:val="0"/>
          <w:sz w:val="20"/>
        </w:rPr>
      </w:pPr>
    </w:p>
    <w:p w14:paraId="4F4C0846" w14:textId="022F427C" w:rsidR="00FA66C7" w:rsidRPr="00DD5E24" w:rsidRDefault="00DD5E24" w:rsidP="00783962">
      <w:pPr>
        <w:pStyle w:val="ConcHead"/>
        <w:spacing w:after="0"/>
        <w:contextualSpacing/>
        <w:jc w:val="center"/>
        <w:rPr>
          <w:rFonts w:ascii="Arial" w:hAnsi="Arial" w:cs="Arial"/>
          <w:b w:val="0"/>
          <w:caps w:val="0"/>
          <w:sz w:val="20"/>
        </w:rPr>
      </w:pPr>
      <w:r w:rsidRPr="00DD5E24">
        <w:rPr>
          <w:rFonts w:ascii="Arial" w:hAnsi="Arial" w:cs="Arial"/>
          <w:b w:val="0"/>
          <w:caps w:val="0"/>
          <w:noProof/>
          <w:sz w:val="20"/>
        </w:rPr>
        <w:drawing>
          <wp:inline distT="0" distB="0" distL="0" distR="0" wp14:anchorId="080F4049" wp14:editId="4DA1F091">
            <wp:extent cx="5200650" cy="4737100"/>
            <wp:effectExtent l="0" t="0" r="0" b="6350"/>
            <wp:docPr id="93489239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0650" cy="4737100"/>
                    </a:xfrm>
                    <a:prstGeom prst="rect">
                      <a:avLst/>
                    </a:prstGeom>
                    <a:noFill/>
                    <a:ln>
                      <a:noFill/>
                    </a:ln>
                  </pic:spPr>
                </pic:pic>
              </a:graphicData>
            </a:graphic>
          </wp:inline>
        </w:drawing>
      </w:r>
    </w:p>
    <w:p w14:paraId="4D19CA4B" w14:textId="77777777" w:rsidR="00FA66C7" w:rsidRPr="00DD5E24" w:rsidRDefault="00FA66C7" w:rsidP="00783962">
      <w:pPr>
        <w:pStyle w:val="ConcHead"/>
        <w:spacing w:after="0"/>
        <w:contextualSpacing/>
        <w:jc w:val="both"/>
        <w:rPr>
          <w:rFonts w:ascii="Arial" w:hAnsi="Arial" w:cs="Arial"/>
          <w:b w:val="0"/>
          <w:caps w:val="0"/>
          <w:sz w:val="20"/>
        </w:rPr>
      </w:pPr>
    </w:p>
    <w:p w14:paraId="6C12C475" w14:textId="00F7E04C" w:rsidR="00FA66C7" w:rsidRPr="00DD5E24" w:rsidRDefault="00FA66C7" w:rsidP="00783962">
      <w:pPr>
        <w:pStyle w:val="ConcHead"/>
        <w:spacing w:after="0"/>
        <w:contextualSpacing/>
        <w:jc w:val="both"/>
        <w:rPr>
          <w:rFonts w:ascii="Arial" w:hAnsi="Arial" w:cs="Arial"/>
          <w:b w:val="0"/>
          <w:caps w:val="0"/>
          <w:sz w:val="20"/>
        </w:rPr>
      </w:pPr>
      <w:r w:rsidRPr="00DD5E24">
        <w:rPr>
          <w:rFonts w:ascii="Arial" w:hAnsi="Arial" w:cs="Arial"/>
          <w:bCs/>
          <w:caps w:val="0"/>
          <w:sz w:val="20"/>
        </w:rPr>
        <w:t>Fig. 7. Zebrafish larvae exposed to high rotenone concentrations showed reduced thigmotaxis and touch sensitivity response.</w:t>
      </w:r>
      <w:r w:rsidRPr="00DD5E24">
        <w:rPr>
          <w:rFonts w:ascii="Arial" w:hAnsi="Arial" w:cs="Arial"/>
          <w:b w:val="0"/>
          <w:caps w:val="0"/>
          <w:sz w:val="20"/>
        </w:rPr>
        <w:t xml:space="preserve"> (</w:t>
      </w:r>
      <w:r w:rsidRPr="00DD5E24">
        <w:rPr>
          <w:rFonts w:ascii="Arial" w:hAnsi="Arial" w:cs="Arial"/>
          <w:bCs/>
          <w:caps w:val="0"/>
          <w:sz w:val="20"/>
        </w:rPr>
        <w:t>a) Thigmotaxis test evaluates anxiety-like behaviors in zebrafish larvae.</w:t>
      </w:r>
      <w:r w:rsidRPr="00DD5E24">
        <w:rPr>
          <w:rFonts w:ascii="Arial" w:hAnsi="Arial" w:cs="Arial"/>
          <w:b w:val="0"/>
          <w:caps w:val="0"/>
          <w:sz w:val="20"/>
        </w:rPr>
        <w:t xml:space="preserve"> The </w:t>
      </w:r>
      <w:r w:rsidR="002F2EC2" w:rsidRPr="00DD5E24">
        <w:rPr>
          <w:rFonts w:ascii="Arial" w:hAnsi="Arial" w:cs="Arial"/>
          <w:b w:val="0"/>
          <w:caps w:val="0"/>
          <w:sz w:val="20"/>
        </w:rPr>
        <w:t>percentage</w:t>
      </w:r>
      <w:r w:rsidRPr="00DD5E24">
        <w:rPr>
          <w:rFonts w:ascii="Arial" w:hAnsi="Arial" w:cs="Arial"/>
          <w:b w:val="0"/>
          <w:caps w:val="0"/>
          <w:sz w:val="20"/>
        </w:rPr>
        <w:t xml:space="preserve"> response from each group was compared with the DMSO group by one-way ANOVA (</w:t>
      </w:r>
      <w:proofErr w:type="gramStart"/>
      <w:r w:rsidRPr="00DD5E24">
        <w:rPr>
          <w:rFonts w:ascii="Arial" w:hAnsi="Arial" w:cs="Arial"/>
          <w:b w:val="0"/>
          <w:caps w:val="0"/>
          <w:sz w:val="20"/>
        </w:rPr>
        <w:t>F(</w:t>
      </w:r>
      <w:proofErr w:type="gramEnd"/>
      <w:r w:rsidRPr="00DD5E24">
        <w:rPr>
          <w:rFonts w:ascii="Arial" w:hAnsi="Arial" w:cs="Arial"/>
          <w:b w:val="0"/>
          <w:caps w:val="0"/>
          <w:sz w:val="20"/>
        </w:rPr>
        <w:t>4,34) = 6.165</w:t>
      </w:r>
      <w:r w:rsidRPr="00DD5E24">
        <w:rPr>
          <w:rFonts w:ascii="Arial" w:hAnsi="Arial" w:cs="Arial"/>
          <w:b w:val="0"/>
          <w:i/>
          <w:iCs/>
          <w:caps w:val="0"/>
          <w:sz w:val="20"/>
        </w:rPr>
        <w:t xml:space="preserve"> P </w:t>
      </w:r>
      <w:r w:rsidRPr="00DD5E24">
        <w:rPr>
          <w:rFonts w:ascii="Arial" w:hAnsi="Arial" w:cs="Arial"/>
          <w:b w:val="0"/>
          <w:caps w:val="0"/>
          <w:sz w:val="20"/>
        </w:rPr>
        <w:t>&lt; .05) followed by Tukey's test (ROT5</w:t>
      </w:r>
      <w:r w:rsidRPr="00DD5E24">
        <w:rPr>
          <w:rFonts w:ascii="Arial" w:hAnsi="Arial" w:cs="Arial"/>
          <w:b w:val="0"/>
          <w:i/>
          <w:iCs/>
          <w:caps w:val="0"/>
          <w:sz w:val="20"/>
        </w:rPr>
        <w:t xml:space="preserve"> P </w:t>
      </w:r>
      <w:r w:rsidRPr="00DD5E24">
        <w:rPr>
          <w:rFonts w:ascii="Arial" w:hAnsi="Arial" w:cs="Arial"/>
          <w:b w:val="0"/>
          <w:caps w:val="0"/>
          <w:sz w:val="20"/>
        </w:rPr>
        <w:t>= .67, ROT10</w:t>
      </w:r>
      <w:r w:rsidRPr="00DD5E24">
        <w:rPr>
          <w:rFonts w:ascii="Arial" w:hAnsi="Arial" w:cs="Arial"/>
          <w:b w:val="0"/>
          <w:i/>
          <w:iCs/>
          <w:caps w:val="0"/>
          <w:sz w:val="20"/>
        </w:rPr>
        <w:t xml:space="preserve"> P </w:t>
      </w:r>
      <w:r w:rsidRPr="00DD5E24">
        <w:rPr>
          <w:rFonts w:ascii="Arial" w:hAnsi="Arial" w:cs="Arial"/>
          <w:b w:val="0"/>
          <w:caps w:val="0"/>
          <w:sz w:val="20"/>
        </w:rPr>
        <w:t>= .26, ROT15</w:t>
      </w:r>
      <w:r w:rsidRPr="00DD5E24">
        <w:rPr>
          <w:rFonts w:ascii="Arial" w:hAnsi="Arial" w:cs="Arial"/>
          <w:b w:val="0"/>
          <w:i/>
          <w:iCs/>
          <w:caps w:val="0"/>
          <w:sz w:val="20"/>
        </w:rPr>
        <w:t xml:space="preserve"> P </w:t>
      </w:r>
      <w:r w:rsidRPr="00DD5E24">
        <w:rPr>
          <w:rFonts w:ascii="Arial" w:hAnsi="Arial" w:cs="Arial"/>
          <w:b w:val="0"/>
          <w:caps w:val="0"/>
          <w:sz w:val="20"/>
        </w:rPr>
        <w:t>= .013, ROT20</w:t>
      </w:r>
      <w:r w:rsidRPr="00DD5E24">
        <w:rPr>
          <w:rFonts w:ascii="Arial" w:hAnsi="Arial" w:cs="Arial"/>
          <w:b w:val="0"/>
          <w:i/>
          <w:iCs/>
          <w:caps w:val="0"/>
          <w:sz w:val="20"/>
        </w:rPr>
        <w:t xml:space="preserve"> P </w:t>
      </w:r>
      <w:r w:rsidRPr="00DD5E24">
        <w:rPr>
          <w:rFonts w:ascii="Arial" w:hAnsi="Arial" w:cs="Arial"/>
          <w:b w:val="0"/>
          <w:caps w:val="0"/>
          <w:sz w:val="20"/>
        </w:rPr>
        <w:t xml:space="preserve">= .001); </w:t>
      </w:r>
      <w:r w:rsidRPr="00DD5E24">
        <w:rPr>
          <w:rFonts w:ascii="Arial" w:hAnsi="Arial" w:cs="Arial"/>
          <w:bCs/>
          <w:caps w:val="0"/>
          <w:sz w:val="20"/>
        </w:rPr>
        <w:t>(b) Touch Sensitivity test evaluate the larval response to mechanical stimulation.</w:t>
      </w:r>
      <w:r w:rsidRPr="00DD5E24">
        <w:rPr>
          <w:rFonts w:ascii="Arial" w:hAnsi="Arial" w:cs="Arial"/>
          <w:b w:val="0"/>
          <w:caps w:val="0"/>
          <w:sz w:val="20"/>
        </w:rPr>
        <w:t xml:space="preserve"> The </w:t>
      </w:r>
      <w:r w:rsidR="002F2EC2" w:rsidRPr="00DD5E24">
        <w:rPr>
          <w:rFonts w:ascii="Arial" w:hAnsi="Arial" w:cs="Arial"/>
          <w:b w:val="0"/>
          <w:caps w:val="0"/>
          <w:sz w:val="20"/>
        </w:rPr>
        <w:t>percentage</w:t>
      </w:r>
      <w:r w:rsidRPr="00DD5E24">
        <w:rPr>
          <w:rFonts w:ascii="Arial" w:hAnsi="Arial" w:cs="Arial"/>
          <w:b w:val="0"/>
          <w:caps w:val="0"/>
          <w:sz w:val="20"/>
        </w:rPr>
        <w:t xml:space="preserve"> response from each group was compared with the DMSO group by one-way ANOVA (</w:t>
      </w:r>
      <w:proofErr w:type="gramStart"/>
      <w:r w:rsidRPr="00DD5E24">
        <w:rPr>
          <w:rFonts w:ascii="Arial" w:hAnsi="Arial" w:cs="Arial"/>
          <w:b w:val="0"/>
          <w:caps w:val="0"/>
          <w:sz w:val="20"/>
        </w:rPr>
        <w:t>F(</w:t>
      </w:r>
      <w:proofErr w:type="gramEnd"/>
      <w:r w:rsidRPr="00DD5E24">
        <w:rPr>
          <w:rFonts w:ascii="Arial" w:hAnsi="Arial" w:cs="Arial"/>
          <w:b w:val="0"/>
          <w:caps w:val="0"/>
          <w:sz w:val="20"/>
        </w:rPr>
        <w:t>4,12) = 4.366</w:t>
      </w:r>
      <w:r w:rsidRPr="00DD5E24">
        <w:rPr>
          <w:rFonts w:ascii="Arial" w:hAnsi="Arial" w:cs="Arial"/>
          <w:b w:val="0"/>
          <w:i/>
          <w:iCs/>
          <w:caps w:val="0"/>
          <w:sz w:val="20"/>
        </w:rPr>
        <w:t xml:space="preserve"> P </w:t>
      </w:r>
      <w:r w:rsidRPr="00DD5E24">
        <w:rPr>
          <w:rFonts w:ascii="Arial" w:hAnsi="Arial" w:cs="Arial"/>
          <w:b w:val="0"/>
          <w:caps w:val="0"/>
          <w:sz w:val="20"/>
        </w:rPr>
        <w:t>&lt; .05) followed by Tukey's test (ROT5</w:t>
      </w:r>
      <w:r w:rsidRPr="00DD5E24">
        <w:rPr>
          <w:rFonts w:ascii="Arial" w:hAnsi="Arial" w:cs="Arial"/>
          <w:b w:val="0"/>
          <w:i/>
          <w:iCs/>
          <w:caps w:val="0"/>
          <w:sz w:val="20"/>
        </w:rPr>
        <w:t xml:space="preserve"> P </w:t>
      </w:r>
      <w:r w:rsidRPr="00DD5E24">
        <w:rPr>
          <w:rFonts w:ascii="Arial" w:hAnsi="Arial" w:cs="Arial"/>
          <w:b w:val="0"/>
          <w:caps w:val="0"/>
          <w:sz w:val="20"/>
        </w:rPr>
        <w:t>= .63, ROT10</w:t>
      </w:r>
      <w:r w:rsidRPr="00DD5E24">
        <w:rPr>
          <w:rFonts w:ascii="Arial" w:hAnsi="Arial" w:cs="Arial"/>
          <w:b w:val="0"/>
          <w:i/>
          <w:iCs/>
          <w:caps w:val="0"/>
          <w:sz w:val="20"/>
        </w:rPr>
        <w:t xml:space="preserve"> P </w:t>
      </w:r>
      <w:r w:rsidRPr="00DD5E24">
        <w:rPr>
          <w:rFonts w:ascii="Arial" w:hAnsi="Arial" w:cs="Arial"/>
          <w:b w:val="0"/>
          <w:caps w:val="0"/>
          <w:sz w:val="20"/>
        </w:rPr>
        <w:t>= .41, ROT15</w:t>
      </w:r>
      <w:r w:rsidRPr="00DD5E24">
        <w:rPr>
          <w:rFonts w:ascii="Arial" w:hAnsi="Arial" w:cs="Arial"/>
          <w:b w:val="0"/>
          <w:i/>
          <w:iCs/>
          <w:caps w:val="0"/>
          <w:sz w:val="20"/>
        </w:rPr>
        <w:t xml:space="preserve"> P </w:t>
      </w:r>
      <w:r w:rsidRPr="00DD5E24">
        <w:rPr>
          <w:rFonts w:ascii="Arial" w:hAnsi="Arial" w:cs="Arial"/>
          <w:b w:val="0"/>
          <w:caps w:val="0"/>
          <w:sz w:val="20"/>
        </w:rPr>
        <w:t>= .99, ROT20</w:t>
      </w:r>
      <w:r w:rsidRPr="00DD5E24">
        <w:rPr>
          <w:rFonts w:ascii="Arial" w:hAnsi="Arial" w:cs="Arial"/>
          <w:b w:val="0"/>
          <w:i/>
          <w:iCs/>
          <w:caps w:val="0"/>
          <w:sz w:val="20"/>
        </w:rPr>
        <w:t xml:space="preserve"> P </w:t>
      </w:r>
      <w:r w:rsidRPr="00DD5E24">
        <w:rPr>
          <w:rFonts w:ascii="Arial" w:hAnsi="Arial" w:cs="Arial"/>
          <w:b w:val="0"/>
          <w:caps w:val="0"/>
          <w:sz w:val="20"/>
        </w:rPr>
        <w:t xml:space="preserve">= .009). </w:t>
      </w:r>
      <w:r w:rsidRPr="00DD5E24">
        <w:rPr>
          <w:rFonts w:ascii="Arial" w:hAnsi="Arial" w:cs="Arial"/>
          <w:bCs/>
          <w:caps w:val="0"/>
          <w:sz w:val="20"/>
        </w:rPr>
        <w:t>(c) The optomotor response of the zebrafish as a percentage of the total and compared using McNemar test of symmetry on the same group between the initial compared with middle positions.</w:t>
      </w:r>
      <w:r w:rsidRPr="00DD5E24">
        <w:rPr>
          <w:rFonts w:ascii="Arial" w:hAnsi="Arial" w:cs="Arial"/>
          <w:b w:val="0"/>
          <w:caps w:val="0"/>
          <w:sz w:val="20"/>
        </w:rPr>
        <w:t xml:space="preserve"> * =</w:t>
      </w:r>
      <w:r w:rsidRPr="00DD5E24">
        <w:rPr>
          <w:rFonts w:ascii="Arial" w:hAnsi="Arial" w:cs="Arial"/>
          <w:b w:val="0"/>
          <w:i/>
          <w:iCs/>
          <w:caps w:val="0"/>
          <w:sz w:val="20"/>
        </w:rPr>
        <w:t xml:space="preserve"> P </w:t>
      </w:r>
      <w:r w:rsidRPr="00DD5E24">
        <w:rPr>
          <w:rFonts w:ascii="Arial" w:hAnsi="Arial" w:cs="Arial"/>
          <w:b w:val="0"/>
          <w:caps w:val="0"/>
          <w:sz w:val="20"/>
        </w:rPr>
        <w:t>&lt; 0.05. (Initial position against middle position: DMSO</w:t>
      </w:r>
      <w:r w:rsidRPr="00DD5E24">
        <w:rPr>
          <w:rFonts w:ascii="Arial" w:hAnsi="Arial" w:cs="Arial"/>
          <w:b w:val="0"/>
          <w:i/>
          <w:iCs/>
          <w:caps w:val="0"/>
          <w:sz w:val="20"/>
        </w:rPr>
        <w:t xml:space="preserve"> P </w:t>
      </w:r>
      <w:r w:rsidRPr="00DD5E24">
        <w:rPr>
          <w:rFonts w:ascii="Arial" w:hAnsi="Arial" w:cs="Arial"/>
          <w:b w:val="0"/>
          <w:caps w:val="0"/>
          <w:sz w:val="20"/>
        </w:rPr>
        <w:t>&lt; .001; ROT5</w:t>
      </w:r>
      <w:r w:rsidRPr="00DD5E24">
        <w:rPr>
          <w:rFonts w:ascii="Arial" w:hAnsi="Arial" w:cs="Arial"/>
          <w:b w:val="0"/>
          <w:i/>
          <w:iCs/>
          <w:caps w:val="0"/>
          <w:sz w:val="20"/>
        </w:rPr>
        <w:t xml:space="preserve"> P </w:t>
      </w:r>
      <w:r w:rsidRPr="00DD5E24">
        <w:rPr>
          <w:rFonts w:ascii="Arial" w:hAnsi="Arial" w:cs="Arial"/>
          <w:b w:val="0"/>
          <w:caps w:val="0"/>
          <w:sz w:val="20"/>
        </w:rPr>
        <w:t>&lt; .001; ROT10</w:t>
      </w:r>
      <w:r w:rsidRPr="00DD5E24">
        <w:rPr>
          <w:rFonts w:ascii="Arial" w:hAnsi="Arial" w:cs="Arial"/>
          <w:b w:val="0"/>
          <w:i/>
          <w:iCs/>
          <w:caps w:val="0"/>
          <w:sz w:val="20"/>
        </w:rPr>
        <w:t xml:space="preserve"> P </w:t>
      </w:r>
      <w:r w:rsidRPr="00DD5E24">
        <w:rPr>
          <w:rFonts w:ascii="Arial" w:hAnsi="Arial" w:cs="Arial"/>
          <w:b w:val="0"/>
          <w:caps w:val="0"/>
          <w:sz w:val="20"/>
        </w:rPr>
        <w:t>&lt; .001; ROT15</w:t>
      </w:r>
      <w:r w:rsidRPr="00DD5E24">
        <w:rPr>
          <w:rFonts w:ascii="Arial" w:hAnsi="Arial" w:cs="Arial"/>
          <w:b w:val="0"/>
          <w:i/>
          <w:iCs/>
          <w:caps w:val="0"/>
          <w:sz w:val="20"/>
        </w:rPr>
        <w:t xml:space="preserve"> P </w:t>
      </w:r>
      <w:r w:rsidRPr="00DD5E24">
        <w:rPr>
          <w:rFonts w:ascii="Arial" w:hAnsi="Arial" w:cs="Arial"/>
          <w:b w:val="0"/>
          <w:caps w:val="0"/>
          <w:sz w:val="20"/>
        </w:rPr>
        <w:t>&lt; .001; ROT20</w:t>
      </w:r>
      <w:r w:rsidRPr="00DD5E24">
        <w:rPr>
          <w:rFonts w:ascii="Arial" w:hAnsi="Arial" w:cs="Arial"/>
          <w:b w:val="0"/>
          <w:i/>
          <w:iCs/>
          <w:caps w:val="0"/>
          <w:sz w:val="20"/>
        </w:rPr>
        <w:t xml:space="preserve"> P </w:t>
      </w:r>
      <w:r w:rsidRPr="00DD5E24">
        <w:rPr>
          <w:rFonts w:ascii="Arial" w:hAnsi="Arial" w:cs="Arial"/>
          <w:b w:val="0"/>
          <w:caps w:val="0"/>
          <w:sz w:val="20"/>
        </w:rPr>
        <w:t>&lt; .001. Initial position against final position: DMSO</w:t>
      </w:r>
      <w:r w:rsidRPr="00DD5E24">
        <w:rPr>
          <w:rFonts w:ascii="Arial" w:hAnsi="Arial" w:cs="Arial"/>
          <w:b w:val="0"/>
          <w:i/>
          <w:iCs/>
          <w:caps w:val="0"/>
          <w:sz w:val="20"/>
        </w:rPr>
        <w:t xml:space="preserve"> P </w:t>
      </w:r>
      <w:r w:rsidRPr="00DD5E24">
        <w:rPr>
          <w:rFonts w:ascii="Arial" w:hAnsi="Arial" w:cs="Arial"/>
          <w:b w:val="0"/>
          <w:caps w:val="0"/>
          <w:sz w:val="20"/>
        </w:rPr>
        <w:t>&lt; .001; ROT5</w:t>
      </w:r>
      <w:r w:rsidRPr="00DD5E24">
        <w:rPr>
          <w:rFonts w:ascii="Arial" w:hAnsi="Arial" w:cs="Arial"/>
          <w:b w:val="0"/>
          <w:i/>
          <w:iCs/>
          <w:caps w:val="0"/>
          <w:sz w:val="20"/>
        </w:rPr>
        <w:t xml:space="preserve"> P </w:t>
      </w:r>
      <w:r w:rsidRPr="00DD5E24">
        <w:rPr>
          <w:rFonts w:ascii="Arial" w:hAnsi="Arial" w:cs="Arial"/>
          <w:b w:val="0"/>
          <w:caps w:val="0"/>
          <w:sz w:val="20"/>
        </w:rPr>
        <w:t>&lt; .001; ROT10</w:t>
      </w:r>
      <w:r w:rsidRPr="00DD5E24">
        <w:rPr>
          <w:rFonts w:ascii="Arial" w:hAnsi="Arial" w:cs="Arial"/>
          <w:b w:val="0"/>
          <w:i/>
          <w:iCs/>
          <w:caps w:val="0"/>
          <w:sz w:val="20"/>
        </w:rPr>
        <w:t xml:space="preserve"> P </w:t>
      </w:r>
      <w:r w:rsidRPr="00DD5E24">
        <w:rPr>
          <w:rFonts w:ascii="Arial" w:hAnsi="Arial" w:cs="Arial"/>
          <w:b w:val="0"/>
          <w:caps w:val="0"/>
          <w:sz w:val="20"/>
        </w:rPr>
        <w:t>&lt; .001; ROT15</w:t>
      </w:r>
      <w:r w:rsidRPr="00DD5E24">
        <w:rPr>
          <w:rFonts w:ascii="Arial" w:hAnsi="Arial" w:cs="Arial"/>
          <w:b w:val="0"/>
          <w:i/>
          <w:iCs/>
          <w:caps w:val="0"/>
          <w:sz w:val="20"/>
        </w:rPr>
        <w:t xml:space="preserve"> P </w:t>
      </w:r>
      <w:r w:rsidRPr="00DD5E24">
        <w:rPr>
          <w:rFonts w:ascii="Arial" w:hAnsi="Arial" w:cs="Arial"/>
          <w:b w:val="0"/>
          <w:caps w:val="0"/>
          <w:sz w:val="20"/>
        </w:rPr>
        <w:t xml:space="preserve">&lt; </w:t>
      </w:r>
      <w:r w:rsidRPr="00DD5E24">
        <w:rPr>
          <w:rFonts w:ascii="Arial" w:hAnsi="Arial" w:cs="Arial"/>
          <w:b w:val="0"/>
          <w:caps w:val="0"/>
          <w:sz w:val="20"/>
        </w:rPr>
        <w:lastRenderedPageBreak/>
        <w:t>.001; ROT20</w:t>
      </w:r>
      <w:r w:rsidRPr="00DD5E24">
        <w:rPr>
          <w:rFonts w:ascii="Arial" w:hAnsi="Arial" w:cs="Arial"/>
          <w:b w:val="0"/>
          <w:i/>
          <w:iCs/>
          <w:caps w:val="0"/>
          <w:sz w:val="20"/>
        </w:rPr>
        <w:t xml:space="preserve"> P </w:t>
      </w:r>
      <w:r w:rsidRPr="00DD5E24">
        <w:rPr>
          <w:rFonts w:ascii="Arial" w:hAnsi="Arial" w:cs="Arial"/>
          <w:b w:val="0"/>
          <w:caps w:val="0"/>
          <w:sz w:val="20"/>
        </w:rPr>
        <w:t>&lt; .001). Legend: DMSO – 0.1% (v/v) Dimethyl sulfoxide; ROT5, ROT10, ROT15, and ROT20 – 5, 10, 15 and 20 µg/L of rotenone, respectively.</w:t>
      </w:r>
    </w:p>
    <w:p w14:paraId="7DE3A912" w14:textId="77777777" w:rsidR="00FA66C7" w:rsidRPr="00DD5E24" w:rsidRDefault="00FA66C7" w:rsidP="00783962">
      <w:pPr>
        <w:pStyle w:val="ConcHead"/>
        <w:spacing w:after="0"/>
        <w:contextualSpacing/>
        <w:jc w:val="both"/>
        <w:rPr>
          <w:rFonts w:ascii="Arial" w:hAnsi="Arial" w:cs="Arial"/>
        </w:rPr>
      </w:pPr>
    </w:p>
    <w:p w14:paraId="2865EA4F" w14:textId="61E62A66" w:rsidR="00A05AEC" w:rsidRPr="00DD5E24" w:rsidRDefault="00A05AEC" w:rsidP="00783962">
      <w:pPr>
        <w:pStyle w:val="ConcHead"/>
        <w:spacing w:after="0"/>
        <w:contextualSpacing/>
        <w:jc w:val="both"/>
        <w:rPr>
          <w:rFonts w:ascii="Arial" w:hAnsi="Arial" w:cs="Arial"/>
        </w:rPr>
      </w:pPr>
      <w:r w:rsidRPr="00DD5E24">
        <w:rPr>
          <w:rFonts w:ascii="Arial" w:hAnsi="Arial" w:cs="Arial"/>
          <w:b w:val="0"/>
          <w:caps w:val="0"/>
          <w:sz w:val="20"/>
        </w:rPr>
        <w:t xml:space="preserve">The OMR test evaluates visual and motor activities in zebrafish larvae. This assessment is useful since many patients with PD have sensory dysfunctions, such as changes in visual perception (Weil et al., 2016). Rotenone causes retinal degeneration in rats (Sasaoka et al., 2020). Zebrafish larvae exposed to 6-OHDA had optomotor damage at 7 </w:t>
      </w:r>
      <w:proofErr w:type="spellStart"/>
      <w:r w:rsidRPr="00DD5E24">
        <w:rPr>
          <w:rFonts w:ascii="Arial" w:hAnsi="Arial" w:cs="Arial"/>
          <w:b w:val="0"/>
          <w:caps w:val="0"/>
          <w:sz w:val="20"/>
        </w:rPr>
        <w:t>dpf</w:t>
      </w:r>
      <w:proofErr w:type="spellEnd"/>
      <w:r w:rsidRPr="00DD5E24">
        <w:rPr>
          <w:rFonts w:ascii="Arial" w:hAnsi="Arial" w:cs="Arial"/>
          <w:b w:val="0"/>
          <w:caps w:val="0"/>
          <w:sz w:val="20"/>
        </w:rPr>
        <w:t xml:space="preserve"> (</w:t>
      </w:r>
      <w:proofErr w:type="spellStart"/>
      <w:r w:rsidRPr="00DD5E24">
        <w:rPr>
          <w:rFonts w:ascii="Arial" w:hAnsi="Arial" w:cs="Arial"/>
          <w:b w:val="0"/>
          <w:caps w:val="0"/>
          <w:sz w:val="20"/>
        </w:rPr>
        <w:t>Bevenutti</w:t>
      </w:r>
      <w:proofErr w:type="spellEnd"/>
      <w:r w:rsidRPr="00DD5E24">
        <w:rPr>
          <w:rFonts w:ascii="Arial" w:hAnsi="Arial" w:cs="Arial"/>
          <w:b w:val="0"/>
          <w:caps w:val="0"/>
          <w:sz w:val="20"/>
        </w:rPr>
        <w:t xml:space="preserve"> et al., 2018), producing locomotor defects and sensory impairment. In our study, all groups exposed to rotenone responded normally to the visual stimulus, indicating that the rotenone concentrations tested were not sufficient to affect animals in this assay, even in the groups that demonstrated alterations in the TH and TS tests.</w:t>
      </w:r>
    </w:p>
    <w:p w14:paraId="4D4D147A" w14:textId="77777777" w:rsidR="00B95DD2" w:rsidRPr="00DD5E24" w:rsidRDefault="00B95DD2" w:rsidP="00783962">
      <w:pPr>
        <w:pStyle w:val="ConcHead"/>
        <w:spacing w:after="0"/>
        <w:contextualSpacing/>
        <w:jc w:val="both"/>
        <w:rPr>
          <w:rFonts w:ascii="Arial" w:hAnsi="Arial" w:cs="Arial"/>
        </w:rPr>
      </w:pPr>
    </w:p>
    <w:p w14:paraId="4D069D48" w14:textId="251D1BEE" w:rsidR="00A05AEC" w:rsidRPr="00DD5E24" w:rsidRDefault="00A05AEC" w:rsidP="00783962">
      <w:pPr>
        <w:pStyle w:val="ConcHead"/>
        <w:spacing w:after="0"/>
        <w:contextualSpacing/>
        <w:jc w:val="both"/>
        <w:rPr>
          <w:rFonts w:ascii="Arial" w:hAnsi="Arial" w:cs="Arial"/>
          <w:b w:val="0"/>
          <w:caps w:val="0"/>
          <w:sz w:val="20"/>
        </w:rPr>
      </w:pPr>
      <w:r w:rsidRPr="00DD5E24">
        <w:rPr>
          <w:rFonts w:ascii="Arial" w:hAnsi="Arial" w:cs="Arial"/>
          <w:b w:val="0"/>
          <w:caps w:val="0"/>
          <w:sz w:val="20"/>
        </w:rPr>
        <w:t>The rotenone effects were concentration dependent. Concentrations between 10 to 15 µg/L are recommended (Table 2), in which mortality effects are not too severe, but there are significant measurable defects. These rotenone concentrations will be suitable for evaluating drug treatments for symptoms in the zebrafish PD-like model.</w:t>
      </w:r>
    </w:p>
    <w:p w14:paraId="1D7EC0A2" w14:textId="77777777" w:rsidR="00A05AEC" w:rsidRPr="00DD5E24" w:rsidRDefault="00A05AEC" w:rsidP="00783962">
      <w:pPr>
        <w:pStyle w:val="ConcHead"/>
        <w:spacing w:after="0"/>
        <w:contextualSpacing/>
        <w:jc w:val="both"/>
        <w:rPr>
          <w:rFonts w:ascii="Arial" w:hAnsi="Arial" w:cs="Arial"/>
          <w:b w:val="0"/>
          <w:caps w:val="0"/>
          <w:sz w:val="20"/>
        </w:rPr>
      </w:pPr>
    </w:p>
    <w:p w14:paraId="743C5B05" w14:textId="77777777" w:rsidR="00A05AEC" w:rsidRPr="00DD5E24" w:rsidRDefault="00A05AEC" w:rsidP="00783962">
      <w:pPr>
        <w:contextualSpacing/>
        <w:rPr>
          <w:rFonts w:ascii="Arial" w:eastAsia="Calibri" w:hAnsi="Arial" w:cs="Arial"/>
          <w:b/>
          <w:bCs/>
        </w:rPr>
      </w:pPr>
      <w:r w:rsidRPr="00DD5E24">
        <w:rPr>
          <w:rFonts w:ascii="Arial" w:eastAsia="Calibri" w:hAnsi="Arial" w:cs="Arial"/>
          <w:b/>
          <w:bCs/>
        </w:rPr>
        <w:t>Table 2. Summary of observed effects caused by different concentrations of rotenone on the parameters evaluated in zebrafish PD-like model.</w:t>
      </w:r>
    </w:p>
    <w:tbl>
      <w:tblPr>
        <w:tblStyle w:val="Tabelacomgrade2"/>
        <w:tblW w:w="5000" w:type="pct"/>
        <w:jc w:val="center"/>
        <w:tblLook w:val="04A0" w:firstRow="1" w:lastRow="0" w:firstColumn="1" w:lastColumn="0" w:noHBand="0" w:noVBand="1"/>
      </w:tblPr>
      <w:tblGrid>
        <w:gridCol w:w="861"/>
        <w:gridCol w:w="1395"/>
        <w:gridCol w:w="1273"/>
        <w:gridCol w:w="972"/>
        <w:gridCol w:w="516"/>
        <w:gridCol w:w="516"/>
        <w:gridCol w:w="683"/>
        <w:gridCol w:w="695"/>
        <w:gridCol w:w="561"/>
        <w:gridCol w:w="736"/>
      </w:tblGrid>
      <w:tr w:rsidR="00A05AEC" w:rsidRPr="00DD5E24" w14:paraId="3EEF32CE" w14:textId="77777777" w:rsidTr="00CF6E20">
        <w:trPr>
          <w:trHeight w:val="304"/>
          <w:jc w:val="center"/>
        </w:trPr>
        <w:tc>
          <w:tcPr>
            <w:tcW w:w="447" w:type="pct"/>
            <w:vMerge w:val="restart"/>
            <w:tcBorders>
              <w:left w:val="nil"/>
              <w:bottom w:val="single" w:sz="4" w:space="0" w:color="auto"/>
              <w:right w:val="nil"/>
            </w:tcBorders>
            <w:vAlign w:val="center"/>
          </w:tcPr>
          <w:p w14:paraId="4A7CD7A3" w14:textId="77777777" w:rsidR="00A05AEC" w:rsidRPr="00DD5E24" w:rsidRDefault="00A05AEC" w:rsidP="00783962">
            <w:pPr>
              <w:contextualSpacing/>
              <w:jc w:val="center"/>
              <w:rPr>
                <w:rFonts w:ascii="Arial" w:hAnsi="Arial" w:cs="Arial"/>
                <w:bCs/>
                <w:sz w:val="20"/>
                <w:szCs w:val="20"/>
                <w:lang w:val="en-US"/>
              </w:rPr>
            </w:pPr>
          </w:p>
          <w:p w14:paraId="326955C4" w14:textId="77777777" w:rsidR="00A05AEC" w:rsidRPr="00DD5E24" w:rsidRDefault="00A05AEC" w:rsidP="00783962">
            <w:pPr>
              <w:contextualSpacing/>
              <w:jc w:val="center"/>
              <w:rPr>
                <w:rFonts w:ascii="Arial" w:hAnsi="Arial" w:cs="Arial"/>
                <w:bCs/>
                <w:sz w:val="20"/>
                <w:szCs w:val="20"/>
                <w:lang w:val="en-US"/>
              </w:rPr>
            </w:pPr>
          </w:p>
        </w:tc>
        <w:tc>
          <w:tcPr>
            <w:tcW w:w="724" w:type="pct"/>
            <w:tcBorders>
              <w:left w:val="nil"/>
              <w:bottom w:val="single" w:sz="4" w:space="0" w:color="auto"/>
              <w:right w:val="nil"/>
            </w:tcBorders>
            <w:vAlign w:val="center"/>
          </w:tcPr>
          <w:p w14:paraId="0E0C19F8"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Development</w:t>
            </w:r>
          </w:p>
        </w:tc>
        <w:tc>
          <w:tcPr>
            <w:tcW w:w="1272" w:type="pct"/>
            <w:gridSpan w:val="2"/>
            <w:tcBorders>
              <w:left w:val="nil"/>
              <w:bottom w:val="single" w:sz="4" w:space="0" w:color="auto"/>
              <w:right w:val="nil"/>
            </w:tcBorders>
            <w:vAlign w:val="center"/>
          </w:tcPr>
          <w:p w14:paraId="014D09CD"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Affected Animals</w:t>
            </w:r>
          </w:p>
        </w:tc>
        <w:tc>
          <w:tcPr>
            <w:tcW w:w="1120" w:type="pct"/>
            <w:gridSpan w:val="3"/>
            <w:tcBorders>
              <w:left w:val="nil"/>
              <w:bottom w:val="single" w:sz="4" w:space="0" w:color="auto"/>
              <w:right w:val="nil"/>
            </w:tcBorders>
            <w:vAlign w:val="center"/>
          </w:tcPr>
          <w:p w14:paraId="037DB4A0"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Behavioral Tests</w:t>
            </w:r>
          </w:p>
        </w:tc>
        <w:tc>
          <w:tcPr>
            <w:tcW w:w="1437" w:type="pct"/>
            <w:gridSpan w:val="3"/>
            <w:tcBorders>
              <w:left w:val="nil"/>
              <w:bottom w:val="single" w:sz="4" w:space="0" w:color="auto"/>
              <w:right w:val="nil"/>
            </w:tcBorders>
            <w:vAlign w:val="center"/>
          </w:tcPr>
          <w:p w14:paraId="0887059E"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Morphometric Measurements</w:t>
            </w:r>
          </w:p>
        </w:tc>
      </w:tr>
      <w:tr w:rsidR="00A05AEC" w:rsidRPr="00DD5E24" w14:paraId="622D7696" w14:textId="77777777" w:rsidTr="00CF6E20">
        <w:trPr>
          <w:trHeight w:val="304"/>
          <w:jc w:val="center"/>
        </w:trPr>
        <w:tc>
          <w:tcPr>
            <w:tcW w:w="447" w:type="pct"/>
            <w:vMerge/>
            <w:tcBorders>
              <w:top w:val="nil"/>
              <w:left w:val="nil"/>
              <w:bottom w:val="single" w:sz="4" w:space="0" w:color="auto"/>
              <w:right w:val="nil"/>
            </w:tcBorders>
            <w:vAlign w:val="center"/>
          </w:tcPr>
          <w:p w14:paraId="797CF071" w14:textId="77777777" w:rsidR="00A05AEC" w:rsidRPr="00DD5E24" w:rsidRDefault="00A05AEC" w:rsidP="00783962">
            <w:pPr>
              <w:contextualSpacing/>
              <w:jc w:val="center"/>
              <w:rPr>
                <w:rFonts w:ascii="Arial" w:hAnsi="Arial" w:cs="Arial"/>
                <w:bCs/>
                <w:sz w:val="20"/>
                <w:szCs w:val="20"/>
                <w:lang w:val="en-US"/>
              </w:rPr>
            </w:pPr>
          </w:p>
        </w:tc>
        <w:tc>
          <w:tcPr>
            <w:tcW w:w="724" w:type="pct"/>
            <w:tcBorders>
              <w:top w:val="single" w:sz="4" w:space="0" w:color="auto"/>
              <w:left w:val="nil"/>
              <w:bottom w:val="single" w:sz="4" w:space="0" w:color="auto"/>
              <w:right w:val="nil"/>
            </w:tcBorders>
            <w:vAlign w:val="center"/>
          </w:tcPr>
          <w:p w14:paraId="492108C6"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Epiboly Rate</w:t>
            </w:r>
          </w:p>
        </w:tc>
        <w:tc>
          <w:tcPr>
            <w:tcW w:w="661" w:type="pct"/>
            <w:tcBorders>
              <w:top w:val="single" w:sz="4" w:space="0" w:color="auto"/>
              <w:left w:val="nil"/>
              <w:bottom w:val="single" w:sz="4" w:space="0" w:color="auto"/>
              <w:right w:val="nil"/>
            </w:tcBorders>
            <w:vAlign w:val="center"/>
          </w:tcPr>
          <w:p w14:paraId="135A7929"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Teratogenic</w:t>
            </w:r>
          </w:p>
        </w:tc>
        <w:tc>
          <w:tcPr>
            <w:tcW w:w="611" w:type="pct"/>
            <w:tcBorders>
              <w:top w:val="single" w:sz="4" w:space="0" w:color="auto"/>
              <w:left w:val="nil"/>
              <w:bottom w:val="single" w:sz="4" w:space="0" w:color="auto"/>
              <w:right w:val="nil"/>
            </w:tcBorders>
            <w:vAlign w:val="center"/>
          </w:tcPr>
          <w:p w14:paraId="10E6DC95"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Mortality</w:t>
            </w:r>
          </w:p>
        </w:tc>
        <w:tc>
          <w:tcPr>
            <w:tcW w:w="407" w:type="pct"/>
            <w:tcBorders>
              <w:top w:val="single" w:sz="4" w:space="0" w:color="auto"/>
              <w:left w:val="nil"/>
              <w:bottom w:val="single" w:sz="4" w:space="0" w:color="auto"/>
              <w:right w:val="nil"/>
            </w:tcBorders>
            <w:vAlign w:val="center"/>
          </w:tcPr>
          <w:p w14:paraId="03A90CEF"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TH</w:t>
            </w:r>
          </w:p>
        </w:tc>
        <w:tc>
          <w:tcPr>
            <w:tcW w:w="346" w:type="pct"/>
            <w:tcBorders>
              <w:top w:val="single" w:sz="4" w:space="0" w:color="auto"/>
              <w:left w:val="nil"/>
              <w:bottom w:val="single" w:sz="4" w:space="0" w:color="auto"/>
              <w:right w:val="nil"/>
            </w:tcBorders>
            <w:vAlign w:val="center"/>
          </w:tcPr>
          <w:p w14:paraId="0761E746"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TS</w:t>
            </w:r>
          </w:p>
        </w:tc>
        <w:tc>
          <w:tcPr>
            <w:tcW w:w="367" w:type="pct"/>
            <w:tcBorders>
              <w:top w:val="single" w:sz="4" w:space="0" w:color="auto"/>
              <w:left w:val="nil"/>
              <w:bottom w:val="single" w:sz="4" w:space="0" w:color="auto"/>
              <w:right w:val="nil"/>
            </w:tcBorders>
            <w:vAlign w:val="center"/>
          </w:tcPr>
          <w:p w14:paraId="51F20F9E"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OMR</w:t>
            </w:r>
          </w:p>
        </w:tc>
        <w:tc>
          <w:tcPr>
            <w:tcW w:w="364" w:type="pct"/>
            <w:tcBorders>
              <w:top w:val="single" w:sz="4" w:space="0" w:color="auto"/>
              <w:left w:val="nil"/>
              <w:bottom w:val="single" w:sz="4" w:space="0" w:color="auto"/>
              <w:right w:val="nil"/>
            </w:tcBorders>
            <w:vAlign w:val="center"/>
          </w:tcPr>
          <w:p w14:paraId="4E4DFA29"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Head</w:t>
            </w:r>
          </w:p>
        </w:tc>
        <w:tc>
          <w:tcPr>
            <w:tcW w:w="530" w:type="pct"/>
            <w:tcBorders>
              <w:top w:val="single" w:sz="4" w:space="0" w:color="auto"/>
              <w:left w:val="nil"/>
              <w:bottom w:val="single" w:sz="4" w:space="0" w:color="auto"/>
              <w:right w:val="nil"/>
            </w:tcBorders>
            <w:vAlign w:val="center"/>
          </w:tcPr>
          <w:p w14:paraId="2082E7F7"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Eye</w:t>
            </w:r>
          </w:p>
        </w:tc>
        <w:tc>
          <w:tcPr>
            <w:tcW w:w="542" w:type="pct"/>
            <w:tcBorders>
              <w:top w:val="single" w:sz="4" w:space="0" w:color="auto"/>
              <w:left w:val="nil"/>
              <w:bottom w:val="single" w:sz="4" w:space="0" w:color="auto"/>
              <w:right w:val="nil"/>
            </w:tcBorders>
            <w:vAlign w:val="center"/>
          </w:tcPr>
          <w:p w14:paraId="5909A5E0"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Body</w:t>
            </w:r>
          </w:p>
        </w:tc>
      </w:tr>
      <w:tr w:rsidR="00A05AEC" w:rsidRPr="00DD5E24" w14:paraId="01D021CC" w14:textId="77777777" w:rsidTr="00CF6E20">
        <w:trPr>
          <w:trHeight w:val="304"/>
          <w:jc w:val="center"/>
        </w:trPr>
        <w:tc>
          <w:tcPr>
            <w:tcW w:w="447" w:type="pct"/>
            <w:tcBorders>
              <w:top w:val="single" w:sz="4" w:space="0" w:color="auto"/>
              <w:left w:val="nil"/>
              <w:bottom w:val="nil"/>
              <w:right w:val="nil"/>
            </w:tcBorders>
            <w:vAlign w:val="center"/>
          </w:tcPr>
          <w:p w14:paraId="052B4E22"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DMSO</w:t>
            </w:r>
          </w:p>
        </w:tc>
        <w:tc>
          <w:tcPr>
            <w:tcW w:w="724" w:type="pct"/>
            <w:tcBorders>
              <w:left w:val="nil"/>
              <w:bottom w:val="nil"/>
              <w:right w:val="nil"/>
            </w:tcBorders>
            <w:vAlign w:val="center"/>
          </w:tcPr>
          <w:p w14:paraId="69612892"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661" w:type="pct"/>
            <w:tcBorders>
              <w:left w:val="nil"/>
              <w:bottom w:val="nil"/>
              <w:right w:val="nil"/>
            </w:tcBorders>
            <w:vAlign w:val="center"/>
          </w:tcPr>
          <w:p w14:paraId="4F5E480C"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611" w:type="pct"/>
            <w:tcBorders>
              <w:left w:val="nil"/>
              <w:bottom w:val="nil"/>
              <w:right w:val="nil"/>
            </w:tcBorders>
            <w:vAlign w:val="center"/>
          </w:tcPr>
          <w:p w14:paraId="6EFEDA7C"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407" w:type="pct"/>
            <w:tcBorders>
              <w:left w:val="nil"/>
              <w:bottom w:val="nil"/>
              <w:right w:val="nil"/>
            </w:tcBorders>
            <w:vAlign w:val="center"/>
          </w:tcPr>
          <w:p w14:paraId="4210B6FD"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46" w:type="pct"/>
            <w:tcBorders>
              <w:left w:val="nil"/>
              <w:bottom w:val="nil"/>
              <w:right w:val="nil"/>
            </w:tcBorders>
            <w:vAlign w:val="center"/>
          </w:tcPr>
          <w:p w14:paraId="1648F023"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67" w:type="pct"/>
            <w:tcBorders>
              <w:left w:val="nil"/>
              <w:bottom w:val="nil"/>
              <w:right w:val="nil"/>
            </w:tcBorders>
            <w:vAlign w:val="center"/>
          </w:tcPr>
          <w:p w14:paraId="07313B98"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64" w:type="pct"/>
            <w:tcBorders>
              <w:left w:val="nil"/>
              <w:bottom w:val="nil"/>
              <w:right w:val="nil"/>
            </w:tcBorders>
            <w:vAlign w:val="center"/>
          </w:tcPr>
          <w:p w14:paraId="06C7F7A3"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530" w:type="pct"/>
            <w:tcBorders>
              <w:left w:val="nil"/>
              <w:bottom w:val="nil"/>
              <w:right w:val="nil"/>
            </w:tcBorders>
            <w:vAlign w:val="center"/>
          </w:tcPr>
          <w:p w14:paraId="4073CB48"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542" w:type="pct"/>
            <w:tcBorders>
              <w:left w:val="nil"/>
              <w:bottom w:val="nil"/>
              <w:right w:val="nil"/>
            </w:tcBorders>
            <w:vAlign w:val="center"/>
          </w:tcPr>
          <w:p w14:paraId="354A634C"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r>
      <w:tr w:rsidR="00A05AEC" w:rsidRPr="00DD5E24" w14:paraId="1E6DAB42" w14:textId="77777777" w:rsidTr="00CF6E20">
        <w:trPr>
          <w:trHeight w:val="304"/>
          <w:jc w:val="center"/>
        </w:trPr>
        <w:tc>
          <w:tcPr>
            <w:tcW w:w="447" w:type="pct"/>
            <w:tcBorders>
              <w:top w:val="nil"/>
              <w:left w:val="nil"/>
              <w:bottom w:val="nil"/>
              <w:right w:val="nil"/>
            </w:tcBorders>
            <w:vAlign w:val="center"/>
          </w:tcPr>
          <w:p w14:paraId="28AD31A7"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ROT5</w:t>
            </w:r>
          </w:p>
        </w:tc>
        <w:tc>
          <w:tcPr>
            <w:tcW w:w="724" w:type="pct"/>
            <w:tcBorders>
              <w:top w:val="nil"/>
              <w:left w:val="nil"/>
              <w:bottom w:val="nil"/>
              <w:right w:val="nil"/>
            </w:tcBorders>
            <w:vAlign w:val="center"/>
          </w:tcPr>
          <w:p w14:paraId="1756A366"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661" w:type="pct"/>
            <w:tcBorders>
              <w:top w:val="nil"/>
              <w:left w:val="nil"/>
              <w:bottom w:val="nil"/>
              <w:right w:val="nil"/>
            </w:tcBorders>
            <w:vAlign w:val="center"/>
          </w:tcPr>
          <w:p w14:paraId="71C72E5C"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611" w:type="pct"/>
            <w:tcBorders>
              <w:top w:val="nil"/>
              <w:left w:val="nil"/>
              <w:bottom w:val="nil"/>
              <w:right w:val="nil"/>
            </w:tcBorders>
            <w:vAlign w:val="center"/>
          </w:tcPr>
          <w:p w14:paraId="014A6301"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407" w:type="pct"/>
            <w:tcBorders>
              <w:top w:val="nil"/>
              <w:left w:val="nil"/>
              <w:bottom w:val="nil"/>
              <w:right w:val="nil"/>
            </w:tcBorders>
            <w:vAlign w:val="center"/>
          </w:tcPr>
          <w:p w14:paraId="1DC4E047"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46" w:type="pct"/>
            <w:tcBorders>
              <w:top w:val="nil"/>
              <w:left w:val="nil"/>
              <w:bottom w:val="nil"/>
              <w:right w:val="nil"/>
            </w:tcBorders>
            <w:vAlign w:val="center"/>
          </w:tcPr>
          <w:p w14:paraId="24DCBF24"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67" w:type="pct"/>
            <w:tcBorders>
              <w:top w:val="nil"/>
              <w:left w:val="nil"/>
              <w:bottom w:val="nil"/>
              <w:right w:val="nil"/>
            </w:tcBorders>
            <w:vAlign w:val="center"/>
          </w:tcPr>
          <w:p w14:paraId="439D81A9"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64" w:type="pct"/>
            <w:tcBorders>
              <w:top w:val="nil"/>
              <w:left w:val="nil"/>
              <w:bottom w:val="nil"/>
              <w:right w:val="nil"/>
            </w:tcBorders>
            <w:vAlign w:val="center"/>
          </w:tcPr>
          <w:p w14:paraId="0C840DB9"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530" w:type="pct"/>
            <w:tcBorders>
              <w:top w:val="nil"/>
              <w:left w:val="nil"/>
              <w:bottom w:val="nil"/>
              <w:right w:val="nil"/>
            </w:tcBorders>
            <w:vAlign w:val="center"/>
          </w:tcPr>
          <w:p w14:paraId="410F1B6B"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542" w:type="pct"/>
            <w:tcBorders>
              <w:top w:val="nil"/>
              <w:left w:val="nil"/>
              <w:bottom w:val="nil"/>
              <w:right w:val="nil"/>
            </w:tcBorders>
            <w:vAlign w:val="center"/>
          </w:tcPr>
          <w:p w14:paraId="7B9BADF6"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r>
      <w:tr w:rsidR="00A05AEC" w:rsidRPr="00DD5E24" w14:paraId="050E1B6B" w14:textId="77777777" w:rsidTr="00CF6E20">
        <w:trPr>
          <w:trHeight w:val="304"/>
          <w:jc w:val="center"/>
        </w:trPr>
        <w:tc>
          <w:tcPr>
            <w:tcW w:w="447" w:type="pct"/>
            <w:tcBorders>
              <w:top w:val="nil"/>
              <w:left w:val="nil"/>
              <w:bottom w:val="nil"/>
              <w:right w:val="nil"/>
            </w:tcBorders>
            <w:vAlign w:val="center"/>
          </w:tcPr>
          <w:p w14:paraId="704FC43D"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ROT10</w:t>
            </w:r>
          </w:p>
        </w:tc>
        <w:tc>
          <w:tcPr>
            <w:tcW w:w="724" w:type="pct"/>
            <w:tcBorders>
              <w:top w:val="nil"/>
              <w:left w:val="nil"/>
              <w:bottom w:val="nil"/>
              <w:right w:val="nil"/>
            </w:tcBorders>
            <w:vAlign w:val="center"/>
          </w:tcPr>
          <w:p w14:paraId="3F283A04"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661" w:type="pct"/>
            <w:tcBorders>
              <w:top w:val="nil"/>
              <w:left w:val="nil"/>
              <w:bottom w:val="nil"/>
              <w:right w:val="nil"/>
            </w:tcBorders>
            <w:vAlign w:val="center"/>
          </w:tcPr>
          <w:p w14:paraId="05468DFD"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611" w:type="pct"/>
            <w:tcBorders>
              <w:top w:val="nil"/>
              <w:left w:val="nil"/>
              <w:bottom w:val="nil"/>
              <w:right w:val="nil"/>
            </w:tcBorders>
            <w:vAlign w:val="center"/>
          </w:tcPr>
          <w:p w14:paraId="7EC1D0EA"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407" w:type="pct"/>
            <w:tcBorders>
              <w:top w:val="nil"/>
              <w:left w:val="nil"/>
              <w:bottom w:val="nil"/>
              <w:right w:val="nil"/>
            </w:tcBorders>
            <w:vAlign w:val="center"/>
          </w:tcPr>
          <w:p w14:paraId="6C788F13"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46" w:type="pct"/>
            <w:tcBorders>
              <w:top w:val="nil"/>
              <w:left w:val="nil"/>
              <w:bottom w:val="nil"/>
              <w:right w:val="nil"/>
            </w:tcBorders>
            <w:vAlign w:val="center"/>
          </w:tcPr>
          <w:p w14:paraId="6815C5A9"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67" w:type="pct"/>
            <w:tcBorders>
              <w:top w:val="nil"/>
              <w:left w:val="nil"/>
              <w:bottom w:val="nil"/>
              <w:right w:val="nil"/>
            </w:tcBorders>
            <w:vAlign w:val="center"/>
          </w:tcPr>
          <w:p w14:paraId="264CC4AE"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64" w:type="pct"/>
            <w:tcBorders>
              <w:top w:val="nil"/>
              <w:left w:val="nil"/>
              <w:bottom w:val="nil"/>
              <w:right w:val="nil"/>
            </w:tcBorders>
            <w:vAlign w:val="center"/>
          </w:tcPr>
          <w:p w14:paraId="6A220A58"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530" w:type="pct"/>
            <w:tcBorders>
              <w:top w:val="nil"/>
              <w:left w:val="nil"/>
              <w:bottom w:val="nil"/>
              <w:right w:val="nil"/>
            </w:tcBorders>
            <w:vAlign w:val="center"/>
          </w:tcPr>
          <w:p w14:paraId="36F3C895"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542" w:type="pct"/>
            <w:tcBorders>
              <w:top w:val="nil"/>
              <w:left w:val="nil"/>
              <w:bottom w:val="nil"/>
              <w:right w:val="nil"/>
            </w:tcBorders>
            <w:vAlign w:val="center"/>
          </w:tcPr>
          <w:p w14:paraId="4162C436"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r>
      <w:tr w:rsidR="00A05AEC" w:rsidRPr="00DD5E24" w14:paraId="78F4EBE4" w14:textId="77777777" w:rsidTr="00CF6E20">
        <w:trPr>
          <w:trHeight w:val="304"/>
          <w:jc w:val="center"/>
        </w:trPr>
        <w:tc>
          <w:tcPr>
            <w:tcW w:w="447" w:type="pct"/>
            <w:tcBorders>
              <w:top w:val="nil"/>
              <w:left w:val="nil"/>
              <w:bottom w:val="nil"/>
              <w:right w:val="nil"/>
            </w:tcBorders>
            <w:vAlign w:val="center"/>
          </w:tcPr>
          <w:p w14:paraId="093E9C82"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ROT15</w:t>
            </w:r>
          </w:p>
        </w:tc>
        <w:tc>
          <w:tcPr>
            <w:tcW w:w="724" w:type="pct"/>
            <w:tcBorders>
              <w:top w:val="nil"/>
              <w:left w:val="nil"/>
              <w:bottom w:val="nil"/>
              <w:right w:val="nil"/>
            </w:tcBorders>
            <w:vAlign w:val="center"/>
          </w:tcPr>
          <w:p w14:paraId="4206E963"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661" w:type="pct"/>
            <w:tcBorders>
              <w:top w:val="nil"/>
              <w:left w:val="nil"/>
              <w:bottom w:val="nil"/>
              <w:right w:val="nil"/>
            </w:tcBorders>
            <w:vAlign w:val="center"/>
          </w:tcPr>
          <w:p w14:paraId="1E3463B8"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611" w:type="pct"/>
            <w:tcBorders>
              <w:top w:val="nil"/>
              <w:left w:val="nil"/>
              <w:bottom w:val="nil"/>
              <w:right w:val="nil"/>
            </w:tcBorders>
            <w:vAlign w:val="center"/>
          </w:tcPr>
          <w:p w14:paraId="5AE23AC5"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407" w:type="pct"/>
            <w:tcBorders>
              <w:top w:val="nil"/>
              <w:left w:val="nil"/>
              <w:bottom w:val="nil"/>
              <w:right w:val="nil"/>
            </w:tcBorders>
            <w:vAlign w:val="center"/>
          </w:tcPr>
          <w:p w14:paraId="33F588DC"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346" w:type="pct"/>
            <w:tcBorders>
              <w:top w:val="nil"/>
              <w:left w:val="nil"/>
              <w:bottom w:val="nil"/>
              <w:right w:val="nil"/>
            </w:tcBorders>
            <w:vAlign w:val="center"/>
          </w:tcPr>
          <w:p w14:paraId="6D902BF9"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67" w:type="pct"/>
            <w:tcBorders>
              <w:top w:val="nil"/>
              <w:left w:val="nil"/>
              <w:bottom w:val="nil"/>
              <w:right w:val="nil"/>
            </w:tcBorders>
            <w:vAlign w:val="center"/>
          </w:tcPr>
          <w:p w14:paraId="4EF3D74F"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64" w:type="pct"/>
            <w:tcBorders>
              <w:top w:val="nil"/>
              <w:left w:val="nil"/>
              <w:bottom w:val="nil"/>
              <w:right w:val="nil"/>
            </w:tcBorders>
            <w:vAlign w:val="center"/>
          </w:tcPr>
          <w:p w14:paraId="7B97C23E"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530" w:type="pct"/>
            <w:tcBorders>
              <w:top w:val="nil"/>
              <w:left w:val="nil"/>
              <w:bottom w:val="nil"/>
              <w:right w:val="nil"/>
            </w:tcBorders>
            <w:vAlign w:val="center"/>
          </w:tcPr>
          <w:p w14:paraId="0803CED8"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542" w:type="pct"/>
            <w:tcBorders>
              <w:top w:val="nil"/>
              <w:left w:val="nil"/>
              <w:bottom w:val="nil"/>
              <w:right w:val="nil"/>
            </w:tcBorders>
            <w:vAlign w:val="center"/>
          </w:tcPr>
          <w:p w14:paraId="1522F3F0"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r>
      <w:tr w:rsidR="00A05AEC" w:rsidRPr="00DD5E24" w14:paraId="532795B5" w14:textId="77777777" w:rsidTr="00CF6E20">
        <w:trPr>
          <w:trHeight w:val="304"/>
          <w:jc w:val="center"/>
        </w:trPr>
        <w:tc>
          <w:tcPr>
            <w:tcW w:w="447" w:type="pct"/>
            <w:tcBorders>
              <w:top w:val="nil"/>
              <w:left w:val="nil"/>
              <w:right w:val="nil"/>
            </w:tcBorders>
            <w:vAlign w:val="center"/>
          </w:tcPr>
          <w:p w14:paraId="670A8263"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ROT20</w:t>
            </w:r>
          </w:p>
        </w:tc>
        <w:tc>
          <w:tcPr>
            <w:tcW w:w="724" w:type="pct"/>
            <w:tcBorders>
              <w:top w:val="nil"/>
              <w:left w:val="nil"/>
              <w:right w:val="nil"/>
            </w:tcBorders>
            <w:vAlign w:val="center"/>
          </w:tcPr>
          <w:p w14:paraId="1938F3D9"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661" w:type="pct"/>
            <w:tcBorders>
              <w:top w:val="nil"/>
              <w:left w:val="nil"/>
              <w:right w:val="nil"/>
            </w:tcBorders>
            <w:vAlign w:val="center"/>
          </w:tcPr>
          <w:p w14:paraId="38EF842E"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611" w:type="pct"/>
            <w:tcBorders>
              <w:top w:val="nil"/>
              <w:left w:val="nil"/>
              <w:right w:val="nil"/>
            </w:tcBorders>
            <w:vAlign w:val="center"/>
          </w:tcPr>
          <w:p w14:paraId="57AEA2F7"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407" w:type="pct"/>
            <w:tcBorders>
              <w:top w:val="nil"/>
              <w:left w:val="nil"/>
              <w:right w:val="nil"/>
            </w:tcBorders>
            <w:vAlign w:val="center"/>
          </w:tcPr>
          <w:p w14:paraId="61AEB7CB"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346" w:type="pct"/>
            <w:tcBorders>
              <w:top w:val="nil"/>
              <w:left w:val="nil"/>
              <w:right w:val="nil"/>
            </w:tcBorders>
            <w:vAlign w:val="center"/>
          </w:tcPr>
          <w:p w14:paraId="06CDCD54"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367" w:type="pct"/>
            <w:tcBorders>
              <w:top w:val="nil"/>
              <w:left w:val="nil"/>
              <w:right w:val="nil"/>
            </w:tcBorders>
            <w:vAlign w:val="center"/>
          </w:tcPr>
          <w:p w14:paraId="204AB62E"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64" w:type="pct"/>
            <w:tcBorders>
              <w:top w:val="nil"/>
              <w:left w:val="nil"/>
              <w:right w:val="nil"/>
            </w:tcBorders>
            <w:vAlign w:val="center"/>
          </w:tcPr>
          <w:p w14:paraId="6D3BD20F"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530" w:type="pct"/>
            <w:tcBorders>
              <w:top w:val="nil"/>
              <w:left w:val="nil"/>
              <w:right w:val="nil"/>
            </w:tcBorders>
            <w:vAlign w:val="center"/>
          </w:tcPr>
          <w:p w14:paraId="2AF67100"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542" w:type="pct"/>
            <w:tcBorders>
              <w:top w:val="nil"/>
              <w:left w:val="nil"/>
              <w:right w:val="nil"/>
            </w:tcBorders>
            <w:vAlign w:val="center"/>
          </w:tcPr>
          <w:p w14:paraId="4B59E80A"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r>
    </w:tbl>
    <w:p w14:paraId="38703549" w14:textId="6DF26EBD" w:rsidR="00A05AEC" w:rsidRPr="00DD5E24" w:rsidRDefault="00A05AEC" w:rsidP="00783962">
      <w:pPr>
        <w:contextualSpacing/>
        <w:rPr>
          <w:rFonts w:ascii="Arial" w:eastAsia="Calibri" w:hAnsi="Arial" w:cs="Arial"/>
          <w:vertAlign w:val="superscript"/>
        </w:rPr>
      </w:pPr>
      <w:r w:rsidRPr="00DD5E24">
        <w:rPr>
          <w:rFonts w:ascii="Arial" w:eastAsia="Calibri" w:hAnsi="Arial" w:cs="Arial"/>
          <w:vertAlign w:val="superscript"/>
        </w:rPr>
        <w:t>+ = positive; NO = Not observable. Legend for exposed groups: DMSO - 0.1% (v/v) Dimethyl sulfoxide; ROT5, ROT10, ROT15, and ROT20 – 5, 10, 15 and 20 µg/L of rotenone, respectively.</w:t>
      </w:r>
    </w:p>
    <w:p w14:paraId="566F2154" w14:textId="77777777" w:rsidR="004E1105" w:rsidRPr="00DD5E24" w:rsidRDefault="004E1105" w:rsidP="00783962">
      <w:pPr>
        <w:contextualSpacing/>
        <w:rPr>
          <w:rFonts w:ascii="Arial" w:eastAsia="Calibri" w:hAnsi="Arial" w:cs="Arial"/>
          <w:vertAlign w:val="superscript"/>
        </w:rPr>
      </w:pPr>
    </w:p>
    <w:p w14:paraId="7583D214" w14:textId="4E1F94C1" w:rsidR="00A05AEC" w:rsidRPr="00DD5E24" w:rsidRDefault="00A05AEC" w:rsidP="00783962">
      <w:pPr>
        <w:pStyle w:val="ConcHead"/>
        <w:spacing w:after="0"/>
        <w:contextualSpacing/>
        <w:jc w:val="both"/>
        <w:rPr>
          <w:rFonts w:ascii="Arial" w:hAnsi="Arial" w:cs="Arial"/>
        </w:rPr>
      </w:pPr>
      <w:r w:rsidRPr="00DD5E24">
        <w:rPr>
          <w:rFonts w:ascii="Arial" w:hAnsi="Arial" w:cs="Arial"/>
          <w:b w:val="0"/>
          <w:caps w:val="0"/>
          <w:sz w:val="20"/>
        </w:rPr>
        <w:t>The use of zebrafish exposed to rotenone as a PD-like model has advantages and disadvantages at different life stages. The adult zebrafish are more sensitive to rotenone (Ünal et al., 2020), inducting PD-like symptoms with lower concentrations and producing motor and non-motor effects with low mortality (</w:t>
      </w:r>
      <w:proofErr w:type="spellStart"/>
      <w:r w:rsidRPr="00DD5E24">
        <w:rPr>
          <w:rFonts w:ascii="Arial" w:hAnsi="Arial" w:cs="Arial"/>
          <w:b w:val="0"/>
          <w:caps w:val="0"/>
          <w:sz w:val="20"/>
        </w:rPr>
        <w:t>Khotimah</w:t>
      </w:r>
      <w:proofErr w:type="spellEnd"/>
      <w:r w:rsidRPr="00DD5E24">
        <w:rPr>
          <w:rFonts w:ascii="Arial" w:hAnsi="Arial" w:cs="Arial"/>
          <w:b w:val="0"/>
          <w:caps w:val="0"/>
          <w:sz w:val="20"/>
        </w:rPr>
        <w:t xml:space="preserve"> et al., 2015; Wang et al., 2017; Andrade et al., 2022). Adult zebrafish have a wider variety of behavioral and locomotor symptoms than larvae (Wang et al., 2017). However, adult zebrafish require prolonged rotenone exposure (28 days) for PD-like induction, and it is more costly and difficult to test similar numbers of adult animals, as compared to larvae. Thus, early stages are useful for drug screening, and the adult stage are useful to evaluate therapeutic effects of drugs.</w:t>
      </w:r>
    </w:p>
    <w:p w14:paraId="56AA5690" w14:textId="77777777" w:rsidR="00A05AEC" w:rsidRPr="00DD5E24" w:rsidRDefault="00A05AEC" w:rsidP="00783962">
      <w:pPr>
        <w:pStyle w:val="ConcHead"/>
        <w:spacing w:after="0"/>
        <w:contextualSpacing/>
        <w:jc w:val="both"/>
        <w:rPr>
          <w:rFonts w:ascii="Arial" w:hAnsi="Arial" w:cs="Arial"/>
        </w:rPr>
      </w:pPr>
    </w:p>
    <w:p w14:paraId="06FFA197" w14:textId="478FA2B0" w:rsidR="00B01FCD" w:rsidRPr="00DD5E24" w:rsidRDefault="00000F8F" w:rsidP="00783962">
      <w:pPr>
        <w:pStyle w:val="ConcHead"/>
        <w:spacing w:after="0"/>
        <w:contextualSpacing/>
        <w:jc w:val="both"/>
        <w:rPr>
          <w:rFonts w:ascii="Arial" w:hAnsi="Arial" w:cs="Arial"/>
        </w:rPr>
      </w:pPr>
      <w:r w:rsidRPr="00DD5E24">
        <w:rPr>
          <w:rFonts w:ascii="Arial" w:hAnsi="Arial" w:cs="Arial"/>
        </w:rPr>
        <w:t xml:space="preserve">4. </w:t>
      </w:r>
      <w:r w:rsidR="00B01FCD" w:rsidRPr="00DD5E24">
        <w:rPr>
          <w:rFonts w:ascii="Arial" w:hAnsi="Arial" w:cs="Arial"/>
        </w:rPr>
        <w:t>Conclusion</w:t>
      </w:r>
    </w:p>
    <w:p w14:paraId="17E6DCB9" w14:textId="77777777" w:rsidR="00790ADA" w:rsidRPr="00DD5E24" w:rsidRDefault="00790ADA" w:rsidP="00783962">
      <w:pPr>
        <w:pStyle w:val="ConcHead"/>
        <w:spacing w:after="0"/>
        <w:contextualSpacing/>
        <w:jc w:val="both"/>
        <w:rPr>
          <w:rFonts w:ascii="Arial" w:hAnsi="Arial" w:cs="Arial"/>
        </w:rPr>
      </w:pPr>
    </w:p>
    <w:p w14:paraId="53D488FE" w14:textId="5991DAE6" w:rsidR="00790ADA" w:rsidRPr="00DD5E24" w:rsidRDefault="00CF6E20" w:rsidP="00783962">
      <w:pPr>
        <w:pStyle w:val="Body"/>
        <w:spacing w:after="0"/>
        <w:contextualSpacing/>
        <w:rPr>
          <w:rFonts w:ascii="Arial" w:hAnsi="Arial" w:cs="Arial"/>
        </w:rPr>
      </w:pPr>
      <w:r w:rsidRPr="00DD5E24">
        <w:rPr>
          <w:rFonts w:ascii="Arial" w:hAnsi="Arial" w:cs="Arial"/>
        </w:rPr>
        <w:t>The use of zebrafish at early life stages exposed to rotenone is a powerful PD-like animal model. Rotenone induced toxic effects in embryos during development, producing abnormal morphometric parameters and producing anxiety-like behaviors that mimic non-motor PD symptoms. Optimal rotenone concentrations of 10-15 µg/L produced developmental and behavioral changes with moderate mortality. This PD-like animal model will be useful for screening drugs and to gain insights into PD therapeutics.</w:t>
      </w:r>
    </w:p>
    <w:p w14:paraId="315E99FE" w14:textId="77777777" w:rsidR="00CF6E20" w:rsidRPr="00DD5E24" w:rsidRDefault="00CF6E20" w:rsidP="00783962">
      <w:pPr>
        <w:pStyle w:val="Body"/>
        <w:spacing w:after="0"/>
        <w:contextualSpacing/>
        <w:rPr>
          <w:rFonts w:ascii="Arial" w:hAnsi="Arial" w:cs="Arial"/>
        </w:rPr>
      </w:pPr>
    </w:p>
    <w:p w14:paraId="5BE6A3A6" w14:textId="560D008C" w:rsidR="005C784C" w:rsidRPr="00DD5E24" w:rsidRDefault="005C784C" w:rsidP="00783962">
      <w:pPr>
        <w:pStyle w:val="ReferHead"/>
        <w:spacing w:after="0"/>
        <w:contextualSpacing/>
        <w:jc w:val="both"/>
        <w:rPr>
          <w:rFonts w:ascii="Arial" w:hAnsi="Arial" w:cs="Arial"/>
          <w:bCs/>
        </w:rPr>
      </w:pPr>
      <w:r w:rsidRPr="00DD5E24">
        <w:rPr>
          <w:rFonts w:ascii="Arial" w:hAnsi="Arial" w:cs="Arial"/>
          <w:bCs/>
        </w:rPr>
        <w:lastRenderedPageBreak/>
        <w:t>Ethical approval</w:t>
      </w:r>
    </w:p>
    <w:p w14:paraId="3A20F63D" w14:textId="77777777" w:rsidR="005C784C" w:rsidRPr="00DD5E24" w:rsidRDefault="005C784C" w:rsidP="00783962">
      <w:pPr>
        <w:pStyle w:val="ReferHead"/>
        <w:spacing w:after="0"/>
        <w:contextualSpacing/>
        <w:jc w:val="both"/>
        <w:rPr>
          <w:rFonts w:ascii="Arial" w:hAnsi="Arial" w:cs="Arial"/>
          <w:bCs/>
        </w:rPr>
      </w:pPr>
    </w:p>
    <w:p w14:paraId="1B1B5C13" w14:textId="074B7CDB" w:rsidR="0041027F" w:rsidRDefault="00216644" w:rsidP="00783962">
      <w:pPr>
        <w:pStyle w:val="ReferHead"/>
        <w:spacing w:after="0"/>
        <w:contextualSpacing/>
        <w:jc w:val="both"/>
        <w:rPr>
          <w:rFonts w:ascii="Arial" w:hAnsi="Arial" w:cs="Arial"/>
          <w:b w:val="0"/>
          <w:caps w:val="0"/>
          <w:sz w:val="20"/>
        </w:rPr>
      </w:pPr>
      <w:r w:rsidRPr="00DD5E24">
        <w:rPr>
          <w:rFonts w:ascii="Arial" w:hAnsi="Arial" w:cs="Arial"/>
          <w:b w:val="0"/>
          <w:caps w:val="0"/>
          <w:sz w:val="20"/>
        </w:rPr>
        <w:t xml:space="preserve">All procedures involving animals were conducted in accordance with the ethical standards of the institution and national guidelines. The study protocol was approved by the Ethics Committee on Animal Use (CEUA) of the </w:t>
      </w:r>
      <w:proofErr w:type="spellStart"/>
      <w:r w:rsidRPr="00DD5E24">
        <w:rPr>
          <w:rFonts w:ascii="Arial" w:hAnsi="Arial" w:cs="Arial"/>
          <w:b w:val="0"/>
          <w:caps w:val="0"/>
          <w:sz w:val="20"/>
        </w:rPr>
        <w:t>Universidade</w:t>
      </w:r>
      <w:proofErr w:type="spellEnd"/>
      <w:r w:rsidRPr="00DD5E24">
        <w:rPr>
          <w:rFonts w:ascii="Arial" w:hAnsi="Arial" w:cs="Arial"/>
          <w:b w:val="0"/>
          <w:caps w:val="0"/>
          <w:sz w:val="20"/>
        </w:rPr>
        <w:t xml:space="preserve"> Federal Rural de Pernambuco (Protocol number 3581030221).</w:t>
      </w:r>
    </w:p>
    <w:p w14:paraId="69865D56" w14:textId="77777777" w:rsidR="005E52B9" w:rsidRDefault="005E52B9" w:rsidP="00783962">
      <w:pPr>
        <w:pStyle w:val="ReferHead"/>
        <w:spacing w:after="0"/>
        <w:contextualSpacing/>
        <w:jc w:val="both"/>
        <w:rPr>
          <w:rFonts w:ascii="Arial" w:hAnsi="Arial" w:cs="Arial"/>
          <w:b w:val="0"/>
          <w:caps w:val="0"/>
          <w:sz w:val="20"/>
        </w:rPr>
      </w:pPr>
    </w:p>
    <w:p w14:paraId="6845F5DB" w14:textId="77777777" w:rsidR="005E52B9" w:rsidRDefault="005E52B9" w:rsidP="00783962">
      <w:pPr>
        <w:pStyle w:val="ReferHead"/>
        <w:spacing w:after="0"/>
        <w:contextualSpacing/>
        <w:jc w:val="both"/>
        <w:rPr>
          <w:rFonts w:ascii="Arial" w:hAnsi="Arial" w:cs="Arial"/>
          <w:b w:val="0"/>
          <w:caps w:val="0"/>
          <w:sz w:val="20"/>
        </w:rPr>
      </w:pPr>
    </w:p>
    <w:p w14:paraId="106B1B47" w14:textId="77777777" w:rsidR="005E52B9" w:rsidRPr="005E52B9" w:rsidRDefault="005E52B9" w:rsidP="005E52B9">
      <w:pPr>
        <w:pStyle w:val="ReferHead"/>
        <w:contextualSpacing/>
        <w:jc w:val="both"/>
        <w:rPr>
          <w:rFonts w:ascii="Arial" w:hAnsi="Arial" w:cs="Arial"/>
          <w:b w:val="0"/>
          <w:caps w:val="0"/>
          <w:sz w:val="20"/>
        </w:rPr>
      </w:pPr>
      <w:r w:rsidRPr="005E52B9">
        <w:rPr>
          <w:rFonts w:ascii="Arial" w:hAnsi="Arial" w:cs="Arial"/>
          <w:b w:val="0"/>
          <w:caps w:val="0"/>
          <w:sz w:val="20"/>
        </w:rPr>
        <w:t>COMPETING INTERESTS DISCLAIMER:</w:t>
      </w:r>
    </w:p>
    <w:p w14:paraId="0C21F0E7" w14:textId="78023DF1" w:rsidR="005E52B9" w:rsidRDefault="005E52B9" w:rsidP="005E52B9">
      <w:pPr>
        <w:pStyle w:val="ReferHead"/>
        <w:spacing w:after="0"/>
        <w:contextualSpacing/>
        <w:jc w:val="both"/>
        <w:rPr>
          <w:rFonts w:ascii="Arial" w:hAnsi="Arial" w:cs="Arial"/>
          <w:b w:val="0"/>
          <w:caps w:val="0"/>
          <w:sz w:val="20"/>
        </w:rPr>
      </w:pPr>
      <w:r w:rsidRPr="005E52B9">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4ECB781F" w14:textId="77777777" w:rsidR="005E52B9" w:rsidRDefault="005E52B9" w:rsidP="00783962">
      <w:pPr>
        <w:pStyle w:val="ReferHead"/>
        <w:spacing w:after="0"/>
        <w:contextualSpacing/>
        <w:jc w:val="both"/>
        <w:rPr>
          <w:rFonts w:ascii="Arial" w:hAnsi="Arial" w:cs="Arial"/>
          <w:b w:val="0"/>
          <w:caps w:val="0"/>
          <w:sz w:val="20"/>
        </w:rPr>
      </w:pPr>
    </w:p>
    <w:p w14:paraId="074D6538" w14:textId="77777777" w:rsidR="005E52B9" w:rsidRPr="00DD5E24" w:rsidRDefault="005E52B9" w:rsidP="00783962">
      <w:pPr>
        <w:pStyle w:val="ReferHead"/>
        <w:spacing w:after="0"/>
        <w:contextualSpacing/>
        <w:jc w:val="both"/>
        <w:rPr>
          <w:rFonts w:ascii="Arial" w:hAnsi="Arial" w:cs="Arial"/>
          <w:b w:val="0"/>
          <w:caps w:val="0"/>
          <w:sz w:val="20"/>
          <w:u w:val="single"/>
        </w:rPr>
      </w:pPr>
    </w:p>
    <w:p w14:paraId="03A7F66F" w14:textId="77777777" w:rsidR="00860000" w:rsidRPr="00DD5E24" w:rsidRDefault="00860000" w:rsidP="00783962">
      <w:pPr>
        <w:pStyle w:val="ReferHead"/>
        <w:spacing w:after="0"/>
        <w:contextualSpacing/>
        <w:jc w:val="both"/>
        <w:rPr>
          <w:rFonts w:ascii="Arial" w:hAnsi="Arial" w:cs="Arial"/>
        </w:rPr>
      </w:pPr>
    </w:p>
    <w:p w14:paraId="5DA5B645" w14:textId="77777777" w:rsidR="00B01FCD" w:rsidRPr="00DD5E24" w:rsidRDefault="00B01FCD" w:rsidP="00783962">
      <w:pPr>
        <w:pStyle w:val="ReferHead"/>
        <w:spacing w:after="0"/>
        <w:contextualSpacing/>
        <w:jc w:val="both"/>
        <w:rPr>
          <w:rFonts w:ascii="Arial" w:hAnsi="Arial" w:cs="Arial"/>
        </w:rPr>
      </w:pPr>
      <w:r w:rsidRPr="00DD5E24">
        <w:rPr>
          <w:rFonts w:ascii="Arial" w:hAnsi="Arial" w:cs="Arial"/>
        </w:rPr>
        <w:t>References</w:t>
      </w:r>
    </w:p>
    <w:p w14:paraId="394E6CE1" w14:textId="77777777" w:rsidR="00790ADA" w:rsidRPr="00DD5E24" w:rsidRDefault="00790ADA" w:rsidP="00783962">
      <w:pPr>
        <w:pStyle w:val="ReferHead"/>
        <w:spacing w:after="0"/>
        <w:contextualSpacing/>
        <w:jc w:val="both"/>
        <w:rPr>
          <w:rFonts w:ascii="Arial" w:hAnsi="Arial" w:cs="Arial"/>
        </w:rPr>
      </w:pPr>
    </w:p>
    <w:p w14:paraId="704C241F" w14:textId="2607F704" w:rsidR="002A18F7" w:rsidRPr="00DD5E24" w:rsidRDefault="002A18F7" w:rsidP="00783962">
      <w:pPr>
        <w:pStyle w:val="Body"/>
        <w:spacing w:after="0"/>
        <w:contextualSpacing/>
      </w:pPr>
      <w:r w:rsidRPr="00DD5E24">
        <w:t xml:space="preserve">Zhu, J., Cui, Y., Zhang, J., Yan, R., Su, D., Zhao, D., et al. (2024). Temporal trends in the prevalence of Parkinson’s disease from 1980 to 2023: a systematic review and meta-analysis. The Lancet Healthy Longevity, 5(7), e464-e479. </w:t>
      </w:r>
      <w:r w:rsidR="0006054C" w:rsidRPr="00DD5E24">
        <w:t>https://doi.org/10.1016/S2666-7568(24)00101-9</w:t>
      </w:r>
    </w:p>
    <w:p w14:paraId="4C9F41D6" w14:textId="77777777" w:rsidR="0006054C" w:rsidRPr="00DD5E24" w:rsidRDefault="0006054C" w:rsidP="00783962">
      <w:pPr>
        <w:pStyle w:val="Body"/>
        <w:spacing w:after="0"/>
        <w:contextualSpacing/>
      </w:pPr>
    </w:p>
    <w:p w14:paraId="3B5CC078" w14:textId="62963F27" w:rsidR="00502A27" w:rsidRPr="00DD5E24" w:rsidRDefault="00502A27" w:rsidP="00783962">
      <w:pPr>
        <w:pStyle w:val="Body"/>
        <w:spacing w:after="0"/>
        <w:contextualSpacing/>
      </w:pPr>
      <w:r w:rsidRPr="00DD5E24">
        <w:t xml:space="preserve">Simon, D. K., Tanner, C. M., &amp; Brundin, P. (2020). Parkinson Disease Epidemiology, Pathology, Genetics and Pathophysiology. Clinics in geriatric medicine, 36(1), 1–12. </w:t>
      </w:r>
      <w:r w:rsidR="0006054C" w:rsidRPr="00DD5E24">
        <w:t>https://doi.org/10.1016/j.cger.2019.08.002</w:t>
      </w:r>
    </w:p>
    <w:p w14:paraId="2A0556A6" w14:textId="77777777" w:rsidR="0006054C" w:rsidRPr="00DD5E24" w:rsidRDefault="0006054C" w:rsidP="00783962">
      <w:pPr>
        <w:pStyle w:val="Body"/>
        <w:spacing w:after="0"/>
        <w:contextualSpacing/>
      </w:pPr>
    </w:p>
    <w:p w14:paraId="49B30665" w14:textId="58B22E33" w:rsidR="002A18F7" w:rsidRPr="00DD5E24" w:rsidRDefault="002A18F7" w:rsidP="00783962">
      <w:pPr>
        <w:pStyle w:val="Body"/>
        <w:spacing w:after="0"/>
        <w:contextualSpacing/>
      </w:pPr>
      <w:r w:rsidRPr="00DD5E24">
        <w:t xml:space="preserve">Asakawa, T., Fang, H., Sugiyama, K., Nozaki, T., Hong, Z., Yang, Y., et al. (2016). Animal behavioral assessments in current research of Parkinson’s disease. Neuroscience and Biobehavioral Reviews, 65, 63–94. </w:t>
      </w:r>
      <w:r w:rsidR="0006054C" w:rsidRPr="00DD5E24">
        <w:t>https://doi.org/10.1016/j.neubiorev.2016.03.016</w:t>
      </w:r>
    </w:p>
    <w:p w14:paraId="46AA043C" w14:textId="77777777" w:rsidR="0006054C" w:rsidRPr="00DD5E24" w:rsidRDefault="0006054C" w:rsidP="00783962">
      <w:pPr>
        <w:pStyle w:val="Body"/>
        <w:spacing w:after="0"/>
        <w:contextualSpacing/>
      </w:pPr>
    </w:p>
    <w:p w14:paraId="74093A0A" w14:textId="77777777" w:rsidR="002A18F7" w:rsidRPr="00DD5E24" w:rsidRDefault="002A18F7" w:rsidP="00783962">
      <w:pPr>
        <w:pStyle w:val="Body"/>
        <w:spacing w:after="0"/>
        <w:contextualSpacing/>
      </w:pPr>
      <w:r w:rsidRPr="00DD5E24">
        <w:t xml:space="preserve">Titova, N., Schapira, A. H. V., Chaudhuri, K. R., Qamar, M. A., </w:t>
      </w:r>
      <w:proofErr w:type="spellStart"/>
      <w:r w:rsidRPr="00DD5E24">
        <w:t>Katunina</w:t>
      </w:r>
      <w:proofErr w:type="spellEnd"/>
      <w:r w:rsidRPr="00DD5E24">
        <w:t>, E., &amp; Jenner, P. (2017). Nonmotor symptoms in experimental models of Parkinson’s disease. International Review of Neurobiology, 134, 63–89. https://doi.org/10.1016/bs.irn.2017.05.018</w:t>
      </w:r>
    </w:p>
    <w:p w14:paraId="19FB390B" w14:textId="77777777" w:rsidR="0006054C" w:rsidRPr="00DD5E24" w:rsidRDefault="0006054C" w:rsidP="00783962">
      <w:pPr>
        <w:pStyle w:val="Body"/>
        <w:spacing w:after="0"/>
        <w:contextualSpacing/>
      </w:pPr>
    </w:p>
    <w:p w14:paraId="21047A4F" w14:textId="15DEA8B7" w:rsidR="002A18F7" w:rsidRPr="00DD5E24" w:rsidRDefault="002A18F7" w:rsidP="00783962">
      <w:pPr>
        <w:pStyle w:val="Body"/>
        <w:spacing w:after="0"/>
        <w:contextualSpacing/>
      </w:pPr>
      <w:r w:rsidRPr="00DD5E24">
        <w:t xml:space="preserve">Wang, Y., Liu, W., Yang, J., Wang, F., Sima, Y., &amp; Zhong, Z. min. (2017). Parkinson’s disease-like motor and non-motor symptoms in rotenone-treated zebrafish. </w:t>
      </w:r>
      <w:proofErr w:type="spellStart"/>
      <w:r w:rsidRPr="00DD5E24">
        <w:t>NeuroToxicology</w:t>
      </w:r>
      <w:proofErr w:type="spellEnd"/>
      <w:r w:rsidRPr="00DD5E24">
        <w:t>, 58, 103–109. https://doi.org/10.1016/j.neuro.2016.11.006</w:t>
      </w:r>
    </w:p>
    <w:p w14:paraId="285B9968" w14:textId="77777777" w:rsidR="0006054C" w:rsidRPr="00DD5E24" w:rsidRDefault="0006054C" w:rsidP="00783962">
      <w:pPr>
        <w:pStyle w:val="Body"/>
        <w:spacing w:after="0"/>
        <w:contextualSpacing/>
      </w:pPr>
    </w:p>
    <w:p w14:paraId="43D4F919" w14:textId="10F52A11" w:rsidR="002A18F7" w:rsidRPr="00DD5E24" w:rsidRDefault="002A18F7" w:rsidP="00783962">
      <w:pPr>
        <w:pStyle w:val="Body"/>
        <w:spacing w:after="0"/>
        <w:contextualSpacing/>
      </w:pPr>
      <w:r w:rsidRPr="00DD5E24">
        <w:t xml:space="preserve">Basnet, R., </w:t>
      </w:r>
      <w:proofErr w:type="spellStart"/>
      <w:r w:rsidRPr="00DD5E24">
        <w:t>Zizioli</w:t>
      </w:r>
      <w:proofErr w:type="spellEnd"/>
      <w:r w:rsidRPr="00DD5E24">
        <w:t xml:space="preserve">, D., </w:t>
      </w:r>
      <w:proofErr w:type="spellStart"/>
      <w:r w:rsidRPr="00DD5E24">
        <w:t>Taweedet</w:t>
      </w:r>
      <w:proofErr w:type="spellEnd"/>
      <w:r w:rsidRPr="00DD5E24">
        <w:t xml:space="preserve">, S., </w:t>
      </w:r>
      <w:proofErr w:type="spellStart"/>
      <w:r w:rsidRPr="00DD5E24">
        <w:t>Finazzi</w:t>
      </w:r>
      <w:proofErr w:type="spellEnd"/>
      <w:r w:rsidRPr="00DD5E24">
        <w:t>, D., &amp; Memo, M. (2019). Zebrafish larvae as a behavioral model in neuropharmacology. Biomedicines, 7(1), 23. https://doi.org/10.3390/biomedicines7010023</w:t>
      </w:r>
    </w:p>
    <w:p w14:paraId="21CDDBDD" w14:textId="77777777" w:rsidR="0006054C" w:rsidRPr="00DD5E24" w:rsidRDefault="0006054C" w:rsidP="00783962">
      <w:pPr>
        <w:pStyle w:val="Body"/>
        <w:spacing w:after="0"/>
        <w:contextualSpacing/>
      </w:pPr>
    </w:p>
    <w:p w14:paraId="5C650A19" w14:textId="39C3A641" w:rsidR="002A18F7" w:rsidRPr="00DD5E24" w:rsidRDefault="002A18F7" w:rsidP="00783962">
      <w:pPr>
        <w:pStyle w:val="Body"/>
        <w:spacing w:after="0"/>
        <w:contextualSpacing/>
      </w:pPr>
      <w:r w:rsidRPr="00DD5E24">
        <w:t>Doyle, J. M., &amp; Croll, R. P. (2022). A critical review of zebrafish models of Parkinson’s disease. Frontiers in Pharmacology, 13, 835827. https://doi.org/10.3389/fphar.2022.835827</w:t>
      </w:r>
    </w:p>
    <w:p w14:paraId="5A8F2ECF" w14:textId="77777777" w:rsidR="0006054C" w:rsidRPr="00DD5E24" w:rsidRDefault="0006054C" w:rsidP="00783962">
      <w:pPr>
        <w:pStyle w:val="Body"/>
        <w:spacing w:after="0"/>
        <w:contextualSpacing/>
      </w:pPr>
    </w:p>
    <w:p w14:paraId="2B414F01" w14:textId="2FC95A05" w:rsidR="002A18F7" w:rsidRPr="00DD5E24" w:rsidRDefault="002A18F7" w:rsidP="00783962">
      <w:pPr>
        <w:pStyle w:val="Body"/>
        <w:spacing w:after="0"/>
        <w:contextualSpacing/>
      </w:pPr>
      <w:proofErr w:type="spellStart"/>
      <w:r w:rsidRPr="00DD5E24">
        <w:t>Çalışkan</w:t>
      </w:r>
      <w:proofErr w:type="spellEnd"/>
      <w:r w:rsidRPr="00DD5E24">
        <w:t xml:space="preserve">, Ş., &amp; </w:t>
      </w:r>
      <w:proofErr w:type="spellStart"/>
      <w:r w:rsidRPr="00DD5E24">
        <w:t>Emekli</w:t>
      </w:r>
      <w:proofErr w:type="spellEnd"/>
      <w:r w:rsidRPr="00DD5E24">
        <w:t xml:space="preserve"> </w:t>
      </w:r>
      <w:proofErr w:type="spellStart"/>
      <w:r w:rsidRPr="00DD5E24">
        <w:t>Alturfan</w:t>
      </w:r>
      <w:proofErr w:type="spellEnd"/>
      <w:r w:rsidRPr="00DD5E24">
        <w:t xml:space="preserve">, E. (2021). Zebrafish embryo as an emerging model organism in neurodevelopmental toxicity research. European Journal of Biology, </w:t>
      </w:r>
      <w:r w:rsidR="00120B1D" w:rsidRPr="00DD5E24">
        <w:t>8</w:t>
      </w:r>
      <w:r w:rsidRPr="00DD5E24">
        <w:t>0(</w:t>
      </w:r>
      <w:r w:rsidR="00120B1D" w:rsidRPr="00DD5E24">
        <w:t>2</w:t>
      </w:r>
      <w:r w:rsidRPr="00DD5E24">
        <w:t xml:space="preserve">), </w:t>
      </w:r>
      <w:r w:rsidR="00120B1D" w:rsidRPr="00DD5E24">
        <w:t>179</w:t>
      </w:r>
      <w:r w:rsidRPr="00DD5E24">
        <w:t>–</w:t>
      </w:r>
      <w:r w:rsidR="00120B1D" w:rsidRPr="00DD5E24">
        <w:t>187</w:t>
      </w:r>
      <w:r w:rsidRPr="00DD5E24">
        <w:t>. https://doi.org/10.26650/eurjbiol.2021.1006402</w:t>
      </w:r>
    </w:p>
    <w:p w14:paraId="08666693" w14:textId="77777777" w:rsidR="0006054C" w:rsidRPr="00DD5E24" w:rsidRDefault="0006054C" w:rsidP="00783962">
      <w:pPr>
        <w:pStyle w:val="Body"/>
        <w:spacing w:after="0"/>
        <w:contextualSpacing/>
      </w:pPr>
    </w:p>
    <w:p w14:paraId="03809EC0" w14:textId="6C83692A" w:rsidR="002A18F7" w:rsidRPr="00DD5E24" w:rsidRDefault="002A18F7" w:rsidP="00783962">
      <w:pPr>
        <w:pStyle w:val="Body"/>
        <w:spacing w:after="0"/>
        <w:contextualSpacing/>
      </w:pPr>
      <w:r w:rsidRPr="00DD5E24">
        <w:t xml:space="preserve">Cassar, S., Adatto, I., Freeman, J. L., </w:t>
      </w:r>
      <w:proofErr w:type="spellStart"/>
      <w:r w:rsidRPr="00DD5E24">
        <w:t>Gamse</w:t>
      </w:r>
      <w:proofErr w:type="spellEnd"/>
      <w:r w:rsidRPr="00DD5E24">
        <w:t xml:space="preserve">, J. T., </w:t>
      </w:r>
      <w:proofErr w:type="spellStart"/>
      <w:r w:rsidRPr="00DD5E24">
        <w:t>Iturria</w:t>
      </w:r>
      <w:proofErr w:type="spellEnd"/>
      <w:r w:rsidRPr="00DD5E24">
        <w:t>, I., &amp; Lawrence, C. (2020). Use of Zebrafish in drug discovery toxicology. Chemical Research in Toxicology, 33(1), 95–118. https://doi.org/10.1021/acs.chemrestox.9b00335</w:t>
      </w:r>
    </w:p>
    <w:p w14:paraId="416B7CF0" w14:textId="77777777" w:rsidR="0006054C" w:rsidRPr="00DD5E24" w:rsidRDefault="0006054C" w:rsidP="00783962">
      <w:pPr>
        <w:pStyle w:val="Body"/>
        <w:spacing w:after="0"/>
        <w:contextualSpacing/>
      </w:pPr>
    </w:p>
    <w:p w14:paraId="7856E6DE" w14:textId="7B45D78F" w:rsidR="002A18F7" w:rsidRPr="00DD5E24" w:rsidRDefault="002A18F7" w:rsidP="00783962">
      <w:pPr>
        <w:pStyle w:val="Body"/>
        <w:spacing w:after="0"/>
        <w:contextualSpacing/>
      </w:pPr>
      <w:proofErr w:type="spellStart"/>
      <w:r w:rsidRPr="00DD5E24">
        <w:lastRenderedPageBreak/>
        <w:t>Bretaud</w:t>
      </w:r>
      <w:proofErr w:type="spellEnd"/>
      <w:r w:rsidRPr="00DD5E24">
        <w:t>, S., Lee, S., &amp; Guo, S. (2004). Sensitivity of zebrafish to environmental toxins implicated in Parkinson’s disease. Neurotoxicology and Teratology, 26(6), 857–864. https://doi.org/10.1016/j.ntt.2004.06.014</w:t>
      </w:r>
    </w:p>
    <w:p w14:paraId="5EC0C186" w14:textId="77777777" w:rsidR="0006054C" w:rsidRPr="00DD5E24" w:rsidRDefault="0006054C" w:rsidP="00783962">
      <w:pPr>
        <w:pStyle w:val="Body"/>
        <w:spacing w:after="0"/>
        <w:contextualSpacing/>
      </w:pPr>
    </w:p>
    <w:p w14:paraId="38E3B88D" w14:textId="4A6D50C7" w:rsidR="002A18F7" w:rsidRPr="00DD5E24" w:rsidRDefault="002A18F7" w:rsidP="00783962">
      <w:pPr>
        <w:pStyle w:val="Body"/>
        <w:spacing w:after="0"/>
        <w:contextualSpacing/>
      </w:pPr>
      <w:r w:rsidRPr="00DD5E24">
        <w:t>Kalyn, M., Hua, K., Mohd Noor, S., Wong, C. E. D., &amp; Ekker, M. (20</w:t>
      </w:r>
      <w:r w:rsidR="00C84959" w:rsidRPr="00DD5E24">
        <w:t>20</w:t>
      </w:r>
      <w:r w:rsidRPr="00DD5E24">
        <w:t>). Comprehensive analysis of neurotoxin-induced ablation of dopaminergic neurons in zebrafish larvae. Biomedicines, 8(1), 1. https://doi.org/10.3390/biomedicines8010001</w:t>
      </w:r>
    </w:p>
    <w:p w14:paraId="10798A7F" w14:textId="77777777" w:rsidR="0006054C" w:rsidRPr="00DD5E24" w:rsidRDefault="0006054C" w:rsidP="00783962">
      <w:pPr>
        <w:pStyle w:val="Body"/>
        <w:spacing w:after="0"/>
        <w:contextualSpacing/>
      </w:pPr>
    </w:p>
    <w:p w14:paraId="132BD443" w14:textId="10A47718" w:rsidR="002A18F7" w:rsidRPr="00DD5E24" w:rsidRDefault="002A18F7" w:rsidP="00783962">
      <w:pPr>
        <w:pStyle w:val="Body"/>
        <w:spacing w:after="0"/>
        <w:contextualSpacing/>
      </w:pPr>
      <w:proofErr w:type="spellStart"/>
      <w:r w:rsidRPr="00DD5E24">
        <w:t>Khotimah</w:t>
      </w:r>
      <w:proofErr w:type="spellEnd"/>
      <w:r w:rsidRPr="00DD5E24">
        <w:t xml:space="preserve">, H., Ali, M., </w:t>
      </w:r>
      <w:proofErr w:type="spellStart"/>
      <w:r w:rsidRPr="00DD5E24">
        <w:t>Sumitro</w:t>
      </w:r>
      <w:proofErr w:type="spellEnd"/>
      <w:r w:rsidRPr="00DD5E24">
        <w:t xml:space="preserve">, S. B., &amp; Widodo, M. A. (2015). Decreasing α-synuclein aggregation by methanolic extract of </w:t>
      </w:r>
      <w:proofErr w:type="spellStart"/>
      <w:r w:rsidRPr="00DD5E24">
        <w:t>Centella</w:t>
      </w:r>
      <w:proofErr w:type="spellEnd"/>
      <w:r w:rsidRPr="00DD5E24">
        <w:t xml:space="preserve"> asiatica in zebrafish Parkinson’s model. Asian Pacific Journal of Tropical Biomedicine, 5(11), 948–954. https://doi.org/10.1016/j.apjtb.2015.07.024</w:t>
      </w:r>
    </w:p>
    <w:p w14:paraId="6A9138F1" w14:textId="77777777" w:rsidR="0006054C" w:rsidRPr="00DD5E24" w:rsidRDefault="0006054C" w:rsidP="00783962">
      <w:pPr>
        <w:pStyle w:val="Body"/>
        <w:spacing w:after="0"/>
        <w:contextualSpacing/>
      </w:pPr>
    </w:p>
    <w:p w14:paraId="137ADC6B" w14:textId="0AAEAF8C" w:rsidR="002A18F7" w:rsidRPr="00DD5E24" w:rsidRDefault="002A18F7" w:rsidP="00783962">
      <w:pPr>
        <w:pStyle w:val="Body"/>
        <w:spacing w:after="0"/>
        <w:contextualSpacing/>
      </w:pPr>
      <w:r w:rsidRPr="00DD5E24">
        <w:t>Melo, K. M., Oliveira, R., Grisolia, C. K., Domingues, I., Pieczarka, J. C., &amp; de Souza Filho, J. (2015). Short-term exposure to low doses of rotenone induces developmental, biochemical, behavioral, and histological changes in fish. Environmental Science and Pollution Research International, 22(18), 13926–13938. https://doi.org/10.1007/s11356-015-4596-2</w:t>
      </w:r>
    </w:p>
    <w:p w14:paraId="7796A1CA" w14:textId="77777777" w:rsidR="0006054C" w:rsidRPr="00DD5E24" w:rsidRDefault="0006054C" w:rsidP="00783962">
      <w:pPr>
        <w:pStyle w:val="Body"/>
        <w:spacing w:after="0"/>
        <w:contextualSpacing/>
      </w:pPr>
    </w:p>
    <w:p w14:paraId="08271324" w14:textId="58094B32" w:rsidR="004C1A6E" w:rsidRPr="00DD5E24" w:rsidRDefault="004C1A6E" w:rsidP="00783962">
      <w:pPr>
        <w:pStyle w:val="Body"/>
        <w:spacing w:after="0"/>
        <w:contextualSpacing/>
      </w:pPr>
      <w:r w:rsidRPr="00DD5E24">
        <w:t>Watabe, M., &amp; Nakaki, T. (2007). Mitochondrial complex I inhibitor rotenone-elicited dopamine redistribution from vesicles to cytosol in human dopaminergic SH-SY5Y cells. The Journal of pharmacology and experimental therapeutics, 323(2), 499–507. https://doi.org/10.1124/jpet.107.127597</w:t>
      </w:r>
    </w:p>
    <w:p w14:paraId="16423F7B" w14:textId="77777777" w:rsidR="0006054C" w:rsidRPr="00DD5E24" w:rsidRDefault="0006054C" w:rsidP="00783962">
      <w:pPr>
        <w:pStyle w:val="Body"/>
        <w:spacing w:after="0"/>
        <w:contextualSpacing/>
      </w:pPr>
    </w:p>
    <w:p w14:paraId="5DE1DE28" w14:textId="7EBF919D" w:rsidR="002A18F7" w:rsidRPr="00DD5E24" w:rsidRDefault="004C1A6E" w:rsidP="00783962">
      <w:pPr>
        <w:pStyle w:val="Body"/>
        <w:spacing w:after="0"/>
        <w:contextualSpacing/>
      </w:pPr>
      <w:r w:rsidRPr="00DD5E24">
        <w:t>Ott, K.C. (2006). Rotenone. A Brief Review of its Chemistry, Environmental Fate, and the Toxicity of Rotenone Formulations.</w:t>
      </w:r>
    </w:p>
    <w:p w14:paraId="72742537" w14:textId="77777777" w:rsidR="0006054C" w:rsidRPr="00DD5E24" w:rsidRDefault="0006054C" w:rsidP="00783962">
      <w:pPr>
        <w:pStyle w:val="Body"/>
        <w:spacing w:after="0"/>
        <w:contextualSpacing/>
      </w:pPr>
    </w:p>
    <w:p w14:paraId="3D1484AA" w14:textId="4771C3DF" w:rsidR="002A18F7" w:rsidRPr="00DD5E24" w:rsidRDefault="002A18F7" w:rsidP="00783962">
      <w:pPr>
        <w:pStyle w:val="Body"/>
        <w:spacing w:after="0"/>
        <w:contextualSpacing/>
      </w:pPr>
      <w:proofErr w:type="spellStart"/>
      <w:r w:rsidRPr="00DD5E24">
        <w:t>Khotimah</w:t>
      </w:r>
      <w:proofErr w:type="spellEnd"/>
      <w:r w:rsidRPr="00DD5E24">
        <w:t xml:space="preserve">, H., Alfred, T., </w:t>
      </w:r>
      <w:proofErr w:type="spellStart"/>
      <w:r w:rsidRPr="00DD5E24">
        <w:t>Wangta</w:t>
      </w:r>
      <w:proofErr w:type="spellEnd"/>
      <w:r w:rsidRPr="00DD5E24">
        <w:t>, C., Chandra, K., Tjan, B., &amp; Christianto, A. (2021). Miracle tree (Moringa oleifera) extract prevents rotenone-induced stunting in zebrafish (</w:t>
      </w:r>
      <w:r w:rsidR="005D469D" w:rsidRPr="00DD5E24">
        <w:rPr>
          <w:i/>
          <w:iCs/>
        </w:rPr>
        <w:t>Danio rerio</w:t>
      </w:r>
      <w:r w:rsidRPr="00DD5E24">
        <w:t>) through decreasing caspase-3. In AIP Conference Proceedings. American Institute of Physics Inc. https://doi.org/10.1063/5.0053014</w:t>
      </w:r>
    </w:p>
    <w:p w14:paraId="6E3E63E7" w14:textId="77777777" w:rsidR="0006054C" w:rsidRPr="00DD5E24" w:rsidRDefault="0006054C" w:rsidP="00783962">
      <w:pPr>
        <w:pStyle w:val="Body"/>
        <w:spacing w:after="0"/>
        <w:contextualSpacing/>
      </w:pPr>
    </w:p>
    <w:p w14:paraId="57324952" w14:textId="59355658" w:rsidR="002A18F7" w:rsidRPr="00DD5E24" w:rsidRDefault="002A18F7" w:rsidP="00783962">
      <w:pPr>
        <w:pStyle w:val="Body"/>
        <w:spacing w:after="0"/>
        <w:contextualSpacing/>
      </w:pPr>
      <w:r w:rsidRPr="00DD5E24">
        <w:t>Kimmel, C. B., Ballard, W. W., Kimmel, S. R., Ullmann, B., &amp; Schilling, T. F. (1995). Stages of embryonic development of the zebrafish. Developmental Dynamics, 203(3), 253–310. https://doi.org/10.1002/aja.1002030302</w:t>
      </w:r>
    </w:p>
    <w:p w14:paraId="5E9C7B51" w14:textId="77777777" w:rsidR="0006054C" w:rsidRPr="00DD5E24" w:rsidRDefault="0006054C" w:rsidP="00783962">
      <w:pPr>
        <w:pStyle w:val="Body"/>
        <w:spacing w:after="0"/>
        <w:contextualSpacing/>
      </w:pPr>
    </w:p>
    <w:p w14:paraId="3F33A748" w14:textId="66DD9B52" w:rsidR="002A18F7" w:rsidRPr="00DD5E24" w:rsidRDefault="002A18F7" w:rsidP="00783962">
      <w:pPr>
        <w:pStyle w:val="Body"/>
        <w:spacing w:after="0"/>
        <w:contextualSpacing/>
      </w:pPr>
      <w:r w:rsidRPr="00DD5E24">
        <w:t>Bruce, A. E. E., &amp; Heisenberg, C. P. (2020). Mechanisms of zebrafish epiboly: A current view. In Current Topics in Developmental Biology (Vol. 136, pp. 319–341). Academic Press Inc. https://doi.org/10.1016/bs.ctdb.2019.07.001</w:t>
      </w:r>
    </w:p>
    <w:p w14:paraId="52583A35" w14:textId="77777777" w:rsidR="0006054C" w:rsidRPr="00DD5E24" w:rsidRDefault="0006054C" w:rsidP="00783962">
      <w:pPr>
        <w:pStyle w:val="Body"/>
        <w:spacing w:after="0"/>
        <w:contextualSpacing/>
      </w:pPr>
    </w:p>
    <w:p w14:paraId="3BA53C7D" w14:textId="47819C5B" w:rsidR="002A18F7" w:rsidRPr="00DD5E24" w:rsidRDefault="002A18F7" w:rsidP="00783962">
      <w:pPr>
        <w:pStyle w:val="Body"/>
        <w:spacing w:after="0"/>
        <w:contextualSpacing/>
      </w:pPr>
      <w:r w:rsidRPr="00DD5E24">
        <w:t>Weil, R. S., Schrag, A. E., Warren, J. D., Crutch, S. J., Lees, A. J., &amp; Morris, H. R. (2016). Visual dysfunction in Parkinson’s disease. Brain, 139(11), 2827–2843. https://doi.org/10.1093/brain/aww175</w:t>
      </w:r>
    </w:p>
    <w:p w14:paraId="24BA9451" w14:textId="77777777" w:rsidR="0006054C" w:rsidRPr="00DD5E24" w:rsidRDefault="0006054C" w:rsidP="00783962">
      <w:pPr>
        <w:pStyle w:val="Body"/>
        <w:spacing w:after="0"/>
        <w:contextualSpacing/>
      </w:pPr>
    </w:p>
    <w:p w14:paraId="4D0E5E40" w14:textId="23B9A9FA" w:rsidR="002A18F7" w:rsidRPr="00DD5E24" w:rsidRDefault="002A18F7" w:rsidP="00783962">
      <w:pPr>
        <w:pStyle w:val="Body"/>
        <w:spacing w:after="0"/>
        <w:contextualSpacing/>
      </w:pPr>
      <w:proofErr w:type="spellStart"/>
      <w:r w:rsidRPr="00DD5E24">
        <w:t>Brastrom</w:t>
      </w:r>
      <w:proofErr w:type="spellEnd"/>
      <w:r w:rsidRPr="00DD5E24">
        <w:t>, L. K., Scott, C. A., Dawson, D. v., &amp; Slusarski, D. C. (2019). A high-throughput assay for congenital and age-related eye diseases in Zebrafish. Biomedicines, 7(2), 28. https://doi.org/10.3390/biomedicines7020028</w:t>
      </w:r>
    </w:p>
    <w:p w14:paraId="3D0B1DED" w14:textId="77777777" w:rsidR="0006054C" w:rsidRPr="00DD5E24" w:rsidRDefault="0006054C" w:rsidP="00783962">
      <w:pPr>
        <w:pStyle w:val="Body"/>
        <w:spacing w:after="0"/>
        <w:contextualSpacing/>
      </w:pPr>
    </w:p>
    <w:p w14:paraId="3B42AB18" w14:textId="138A55D2" w:rsidR="002A18F7" w:rsidRPr="00DD5E24" w:rsidRDefault="002A18F7" w:rsidP="00783962">
      <w:pPr>
        <w:pStyle w:val="Body"/>
        <w:spacing w:after="0"/>
        <w:contextualSpacing/>
      </w:pPr>
      <w:proofErr w:type="spellStart"/>
      <w:r w:rsidRPr="00DD5E24">
        <w:t>Westerfield</w:t>
      </w:r>
      <w:proofErr w:type="spellEnd"/>
      <w:r w:rsidRPr="00DD5E24">
        <w:t>, M. (2000). The Zebrafish Book: A Guide for the Laboratory Use of Zebrafish (</w:t>
      </w:r>
      <w:r w:rsidR="005D469D" w:rsidRPr="00DD5E24">
        <w:rPr>
          <w:i/>
          <w:iCs/>
        </w:rPr>
        <w:t>Danio rerio</w:t>
      </w:r>
      <w:r w:rsidRPr="00DD5E24">
        <w:t>) (4th ed.). University of Oregon Press.</w:t>
      </w:r>
    </w:p>
    <w:p w14:paraId="43EC54C2" w14:textId="77777777" w:rsidR="0006054C" w:rsidRPr="00DD5E24" w:rsidRDefault="0006054C" w:rsidP="00783962">
      <w:pPr>
        <w:pStyle w:val="Body"/>
        <w:spacing w:after="0"/>
        <w:contextualSpacing/>
      </w:pPr>
    </w:p>
    <w:p w14:paraId="07AA9C80" w14:textId="4CD935A8" w:rsidR="002A18F7" w:rsidRPr="00DD5E24" w:rsidRDefault="00132BED" w:rsidP="00783962">
      <w:pPr>
        <w:pStyle w:val="Body"/>
        <w:spacing w:after="0"/>
        <w:contextualSpacing/>
      </w:pPr>
      <w:r w:rsidRPr="00DD5E24">
        <w:t>OECD (2013), Test No. 236: Fish Embryo Acute Toxicity (FET) Test, OECD Guidelines for the Testing of Chemicals, Section 2, OECD Publishing, Paris, https://doi.org/10.1787/9789264203709-en.</w:t>
      </w:r>
    </w:p>
    <w:p w14:paraId="2CD1BCDB" w14:textId="77777777" w:rsidR="0006054C" w:rsidRPr="00DD5E24" w:rsidRDefault="0006054C" w:rsidP="00783962">
      <w:pPr>
        <w:pStyle w:val="Body"/>
        <w:spacing w:after="0"/>
        <w:contextualSpacing/>
      </w:pPr>
    </w:p>
    <w:p w14:paraId="374299BE" w14:textId="0FA0F488" w:rsidR="002A18F7" w:rsidRPr="00DD5E24" w:rsidRDefault="002A18F7" w:rsidP="00783962">
      <w:pPr>
        <w:pStyle w:val="Body"/>
        <w:spacing w:after="0"/>
        <w:contextualSpacing/>
      </w:pPr>
      <w:r w:rsidRPr="00DD5E24">
        <w:t>Silva, M. C. G. da, Silva, J. F. da, Santos, T. P., Silva, N. P. C. da, Santos, A. R. dos, &amp; Andrade, A. L. C. de, et al. (2019). The complexation of steroid hormones into cyclodextrin alters the toxic effects on the biological parameters of zebrafish (</w:t>
      </w:r>
      <w:r w:rsidR="005D469D" w:rsidRPr="00DD5E24">
        <w:rPr>
          <w:i/>
          <w:iCs/>
        </w:rPr>
        <w:t>Danio rerio</w:t>
      </w:r>
      <w:r w:rsidRPr="00DD5E24">
        <w:t>). Chemosphere, 214, 330–340. https://doi.org/10.1016/j.chemosphere.2018.09.116</w:t>
      </w:r>
    </w:p>
    <w:p w14:paraId="4F762C24" w14:textId="77777777" w:rsidR="0006054C" w:rsidRPr="00DD5E24" w:rsidRDefault="0006054C" w:rsidP="00783962">
      <w:pPr>
        <w:pStyle w:val="Body"/>
        <w:spacing w:after="0"/>
        <w:contextualSpacing/>
      </w:pPr>
    </w:p>
    <w:p w14:paraId="1110CD31" w14:textId="371F8676" w:rsidR="002A18F7" w:rsidRPr="00DD5E24" w:rsidRDefault="002A18F7" w:rsidP="00783962">
      <w:pPr>
        <w:pStyle w:val="Body"/>
        <w:spacing w:after="0"/>
        <w:contextualSpacing/>
      </w:pPr>
      <w:r w:rsidRPr="00DD5E24">
        <w:t xml:space="preserve">Sumera, F. C., &amp; </w:t>
      </w:r>
      <w:proofErr w:type="spellStart"/>
      <w:r w:rsidRPr="00DD5E24">
        <w:t>Conato</w:t>
      </w:r>
      <w:proofErr w:type="spellEnd"/>
      <w:r w:rsidRPr="00DD5E24">
        <w:t xml:space="preserve">, M. T. (2006). </w:t>
      </w:r>
      <w:proofErr w:type="spellStart"/>
      <w:r w:rsidRPr="00DD5E24">
        <w:t>Ichthyotoxicity</w:t>
      </w:r>
      <w:proofErr w:type="spellEnd"/>
      <w:r w:rsidRPr="00DD5E24">
        <w:t xml:space="preserve"> and rotenone stability of derris trifoliata (Leguminosae) acetone formulations. Asian Fisheries Science, 19, 363-375. https://doi.org/10.33997/j.afs.2006.19.4.004</w:t>
      </w:r>
    </w:p>
    <w:p w14:paraId="3BE8FF29" w14:textId="77777777" w:rsidR="0006054C" w:rsidRPr="00DD5E24" w:rsidRDefault="0006054C" w:rsidP="00783962">
      <w:pPr>
        <w:pStyle w:val="Body"/>
        <w:spacing w:after="0"/>
        <w:contextualSpacing/>
      </w:pPr>
    </w:p>
    <w:p w14:paraId="4C9C88FF" w14:textId="4452EA08" w:rsidR="002A18F7" w:rsidRPr="00DD5E24" w:rsidRDefault="002A18F7" w:rsidP="00783962">
      <w:pPr>
        <w:pStyle w:val="Body"/>
        <w:spacing w:after="0"/>
        <w:contextualSpacing/>
      </w:pPr>
      <w:r w:rsidRPr="00DD5E24">
        <w:t xml:space="preserve">Christou, M., </w:t>
      </w:r>
      <w:proofErr w:type="spellStart"/>
      <w:r w:rsidRPr="00DD5E24">
        <w:t>Kavaliauskis</w:t>
      </w:r>
      <w:proofErr w:type="spellEnd"/>
      <w:r w:rsidRPr="00DD5E24">
        <w:t xml:space="preserve">, A., </w:t>
      </w:r>
      <w:proofErr w:type="spellStart"/>
      <w:r w:rsidRPr="00DD5E24">
        <w:t>Ropstad</w:t>
      </w:r>
      <w:proofErr w:type="spellEnd"/>
      <w:r w:rsidRPr="00DD5E24">
        <w:t>, E., &amp; Fraser, T. W. K. (2020). DMSO effects larval zebrafish (</w:t>
      </w:r>
      <w:r w:rsidR="005D469D" w:rsidRPr="00DD5E24">
        <w:rPr>
          <w:i/>
          <w:iCs/>
        </w:rPr>
        <w:t>Danio rerio</w:t>
      </w:r>
      <w:r w:rsidRPr="00DD5E24">
        <w:t>) behavior, with additive and interaction effects when combined with positive controls. Science of The Total Environment, 709, 134490. https://doi.org/10.1016/j.scitotenv.2019.134490</w:t>
      </w:r>
    </w:p>
    <w:p w14:paraId="59B9B427" w14:textId="77777777" w:rsidR="0006054C" w:rsidRPr="00DD5E24" w:rsidRDefault="0006054C" w:rsidP="00783962">
      <w:pPr>
        <w:pStyle w:val="Body"/>
        <w:spacing w:after="0"/>
        <w:contextualSpacing/>
      </w:pPr>
    </w:p>
    <w:p w14:paraId="2C408152" w14:textId="6503B167" w:rsidR="002A18F7" w:rsidRPr="00DD5E24" w:rsidRDefault="002A18F7" w:rsidP="00783962">
      <w:pPr>
        <w:pStyle w:val="Body"/>
        <w:spacing w:after="0"/>
        <w:contextualSpacing/>
      </w:pPr>
      <w:r w:rsidRPr="00DD5E24">
        <w:t xml:space="preserve">Marrs, J. A., Clendenon, S. G., Ratcliffe, D. R., Fielding, S. M., Liu, Q., &amp; </w:t>
      </w:r>
      <w:proofErr w:type="spellStart"/>
      <w:r w:rsidRPr="00DD5E24">
        <w:t>Bosron</w:t>
      </w:r>
      <w:proofErr w:type="spellEnd"/>
      <w:r w:rsidRPr="00DD5E24">
        <w:t>, W. F. (2010). Zebrafish fetal alcohol syndrome model: Effects of ethanol are rescued by retinoic acid supplement. Alcohol, 44(7-8), 707–715. https://doi.org/10.1016/j.alcohol.2009.03.004</w:t>
      </w:r>
    </w:p>
    <w:p w14:paraId="181C5BAB" w14:textId="77777777" w:rsidR="0006054C" w:rsidRPr="00DD5E24" w:rsidRDefault="0006054C" w:rsidP="00783962">
      <w:pPr>
        <w:pStyle w:val="Body"/>
        <w:spacing w:after="0"/>
        <w:contextualSpacing/>
      </w:pPr>
    </w:p>
    <w:p w14:paraId="41ADE2BB" w14:textId="417A9E6C" w:rsidR="002A18F7" w:rsidRPr="00DD5E24" w:rsidRDefault="002A18F7" w:rsidP="00783962">
      <w:pPr>
        <w:pStyle w:val="Body"/>
        <w:spacing w:after="0"/>
        <w:contextualSpacing/>
      </w:pPr>
      <w:r w:rsidRPr="00DD5E24">
        <w:t>Cadena, P. G., Sales Cadena, M. R., Sarmah, S., &amp; Marrs, J. A. (2020b). Protective effects of quercetin, polydatin, and folic acid and their mixtures in a zebrafish (</w:t>
      </w:r>
      <w:r w:rsidR="005D469D" w:rsidRPr="00DD5E24">
        <w:rPr>
          <w:i/>
          <w:iCs/>
        </w:rPr>
        <w:t>Danio rerio</w:t>
      </w:r>
      <w:r w:rsidRPr="00DD5E24">
        <w:t>) fetal alcohol spectrum disorder model. Neurotoxicology and Teratology, 82, 106928. https://doi.org/10.1016/j.ntt.2020.106928</w:t>
      </w:r>
    </w:p>
    <w:p w14:paraId="66BFB012" w14:textId="77777777" w:rsidR="0006054C" w:rsidRPr="00DD5E24" w:rsidRDefault="0006054C" w:rsidP="00783962">
      <w:pPr>
        <w:pStyle w:val="Body"/>
        <w:spacing w:after="0"/>
        <w:contextualSpacing/>
      </w:pPr>
    </w:p>
    <w:p w14:paraId="46E005C3" w14:textId="0E5179F0" w:rsidR="002A18F7" w:rsidRPr="00DD5E24" w:rsidRDefault="002A18F7" w:rsidP="00783962">
      <w:pPr>
        <w:pStyle w:val="Body"/>
        <w:spacing w:after="0"/>
        <w:contextualSpacing/>
      </w:pPr>
      <w:r w:rsidRPr="00DD5E24">
        <w:t xml:space="preserve">Sales-Cadena, M. R., Cadena, P. G., Watson, M. R., Sarmah, S., Boehm </w:t>
      </w:r>
      <w:proofErr w:type="spellStart"/>
      <w:r w:rsidRPr="00DD5E24">
        <w:t>Ii</w:t>
      </w:r>
      <w:proofErr w:type="spellEnd"/>
      <w:r w:rsidRPr="00DD5E24">
        <w:t>, S. L., &amp; Marrs, J. A. (2021). Zebrafish (</w:t>
      </w:r>
      <w:r w:rsidR="005D469D" w:rsidRPr="00DD5E24">
        <w:rPr>
          <w:i/>
          <w:iCs/>
        </w:rPr>
        <w:t>Danio rerio</w:t>
      </w:r>
      <w:r w:rsidRPr="00DD5E24">
        <w:t>) larvae show behavioral and embryonic development defects when exposed to opioids at embryo stage. Neurotoxicology and Teratology, 85, 106964. https://doi.org/10.1016/j.ntt.2021.106964</w:t>
      </w:r>
    </w:p>
    <w:p w14:paraId="5DF8EBCC" w14:textId="77777777" w:rsidR="0006054C" w:rsidRPr="00DD5E24" w:rsidRDefault="0006054C" w:rsidP="00783962">
      <w:pPr>
        <w:pStyle w:val="Body"/>
        <w:spacing w:after="0"/>
        <w:contextualSpacing/>
      </w:pPr>
    </w:p>
    <w:p w14:paraId="1B49DDE9" w14:textId="535E2687" w:rsidR="002A18F7" w:rsidRPr="00DD5E24" w:rsidRDefault="002A18F7" w:rsidP="00783962">
      <w:pPr>
        <w:pStyle w:val="Body"/>
        <w:spacing w:after="0"/>
        <w:contextualSpacing/>
      </w:pPr>
      <w:r w:rsidRPr="00DD5E24">
        <w:t>Cadena, P. G., Cadena, M. R. S., Sarmah, S., &amp; Marrs, J. A. (2020a). Folic acid reduces the ethanol-induced morphological and behavioral defects in embryonic and larval zebrafish (</w:t>
      </w:r>
      <w:r w:rsidR="005D469D" w:rsidRPr="00DD5E24">
        <w:rPr>
          <w:i/>
          <w:iCs/>
        </w:rPr>
        <w:t>Danio rerio</w:t>
      </w:r>
      <w:r w:rsidRPr="00DD5E24">
        <w:t>) as a model for fetal alcohol spectrum disorder (FASD). Reproductive Toxicology, 96, 249–257. https://doi.org/10.1016/j.reprotox.2020.07.013</w:t>
      </w:r>
    </w:p>
    <w:p w14:paraId="0264ACAC" w14:textId="77777777" w:rsidR="0006054C" w:rsidRPr="00DD5E24" w:rsidRDefault="0006054C" w:rsidP="00783962">
      <w:pPr>
        <w:pStyle w:val="Body"/>
        <w:spacing w:after="0"/>
        <w:contextualSpacing/>
      </w:pPr>
    </w:p>
    <w:p w14:paraId="7BD305D6" w14:textId="71BD3344" w:rsidR="002A18F7" w:rsidRPr="00DD5E24" w:rsidRDefault="002A18F7" w:rsidP="00783962">
      <w:pPr>
        <w:pStyle w:val="Body"/>
        <w:spacing w:after="0"/>
        <w:contextualSpacing/>
      </w:pPr>
      <w:r w:rsidRPr="00DD5E24">
        <w:t>Strykowski, J. L., &amp; Schech, J. M. (2015). Effectiveness of recommended euthanasia methods in larval zebrafish (</w:t>
      </w:r>
      <w:r w:rsidR="005D469D" w:rsidRPr="00DD5E24">
        <w:rPr>
          <w:i/>
          <w:iCs/>
        </w:rPr>
        <w:t>Danio rerio</w:t>
      </w:r>
      <w:r w:rsidRPr="00DD5E24">
        <w:t>). Journal of the American Association for Laboratory Animal Science, 54(1), 81-84.</w:t>
      </w:r>
    </w:p>
    <w:p w14:paraId="48B14E02" w14:textId="77777777" w:rsidR="0006054C" w:rsidRPr="00DD5E24" w:rsidRDefault="0006054C" w:rsidP="00783962">
      <w:pPr>
        <w:pStyle w:val="Body"/>
        <w:spacing w:after="0"/>
        <w:contextualSpacing/>
      </w:pPr>
    </w:p>
    <w:p w14:paraId="6993ECE8" w14:textId="28F7E24C" w:rsidR="002A18F7" w:rsidRPr="00DD5E24" w:rsidRDefault="002A18F7" w:rsidP="00783962">
      <w:pPr>
        <w:pStyle w:val="Body"/>
        <w:spacing w:after="0"/>
        <w:contextualSpacing/>
      </w:pPr>
      <w:proofErr w:type="spellStart"/>
      <w:r w:rsidRPr="00DD5E24">
        <w:t>Schnörr</w:t>
      </w:r>
      <w:proofErr w:type="spellEnd"/>
      <w:r w:rsidRPr="00DD5E24">
        <w:t xml:space="preserve">, S. J., Steenbergen, P. J., Richardson, M. K., &amp; Champagne, D. L. (2012). Measuring thigmotaxis in larval zebrafish. </w:t>
      </w:r>
      <w:proofErr w:type="spellStart"/>
      <w:r w:rsidRPr="00DD5E24">
        <w:t>Behavioural</w:t>
      </w:r>
      <w:proofErr w:type="spellEnd"/>
      <w:r w:rsidRPr="00DD5E24">
        <w:t xml:space="preserve"> Brain Research, 228(2), 367–374. https://doi.org/10.1016/j.bbr.2011.12.016</w:t>
      </w:r>
    </w:p>
    <w:p w14:paraId="5FB36A03" w14:textId="77777777" w:rsidR="0006054C" w:rsidRPr="00DD5E24" w:rsidRDefault="0006054C" w:rsidP="00783962">
      <w:pPr>
        <w:pStyle w:val="Body"/>
        <w:spacing w:after="0"/>
        <w:contextualSpacing/>
      </w:pPr>
    </w:p>
    <w:p w14:paraId="6AF47E62" w14:textId="15D3215B" w:rsidR="002A18F7" w:rsidRPr="00DD5E24" w:rsidRDefault="002A18F7" w:rsidP="00783962">
      <w:pPr>
        <w:pStyle w:val="Body"/>
        <w:spacing w:after="0"/>
        <w:contextualSpacing/>
      </w:pPr>
      <w:r w:rsidRPr="00DD5E24">
        <w:t>Mandrell, D., Truong, L., Jephson, C., Sarker, M. R., Moore, A., &amp; Lang, C. (2012). Automated zebrafish chorion removal and single embryo placement: Optimizing throughput of zebrafish developmental toxicity screens. Journal of Laboratory Automation, 17(1), 66–74. https://doi.org/10.1177/2211068211432197</w:t>
      </w:r>
    </w:p>
    <w:p w14:paraId="074C4616" w14:textId="77777777" w:rsidR="0006054C" w:rsidRPr="00DD5E24" w:rsidRDefault="0006054C" w:rsidP="00783962">
      <w:pPr>
        <w:pStyle w:val="Body"/>
        <w:spacing w:after="0"/>
        <w:contextualSpacing/>
      </w:pPr>
    </w:p>
    <w:p w14:paraId="40A16A57" w14:textId="3D231E40" w:rsidR="002A18F7" w:rsidRPr="00DD5E24" w:rsidRDefault="002A18F7" w:rsidP="00783962">
      <w:pPr>
        <w:pStyle w:val="Body"/>
        <w:spacing w:after="0"/>
        <w:contextualSpacing/>
      </w:pPr>
      <w:r w:rsidRPr="00DD5E24">
        <w:t xml:space="preserve">Ünal, İ., </w:t>
      </w:r>
      <w:proofErr w:type="spellStart"/>
      <w:r w:rsidRPr="00DD5E24">
        <w:t>Çalışkan</w:t>
      </w:r>
      <w:proofErr w:type="spellEnd"/>
      <w:r w:rsidRPr="00DD5E24">
        <w:t xml:space="preserve">-Ak, E., Üstündağ, Ü. v., Ateş, P. S., </w:t>
      </w:r>
      <w:proofErr w:type="spellStart"/>
      <w:r w:rsidRPr="00DD5E24">
        <w:t>Alturfan</w:t>
      </w:r>
      <w:proofErr w:type="spellEnd"/>
      <w:r w:rsidRPr="00DD5E24">
        <w:t xml:space="preserve">, A. A., &amp; </w:t>
      </w:r>
      <w:proofErr w:type="spellStart"/>
      <w:r w:rsidRPr="00DD5E24">
        <w:t>Altinoz</w:t>
      </w:r>
      <w:proofErr w:type="spellEnd"/>
      <w:r w:rsidRPr="00DD5E24">
        <w:t xml:space="preserve">, M. A. (2020). Neuroprotective effects of </w:t>
      </w:r>
      <w:proofErr w:type="spellStart"/>
      <w:r w:rsidRPr="00DD5E24">
        <w:t>mitoquinone</w:t>
      </w:r>
      <w:proofErr w:type="spellEnd"/>
      <w:r w:rsidRPr="00DD5E24">
        <w:t xml:space="preserve"> and oleandrin on Parkinson’s disease model in zebrafish. International Journal of Neuroscience, 130(6), 574–582. https://doi.org/10.1080/00207454.2019.1698567</w:t>
      </w:r>
    </w:p>
    <w:p w14:paraId="7B493DE2" w14:textId="77777777" w:rsidR="0006054C" w:rsidRPr="00DD5E24" w:rsidRDefault="0006054C" w:rsidP="00783962">
      <w:pPr>
        <w:pStyle w:val="Body"/>
        <w:spacing w:after="0"/>
        <w:contextualSpacing/>
      </w:pPr>
    </w:p>
    <w:p w14:paraId="0B796573" w14:textId="7F6FB394" w:rsidR="002A18F7" w:rsidRPr="00DD5E24" w:rsidRDefault="002A18F7" w:rsidP="00783962">
      <w:pPr>
        <w:pStyle w:val="Body"/>
        <w:spacing w:after="0"/>
        <w:contextualSpacing/>
      </w:pPr>
      <w:r w:rsidRPr="00DD5E24">
        <w:lastRenderedPageBreak/>
        <w:t>Sasaoka, M., Ota, T., &amp; Kageyama, M. (2020). Rotenone-induced inner retinal degeneration via presynaptic activation of voltage-dependent sodium and L-type calcium channels in rats. Scientific Reports, 10, 969. https://doi.org/10.1038/s41598-020-57638-y</w:t>
      </w:r>
    </w:p>
    <w:p w14:paraId="17AEDBD6" w14:textId="77777777" w:rsidR="0006054C" w:rsidRPr="00DD5E24" w:rsidRDefault="0006054C" w:rsidP="00783962">
      <w:pPr>
        <w:pStyle w:val="Body"/>
        <w:spacing w:after="0"/>
        <w:contextualSpacing/>
      </w:pPr>
    </w:p>
    <w:p w14:paraId="4B359816" w14:textId="1CA5976C" w:rsidR="002A18F7" w:rsidRPr="00DD5E24" w:rsidRDefault="002A18F7" w:rsidP="00783962">
      <w:pPr>
        <w:pStyle w:val="Body"/>
        <w:spacing w:after="0"/>
        <w:contextualSpacing/>
      </w:pPr>
      <w:r w:rsidRPr="00DD5E24">
        <w:t xml:space="preserve">Benvenutti, R., Marcon, M., Reis, C. G., Nery, L. R., Miguel, C., &amp; Herrmann, A. P. (2018). N-acetylcysteine protects against motor, optomotor and morphological deficits induced by 6-OHDA in zebrafish larvae. </w:t>
      </w:r>
      <w:proofErr w:type="spellStart"/>
      <w:r w:rsidRPr="00DD5E24">
        <w:t>PeerJ</w:t>
      </w:r>
      <w:proofErr w:type="spellEnd"/>
      <w:r w:rsidRPr="00DD5E24">
        <w:t>, 6, e4957. https://doi.org/10.17717/peerj.4957</w:t>
      </w:r>
    </w:p>
    <w:p w14:paraId="0DBAD47E" w14:textId="77777777" w:rsidR="0006054C" w:rsidRPr="00DD5E24" w:rsidRDefault="0006054C" w:rsidP="00783962">
      <w:pPr>
        <w:pStyle w:val="Body"/>
        <w:spacing w:after="0"/>
        <w:contextualSpacing/>
      </w:pPr>
    </w:p>
    <w:p w14:paraId="62036004" w14:textId="32D4B3D7" w:rsidR="004D4277" w:rsidRPr="002F2EC2" w:rsidRDefault="002A18F7" w:rsidP="002F2EC2">
      <w:pPr>
        <w:pStyle w:val="Body"/>
        <w:spacing w:after="0"/>
        <w:contextualSpacing/>
        <w:sectPr w:rsidR="004D4277" w:rsidRPr="002F2EC2" w:rsidSect="00C042C0">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r w:rsidRPr="00DD5E24">
        <w:t xml:space="preserve">Andrade, A. L. C., Silva, R. P. F., Silva, J. F., &amp; Cadena, P. G. (2022). </w:t>
      </w:r>
      <w:proofErr w:type="spellStart"/>
      <w:r w:rsidRPr="00DD5E24">
        <w:t>Efeitos</w:t>
      </w:r>
      <w:proofErr w:type="spellEnd"/>
      <w:r w:rsidRPr="00DD5E24">
        <w:t xml:space="preserve"> </w:t>
      </w:r>
      <w:proofErr w:type="spellStart"/>
      <w:r w:rsidRPr="00DD5E24">
        <w:t>motores</w:t>
      </w:r>
      <w:proofErr w:type="spellEnd"/>
      <w:r w:rsidRPr="00DD5E24">
        <w:t xml:space="preserve"> da </w:t>
      </w:r>
      <w:proofErr w:type="spellStart"/>
      <w:r w:rsidRPr="00DD5E24">
        <w:t>rotenona</w:t>
      </w:r>
      <w:proofErr w:type="spellEnd"/>
      <w:r w:rsidRPr="00DD5E24">
        <w:t xml:space="preserve"> </w:t>
      </w:r>
      <w:proofErr w:type="spellStart"/>
      <w:r w:rsidRPr="00DD5E24">
        <w:t>em</w:t>
      </w:r>
      <w:proofErr w:type="spellEnd"/>
      <w:r w:rsidRPr="00DD5E24">
        <w:t xml:space="preserve"> zebrafish </w:t>
      </w:r>
      <w:proofErr w:type="spellStart"/>
      <w:r w:rsidRPr="00DD5E24">
        <w:t>como</w:t>
      </w:r>
      <w:proofErr w:type="spellEnd"/>
      <w:r w:rsidRPr="00DD5E24">
        <w:t xml:space="preserve"> </w:t>
      </w:r>
      <w:proofErr w:type="spellStart"/>
      <w:r w:rsidRPr="00DD5E24">
        <w:t>modelo</w:t>
      </w:r>
      <w:proofErr w:type="spellEnd"/>
      <w:r w:rsidRPr="00DD5E24">
        <w:t xml:space="preserve"> animal da </w:t>
      </w:r>
      <w:proofErr w:type="spellStart"/>
      <w:r w:rsidRPr="00DD5E24">
        <w:t>doença</w:t>
      </w:r>
      <w:proofErr w:type="spellEnd"/>
      <w:r w:rsidRPr="00DD5E24">
        <w:t xml:space="preserve"> de Parkinson-like. </w:t>
      </w:r>
      <w:proofErr w:type="spellStart"/>
      <w:r w:rsidRPr="00DD5E24">
        <w:t>Revista</w:t>
      </w:r>
      <w:proofErr w:type="spellEnd"/>
      <w:r w:rsidRPr="00DD5E24">
        <w:t xml:space="preserve"> </w:t>
      </w:r>
      <w:proofErr w:type="spellStart"/>
      <w:r w:rsidRPr="00DD5E24">
        <w:t>Eletrônica</w:t>
      </w:r>
      <w:proofErr w:type="spellEnd"/>
      <w:r w:rsidRPr="00DD5E24">
        <w:t xml:space="preserve"> </w:t>
      </w:r>
      <w:proofErr w:type="spellStart"/>
      <w:r w:rsidRPr="00DD5E24">
        <w:t>Acervo</w:t>
      </w:r>
      <w:proofErr w:type="spellEnd"/>
      <w:r w:rsidRPr="00DD5E24">
        <w:t xml:space="preserve"> </w:t>
      </w:r>
      <w:proofErr w:type="spellStart"/>
      <w:r w:rsidRPr="00DD5E24">
        <w:t>Saúde</w:t>
      </w:r>
      <w:proofErr w:type="spellEnd"/>
      <w:r w:rsidRPr="00DD5E24">
        <w:t>, 15(5), e10196. https://doi.org/10.25248/reas.e10196.2022</w:t>
      </w:r>
    </w:p>
    <w:p w14:paraId="36877011" w14:textId="77777777" w:rsidR="00B01FCD" w:rsidRPr="00DD5E24" w:rsidRDefault="00B01FCD" w:rsidP="00783962">
      <w:pPr>
        <w:pStyle w:val="Appendix"/>
        <w:spacing w:after="0"/>
        <w:contextualSpacing/>
        <w:jc w:val="both"/>
        <w:rPr>
          <w:rFonts w:ascii="Arial" w:hAnsi="Arial" w:cs="Arial"/>
          <w:b w:val="0"/>
        </w:rPr>
      </w:pPr>
    </w:p>
    <w:sectPr w:rsidR="00B01FCD" w:rsidRPr="00DD5E24" w:rsidSect="00C042C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BBF31" w14:textId="77777777" w:rsidR="00D17C06" w:rsidRDefault="00D17C06" w:rsidP="00C37E61">
      <w:r>
        <w:separator/>
      </w:r>
    </w:p>
  </w:endnote>
  <w:endnote w:type="continuationSeparator" w:id="0">
    <w:p w14:paraId="12AB37BD" w14:textId="77777777" w:rsidR="00D17C06" w:rsidRDefault="00D17C0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2B396" w14:textId="77777777" w:rsidR="00C042C0" w:rsidRDefault="00C042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7D250" w14:textId="77777777" w:rsidR="00C042C0" w:rsidRDefault="00C042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3F0E0" w14:textId="37169FA3" w:rsidR="00754C9A" w:rsidRPr="00C042C0" w:rsidRDefault="00754C9A" w:rsidP="00C042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EB4C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35F31" w14:textId="77777777" w:rsidR="00D17C06" w:rsidRDefault="00D17C06" w:rsidP="00C37E61">
      <w:r>
        <w:separator/>
      </w:r>
    </w:p>
  </w:footnote>
  <w:footnote w:type="continuationSeparator" w:id="0">
    <w:p w14:paraId="4C5C3725" w14:textId="77777777" w:rsidR="00D17C06" w:rsidRDefault="00D17C0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53096" w14:textId="4DCFC577" w:rsidR="00C042C0" w:rsidRDefault="00C042C0">
    <w:pPr>
      <w:pStyle w:val="Header"/>
    </w:pPr>
    <w:r>
      <w:rPr>
        <w:noProof/>
      </w:rPr>
      <w:pict w14:anchorId="0F0BAB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7739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462D" w14:textId="3300C717" w:rsidR="00C042C0" w:rsidRDefault="00C042C0">
    <w:pPr>
      <w:pStyle w:val="Header"/>
    </w:pPr>
    <w:r>
      <w:rPr>
        <w:noProof/>
      </w:rPr>
      <w:pict w14:anchorId="780A02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7739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0DF60" w14:textId="5CB5BF10" w:rsidR="00296529" w:rsidRPr="00296529" w:rsidRDefault="00C042C0" w:rsidP="00296529">
    <w:pPr>
      <w:ind w:left="2160"/>
      <w:jc w:val="center"/>
      <w:rPr>
        <w:rFonts w:ascii="Times New Roman" w:eastAsia="Calibri" w:hAnsi="Times New Roman"/>
        <w:i/>
        <w:sz w:val="18"/>
        <w:szCs w:val="22"/>
      </w:rPr>
    </w:pPr>
    <w:r>
      <w:rPr>
        <w:noProof/>
      </w:rPr>
      <w:pict w14:anchorId="29C745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7739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016280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D0ACA0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1F4F91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E05722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1F9FB5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E2D28E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9C6CA" w14:textId="5978A1ED" w:rsidR="00C042C0" w:rsidRDefault="00C042C0">
    <w:pPr>
      <w:pStyle w:val="Header"/>
    </w:pPr>
    <w:r>
      <w:rPr>
        <w:noProof/>
      </w:rPr>
      <w:pict w14:anchorId="0C1695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77394"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C4DDB" w14:textId="510B3C56" w:rsidR="00C042C0" w:rsidRDefault="00C042C0">
    <w:pPr>
      <w:pStyle w:val="Header"/>
    </w:pPr>
    <w:r>
      <w:rPr>
        <w:noProof/>
      </w:rPr>
      <w:pict w14:anchorId="5746C5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77395"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F2AD5" w14:textId="0B6D79A8" w:rsidR="00C042C0" w:rsidRDefault="00C042C0">
    <w:pPr>
      <w:pStyle w:val="Header"/>
    </w:pPr>
    <w:r>
      <w:rPr>
        <w:noProof/>
      </w:rPr>
      <w:pict w14:anchorId="631DDB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77393"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53704211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68203736">
    <w:abstractNumId w:val="15"/>
  </w:num>
  <w:num w:numId="3" w16cid:durableId="529605943">
    <w:abstractNumId w:val="23"/>
  </w:num>
  <w:num w:numId="4" w16cid:durableId="117461589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1829120">
    <w:abstractNumId w:val="7"/>
  </w:num>
  <w:num w:numId="6" w16cid:durableId="1235244064">
    <w:abstractNumId w:val="6"/>
  </w:num>
  <w:num w:numId="7" w16cid:durableId="1321687851">
    <w:abstractNumId w:val="1"/>
  </w:num>
  <w:num w:numId="8" w16cid:durableId="293801928">
    <w:abstractNumId w:val="12"/>
  </w:num>
  <w:num w:numId="9" w16cid:durableId="230124116">
    <w:abstractNumId w:val="25"/>
  </w:num>
  <w:num w:numId="10" w16cid:durableId="1295792560">
    <w:abstractNumId w:val="2"/>
  </w:num>
  <w:num w:numId="11" w16cid:durableId="982084723">
    <w:abstractNumId w:val="18"/>
  </w:num>
  <w:num w:numId="12" w16cid:durableId="2028174002">
    <w:abstractNumId w:val="3"/>
  </w:num>
  <w:num w:numId="13" w16cid:durableId="83037457">
    <w:abstractNumId w:val="17"/>
  </w:num>
  <w:num w:numId="14" w16cid:durableId="2070808232">
    <w:abstractNumId w:val="8"/>
  </w:num>
  <w:num w:numId="15" w16cid:durableId="1314214640">
    <w:abstractNumId w:val="21"/>
  </w:num>
  <w:num w:numId="16" w16cid:durableId="189101651">
    <w:abstractNumId w:val="5"/>
  </w:num>
  <w:num w:numId="17" w16cid:durableId="1604023747">
    <w:abstractNumId w:val="22"/>
  </w:num>
  <w:num w:numId="18" w16cid:durableId="901868843">
    <w:abstractNumId w:val="14"/>
  </w:num>
  <w:num w:numId="19" w16cid:durableId="567498776">
    <w:abstractNumId w:val="28"/>
  </w:num>
  <w:num w:numId="20" w16cid:durableId="1253395839">
    <w:abstractNumId w:val="11"/>
  </w:num>
  <w:num w:numId="21" w16cid:durableId="1250192073">
    <w:abstractNumId w:val="9"/>
  </w:num>
  <w:num w:numId="22" w16cid:durableId="2095786497">
    <w:abstractNumId w:val="13"/>
  </w:num>
  <w:num w:numId="23" w16cid:durableId="1236352785">
    <w:abstractNumId w:val="19"/>
  </w:num>
  <w:num w:numId="24" w16cid:durableId="1644919294">
    <w:abstractNumId w:val="26"/>
  </w:num>
  <w:num w:numId="25" w16cid:durableId="1516261069">
    <w:abstractNumId w:val="4"/>
  </w:num>
  <w:num w:numId="26" w16cid:durableId="859666849">
    <w:abstractNumId w:val="16"/>
  </w:num>
  <w:num w:numId="27" w16cid:durableId="191235221">
    <w:abstractNumId w:val="20"/>
  </w:num>
  <w:num w:numId="28" w16cid:durableId="1803037801">
    <w:abstractNumId w:val="27"/>
  </w:num>
  <w:num w:numId="29" w16cid:durableId="1954089087">
    <w:abstractNumId w:val="24"/>
  </w:num>
  <w:num w:numId="30" w16cid:durableId="8131824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2CD9"/>
    <w:rsid w:val="000233B2"/>
    <w:rsid w:val="00030174"/>
    <w:rsid w:val="0004579C"/>
    <w:rsid w:val="00057E36"/>
    <w:rsid w:val="0006054C"/>
    <w:rsid w:val="0006720E"/>
    <w:rsid w:val="00073ED9"/>
    <w:rsid w:val="00075568"/>
    <w:rsid w:val="00080BD3"/>
    <w:rsid w:val="0009527D"/>
    <w:rsid w:val="000A47FA"/>
    <w:rsid w:val="000A65D3"/>
    <w:rsid w:val="000B04E5"/>
    <w:rsid w:val="000B1E33"/>
    <w:rsid w:val="000D689F"/>
    <w:rsid w:val="000E787E"/>
    <w:rsid w:val="000E7B7B"/>
    <w:rsid w:val="000E7D62"/>
    <w:rsid w:val="00103357"/>
    <w:rsid w:val="00120B1D"/>
    <w:rsid w:val="00123C9F"/>
    <w:rsid w:val="00126190"/>
    <w:rsid w:val="00130F17"/>
    <w:rsid w:val="001320BF"/>
    <w:rsid w:val="00132BED"/>
    <w:rsid w:val="00135B4C"/>
    <w:rsid w:val="00151DF8"/>
    <w:rsid w:val="00163BC4"/>
    <w:rsid w:val="00191062"/>
    <w:rsid w:val="00192B72"/>
    <w:rsid w:val="001A29D8"/>
    <w:rsid w:val="001A5CAA"/>
    <w:rsid w:val="001B0427"/>
    <w:rsid w:val="001D1F4A"/>
    <w:rsid w:val="001D3A51"/>
    <w:rsid w:val="001E10D2"/>
    <w:rsid w:val="001E25B4"/>
    <w:rsid w:val="001E395F"/>
    <w:rsid w:val="001E44FE"/>
    <w:rsid w:val="001E47BD"/>
    <w:rsid w:val="001E4C9D"/>
    <w:rsid w:val="001F66C8"/>
    <w:rsid w:val="00200595"/>
    <w:rsid w:val="00204835"/>
    <w:rsid w:val="00216644"/>
    <w:rsid w:val="00231920"/>
    <w:rsid w:val="0023195C"/>
    <w:rsid w:val="0024282C"/>
    <w:rsid w:val="002460DC"/>
    <w:rsid w:val="00250985"/>
    <w:rsid w:val="0025181D"/>
    <w:rsid w:val="002556F6"/>
    <w:rsid w:val="002569B4"/>
    <w:rsid w:val="00264456"/>
    <w:rsid w:val="00267524"/>
    <w:rsid w:val="00283105"/>
    <w:rsid w:val="00284C4C"/>
    <w:rsid w:val="00287E68"/>
    <w:rsid w:val="00296529"/>
    <w:rsid w:val="002A18F7"/>
    <w:rsid w:val="002B27FB"/>
    <w:rsid w:val="002B3E30"/>
    <w:rsid w:val="002B685A"/>
    <w:rsid w:val="002C57D2"/>
    <w:rsid w:val="002D38AA"/>
    <w:rsid w:val="002E0D56"/>
    <w:rsid w:val="002E3A58"/>
    <w:rsid w:val="002F2EC2"/>
    <w:rsid w:val="00315186"/>
    <w:rsid w:val="00332DFF"/>
    <w:rsid w:val="0033343E"/>
    <w:rsid w:val="003512C2"/>
    <w:rsid w:val="00371FB6"/>
    <w:rsid w:val="0037613D"/>
    <w:rsid w:val="003763C1"/>
    <w:rsid w:val="00376BBE"/>
    <w:rsid w:val="003837D0"/>
    <w:rsid w:val="0039224F"/>
    <w:rsid w:val="003A43A4"/>
    <w:rsid w:val="003A7E18"/>
    <w:rsid w:val="003B2D2A"/>
    <w:rsid w:val="003C29EE"/>
    <w:rsid w:val="003C4C86"/>
    <w:rsid w:val="003C6258"/>
    <w:rsid w:val="003E2904"/>
    <w:rsid w:val="00401927"/>
    <w:rsid w:val="0041027F"/>
    <w:rsid w:val="00412475"/>
    <w:rsid w:val="00416C90"/>
    <w:rsid w:val="00423789"/>
    <w:rsid w:val="00440F43"/>
    <w:rsid w:val="00441B6F"/>
    <w:rsid w:val="00446221"/>
    <w:rsid w:val="00450E62"/>
    <w:rsid w:val="004539DB"/>
    <w:rsid w:val="00471A80"/>
    <w:rsid w:val="004A13A5"/>
    <w:rsid w:val="004C1A6E"/>
    <w:rsid w:val="004C1C83"/>
    <w:rsid w:val="004D305E"/>
    <w:rsid w:val="004D4277"/>
    <w:rsid w:val="004E1105"/>
    <w:rsid w:val="00502516"/>
    <w:rsid w:val="00502A27"/>
    <w:rsid w:val="00505F06"/>
    <w:rsid w:val="00506828"/>
    <w:rsid w:val="00514D98"/>
    <w:rsid w:val="0053056E"/>
    <w:rsid w:val="0055140B"/>
    <w:rsid w:val="00554FDA"/>
    <w:rsid w:val="005868E8"/>
    <w:rsid w:val="00592C61"/>
    <w:rsid w:val="005C784C"/>
    <w:rsid w:val="005D17F6"/>
    <w:rsid w:val="005D469D"/>
    <w:rsid w:val="005D6D71"/>
    <w:rsid w:val="005E01EC"/>
    <w:rsid w:val="005E52B9"/>
    <w:rsid w:val="005E5539"/>
    <w:rsid w:val="005F6FD4"/>
    <w:rsid w:val="005F7682"/>
    <w:rsid w:val="00602BF5"/>
    <w:rsid w:val="00617FDD"/>
    <w:rsid w:val="00633614"/>
    <w:rsid w:val="00633F68"/>
    <w:rsid w:val="00636EB2"/>
    <w:rsid w:val="006375B8"/>
    <w:rsid w:val="006472C6"/>
    <w:rsid w:val="00653675"/>
    <w:rsid w:val="006635D7"/>
    <w:rsid w:val="0066510A"/>
    <w:rsid w:val="00673F9F"/>
    <w:rsid w:val="0067755F"/>
    <w:rsid w:val="00685EF4"/>
    <w:rsid w:val="00686953"/>
    <w:rsid w:val="00687DEA"/>
    <w:rsid w:val="00687E67"/>
    <w:rsid w:val="006967F7"/>
    <w:rsid w:val="006A250C"/>
    <w:rsid w:val="006A78D7"/>
    <w:rsid w:val="006B21D3"/>
    <w:rsid w:val="006B57D0"/>
    <w:rsid w:val="006B5EAB"/>
    <w:rsid w:val="006D30FF"/>
    <w:rsid w:val="006D6940"/>
    <w:rsid w:val="006E1396"/>
    <w:rsid w:val="006F11EC"/>
    <w:rsid w:val="0070082C"/>
    <w:rsid w:val="00731B89"/>
    <w:rsid w:val="00731EB0"/>
    <w:rsid w:val="007369E6"/>
    <w:rsid w:val="00746E59"/>
    <w:rsid w:val="00754C9A"/>
    <w:rsid w:val="0075599A"/>
    <w:rsid w:val="00761D52"/>
    <w:rsid w:val="00775D7D"/>
    <w:rsid w:val="0077749E"/>
    <w:rsid w:val="00783962"/>
    <w:rsid w:val="00790ADA"/>
    <w:rsid w:val="007D2288"/>
    <w:rsid w:val="007E088F"/>
    <w:rsid w:val="007F7B32"/>
    <w:rsid w:val="00804BC2"/>
    <w:rsid w:val="0081273C"/>
    <w:rsid w:val="0081431A"/>
    <w:rsid w:val="00830877"/>
    <w:rsid w:val="0083216F"/>
    <w:rsid w:val="00860000"/>
    <w:rsid w:val="00863BD3"/>
    <w:rsid w:val="008641ED"/>
    <w:rsid w:val="00866D66"/>
    <w:rsid w:val="008671C6"/>
    <w:rsid w:val="00875803"/>
    <w:rsid w:val="00887F6E"/>
    <w:rsid w:val="008B459E"/>
    <w:rsid w:val="008E13AE"/>
    <w:rsid w:val="008E1506"/>
    <w:rsid w:val="008E4BA4"/>
    <w:rsid w:val="008E710C"/>
    <w:rsid w:val="008F07C0"/>
    <w:rsid w:val="008F2DE6"/>
    <w:rsid w:val="008F69D6"/>
    <w:rsid w:val="008F6BD3"/>
    <w:rsid w:val="00902823"/>
    <w:rsid w:val="0090767B"/>
    <w:rsid w:val="00915CA6"/>
    <w:rsid w:val="00926FFF"/>
    <w:rsid w:val="00927834"/>
    <w:rsid w:val="00933AEB"/>
    <w:rsid w:val="009500A6"/>
    <w:rsid w:val="00957C18"/>
    <w:rsid w:val="009659BA"/>
    <w:rsid w:val="00983040"/>
    <w:rsid w:val="009B3FB9"/>
    <w:rsid w:val="009C2465"/>
    <w:rsid w:val="009C5065"/>
    <w:rsid w:val="009D35A0"/>
    <w:rsid w:val="009D7EB7"/>
    <w:rsid w:val="009E048A"/>
    <w:rsid w:val="009E08E9"/>
    <w:rsid w:val="009E3DB9"/>
    <w:rsid w:val="009E6C8A"/>
    <w:rsid w:val="009E6E35"/>
    <w:rsid w:val="009F0EDA"/>
    <w:rsid w:val="00A03B96"/>
    <w:rsid w:val="00A05AEC"/>
    <w:rsid w:val="00A05B19"/>
    <w:rsid w:val="00A1134E"/>
    <w:rsid w:val="00A16AE3"/>
    <w:rsid w:val="00A24E7E"/>
    <w:rsid w:val="00A258C3"/>
    <w:rsid w:val="00A347C0"/>
    <w:rsid w:val="00A51431"/>
    <w:rsid w:val="00A539AD"/>
    <w:rsid w:val="00A706CF"/>
    <w:rsid w:val="00A94063"/>
    <w:rsid w:val="00AA6219"/>
    <w:rsid w:val="00AA74E0"/>
    <w:rsid w:val="00AB4697"/>
    <w:rsid w:val="00AB703F"/>
    <w:rsid w:val="00AC6BB8"/>
    <w:rsid w:val="00AD3829"/>
    <w:rsid w:val="00AE008F"/>
    <w:rsid w:val="00B00BA1"/>
    <w:rsid w:val="00B01FCD"/>
    <w:rsid w:val="00B1776C"/>
    <w:rsid w:val="00B21862"/>
    <w:rsid w:val="00B22D5A"/>
    <w:rsid w:val="00B50836"/>
    <w:rsid w:val="00B52583"/>
    <w:rsid w:val="00B52896"/>
    <w:rsid w:val="00B95236"/>
    <w:rsid w:val="00B95DD2"/>
    <w:rsid w:val="00B96BD9"/>
    <w:rsid w:val="00BA1B01"/>
    <w:rsid w:val="00BA2641"/>
    <w:rsid w:val="00BB37AA"/>
    <w:rsid w:val="00BC53A0"/>
    <w:rsid w:val="00BE62AD"/>
    <w:rsid w:val="00BF121F"/>
    <w:rsid w:val="00BF1F80"/>
    <w:rsid w:val="00BF54C6"/>
    <w:rsid w:val="00C042C0"/>
    <w:rsid w:val="00C166EF"/>
    <w:rsid w:val="00C17EB0"/>
    <w:rsid w:val="00C27F5F"/>
    <w:rsid w:val="00C30A0F"/>
    <w:rsid w:val="00C37E61"/>
    <w:rsid w:val="00C4241F"/>
    <w:rsid w:val="00C47F98"/>
    <w:rsid w:val="00C70F1B"/>
    <w:rsid w:val="00C71A47"/>
    <w:rsid w:val="00C7464C"/>
    <w:rsid w:val="00C84959"/>
    <w:rsid w:val="00C85588"/>
    <w:rsid w:val="00CD6755"/>
    <w:rsid w:val="00CD6856"/>
    <w:rsid w:val="00CE0089"/>
    <w:rsid w:val="00CE6F59"/>
    <w:rsid w:val="00CE793C"/>
    <w:rsid w:val="00CF193C"/>
    <w:rsid w:val="00CF6E20"/>
    <w:rsid w:val="00D173F1"/>
    <w:rsid w:val="00D17C06"/>
    <w:rsid w:val="00D355C6"/>
    <w:rsid w:val="00D74CB0"/>
    <w:rsid w:val="00D8295D"/>
    <w:rsid w:val="00DC2A65"/>
    <w:rsid w:val="00DC7B52"/>
    <w:rsid w:val="00DD5E24"/>
    <w:rsid w:val="00DE15F0"/>
    <w:rsid w:val="00DE4376"/>
    <w:rsid w:val="00DE5663"/>
    <w:rsid w:val="00DE78AA"/>
    <w:rsid w:val="00E016B7"/>
    <w:rsid w:val="00E01ED3"/>
    <w:rsid w:val="00E053D0"/>
    <w:rsid w:val="00E15994"/>
    <w:rsid w:val="00E3114E"/>
    <w:rsid w:val="00E31A70"/>
    <w:rsid w:val="00E35B02"/>
    <w:rsid w:val="00E66496"/>
    <w:rsid w:val="00E66B35"/>
    <w:rsid w:val="00E66E10"/>
    <w:rsid w:val="00E769F6"/>
    <w:rsid w:val="00E8407C"/>
    <w:rsid w:val="00E84F23"/>
    <w:rsid w:val="00E84F3C"/>
    <w:rsid w:val="00E87E85"/>
    <w:rsid w:val="00EA012C"/>
    <w:rsid w:val="00EC6A55"/>
    <w:rsid w:val="00ED0288"/>
    <w:rsid w:val="00EE52CB"/>
    <w:rsid w:val="00EF1493"/>
    <w:rsid w:val="00EF2153"/>
    <w:rsid w:val="00EF581D"/>
    <w:rsid w:val="00EF7FD8"/>
    <w:rsid w:val="00F06F59"/>
    <w:rsid w:val="00F17988"/>
    <w:rsid w:val="00F448D7"/>
    <w:rsid w:val="00F469F0"/>
    <w:rsid w:val="00F53273"/>
    <w:rsid w:val="00F755E4"/>
    <w:rsid w:val="00F77D02"/>
    <w:rsid w:val="00F8543B"/>
    <w:rsid w:val="00FA66C7"/>
    <w:rsid w:val="00FB3A86"/>
    <w:rsid w:val="00FD36C8"/>
    <w:rsid w:val="00FF14B7"/>
    <w:rsid w:val="00FF7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52B8B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elacomgrade1">
    <w:name w:val="Tabela com grade1"/>
    <w:basedOn w:val="TableNormal"/>
    <w:next w:val="TableGrid"/>
    <w:uiPriority w:val="39"/>
    <w:rsid w:val="00DC7B52"/>
    <w:rPr>
      <w:rFonts w:ascii="Calibri" w:eastAsia="Calibri" w:hAnsi="Calibr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A05AEC"/>
    <w:rPr>
      <w:rFonts w:ascii="Calibri" w:eastAsia="Calibri" w:hAnsi="Calibr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tif"/><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tif"/><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48</TotalTime>
  <Pages>18</Pages>
  <Words>7175</Words>
  <Characters>40904</Characters>
  <Application>Microsoft Office Word</Application>
  <DocSecurity>0</DocSecurity>
  <Lines>340</Lines>
  <Paragraphs>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47984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31</cp:revision>
  <cp:lastPrinted>2025-06-19T22:17:00Z</cp:lastPrinted>
  <dcterms:created xsi:type="dcterms:W3CDTF">2025-06-19T21:55:00Z</dcterms:created>
  <dcterms:modified xsi:type="dcterms:W3CDTF">2025-06-28T09:30:00Z</dcterms:modified>
</cp:coreProperties>
</file>