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99DA" w14:textId="77777777" w:rsidR="007C4365" w:rsidRDefault="00E3017B">
      <w:pPr>
        <w:spacing w:line="301" w:lineRule="auto"/>
        <w:jc w:val="center"/>
        <w:rPr>
          <w:rFonts w:ascii="Times New Roman" w:hAnsi="Times New Roman" w:cs="Times New Roman"/>
          <w:b/>
          <w:i/>
          <w:iCs/>
          <w:sz w:val="24"/>
          <w:szCs w:val="24"/>
        </w:rPr>
      </w:pPr>
      <w:r>
        <w:rPr>
          <w:rFonts w:ascii="Times New Roman" w:hAnsi="Times New Roman" w:cs="Times New Roman"/>
          <w:b/>
          <w:sz w:val="24"/>
          <w:szCs w:val="24"/>
        </w:rPr>
        <w:t xml:space="preserve">Effect of zinc and boron on the yield and quality traits of the broccoli under the </w:t>
      </w:r>
      <w:r w:rsidR="000B49A9">
        <w:rPr>
          <w:rFonts w:ascii="Times New Roman" w:hAnsi="Times New Roman" w:cs="Times New Roman"/>
          <w:b/>
          <w:sz w:val="24"/>
          <w:szCs w:val="24"/>
        </w:rPr>
        <w:t>Kanpur</w:t>
      </w:r>
      <w:r>
        <w:rPr>
          <w:rFonts w:ascii="Times New Roman" w:hAnsi="Times New Roman" w:cs="Times New Roman"/>
          <w:b/>
          <w:sz w:val="24"/>
          <w:szCs w:val="24"/>
        </w:rPr>
        <w:t xml:space="preserve"> agro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 xml:space="preserve">Brassica oleracea </w:t>
      </w:r>
      <w:r w:rsidRPr="00E3017B">
        <w:rPr>
          <w:rFonts w:ascii="Times New Roman" w:hAnsi="Times New Roman" w:cs="Times New Roman"/>
          <w:b/>
          <w:iCs/>
          <w:sz w:val="24"/>
          <w:szCs w:val="24"/>
        </w:rPr>
        <w:t>Var.</w:t>
      </w:r>
      <w:r>
        <w:rPr>
          <w:rFonts w:ascii="Times New Roman" w:hAnsi="Times New Roman" w:cs="Times New Roman"/>
          <w:b/>
          <w:i/>
          <w:iCs/>
          <w:sz w:val="24"/>
          <w:szCs w:val="24"/>
        </w:rPr>
        <w:t xml:space="preserve"> Italica</w:t>
      </w:r>
      <w:r w:rsidRPr="00E3017B">
        <w:rPr>
          <w:rFonts w:ascii="Times New Roman" w:hAnsi="Times New Roman" w:cs="Times New Roman"/>
          <w:b/>
          <w:i/>
          <w:iCs/>
          <w:sz w:val="24"/>
          <w:szCs w:val="24"/>
        </w:rPr>
        <w:t xml:space="preserve"> </w:t>
      </w:r>
      <w:r>
        <w:rPr>
          <w:rFonts w:ascii="Times New Roman" w:hAnsi="Times New Roman" w:cs="Times New Roman"/>
          <w:b/>
          <w:i/>
          <w:iCs/>
          <w:sz w:val="24"/>
          <w:szCs w:val="24"/>
        </w:rPr>
        <w:t>L.)</w:t>
      </w:r>
    </w:p>
    <w:p w14:paraId="5A25BF87" w14:textId="77777777" w:rsidR="007C4365" w:rsidRDefault="007C4365">
      <w:pPr>
        <w:spacing w:after="0" w:line="360" w:lineRule="auto"/>
        <w:jc w:val="center"/>
        <w:rPr>
          <w:rFonts w:ascii="Times New Roman" w:hAnsi="Times New Roman" w:cs="Times New Roman"/>
          <w:sz w:val="24"/>
          <w:szCs w:val="24"/>
        </w:rPr>
      </w:pPr>
    </w:p>
    <w:p w14:paraId="688D7353" w14:textId="77777777" w:rsidR="0098541D" w:rsidRDefault="0098541D">
      <w:pPr>
        <w:spacing w:after="0" w:line="360" w:lineRule="auto"/>
        <w:jc w:val="center"/>
        <w:rPr>
          <w:rFonts w:ascii="Times New Roman" w:hAnsi="Times New Roman" w:cs="Times New Roman"/>
          <w:sz w:val="24"/>
          <w:szCs w:val="24"/>
        </w:rPr>
      </w:pPr>
    </w:p>
    <w:p w14:paraId="753183A5" w14:textId="77777777" w:rsidR="007C4365" w:rsidRDefault="00E3017B">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07943679" w14:textId="77777777" w:rsidR="007C4365" w:rsidRDefault="00E3017B">
      <w:pPr>
        <w:spacing w:after="0" w:line="240" w:lineRule="auto"/>
        <w:ind w:firstLine="720"/>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A field experiment was conducted during rabi 2024 at Horticulture Research Farm, Faculty of Agricultural Sciences and Allied Industries, Rama University, Kanpur (U.P.), Kanpur. The experiment was laid out in Randomized Block Design with eight treatments each replicated thrice on the basis of one year experimentation. The treatments which are</w:t>
      </w:r>
      <w:r>
        <w:rPr>
          <w:rFonts w:ascii="Times New Roman" w:eastAsia="Times New Roman" w:hAnsi="Times New Roman" w:cs="Times New Roman"/>
          <w:sz w:val="24"/>
          <w:szCs w:val="24"/>
          <w:lang w:val="en-GB" w:eastAsia="en-GB"/>
        </w:rPr>
        <w:t xml:space="preserve"> T0</w:t>
      </w:r>
      <w:r>
        <w:rPr>
          <w:rFonts w:ascii="Times New Roman" w:eastAsia="Times New Roman" w:hAnsi="Times New Roman" w:cs="Times New Roman"/>
          <w:sz w:val="24"/>
          <w:szCs w:val="24"/>
          <w:lang w:eastAsia="en-GB"/>
        </w:rPr>
        <w:t xml:space="preserve">Control, </w:t>
      </w:r>
      <w:r>
        <w:rPr>
          <w:rFonts w:ascii="Times New Roman" w:eastAsia="Times New Roman" w:hAnsi="Times New Roman" w:cs="Times New Roman"/>
          <w:sz w:val="24"/>
          <w:szCs w:val="24"/>
          <w:lang w:val="en-GB" w:eastAsia="en-GB"/>
        </w:rPr>
        <w:t>T1</w:t>
      </w:r>
      <w:r>
        <w:rPr>
          <w:rFonts w:ascii="Times New Roman" w:eastAsia="Times New Roman" w:hAnsi="Times New Roman" w:cs="Times New Roman"/>
          <w:sz w:val="24"/>
          <w:szCs w:val="24"/>
          <w:lang w:eastAsia="en-GB"/>
        </w:rPr>
        <w:t xml:space="preserve">RDF+ Zinc foliar @0.5%, </w:t>
      </w:r>
      <w:r>
        <w:rPr>
          <w:rFonts w:ascii="Times New Roman" w:eastAsia="Times New Roman" w:hAnsi="Times New Roman" w:cs="Times New Roman"/>
          <w:sz w:val="24"/>
          <w:szCs w:val="24"/>
          <w:lang w:val="en-GB" w:eastAsia="en-GB"/>
        </w:rPr>
        <w:t>T2</w:t>
      </w:r>
      <w:r>
        <w:rPr>
          <w:rFonts w:ascii="Times New Roman" w:eastAsia="Times New Roman" w:hAnsi="Times New Roman" w:cs="Times New Roman"/>
          <w:sz w:val="24"/>
          <w:szCs w:val="24"/>
          <w:lang w:eastAsia="en-GB"/>
        </w:rPr>
        <w:t>RDF+ Zinc soil application @ 25kg/ha,</w:t>
      </w:r>
      <w:r>
        <w:rPr>
          <w:rFonts w:ascii="Times New Roman" w:eastAsia="Times New Roman" w:hAnsi="Times New Roman" w:cs="Times New Roman"/>
          <w:sz w:val="24"/>
          <w:szCs w:val="24"/>
          <w:lang w:val="en-GB" w:eastAsia="en-GB"/>
        </w:rPr>
        <w:t xml:space="preserve">T3 </w:t>
      </w:r>
      <w:r>
        <w:rPr>
          <w:rFonts w:ascii="Times New Roman" w:eastAsia="Times New Roman" w:hAnsi="Times New Roman" w:cs="Times New Roman"/>
          <w:sz w:val="24"/>
          <w:szCs w:val="24"/>
          <w:lang w:eastAsia="en-GB"/>
        </w:rPr>
        <w:t xml:space="preserve">RDF+ Zinc soil application @ 25kg/ha; + zinc foliar @0.5%, </w:t>
      </w:r>
      <w:r>
        <w:rPr>
          <w:rFonts w:ascii="Times New Roman" w:eastAsia="Times New Roman" w:hAnsi="Times New Roman" w:cs="Times New Roman"/>
          <w:sz w:val="24"/>
          <w:szCs w:val="24"/>
          <w:lang w:val="en-GB" w:eastAsia="en-GB"/>
        </w:rPr>
        <w:t xml:space="preserve">T4 </w:t>
      </w:r>
      <w:r>
        <w:rPr>
          <w:rFonts w:ascii="Times New Roman" w:eastAsia="Times New Roman" w:hAnsi="Times New Roman" w:cs="Times New Roman"/>
          <w:sz w:val="24"/>
          <w:szCs w:val="24"/>
          <w:lang w:eastAsia="en-GB"/>
        </w:rPr>
        <w:t>RDF+ Boron foliar application @ 0.5%,</w:t>
      </w:r>
      <w:r>
        <w:rPr>
          <w:rFonts w:ascii="Times New Roman" w:eastAsia="Times New Roman" w:hAnsi="Times New Roman" w:cs="Times New Roman"/>
          <w:sz w:val="24"/>
          <w:szCs w:val="24"/>
          <w:lang w:val="en-GB" w:eastAsia="en-GB"/>
        </w:rPr>
        <w:t xml:space="preserve"> T5 </w:t>
      </w:r>
      <w:r>
        <w:rPr>
          <w:rFonts w:ascii="Times New Roman" w:eastAsia="Times New Roman" w:hAnsi="Times New Roman" w:cs="Times New Roman"/>
          <w:sz w:val="24"/>
          <w:szCs w:val="24"/>
          <w:lang w:eastAsia="en-GB"/>
        </w:rPr>
        <w:t>RDF + Boron soil application @2 kg/ha,</w:t>
      </w:r>
      <w:r>
        <w:rPr>
          <w:rFonts w:ascii="Times New Roman" w:eastAsia="Times New Roman" w:hAnsi="Times New Roman" w:cs="Times New Roman"/>
          <w:sz w:val="24"/>
          <w:szCs w:val="24"/>
          <w:lang w:val="en-GB" w:eastAsia="en-GB"/>
        </w:rPr>
        <w:t xml:space="preserve"> T6 </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eastAsia="Times New Roman" w:hAnsi="Times New Roman" w:cs="Times New Roman"/>
          <w:sz w:val="24"/>
          <w:szCs w:val="24"/>
          <w:lang w:val="en-GB" w:eastAsia="en-GB"/>
        </w:rPr>
        <w:t xml:space="preserve"> T7 </w:t>
      </w:r>
      <w:r>
        <w:rPr>
          <w:rFonts w:ascii="Times New Roman" w:eastAsia="Times New Roman" w:hAnsi="Times New Roman" w:cs="Times New Roman"/>
          <w:sz w:val="24"/>
          <w:szCs w:val="24"/>
          <w:lang w:eastAsia="en-GB"/>
        </w:rPr>
        <w:t>RDF + Combined application of boron foliar @0.5% and Zinc foliar @0.5%</w:t>
      </w:r>
      <w:r>
        <w:rPr>
          <w:rFonts w:ascii="Times New Roman" w:hAnsi="Times New Roman" w:cs="Times New Roman"/>
          <w:sz w:val="24"/>
          <w:szCs w:val="24"/>
        </w:rPr>
        <w:t>. The unit plot size was 4.5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plants were spaced at 60 cm between the rows and 45 cm between the plants. There were total of 10 plants in each plot. The treatments were allocated randomly to a unit plot in each replication.  The results showed that application of </w:t>
      </w:r>
      <w:r>
        <w:rPr>
          <w:rFonts w:ascii="Times New Roman" w:eastAsia="Times New Roman" w:hAnsi="Times New Roman" w:cs="Times New Roman"/>
          <w:sz w:val="24"/>
          <w:szCs w:val="24"/>
          <w:lang w:val="en-GB" w:eastAsia="en-GB"/>
        </w:rPr>
        <w:t xml:space="preserve">T7 </w:t>
      </w:r>
      <w:r>
        <w:rPr>
          <w:rFonts w:ascii="Times New Roman" w:eastAsia="Times New Roman" w:hAnsi="Times New Roman" w:cs="Times New Roman"/>
          <w:sz w:val="24"/>
          <w:szCs w:val="24"/>
          <w:lang w:eastAsia="en-GB"/>
        </w:rPr>
        <w:t xml:space="preserve">RDF + Combined application of boron foliar @0.5% and Zinc foliar @0.5% </w:t>
      </w:r>
      <w:r>
        <w:rPr>
          <w:rFonts w:ascii="Times New Roman" w:hAnsi="Times New Roman" w:cs="Times New Roman"/>
          <w:sz w:val="24"/>
          <w:szCs w:val="24"/>
        </w:rPr>
        <w:t xml:space="preserve">was recorded highest plant growth, yield and </w:t>
      </w:r>
      <w:proofErr w:type="spellStart"/>
      <w:r>
        <w:rPr>
          <w:rFonts w:ascii="Times New Roman" w:hAnsi="Times New Roman" w:cs="Times New Roman"/>
          <w:sz w:val="24"/>
          <w:szCs w:val="24"/>
        </w:rPr>
        <w:t>quliaty</w:t>
      </w:r>
      <w:proofErr w:type="spellEnd"/>
      <w:r>
        <w:rPr>
          <w:rFonts w:ascii="Times New Roman" w:hAnsi="Times New Roman" w:cs="Times New Roman"/>
          <w:sz w:val="24"/>
          <w:szCs w:val="24"/>
        </w:rPr>
        <w:t xml:space="preserve"> of broccoli as </w:t>
      </w:r>
      <w:proofErr w:type="gramStart"/>
      <w:r>
        <w:rPr>
          <w:rFonts w:ascii="Times New Roman" w:hAnsi="Times New Roman" w:cs="Times New Roman"/>
          <w:sz w:val="24"/>
          <w:szCs w:val="24"/>
        </w:rPr>
        <w:t>compared  to</w:t>
      </w:r>
      <w:proofErr w:type="gramEnd"/>
      <w:r>
        <w:rPr>
          <w:rFonts w:ascii="Times New Roman" w:hAnsi="Times New Roman" w:cs="Times New Roman"/>
          <w:sz w:val="24"/>
          <w:szCs w:val="24"/>
        </w:rPr>
        <w:t xml:space="preserve"> other treatments. </w:t>
      </w:r>
      <w:r>
        <w:rPr>
          <w:rFonts w:ascii="Times New Roman" w:eastAsia="Times New Roman" w:hAnsi="Times New Roman" w:cs="Times New Roman"/>
          <w:sz w:val="24"/>
          <w:szCs w:val="24"/>
          <w:lang w:eastAsia="en-GB"/>
        </w:rPr>
        <w:t xml:space="preserve">It also recorded highest gross return, net return (Rs. ha-1) and benefit cost ratio.  </w:t>
      </w:r>
    </w:p>
    <w:p w14:paraId="5BFA783A" w14:textId="77777777" w:rsidR="007C4365" w:rsidRDefault="00E3017B">
      <w:pPr>
        <w:pStyle w:val="TableParagraph"/>
        <w:ind w:right="1045"/>
        <w:jc w:val="center"/>
        <w:rPr>
          <w:sz w:val="24"/>
          <w:szCs w:val="24"/>
        </w:rPr>
      </w:pPr>
      <w:r>
        <w:rPr>
          <w:b/>
          <w:sz w:val="24"/>
          <w:szCs w:val="24"/>
        </w:rPr>
        <w:t xml:space="preserve">Key </w:t>
      </w:r>
      <w:proofErr w:type="gramStart"/>
      <w:r>
        <w:rPr>
          <w:b/>
          <w:sz w:val="24"/>
          <w:szCs w:val="24"/>
        </w:rPr>
        <w:t>words:-</w:t>
      </w:r>
      <w:proofErr w:type="gramEnd"/>
      <w:r>
        <w:rPr>
          <w:sz w:val="24"/>
          <w:szCs w:val="24"/>
        </w:rPr>
        <w:t xml:space="preserve"> Zinc, </w:t>
      </w:r>
      <w:proofErr w:type="gramStart"/>
      <w:r>
        <w:rPr>
          <w:sz w:val="24"/>
          <w:szCs w:val="24"/>
        </w:rPr>
        <w:t>boron  growth</w:t>
      </w:r>
      <w:proofErr w:type="gramEnd"/>
      <w:r>
        <w:rPr>
          <w:sz w:val="24"/>
          <w:szCs w:val="24"/>
        </w:rPr>
        <w:t>, yield, quality and broccoli</w:t>
      </w:r>
    </w:p>
    <w:p w14:paraId="70184889" w14:textId="77777777" w:rsidR="0035752A" w:rsidRDefault="0035752A">
      <w:pPr>
        <w:pStyle w:val="TableParagraph"/>
        <w:ind w:right="1045"/>
        <w:rPr>
          <w:b/>
          <w:sz w:val="24"/>
          <w:szCs w:val="24"/>
        </w:rPr>
      </w:pPr>
    </w:p>
    <w:p w14:paraId="32E332B8" w14:textId="4C86F2AA" w:rsidR="007C4365" w:rsidRDefault="00E3017B">
      <w:pPr>
        <w:pStyle w:val="TableParagraph"/>
        <w:ind w:right="1045"/>
        <w:rPr>
          <w:b/>
          <w:sz w:val="24"/>
          <w:szCs w:val="24"/>
        </w:rPr>
      </w:pPr>
      <w:r>
        <w:rPr>
          <w:b/>
          <w:sz w:val="24"/>
          <w:szCs w:val="24"/>
        </w:rPr>
        <w:t xml:space="preserve">INTRODUCTION </w:t>
      </w:r>
    </w:p>
    <w:p w14:paraId="511D9B07" w14:textId="77777777" w:rsidR="007C4365" w:rsidRDefault="00E3017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Broccoli (</w:t>
      </w:r>
      <w:r>
        <w:rPr>
          <w:rFonts w:ascii="Times New Roman" w:hAnsi="Times New Roman" w:cs="Times New Roman"/>
          <w:i/>
          <w:sz w:val="24"/>
          <w:szCs w:val="24"/>
        </w:rPr>
        <w:t>Brassica oleracea</w:t>
      </w:r>
      <w:r>
        <w:rPr>
          <w:rFonts w:ascii="Times New Roman" w:hAnsi="Times New Roman" w:cs="Times New Roman"/>
          <w:sz w:val="24"/>
          <w:szCs w:val="24"/>
        </w:rPr>
        <w:t xml:space="preserve"> L. var. italica) Cv. Phule Ganesh” belongs to the genus Brassica, and family Brassicaceae which includes a wide range of crop plants derived from the Mediterranean Sea and modified over the years by selection and breeding </w:t>
      </w:r>
      <w:r>
        <w:rPr>
          <w:rFonts w:ascii="Times New Roman" w:hAnsi="Times New Roman" w:cs="Times New Roman"/>
          <w:b/>
          <w:sz w:val="24"/>
          <w:szCs w:val="24"/>
        </w:rPr>
        <w:t xml:space="preserve">(Decoteau, 2000). </w:t>
      </w:r>
      <w:r>
        <w:rPr>
          <w:rFonts w:ascii="Times New Roman" w:hAnsi="Times New Roman" w:cs="Times New Roman"/>
          <w:sz w:val="24"/>
          <w:szCs w:val="24"/>
        </w:rPr>
        <w:t xml:space="preserve">Plants in the Cruciferae family have flowers with four equal-sized petals in the shape of ‘crucifer’ cross. “Brassica” is the Latin term for cabbage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Cole crops are among the most widely grown vegetables in the temperate zones. The word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has been taken from the Latin word ‘caulis’ meaning stem </w:t>
      </w:r>
      <w:r>
        <w:rPr>
          <w:rFonts w:ascii="Times New Roman" w:hAnsi="Times New Roman" w:cs="Times New Roman"/>
          <w:b/>
          <w:sz w:val="24"/>
          <w:szCs w:val="24"/>
        </w:rPr>
        <w:t>(Bose, 1993).</w:t>
      </w:r>
      <w:r>
        <w:rPr>
          <w:rFonts w:ascii="Times New Roman" w:hAnsi="Times New Roman" w:cs="Times New Roman"/>
          <w:sz w:val="24"/>
          <w:szCs w:val="24"/>
        </w:rPr>
        <w:t xml:space="preserve"> The wild species from which the now cultivating varieties are originated is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oleraceace</w:t>
      </w:r>
      <w:proofErr w:type="spellEnd"/>
      <w:r>
        <w:rPr>
          <w:rFonts w:ascii="Times New Roman" w:hAnsi="Times New Roman" w:cs="Times New Roman"/>
          <w:sz w:val="24"/>
          <w:szCs w:val="24"/>
        </w:rPr>
        <w:t xml:space="preserve"> var. </w:t>
      </w:r>
      <w:proofErr w:type="spellStart"/>
      <w:r>
        <w:rPr>
          <w:rFonts w:ascii="Times New Roman" w:hAnsi="Times New Roman" w:cs="Times New Roman"/>
          <w:i/>
          <w:sz w:val="24"/>
          <w:szCs w:val="24"/>
        </w:rPr>
        <w:t>sylvastris</w:t>
      </w:r>
      <w:proofErr w:type="spellEnd"/>
      <w:r>
        <w:rPr>
          <w:rFonts w:ascii="Times New Roman" w:hAnsi="Times New Roman" w:cs="Times New Roman"/>
          <w:sz w:val="24"/>
          <w:szCs w:val="24"/>
        </w:rPr>
        <w:t xml:space="preserve">. The Mediterranean region is supposed to be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origin of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crops. Vegetables in the Brassicaceae family are rich source of glucosinolates and their hydrolysis products, including indoles and isothiocyanates and the high intake of these vegetables can help to lower the risk of colon, stomach and lung cancer </w:t>
      </w:r>
      <w:r>
        <w:rPr>
          <w:rFonts w:ascii="Times New Roman" w:hAnsi="Times New Roman" w:cs="Times New Roman"/>
          <w:b/>
          <w:sz w:val="24"/>
          <w:szCs w:val="24"/>
        </w:rPr>
        <w:t xml:space="preserve">(Lee </w:t>
      </w:r>
      <w:r>
        <w:rPr>
          <w:rFonts w:ascii="Times New Roman" w:hAnsi="Times New Roman" w:cs="Times New Roman"/>
          <w:b/>
          <w:i/>
          <w:sz w:val="24"/>
          <w:szCs w:val="24"/>
        </w:rPr>
        <w:t>et al.,</w:t>
      </w:r>
      <w:r>
        <w:rPr>
          <w:rFonts w:ascii="Times New Roman" w:hAnsi="Times New Roman" w:cs="Times New Roman"/>
          <w:b/>
          <w:sz w:val="24"/>
          <w:szCs w:val="24"/>
        </w:rPr>
        <w:t xml:space="preserve"> 2008). </w:t>
      </w:r>
      <w:r>
        <w:rPr>
          <w:rFonts w:ascii="Times New Roman" w:hAnsi="Times New Roman" w:cs="Times New Roman"/>
          <w:sz w:val="24"/>
          <w:szCs w:val="24"/>
        </w:rPr>
        <w:t xml:space="preserve">The </w:t>
      </w:r>
      <w:r>
        <w:rPr>
          <w:rFonts w:ascii="Times New Roman" w:hAnsi="Times New Roman" w:cs="Times New Roman"/>
          <w:i/>
          <w:sz w:val="24"/>
          <w:szCs w:val="24"/>
        </w:rPr>
        <w:t>Brassica</w:t>
      </w:r>
      <w:r>
        <w:rPr>
          <w:rFonts w:ascii="Times New Roman" w:hAnsi="Times New Roman" w:cs="Times New Roman"/>
          <w:sz w:val="24"/>
          <w:szCs w:val="24"/>
        </w:rPr>
        <w:t xml:space="preserve"> genus includes various crops such as Broccoli, Brussel’s sprouts, cauliflower, cabbage, collard greens, kale, kohlrabi, mustard, rutabaga, turnips, </w:t>
      </w:r>
      <w:proofErr w:type="spellStart"/>
      <w:r>
        <w:rPr>
          <w:rFonts w:ascii="Times New Roman" w:hAnsi="Times New Roman" w:cs="Times New Roman"/>
          <w:sz w:val="24"/>
          <w:szCs w:val="24"/>
        </w:rPr>
        <w:t>bok</w:t>
      </w:r>
      <w:proofErr w:type="spellEnd"/>
      <w:r>
        <w:rPr>
          <w:rFonts w:ascii="Times New Roman" w:hAnsi="Times New Roman" w:cs="Times New Roman"/>
          <w:sz w:val="24"/>
          <w:szCs w:val="24"/>
        </w:rPr>
        <w:t xml:space="preserve"> choy and Chinese cabbage. Although not in the </w:t>
      </w:r>
      <w:r>
        <w:rPr>
          <w:rFonts w:ascii="Times New Roman" w:hAnsi="Times New Roman" w:cs="Times New Roman"/>
          <w:i/>
          <w:sz w:val="24"/>
          <w:szCs w:val="24"/>
        </w:rPr>
        <w:t>Brassica</w:t>
      </w:r>
      <w:r>
        <w:rPr>
          <w:rFonts w:ascii="Times New Roman" w:hAnsi="Times New Roman" w:cs="Times New Roman"/>
          <w:sz w:val="24"/>
          <w:szCs w:val="24"/>
        </w:rPr>
        <w:t xml:space="preserve"> genus, </w:t>
      </w:r>
      <w:proofErr w:type="spellStart"/>
      <w:r>
        <w:rPr>
          <w:rFonts w:ascii="Times New Roman" w:hAnsi="Times New Roman" w:cs="Times New Roman"/>
          <w:sz w:val="24"/>
          <w:szCs w:val="24"/>
        </w:rPr>
        <w:t>argula</w:t>
      </w:r>
      <w:proofErr w:type="spellEnd"/>
      <w:r>
        <w:rPr>
          <w:rFonts w:ascii="Times New Roman" w:hAnsi="Times New Roman" w:cs="Times New Roman"/>
          <w:sz w:val="24"/>
          <w:szCs w:val="24"/>
        </w:rPr>
        <w:t xml:space="preserve">, horseradish, radish, wasabi and watercress are also cruciferous vegetables </w:t>
      </w:r>
      <w:r>
        <w:rPr>
          <w:rFonts w:ascii="Times New Roman" w:hAnsi="Times New Roman" w:cs="Times New Roman"/>
          <w:b/>
          <w:sz w:val="24"/>
          <w:szCs w:val="24"/>
        </w:rPr>
        <w:t xml:space="preserve">(Lee </w:t>
      </w:r>
      <w:r>
        <w:rPr>
          <w:rFonts w:ascii="Times New Roman" w:hAnsi="Times New Roman" w:cs="Times New Roman"/>
          <w:b/>
          <w:i/>
          <w:sz w:val="24"/>
          <w:szCs w:val="24"/>
        </w:rPr>
        <w:t>et al.</w:t>
      </w:r>
      <w:proofErr w:type="gramStart"/>
      <w:r>
        <w:rPr>
          <w:rFonts w:ascii="Times New Roman" w:hAnsi="Times New Roman" w:cs="Times New Roman"/>
          <w:b/>
          <w:i/>
          <w:sz w:val="24"/>
          <w:szCs w:val="24"/>
        </w:rPr>
        <w:t>,</w:t>
      </w:r>
      <w:r>
        <w:rPr>
          <w:rFonts w:ascii="Times New Roman" w:hAnsi="Times New Roman" w:cs="Times New Roman"/>
          <w:b/>
          <w:sz w:val="24"/>
          <w:szCs w:val="24"/>
        </w:rPr>
        <w:t xml:space="preserve">  2008</w:t>
      </w:r>
      <w:proofErr w:type="gramEnd"/>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Micronutrient has specific role to play in the plant </w:t>
      </w:r>
      <w:proofErr w:type="gramStart"/>
      <w:r>
        <w:rPr>
          <w:rFonts w:ascii="Times New Roman" w:hAnsi="Times New Roman" w:cs="Times New Roman"/>
          <w:sz w:val="24"/>
          <w:szCs w:val="24"/>
          <w:shd w:val="clear" w:color="auto" w:fill="FFFFFF"/>
        </w:rPr>
        <w:t>and  its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presence  in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optimum  concentration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is  a</w:t>
      </w:r>
      <w:proofErr w:type="gramEnd"/>
      <w:r>
        <w:rPr>
          <w:rFonts w:ascii="Times New Roman" w:hAnsi="Times New Roman" w:cs="Times New Roman"/>
          <w:sz w:val="24"/>
          <w:szCs w:val="24"/>
          <w:shd w:val="clear" w:color="auto" w:fill="FFFFFF"/>
        </w:rPr>
        <w:t xml:space="preserve"> must for the plant to complete its life cycle which ends    with   maturity    and    harvesting   of    the economic   produce.   Zinc   is   an   indispensable micronutrient    for    proper    plant    growth    and development </w:t>
      </w:r>
      <w:r>
        <w:rPr>
          <w:rFonts w:ascii="Times New Roman" w:hAnsi="Times New Roman" w:cs="Times New Roman"/>
          <w:b/>
          <w:sz w:val="24"/>
          <w:szCs w:val="24"/>
          <w:shd w:val="clear" w:color="auto" w:fill="FFFFFF"/>
        </w:rPr>
        <w:t xml:space="preserve">Mondal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(2023).</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It  plays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  important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role  in</w:t>
      </w:r>
      <w:proofErr w:type="gramEnd"/>
      <w:r>
        <w:rPr>
          <w:rFonts w:ascii="Times New Roman" w:hAnsi="Times New Roman" w:cs="Times New Roman"/>
          <w:sz w:val="24"/>
          <w:szCs w:val="24"/>
          <w:shd w:val="clear" w:color="auto" w:fill="FFFFFF"/>
        </w:rPr>
        <w:t xml:space="preserve"> different   plant   metabolic   processes   such   as enzyme    </w:t>
      </w:r>
      <w:proofErr w:type="gramStart"/>
      <w:r>
        <w:rPr>
          <w:rFonts w:ascii="Times New Roman" w:hAnsi="Times New Roman" w:cs="Times New Roman"/>
          <w:sz w:val="24"/>
          <w:szCs w:val="24"/>
          <w:shd w:val="clear" w:color="auto" w:fill="FFFFFF"/>
        </w:rPr>
        <w:t xml:space="preserve">activity,   </w:t>
      </w:r>
      <w:proofErr w:type="gramEnd"/>
      <w:r>
        <w:rPr>
          <w:rFonts w:ascii="Times New Roman" w:hAnsi="Times New Roman" w:cs="Times New Roman"/>
          <w:sz w:val="24"/>
          <w:szCs w:val="24"/>
          <w:shd w:val="clear" w:color="auto" w:fill="FFFFFF"/>
        </w:rPr>
        <w:t xml:space="preserve"> development    of    cell    </w:t>
      </w:r>
      <w:r>
        <w:rPr>
          <w:rFonts w:ascii="Times New Roman" w:hAnsi="Times New Roman" w:cs="Times New Roman"/>
          <w:sz w:val="24"/>
          <w:szCs w:val="24"/>
          <w:shd w:val="clear" w:color="auto" w:fill="FFFFFF"/>
        </w:rPr>
        <w:lastRenderedPageBreak/>
        <w:t xml:space="preserve">wall, respiration, photosynthesis, chlorophyll formation </w:t>
      </w:r>
      <w:proofErr w:type="gramStart"/>
      <w:r>
        <w:rPr>
          <w:rFonts w:ascii="Times New Roman" w:hAnsi="Times New Roman" w:cs="Times New Roman"/>
          <w:sz w:val="24"/>
          <w:szCs w:val="24"/>
          <w:shd w:val="clear" w:color="auto" w:fill="FFFFFF"/>
        </w:rPr>
        <w:t>and  other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biochemical  functions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whereas  Boron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is  required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for  the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translocation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sugars,  root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extension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growth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meristematic  tissues</w:t>
      </w:r>
      <w:proofErr w:type="gramEnd"/>
      <w:r>
        <w:rPr>
          <w:rFonts w:ascii="Times New Roman" w:hAnsi="Times New Roman" w:cs="Times New Roman"/>
          <w:sz w:val="24"/>
          <w:szCs w:val="24"/>
          <w:shd w:val="clear" w:color="auto" w:fill="FFFFFF"/>
        </w:rPr>
        <w:t xml:space="preserve">, the   pyrimidine   biosynthetic   pathway   and   the ATPase. </w:t>
      </w:r>
      <w:r>
        <w:rPr>
          <w:rFonts w:ascii="Times New Roman" w:hAnsi="Times New Roman" w:cs="Times New Roman"/>
          <w:sz w:val="24"/>
          <w:szCs w:val="24"/>
        </w:rPr>
        <w:t xml:space="preserve">Foliar application of micronutrient is beneficial during active growth phase of crop. Both B and Zn are two most important micro-nutrients essential for cell division, nitrogen and carbohydrate metabolism as well as water relation in plant growth. Application of B significantly helps in increasing the vegetative growth and head yield in broccoli. Similarly, Zn helps in many enzymatic activities in plant, chlorophyll synthesis and carbohydrate formation </w:t>
      </w:r>
      <w:proofErr w:type="gramStart"/>
      <w:r>
        <w:rPr>
          <w:rFonts w:ascii="Times New Roman" w:hAnsi="Times New Roman" w:cs="Times New Roman"/>
          <w:sz w:val="24"/>
          <w:szCs w:val="24"/>
        </w:rPr>
        <w:t>accelerates</w:t>
      </w:r>
      <w:proofErr w:type="gramEnd"/>
      <w:r>
        <w:rPr>
          <w:rFonts w:ascii="Times New Roman" w:hAnsi="Times New Roman" w:cs="Times New Roman"/>
          <w:sz w:val="24"/>
          <w:szCs w:val="24"/>
        </w:rPr>
        <w:t xml:space="preserve"> the plant growth </w:t>
      </w:r>
      <w:r>
        <w:rPr>
          <w:rFonts w:ascii="Times New Roman" w:hAnsi="Times New Roman" w:cs="Times New Roman"/>
          <w:b/>
          <w:sz w:val="24"/>
          <w:szCs w:val="24"/>
        </w:rPr>
        <w:t xml:space="preserve">Ranjita </w:t>
      </w:r>
      <w:r>
        <w:rPr>
          <w:rFonts w:ascii="Times New Roman" w:hAnsi="Times New Roman" w:cs="Times New Roman"/>
          <w:b/>
          <w:i/>
          <w:sz w:val="24"/>
          <w:szCs w:val="24"/>
        </w:rPr>
        <w:t>et al.,</w:t>
      </w:r>
      <w:r>
        <w:rPr>
          <w:rFonts w:ascii="Times New Roman" w:hAnsi="Times New Roman" w:cs="Times New Roman"/>
          <w:b/>
          <w:sz w:val="24"/>
          <w:szCs w:val="24"/>
        </w:rPr>
        <w:t xml:space="preserve"> (2020). </w:t>
      </w:r>
      <w:r>
        <w:rPr>
          <w:rFonts w:ascii="Times New Roman" w:hAnsi="Times New Roman" w:cs="Times New Roman"/>
          <w:sz w:val="24"/>
          <w:szCs w:val="24"/>
        </w:rPr>
        <w:t xml:space="preserve">It is also a rich source of sulforaphane, a compound associated with reducing risk of cancer. It contains vitamin A (9000 mg-l00 g), vitamin B (33 mg-l00 g), vitamin C (137 mg-l00g), minerals viz; Ca (1.29%), P (0.79%), K (3.5%), S (1.26%), Fe (205ppm), I (1.965 ppm), Cu (24 ppm), protein (3.3%), total carbohydrates (5.5%), fat (0.2%), water (89.9%) and calories (36-l00g) </w:t>
      </w:r>
      <w:r>
        <w:rPr>
          <w:rFonts w:ascii="Times New Roman" w:hAnsi="Times New Roman" w:cs="Times New Roman"/>
          <w:b/>
          <w:sz w:val="24"/>
          <w:szCs w:val="24"/>
        </w:rPr>
        <w:t>(</w:t>
      </w: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xml:space="preserve"> and Singh, 2003). </w:t>
      </w:r>
      <w:r>
        <w:rPr>
          <w:rFonts w:ascii="Times New Roman" w:hAnsi="Times New Roman" w:cs="Times New Roman"/>
          <w:sz w:val="24"/>
          <w:szCs w:val="24"/>
        </w:rPr>
        <w:t>World area and production of broccoli (combined for production reports with cauliflowers) are 1.37 mha-1 and 25.53MT India ranks second in area (0.36 mha-</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and production (9.57 MT) of broccoli </w:t>
      </w:r>
      <w:r>
        <w:rPr>
          <w:rFonts w:ascii="Times New Roman" w:hAnsi="Times New Roman" w:cs="Times New Roman"/>
          <w:b/>
          <w:sz w:val="24"/>
          <w:szCs w:val="24"/>
        </w:rPr>
        <w:t>(FAO stat, 2021).</w:t>
      </w:r>
    </w:p>
    <w:p w14:paraId="491F7D7B" w14:textId="77777777" w:rsidR="00C00A30" w:rsidRDefault="00C00A30">
      <w:pPr>
        <w:spacing w:after="0" w:line="240" w:lineRule="auto"/>
        <w:jc w:val="both"/>
        <w:rPr>
          <w:rFonts w:ascii="Times New Roman" w:hAnsi="Times New Roman" w:cs="Times New Roman"/>
          <w:b/>
          <w:sz w:val="24"/>
          <w:szCs w:val="24"/>
        </w:rPr>
      </w:pPr>
    </w:p>
    <w:p w14:paraId="08E21451" w14:textId="77777777" w:rsidR="00C00A30" w:rsidRDefault="00C00A30">
      <w:pPr>
        <w:spacing w:after="0" w:line="240" w:lineRule="auto"/>
        <w:jc w:val="both"/>
        <w:rPr>
          <w:rFonts w:ascii="Times New Roman" w:hAnsi="Times New Roman" w:cs="Times New Roman"/>
          <w:b/>
          <w:sz w:val="24"/>
          <w:szCs w:val="24"/>
        </w:rPr>
      </w:pPr>
    </w:p>
    <w:p w14:paraId="77D141BE" w14:textId="581DC381"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METHODS </w:t>
      </w:r>
    </w:p>
    <w:p w14:paraId="31D40CF0" w14:textId="77777777" w:rsidR="007C4365" w:rsidRDefault="00E301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0"/>
          <w:sz w:val="24"/>
          <w:szCs w:val="24"/>
        </w:rPr>
        <w:t xml:space="preserve"> </w:t>
      </w:r>
      <w:r>
        <w:rPr>
          <w:rFonts w:ascii="Times New Roman" w:hAnsi="Times New Roman" w:cs="Times New Roman"/>
          <w:sz w:val="24"/>
          <w:szCs w:val="24"/>
        </w:rPr>
        <w:t>present</w:t>
      </w:r>
      <w:r>
        <w:rPr>
          <w:rFonts w:ascii="Times New Roman" w:hAnsi="Times New Roman" w:cs="Times New Roman"/>
          <w:spacing w:val="-3"/>
          <w:sz w:val="24"/>
          <w:szCs w:val="24"/>
        </w:rPr>
        <w:t xml:space="preserve"> </w:t>
      </w:r>
      <w:r>
        <w:rPr>
          <w:rFonts w:ascii="Times New Roman" w:hAnsi="Times New Roman" w:cs="Times New Roman"/>
          <w:sz w:val="24"/>
          <w:szCs w:val="24"/>
        </w:rPr>
        <w:t>study,</w:t>
      </w:r>
      <w:r>
        <w:rPr>
          <w:rFonts w:ascii="Times New Roman" w:hAnsi="Times New Roman" w:cs="Times New Roman"/>
          <w:spacing w:val="-6"/>
          <w:sz w:val="24"/>
          <w:szCs w:val="24"/>
        </w:rPr>
        <w:t xml:space="preserve"> </w:t>
      </w:r>
      <w:r>
        <w:rPr>
          <w:rFonts w:ascii="Times New Roman" w:hAnsi="Times New Roman" w:cs="Times New Roman"/>
          <w:sz w:val="24"/>
          <w:szCs w:val="24"/>
        </w:rPr>
        <w:t>titled</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b/>
          <w:sz w:val="24"/>
          <w:szCs w:val="24"/>
        </w:rPr>
        <w:t xml:space="preserve">Effect of zinc and boron on the yield and quality traits 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agro</w:t>
      </w:r>
      <w:proofErr w:type="spellEnd"/>
      <w:r>
        <w:rPr>
          <w:rFonts w:ascii="Times New Roman" w:hAnsi="Times New Roman" w:cs="Times New Roman"/>
          <w:b/>
          <w:sz w:val="24"/>
          <w:szCs w:val="24"/>
        </w:rPr>
        <w:t xml:space="preserve">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Brassica oleracea L. var. Italica)</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was</w:t>
      </w:r>
      <w:r>
        <w:rPr>
          <w:rFonts w:ascii="Times New Roman" w:hAnsi="Times New Roman" w:cs="Times New Roman"/>
          <w:spacing w:val="-13"/>
          <w:sz w:val="24"/>
          <w:szCs w:val="24"/>
        </w:rPr>
        <w:t xml:space="preserve"> </w:t>
      </w:r>
      <w:r>
        <w:rPr>
          <w:rFonts w:ascii="Times New Roman" w:hAnsi="Times New Roman" w:cs="Times New Roman"/>
          <w:sz w:val="24"/>
          <w:szCs w:val="24"/>
        </w:rPr>
        <w:t>conducted</w:t>
      </w:r>
      <w:r>
        <w:rPr>
          <w:rFonts w:ascii="Times New Roman" w:hAnsi="Times New Roman" w:cs="Times New Roman"/>
          <w:spacing w:val="-11"/>
          <w:sz w:val="24"/>
          <w:szCs w:val="24"/>
        </w:rPr>
        <w:t xml:space="preserve"> </w:t>
      </w:r>
      <w:r>
        <w:rPr>
          <w:rFonts w:ascii="Times New Roman" w:hAnsi="Times New Roman" w:cs="Times New Roman"/>
          <w:sz w:val="24"/>
          <w:szCs w:val="24"/>
        </w:rPr>
        <w:t>at</w:t>
      </w:r>
      <w:r>
        <w:rPr>
          <w:rFonts w:ascii="Times New Roman" w:hAnsi="Times New Roman" w:cs="Times New Roman"/>
          <w:spacing w:val="-15"/>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Horticulture Research Farm, Faculty of Agricultural Sciences and Allied Industries, Rama University, Kanpur (U.P.), Kanpur during the 2024. The experimental site for this study is located at the Horticulture Research Farm, Faculty of Agricultural Sciences and Allied Industries, Rama University, Kanpur (U.P.)</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during the </w:t>
      </w:r>
      <w:proofErr w:type="gramStart"/>
      <w:r>
        <w:rPr>
          <w:rFonts w:ascii="Times New Roman" w:hAnsi="Times New Roman" w:cs="Times New Roman"/>
          <w:i/>
          <w:sz w:val="24"/>
          <w:szCs w:val="24"/>
        </w:rPr>
        <w:t xml:space="preserve">rabi  </w:t>
      </w:r>
      <w:r>
        <w:rPr>
          <w:rFonts w:ascii="Times New Roman" w:hAnsi="Times New Roman" w:cs="Times New Roman"/>
          <w:sz w:val="24"/>
          <w:szCs w:val="24"/>
        </w:rPr>
        <w:t>season</w:t>
      </w:r>
      <w:proofErr w:type="gramEnd"/>
      <w:r>
        <w:rPr>
          <w:rFonts w:ascii="Times New Roman" w:hAnsi="Times New Roman" w:cs="Times New Roman"/>
          <w:sz w:val="24"/>
          <w:szCs w:val="24"/>
        </w:rPr>
        <w:t xml:space="preserve"> of</w:t>
      </w:r>
      <w:r>
        <w:rPr>
          <w:rFonts w:ascii="Times New Roman" w:hAnsi="Times New Roman" w:cs="Times New Roman"/>
          <w:spacing w:val="-3"/>
          <w:sz w:val="24"/>
          <w:szCs w:val="24"/>
        </w:rPr>
        <w:t xml:space="preserve"> </w:t>
      </w:r>
      <w:r>
        <w:rPr>
          <w:rFonts w:ascii="Times New Roman" w:hAnsi="Times New Roman" w:cs="Times New Roman"/>
          <w:sz w:val="24"/>
          <w:szCs w:val="24"/>
        </w:rPr>
        <w:t>2024 Positioned approximately 25 km from the district headquarters of Uttar Pradesh 208024. The farm is situated at 20°16' North latitude</w:t>
      </w:r>
      <w:r>
        <w:rPr>
          <w:rFonts w:ascii="Times New Roman" w:hAnsi="Times New Roman" w:cs="Times New Roman"/>
          <w:spacing w:val="-1"/>
          <w:sz w:val="24"/>
          <w:szCs w:val="24"/>
        </w:rPr>
        <w:t xml:space="preserve"> </w:t>
      </w:r>
      <w:r>
        <w:rPr>
          <w:rFonts w:ascii="Times New Roman" w:hAnsi="Times New Roman" w:cs="Times New Roman"/>
          <w:sz w:val="24"/>
          <w:szCs w:val="24"/>
        </w:rPr>
        <w:t>and 80°08'</w:t>
      </w:r>
      <w:r>
        <w:rPr>
          <w:rFonts w:ascii="Times New Roman" w:hAnsi="Times New Roman" w:cs="Times New Roman"/>
          <w:spacing w:val="-5"/>
          <w:sz w:val="24"/>
          <w:szCs w:val="24"/>
        </w:rPr>
        <w:t xml:space="preserve"> </w:t>
      </w:r>
      <w:r>
        <w:rPr>
          <w:rFonts w:ascii="Times New Roman" w:hAnsi="Times New Roman" w:cs="Times New Roman"/>
          <w:sz w:val="24"/>
          <w:szCs w:val="24"/>
        </w:rPr>
        <w:t>East longitude in the</w:t>
      </w:r>
      <w:r>
        <w:rPr>
          <w:rFonts w:ascii="Times New Roman" w:hAnsi="Times New Roman" w:cs="Times New Roman"/>
          <w:spacing w:val="-1"/>
          <w:sz w:val="24"/>
          <w:szCs w:val="24"/>
        </w:rPr>
        <w:t xml:space="preserve"> </w:t>
      </w:r>
      <w:r>
        <w:rPr>
          <w:rFonts w:ascii="Times New Roman" w:hAnsi="Times New Roman" w:cs="Times New Roman"/>
          <w:sz w:val="24"/>
          <w:szCs w:val="24"/>
        </w:rPr>
        <w:t>southwestern</w:t>
      </w:r>
      <w:r>
        <w:rPr>
          <w:rFonts w:ascii="Times New Roman" w:hAnsi="Times New Roman" w:cs="Times New Roman"/>
          <w:spacing w:val="-5"/>
          <w:sz w:val="24"/>
          <w:szCs w:val="24"/>
        </w:rPr>
        <w:t xml:space="preserve"> </w:t>
      </w:r>
      <w:r>
        <w:rPr>
          <w:rFonts w:ascii="Times New Roman" w:hAnsi="Times New Roman" w:cs="Times New Roman"/>
          <w:sz w:val="24"/>
          <w:szCs w:val="24"/>
        </w:rPr>
        <w:t>plains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Uttar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Pradesh. </w:t>
      </w:r>
      <w:r>
        <w:rPr>
          <w:rFonts w:ascii="Times New Roman" w:hAnsi="Times New Roman" w:cs="Times New Roman"/>
          <w:sz w:val="24"/>
          <w:szCs w:val="24"/>
          <w:shd w:val="clear" w:color="auto" w:fill="FFFFFF"/>
        </w:rPr>
        <w:t xml:space="preserve">The    experiment    consisted    of    8 </w:t>
      </w:r>
      <w:proofErr w:type="gramStart"/>
      <w:r>
        <w:rPr>
          <w:rFonts w:ascii="Times New Roman" w:hAnsi="Times New Roman" w:cs="Times New Roman"/>
          <w:sz w:val="24"/>
          <w:szCs w:val="24"/>
          <w:shd w:val="clear" w:color="auto" w:fill="FFFFFF"/>
        </w:rPr>
        <w:t>treatments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boron  combination</w:t>
      </w:r>
      <w:proofErr w:type="gramEnd"/>
      <w:r>
        <w:rPr>
          <w:rFonts w:ascii="Times New Roman" w:hAnsi="Times New Roman" w:cs="Times New Roman"/>
          <w:sz w:val="24"/>
          <w:szCs w:val="24"/>
          <w:shd w:val="clear" w:color="auto" w:fill="FFFFFF"/>
        </w:rPr>
        <w:t xml:space="preserve">  with </w:t>
      </w:r>
      <w:proofErr w:type="gramStart"/>
      <w:r>
        <w:rPr>
          <w:rFonts w:ascii="Times New Roman" w:hAnsi="Times New Roman" w:cs="Times New Roman"/>
          <w:sz w:val="24"/>
          <w:szCs w:val="24"/>
          <w:shd w:val="clear" w:color="auto" w:fill="FFFFFF"/>
        </w:rPr>
        <w:t>different  doses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and  application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method  and</w:t>
      </w:r>
      <w:proofErr w:type="gramEnd"/>
      <w:r>
        <w:rPr>
          <w:rFonts w:ascii="Times New Roman" w:hAnsi="Times New Roman" w:cs="Times New Roman"/>
          <w:sz w:val="24"/>
          <w:szCs w:val="24"/>
          <w:shd w:val="clear" w:color="auto" w:fill="FFFFFF"/>
        </w:rPr>
        <w:t xml:space="preserve">  was </w:t>
      </w:r>
      <w:proofErr w:type="gramStart"/>
      <w:r>
        <w:rPr>
          <w:rFonts w:ascii="Times New Roman" w:hAnsi="Times New Roman" w:cs="Times New Roman"/>
          <w:sz w:val="24"/>
          <w:szCs w:val="24"/>
          <w:shd w:val="clear" w:color="auto" w:fill="FFFFFF"/>
        </w:rPr>
        <w:t>laid  out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in  randomized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block  design</w:t>
      </w:r>
      <w:proofErr w:type="gramEnd"/>
      <w:r>
        <w:rPr>
          <w:rFonts w:ascii="Times New Roman" w:hAnsi="Times New Roman" w:cs="Times New Roman"/>
          <w:sz w:val="24"/>
          <w:szCs w:val="24"/>
          <w:shd w:val="clear" w:color="auto" w:fill="FFFFFF"/>
        </w:rPr>
        <w:t xml:space="preserve"> replicated thrice. The treatments were as follows </w:t>
      </w:r>
      <w:r>
        <w:rPr>
          <w:rFonts w:ascii="Times New Roman" w:hAnsi="Times New Roman" w:cs="Times New Roman"/>
          <w:sz w:val="24"/>
          <w:szCs w:val="24"/>
        </w:rPr>
        <w:t>T</w:t>
      </w:r>
      <w:r>
        <w:rPr>
          <w:rFonts w:ascii="Times New Roman" w:hAnsi="Times New Roman" w:cs="Times New Roman"/>
          <w:sz w:val="24"/>
          <w:szCs w:val="24"/>
          <w:vertAlign w:val="subscript"/>
        </w:rPr>
        <w:t>0</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Zinc foliar @0.5%, </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Zinc soil application @ 25kg/ha; + zinc foliar @0.5%,</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Boron foliar application @ 0.5%,</w:t>
      </w:r>
      <w:r>
        <w:rPr>
          <w:rFonts w:ascii="Times New Roman" w:hAnsi="Times New Roman" w:cs="Times New Roman"/>
          <w:sz w:val="24"/>
          <w:szCs w:val="24"/>
        </w:rPr>
        <w:t xml:space="preserve"> T</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eastAsia="Times New Roman" w:hAnsi="Times New Roman" w:cs="Times New Roman"/>
          <w:sz w:val="24"/>
          <w:szCs w:val="24"/>
          <w:lang w:eastAsia="en-GB"/>
        </w:rPr>
        <w:t>RDF + Boron soil application @2 kg/ha,</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Boron soil application @2 kg/ha; + foliar application @ 0.5% and </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w:t>
      </w:r>
      <w:r>
        <w:rPr>
          <w:rFonts w:ascii="Times New Roman" w:eastAsia="Times New Roman" w:hAnsi="Times New Roman" w:cs="Times New Roman"/>
          <w:sz w:val="24"/>
          <w:szCs w:val="24"/>
          <w:lang w:eastAsia="en-GB"/>
        </w:rPr>
        <w:t xml:space="preserve">RDF + Combined application of boron foliar @0.5% and Zinc foliar @0.5%. </w:t>
      </w:r>
      <w:r>
        <w:rPr>
          <w:rFonts w:ascii="Times New Roman" w:hAnsi="Times New Roman" w:cs="Times New Roman"/>
          <w:sz w:val="24"/>
          <w:szCs w:val="24"/>
          <w:shd w:val="clear" w:color="auto" w:fill="FFFFFF"/>
        </w:rPr>
        <w:t xml:space="preserve">Broccoli was planted (spacing of 50 cm x 45 cm), fertilized    with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N:    P2O5:    K2</w:t>
      </w:r>
      <w:proofErr w:type="gramStart"/>
      <w:r>
        <w:rPr>
          <w:rFonts w:ascii="Times New Roman" w:hAnsi="Times New Roman" w:cs="Times New Roman"/>
          <w:sz w:val="24"/>
          <w:szCs w:val="24"/>
          <w:shd w:val="clear" w:color="auto" w:fill="FFFFFF"/>
        </w:rPr>
        <w:t xml:space="preserve">O;   </w:t>
      </w:r>
      <w:proofErr w:type="gramEnd"/>
      <w:r>
        <w:rPr>
          <w:rFonts w:ascii="Times New Roman" w:hAnsi="Times New Roman" w:cs="Times New Roman"/>
          <w:sz w:val="24"/>
          <w:szCs w:val="24"/>
          <w:shd w:val="clear" w:color="auto" w:fill="FFFFFF"/>
        </w:rPr>
        <w:t xml:space="preserve"> at    a    ratio 150:100:100). </w:t>
      </w:r>
      <w:r>
        <w:rPr>
          <w:rFonts w:ascii="Times New Roman" w:hAnsi="Times New Roman" w:cs="Times New Roman"/>
          <w:spacing w:val="-5"/>
          <w:sz w:val="24"/>
          <w:szCs w:val="24"/>
        </w:rPr>
        <w:t xml:space="preserve">Broccoli plant was transplanted in the main field </w:t>
      </w:r>
      <w:r>
        <w:rPr>
          <w:rFonts w:ascii="Times New Roman" w:hAnsi="Times New Roman" w:cs="Times New Roman"/>
          <w:spacing w:val="-7"/>
          <w:sz w:val="24"/>
          <w:szCs w:val="24"/>
        </w:rPr>
        <w:t>on 15</w:t>
      </w:r>
      <w:r>
        <w:rPr>
          <w:rFonts w:ascii="Times New Roman" w:hAnsi="Times New Roman" w:cs="Times New Roman"/>
          <w:spacing w:val="-7"/>
          <w:sz w:val="24"/>
          <w:szCs w:val="24"/>
          <w:vertAlign w:val="superscript"/>
        </w:rPr>
        <w:t>th</w:t>
      </w:r>
      <w:r>
        <w:rPr>
          <w:rFonts w:ascii="Times New Roman" w:hAnsi="Times New Roman" w:cs="Times New Roman"/>
          <w:spacing w:val="-7"/>
          <w:sz w:val="24"/>
          <w:szCs w:val="24"/>
        </w:rPr>
        <w:t xml:space="preserve"> October </w:t>
      </w:r>
      <w:r>
        <w:rPr>
          <w:rFonts w:ascii="Times New Roman" w:hAnsi="Times New Roman" w:cs="Times New Roman"/>
          <w:spacing w:val="-4"/>
          <w:sz w:val="24"/>
          <w:szCs w:val="24"/>
        </w:rPr>
        <w:t xml:space="preserve">2024. </w:t>
      </w:r>
      <w:r>
        <w:rPr>
          <w:rFonts w:ascii="Times New Roman" w:hAnsi="Times New Roman" w:cs="Times New Roman"/>
          <w:sz w:val="24"/>
          <w:szCs w:val="24"/>
        </w:rPr>
        <w:t xml:space="preserve">Thirty days old healthy seedling having two pairs of leaves with a height of 10 to 15 cm were selected from the nursery </w:t>
      </w:r>
      <w:proofErr w:type="gramStart"/>
      <w:r>
        <w:rPr>
          <w:rFonts w:ascii="Times New Roman" w:hAnsi="Times New Roman" w:cs="Times New Roman"/>
          <w:sz w:val="24"/>
          <w:szCs w:val="24"/>
        </w:rPr>
        <w:t xml:space="preserve">and  </w:t>
      </w:r>
      <w:r>
        <w:rPr>
          <w:rFonts w:ascii="Times New Roman" w:hAnsi="Times New Roman" w:cs="Times New Roman"/>
          <w:spacing w:val="-4"/>
          <w:sz w:val="24"/>
          <w:szCs w:val="24"/>
        </w:rPr>
        <w:t>roots</w:t>
      </w:r>
      <w:proofErr w:type="gramEnd"/>
      <w:r>
        <w:rPr>
          <w:rFonts w:ascii="Times New Roman" w:hAnsi="Times New Roman" w:cs="Times New Roman"/>
          <w:spacing w:val="-4"/>
          <w:sz w:val="24"/>
          <w:szCs w:val="24"/>
        </w:rPr>
        <w:t xml:space="preserve"> of the plant were treated first with 0.1% carbendazim before transplanting</w:t>
      </w:r>
      <w:r>
        <w:rPr>
          <w:rFonts w:ascii="Times New Roman" w:hAnsi="Times New Roman" w:cs="Times New Roman"/>
          <w:sz w:val="24"/>
          <w:szCs w:val="24"/>
        </w:rPr>
        <w:t xml:space="preserve"> and transplanted at the experimental plot and given light irrigation. </w:t>
      </w:r>
      <w:r>
        <w:rPr>
          <w:rFonts w:ascii="Times New Roman" w:hAnsi="Times New Roman" w:cs="Times New Roman"/>
          <w:sz w:val="24"/>
          <w:szCs w:val="24"/>
          <w:shd w:val="clear" w:color="auto" w:fill="FFFFFF"/>
        </w:rPr>
        <w:t xml:space="preserve">Data    was    collected    from    different    growth, yield and quality  parameters   including </w:t>
      </w:r>
      <w:r>
        <w:rPr>
          <w:rFonts w:ascii="Times New Roman" w:eastAsia="Times New Roman" w:hAnsi="Times New Roman" w:cs="Times New Roman"/>
          <w:bCs/>
          <w:sz w:val="24"/>
          <w:szCs w:val="24"/>
          <w:lang w:val="en-GB" w:eastAsia="en-GB"/>
        </w:rPr>
        <w:t>plant height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number of leaves per plant,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plant spread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days to first curd formation,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duration from transplanting to harvesting (days),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 xml:space="preserve">total soluble solid (°brix) and </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ascorbic acid (mg / 100 g edible portion).</w:t>
      </w:r>
      <w:r>
        <w:rPr>
          <w:rFonts w:ascii="Times New Roman" w:hAnsi="Times New Roman" w:cs="Times New Roman"/>
          <w:sz w:val="24"/>
          <w:szCs w:val="24"/>
        </w:rPr>
        <w:t xml:space="preserve"> The data on growth, yield and quality components were subjected to Fisher’s method of analysis of variance (ANOVA) as outlined by </w:t>
      </w:r>
      <w:proofErr w:type="spellStart"/>
      <w:r>
        <w:rPr>
          <w:rFonts w:ascii="Times New Roman" w:hAnsi="Times New Roman" w:cs="Times New Roman"/>
          <w:bCs/>
          <w:sz w:val="24"/>
          <w:szCs w:val="24"/>
        </w:rPr>
        <w:t>Sundararaj</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(1972)</w:t>
      </w:r>
      <w:r>
        <w:rPr>
          <w:rFonts w:ascii="Times New Roman" w:hAnsi="Times New Roman" w:cs="Times New Roman"/>
          <w:sz w:val="24"/>
          <w:szCs w:val="24"/>
        </w:rPr>
        <w:t xml:space="preserve"> where the ‘F’ test was significant for comparison of the treatment means, CD values were worked out at 5% probability level.</w:t>
      </w:r>
    </w:p>
    <w:p w14:paraId="5BC27D2A" w14:textId="77777777" w:rsidR="006C72D2" w:rsidRDefault="006C72D2">
      <w:pPr>
        <w:spacing w:after="0" w:line="240" w:lineRule="auto"/>
        <w:jc w:val="both"/>
        <w:rPr>
          <w:rFonts w:ascii="Times New Roman" w:hAnsi="Times New Roman" w:cs="Times New Roman"/>
          <w:b/>
          <w:sz w:val="24"/>
          <w:szCs w:val="24"/>
        </w:rPr>
      </w:pPr>
    </w:p>
    <w:p w14:paraId="2F0110DB" w14:textId="25342029"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14:paraId="56F067D7" w14:textId="77777777" w:rsidR="007C4365" w:rsidRDefault="00E3017B">
      <w:pPr>
        <w:spacing w:after="0" w:line="240" w:lineRule="auto"/>
        <w:ind w:right="-50" w:firstLine="720"/>
        <w:jc w:val="both"/>
        <w:rPr>
          <w:rFonts w:ascii="Times New Roman" w:eastAsia="Times New Roman" w:hAnsi="Times New Roman" w:cs="Times New Roman"/>
          <w:b/>
          <w:sz w:val="24"/>
          <w:szCs w:val="24"/>
          <w:lang w:val="en-GB" w:eastAsia="en-GB"/>
        </w:rPr>
      </w:pPr>
      <w:proofErr w:type="gramStart"/>
      <w:r>
        <w:rPr>
          <w:rFonts w:ascii="Times New Roman" w:hAnsi="Times New Roman" w:cs="Times New Roman"/>
          <w:bCs/>
          <w:sz w:val="24"/>
          <w:szCs w:val="24"/>
        </w:rPr>
        <w:t>The  findings</w:t>
      </w:r>
      <w:proofErr w:type="gramEnd"/>
      <w:r>
        <w:rPr>
          <w:rFonts w:ascii="Times New Roman" w:hAnsi="Times New Roman" w:cs="Times New Roman"/>
          <w:bCs/>
          <w:sz w:val="24"/>
          <w:szCs w:val="24"/>
        </w:rPr>
        <w:t xml:space="preserve"> of the present study as depicted in table 1 revealed significant effect of zinc and boron </w:t>
      </w:r>
      <w:proofErr w:type="gramStart"/>
      <w:r>
        <w:rPr>
          <w:rFonts w:ascii="Times New Roman" w:hAnsi="Times New Roman" w:cs="Times New Roman"/>
          <w:bCs/>
          <w:sz w:val="24"/>
          <w:szCs w:val="24"/>
        </w:rPr>
        <w:t>on  plant</w:t>
      </w:r>
      <w:proofErr w:type="gramEnd"/>
      <w:r>
        <w:rPr>
          <w:rFonts w:ascii="Times New Roman" w:hAnsi="Times New Roman" w:cs="Times New Roman"/>
          <w:bCs/>
          <w:sz w:val="24"/>
          <w:szCs w:val="24"/>
        </w:rPr>
        <w:t xml:space="preserve"> height (cm), number of leaves per plant and plant spread (cm)   at 15, 30, 45 and 60 days after transplanting.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plant height of broccoli at 15, 30, 45 and </w:t>
      </w:r>
      <w:proofErr w:type="gramStart"/>
      <w:r>
        <w:rPr>
          <w:rFonts w:ascii="Times New Roman" w:hAnsi="Times New Roman" w:cs="Times New Roman"/>
          <w:bCs/>
          <w:sz w:val="24"/>
          <w:szCs w:val="24"/>
        </w:rPr>
        <w:t>60  days</w:t>
      </w:r>
      <w:proofErr w:type="gramEnd"/>
      <w:r>
        <w:rPr>
          <w:rFonts w:ascii="Times New Roman" w:hAnsi="Times New Roman" w:cs="Times New Roman"/>
          <w:bCs/>
          <w:sz w:val="24"/>
          <w:szCs w:val="24"/>
        </w:rPr>
        <w:t xml:space="preserve"> after transplanting. At 15, 30, 45 and 60 days after </w:t>
      </w:r>
      <w:proofErr w:type="gramStart"/>
      <w:r>
        <w:rPr>
          <w:rFonts w:ascii="Times New Roman" w:hAnsi="Times New Roman" w:cs="Times New Roman"/>
          <w:bCs/>
          <w:sz w:val="24"/>
          <w:szCs w:val="24"/>
        </w:rPr>
        <w:t xml:space="preserve">transplanting,   </w:t>
      </w:r>
      <w:proofErr w:type="gramEnd"/>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plant height (15.51, 36.44, 47.48 and 55.50)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minimum plant height (11.22, 26.27, 36.17 and 40.67)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number of leaves per </w:t>
      </w:r>
      <w:proofErr w:type="gramStart"/>
      <w:r>
        <w:rPr>
          <w:rFonts w:ascii="Times New Roman" w:hAnsi="Times New Roman" w:cs="Times New Roman"/>
          <w:bCs/>
          <w:sz w:val="24"/>
          <w:szCs w:val="24"/>
        </w:rPr>
        <w:t>plants  of</w:t>
      </w:r>
      <w:proofErr w:type="gramEnd"/>
      <w:r>
        <w:rPr>
          <w:rFonts w:ascii="Times New Roman" w:hAnsi="Times New Roman" w:cs="Times New Roman"/>
          <w:bCs/>
          <w:sz w:val="24"/>
          <w:szCs w:val="24"/>
        </w:rPr>
        <w:t xml:space="preserve"> broccoli at 15, 30, 45 and </w:t>
      </w:r>
      <w:proofErr w:type="gramStart"/>
      <w:r>
        <w:rPr>
          <w:rFonts w:ascii="Times New Roman" w:hAnsi="Times New Roman" w:cs="Times New Roman"/>
          <w:bCs/>
          <w:sz w:val="24"/>
          <w:szCs w:val="24"/>
        </w:rPr>
        <w:t>60  days</w:t>
      </w:r>
      <w:proofErr w:type="gramEnd"/>
      <w:r>
        <w:rPr>
          <w:rFonts w:ascii="Times New Roman" w:hAnsi="Times New Roman" w:cs="Times New Roman"/>
          <w:bCs/>
          <w:sz w:val="24"/>
          <w:szCs w:val="24"/>
        </w:rPr>
        <w:t xml:space="preserve">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number of leaves per plant (6.47, 14.09, 27.57 and 36.06)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minimum number of leaves per plant (4.25, 8.78, 18.28 and 27.14)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Control.</w:t>
      </w:r>
      <w:r>
        <w:rPr>
          <w:rFonts w:ascii="Times New Roman" w:hAnsi="Times New Roman" w:cs="Times New Roman"/>
          <w:bCs/>
          <w:sz w:val="24"/>
          <w:szCs w:val="24"/>
        </w:rPr>
        <w:t xml:space="preserve"> The data showed significant effect of foliar application and soil </w:t>
      </w:r>
      <w:proofErr w:type="gramStart"/>
      <w:r>
        <w:rPr>
          <w:rFonts w:ascii="Times New Roman" w:hAnsi="Times New Roman" w:cs="Times New Roman"/>
          <w:bCs/>
          <w:sz w:val="24"/>
          <w:szCs w:val="24"/>
        </w:rPr>
        <w:t>application  of</w:t>
      </w:r>
      <w:proofErr w:type="gramEnd"/>
      <w:r>
        <w:rPr>
          <w:rFonts w:ascii="Times New Roman" w:hAnsi="Times New Roman" w:cs="Times New Roman"/>
          <w:bCs/>
          <w:sz w:val="24"/>
          <w:szCs w:val="24"/>
        </w:rPr>
        <w:t xml:space="preserve"> zinc and boron on plant spread (cm) of broccoli at 15, 30, 45 and </w:t>
      </w:r>
      <w:proofErr w:type="gramStart"/>
      <w:r>
        <w:rPr>
          <w:rFonts w:ascii="Times New Roman" w:hAnsi="Times New Roman" w:cs="Times New Roman"/>
          <w:bCs/>
          <w:sz w:val="24"/>
          <w:szCs w:val="24"/>
        </w:rPr>
        <w:t>60  days</w:t>
      </w:r>
      <w:proofErr w:type="gramEnd"/>
      <w:r>
        <w:rPr>
          <w:rFonts w:ascii="Times New Roman" w:hAnsi="Times New Roman" w:cs="Times New Roman"/>
          <w:bCs/>
          <w:sz w:val="24"/>
          <w:szCs w:val="24"/>
        </w:rPr>
        <w:t xml:space="preserve"> after transplanting. At 15, 30, 45 and 60 days after transplanting,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recorded maximum </w:t>
      </w:r>
      <w:r>
        <w:rPr>
          <w:rFonts w:ascii="Times New Roman" w:hAnsi="Times New Roman" w:cs="Times New Roman"/>
          <w:bCs/>
          <w:sz w:val="24"/>
          <w:szCs w:val="24"/>
        </w:rPr>
        <w:t xml:space="preserve">plant spread (cm) </w:t>
      </w:r>
      <w:r>
        <w:rPr>
          <w:rFonts w:ascii="Times New Roman" w:eastAsia="Times New Roman" w:hAnsi="Times New Roman" w:cs="Times New Roman"/>
          <w:sz w:val="24"/>
          <w:szCs w:val="24"/>
          <w:lang w:val="en-GB" w:eastAsia="en-GB"/>
        </w:rPr>
        <w:t>(22.10, 46.39, 65.88 and 73.68) followed by 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minimum number of leaves per plant (14.03, 31.46, 46.67 and 57.11) was recorded in treatment T</w:t>
      </w:r>
      <w:r>
        <w:rPr>
          <w:rFonts w:ascii="Times New Roman" w:eastAsia="Times New Roman" w:hAnsi="Times New Roman" w:cs="Times New Roman"/>
          <w:sz w:val="24"/>
          <w:szCs w:val="24"/>
          <w:vertAlign w:val="subscript"/>
          <w:lang w:val="en-GB" w:eastAsia="en-GB"/>
        </w:rPr>
        <w:t>0</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The  findings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are  similar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to  those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reported  by</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 xml:space="preserve">Prasad </w:t>
      </w:r>
      <w:proofErr w:type="gramStart"/>
      <w:r>
        <w:rPr>
          <w:rFonts w:ascii="Times New Roman" w:hAnsi="Times New Roman" w:cs="Times New Roman"/>
          <w:b/>
          <w:i/>
          <w:sz w:val="24"/>
          <w:szCs w:val="24"/>
          <w:shd w:val="clear" w:color="auto" w:fill="FFFFFF"/>
        </w:rPr>
        <w:t>et  al.</w:t>
      </w:r>
      <w:proofErr w:type="gramEnd"/>
      <w:r>
        <w:rPr>
          <w:rFonts w:ascii="Times New Roman" w:hAnsi="Times New Roman" w:cs="Times New Roman"/>
          <w:b/>
          <w:sz w:val="24"/>
          <w:szCs w:val="24"/>
          <w:shd w:val="clear" w:color="auto" w:fill="FFFFFF"/>
        </w:rPr>
        <w:t xml:space="preserve"> (2021)</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and  </w:t>
      </w:r>
      <w:r>
        <w:rPr>
          <w:rFonts w:ascii="Times New Roman" w:hAnsi="Times New Roman" w:cs="Times New Roman"/>
          <w:b/>
          <w:sz w:val="24"/>
          <w:szCs w:val="24"/>
          <w:shd w:val="clear" w:color="auto" w:fill="FFFFFF"/>
        </w:rPr>
        <w:t>Parmar</w:t>
      </w:r>
      <w:proofErr w:type="gramEnd"/>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i/>
          <w:sz w:val="24"/>
          <w:szCs w:val="24"/>
          <w:shd w:val="clear" w:color="auto" w:fill="FFFFFF"/>
        </w:rPr>
        <w:t>et  al.</w:t>
      </w:r>
      <w:proofErr w:type="gramEnd"/>
      <w:r>
        <w:rPr>
          <w:rFonts w:ascii="Times New Roman" w:hAnsi="Times New Roman" w:cs="Times New Roman"/>
          <w:b/>
          <w:sz w:val="24"/>
          <w:szCs w:val="24"/>
          <w:shd w:val="clear" w:color="auto" w:fill="FFFFFF"/>
        </w:rPr>
        <w:t xml:space="preserve"> (2023)</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in  their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experiment  on</w:t>
      </w:r>
      <w:proofErr w:type="gramEnd"/>
      <w:r>
        <w:rPr>
          <w:rFonts w:ascii="Times New Roman" w:hAnsi="Times New Roman" w:cs="Times New Roman"/>
          <w:sz w:val="24"/>
          <w:szCs w:val="24"/>
          <w:shd w:val="clear" w:color="auto" w:fill="FFFFFF"/>
        </w:rPr>
        <w:t xml:space="preserve"> effect of micronutrient in broccoli where plant growth was influenced </w:t>
      </w:r>
      <w:proofErr w:type="gramStart"/>
      <w:r>
        <w:rPr>
          <w:rFonts w:ascii="Times New Roman" w:hAnsi="Times New Roman" w:cs="Times New Roman"/>
          <w:sz w:val="24"/>
          <w:szCs w:val="24"/>
          <w:shd w:val="clear" w:color="auto" w:fill="FFFFFF"/>
        </w:rPr>
        <w:t>by  combined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application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boron.  </w:t>
      </w:r>
      <w:proofErr w:type="spell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i/>
          <w:sz w:val="24"/>
          <w:szCs w:val="24"/>
          <w:shd w:val="clear" w:color="auto" w:fill="FFFFFF"/>
        </w:rPr>
        <w:t>et  al.</w:t>
      </w:r>
      <w:proofErr w:type="gramEnd"/>
      <w:r>
        <w:rPr>
          <w:rFonts w:ascii="Times New Roman" w:hAnsi="Times New Roman" w:cs="Times New Roman"/>
          <w:b/>
          <w:sz w:val="24"/>
          <w:szCs w:val="24"/>
          <w:shd w:val="clear" w:color="auto" w:fill="FFFFFF"/>
        </w:rPr>
        <w:t xml:space="preserve"> (2021)</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found  similar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response  in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his  experiment</w:t>
      </w:r>
      <w:proofErr w:type="gramEnd"/>
      <w:r>
        <w:rPr>
          <w:rFonts w:ascii="Times New Roman" w:hAnsi="Times New Roman" w:cs="Times New Roman"/>
          <w:sz w:val="24"/>
          <w:szCs w:val="24"/>
          <w:shd w:val="clear" w:color="auto" w:fill="FFFFFF"/>
        </w:rPr>
        <w:t xml:space="preserve">  where 0.5%   application   of   zinc   sulphate   and   borax </w:t>
      </w:r>
      <w:proofErr w:type="gramStart"/>
      <w:r>
        <w:rPr>
          <w:rFonts w:ascii="Times New Roman" w:hAnsi="Times New Roman" w:cs="Times New Roman"/>
          <w:sz w:val="24"/>
          <w:szCs w:val="24"/>
          <w:shd w:val="clear" w:color="auto" w:fill="FFFFFF"/>
        </w:rPr>
        <w:t>increased  plant</w:t>
      </w:r>
      <w:proofErr w:type="gramEnd"/>
      <w:r>
        <w:rPr>
          <w:rFonts w:ascii="Times New Roman" w:hAnsi="Times New Roman" w:cs="Times New Roman"/>
          <w:sz w:val="24"/>
          <w:szCs w:val="24"/>
          <w:shd w:val="clear" w:color="auto" w:fill="FFFFFF"/>
        </w:rPr>
        <w:t xml:space="preserve">  height.  </w:t>
      </w:r>
      <w:r>
        <w:rPr>
          <w:rFonts w:ascii="Times New Roman" w:hAnsi="Times New Roman" w:cs="Times New Roman"/>
          <w:b/>
          <w:sz w:val="24"/>
          <w:szCs w:val="24"/>
          <w:shd w:val="clear" w:color="auto" w:fill="FFFFFF"/>
        </w:rPr>
        <w:t xml:space="preserve">Chowdhury </w:t>
      </w:r>
      <w:proofErr w:type="gramStart"/>
      <w:r>
        <w:rPr>
          <w:rFonts w:ascii="Times New Roman" w:hAnsi="Times New Roman" w:cs="Times New Roman"/>
          <w:b/>
          <w:i/>
          <w:sz w:val="24"/>
          <w:szCs w:val="24"/>
          <w:shd w:val="clear" w:color="auto" w:fill="FFFFFF"/>
        </w:rPr>
        <w:t>et  al.</w:t>
      </w:r>
      <w:proofErr w:type="gramEnd"/>
      <w:r>
        <w:rPr>
          <w:rFonts w:ascii="Times New Roman" w:hAnsi="Times New Roman" w:cs="Times New Roman"/>
          <w:b/>
          <w:sz w:val="24"/>
          <w:szCs w:val="24"/>
          <w:shd w:val="clear" w:color="auto" w:fill="FFFFFF"/>
        </w:rPr>
        <w:t xml:space="preserve"> (2019)</w:t>
      </w:r>
      <w:r>
        <w:rPr>
          <w:rFonts w:ascii="Times New Roman" w:hAnsi="Times New Roman" w:cs="Times New Roman"/>
          <w:sz w:val="24"/>
          <w:szCs w:val="24"/>
          <w:shd w:val="clear" w:color="auto" w:fill="FFFFFF"/>
        </w:rPr>
        <w:t xml:space="preserve"> in the   research   of   effect   of   </w:t>
      </w:r>
      <w:proofErr w:type="gramStart"/>
      <w:r>
        <w:rPr>
          <w:rFonts w:ascii="Times New Roman" w:hAnsi="Times New Roman" w:cs="Times New Roman"/>
          <w:sz w:val="24"/>
          <w:szCs w:val="24"/>
          <w:shd w:val="clear" w:color="auto" w:fill="FFFFFF"/>
        </w:rPr>
        <w:t xml:space="preserve">boron,   </w:t>
      </w:r>
      <w:proofErr w:type="gramEnd"/>
      <w:r>
        <w:rPr>
          <w:rFonts w:ascii="Times New Roman" w:hAnsi="Times New Roman" w:cs="Times New Roman"/>
          <w:sz w:val="24"/>
          <w:szCs w:val="24"/>
          <w:shd w:val="clear" w:color="auto" w:fill="FFFFFF"/>
        </w:rPr>
        <w:t xml:space="preserve">zinc   and </w:t>
      </w:r>
      <w:proofErr w:type="gramStart"/>
      <w:r>
        <w:rPr>
          <w:rFonts w:ascii="Times New Roman" w:hAnsi="Times New Roman" w:cs="Times New Roman"/>
          <w:sz w:val="24"/>
          <w:szCs w:val="24"/>
          <w:shd w:val="clear" w:color="auto" w:fill="FFFFFF"/>
        </w:rPr>
        <w:t>molybdenum  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broccoli  (</w:t>
      </w:r>
      <w:proofErr w:type="gramEnd"/>
      <w:r>
        <w:rPr>
          <w:rFonts w:ascii="Times New Roman" w:hAnsi="Times New Roman" w:cs="Times New Roman"/>
          <w:sz w:val="24"/>
          <w:szCs w:val="24"/>
          <w:shd w:val="clear" w:color="auto" w:fill="FFFFFF"/>
        </w:rPr>
        <w:t>cv-</w:t>
      </w:r>
      <w:proofErr w:type="gramStart"/>
      <w:r>
        <w:rPr>
          <w:rFonts w:ascii="Times New Roman" w:hAnsi="Times New Roman" w:cs="Times New Roman"/>
          <w:sz w:val="24"/>
          <w:szCs w:val="24"/>
          <w:shd w:val="clear" w:color="auto" w:fill="FFFFFF"/>
        </w:rPr>
        <w:t>green  magic)  with</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sole  doses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of  these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three  micronutrients</w:t>
      </w:r>
      <w:proofErr w:type="gramEnd"/>
      <w:r>
        <w:rPr>
          <w:rFonts w:ascii="Times New Roman" w:hAnsi="Times New Roman" w:cs="Times New Roman"/>
          <w:sz w:val="24"/>
          <w:szCs w:val="24"/>
          <w:shd w:val="clear" w:color="auto" w:fill="FFFFFF"/>
        </w:rPr>
        <w:t xml:space="preserve">  found 0.5</w:t>
      </w:r>
      <w:proofErr w:type="gramStart"/>
      <w:r>
        <w:rPr>
          <w:rFonts w:ascii="Times New Roman" w:hAnsi="Times New Roman" w:cs="Times New Roman"/>
          <w:sz w:val="24"/>
          <w:szCs w:val="24"/>
          <w:shd w:val="clear" w:color="auto" w:fill="FFFFFF"/>
        </w:rPr>
        <w:t>%  application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of  zinc</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sulphate  in</w:t>
      </w:r>
      <w:proofErr w:type="gramEnd"/>
      <w:r>
        <w:rPr>
          <w:rFonts w:ascii="Times New Roman" w:hAnsi="Times New Roman" w:cs="Times New Roman"/>
          <w:sz w:val="24"/>
          <w:szCs w:val="24"/>
          <w:shd w:val="clear" w:color="auto" w:fill="FFFFFF"/>
        </w:rPr>
        <w:t xml:space="preserve">  promoting growth   of   broccoli   plant   had   similar   results. </w:t>
      </w:r>
      <w:r>
        <w:rPr>
          <w:rFonts w:ascii="Times New Roman" w:hAnsi="Times New Roman" w:cs="Times New Roman"/>
          <w:bCs/>
          <w:sz w:val="24"/>
          <w:szCs w:val="24"/>
        </w:rPr>
        <w:t xml:space="preserve">The results pertaining to days to first curd formation stage and </w:t>
      </w:r>
      <w:r>
        <w:rPr>
          <w:rFonts w:ascii="Times New Roman" w:eastAsia="Times New Roman" w:hAnsi="Times New Roman" w:cs="Times New Roman"/>
          <w:bCs/>
          <w:sz w:val="24"/>
          <w:szCs w:val="24"/>
          <w:lang w:val="en-GB" w:eastAsia="en-GB"/>
        </w:rPr>
        <w:t>duration from transplanting to harvesting (days)</w:t>
      </w:r>
      <w:r>
        <w:rPr>
          <w:rFonts w:ascii="Times New Roman" w:eastAsia="Times New Roman" w:hAnsi="Times New Roman" w:cs="Times New Roman"/>
          <w:b/>
          <w:bCs/>
          <w:sz w:val="24"/>
          <w:szCs w:val="24"/>
          <w:lang w:val="en-GB" w:eastAsia="en-GB"/>
        </w:rPr>
        <w:t xml:space="preserve"> </w:t>
      </w:r>
      <w:r>
        <w:rPr>
          <w:rFonts w:ascii="Times New Roman" w:hAnsi="Times New Roman" w:cs="Times New Roman"/>
          <w:bCs/>
          <w:sz w:val="24"/>
          <w:szCs w:val="24"/>
        </w:rPr>
        <w:t>as influenced with soil application and foliar application of zinc and boron are present in table 2.</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The findings revealed significant effect of zinc and </w:t>
      </w:r>
      <w:proofErr w:type="gramStart"/>
      <w:r>
        <w:rPr>
          <w:rFonts w:ascii="Times New Roman" w:hAnsi="Times New Roman" w:cs="Times New Roman"/>
          <w:bCs/>
          <w:sz w:val="24"/>
          <w:szCs w:val="24"/>
        </w:rPr>
        <w:t>boron  on</w:t>
      </w:r>
      <w:proofErr w:type="gramEnd"/>
      <w:r>
        <w:rPr>
          <w:rFonts w:ascii="Times New Roman" w:hAnsi="Times New Roman" w:cs="Times New Roman"/>
          <w:bCs/>
          <w:sz w:val="24"/>
          <w:szCs w:val="24"/>
        </w:rPr>
        <w:t xml:space="preserve"> </w:t>
      </w:r>
      <w:r>
        <w:rPr>
          <w:rFonts w:ascii="Times New Roman" w:eastAsia="Times New Roman" w:hAnsi="Times New Roman" w:cs="Times New Roman"/>
          <w:bCs/>
          <w:sz w:val="24"/>
          <w:szCs w:val="24"/>
          <w:lang w:val="en-GB" w:eastAsia="en-GB"/>
        </w:rPr>
        <w:t xml:space="preserve">days to first curd formation stage at curd formation stage and duration from transplanting to harvesting (days).  Minimum days to first curd formation i.e. </w:t>
      </w:r>
      <w:r>
        <w:rPr>
          <w:rFonts w:ascii="Times New Roman" w:eastAsia="Times New Roman" w:hAnsi="Times New Roman" w:cs="Times New Roman"/>
          <w:sz w:val="24"/>
          <w:szCs w:val="24"/>
          <w:lang w:val="en-GB" w:eastAsia="en-GB"/>
        </w:rPr>
        <w:t>44.33 was found with treatment 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kern w:val="24"/>
          <w:sz w:val="24"/>
          <w:szCs w:val="24"/>
        </w:rPr>
        <w:t xml:space="preserve"> which was </w:t>
      </w:r>
      <w:proofErr w:type="spellStart"/>
      <w:r>
        <w:rPr>
          <w:rFonts w:ascii="Times New Roman" w:eastAsia="Times New Roman" w:hAnsi="Times New Roman" w:cs="Times New Roman"/>
          <w:kern w:val="24"/>
          <w:sz w:val="24"/>
          <w:szCs w:val="24"/>
        </w:rPr>
        <w:t>statiscally</w:t>
      </w:r>
      <w:proofErr w:type="spellEnd"/>
      <w:r>
        <w:rPr>
          <w:rFonts w:ascii="Times New Roman" w:eastAsia="Times New Roman" w:hAnsi="Times New Roman" w:cs="Times New Roman"/>
          <w:kern w:val="24"/>
          <w:sz w:val="24"/>
          <w:szCs w:val="24"/>
        </w:rPr>
        <w:t xml:space="preserve"> at par </w:t>
      </w:r>
      <w:proofErr w:type="spellStart"/>
      <w:r>
        <w:rPr>
          <w:rFonts w:ascii="Times New Roman" w:eastAsia="Times New Roman" w:hAnsi="Times New Roman" w:cs="Times New Roman"/>
          <w:kern w:val="24"/>
          <w:sz w:val="24"/>
          <w:szCs w:val="24"/>
        </w:rPr>
        <w:t>wth</w:t>
      </w:r>
      <w:proofErr w:type="spellEnd"/>
      <w:r>
        <w:rPr>
          <w:rFonts w:ascii="Times New Roman" w:eastAsia="Times New Roman" w:hAnsi="Times New Roman" w:cs="Times New Roman"/>
          <w:kern w:val="24"/>
          <w:sz w:val="24"/>
          <w:szCs w:val="24"/>
        </w:rPr>
        <w:t xml:space="preserve"> treatment</w:t>
      </w:r>
      <w:r>
        <w:rPr>
          <w:rFonts w:ascii="Times New Roman" w:eastAsia="Times New Roman" w:hAnsi="Times New Roman" w:cs="Times New Roman"/>
          <w:sz w:val="24"/>
          <w:szCs w:val="24"/>
          <w:lang w:val="en-GB" w:eastAsia="en-GB"/>
        </w:rPr>
        <w:t xml:space="preserve"> 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Days to first curd formation stage (</w:t>
      </w:r>
      <w:r>
        <w:rPr>
          <w:rFonts w:ascii="Times New Roman" w:eastAsia="Times New Roman" w:hAnsi="Times New Roman" w:cs="Times New Roman"/>
          <w:sz w:val="24"/>
          <w:szCs w:val="24"/>
          <w:lang w:val="en-GB" w:eastAsia="en-GB"/>
        </w:rPr>
        <w:t>56.55</w:t>
      </w:r>
      <w:r>
        <w:rPr>
          <w:rFonts w:ascii="Times New Roman" w:eastAsia="Times New Roman" w:hAnsi="Times New Roman" w:cs="Times New Roman"/>
          <w:bCs/>
          <w:sz w:val="24"/>
          <w:szCs w:val="24"/>
          <w:lang w:val="en-GB" w:eastAsia="en-GB"/>
        </w:rPr>
        <w:t>) was found in T</w:t>
      </w:r>
      <w:r>
        <w:rPr>
          <w:rFonts w:ascii="Times New Roman" w:eastAsia="Times New Roman" w:hAnsi="Times New Roman" w:cs="Times New Roman"/>
          <w:bCs/>
          <w:sz w:val="24"/>
          <w:szCs w:val="24"/>
          <w:vertAlign w:val="subscript"/>
          <w:lang w:val="en-GB" w:eastAsia="en-GB"/>
        </w:rPr>
        <w:t>0</w:t>
      </w:r>
      <w:r>
        <w:rPr>
          <w:rFonts w:ascii="Times New Roman" w:eastAsia="Times New Roman" w:hAnsi="Times New Roman" w:cs="Times New Roman"/>
          <w:sz w:val="24"/>
          <w:szCs w:val="24"/>
          <w:lang w:val="en-GB" w:eastAsia="en-GB"/>
        </w:rPr>
        <w:t xml:space="preserve"> Control. </w:t>
      </w:r>
      <w:r>
        <w:rPr>
          <w:rFonts w:ascii="Times New Roman" w:eastAsia="Times New Roman" w:hAnsi="Times New Roman" w:cs="Times New Roman"/>
          <w:bCs/>
          <w:sz w:val="24"/>
          <w:szCs w:val="24"/>
          <w:lang w:val="en-GB" w:eastAsia="en-GB"/>
        </w:rPr>
        <w:t xml:space="preserve">Minimum duration from transplanting to harvest i.e. </w:t>
      </w:r>
      <w:r>
        <w:rPr>
          <w:rFonts w:ascii="Times New Roman" w:eastAsia="Times New Roman" w:hAnsi="Times New Roman" w:cs="Times New Roman"/>
          <w:sz w:val="24"/>
          <w:szCs w:val="24"/>
          <w:lang w:val="en-GB" w:eastAsia="en-GB"/>
        </w:rPr>
        <w:t xml:space="preserve">63.26 days were taken </w:t>
      </w:r>
      <w:proofErr w:type="gramStart"/>
      <w:r>
        <w:rPr>
          <w:rFonts w:ascii="Times New Roman" w:eastAsia="Times New Roman" w:hAnsi="Times New Roman" w:cs="Times New Roman"/>
          <w:sz w:val="24"/>
          <w:szCs w:val="24"/>
          <w:lang w:val="en-GB" w:eastAsia="en-GB"/>
        </w:rPr>
        <w:t>under  treatment</w:t>
      </w:r>
      <w:proofErr w:type="gramEnd"/>
      <w:r>
        <w:rPr>
          <w:rFonts w:ascii="Times New Roman" w:eastAsia="Times New Roman" w:hAnsi="Times New Roman" w:cs="Times New Roman"/>
          <w:sz w:val="24"/>
          <w:szCs w:val="24"/>
          <w:lang w:val="en-GB" w:eastAsia="en-GB"/>
        </w:rPr>
        <w:t xml:space="preserve"> T</w:t>
      </w:r>
      <w:proofErr w:type="gramStart"/>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w:t>
      </w:r>
      <w:proofErr w:type="gramEnd"/>
      <w:r>
        <w:rPr>
          <w:rFonts w:ascii="Times New Roman" w:eastAsia="Times New Roman" w:hAnsi="Times New Roman" w:cs="Times New Roman"/>
          <w:sz w:val="24"/>
          <w:szCs w:val="24"/>
          <w:lang w:eastAsia="en-GB"/>
        </w:rPr>
        <w:t xml:space="preserve"> + Combined application of boron foliar @0.5% and Zinc foliar @0.5%</w:t>
      </w:r>
      <w:r>
        <w:rPr>
          <w:rFonts w:ascii="Times New Roman" w:eastAsia="Times New Roman" w:hAnsi="Times New Roman" w:cs="Times New Roman"/>
          <w:sz w:val="24"/>
          <w:szCs w:val="24"/>
          <w:lang w:val="en-GB" w:eastAsia="en-GB"/>
        </w:rPr>
        <w:t xml:space="preserve">. It was followed </w:t>
      </w:r>
      <w:proofErr w:type="gramStart"/>
      <w:r>
        <w:rPr>
          <w:rFonts w:ascii="Times New Roman" w:eastAsia="Times New Roman" w:hAnsi="Times New Roman" w:cs="Times New Roman"/>
          <w:sz w:val="24"/>
          <w:szCs w:val="24"/>
          <w:lang w:val="en-GB" w:eastAsia="en-GB"/>
        </w:rPr>
        <w:t>by  T</w:t>
      </w:r>
      <w:proofErr w:type="gramEnd"/>
      <w:r>
        <w:rPr>
          <w:rFonts w:ascii="Times New Roman" w:eastAsia="Times New Roman" w:hAnsi="Times New Roman" w:cs="Times New Roman"/>
          <w:sz w:val="24"/>
          <w:szCs w:val="24"/>
          <w:lang w:val="en-GB" w:eastAsia="en-GB"/>
        </w:rPr>
        <w:t>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RDF + Boron soil application @2 kg/ha; + foliar application @ 0.5%,</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T1 </w:t>
      </w:r>
      <w:r>
        <w:rPr>
          <w:rFonts w:ascii="Times New Roman" w:eastAsia="Times New Roman" w:hAnsi="Times New Roman" w:cs="Times New Roman"/>
          <w:sz w:val="24"/>
          <w:szCs w:val="24"/>
          <w:lang w:eastAsia="en-GB"/>
        </w:rPr>
        <w:t xml:space="preserve">RDF+ Zinc foliar @0.5% and </w:t>
      </w:r>
      <w:r>
        <w:rPr>
          <w:rFonts w:ascii="Times New Roman" w:eastAsia="Times New Roman" w:hAnsi="Times New Roman" w:cs="Times New Roman"/>
          <w:sz w:val="24"/>
          <w:szCs w:val="24"/>
          <w:lang w:val="en-GB" w:eastAsia="en-GB"/>
        </w:rPr>
        <w:t xml:space="preserve">T2 </w:t>
      </w:r>
      <w:r>
        <w:rPr>
          <w:rFonts w:ascii="Times New Roman" w:eastAsia="Times New Roman" w:hAnsi="Times New Roman" w:cs="Times New Roman"/>
          <w:sz w:val="24"/>
          <w:szCs w:val="24"/>
          <w:lang w:eastAsia="en-GB"/>
        </w:rPr>
        <w:t>RDF+ Zinc soil application @ 25kg/ha</w:t>
      </w:r>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Where as</w:t>
      </w:r>
      <w:proofErr w:type="spellEnd"/>
      <w:r>
        <w:rPr>
          <w:rFonts w:ascii="Times New Roman" w:eastAsia="Times New Roman" w:hAnsi="Times New Roman" w:cs="Times New Roman"/>
          <w:sz w:val="24"/>
          <w:szCs w:val="24"/>
          <w:lang w:val="en-GB" w:eastAsia="en-GB"/>
        </w:rPr>
        <w:t xml:space="preserve"> the maximum </w:t>
      </w:r>
      <w:r>
        <w:rPr>
          <w:rFonts w:ascii="Times New Roman" w:eastAsia="Times New Roman" w:hAnsi="Times New Roman" w:cs="Times New Roman"/>
          <w:bCs/>
          <w:sz w:val="24"/>
          <w:szCs w:val="24"/>
          <w:lang w:val="en-GB" w:eastAsia="en-GB"/>
        </w:rPr>
        <w:t xml:space="preserve">duration from transplanting to harvest (73.08) were taken under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0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rPr>
        <w:t xml:space="preserve">This might be due to the stimulating influence of boron enhancing the rate of absorption of N, P and K and other nutrients. </w:t>
      </w:r>
      <w:proofErr w:type="spellStart"/>
      <w:r>
        <w:rPr>
          <w:rFonts w:ascii="Times New Roman" w:hAnsi="Times New Roman" w:cs="Times New Roman"/>
          <w:b/>
          <w:sz w:val="24"/>
          <w:szCs w:val="24"/>
        </w:rPr>
        <w:t>Moniruzzaman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et al. </w:t>
      </w:r>
      <w:r>
        <w:rPr>
          <w:rFonts w:ascii="Times New Roman" w:hAnsi="Times New Roman" w:cs="Times New Roman"/>
          <w:b/>
          <w:sz w:val="24"/>
          <w:szCs w:val="24"/>
        </w:rPr>
        <w:t xml:space="preserve">(2007), </w:t>
      </w:r>
      <w:r>
        <w:rPr>
          <w:rFonts w:ascii="Times New Roman" w:hAnsi="Times New Roman" w:cs="Times New Roman"/>
          <w:sz w:val="24"/>
          <w:szCs w:val="24"/>
        </w:rPr>
        <w:t xml:space="preserve">Moreover, boron took part in sugar translocation which might be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the increased height of plant. This is in accordance </w:t>
      </w:r>
      <w:r>
        <w:rPr>
          <w:rFonts w:ascii="Times New Roman" w:hAnsi="Times New Roman" w:cs="Times New Roman"/>
          <w:sz w:val="24"/>
          <w:szCs w:val="24"/>
        </w:rPr>
        <w:lastRenderedPageBreak/>
        <w:t xml:space="preserve">with the findings of similar results observed </w:t>
      </w:r>
      <w:r>
        <w:rPr>
          <w:rFonts w:ascii="Times New Roman" w:hAnsi="Times New Roman" w:cs="Times New Roman"/>
          <w:b/>
          <w:sz w:val="24"/>
          <w:szCs w:val="24"/>
        </w:rPr>
        <w:t xml:space="preserve">Saha </w:t>
      </w:r>
      <w:r>
        <w:rPr>
          <w:rFonts w:ascii="Times New Roman" w:hAnsi="Times New Roman" w:cs="Times New Roman"/>
          <w:b/>
          <w:i/>
          <w:sz w:val="24"/>
          <w:szCs w:val="24"/>
        </w:rPr>
        <w:t>et al.</w:t>
      </w:r>
      <w:r>
        <w:rPr>
          <w:rFonts w:ascii="Times New Roman" w:hAnsi="Times New Roman" w:cs="Times New Roman"/>
          <w:b/>
          <w:sz w:val="24"/>
          <w:szCs w:val="24"/>
        </w:rPr>
        <w:t xml:space="preserve"> (2010), Naher </w:t>
      </w:r>
      <w:r>
        <w:rPr>
          <w:rFonts w:ascii="Times New Roman" w:hAnsi="Times New Roman" w:cs="Times New Roman"/>
          <w:b/>
          <w:i/>
          <w:sz w:val="24"/>
          <w:szCs w:val="24"/>
        </w:rPr>
        <w:t>et al.</w:t>
      </w:r>
      <w:r>
        <w:rPr>
          <w:rFonts w:ascii="Times New Roman" w:hAnsi="Times New Roman" w:cs="Times New Roman"/>
          <w:b/>
          <w:sz w:val="24"/>
          <w:szCs w:val="24"/>
        </w:rPr>
        <w:t xml:space="preserve"> (2014) </w:t>
      </w:r>
      <w:r>
        <w:rPr>
          <w:rFonts w:ascii="Times New Roman" w:hAnsi="Times New Roman" w:cs="Times New Roman"/>
          <w:sz w:val="24"/>
          <w:szCs w:val="24"/>
        </w:rPr>
        <w:t xml:space="preserve">on cabbage.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sz w:val="24"/>
          <w:szCs w:val="24"/>
        </w:rPr>
        <w:t xml:space="preserve">on broccoli. The plant which treated with nitrogen (N) </w:t>
      </w:r>
      <w:proofErr w:type="spellStart"/>
      <w:r>
        <w:rPr>
          <w:rFonts w:ascii="Times New Roman" w:hAnsi="Times New Roman" w:cs="Times New Roman"/>
          <w:sz w:val="24"/>
          <w:szCs w:val="24"/>
        </w:rPr>
        <w:t>growsquickly</w:t>
      </w:r>
      <w:proofErr w:type="spellEnd"/>
      <w:r>
        <w:rPr>
          <w:rFonts w:ascii="Times New Roman" w:hAnsi="Times New Roman" w:cs="Times New Roman"/>
          <w:sz w:val="24"/>
          <w:szCs w:val="24"/>
        </w:rPr>
        <w:t xml:space="preserve"> and retain maximum vegetative growth by means of higher canopy area development, CO2 exchange rate and photosynthetic activity </w:t>
      </w:r>
      <w:r>
        <w:rPr>
          <w:rFonts w:ascii="Times New Roman" w:hAnsi="Times New Roman" w:cs="Times New Roman"/>
          <w:b/>
          <w:sz w:val="24"/>
          <w:szCs w:val="24"/>
        </w:rPr>
        <w:t xml:space="preserve">Yasir </w:t>
      </w:r>
      <w:r>
        <w:rPr>
          <w:rFonts w:ascii="Times New Roman" w:hAnsi="Times New Roman" w:cs="Times New Roman"/>
          <w:b/>
          <w:i/>
          <w:sz w:val="24"/>
          <w:szCs w:val="24"/>
        </w:rPr>
        <w:t>et al.</w:t>
      </w:r>
      <w:r>
        <w:rPr>
          <w:rFonts w:ascii="Times New Roman" w:hAnsi="Times New Roman" w:cs="Times New Roman"/>
          <w:b/>
          <w:sz w:val="24"/>
          <w:szCs w:val="24"/>
        </w:rPr>
        <w:t xml:space="preserve"> (2016)</w:t>
      </w:r>
      <w:r>
        <w:rPr>
          <w:rFonts w:ascii="Times New Roman" w:hAnsi="Times New Roman" w:cs="Times New Roman"/>
          <w:sz w:val="24"/>
          <w:szCs w:val="24"/>
        </w:rPr>
        <w:t xml:space="preserve"> potassium gives role on carbohydrate metabolism and enzyme activation </w:t>
      </w:r>
      <w:proofErr w:type="spellStart"/>
      <w:r>
        <w:rPr>
          <w:rFonts w:ascii="Times New Roman" w:hAnsi="Times New Roman" w:cs="Times New Roman"/>
          <w:sz w:val="24"/>
          <w:szCs w:val="24"/>
        </w:rPr>
        <w:t>inplant</w:t>
      </w:r>
      <w:proofErr w:type="spellEnd"/>
      <w:r>
        <w:rPr>
          <w:rFonts w:ascii="Times New Roman" w:hAnsi="Times New Roman" w:cs="Times New Roman"/>
          <w:sz w:val="24"/>
          <w:szCs w:val="24"/>
        </w:rPr>
        <w:t xml:space="preserve"> body and boron act as a proper translocation of sugars, starch and nitrogen compound in plant body these finding are in close conformity with earlier results obtained by </w:t>
      </w:r>
      <w:r>
        <w:rPr>
          <w:rFonts w:ascii="Times New Roman" w:hAnsi="Times New Roman" w:cs="Times New Roman"/>
          <w:b/>
          <w:sz w:val="24"/>
          <w:szCs w:val="24"/>
        </w:rPr>
        <w:t xml:space="preserve">Alam </w:t>
      </w:r>
      <w:r>
        <w:rPr>
          <w:rFonts w:ascii="Times New Roman" w:hAnsi="Times New Roman" w:cs="Times New Roman"/>
          <w:b/>
          <w:i/>
          <w:sz w:val="24"/>
          <w:szCs w:val="24"/>
        </w:rPr>
        <w:t>et al.</w:t>
      </w:r>
      <w:r>
        <w:rPr>
          <w:rFonts w:ascii="Times New Roman" w:hAnsi="Times New Roman" w:cs="Times New Roman"/>
          <w:b/>
          <w:sz w:val="24"/>
          <w:szCs w:val="24"/>
        </w:rPr>
        <w:t xml:space="preserve"> (2007)</w:t>
      </w:r>
      <w:r>
        <w:rPr>
          <w:rFonts w:ascii="Times New Roman" w:hAnsi="Times New Roman" w:cs="Times New Roman"/>
          <w:sz w:val="24"/>
          <w:szCs w:val="24"/>
        </w:rPr>
        <w:t xml:space="preserve">  and </w:t>
      </w:r>
      <w:r>
        <w:rPr>
          <w:rFonts w:ascii="Times New Roman" w:hAnsi="Times New Roman" w:cs="Times New Roman"/>
          <w:b/>
          <w:sz w:val="24"/>
          <w:szCs w:val="24"/>
        </w:rPr>
        <w:t xml:space="preserve">Singh </w:t>
      </w:r>
      <w:r>
        <w:rPr>
          <w:rFonts w:ascii="Times New Roman" w:hAnsi="Times New Roman" w:cs="Times New Roman"/>
          <w:b/>
          <w:i/>
          <w:sz w:val="24"/>
          <w:szCs w:val="24"/>
        </w:rPr>
        <w:t>et al.</w:t>
      </w:r>
      <w:r>
        <w:rPr>
          <w:rFonts w:ascii="Times New Roman" w:hAnsi="Times New Roman" w:cs="Times New Roman"/>
          <w:b/>
          <w:sz w:val="24"/>
          <w:szCs w:val="24"/>
        </w:rPr>
        <w:t xml:space="preserve"> (2015). </w:t>
      </w:r>
      <w:r>
        <w:rPr>
          <w:rFonts w:ascii="Times New Roman" w:hAnsi="Times New Roman" w:cs="Times New Roman"/>
          <w:bCs/>
          <w:sz w:val="24"/>
          <w:szCs w:val="24"/>
        </w:rPr>
        <w:t xml:space="preserve">The data given in table 2 revealed that </w:t>
      </w:r>
      <w:r>
        <w:rPr>
          <w:rFonts w:ascii="Times New Roman" w:eastAsia="Times New Roman" w:hAnsi="Times New Roman" w:cs="Times New Roman"/>
          <w:bCs/>
          <w:sz w:val="24"/>
          <w:szCs w:val="24"/>
          <w:lang w:val="en-GB" w:eastAsia="en-GB"/>
        </w:rPr>
        <w:t>curd diameter (cm),</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n-GB" w:eastAsia="en-GB"/>
        </w:rPr>
        <w:t>curd yield (q ha-1</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 was</w:t>
      </w:r>
      <w:proofErr w:type="gramEnd"/>
      <w:r>
        <w:rPr>
          <w:rFonts w:ascii="Times New Roman" w:hAnsi="Times New Roman" w:cs="Times New Roman"/>
          <w:bCs/>
          <w:sz w:val="24"/>
          <w:szCs w:val="24"/>
        </w:rPr>
        <w:t xml:space="preserve">  affected significantly with soil and foliar application of zinc and boron. Maximum curd diameter (16.21cm)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curd diameter (11.07)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untrimmed curd (g)</w:t>
      </w:r>
      <w:r>
        <w:rPr>
          <w:rFonts w:ascii="Times New Roman" w:hAnsi="Times New Roman" w:cs="Times New Roman"/>
          <w:bCs/>
          <w:sz w:val="24"/>
          <w:szCs w:val="24"/>
        </w:rPr>
        <w:t xml:space="preserve"> (894.00)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untrimmed curd (g)</w:t>
      </w:r>
      <w:r>
        <w:rPr>
          <w:rFonts w:ascii="Times New Roman" w:eastAsia="Times New Roman" w:hAnsi="Times New Roman" w:cs="Times New Roman"/>
          <w:sz w:val="24"/>
          <w:szCs w:val="24"/>
          <w:lang w:val="en-GB" w:eastAsia="en-GB"/>
        </w:rPr>
        <w:t xml:space="preserve"> (636.72)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weight of trimmed curd (g)</w:t>
      </w:r>
      <w:r>
        <w:rPr>
          <w:rFonts w:ascii="Times New Roman" w:hAnsi="Times New Roman" w:cs="Times New Roman"/>
          <w:bCs/>
          <w:sz w:val="24"/>
          <w:szCs w:val="24"/>
        </w:rPr>
        <w:t xml:space="preserve"> (428.51)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weight of trimmed curd (g)</w:t>
      </w:r>
      <w:r>
        <w:rPr>
          <w:rFonts w:ascii="Times New Roman" w:eastAsia="Times New Roman" w:hAnsi="Times New Roman" w:cs="Times New Roman"/>
          <w:sz w:val="24"/>
          <w:szCs w:val="24"/>
          <w:lang w:val="en-GB" w:eastAsia="en-GB"/>
        </w:rPr>
        <w:t xml:space="preserve"> (334.48)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per plot (kg)</w:t>
      </w:r>
      <w:r>
        <w:rPr>
          <w:rFonts w:ascii="Times New Roman" w:hAnsi="Times New Roman" w:cs="Times New Roman"/>
          <w:bCs/>
          <w:sz w:val="24"/>
          <w:szCs w:val="24"/>
        </w:rPr>
        <w:t xml:space="preserve"> (4.29)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per plot (kg)</w:t>
      </w:r>
      <w:r>
        <w:rPr>
          <w:rFonts w:ascii="Times New Roman" w:eastAsia="Times New Roman" w:hAnsi="Times New Roman" w:cs="Times New Roman"/>
          <w:sz w:val="24"/>
          <w:szCs w:val="24"/>
          <w:lang w:val="en-GB" w:eastAsia="en-GB"/>
        </w:rPr>
        <w:t xml:space="preserve"> (3.34)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curd yield (q ha-1</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95.12)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curd yield (q ha-1</w:t>
      </w:r>
      <w:proofErr w:type="gramStart"/>
      <w:r>
        <w:rPr>
          <w:rFonts w:ascii="Times New Roman" w:eastAsia="Times New Roman" w:hAnsi="Times New Roman" w:cs="Times New Roman"/>
          <w:bCs/>
          <w:sz w:val="24"/>
          <w:szCs w:val="24"/>
          <w:lang w:val="en-GB" w:eastAsia="en-GB"/>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74.23)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The  findings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are  similar</w:t>
      </w:r>
      <w:proofErr w:type="gramEnd"/>
      <w:r>
        <w:rPr>
          <w:rFonts w:ascii="Times New Roman" w:hAnsi="Times New Roman" w:cs="Times New Roman"/>
          <w:sz w:val="24"/>
          <w:szCs w:val="24"/>
          <w:shd w:val="clear" w:color="auto" w:fill="FFFFFF"/>
        </w:rPr>
        <w:t xml:space="preserve"> to   </w:t>
      </w:r>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(2017)   and   Sidhu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(2022) </w:t>
      </w:r>
      <w:r>
        <w:rPr>
          <w:rFonts w:ascii="Times New Roman" w:hAnsi="Times New Roman" w:cs="Times New Roman"/>
          <w:sz w:val="24"/>
          <w:szCs w:val="24"/>
          <w:shd w:val="clear" w:color="auto" w:fill="FFFFFF"/>
        </w:rPr>
        <w:t xml:space="preserve">concluded that the application of boron </w:t>
      </w:r>
      <w:proofErr w:type="gramStart"/>
      <w:r>
        <w:rPr>
          <w:rFonts w:ascii="Times New Roman" w:hAnsi="Times New Roman" w:cs="Times New Roman"/>
          <w:sz w:val="24"/>
          <w:szCs w:val="24"/>
          <w:shd w:val="clear" w:color="auto" w:fill="FFFFFF"/>
        </w:rPr>
        <w:t>with  zinc</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promoted  head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weight,  head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diameter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plant  weight</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 xml:space="preserve">Mahmoud </w:t>
      </w:r>
      <w:proofErr w:type="gramStart"/>
      <w:r>
        <w:rPr>
          <w:rFonts w:ascii="Times New Roman" w:hAnsi="Times New Roman" w:cs="Times New Roman"/>
          <w:b/>
          <w:sz w:val="24"/>
          <w:szCs w:val="24"/>
          <w:shd w:val="clear" w:color="auto" w:fill="FFFFFF"/>
        </w:rPr>
        <w:t>et  al.</w:t>
      </w:r>
      <w:proofErr w:type="gramEnd"/>
      <w:r>
        <w:rPr>
          <w:rFonts w:ascii="Times New Roman" w:hAnsi="Times New Roman" w:cs="Times New Roman"/>
          <w:b/>
          <w:sz w:val="24"/>
          <w:szCs w:val="24"/>
          <w:shd w:val="clear" w:color="auto" w:fill="FFFFFF"/>
        </w:rPr>
        <w:t xml:space="preserve"> (2019)</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reported  that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combined  foliar</w:t>
      </w:r>
      <w:proofErr w:type="gramEnd"/>
      <w:r>
        <w:rPr>
          <w:rFonts w:ascii="Times New Roman" w:hAnsi="Times New Roman" w:cs="Times New Roman"/>
          <w:sz w:val="24"/>
          <w:szCs w:val="24"/>
          <w:shd w:val="clear" w:color="auto" w:fill="FFFFFF"/>
        </w:rPr>
        <w:t xml:space="preserve">  application </w:t>
      </w:r>
      <w:proofErr w:type="gramStart"/>
      <w:r>
        <w:rPr>
          <w:rFonts w:ascii="Times New Roman" w:hAnsi="Times New Roman" w:cs="Times New Roman"/>
          <w:sz w:val="24"/>
          <w:szCs w:val="24"/>
          <w:shd w:val="clear" w:color="auto" w:fill="FFFFFF"/>
        </w:rPr>
        <w:t>of  zinc</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and  boron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recorded  highest</w:t>
      </w:r>
      <w:proofErr w:type="gramEnd"/>
      <w:r>
        <w:rPr>
          <w:rFonts w:ascii="Times New Roman" w:hAnsi="Times New Roman" w:cs="Times New Roman"/>
          <w:sz w:val="24"/>
          <w:szCs w:val="24"/>
          <w:shd w:val="clear" w:color="auto" w:fill="FFFFFF"/>
        </w:rPr>
        <w:t xml:space="preserve">  yield.  </w:t>
      </w:r>
      <w:proofErr w:type="gramStart"/>
      <w:r>
        <w:rPr>
          <w:rFonts w:ascii="Times New Roman" w:hAnsi="Times New Roman" w:cs="Times New Roman"/>
          <w:sz w:val="24"/>
          <w:szCs w:val="24"/>
          <w:shd w:val="clear" w:color="auto" w:fill="FFFFFF"/>
        </w:rPr>
        <w:t>The  increase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in  yield</w:t>
      </w:r>
      <w:proofErr w:type="gramEnd"/>
      <w:r>
        <w:rPr>
          <w:rFonts w:ascii="Times New Roman" w:hAnsi="Times New Roman" w:cs="Times New Roman"/>
          <w:sz w:val="24"/>
          <w:szCs w:val="24"/>
          <w:shd w:val="clear" w:color="auto" w:fill="FFFFFF"/>
        </w:rPr>
        <w:t xml:space="preserve"> could be attributed to </w:t>
      </w:r>
      <w:proofErr w:type="gramStart"/>
      <w:r>
        <w:rPr>
          <w:rFonts w:ascii="Times New Roman" w:hAnsi="Times New Roman" w:cs="Times New Roman"/>
          <w:sz w:val="24"/>
          <w:szCs w:val="24"/>
          <w:shd w:val="clear" w:color="auto" w:fill="FFFFFF"/>
        </w:rPr>
        <w:t>combined  effect</w:t>
      </w:r>
      <w:proofErr w:type="gramEnd"/>
      <w:r>
        <w:rPr>
          <w:rFonts w:ascii="Times New Roman" w:hAnsi="Times New Roman" w:cs="Times New Roman"/>
          <w:sz w:val="24"/>
          <w:szCs w:val="24"/>
          <w:shd w:val="clear" w:color="auto" w:fill="FFFFFF"/>
        </w:rPr>
        <w:t xml:space="preserve"> of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boron  at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the  same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time  for</w:t>
      </w:r>
      <w:proofErr w:type="gramEnd"/>
      <w:r>
        <w:rPr>
          <w:rFonts w:ascii="Times New Roman" w:hAnsi="Times New Roman" w:cs="Times New Roman"/>
          <w:sz w:val="24"/>
          <w:szCs w:val="24"/>
          <w:shd w:val="clear" w:color="auto" w:fill="FFFFFF"/>
        </w:rPr>
        <w:t xml:space="preserve">  particular </w:t>
      </w:r>
      <w:proofErr w:type="gramStart"/>
      <w:r>
        <w:rPr>
          <w:rFonts w:ascii="Times New Roman" w:hAnsi="Times New Roman" w:cs="Times New Roman"/>
          <w:sz w:val="24"/>
          <w:szCs w:val="24"/>
          <w:shd w:val="clear" w:color="auto" w:fill="FFFFFF"/>
        </w:rPr>
        <w:t>treatments  which</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boosted  the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plant  metabolism</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and  translocated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sugar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carbohydrates  from</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site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synthesis  to</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storage  tissue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in  broccoli</w:t>
      </w:r>
      <w:proofErr w:type="gramEnd"/>
      <w:r>
        <w:rPr>
          <w:rFonts w:ascii="Times New Roman" w:hAnsi="Times New Roman" w:cs="Times New Roman"/>
          <w:sz w:val="24"/>
          <w:szCs w:val="24"/>
          <w:shd w:val="clear" w:color="auto" w:fill="FFFFFF"/>
        </w:rPr>
        <w:t xml:space="preserve">. However, there was no significant differences on head length, width and stem girth with combined </w:t>
      </w:r>
      <w:proofErr w:type="gramStart"/>
      <w:r>
        <w:rPr>
          <w:rFonts w:ascii="Times New Roman" w:hAnsi="Times New Roman" w:cs="Times New Roman"/>
          <w:sz w:val="24"/>
          <w:szCs w:val="24"/>
          <w:shd w:val="clear" w:color="auto" w:fill="FFFFFF"/>
        </w:rPr>
        <w:t>application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boron.  </w:t>
      </w:r>
      <w:proofErr w:type="gramStart"/>
      <w:r>
        <w:rPr>
          <w:rFonts w:ascii="Times New Roman" w:hAnsi="Times New Roman" w:cs="Times New Roman"/>
          <w:sz w:val="24"/>
          <w:szCs w:val="24"/>
          <w:shd w:val="clear" w:color="auto" w:fill="FFFFFF"/>
        </w:rPr>
        <w:t>Lowest  value</w:t>
      </w:r>
      <w:proofErr w:type="gramEnd"/>
      <w:r>
        <w:rPr>
          <w:rFonts w:ascii="Times New Roman" w:hAnsi="Times New Roman" w:cs="Times New Roman"/>
          <w:sz w:val="24"/>
          <w:szCs w:val="24"/>
          <w:shd w:val="clear" w:color="auto" w:fill="FFFFFF"/>
        </w:rPr>
        <w:t xml:space="preserve">  was recorded for control plots. </w:t>
      </w:r>
      <w:r>
        <w:rPr>
          <w:rFonts w:ascii="Times New Roman" w:hAnsi="Times New Roman" w:cs="Times New Roman"/>
          <w:bCs/>
          <w:sz w:val="24"/>
          <w:szCs w:val="24"/>
        </w:rPr>
        <w:t xml:space="preserve">The data given in table 1 revealed that </w:t>
      </w:r>
      <w:r>
        <w:rPr>
          <w:rFonts w:ascii="Times New Roman" w:eastAsia="Times New Roman" w:hAnsi="Times New Roman" w:cs="Times New Roman"/>
          <w:bCs/>
          <w:sz w:val="24"/>
          <w:szCs w:val="24"/>
          <w:lang w:val="en-GB" w:eastAsia="en-GB"/>
        </w:rPr>
        <w:t xml:space="preserve">total soluble solid (°Brix) and </w:t>
      </w:r>
      <w:r>
        <w:rPr>
          <w:rFonts w:ascii="Times New Roman" w:eastAsia="Times New Roman" w:hAnsi="Times New Roman" w:cs="Times New Roman"/>
          <w:b/>
          <w:bCs/>
          <w:sz w:val="24"/>
          <w:szCs w:val="24"/>
          <w:lang w:val="en-GB" w:eastAsia="en-GB"/>
        </w:rPr>
        <w:t xml:space="preserve">ascorbic acid (mg / 100 g edible </w:t>
      </w:r>
      <w:proofErr w:type="gramStart"/>
      <w:r>
        <w:rPr>
          <w:rFonts w:ascii="Times New Roman" w:eastAsia="Times New Roman" w:hAnsi="Times New Roman" w:cs="Times New Roman"/>
          <w:b/>
          <w:bCs/>
          <w:sz w:val="24"/>
          <w:szCs w:val="24"/>
          <w:lang w:val="en-GB" w:eastAsia="en-GB"/>
        </w:rPr>
        <w:t xml:space="preserve">portion) </w:t>
      </w:r>
      <w:r>
        <w:rPr>
          <w:rFonts w:ascii="Times New Roman" w:hAnsi="Times New Roman" w:cs="Times New Roman"/>
          <w:sz w:val="24"/>
          <w:szCs w:val="24"/>
        </w:rPr>
        <w:t xml:space="preserve"> </w:t>
      </w:r>
      <w:r>
        <w:rPr>
          <w:rFonts w:ascii="Times New Roman" w:hAnsi="Times New Roman" w:cs="Times New Roman"/>
          <w:bCs/>
          <w:sz w:val="24"/>
          <w:szCs w:val="24"/>
        </w:rPr>
        <w:t>was</w:t>
      </w:r>
      <w:proofErr w:type="gramEnd"/>
      <w:r>
        <w:rPr>
          <w:rFonts w:ascii="Times New Roman" w:hAnsi="Times New Roman" w:cs="Times New Roman"/>
          <w:bCs/>
          <w:sz w:val="24"/>
          <w:szCs w:val="24"/>
        </w:rPr>
        <w:t xml:space="preserve">  affected significantly with soil and foliar application of zinc and boron.  Application of zinc and boron exhibited positive effect on </w:t>
      </w:r>
      <w:r>
        <w:rPr>
          <w:rFonts w:ascii="Times New Roman" w:eastAsia="Times New Roman" w:hAnsi="Times New Roman" w:cs="Times New Roman"/>
          <w:bCs/>
          <w:sz w:val="24"/>
          <w:szCs w:val="24"/>
          <w:lang w:val="en-GB" w:eastAsia="en-GB"/>
        </w:rPr>
        <w:t xml:space="preserve">total soluble solid (°Brix) and </w:t>
      </w:r>
      <w:r>
        <w:rPr>
          <w:rFonts w:ascii="Times New Roman" w:eastAsia="Times New Roman" w:hAnsi="Times New Roman" w:cs="Times New Roman"/>
          <w:b/>
          <w:bCs/>
          <w:sz w:val="24"/>
          <w:szCs w:val="24"/>
          <w:lang w:val="en-GB" w:eastAsia="en-GB"/>
        </w:rPr>
        <w:t>ascorbic acid (mg / 100 g edible portion)</w:t>
      </w:r>
      <w:r>
        <w:rPr>
          <w:rFonts w:ascii="Times New Roman" w:hAnsi="Times New Roman" w:cs="Times New Roman"/>
          <w:bCs/>
          <w:sz w:val="24"/>
          <w:szCs w:val="24"/>
        </w:rPr>
        <w:t xml:space="preserve">.  Maximum </w:t>
      </w:r>
      <w:r>
        <w:rPr>
          <w:rFonts w:ascii="Times New Roman" w:eastAsia="Times New Roman" w:hAnsi="Times New Roman" w:cs="Times New Roman"/>
          <w:bCs/>
          <w:sz w:val="24"/>
          <w:szCs w:val="24"/>
          <w:lang w:val="en-GB" w:eastAsia="en-GB"/>
        </w:rPr>
        <w:t>total soluble solid (°Brix)</w:t>
      </w:r>
      <w:r>
        <w:rPr>
          <w:rFonts w:ascii="Times New Roman" w:hAnsi="Times New Roman" w:cs="Times New Roman"/>
          <w:bCs/>
          <w:sz w:val="24"/>
          <w:szCs w:val="24"/>
        </w:rPr>
        <w:t xml:space="preserve"> (5.16)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 xml:space="preserve">RDF + Boron soil application @2 kg/ha; + foliar </w:t>
      </w:r>
      <w:r>
        <w:rPr>
          <w:rFonts w:ascii="Times New Roman" w:eastAsia="Times New Roman" w:hAnsi="Times New Roman" w:cs="Times New Roman"/>
          <w:sz w:val="24"/>
          <w:szCs w:val="24"/>
          <w:lang w:eastAsia="en-GB"/>
        </w:rPr>
        <w:lastRenderedPageBreak/>
        <w:t>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total soluble solid (°</w:t>
      </w:r>
      <w:proofErr w:type="gramStart"/>
      <w:r>
        <w:rPr>
          <w:rFonts w:ascii="Times New Roman" w:eastAsia="Times New Roman" w:hAnsi="Times New Roman" w:cs="Times New Roman"/>
          <w:bCs/>
          <w:sz w:val="24"/>
          <w:szCs w:val="24"/>
          <w:lang w:val="en-GB" w:eastAsia="en-GB"/>
        </w:rPr>
        <w:t>Brix)</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3.15)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Control.</w:t>
      </w:r>
      <w:r>
        <w:rPr>
          <w:rFonts w:ascii="Times New Roman" w:hAnsi="Times New Roman" w:cs="Times New Roman"/>
          <w:sz w:val="24"/>
          <w:szCs w:val="24"/>
        </w:rPr>
        <w:t xml:space="preserve"> </w:t>
      </w:r>
      <w:r>
        <w:rPr>
          <w:rFonts w:ascii="Times New Roman" w:hAnsi="Times New Roman" w:cs="Times New Roman"/>
          <w:bCs/>
          <w:sz w:val="24"/>
          <w:szCs w:val="24"/>
        </w:rPr>
        <w:t xml:space="preserve">Maximum </w:t>
      </w:r>
      <w:r>
        <w:rPr>
          <w:rFonts w:ascii="Times New Roman" w:eastAsia="Times New Roman" w:hAnsi="Times New Roman" w:cs="Times New Roman"/>
          <w:bCs/>
          <w:sz w:val="24"/>
          <w:szCs w:val="24"/>
          <w:lang w:val="en-GB" w:eastAsia="en-GB"/>
        </w:rPr>
        <w:t xml:space="preserve">ascorbic acid (mg / 100 g edible </w:t>
      </w:r>
      <w:proofErr w:type="gramStart"/>
      <w:r>
        <w:rPr>
          <w:rFonts w:ascii="Times New Roman" w:eastAsia="Times New Roman" w:hAnsi="Times New Roman" w:cs="Times New Roman"/>
          <w:bCs/>
          <w:sz w:val="24"/>
          <w:szCs w:val="24"/>
          <w:lang w:val="en-GB" w:eastAsia="en-GB"/>
        </w:rPr>
        <w:t xml:space="preserve">portion)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121.40) was recorded with treatment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7 </w:t>
      </w:r>
      <w:r>
        <w:rPr>
          <w:rFonts w:ascii="Times New Roman" w:eastAsia="Times New Roman" w:hAnsi="Times New Roman" w:cs="Times New Roman"/>
          <w:sz w:val="24"/>
          <w:szCs w:val="24"/>
          <w:lang w:eastAsia="en-GB"/>
        </w:rPr>
        <w:t>RDF + Combined application of boron foliar @0.5% and Zinc foliar @0.5%</w:t>
      </w:r>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which  is</w:t>
      </w:r>
      <w:proofErr w:type="gramEnd"/>
      <w:r>
        <w:rPr>
          <w:rFonts w:ascii="Times New Roman" w:eastAsia="Times New Roman" w:hAnsi="Times New Roman" w:cs="Times New Roman"/>
          <w:sz w:val="24"/>
          <w:szCs w:val="24"/>
          <w:lang w:val="en-GB" w:eastAsia="en-GB"/>
        </w:rPr>
        <w:t xml:space="preserve"> significantly superior over all the </w:t>
      </w:r>
      <w:proofErr w:type="spellStart"/>
      <w:r>
        <w:rPr>
          <w:rFonts w:ascii="Times New Roman" w:eastAsia="Times New Roman" w:hAnsi="Times New Roman" w:cs="Times New Roman"/>
          <w:sz w:val="24"/>
          <w:szCs w:val="24"/>
          <w:lang w:val="en-GB" w:eastAsia="en-GB"/>
        </w:rPr>
        <w:t>treawtment</w:t>
      </w:r>
      <w:proofErr w:type="spellEnd"/>
      <w:r>
        <w:rPr>
          <w:rFonts w:ascii="Times New Roman" w:eastAsia="Times New Roman" w:hAnsi="Times New Roman" w:cs="Times New Roman"/>
          <w:sz w:val="24"/>
          <w:szCs w:val="24"/>
          <w:lang w:val="en-GB" w:eastAsia="en-GB"/>
        </w:rPr>
        <w:t xml:space="preserve">. It was followed by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vertAlign w:val="subscript"/>
          <w:lang w:val="en-GB" w:eastAsia="en-GB"/>
        </w:rPr>
        <w:t xml:space="preserve">6 </w:t>
      </w:r>
      <w:r>
        <w:rPr>
          <w:rFonts w:ascii="Times New Roman" w:eastAsia="Times New Roman" w:hAnsi="Times New Roman" w:cs="Times New Roman"/>
          <w:sz w:val="24"/>
          <w:szCs w:val="24"/>
          <w:lang w:eastAsia="en-GB"/>
        </w:rPr>
        <w:t>RDF + Boron soil application @2 kg/ha; + foliar application @ 0.5%</w:t>
      </w:r>
      <w:r>
        <w:rPr>
          <w:rFonts w:ascii="Times New Roman" w:eastAsia="Times New Roman" w:hAnsi="Times New Roman" w:cs="Times New Roman"/>
          <w:sz w:val="24"/>
          <w:szCs w:val="24"/>
          <w:lang w:val="en-GB" w:eastAsia="en-GB"/>
        </w:rPr>
        <w:t xml:space="preserve"> respectively. While minimum </w:t>
      </w:r>
      <w:r>
        <w:rPr>
          <w:rFonts w:ascii="Times New Roman" w:eastAsia="Times New Roman" w:hAnsi="Times New Roman" w:cs="Times New Roman"/>
          <w:bCs/>
          <w:sz w:val="24"/>
          <w:szCs w:val="24"/>
          <w:lang w:val="en-GB" w:eastAsia="en-GB"/>
        </w:rPr>
        <w:t xml:space="preserve">ascorbic acid (mg / 100 g edible </w:t>
      </w:r>
      <w:proofErr w:type="gramStart"/>
      <w:r>
        <w:rPr>
          <w:rFonts w:ascii="Times New Roman" w:eastAsia="Times New Roman" w:hAnsi="Times New Roman" w:cs="Times New Roman"/>
          <w:bCs/>
          <w:sz w:val="24"/>
          <w:szCs w:val="24"/>
          <w:lang w:val="en-GB" w:eastAsia="en-GB"/>
        </w:rPr>
        <w:t xml:space="preserve">portion) </w:t>
      </w:r>
      <w:r>
        <w:rPr>
          <w:rFonts w:ascii="Times New Roman" w:eastAsia="Times New Roman" w:hAnsi="Times New Roman" w:cs="Times New Roman"/>
          <w:sz w:val="24"/>
          <w:szCs w:val="24"/>
          <w:lang w:val="en-GB" w:eastAsia="en-GB"/>
        </w:rPr>
        <w:t xml:space="preserve"> (</w:t>
      </w:r>
      <w:proofErr w:type="gramEnd"/>
      <w:r>
        <w:rPr>
          <w:rFonts w:ascii="Times New Roman" w:eastAsia="Times New Roman" w:hAnsi="Times New Roman" w:cs="Times New Roman"/>
          <w:sz w:val="24"/>
          <w:szCs w:val="24"/>
          <w:lang w:val="en-GB" w:eastAsia="en-GB"/>
        </w:rPr>
        <w:t>108.37) was observed under treatment T</w:t>
      </w:r>
      <w:r>
        <w:rPr>
          <w:rFonts w:ascii="Times New Roman" w:eastAsia="Times New Roman" w:hAnsi="Times New Roman" w:cs="Times New Roman"/>
          <w:sz w:val="24"/>
          <w:szCs w:val="24"/>
          <w:vertAlign w:val="subscript"/>
          <w:lang w:val="en-GB" w:eastAsia="en-GB"/>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eastAsia="en-GB"/>
        </w:rPr>
        <w:t xml:space="preserve">Control. Boron   being   in   xylem   tissue, </w:t>
      </w:r>
      <w:proofErr w:type="gramStart"/>
      <w:r>
        <w:rPr>
          <w:rFonts w:ascii="Times New Roman" w:eastAsia="Times New Roman" w:hAnsi="Times New Roman" w:cs="Times New Roman"/>
          <w:sz w:val="24"/>
          <w:szCs w:val="24"/>
          <w:lang w:val="en-GB" w:eastAsia="en-GB"/>
        </w:rPr>
        <w:t>adsorbed  from</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soil  as</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neutral  molecules</w:t>
      </w:r>
      <w:proofErr w:type="gramEnd"/>
      <w:r>
        <w:rPr>
          <w:rFonts w:ascii="Times New Roman" w:eastAsia="Times New Roman" w:hAnsi="Times New Roman" w:cs="Times New Roman"/>
          <w:sz w:val="24"/>
          <w:szCs w:val="24"/>
          <w:lang w:val="en-GB" w:eastAsia="en-GB"/>
        </w:rPr>
        <w:t xml:space="preserve">  and accumulates     in    broccoli    head.    Combined application    of    boron    and    zinc    resulted    in </w:t>
      </w:r>
      <w:proofErr w:type="gramStart"/>
      <w:r>
        <w:rPr>
          <w:rFonts w:ascii="Times New Roman" w:eastAsia="Times New Roman" w:hAnsi="Times New Roman" w:cs="Times New Roman"/>
          <w:sz w:val="24"/>
          <w:szCs w:val="24"/>
          <w:lang w:val="en-GB" w:eastAsia="en-GB"/>
        </w:rPr>
        <w:t>enhanced  vegetative</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growth,  improved</w:t>
      </w:r>
      <w:proofErr w:type="gramEnd"/>
      <w:r>
        <w:rPr>
          <w:rFonts w:ascii="Times New Roman" w:eastAsia="Times New Roman" w:hAnsi="Times New Roman" w:cs="Times New Roman"/>
          <w:sz w:val="24"/>
          <w:szCs w:val="24"/>
          <w:lang w:val="en-GB" w:eastAsia="en-GB"/>
        </w:rPr>
        <w:t xml:space="preserve">  physical </w:t>
      </w:r>
      <w:proofErr w:type="gramStart"/>
      <w:r>
        <w:rPr>
          <w:rFonts w:ascii="Times New Roman" w:eastAsia="Times New Roman" w:hAnsi="Times New Roman" w:cs="Times New Roman"/>
          <w:sz w:val="24"/>
          <w:szCs w:val="24"/>
          <w:lang w:val="en-GB" w:eastAsia="en-GB"/>
        </w:rPr>
        <w:t>quality,  and</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increased  nutritional</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value  of</w:t>
      </w:r>
      <w:proofErr w:type="gramEnd"/>
      <w:r>
        <w:rPr>
          <w:rFonts w:ascii="Times New Roman" w:eastAsia="Times New Roman" w:hAnsi="Times New Roman" w:cs="Times New Roman"/>
          <w:sz w:val="24"/>
          <w:szCs w:val="24"/>
          <w:lang w:val="en-GB" w:eastAsia="en-GB"/>
        </w:rPr>
        <w:t xml:space="preserve">  the broccoli heads </w:t>
      </w:r>
      <w:r>
        <w:rPr>
          <w:rFonts w:ascii="Times New Roman" w:hAnsi="Times New Roman" w:cs="Times New Roman"/>
          <w:b/>
          <w:sz w:val="24"/>
          <w:szCs w:val="24"/>
          <w:shd w:val="clear" w:color="auto" w:fill="FFFFFF"/>
        </w:rPr>
        <w:t xml:space="preserve">Mahmoud </w:t>
      </w:r>
      <w:r>
        <w:rPr>
          <w:rFonts w:ascii="Times New Roman" w:hAnsi="Times New Roman" w:cs="Times New Roman"/>
          <w:b/>
          <w:i/>
          <w:sz w:val="24"/>
          <w:szCs w:val="24"/>
          <w:shd w:val="clear" w:color="auto" w:fill="FFFFFF"/>
        </w:rPr>
        <w:t>et al.,</w:t>
      </w:r>
      <w:r>
        <w:rPr>
          <w:rFonts w:ascii="Times New Roman" w:hAnsi="Times New Roman" w:cs="Times New Roman"/>
          <w:b/>
          <w:sz w:val="24"/>
          <w:szCs w:val="24"/>
          <w:shd w:val="clear" w:color="auto" w:fill="FFFFFF"/>
        </w:rPr>
        <w:t xml:space="preserve"> (2019)</w:t>
      </w:r>
      <w:r>
        <w:rPr>
          <w:rFonts w:ascii="Times New Roman" w:eastAsia="Times New Roman" w:hAnsi="Times New Roman" w:cs="Times New Roman"/>
          <w:b/>
          <w:sz w:val="24"/>
          <w:szCs w:val="24"/>
          <w:lang w:val="en-GB" w:eastAsia="en-GB"/>
        </w:rPr>
        <w:t xml:space="preserve">. </w:t>
      </w:r>
    </w:p>
    <w:p w14:paraId="1CA26DE9" w14:textId="77777777"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14:paraId="47C97B4D" w14:textId="77777777" w:rsidR="00D345E6" w:rsidRDefault="00D345E6">
      <w:pPr>
        <w:spacing w:after="0" w:line="240" w:lineRule="auto"/>
        <w:ind w:right="-50" w:firstLine="720"/>
        <w:jc w:val="both"/>
        <w:rPr>
          <w:rFonts w:ascii="Times New Roman" w:eastAsia="Times New Roman" w:hAnsi="Times New Roman" w:cs="Times New Roman"/>
          <w:b/>
          <w:sz w:val="24"/>
          <w:szCs w:val="24"/>
          <w:lang w:val="en-GB" w:eastAsia="en-GB"/>
        </w:rPr>
      </w:pPr>
    </w:p>
    <w:p w14:paraId="5FCC8B7B" w14:textId="77777777" w:rsidR="007C4365" w:rsidRDefault="00E3017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14:paraId="450FC87F" w14:textId="77777777" w:rsidR="007C4365" w:rsidRDefault="00E30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findings have clearly indicated that the combined soil and </w:t>
      </w:r>
      <w:proofErr w:type="gramStart"/>
      <w:r>
        <w:rPr>
          <w:rFonts w:ascii="Times New Roman" w:hAnsi="Times New Roman" w:cs="Times New Roman"/>
          <w:sz w:val="24"/>
          <w:szCs w:val="24"/>
        </w:rPr>
        <w:t>foliar  application</w:t>
      </w:r>
      <w:proofErr w:type="gramEnd"/>
      <w:r>
        <w:rPr>
          <w:rFonts w:ascii="Times New Roman" w:hAnsi="Times New Roman" w:cs="Times New Roman"/>
          <w:sz w:val="24"/>
          <w:szCs w:val="24"/>
        </w:rPr>
        <w:t xml:space="preserve"> of NPK, boron and zinc at </w:t>
      </w:r>
      <w:r>
        <w:rPr>
          <w:rFonts w:ascii="Times New Roman" w:eastAsia="Times New Roman" w:hAnsi="Times New Roman" w:cs="Times New Roman"/>
          <w:sz w:val="24"/>
          <w:szCs w:val="24"/>
          <w:lang w:eastAsia="en-GB"/>
        </w:rPr>
        <w:t>RDF (150:100:100) + Combined application of boron foliar @0.5% and Zinc foliar @0.5%</w:t>
      </w:r>
      <w:r>
        <w:rPr>
          <w:rFonts w:ascii="Times New Roman" w:hAnsi="Times New Roman" w:cs="Times New Roman"/>
          <w:sz w:val="24"/>
          <w:szCs w:val="24"/>
        </w:rPr>
        <w:t xml:space="preserve"> may be suggested as the optimum level for improving growth, yield and quality of broccoli.</w:t>
      </w:r>
    </w:p>
    <w:p w14:paraId="74D15AB0" w14:textId="77777777" w:rsidR="00D345E6" w:rsidRDefault="00D345E6">
      <w:pPr>
        <w:spacing w:after="0" w:line="240" w:lineRule="auto"/>
        <w:jc w:val="both"/>
        <w:rPr>
          <w:rFonts w:ascii="Times New Roman" w:hAnsi="Times New Roman" w:cs="Times New Roman"/>
          <w:sz w:val="24"/>
          <w:szCs w:val="24"/>
        </w:rPr>
      </w:pPr>
    </w:p>
    <w:p w14:paraId="3BF67D7B" w14:textId="77777777" w:rsidR="00D345E6" w:rsidRDefault="00D345E6">
      <w:pPr>
        <w:spacing w:after="0" w:line="240" w:lineRule="auto"/>
        <w:jc w:val="both"/>
        <w:rPr>
          <w:rFonts w:ascii="Times New Roman" w:eastAsia="Times New Roman" w:hAnsi="Times New Roman" w:cs="Times New Roman"/>
          <w:b/>
          <w:bCs/>
          <w:sz w:val="24"/>
          <w:szCs w:val="24"/>
          <w:lang w:val="en-GB" w:eastAsia="en-GB"/>
        </w:rPr>
      </w:pPr>
    </w:p>
    <w:p w14:paraId="098B8FAD" w14:textId="77777777" w:rsidR="007C4365" w:rsidRDefault="00E3017B">
      <w:pPr>
        <w:spacing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REFERENCES </w:t>
      </w:r>
    </w:p>
    <w:p w14:paraId="4A1383AA"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Alam, M. N. (2007).</w:t>
      </w:r>
      <w:r>
        <w:rPr>
          <w:rFonts w:ascii="Times New Roman" w:hAnsi="Times New Roman" w:cs="Times New Roman"/>
          <w:sz w:val="24"/>
          <w:szCs w:val="24"/>
        </w:rPr>
        <w:t xml:space="preserve"> Effect of Boron Levels on Growth and Yield of Cabbage in Calcareous Soils of Bangladesh. Res. J of </w:t>
      </w:r>
      <w:proofErr w:type="spellStart"/>
      <w:r>
        <w:rPr>
          <w:rFonts w:ascii="Times New Roman" w:hAnsi="Times New Roman" w:cs="Times New Roman"/>
          <w:sz w:val="24"/>
          <w:szCs w:val="24"/>
        </w:rPr>
        <w:t>Agril</w:t>
      </w:r>
      <w:proofErr w:type="spellEnd"/>
      <w:r>
        <w:rPr>
          <w:rFonts w:ascii="Times New Roman" w:hAnsi="Times New Roman" w:cs="Times New Roman"/>
          <w:sz w:val="24"/>
          <w:szCs w:val="24"/>
        </w:rPr>
        <w:t>. and Bio. Sci. 2007;3(6):858-865.</w:t>
      </w:r>
    </w:p>
    <w:p w14:paraId="69AEE3DA" w14:textId="77777777"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Bose, T.K. (1993). </w:t>
      </w:r>
      <w:r>
        <w:rPr>
          <w:rFonts w:ascii="Times New Roman" w:hAnsi="Times New Roman" w:cs="Times New Roman"/>
          <w:sz w:val="26"/>
          <w:szCs w:val="26"/>
        </w:rPr>
        <w:t>Vegetable crops in India.</w:t>
      </w:r>
      <w:r>
        <w:rPr>
          <w:rFonts w:ascii="Times New Roman" w:hAnsi="Times New Roman" w:cs="Times New Roman"/>
          <w:b/>
          <w:bCs/>
          <w:sz w:val="26"/>
          <w:szCs w:val="26"/>
        </w:rPr>
        <w:t xml:space="preserve"> </w:t>
      </w:r>
      <w:r>
        <w:rPr>
          <w:rFonts w:ascii="Times New Roman" w:hAnsi="Times New Roman" w:cs="Times New Roman"/>
          <w:sz w:val="26"/>
          <w:szCs w:val="26"/>
        </w:rPr>
        <w:t xml:space="preserve">Department of Hort, BCKV, Kalyani, West Bengal. </w:t>
      </w:r>
    </w:p>
    <w:p w14:paraId="75680CE4" w14:textId="77777777" w:rsidR="007C4365" w:rsidRDefault="00E3017B">
      <w:pPr>
        <w:spacing w:before="120" w:after="120" w:line="240" w:lineRule="auto"/>
        <w:ind w:left="851" w:hangingChars="326" w:hanging="851"/>
        <w:jc w:val="both"/>
        <w:rPr>
          <w:rFonts w:ascii="Times New Roman" w:hAnsi="Times New Roman" w:cs="Times New Roman"/>
          <w:i/>
          <w:iCs/>
          <w:sz w:val="26"/>
          <w:szCs w:val="26"/>
        </w:rPr>
      </w:pPr>
      <w:proofErr w:type="spellStart"/>
      <w:proofErr w:type="gramStart"/>
      <w:r>
        <w:rPr>
          <w:rFonts w:ascii="Times New Roman" w:hAnsi="Times New Roman" w:cs="Times New Roman"/>
          <w:b/>
          <w:sz w:val="26"/>
          <w:szCs w:val="26"/>
        </w:rPr>
        <w:t>Browen,H.D</w:t>
      </w:r>
      <w:proofErr w:type="spellEnd"/>
      <w:r>
        <w:rPr>
          <w:rFonts w:ascii="Times New Roman" w:hAnsi="Times New Roman" w:cs="Times New Roman"/>
          <w:b/>
          <w:sz w:val="26"/>
          <w:szCs w:val="26"/>
        </w:rPr>
        <w:t>.</w:t>
      </w:r>
      <w:proofErr w:type="gramEnd"/>
      <w:r>
        <w:rPr>
          <w:rFonts w:ascii="Times New Roman" w:hAnsi="Times New Roman" w:cs="Times New Roman"/>
          <w:b/>
          <w:sz w:val="26"/>
          <w:szCs w:val="26"/>
        </w:rPr>
        <w:t xml:space="preserve"> and Hutchison, C.S. (1949).  </w:t>
      </w:r>
      <w:r>
        <w:rPr>
          <w:rFonts w:ascii="Times New Roman" w:hAnsi="Times New Roman" w:cs="Times New Roman"/>
          <w:sz w:val="26"/>
          <w:szCs w:val="26"/>
        </w:rPr>
        <w:t xml:space="preserve">Vegetable Sci. J.B. </w:t>
      </w:r>
      <w:proofErr w:type="spellStart"/>
      <w:r>
        <w:rPr>
          <w:rFonts w:ascii="Times New Roman" w:hAnsi="Times New Roman" w:cs="Times New Roman"/>
          <w:sz w:val="26"/>
          <w:szCs w:val="26"/>
        </w:rPr>
        <w:t>Lippinot</w:t>
      </w:r>
      <w:proofErr w:type="spellEnd"/>
      <w:r>
        <w:rPr>
          <w:rFonts w:ascii="Times New Roman" w:hAnsi="Times New Roman" w:cs="Times New Roman"/>
          <w:sz w:val="26"/>
          <w:szCs w:val="26"/>
        </w:rPr>
        <w:t xml:space="preserve"> Co., New York. pp 21-30.</w:t>
      </w:r>
    </w:p>
    <w:p w14:paraId="33C379D8"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 xml:space="preserve">Chowdhury, R.S.,   </w:t>
      </w:r>
      <w:proofErr w:type="gramStart"/>
      <w:r>
        <w:rPr>
          <w:rFonts w:ascii="Times New Roman" w:hAnsi="Times New Roman" w:cs="Times New Roman"/>
          <w:b/>
          <w:sz w:val="24"/>
          <w:szCs w:val="24"/>
          <w:shd w:val="clear" w:color="auto" w:fill="FFFFFF"/>
        </w:rPr>
        <w:t xml:space="preserve">Kumari,   </w:t>
      </w:r>
      <w:proofErr w:type="gramEnd"/>
      <w:r>
        <w:rPr>
          <w:rFonts w:ascii="Times New Roman" w:hAnsi="Times New Roman" w:cs="Times New Roman"/>
          <w:b/>
          <w:sz w:val="24"/>
          <w:szCs w:val="24"/>
          <w:shd w:val="clear" w:color="auto" w:fill="FFFFFF"/>
        </w:rPr>
        <w:t xml:space="preserve">M.,   </w:t>
      </w:r>
      <w:proofErr w:type="gramStart"/>
      <w:r>
        <w:rPr>
          <w:rFonts w:ascii="Times New Roman" w:hAnsi="Times New Roman" w:cs="Times New Roman"/>
          <w:b/>
          <w:sz w:val="24"/>
          <w:szCs w:val="24"/>
          <w:shd w:val="clear" w:color="auto" w:fill="FFFFFF"/>
        </w:rPr>
        <w:t xml:space="preserve">Jana,   </w:t>
      </w:r>
      <w:proofErr w:type="gramEnd"/>
      <w:r>
        <w:rPr>
          <w:rFonts w:ascii="Times New Roman" w:hAnsi="Times New Roman" w:cs="Times New Roman"/>
          <w:b/>
          <w:sz w:val="24"/>
          <w:szCs w:val="24"/>
          <w:shd w:val="clear" w:color="auto" w:fill="FFFFFF"/>
        </w:rPr>
        <w:t xml:space="preserve">J. C., </w:t>
      </w:r>
      <w:proofErr w:type="spellStart"/>
      <w:proofErr w:type="gramStart"/>
      <w:r>
        <w:rPr>
          <w:rFonts w:ascii="Times New Roman" w:hAnsi="Times New Roman" w:cs="Times New Roman"/>
          <w:b/>
          <w:sz w:val="24"/>
          <w:szCs w:val="24"/>
          <w:shd w:val="clear" w:color="auto" w:fill="FFFFFF"/>
        </w:rPr>
        <w:t>Basfore</w:t>
      </w:r>
      <w:proofErr w:type="spellEnd"/>
      <w:r>
        <w:rPr>
          <w:rFonts w:ascii="Times New Roman" w:hAnsi="Times New Roman" w:cs="Times New Roman"/>
          <w:b/>
          <w:sz w:val="24"/>
          <w:szCs w:val="24"/>
          <w:shd w:val="clear" w:color="auto" w:fill="FFFFFF"/>
        </w:rPr>
        <w:t>,  S.,  Sikder,  S.</w:t>
      </w:r>
      <w:proofErr w:type="gramEnd"/>
      <w:r>
        <w:rPr>
          <w:rFonts w:ascii="Times New Roman" w:hAnsi="Times New Roman" w:cs="Times New Roman"/>
          <w:b/>
          <w:sz w:val="24"/>
          <w:szCs w:val="24"/>
          <w:shd w:val="clear" w:color="auto" w:fill="FFFFFF"/>
        </w:rPr>
        <w:t xml:space="preserve"> (2019).</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Effect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lime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boron  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growth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yield  of</w:t>
      </w:r>
      <w:proofErr w:type="gramEnd"/>
      <w:r>
        <w:rPr>
          <w:rFonts w:ascii="Times New Roman" w:hAnsi="Times New Roman" w:cs="Times New Roman"/>
          <w:sz w:val="24"/>
          <w:szCs w:val="24"/>
          <w:shd w:val="clear" w:color="auto" w:fill="FFFFFF"/>
        </w:rPr>
        <w:t xml:space="preserve">  sprouting </w:t>
      </w:r>
      <w:proofErr w:type="gramStart"/>
      <w:r>
        <w:rPr>
          <w:rFonts w:ascii="Times New Roman" w:hAnsi="Times New Roman" w:cs="Times New Roman"/>
          <w:sz w:val="24"/>
          <w:szCs w:val="24"/>
          <w:shd w:val="clear" w:color="auto" w:fill="FFFFFF"/>
        </w:rPr>
        <w:t>broccoli  under</w:t>
      </w:r>
      <w:proofErr w:type="gramEnd"/>
      <w:r>
        <w:rPr>
          <w:rFonts w:ascii="Times New Roman" w:hAnsi="Times New Roman" w:cs="Times New Roman"/>
          <w:sz w:val="24"/>
          <w:szCs w:val="24"/>
          <w:shd w:val="clear" w:color="auto" w:fill="FFFFFF"/>
        </w:rPr>
        <w:t xml:space="preserve">  Sub-</w:t>
      </w:r>
      <w:proofErr w:type="gramStart"/>
      <w:r>
        <w:rPr>
          <w:rFonts w:ascii="Times New Roman" w:hAnsi="Times New Roman" w:cs="Times New Roman"/>
          <w:sz w:val="24"/>
          <w:szCs w:val="24"/>
          <w:shd w:val="clear" w:color="auto" w:fill="FFFFFF"/>
        </w:rPr>
        <w:t>Himalayan  foothills</w:t>
      </w:r>
      <w:proofErr w:type="gramEnd"/>
      <w:r>
        <w:rPr>
          <w:rFonts w:ascii="Times New Roman" w:hAnsi="Times New Roman" w:cs="Times New Roman"/>
          <w:sz w:val="24"/>
          <w:szCs w:val="24"/>
          <w:shd w:val="clear" w:color="auto" w:fill="FFFFFF"/>
        </w:rPr>
        <w:t xml:space="preserve">  of West Bengal, India. </w:t>
      </w:r>
      <w:r>
        <w:rPr>
          <w:rFonts w:ascii="Times New Roman" w:hAnsi="Times New Roman" w:cs="Times New Roman"/>
          <w:i/>
          <w:sz w:val="24"/>
          <w:szCs w:val="24"/>
          <w:shd w:val="clear" w:color="auto" w:fill="FFFFFF"/>
        </w:rPr>
        <w:t>International Journal of Current Microbiology and Applied Sciences.</w:t>
      </w:r>
      <w:r>
        <w:rPr>
          <w:rFonts w:ascii="Times New Roman" w:hAnsi="Times New Roman" w:cs="Times New Roman"/>
          <w:sz w:val="24"/>
          <w:szCs w:val="24"/>
          <w:shd w:val="clear" w:color="auto" w:fill="FFFFFF"/>
        </w:rPr>
        <w:t xml:space="preserve"> 8(01):2319-7706.</w:t>
      </w:r>
    </w:p>
    <w:p w14:paraId="6D26266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Decoteau, D. R. (2000).</w:t>
      </w:r>
      <w:r>
        <w:rPr>
          <w:rFonts w:ascii="Times New Roman" w:hAnsi="Times New Roman" w:cs="Times New Roman"/>
          <w:sz w:val="24"/>
          <w:szCs w:val="24"/>
        </w:rPr>
        <w:t xml:space="preserve"> Vegetable Crops. Prentice Hall, Upper Saddle River, New Jersey. 2000;10(3):464.</w:t>
      </w:r>
    </w:p>
    <w:p w14:paraId="6B9C8D44"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FAO Statistics (2021-2022).</w:t>
      </w:r>
      <w:r>
        <w:rPr>
          <w:rFonts w:ascii="Times New Roman" w:hAnsi="Times New Roman" w:cs="Times New Roman"/>
          <w:sz w:val="24"/>
          <w:szCs w:val="24"/>
        </w:rPr>
        <w:t xml:space="preserve"> World Food and Agriculture Statistical Year Book, c2022. Available from: https://www.fao.org. Accessed 2021-22.</w:t>
      </w:r>
    </w:p>
    <w:p w14:paraId="6FE4651C" w14:textId="77777777" w:rsidR="007C4365" w:rsidRDefault="00E3017B">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Lee, S. A., Jane, V., Higdon, Delage B., </w:t>
      </w:r>
      <w:proofErr w:type="spellStart"/>
      <w:proofErr w:type="gramStart"/>
      <w:r>
        <w:rPr>
          <w:rFonts w:ascii="Times New Roman" w:hAnsi="Times New Roman" w:cs="Times New Roman"/>
          <w:b/>
          <w:bCs/>
          <w:sz w:val="26"/>
          <w:szCs w:val="26"/>
        </w:rPr>
        <w:t>David,E</w:t>
      </w:r>
      <w:proofErr w:type="spellEnd"/>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Williams and Roderick, H. (2008). </w:t>
      </w:r>
      <w:r>
        <w:rPr>
          <w:rFonts w:ascii="Times New Roman" w:hAnsi="Times New Roman" w:cs="Times New Roman"/>
          <w:sz w:val="26"/>
          <w:szCs w:val="26"/>
        </w:rPr>
        <w:t xml:space="preserve">Cruciferous Vegetables and Human cancer risk: </w:t>
      </w:r>
      <w:proofErr w:type="spellStart"/>
      <w:r>
        <w:rPr>
          <w:rFonts w:ascii="Times New Roman" w:hAnsi="Times New Roman" w:cs="Times New Roman"/>
          <w:i/>
          <w:iCs/>
          <w:sz w:val="26"/>
          <w:szCs w:val="26"/>
        </w:rPr>
        <w:t>Epideologic</w:t>
      </w:r>
      <w:proofErr w:type="spellEnd"/>
      <w:r>
        <w:rPr>
          <w:rFonts w:ascii="Times New Roman" w:hAnsi="Times New Roman" w:cs="Times New Roman"/>
          <w:i/>
          <w:iCs/>
          <w:sz w:val="26"/>
          <w:szCs w:val="26"/>
        </w:rPr>
        <w:t xml:space="preserve"> Evidence and Mechanistic Basis.</w:t>
      </w:r>
      <w:r>
        <w:rPr>
          <w:rFonts w:ascii="Times New Roman" w:hAnsi="Times New Roman" w:cs="Times New Roman"/>
          <w:sz w:val="26"/>
          <w:szCs w:val="26"/>
        </w:rPr>
        <w:t xml:space="preserve"> </w:t>
      </w:r>
      <w:proofErr w:type="spellStart"/>
      <w:r>
        <w:rPr>
          <w:rFonts w:ascii="Times New Roman" w:hAnsi="Times New Roman" w:cs="Times New Roman"/>
          <w:i/>
          <w:iCs/>
          <w:sz w:val="26"/>
          <w:szCs w:val="26"/>
        </w:rPr>
        <w:t>Pharmacolres</w:t>
      </w:r>
      <w:proofErr w:type="spellEnd"/>
      <w:r>
        <w:rPr>
          <w:rFonts w:ascii="Times New Roman" w:hAnsi="Times New Roman" w:cs="Times New Roman"/>
          <w:i/>
          <w:iCs/>
          <w:sz w:val="26"/>
          <w:szCs w:val="26"/>
        </w:rPr>
        <w:t xml:space="preserve"> 2007 March; </w:t>
      </w:r>
      <w:r>
        <w:rPr>
          <w:rFonts w:ascii="Times New Roman" w:hAnsi="Times New Roman" w:cs="Times New Roman"/>
          <w:b/>
          <w:bCs/>
          <w:sz w:val="26"/>
          <w:szCs w:val="26"/>
        </w:rPr>
        <w:t>55</w:t>
      </w:r>
      <w:r>
        <w:rPr>
          <w:rFonts w:ascii="Times New Roman" w:hAnsi="Times New Roman" w:cs="Times New Roman"/>
          <w:sz w:val="26"/>
          <w:szCs w:val="26"/>
        </w:rPr>
        <w:t xml:space="preserve">(3): 224-236. </w:t>
      </w:r>
    </w:p>
    <w:p w14:paraId="2807C34F"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Mahmoud, S.H., Abd-Alrahman, H. A., Marzouk, N. M.</w:t>
      </w:r>
      <w:proofErr w:type="gramStart"/>
      <w:r>
        <w:rPr>
          <w:rFonts w:ascii="Times New Roman" w:hAnsi="Times New Roman" w:cs="Times New Roman"/>
          <w:b/>
          <w:sz w:val="24"/>
          <w:szCs w:val="24"/>
          <w:shd w:val="clear" w:color="auto" w:fill="FFFFFF"/>
        </w:rPr>
        <w:t>,  EL</w:t>
      </w:r>
      <w:proofErr w:type="gramEnd"/>
      <w:r>
        <w:rPr>
          <w:rFonts w:ascii="Times New Roman" w:hAnsi="Times New Roman" w:cs="Times New Roman"/>
          <w:b/>
          <w:sz w:val="24"/>
          <w:szCs w:val="24"/>
          <w:shd w:val="clear" w:color="auto" w:fill="FFFFFF"/>
        </w:rPr>
        <w:t>-</w:t>
      </w:r>
      <w:proofErr w:type="spellStart"/>
      <w:proofErr w:type="gramStart"/>
      <w:r>
        <w:rPr>
          <w:rFonts w:ascii="Times New Roman" w:hAnsi="Times New Roman" w:cs="Times New Roman"/>
          <w:b/>
          <w:sz w:val="24"/>
          <w:szCs w:val="24"/>
          <w:shd w:val="clear" w:color="auto" w:fill="FFFFFF"/>
        </w:rPr>
        <w:t>Tanahy</w:t>
      </w:r>
      <w:proofErr w:type="spellEnd"/>
      <w:r>
        <w:rPr>
          <w:rFonts w:ascii="Times New Roman" w:hAnsi="Times New Roman" w:cs="Times New Roman"/>
          <w:b/>
          <w:sz w:val="24"/>
          <w:szCs w:val="24"/>
          <w:shd w:val="clear" w:color="auto" w:fill="FFFFFF"/>
        </w:rPr>
        <w:t>,  A.M.M.</w:t>
      </w:r>
      <w:proofErr w:type="gramEnd"/>
      <w:r>
        <w:rPr>
          <w:rFonts w:ascii="Times New Roman" w:hAnsi="Times New Roman" w:cs="Times New Roman"/>
          <w:b/>
          <w:sz w:val="24"/>
          <w:szCs w:val="24"/>
          <w:shd w:val="clear" w:color="auto" w:fill="FFFFFF"/>
        </w:rPr>
        <w:t xml:space="preserve">  (2019). </w:t>
      </w:r>
      <w:proofErr w:type="gramStart"/>
      <w:r>
        <w:rPr>
          <w:rFonts w:ascii="Times New Roman" w:hAnsi="Times New Roman" w:cs="Times New Roman"/>
          <w:sz w:val="24"/>
          <w:szCs w:val="24"/>
          <w:shd w:val="clear" w:color="auto" w:fill="FFFFFF"/>
        </w:rPr>
        <w:t>Effect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boron foliar spray on growth, yield, quality, and   nutritional   value   of   broccoli   heads. </w:t>
      </w:r>
      <w:r>
        <w:rPr>
          <w:rFonts w:ascii="Times New Roman" w:hAnsi="Times New Roman" w:cs="Times New Roman"/>
          <w:i/>
          <w:sz w:val="24"/>
          <w:szCs w:val="24"/>
          <w:shd w:val="clear" w:color="auto" w:fill="FFFFFF"/>
        </w:rPr>
        <w:t>Plant Archives.</w:t>
      </w:r>
      <w:r>
        <w:rPr>
          <w:rFonts w:ascii="Times New Roman" w:hAnsi="Times New Roman" w:cs="Times New Roman"/>
          <w:sz w:val="24"/>
          <w:szCs w:val="24"/>
          <w:shd w:val="clear" w:color="auto" w:fill="FFFFFF"/>
        </w:rPr>
        <w:t xml:space="preserve"> 19(2):2138-2142. </w:t>
      </w:r>
    </w:p>
    <w:p w14:paraId="4CDC62F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Mondal, Shreya, and G. K. Ghosh. (2023).</w:t>
      </w:r>
      <w:r>
        <w:rPr>
          <w:rFonts w:ascii="Times New Roman" w:hAnsi="Times New Roman" w:cs="Times New Roman"/>
          <w:sz w:val="24"/>
          <w:szCs w:val="24"/>
          <w:shd w:val="clear" w:color="auto" w:fill="FFFFFF"/>
        </w:rPr>
        <w:t xml:space="preserve"> “Effect of Zinc and Boron on Yield, Quality and Nutritional Value of Broccoli Head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Var. Italica) With Different Application Methods in Red and Lateritic Soils of </w:t>
      </w:r>
      <w:r>
        <w:rPr>
          <w:rFonts w:ascii="Times New Roman" w:hAnsi="Times New Roman" w:cs="Times New Roman"/>
          <w:sz w:val="24"/>
          <w:szCs w:val="24"/>
          <w:shd w:val="clear" w:color="auto" w:fill="FFFFFF"/>
        </w:rPr>
        <w:lastRenderedPageBreak/>
        <w:t>Birbhum District, India”. </w:t>
      </w:r>
      <w:r>
        <w:rPr>
          <w:rFonts w:ascii="Times New Roman" w:hAnsi="Times New Roman" w:cs="Times New Roman"/>
          <w:i/>
          <w:iCs/>
          <w:sz w:val="24"/>
          <w:szCs w:val="24"/>
          <w:shd w:val="clear" w:color="auto" w:fill="FFFFFF"/>
        </w:rPr>
        <w:t>International Journal of Plant &amp; Soil Science</w:t>
      </w:r>
      <w:r>
        <w:rPr>
          <w:rFonts w:ascii="Times New Roman" w:hAnsi="Times New Roman" w:cs="Times New Roman"/>
          <w:sz w:val="24"/>
          <w:szCs w:val="24"/>
          <w:shd w:val="clear" w:color="auto" w:fill="FFFFFF"/>
        </w:rPr>
        <w:t> 35 (18):1132-41. </w:t>
      </w:r>
    </w:p>
    <w:p w14:paraId="3DCDC9EB" w14:textId="77777777" w:rsidR="007C4365" w:rsidRDefault="00E3017B">
      <w:pPr>
        <w:pStyle w:val="article-authors"/>
        <w:shd w:val="clear" w:color="auto" w:fill="FFFFFF"/>
        <w:spacing w:before="0" w:beforeAutospacing="0" w:after="0" w:afterAutospacing="0"/>
        <w:ind w:left="785" w:hangingChars="326" w:hanging="785"/>
        <w:jc w:val="both"/>
      </w:pPr>
      <w:r>
        <w:rPr>
          <w:b/>
        </w:rPr>
        <w:t>Muhammad, B., Muhammad, F., Ahmed, S., Naila, I., Khan, I., Abdul, S., Ahmed, I., Khan, S. S. and Khan, I. (2018).</w:t>
      </w:r>
      <w:r>
        <w:t xml:space="preserve"> Influence of Sulfur and Boron on the growth and yield of Broccoli. </w:t>
      </w:r>
      <w:r>
        <w:rPr>
          <w:i/>
        </w:rPr>
        <w:t xml:space="preserve">International Journal of Environmental &amp; Agriculture </w:t>
      </w:r>
      <w:proofErr w:type="gramStart"/>
      <w:r>
        <w:rPr>
          <w:i/>
        </w:rPr>
        <w:t>Research</w:t>
      </w:r>
      <w:r>
        <w:t xml:space="preserve">  4</w:t>
      </w:r>
      <w:proofErr w:type="gramEnd"/>
      <w:r>
        <w:t xml:space="preserve">(4).  </w:t>
      </w:r>
    </w:p>
    <w:p w14:paraId="1AC7FF96"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Naher, M.N.A., Alam, M.N. and Jahan, N. (2014).</w:t>
      </w:r>
      <w:r>
        <w:rPr>
          <w:rFonts w:ascii="Times New Roman" w:hAnsi="Times New Roman" w:cs="Times New Roman"/>
          <w:sz w:val="24"/>
          <w:szCs w:val="24"/>
        </w:rPr>
        <w:t xml:space="preserve"> Effect of nutrient management on the Growth and yield of cabbage (</w:t>
      </w:r>
      <w:r>
        <w:rPr>
          <w:rFonts w:ascii="Times New Roman" w:hAnsi="Times New Roman" w:cs="Times New Roman"/>
          <w:i/>
          <w:sz w:val="24"/>
          <w:szCs w:val="24"/>
        </w:rPr>
        <w:t>Brassica oleracea</w:t>
      </w:r>
      <w:r>
        <w:rPr>
          <w:rFonts w:ascii="Times New Roman" w:hAnsi="Times New Roman" w:cs="Times New Roman"/>
          <w:sz w:val="24"/>
          <w:szCs w:val="24"/>
        </w:rPr>
        <w:t xml:space="preserve"> var. capitata L.) in calcareous soils of Bangladesh. </w:t>
      </w:r>
      <w:r>
        <w:rPr>
          <w:rFonts w:ascii="Times New Roman" w:hAnsi="Times New Roman" w:cs="Times New Roman"/>
          <w:i/>
          <w:sz w:val="24"/>
          <w:szCs w:val="24"/>
        </w:rPr>
        <w:t>Sci. J of Krishi foundation.</w:t>
      </w:r>
      <w:r>
        <w:rPr>
          <w:rFonts w:ascii="Times New Roman" w:hAnsi="Times New Roman" w:cs="Times New Roman"/>
          <w:sz w:val="24"/>
          <w:szCs w:val="24"/>
        </w:rPr>
        <w:t xml:space="preserve"> 12(2):24- 33.</w:t>
      </w:r>
    </w:p>
    <w:p w14:paraId="05A4CE59"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proofErr w:type="gramStart"/>
      <w:r>
        <w:rPr>
          <w:rFonts w:ascii="Times New Roman" w:hAnsi="Times New Roman" w:cs="Times New Roman"/>
          <w:b/>
          <w:sz w:val="24"/>
          <w:szCs w:val="24"/>
          <w:shd w:val="clear" w:color="auto" w:fill="FFFFFF"/>
        </w:rPr>
        <w:t>Parmar,  V.</w:t>
      </w:r>
      <w:proofErr w:type="gramEnd"/>
      <w:r>
        <w:rPr>
          <w:rFonts w:ascii="Times New Roman" w:hAnsi="Times New Roman" w:cs="Times New Roman"/>
          <w:b/>
          <w:sz w:val="24"/>
          <w:szCs w:val="24"/>
          <w:shd w:val="clear" w:color="auto" w:fill="FFFFFF"/>
        </w:rPr>
        <w:t xml:space="preserve"> K.</w:t>
      </w:r>
      <w:proofErr w:type="gramStart"/>
      <w:r>
        <w:rPr>
          <w:rFonts w:ascii="Times New Roman" w:hAnsi="Times New Roman" w:cs="Times New Roman"/>
          <w:b/>
          <w:sz w:val="24"/>
          <w:szCs w:val="24"/>
          <w:shd w:val="clear" w:color="auto" w:fill="FFFFFF"/>
        </w:rPr>
        <w:t>,  Piyush</w:t>
      </w:r>
      <w:proofErr w:type="gramEnd"/>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sz w:val="24"/>
          <w:szCs w:val="24"/>
          <w:shd w:val="clear" w:color="auto" w:fill="FFFFFF"/>
        </w:rPr>
        <w:t>V,  Mori,  C.</w:t>
      </w:r>
      <w:proofErr w:type="gramEnd"/>
      <w:r>
        <w:rPr>
          <w:rFonts w:ascii="Times New Roman" w:hAnsi="Times New Roman" w:cs="Times New Roman"/>
          <w:b/>
          <w:sz w:val="24"/>
          <w:szCs w:val="24"/>
          <w:shd w:val="clear" w:color="auto" w:fill="FFFFFF"/>
        </w:rPr>
        <w:t xml:space="preserve"> V. (2023).</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Effect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different  micronutrients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and  their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methods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application  on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growth,  yield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and  quality</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of  broccoli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i/>
          <w:sz w:val="24"/>
          <w:szCs w:val="24"/>
          <w:shd w:val="clear" w:color="auto" w:fill="FFFFFF"/>
        </w:rPr>
        <w:t xml:space="preserve">Brassica  </w:t>
      </w:r>
      <w:proofErr w:type="spellStart"/>
      <w:r>
        <w:rPr>
          <w:rFonts w:ascii="Times New Roman" w:hAnsi="Times New Roman" w:cs="Times New Roman"/>
          <w:i/>
          <w:sz w:val="24"/>
          <w:szCs w:val="24"/>
          <w:shd w:val="clear" w:color="auto" w:fill="FFFFFF"/>
        </w:rPr>
        <w:t>oleraceavar</w:t>
      </w:r>
      <w:proofErr w:type="spellEnd"/>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italica)   </w:t>
      </w:r>
      <w:proofErr w:type="gramEnd"/>
      <w:r>
        <w:rPr>
          <w:rFonts w:ascii="Times New Roman" w:hAnsi="Times New Roman" w:cs="Times New Roman"/>
          <w:sz w:val="24"/>
          <w:szCs w:val="24"/>
          <w:shd w:val="clear" w:color="auto" w:fill="FFFFFF"/>
        </w:rPr>
        <w:t xml:space="preserve">cv.   Palam   Samridhi.   </w:t>
      </w:r>
      <w:r>
        <w:rPr>
          <w:rFonts w:ascii="Times New Roman" w:hAnsi="Times New Roman" w:cs="Times New Roman"/>
          <w:i/>
          <w:sz w:val="24"/>
          <w:szCs w:val="24"/>
          <w:shd w:val="clear" w:color="auto" w:fill="FFFFFF"/>
        </w:rPr>
        <w:t>The Pharma   Innovation   Journal.</w:t>
      </w:r>
      <w:r>
        <w:rPr>
          <w:rFonts w:ascii="Times New Roman" w:hAnsi="Times New Roman" w:cs="Times New Roman"/>
          <w:sz w:val="24"/>
          <w:szCs w:val="24"/>
          <w:shd w:val="clear" w:color="auto" w:fill="FFFFFF"/>
        </w:rPr>
        <w:t xml:space="preserve">   2023;12(2): 2421-2429.</w:t>
      </w:r>
    </w:p>
    <w:p w14:paraId="1E8CF04B"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proofErr w:type="gramStart"/>
      <w:r>
        <w:rPr>
          <w:rFonts w:ascii="Times New Roman" w:hAnsi="Times New Roman" w:cs="Times New Roman"/>
          <w:b/>
          <w:sz w:val="24"/>
          <w:szCs w:val="24"/>
          <w:shd w:val="clear" w:color="auto" w:fill="FFFFFF"/>
        </w:rPr>
        <w:t xml:space="preserve">Prasad,  P.N.S.,  </w:t>
      </w:r>
      <w:proofErr w:type="spellStart"/>
      <w:r>
        <w:rPr>
          <w:rFonts w:ascii="Times New Roman" w:hAnsi="Times New Roman" w:cs="Times New Roman"/>
          <w:b/>
          <w:sz w:val="24"/>
          <w:szCs w:val="24"/>
          <w:shd w:val="clear" w:color="auto" w:fill="FFFFFF"/>
        </w:rPr>
        <w:t>Subbarayappa</w:t>
      </w:r>
      <w:proofErr w:type="spellEnd"/>
      <w:r>
        <w:rPr>
          <w:rFonts w:ascii="Times New Roman" w:hAnsi="Times New Roman" w:cs="Times New Roman"/>
          <w:b/>
          <w:sz w:val="24"/>
          <w:szCs w:val="24"/>
          <w:shd w:val="clear" w:color="auto" w:fill="FFFFFF"/>
        </w:rPr>
        <w:t>,  C.T.,  Sathish</w:t>
      </w:r>
      <w:proofErr w:type="gramEnd"/>
      <w:r>
        <w:rPr>
          <w:rFonts w:ascii="Times New Roman" w:hAnsi="Times New Roman" w:cs="Times New Roman"/>
          <w:b/>
          <w:sz w:val="24"/>
          <w:szCs w:val="24"/>
          <w:shd w:val="clear" w:color="auto" w:fill="FFFFFF"/>
        </w:rPr>
        <w:t xml:space="preserve">, A.,    </w:t>
      </w:r>
      <w:proofErr w:type="gramStart"/>
      <w:r>
        <w:rPr>
          <w:rFonts w:ascii="Times New Roman" w:hAnsi="Times New Roman" w:cs="Times New Roman"/>
          <w:b/>
          <w:sz w:val="24"/>
          <w:szCs w:val="24"/>
          <w:shd w:val="clear" w:color="auto" w:fill="FFFFFF"/>
        </w:rPr>
        <w:t xml:space="preserve">Ramamurthy,   </w:t>
      </w:r>
      <w:proofErr w:type="gramEnd"/>
      <w:r>
        <w:rPr>
          <w:rFonts w:ascii="Times New Roman" w:hAnsi="Times New Roman" w:cs="Times New Roman"/>
          <w:b/>
          <w:sz w:val="24"/>
          <w:szCs w:val="24"/>
          <w:shd w:val="clear" w:color="auto" w:fill="FFFFFF"/>
        </w:rPr>
        <w:t xml:space="preserve"> V. (2021).</w:t>
      </w:r>
      <w:r>
        <w:rPr>
          <w:rFonts w:ascii="Times New Roman" w:hAnsi="Times New Roman" w:cs="Times New Roman"/>
          <w:sz w:val="24"/>
          <w:szCs w:val="24"/>
          <w:shd w:val="clear" w:color="auto" w:fill="FFFFFF"/>
        </w:rPr>
        <w:t xml:space="preserve">    Impact    of    Zinc Fertilization on Tomato (</w:t>
      </w:r>
      <w:r>
        <w:rPr>
          <w:rFonts w:ascii="Times New Roman" w:hAnsi="Times New Roman" w:cs="Times New Roman"/>
          <w:i/>
          <w:sz w:val="24"/>
          <w:szCs w:val="24"/>
          <w:shd w:val="clear" w:color="auto" w:fill="FFFFFF"/>
        </w:rPr>
        <w:t xml:space="preserve">Solanum </w:t>
      </w:r>
      <w:proofErr w:type="spellStart"/>
      <w:r>
        <w:rPr>
          <w:rFonts w:ascii="Times New Roman" w:hAnsi="Times New Roman" w:cs="Times New Roman"/>
          <w:i/>
          <w:sz w:val="24"/>
          <w:szCs w:val="24"/>
          <w:shd w:val="clear" w:color="auto" w:fill="FFFFFF"/>
        </w:rPr>
        <w:t>lycopersicum</w:t>
      </w:r>
      <w:proofErr w:type="spellEnd"/>
      <w:r>
        <w:rPr>
          <w:rFonts w:ascii="Times New Roman" w:hAnsi="Times New Roman" w:cs="Times New Roman"/>
          <w:sz w:val="24"/>
          <w:szCs w:val="24"/>
          <w:shd w:val="clear" w:color="auto" w:fill="FFFFFF"/>
        </w:rPr>
        <w:t xml:space="preserve"> L.) Yield, Zinc use Efficiency, Growth and Quality Parameters in Eastern </w:t>
      </w:r>
      <w:proofErr w:type="gramStart"/>
      <w:r>
        <w:rPr>
          <w:rFonts w:ascii="Times New Roman" w:hAnsi="Times New Roman" w:cs="Times New Roman"/>
          <w:sz w:val="24"/>
          <w:szCs w:val="24"/>
          <w:shd w:val="clear" w:color="auto" w:fill="FFFFFF"/>
        </w:rPr>
        <w:t>Dry  Zone</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EDZ)  Soils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of  Karnataka,  India</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International    Journal    of    Plant    &amp;    Soil Science.</w:t>
      </w:r>
      <w:r>
        <w:rPr>
          <w:rFonts w:ascii="Times New Roman" w:hAnsi="Times New Roman" w:cs="Times New Roman"/>
          <w:sz w:val="24"/>
          <w:szCs w:val="24"/>
          <w:shd w:val="clear" w:color="auto" w:fill="FFFFFF"/>
        </w:rPr>
        <w:t xml:space="preserve"> 33(7):20-38. </w:t>
      </w:r>
    </w:p>
    <w:p w14:paraId="1FEB3D6C" w14:textId="77777777" w:rsidR="007C4365" w:rsidRDefault="00E3017B">
      <w:pPr>
        <w:spacing w:after="0" w:line="240" w:lineRule="auto"/>
        <w:ind w:left="785" w:hangingChars="326" w:hanging="785"/>
        <w:jc w:val="both"/>
        <w:rPr>
          <w:rFonts w:ascii="Times New Roman" w:hAnsi="Times New Roman" w:cs="Times New Roman"/>
          <w:sz w:val="24"/>
          <w:szCs w:val="24"/>
          <w:lang w:val="en-GB"/>
        </w:rPr>
      </w:pPr>
      <w:proofErr w:type="spellStart"/>
      <w:proofErr w:type="gramStart"/>
      <w:r>
        <w:rPr>
          <w:rFonts w:ascii="Times New Roman" w:hAnsi="Times New Roman" w:cs="Times New Roman"/>
          <w:b/>
          <w:sz w:val="24"/>
          <w:szCs w:val="24"/>
          <w:shd w:val="clear" w:color="auto" w:fill="FFFFFF"/>
        </w:rPr>
        <w:t>Quratul</w:t>
      </w:r>
      <w:proofErr w:type="spellEnd"/>
      <w:r>
        <w:rPr>
          <w:rFonts w:ascii="Times New Roman" w:hAnsi="Times New Roman" w:cs="Times New Roman"/>
          <w:b/>
          <w:sz w:val="24"/>
          <w:szCs w:val="24"/>
          <w:shd w:val="clear" w:color="auto" w:fill="FFFFFF"/>
        </w:rPr>
        <w:t xml:space="preserve">,   </w:t>
      </w:r>
      <w:proofErr w:type="gramEnd"/>
      <w:r>
        <w:rPr>
          <w:rFonts w:ascii="Times New Roman" w:hAnsi="Times New Roman" w:cs="Times New Roman"/>
          <w:b/>
          <w:sz w:val="24"/>
          <w:szCs w:val="24"/>
          <w:shd w:val="clear" w:color="auto" w:fill="FFFFFF"/>
        </w:rPr>
        <w:t xml:space="preserve">A.,   </w:t>
      </w:r>
      <w:proofErr w:type="gramStart"/>
      <w:r>
        <w:rPr>
          <w:rFonts w:ascii="Times New Roman" w:hAnsi="Times New Roman" w:cs="Times New Roman"/>
          <w:b/>
          <w:sz w:val="24"/>
          <w:szCs w:val="24"/>
          <w:shd w:val="clear" w:color="auto" w:fill="FFFFFF"/>
        </w:rPr>
        <w:t xml:space="preserve">Gohar,   </w:t>
      </w:r>
      <w:proofErr w:type="gramEnd"/>
      <w:r>
        <w:rPr>
          <w:rFonts w:ascii="Times New Roman" w:hAnsi="Times New Roman" w:cs="Times New Roman"/>
          <w:b/>
          <w:sz w:val="24"/>
          <w:szCs w:val="24"/>
          <w:shd w:val="clear" w:color="auto" w:fill="FFFFFF"/>
        </w:rPr>
        <w:t xml:space="preserve">A.,   Mohammad, I.,    Ahmad, M.,   Begum, F. AND </w:t>
      </w:r>
      <w:proofErr w:type="gramStart"/>
      <w:r>
        <w:rPr>
          <w:rFonts w:ascii="Times New Roman" w:hAnsi="Times New Roman" w:cs="Times New Roman"/>
          <w:b/>
          <w:sz w:val="24"/>
          <w:szCs w:val="24"/>
          <w:shd w:val="clear" w:color="auto" w:fill="FFFFFF"/>
        </w:rPr>
        <w:t>Luqman,  A.</w:t>
      </w:r>
      <w:proofErr w:type="gramEnd"/>
      <w:r>
        <w:rPr>
          <w:rFonts w:ascii="Times New Roman" w:hAnsi="Times New Roman" w:cs="Times New Roman"/>
          <w:b/>
          <w:sz w:val="24"/>
          <w:szCs w:val="24"/>
          <w:shd w:val="clear" w:color="auto" w:fill="FFFFFF"/>
        </w:rPr>
        <w:t xml:space="preserve"> S.  (2021).</w:t>
      </w:r>
      <w:r>
        <w:rPr>
          <w:rFonts w:ascii="Times New Roman" w:hAnsi="Times New Roman" w:cs="Times New Roman"/>
          <w:sz w:val="24"/>
          <w:szCs w:val="24"/>
          <w:shd w:val="clear" w:color="auto" w:fill="FFFFFF"/>
        </w:rPr>
        <w:t xml:space="preserve"> Response </w:t>
      </w:r>
      <w:proofErr w:type="gramStart"/>
      <w:r>
        <w:rPr>
          <w:rFonts w:ascii="Times New Roman" w:hAnsi="Times New Roman" w:cs="Times New Roman"/>
          <w:sz w:val="24"/>
          <w:szCs w:val="24"/>
          <w:shd w:val="clear" w:color="auto" w:fill="FFFFFF"/>
        </w:rPr>
        <w:t>of  broccoli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to  foliar</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application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zinc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boron  concentrations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i/>
          <w:sz w:val="24"/>
          <w:szCs w:val="24"/>
          <w:shd w:val="clear" w:color="auto" w:fill="FFFFFF"/>
        </w:rPr>
        <w:t>Pure  and</w:t>
      </w:r>
      <w:proofErr w:type="gramEnd"/>
      <w:r>
        <w:rPr>
          <w:rFonts w:ascii="Times New Roman" w:hAnsi="Times New Roman" w:cs="Times New Roman"/>
          <w:i/>
          <w:sz w:val="24"/>
          <w:szCs w:val="24"/>
          <w:shd w:val="clear" w:color="auto" w:fill="FFFFFF"/>
        </w:rPr>
        <w:t xml:space="preserve">  Applied Biology.</w:t>
      </w:r>
      <w:r>
        <w:rPr>
          <w:rFonts w:ascii="Times New Roman" w:hAnsi="Times New Roman" w:cs="Times New Roman"/>
          <w:sz w:val="24"/>
          <w:szCs w:val="24"/>
          <w:shd w:val="clear" w:color="auto" w:fill="FFFFFF"/>
        </w:rPr>
        <w:t xml:space="preserve"> 5(4):841-846.</w:t>
      </w:r>
    </w:p>
    <w:p w14:paraId="1EA01959"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 xml:space="preserve">Saha, P., </w:t>
      </w:r>
      <w:proofErr w:type="spellStart"/>
      <w:r>
        <w:rPr>
          <w:rFonts w:ascii="Times New Roman" w:hAnsi="Times New Roman" w:cs="Times New Roman"/>
          <w:b/>
          <w:sz w:val="24"/>
          <w:szCs w:val="24"/>
        </w:rPr>
        <w:t>Ranidas</w:t>
      </w:r>
      <w:proofErr w:type="spellEnd"/>
      <w:r>
        <w:rPr>
          <w:rFonts w:ascii="Times New Roman" w:hAnsi="Times New Roman" w:cs="Times New Roman"/>
          <w:b/>
          <w:sz w:val="24"/>
          <w:szCs w:val="24"/>
        </w:rPr>
        <w:t>, N., Chatterjee, R. (2010).</w:t>
      </w:r>
      <w:r>
        <w:rPr>
          <w:rFonts w:ascii="Times New Roman" w:hAnsi="Times New Roman" w:cs="Times New Roman"/>
          <w:sz w:val="24"/>
          <w:szCs w:val="24"/>
        </w:rPr>
        <w:t xml:space="preserve"> Boron and molybdenum nutrition IN sprouting broccoli under terai of West Bengal. </w:t>
      </w:r>
      <w:r>
        <w:rPr>
          <w:rFonts w:ascii="Times New Roman" w:hAnsi="Times New Roman" w:cs="Times New Roman"/>
          <w:i/>
          <w:sz w:val="24"/>
          <w:szCs w:val="24"/>
        </w:rPr>
        <w:t>As. J of Hort.</w:t>
      </w:r>
      <w:r>
        <w:rPr>
          <w:rFonts w:ascii="Times New Roman" w:hAnsi="Times New Roman" w:cs="Times New Roman"/>
          <w:sz w:val="24"/>
          <w:szCs w:val="24"/>
        </w:rPr>
        <w:t xml:space="preserve"> 5(2):353-355.</w:t>
      </w:r>
    </w:p>
    <w:p w14:paraId="7EF93F40"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Sidhu. G. S. </w:t>
      </w:r>
      <w:proofErr w:type="gramStart"/>
      <w:r>
        <w:rPr>
          <w:rFonts w:ascii="Times New Roman" w:hAnsi="Times New Roman" w:cs="Times New Roman"/>
          <w:b/>
          <w:sz w:val="24"/>
          <w:szCs w:val="24"/>
          <w:shd w:val="clear" w:color="auto" w:fill="FFFFFF"/>
        </w:rPr>
        <w:t>and  Kaur,  H.</w:t>
      </w:r>
      <w:proofErr w:type="gramEnd"/>
      <w:r>
        <w:rPr>
          <w:rFonts w:ascii="Times New Roman" w:hAnsi="Times New Roman" w:cs="Times New Roman"/>
          <w:b/>
          <w:sz w:val="24"/>
          <w:szCs w:val="24"/>
          <w:shd w:val="clear" w:color="auto" w:fill="FFFFFF"/>
        </w:rPr>
        <w:t xml:space="preserve"> (2022).  </w:t>
      </w:r>
      <w:proofErr w:type="gramStart"/>
      <w:r>
        <w:rPr>
          <w:rFonts w:ascii="Times New Roman" w:hAnsi="Times New Roman" w:cs="Times New Roman"/>
          <w:sz w:val="24"/>
          <w:szCs w:val="24"/>
          <w:shd w:val="clear" w:color="auto" w:fill="FFFFFF"/>
        </w:rPr>
        <w:t>Growth  and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yield  of</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broccoli  (</w:t>
      </w:r>
      <w:r>
        <w:rPr>
          <w:rFonts w:ascii="Times New Roman" w:hAnsi="Times New Roman" w:cs="Times New Roman"/>
          <w:i/>
          <w:sz w:val="24"/>
          <w:szCs w:val="24"/>
          <w:shd w:val="clear" w:color="auto" w:fill="FFFFFF"/>
        </w:rPr>
        <w:t>Brassica  oleracea</w:t>
      </w:r>
      <w:proofErr w:type="gramEnd"/>
      <w:r>
        <w:rPr>
          <w:rFonts w:ascii="Times New Roman" w:hAnsi="Times New Roman" w:cs="Times New Roman"/>
          <w:sz w:val="24"/>
          <w:szCs w:val="24"/>
          <w:shd w:val="clear" w:color="auto" w:fill="FFFFFF"/>
        </w:rPr>
        <w:t xml:space="preserve"> L.  var.  italica) </w:t>
      </w:r>
      <w:proofErr w:type="gramStart"/>
      <w:r>
        <w:rPr>
          <w:rFonts w:ascii="Times New Roman" w:hAnsi="Times New Roman" w:cs="Times New Roman"/>
          <w:sz w:val="24"/>
          <w:szCs w:val="24"/>
          <w:shd w:val="clear" w:color="auto" w:fill="FFFFFF"/>
        </w:rPr>
        <w:t>as  influenced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by  different</w:t>
      </w:r>
      <w:proofErr w:type="gramEnd"/>
      <w:r>
        <w:rPr>
          <w:rFonts w:ascii="Times New Roman" w:hAnsi="Times New Roman" w:cs="Times New Roman"/>
          <w:sz w:val="24"/>
          <w:szCs w:val="24"/>
          <w:shd w:val="clear" w:color="auto" w:fill="FFFFFF"/>
        </w:rPr>
        <w:t xml:space="preserve">  micronutrients </w:t>
      </w:r>
      <w:proofErr w:type="gramStart"/>
      <w:r>
        <w:rPr>
          <w:rFonts w:ascii="Times New Roman" w:hAnsi="Times New Roman" w:cs="Times New Roman"/>
          <w:sz w:val="24"/>
          <w:szCs w:val="24"/>
          <w:shd w:val="clear" w:color="auto" w:fill="FFFFFF"/>
        </w:rPr>
        <w:t>under  open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field  conditions</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i/>
          <w:sz w:val="24"/>
          <w:szCs w:val="24"/>
          <w:shd w:val="clear" w:color="auto" w:fill="FFFFFF"/>
        </w:rPr>
        <w:t>The  Pharma</w:t>
      </w:r>
      <w:proofErr w:type="gramEnd"/>
      <w:r>
        <w:rPr>
          <w:rFonts w:ascii="Times New Roman" w:hAnsi="Times New Roman" w:cs="Times New Roman"/>
          <w:i/>
          <w:sz w:val="24"/>
          <w:szCs w:val="24"/>
          <w:shd w:val="clear" w:color="auto" w:fill="FFFFFF"/>
        </w:rPr>
        <w:t xml:space="preserve"> Innovation     </w:t>
      </w:r>
      <w:proofErr w:type="gramStart"/>
      <w:r>
        <w:rPr>
          <w:rFonts w:ascii="Times New Roman" w:hAnsi="Times New Roman" w:cs="Times New Roman"/>
          <w:i/>
          <w:sz w:val="24"/>
          <w:szCs w:val="24"/>
          <w:shd w:val="clear" w:color="auto" w:fill="FFFFFF"/>
        </w:rPr>
        <w:t>Journal,</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11(11):1547-1549.</w:t>
      </w:r>
    </w:p>
    <w:p w14:paraId="3AFC64E0" w14:textId="77777777" w:rsidR="007C4365" w:rsidRDefault="00E3017B">
      <w:pPr>
        <w:spacing w:after="0" w:line="240" w:lineRule="auto"/>
        <w:ind w:left="785" w:hangingChars="326" w:hanging="785"/>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lang w:val="en-GB" w:eastAsia="en-GB"/>
        </w:rPr>
        <w:t xml:space="preserve">Singh,   </w:t>
      </w:r>
      <w:proofErr w:type="gramEnd"/>
      <w:r>
        <w:rPr>
          <w:rFonts w:ascii="Times New Roman" w:eastAsia="Times New Roman" w:hAnsi="Times New Roman" w:cs="Times New Roman"/>
          <w:b/>
          <w:sz w:val="24"/>
          <w:szCs w:val="24"/>
          <w:lang w:val="en-GB" w:eastAsia="en-GB"/>
        </w:rPr>
        <w:t xml:space="preserve"> G.,    </w:t>
      </w:r>
      <w:proofErr w:type="gramStart"/>
      <w:r>
        <w:rPr>
          <w:rFonts w:ascii="Times New Roman" w:eastAsia="Times New Roman" w:hAnsi="Times New Roman" w:cs="Times New Roman"/>
          <w:b/>
          <w:sz w:val="24"/>
          <w:szCs w:val="24"/>
          <w:lang w:val="en-GB" w:eastAsia="en-GB"/>
        </w:rPr>
        <w:t xml:space="preserve">Sarvanan,   </w:t>
      </w:r>
      <w:proofErr w:type="gramEnd"/>
      <w:r>
        <w:rPr>
          <w:rFonts w:ascii="Times New Roman" w:eastAsia="Times New Roman" w:hAnsi="Times New Roman" w:cs="Times New Roman"/>
          <w:b/>
          <w:sz w:val="24"/>
          <w:szCs w:val="24"/>
          <w:lang w:val="en-GB" w:eastAsia="en-GB"/>
        </w:rPr>
        <w:t xml:space="preserve"> S.,    </w:t>
      </w:r>
      <w:proofErr w:type="gramStart"/>
      <w:r>
        <w:rPr>
          <w:rFonts w:ascii="Times New Roman" w:eastAsia="Times New Roman" w:hAnsi="Times New Roman" w:cs="Times New Roman"/>
          <w:b/>
          <w:sz w:val="24"/>
          <w:szCs w:val="24"/>
          <w:lang w:val="en-GB" w:eastAsia="en-GB"/>
        </w:rPr>
        <w:t xml:space="preserve">Rajawat,   </w:t>
      </w:r>
      <w:proofErr w:type="gramEnd"/>
      <w:r>
        <w:rPr>
          <w:rFonts w:ascii="Times New Roman" w:eastAsia="Times New Roman" w:hAnsi="Times New Roman" w:cs="Times New Roman"/>
          <w:b/>
          <w:sz w:val="24"/>
          <w:szCs w:val="24"/>
          <w:lang w:val="en-GB" w:eastAsia="en-GB"/>
        </w:rPr>
        <w:t xml:space="preserve"> K. S., </w:t>
      </w:r>
      <w:proofErr w:type="gramStart"/>
      <w:r>
        <w:rPr>
          <w:rFonts w:ascii="Times New Roman" w:eastAsia="Times New Roman" w:hAnsi="Times New Roman" w:cs="Times New Roman"/>
          <w:b/>
          <w:sz w:val="24"/>
          <w:szCs w:val="24"/>
          <w:lang w:val="en-GB" w:eastAsia="en-GB"/>
        </w:rPr>
        <w:t xml:space="preserve">Rathore,   </w:t>
      </w:r>
      <w:proofErr w:type="gramEnd"/>
      <w:r>
        <w:rPr>
          <w:rFonts w:ascii="Times New Roman" w:eastAsia="Times New Roman" w:hAnsi="Times New Roman" w:cs="Times New Roman"/>
          <w:b/>
          <w:sz w:val="24"/>
          <w:szCs w:val="24"/>
          <w:lang w:val="en-GB" w:eastAsia="en-GB"/>
        </w:rPr>
        <w:t>J. S.,   Singh, G. (2017).</w:t>
      </w:r>
      <w:r>
        <w:rPr>
          <w:rFonts w:ascii="Times New Roman" w:eastAsia="Times New Roman" w:hAnsi="Times New Roman" w:cs="Times New Roman"/>
          <w:sz w:val="24"/>
          <w:szCs w:val="24"/>
          <w:lang w:val="en-GB" w:eastAsia="en-GB"/>
        </w:rPr>
        <w:t xml:space="preserve">   Effect   of Different   Micronutrients   on   </w:t>
      </w:r>
      <w:proofErr w:type="spellStart"/>
      <w:r>
        <w:rPr>
          <w:rFonts w:ascii="Times New Roman" w:eastAsia="Times New Roman" w:hAnsi="Times New Roman" w:cs="Times New Roman"/>
          <w:sz w:val="24"/>
          <w:szCs w:val="24"/>
          <w:lang w:val="en-GB" w:eastAsia="en-GB"/>
        </w:rPr>
        <w:t>PlantGrowth</w:t>
      </w:r>
      <w:proofErr w:type="spell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Yield  and</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Flower  Bud</w:t>
      </w:r>
      <w:proofErr w:type="gramEnd"/>
      <w:r>
        <w:rPr>
          <w:rFonts w:ascii="Times New Roman" w:eastAsia="Times New Roman" w:hAnsi="Times New Roman" w:cs="Times New Roman"/>
          <w:sz w:val="24"/>
          <w:szCs w:val="24"/>
          <w:lang w:val="en-GB" w:eastAsia="en-GB"/>
        </w:rPr>
        <w:t xml:space="preserve">  </w:t>
      </w:r>
      <w:proofErr w:type="gramStart"/>
      <w:r>
        <w:rPr>
          <w:rFonts w:ascii="Times New Roman" w:eastAsia="Times New Roman" w:hAnsi="Times New Roman" w:cs="Times New Roman"/>
          <w:sz w:val="24"/>
          <w:szCs w:val="24"/>
          <w:lang w:val="en-GB" w:eastAsia="en-GB"/>
        </w:rPr>
        <w:t>Quality  of</w:t>
      </w:r>
      <w:proofErr w:type="gramEnd"/>
      <w:r>
        <w:rPr>
          <w:rFonts w:ascii="Times New Roman" w:eastAsia="Times New Roman" w:hAnsi="Times New Roman" w:cs="Times New Roman"/>
          <w:sz w:val="24"/>
          <w:szCs w:val="24"/>
          <w:lang w:val="en-GB" w:eastAsia="en-GB"/>
        </w:rPr>
        <w:t xml:space="preserve">  Broccoli (</w:t>
      </w:r>
      <w:proofErr w:type="gramStart"/>
      <w:r>
        <w:rPr>
          <w:rFonts w:ascii="Times New Roman" w:eastAsia="Times New Roman" w:hAnsi="Times New Roman" w:cs="Times New Roman"/>
          <w:i/>
          <w:sz w:val="24"/>
          <w:szCs w:val="24"/>
          <w:lang w:val="en-GB" w:eastAsia="en-GB"/>
        </w:rPr>
        <w:t>Brassica  oleracea</w:t>
      </w:r>
      <w:proofErr w:type="gramEnd"/>
      <w:r>
        <w:rPr>
          <w:rFonts w:ascii="Times New Roman" w:eastAsia="Times New Roman" w:hAnsi="Times New Roman" w:cs="Times New Roman"/>
          <w:sz w:val="24"/>
          <w:szCs w:val="24"/>
          <w:lang w:val="en-GB" w:eastAsia="en-GB"/>
        </w:rPr>
        <w:t xml:space="preserve"> Var.  Italica</w:t>
      </w:r>
      <w:proofErr w:type="gramStart"/>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i/>
          <w:sz w:val="24"/>
          <w:szCs w:val="24"/>
          <w:lang w:val="en-GB" w:eastAsia="en-GB"/>
        </w:rPr>
        <w:t>Current</w:t>
      </w:r>
      <w:proofErr w:type="gramEnd"/>
      <w:r>
        <w:rPr>
          <w:rFonts w:ascii="Times New Roman" w:eastAsia="Times New Roman" w:hAnsi="Times New Roman" w:cs="Times New Roman"/>
          <w:i/>
          <w:sz w:val="24"/>
          <w:szCs w:val="24"/>
          <w:lang w:val="en-GB" w:eastAsia="en-GB"/>
        </w:rPr>
        <w:t xml:space="preserve"> </w:t>
      </w:r>
      <w:proofErr w:type="gramStart"/>
      <w:r>
        <w:rPr>
          <w:rFonts w:ascii="Times New Roman" w:hAnsi="Times New Roman" w:cs="Times New Roman"/>
          <w:i/>
          <w:sz w:val="24"/>
          <w:szCs w:val="24"/>
          <w:shd w:val="clear" w:color="auto" w:fill="FFFFFF"/>
        </w:rPr>
        <w:t>Agriculture  Research</w:t>
      </w:r>
      <w:proofErr w:type="gramEnd"/>
      <w:r>
        <w:rPr>
          <w:rFonts w:ascii="Times New Roman" w:hAnsi="Times New Roman" w:cs="Times New Roman"/>
          <w:i/>
          <w:sz w:val="24"/>
          <w:szCs w:val="24"/>
          <w:shd w:val="clear" w:color="auto" w:fill="FFFFFF"/>
        </w:rPr>
        <w:t xml:space="preserve">  Journal.</w:t>
      </w:r>
      <w:r>
        <w:rPr>
          <w:rFonts w:ascii="Times New Roman" w:hAnsi="Times New Roman" w:cs="Times New Roman"/>
          <w:sz w:val="24"/>
          <w:szCs w:val="24"/>
          <w:shd w:val="clear" w:color="auto" w:fill="FFFFFF"/>
        </w:rPr>
        <w:t xml:space="preserve">  5(1): 108-115.</w:t>
      </w:r>
    </w:p>
    <w:p w14:paraId="7FB6AB21"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Singh, M. K., Chand, T. and Singh, K. V. (2015).</w:t>
      </w:r>
      <w:r>
        <w:rPr>
          <w:rFonts w:ascii="Times New Roman" w:hAnsi="Times New Roman" w:cs="Times New Roman"/>
          <w:sz w:val="24"/>
          <w:szCs w:val="24"/>
        </w:rPr>
        <w:t xml:space="preserve"> Responses of different doses of NPK and boron on growth and yield of broccoli. </w:t>
      </w:r>
      <w:r>
        <w:rPr>
          <w:rFonts w:ascii="Times New Roman" w:hAnsi="Times New Roman" w:cs="Times New Roman"/>
          <w:i/>
          <w:sz w:val="24"/>
          <w:szCs w:val="24"/>
        </w:rPr>
        <w:t>Int. J of Bio-resource and stress management.</w:t>
      </w:r>
      <w:r>
        <w:rPr>
          <w:rFonts w:ascii="Times New Roman" w:hAnsi="Times New Roman" w:cs="Times New Roman"/>
          <w:sz w:val="24"/>
          <w:szCs w:val="24"/>
        </w:rPr>
        <w:t xml:space="preserve"> 6(1):108-112</w:t>
      </w:r>
    </w:p>
    <w:p w14:paraId="1DD01550" w14:textId="77777777" w:rsidR="007C4365" w:rsidRDefault="00E3017B">
      <w:pPr>
        <w:spacing w:after="0" w:line="240" w:lineRule="auto"/>
        <w:ind w:left="785" w:hangingChars="326" w:hanging="785"/>
        <w:jc w:val="both"/>
        <w:rPr>
          <w:rFonts w:ascii="Times New Roman" w:hAnsi="Times New Roman" w:cs="Times New Roman"/>
          <w:sz w:val="24"/>
          <w:szCs w:val="24"/>
        </w:rPr>
      </w:pPr>
      <w:proofErr w:type="spellStart"/>
      <w:r>
        <w:rPr>
          <w:rFonts w:ascii="Times New Roman" w:hAnsi="Times New Roman" w:cs="Times New Roman"/>
          <w:b/>
          <w:sz w:val="24"/>
          <w:szCs w:val="24"/>
        </w:rPr>
        <w:t>Thamburaj</w:t>
      </w:r>
      <w:proofErr w:type="spellEnd"/>
      <w:r>
        <w:rPr>
          <w:rFonts w:ascii="Times New Roman" w:hAnsi="Times New Roman" w:cs="Times New Roman"/>
          <w:b/>
          <w:sz w:val="24"/>
          <w:szCs w:val="24"/>
        </w:rPr>
        <w:t>, S. and Singh, N. (2003)</w:t>
      </w:r>
      <w:r>
        <w:rPr>
          <w:rFonts w:ascii="Times New Roman" w:hAnsi="Times New Roman" w:cs="Times New Roman"/>
          <w:sz w:val="24"/>
          <w:szCs w:val="24"/>
        </w:rPr>
        <w:t xml:space="preserve"> Textbook of Vegetables, Tuber Crops and Spices: ICAR New Delhi, 2003, 136-137.</w:t>
      </w:r>
    </w:p>
    <w:p w14:paraId="52CE6F82" w14:textId="77777777" w:rsidR="007C4365" w:rsidRDefault="00E3017B">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Yasir, E. M., Ahmed, A.M. Osman, M. A. M. and Tarig, E. A. S. (2016).</w:t>
      </w:r>
      <w:r>
        <w:rPr>
          <w:rFonts w:ascii="Times New Roman" w:hAnsi="Times New Roman" w:cs="Times New Roman"/>
          <w:sz w:val="24"/>
          <w:szCs w:val="24"/>
        </w:rPr>
        <w:t xml:space="preserve"> Effect of NPK micro doses fertilizer on leaf area, leaf area index and pods and hay yield of six genotypes of groundnut-north Kordofan state Sudan. </w:t>
      </w:r>
      <w:r>
        <w:rPr>
          <w:rFonts w:ascii="Times New Roman" w:hAnsi="Times New Roman" w:cs="Times New Roman"/>
          <w:i/>
          <w:sz w:val="24"/>
          <w:szCs w:val="24"/>
        </w:rPr>
        <w:t>Int. J of Sci. &amp; Tech. Res.</w:t>
      </w:r>
      <w:r>
        <w:rPr>
          <w:rFonts w:ascii="Times New Roman" w:hAnsi="Times New Roman" w:cs="Times New Roman"/>
          <w:sz w:val="24"/>
          <w:szCs w:val="24"/>
        </w:rPr>
        <w:t xml:space="preserve"> 5(5):2277-8616.</w:t>
      </w:r>
    </w:p>
    <w:p w14:paraId="5498B913" w14:textId="77777777" w:rsidR="007C4365" w:rsidRDefault="007C4365">
      <w:pPr>
        <w:spacing w:line="360" w:lineRule="auto"/>
        <w:jc w:val="both"/>
        <w:rPr>
          <w:rFonts w:ascii="Times New Roman" w:eastAsia="Times New Roman" w:hAnsi="Times New Roman" w:cs="Times New Roman"/>
          <w:b/>
          <w:bCs/>
          <w:sz w:val="24"/>
          <w:szCs w:val="24"/>
          <w:lang w:val="en-GB" w:eastAsia="en-GB"/>
        </w:rPr>
      </w:pPr>
    </w:p>
    <w:p w14:paraId="0200E87F" w14:textId="77777777" w:rsidR="007C4365" w:rsidRDefault="007C4365">
      <w:pPr>
        <w:spacing w:line="360" w:lineRule="auto"/>
        <w:jc w:val="both"/>
        <w:rPr>
          <w:rFonts w:ascii="Times New Roman" w:eastAsia="Times New Roman" w:hAnsi="Times New Roman" w:cs="Times New Roman"/>
          <w:b/>
          <w:bCs/>
          <w:sz w:val="24"/>
          <w:szCs w:val="24"/>
          <w:lang w:val="en-GB" w:eastAsia="en-GB"/>
        </w:rPr>
        <w:sectPr w:rsidR="007C43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77E3F466" w14:textId="77777777"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Table 1:</w:t>
      </w:r>
      <w:r>
        <w:rPr>
          <w:rFonts w:ascii="Times New Roman" w:hAnsi="Times New Roman" w:cs="Times New Roman"/>
          <w:b/>
          <w:sz w:val="24"/>
          <w:szCs w:val="24"/>
        </w:rPr>
        <w:t xml:space="preserve"> Effect of zinc and boron on the yield and quality traits 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agro</w:t>
      </w:r>
      <w:proofErr w:type="spellEnd"/>
      <w:r>
        <w:rPr>
          <w:rFonts w:ascii="Times New Roman" w:hAnsi="Times New Roman" w:cs="Times New Roman"/>
          <w:b/>
          <w:sz w:val="24"/>
          <w:szCs w:val="24"/>
        </w:rPr>
        <w:t xml:space="preserve">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Brassica oleracea L. var. Italica)</w:t>
      </w:r>
    </w:p>
    <w:tbl>
      <w:tblPr>
        <w:tblpPr w:leftFromText="180" w:rightFromText="180" w:vertAnchor="text" w:tblpY="1"/>
        <w:tblOverlap w:val="never"/>
        <w:tblW w:w="15030" w:type="dxa"/>
        <w:tblLayout w:type="fixed"/>
        <w:tblLook w:val="04A0" w:firstRow="1" w:lastRow="0" w:firstColumn="1" w:lastColumn="0" w:noHBand="0" w:noVBand="1"/>
      </w:tblPr>
      <w:tblGrid>
        <w:gridCol w:w="1056"/>
        <w:gridCol w:w="2074"/>
        <w:gridCol w:w="1036"/>
        <w:gridCol w:w="1038"/>
        <w:gridCol w:w="1210"/>
        <w:gridCol w:w="1038"/>
        <w:gridCol w:w="1036"/>
        <w:gridCol w:w="1203"/>
        <w:gridCol w:w="814"/>
        <w:gridCol w:w="1134"/>
        <w:gridCol w:w="850"/>
        <w:gridCol w:w="851"/>
        <w:gridCol w:w="788"/>
        <w:gridCol w:w="902"/>
      </w:tblGrid>
      <w:tr w:rsidR="007C4365" w14:paraId="7D5229B4" w14:textId="77777777">
        <w:trPr>
          <w:trHeight w:val="185"/>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9F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6B5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43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C9D4E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41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F8814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Number of leaves per plant</w:t>
            </w:r>
          </w:p>
        </w:tc>
        <w:tc>
          <w:tcPr>
            <w:tcW w:w="33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84237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spread (cm)</w:t>
            </w:r>
          </w:p>
        </w:tc>
      </w:tr>
      <w:tr w:rsidR="007C4365" w14:paraId="3D47B8DC" w14:textId="77777777">
        <w:trPr>
          <w:trHeight w:val="370"/>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5416E08A"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CB0FB9B"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1036" w:type="dxa"/>
            <w:tcBorders>
              <w:top w:val="nil"/>
              <w:left w:val="nil"/>
              <w:bottom w:val="single" w:sz="4" w:space="0" w:color="auto"/>
              <w:right w:val="single" w:sz="4" w:space="0" w:color="auto"/>
            </w:tcBorders>
            <w:shd w:val="clear" w:color="auto" w:fill="auto"/>
            <w:noWrap/>
            <w:vAlign w:val="center"/>
            <w:hideMark/>
          </w:tcPr>
          <w:p w14:paraId="7CB12B3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038" w:type="dxa"/>
            <w:tcBorders>
              <w:top w:val="nil"/>
              <w:left w:val="nil"/>
              <w:bottom w:val="single" w:sz="4" w:space="0" w:color="auto"/>
              <w:right w:val="single" w:sz="4" w:space="0" w:color="auto"/>
            </w:tcBorders>
            <w:shd w:val="clear" w:color="auto" w:fill="auto"/>
            <w:noWrap/>
            <w:vAlign w:val="center"/>
            <w:hideMark/>
          </w:tcPr>
          <w:p w14:paraId="33D4E3B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1210" w:type="dxa"/>
            <w:tcBorders>
              <w:top w:val="nil"/>
              <w:left w:val="nil"/>
              <w:bottom w:val="single" w:sz="4" w:space="0" w:color="auto"/>
              <w:right w:val="single" w:sz="4" w:space="0" w:color="auto"/>
            </w:tcBorders>
            <w:shd w:val="clear" w:color="auto" w:fill="auto"/>
            <w:noWrap/>
            <w:vAlign w:val="center"/>
            <w:hideMark/>
          </w:tcPr>
          <w:p w14:paraId="093160A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6562A88"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036" w:type="dxa"/>
            <w:tcBorders>
              <w:top w:val="nil"/>
              <w:left w:val="nil"/>
              <w:bottom w:val="single" w:sz="4" w:space="0" w:color="auto"/>
              <w:right w:val="single" w:sz="4" w:space="0" w:color="auto"/>
            </w:tcBorders>
            <w:shd w:val="clear" w:color="auto" w:fill="auto"/>
            <w:vAlign w:val="center"/>
          </w:tcPr>
          <w:p w14:paraId="72AA75E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203" w:type="dxa"/>
            <w:tcBorders>
              <w:top w:val="nil"/>
              <w:left w:val="nil"/>
              <w:bottom w:val="single" w:sz="4" w:space="0" w:color="auto"/>
              <w:right w:val="single" w:sz="4" w:space="0" w:color="auto"/>
            </w:tcBorders>
            <w:shd w:val="clear" w:color="auto" w:fill="auto"/>
            <w:vAlign w:val="center"/>
          </w:tcPr>
          <w:p w14:paraId="1079F83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14" w:type="dxa"/>
            <w:tcBorders>
              <w:top w:val="nil"/>
              <w:left w:val="nil"/>
              <w:bottom w:val="single" w:sz="4" w:space="0" w:color="auto"/>
              <w:right w:val="single" w:sz="4" w:space="0" w:color="auto"/>
            </w:tcBorders>
            <w:shd w:val="clear" w:color="auto" w:fill="auto"/>
            <w:vAlign w:val="center"/>
          </w:tcPr>
          <w:p w14:paraId="3234DD0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134" w:type="dxa"/>
            <w:tcBorders>
              <w:top w:val="nil"/>
              <w:left w:val="nil"/>
              <w:bottom w:val="single" w:sz="4" w:space="0" w:color="auto"/>
              <w:right w:val="single" w:sz="4" w:space="0" w:color="auto"/>
            </w:tcBorders>
            <w:shd w:val="clear" w:color="auto" w:fill="auto"/>
            <w:vAlign w:val="center"/>
          </w:tcPr>
          <w:p w14:paraId="311131F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single" w:sz="4" w:space="0" w:color="auto"/>
              <w:left w:val="nil"/>
              <w:bottom w:val="single" w:sz="4" w:space="0" w:color="auto"/>
              <w:right w:val="single" w:sz="4" w:space="0" w:color="auto"/>
            </w:tcBorders>
            <w:shd w:val="clear" w:color="auto" w:fill="auto"/>
            <w:vAlign w:val="center"/>
          </w:tcPr>
          <w:p w14:paraId="7BB675F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D88F8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788" w:type="dxa"/>
            <w:tcBorders>
              <w:top w:val="single" w:sz="4" w:space="0" w:color="auto"/>
              <w:left w:val="nil"/>
              <w:bottom w:val="single" w:sz="4" w:space="0" w:color="auto"/>
              <w:right w:val="single" w:sz="4" w:space="0" w:color="auto"/>
            </w:tcBorders>
            <w:shd w:val="clear" w:color="auto" w:fill="auto"/>
            <w:vAlign w:val="center"/>
          </w:tcPr>
          <w:p w14:paraId="0C05E44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902" w:type="dxa"/>
            <w:tcBorders>
              <w:top w:val="single" w:sz="4" w:space="0" w:color="auto"/>
              <w:left w:val="nil"/>
              <w:bottom w:val="single" w:sz="4" w:space="0" w:color="auto"/>
              <w:right w:val="single" w:sz="4" w:space="0" w:color="auto"/>
            </w:tcBorders>
            <w:shd w:val="clear" w:color="auto" w:fill="auto"/>
            <w:vAlign w:val="center"/>
          </w:tcPr>
          <w:p w14:paraId="5912B21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r>
      <w:tr w:rsidR="007C4365" w14:paraId="0EFB97A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8B9DD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074" w:type="dxa"/>
            <w:tcBorders>
              <w:top w:val="nil"/>
              <w:left w:val="nil"/>
              <w:bottom w:val="single" w:sz="4" w:space="0" w:color="auto"/>
              <w:right w:val="single" w:sz="4" w:space="0" w:color="auto"/>
            </w:tcBorders>
            <w:shd w:val="clear" w:color="auto" w:fill="auto"/>
            <w:noWrap/>
            <w:vAlign w:val="bottom"/>
            <w:hideMark/>
          </w:tcPr>
          <w:p w14:paraId="1E33641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036" w:type="dxa"/>
            <w:tcBorders>
              <w:top w:val="nil"/>
              <w:left w:val="nil"/>
              <w:bottom w:val="single" w:sz="4" w:space="0" w:color="auto"/>
              <w:right w:val="single" w:sz="4" w:space="0" w:color="auto"/>
            </w:tcBorders>
            <w:shd w:val="clear" w:color="auto" w:fill="auto"/>
            <w:noWrap/>
            <w:vAlign w:val="bottom"/>
            <w:hideMark/>
          </w:tcPr>
          <w:p w14:paraId="3493095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w:t>
            </w:r>
          </w:p>
        </w:tc>
        <w:tc>
          <w:tcPr>
            <w:tcW w:w="1038" w:type="dxa"/>
            <w:tcBorders>
              <w:top w:val="nil"/>
              <w:left w:val="nil"/>
              <w:bottom w:val="single" w:sz="4" w:space="0" w:color="auto"/>
              <w:right w:val="single" w:sz="4" w:space="0" w:color="auto"/>
            </w:tcBorders>
            <w:shd w:val="clear" w:color="auto" w:fill="auto"/>
            <w:noWrap/>
            <w:vAlign w:val="bottom"/>
            <w:hideMark/>
          </w:tcPr>
          <w:p w14:paraId="07DB142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26.27</w:t>
            </w:r>
          </w:p>
        </w:tc>
        <w:tc>
          <w:tcPr>
            <w:tcW w:w="1210" w:type="dxa"/>
            <w:tcBorders>
              <w:top w:val="nil"/>
              <w:left w:val="nil"/>
              <w:bottom w:val="single" w:sz="4" w:space="0" w:color="auto"/>
              <w:right w:val="single" w:sz="4" w:space="0" w:color="auto"/>
            </w:tcBorders>
            <w:shd w:val="clear" w:color="auto" w:fill="auto"/>
            <w:noWrap/>
            <w:vAlign w:val="bottom"/>
            <w:hideMark/>
          </w:tcPr>
          <w:p w14:paraId="7AA198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36.17</w:t>
            </w:r>
          </w:p>
        </w:tc>
        <w:tc>
          <w:tcPr>
            <w:tcW w:w="1038" w:type="dxa"/>
            <w:tcBorders>
              <w:top w:val="nil"/>
              <w:left w:val="nil"/>
              <w:bottom w:val="single" w:sz="4" w:space="0" w:color="auto"/>
              <w:right w:val="single" w:sz="4" w:space="0" w:color="auto"/>
            </w:tcBorders>
            <w:shd w:val="clear" w:color="auto" w:fill="auto"/>
            <w:noWrap/>
            <w:vAlign w:val="bottom"/>
            <w:hideMark/>
          </w:tcPr>
          <w:p w14:paraId="2459C46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40.67</w:t>
            </w:r>
          </w:p>
        </w:tc>
        <w:tc>
          <w:tcPr>
            <w:tcW w:w="1036" w:type="dxa"/>
            <w:tcBorders>
              <w:top w:val="nil"/>
              <w:left w:val="nil"/>
              <w:bottom w:val="single" w:sz="4" w:space="0" w:color="auto"/>
              <w:right w:val="single" w:sz="4" w:space="0" w:color="auto"/>
            </w:tcBorders>
            <w:shd w:val="clear" w:color="auto" w:fill="auto"/>
            <w:vAlign w:val="bottom"/>
          </w:tcPr>
          <w:p w14:paraId="22D0B3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4.25</w:t>
            </w:r>
          </w:p>
        </w:tc>
        <w:tc>
          <w:tcPr>
            <w:tcW w:w="1203" w:type="dxa"/>
            <w:tcBorders>
              <w:top w:val="nil"/>
              <w:left w:val="nil"/>
              <w:bottom w:val="single" w:sz="4" w:space="0" w:color="auto"/>
              <w:right w:val="single" w:sz="4" w:space="0" w:color="auto"/>
            </w:tcBorders>
            <w:shd w:val="clear" w:color="auto" w:fill="auto"/>
            <w:vAlign w:val="bottom"/>
          </w:tcPr>
          <w:p w14:paraId="3B8EC08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8.78</w:t>
            </w:r>
          </w:p>
        </w:tc>
        <w:tc>
          <w:tcPr>
            <w:tcW w:w="814" w:type="dxa"/>
            <w:tcBorders>
              <w:top w:val="nil"/>
              <w:left w:val="nil"/>
              <w:bottom w:val="single" w:sz="4" w:space="0" w:color="auto"/>
              <w:right w:val="single" w:sz="4" w:space="0" w:color="auto"/>
            </w:tcBorders>
            <w:shd w:val="clear" w:color="auto" w:fill="auto"/>
            <w:vAlign w:val="bottom"/>
          </w:tcPr>
          <w:p w14:paraId="6E7BC01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18.28</w:t>
            </w:r>
          </w:p>
        </w:tc>
        <w:tc>
          <w:tcPr>
            <w:tcW w:w="1134" w:type="dxa"/>
            <w:tcBorders>
              <w:top w:val="nil"/>
              <w:left w:val="nil"/>
              <w:bottom w:val="single" w:sz="4" w:space="0" w:color="auto"/>
              <w:right w:val="single" w:sz="4" w:space="0" w:color="auto"/>
            </w:tcBorders>
            <w:shd w:val="clear" w:color="auto" w:fill="auto"/>
            <w:vAlign w:val="bottom"/>
          </w:tcPr>
          <w:p w14:paraId="1C8551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27.14</w:t>
            </w:r>
          </w:p>
        </w:tc>
        <w:tc>
          <w:tcPr>
            <w:tcW w:w="850" w:type="dxa"/>
            <w:tcBorders>
              <w:top w:val="nil"/>
              <w:left w:val="nil"/>
              <w:bottom w:val="single" w:sz="4" w:space="0" w:color="auto"/>
              <w:right w:val="single" w:sz="4" w:space="0" w:color="auto"/>
            </w:tcBorders>
            <w:shd w:val="clear" w:color="auto" w:fill="auto"/>
            <w:vAlign w:val="bottom"/>
          </w:tcPr>
          <w:p w14:paraId="4194943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14.03</w:t>
            </w:r>
          </w:p>
        </w:tc>
        <w:tc>
          <w:tcPr>
            <w:tcW w:w="851" w:type="dxa"/>
            <w:tcBorders>
              <w:top w:val="nil"/>
              <w:left w:val="nil"/>
              <w:bottom w:val="single" w:sz="4" w:space="0" w:color="auto"/>
              <w:right w:val="single" w:sz="4" w:space="0" w:color="auto"/>
            </w:tcBorders>
            <w:shd w:val="clear" w:color="auto" w:fill="auto"/>
            <w:vAlign w:val="bottom"/>
          </w:tcPr>
          <w:p w14:paraId="7C06A6F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31.46</w:t>
            </w:r>
          </w:p>
        </w:tc>
        <w:tc>
          <w:tcPr>
            <w:tcW w:w="788" w:type="dxa"/>
            <w:tcBorders>
              <w:top w:val="nil"/>
              <w:left w:val="nil"/>
              <w:bottom w:val="single" w:sz="4" w:space="0" w:color="auto"/>
              <w:right w:val="single" w:sz="4" w:space="0" w:color="auto"/>
            </w:tcBorders>
            <w:shd w:val="clear" w:color="auto" w:fill="auto"/>
            <w:vAlign w:val="bottom"/>
          </w:tcPr>
          <w:p w14:paraId="264154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46.67</w:t>
            </w:r>
          </w:p>
        </w:tc>
        <w:tc>
          <w:tcPr>
            <w:tcW w:w="902" w:type="dxa"/>
            <w:tcBorders>
              <w:top w:val="nil"/>
              <w:left w:val="nil"/>
              <w:bottom w:val="single" w:sz="4" w:space="0" w:color="auto"/>
              <w:right w:val="single" w:sz="4" w:space="0" w:color="auto"/>
            </w:tcBorders>
            <w:shd w:val="clear" w:color="auto" w:fill="auto"/>
            <w:vAlign w:val="bottom"/>
          </w:tcPr>
          <w:p w14:paraId="334591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57.11</w:t>
            </w:r>
          </w:p>
        </w:tc>
      </w:tr>
      <w:tr w:rsidR="007C4365" w14:paraId="66743913"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64F491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074" w:type="dxa"/>
            <w:tcBorders>
              <w:top w:val="nil"/>
              <w:left w:val="nil"/>
              <w:bottom w:val="single" w:sz="4" w:space="0" w:color="auto"/>
              <w:right w:val="single" w:sz="4" w:space="0" w:color="auto"/>
            </w:tcBorders>
            <w:shd w:val="clear" w:color="auto" w:fill="auto"/>
            <w:noWrap/>
            <w:vAlign w:val="bottom"/>
            <w:hideMark/>
          </w:tcPr>
          <w:p w14:paraId="158DBD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036" w:type="dxa"/>
            <w:tcBorders>
              <w:top w:val="nil"/>
              <w:left w:val="nil"/>
              <w:bottom w:val="single" w:sz="4" w:space="0" w:color="auto"/>
              <w:right w:val="single" w:sz="4" w:space="0" w:color="auto"/>
            </w:tcBorders>
            <w:shd w:val="clear" w:color="auto" w:fill="auto"/>
            <w:noWrap/>
            <w:vAlign w:val="bottom"/>
            <w:hideMark/>
          </w:tcPr>
          <w:p w14:paraId="79AECA3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15.57</w:t>
            </w:r>
          </w:p>
        </w:tc>
        <w:tc>
          <w:tcPr>
            <w:tcW w:w="1038" w:type="dxa"/>
            <w:tcBorders>
              <w:top w:val="nil"/>
              <w:left w:val="nil"/>
              <w:bottom w:val="single" w:sz="4" w:space="0" w:color="auto"/>
              <w:right w:val="single" w:sz="4" w:space="0" w:color="auto"/>
            </w:tcBorders>
            <w:shd w:val="clear" w:color="auto" w:fill="auto"/>
            <w:noWrap/>
            <w:vAlign w:val="bottom"/>
            <w:hideMark/>
          </w:tcPr>
          <w:p w14:paraId="41910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33.26</w:t>
            </w:r>
          </w:p>
        </w:tc>
        <w:tc>
          <w:tcPr>
            <w:tcW w:w="1210" w:type="dxa"/>
            <w:tcBorders>
              <w:top w:val="nil"/>
              <w:left w:val="nil"/>
              <w:bottom w:val="single" w:sz="4" w:space="0" w:color="auto"/>
              <w:right w:val="single" w:sz="4" w:space="0" w:color="auto"/>
            </w:tcBorders>
            <w:shd w:val="clear" w:color="auto" w:fill="auto"/>
            <w:noWrap/>
            <w:vAlign w:val="bottom"/>
            <w:hideMark/>
          </w:tcPr>
          <w:p w14:paraId="75161C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42.74</w:t>
            </w:r>
          </w:p>
        </w:tc>
        <w:tc>
          <w:tcPr>
            <w:tcW w:w="1038" w:type="dxa"/>
            <w:tcBorders>
              <w:top w:val="nil"/>
              <w:left w:val="nil"/>
              <w:bottom w:val="single" w:sz="4" w:space="0" w:color="auto"/>
              <w:right w:val="single" w:sz="4" w:space="0" w:color="auto"/>
            </w:tcBorders>
            <w:shd w:val="clear" w:color="auto" w:fill="auto"/>
            <w:noWrap/>
            <w:vAlign w:val="bottom"/>
            <w:hideMark/>
          </w:tcPr>
          <w:p w14:paraId="6C43EBF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50.44</w:t>
            </w:r>
          </w:p>
        </w:tc>
        <w:tc>
          <w:tcPr>
            <w:tcW w:w="1036" w:type="dxa"/>
            <w:tcBorders>
              <w:top w:val="nil"/>
              <w:left w:val="nil"/>
              <w:bottom w:val="single" w:sz="4" w:space="0" w:color="auto"/>
              <w:right w:val="single" w:sz="4" w:space="0" w:color="auto"/>
            </w:tcBorders>
            <w:shd w:val="clear" w:color="auto" w:fill="auto"/>
            <w:vAlign w:val="bottom"/>
          </w:tcPr>
          <w:p w14:paraId="04C0929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5.28</w:t>
            </w:r>
          </w:p>
        </w:tc>
        <w:tc>
          <w:tcPr>
            <w:tcW w:w="1203" w:type="dxa"/>
            <w:tcBorders>
              <w:top w:val="nil"/>
              <w:left w:val="nil"/>
              <w:bottom w:val="single" w:sz="4" w:space="0" w:color="auto"/>
              <w:right w:val="single" w:sz="4" w:space="0" w:color="auto"/>
            </w:tcBorders>
            <w:shd w:val="clear" w:color="auto" w:fill="auto"/>
            <w:vAlign w:val="bottom"/>
          </w:tcPr>
          <w:p w14:paraId="6AC46A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11.17</w:t>
            </w:r>
          </w:p>
        </w:tc>
        <w:tc>
          <w:tcPr>
            <w:tcW w:w="814" w:type="dxa"/>
            <w:tcBorders>
              <w:top w:val="nil"/>
              <w:left w:val="nil"/>
              <w:bottom w:val="single" w:sz="4" w:space="0" w:color="auto"/>
              <w:right w:val="single" w:sz="4" w:space="0" w:color="auto"/>
            </w:tcBorders>
            <w:shd w:val="clear" w:color="auto" w:fill="auto"/>
            <w:vAlign w:val="bottom"/>
          </w:tcPr>
          <w:p w14:paraId="0C2F9FD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24.05</w:t>
            </w:r>
          </w:p>
        </w:tc>
        <w:tc>
          <w:tcPr>
            <w:tcW w:w="1134" w:type="dxa"/>
            <w:tcBorders>
              <w:top w:val="nil"/>
              <w:left w:val="nil"/>
              <w:bottom w:val="single" w:sz="4" w:space="0" w:color="auto"/>
              <w:right w:val="single" w:sz="4" w:space="0" w:color="auto"/>
            </w:tcBorders>
            <w:shd w:val="clear" w:color="auto" w:fill="auto"/>
            <w:vAlign w:val="bottom"/>
          </w:tcPr>
          <w:p w14:paraId="1A148D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33.05</w:t>
            </w:r>
          </w:p>
        </w:tc>
        <w:tc>
          <w:tcPr>
            <w:tcW w:w="850" w:type="dxa"/>
            <w:tcBorders>
              <w:top w:val="nil"/>
              <w:left w:val="nil"/>
              <w:bottom w:val="single" w:sz="4" w:space="0" w:color="auto"/>
              <w:right w:val="single" w:sz="4" w:space="0" w:color="auto"/>
            </w:tcBorders>
            <w:shd w:val="clear" w:color="auto" w:fill="auto"/>
            <w:vAlign w:val="bottom"/>
          </w:tcPr>
          <w:p w14:paraId="21769B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17.67</w:t>
            </w:r>
          </w:p>
        </w:tc>
        <w:tc>
          <w:tcPr>
            <w:tcW w:w="851" w:type="dxa"/>
            <w:tcBorders>
              <w:top w:val="nil"/>
              <w:left w:val="nil"/>
              <w:bottom w:val="single" w:sz="4" w:space="0" w:color="auto"/>
              <w:right w:val="single" w:sz="4" w:space="0" w:color="auto"/>
            </w:tcBorders>
            <w:shd w:val="clear" w:color="auto" w:fill="auto"/>
            <w:vAlign w:val="bottom"/>
          </w:tcPr>
          <w:p w14:paraId="5E4020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42.97</w:t>
            </w:r>
          </w:p>
        </w:tc>
        <w:tc>
          <w:tcPr>
            <w:tcW w:w="788" w:type="dxa"/>
            <w:tcBorders>
              <w:top w:val="nil"/>
              <w:left w:val="nil"/>
              <w:bottom w:val="single" w:sz="4" w:space="0" w:color="auto"/>
              <w:right w:val="single" w:sz="4" w:space="0" w:color="auto"/>
            </w:tcBorders>
            <w:shd w:val="clear" w:color="auto" w:fill="auto"/>
            <w:vAlign w:val="bottom"/>
          </w:tcPr>
          <w:p w14:paraId="5D1D86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61.25</w:t>
            </w:r>
          </w:p>
        </w:tc>
        <w:tc>
          <w:tcPr>
            <w:tcW w:w="902" w:type="dxa"/>
            <w:tcBorders>
              <w:top w:val="nil"/>
              <w:left w:val="nil"/>
              <w:bottom w:val="single" w:sz="4" w:space="0" w:color="auto"/>
              <w:right w:val="single" w:sz="4" w:space="0" w:color="auto"/>
            </w:tcBorders>
            <w:shd w:val="clear" w:color="auto" w:fill="auto"/>
            <w:vAlign w:val="bottom"/>
          </w:tcPr>
          <w:p w14:paraId="50C667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69.92</w:t>
            </w:r>
          </w:p>
        </w:tc>
      </w:tr>
      <w:tr w:rsidR="007C4365" w14:paraId="0F1DC2EB"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3BE6F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074" w:type="dxa"/>
            <w:tcBorders>
              <w:top w:val="nil"/>
              <w:left w:val="nil"/>
              <w:bottom w:val="single" w:sz="4" w:space="0" w:color="auto"/>
              <w:right w:val="single" w:sz="4" w:space="0" w:color="auto"/>
            </w:tcBorders>
            <w:shd w:val="clear" w:color="auto" w:fill="auto"/>
            <w:noWrap/>
            <w:vAlign w:val="bottom"/>
            <w:hideMark/>
          </w:tcPr>
          <w:p w14:paraId="0BC9A84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036" w:type="dxa"/>
            <w:tcBorders>
              <w:top w:val="nil"/>
              <w:left w:val="nil"/>
              <w:bottom w:val="single" w:sz="4" w:space="0" w:color="auto"/>
              <w:right w:val="single" w:sz="4" w:space="0" w:color="auto"/>
            </w:tcBorders>
            <w:shd w:val="clear" w:color="auto" w:fill="auto"/>
            <w:noWrap/>
            <w:vAlign w:val="bottom"/>
            <w:hideMark/>
          </w:tcPr>
          <w:p w14:paraId="52484BA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13.74</w:t>
            </w:r>
          </w:p>
        </w:tc>
        <w:tc>
          <w:tcPr>
            <w:tcW w:w="1038" w:type="dxa"/>
            <w:tcBorders>
              <w:top w:val="nil"/>
              <w:left w:val="nil"/>
              <w:bottom w:val="single" w:sz="4" w:space="0" w:color="auto"/>
              <w:right w:val="single" w:sz="4" w:space="0" w:color="auto"/>
            </w:tcBorders>
            <w:shd w:val="clear" w:color="auto" w:fill="auto"/>
            <w:noWrap/>
            <w:vAlign w:val="bottom"/>
            <w:hideMark/>
          </w:tcPr>
          <w:p w14:paraId="3A8C47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31.07</w:t>
            </w:r>
          </w:p>
        </w:tc>
        <w:tc>
          <w:tcPr>
            <w:tcW w:w="1210" w:type="dxa"/>
            <w:tcBorders>
              <w:top w:val="nil"/>
              <w:left w:val="nil"/>
              <w:bottom w:val="single" w:sz="4" w:space="0" w:color="auto"/>
              <w:right w:val="single" w:sz="4" w:space="0" w:color="auto"/>
            </w:tcBorders>
            <w:shd w:val="clear" w:color="auto" w:fill="auto"/>
            <w:noWrap/>
            <w:vAlign w:val="bottom"/>
            <w:hideMark/>
          </w:tcPr>
          <w:p w14:paraId="329BF13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41.22</w:t>
            </w:r>
          </w:p>
        </w:tc>
        <w:tc>
          <w:tcPr>
            <w:tcW w:w="1038" w:type="dxa"/>
            <w:tcBorders>
              <w:top w:val="nil"/>
              <w:left w:val="nil"/>
              <w:bottom w:val="single" w:sz="4" w:space="0" w:color="auto"/>
              <w:right w:val="single" w:sz="4" w:space="0" w:color="auto"/>
            </w:tcBorders>
            <w:shd w:val="clear" w:color="auto" w:fill="auto"/>
            <w:noWrap/>
            <w:vAlign w:val="bottom"/>
            <w:hideMark/>
          </w:tcPr>
          <w:p w14:paraId="2380B62D"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47.49</w:t>
            </w:r>
          </w:p>
        </w:tc>
        <w:tc>
          <w:tcPr>
            <w:tcW w:w="1036" w:type="dxa"/>
            <w:tcBorders>
              <w:top w:val="nil"/>
              <w:left w:val="nil"/>
              <w:bottom w:val="single" w:sz="4" w:space="0" w:color="auto"/>
              <w:right w:val="single" w:sz="4" w:space="0" w:color="auto"/>
            </w:tcBorders>
            <w:shd w:val="clear" w:color="auto" w:fill="auto"/>
            <w:vAlign w:val="bottom"/>
          </w:tcPr>
          <w:p w14:paraId="1BD999D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4.74</w:t>
            </w:r>
          </w:p>
        </w:tc>
        <w:tc>
          <w:tcPr>
            <w:tcW w:w="1203" w:type="dxa"/>
            <w:tcBorders>
              <w:top w:val="nil"/>
              <w:left w:val="nil"/>
              <w:bottom w:val="single" w:sz="4" w:space="0" w:color="auto"/>
              <w:right w:val="single" w:sz="4" w:space="0" w:color="auto"/>
            </w:tcBorders>
            <w:shd w:val="clear" w:color="auto" w:fill="auto"/>
            <w:vAlign w:val="bottom"/>
          </w:tcPr>
          <w:p w14:paraId="05F092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10.28</w:t>
            </w:r>
          </w:p>
        </w:tc>
        <w:tc>
          <w:tcPr>
            <w:tcW w:w="814" w:type="dxa"/>
            <w:tcBorders>
              <w:top w:val="nil"/>
              <w:left w:val="nil"/>
              <w:bottom w:val="single" w:sz="4" w:space="0" w:color="auto"/>
              <w:right w:val="single" w:sz="4" w:space="0" w:color="auto"/>
            </w:tcBorders>
            <w:shd w:val="clear" w:color="auto" w:fill="auto"/>
            <w:vAlign w:val="bottom"/>
          </w:tcPr>
          <w:p w14:paraId="791DADE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22.02</w:t>
            </w:r>
          </w:p>
        </w:tc>
        <w:tc>
          <w:tcPr>
            <w:tcW w:w="1134" w:type="dxa"/>
            <w:tcBorders>
              <w:top w:val="nil"/>
              <w:left w:val="nil"/>
              <w:bottom w:val="single" w:sz="4" w:space="0" w:color="auto"/>
              <w:right w:val="single" w:sz="4" w:space="0" w:color="auto"/>
            </w:tcBorders>
            <w:shd w:val="clear" w:color="auto" w:fill="auto"/>
            <w:vAlign w:val="bottom"/>
          </w:tcPr>
          <w:p w14:paraId="02A4DDE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30.54</w:t>
            </w:r>
          </w:p>
        </w:tc>
        <w:tc>
          <w:tcPr>
            <w:tcW w:w="850" w:type="dxa"/>
            <w:tcBorders>
              <w:top w:val="nil"/>
              <w:left w:val="nil"/>
              <w:bottom w:val="single" w:sz="4" w:space="0" w:color="auto"/>
              <w:right w:val="single" w:sz="4" w:space="0" w:color="auto"/>
            </w:tcBorders>
            <w:shd w:val="clear" w:color="auto" w:fill="auto"/>
            <w:vAlign w:val="bottom"/>
          </w:tcPr>
          <w:p w14:paraId="09E15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16.89</w:t>
            </w:r>
          </w:p>
        </w:tc>
        <w:tc>
          <w:tcPr>
            <w:tcW w:w="851" w:type="dxa"/>
            <w:tcBorders>
              <w:top w:val="nil"/>
              <w:left w:val="nil"/>
              <w:bottom w:val="single" w:sz="4" w:space="0" w:color="auto"/>
              <w:right w:val="single" w:sz="4" w:space="0" w:color="auto"/>
            </w:tcBorders>
            <w:shd w:val="clear" w:color="auto" w:fill="auto"/>
            <w:vAlign w:val="bottom"/>
          </w:tcPr>
          <w:p w14:paraId="255BD48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38.17</w:t>
            </w:r>
          </w:p>
        </w:tc>
        <w:tc>
          <w:tcPr>
            <w:tcW w:w="788" w:type="dxa"/>
            <w:tcBorders>
              <w:top w:val="nil"/>
              <w:left w:val="nil"/>
              <w:bottom w:val="single" w:sz="4" w:space="0" w:color="auto"/>
              <w:right w:val="single" w:sz="4" w:space="0" w:color="auto"/>
            </w:tcBorders>
            <w:shd w:val="clear" w:color="auto" w:fill="auto"/>
            <w:vAlign w:val="bottom"/>
          </w:tcPr>
          <w:p w14:paraId="4EF6035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57.98</w:t>
            </w:r>
          </w:p>
        </w:tc>
        <w:tc>
          <w:tcPr>
            <w:tcW w:w="902" w:type="dxa"/>
            <w:tcBorders>
              <w:top w:val="nil"/>
              <w:left w:val="nil"/>
              <w:bottom w:val="single" w:sz="4" w:space="0" w:color="auto"/>
              <w:right w:val="single" w:sz="4" w:space="0" w:color="auto"/>
            </w:tcBorders>
            <w:shd w:val="clear" w:color="auto" w:fill="auto"/>
            <w:vAlign w:val="bottom"/>
          </w:tcPr>
          <w:p w14:paraId="4EEA57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66.59</w:t>
            </w:r>
          </w:p>
        </w:tc>
      </w:tr>
      <w:tr w:rsidR="007C4365" w14:paraId="540359D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CB65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074" w:type="dxa"/>
            <w:tcBorders>
              <w:top w:val="nil"/>
              <w:left w:val="nil"/>
              <w:bottom w:val="single" w:sz="4" w:space="0" w:color="auto"/>
              <w:right w:val="single" w:sz="4" w:space="0" w:color="auto"/>
            </w:tcBorders>
            <w:shd w:val="clear" w:color="auto" w:fill="auto"/>
            <w:noWrap/>
            <w:vAlign w:val="bottom"/>
            <w:hideMark/>
          </w:tcPr>
          <w:p w14:paraId="2D0B28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036" w:type="dxa"/>
            <w:tcBorders>
              <w:top w:val="nil"/>
              <w:left w:val="nil"/>
              <w:bottom w:val="single" w:sz="4" w:space="0" w:color="auto"/>
              <w:right w:val="single" w:sz="4" w:space="0" w:color="auto"/>
            </w:tcBorders>
            <w:shd w:val="clear" w:color="auto" w:fill="auto"/>
            <w:noWrap/>
            <w:vAlign w:val="bottom"/>
            <w:hideMark/>
          </w:tcPr>
          <w:p w14:paraId="202EE6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13.93</w:t>
            </w:r>
          </w:p>
        </w:tc>
        <w:tc>
          <w:tcPr>
            <w:tcW w:w="1038" w:type="dxa"/>
            <w:tcBorders>
              <w:top w:val="nil"/>
              <w:left w:val="nil"/>
              <w:bottom w:val="single" w:sz="4" w:space="0" w:color="auto"/>
              <w:right w:val="single" w:sz="4" w:space="0" w:color="auto"/>
            </w:tcBorders>
            <w:shd w:val="clear" w:color="auto" w:fill="auto"/>
            <w:noWrap/>
            <w:vAlign w:val="bottom"/>
            <w:hideMark/>
          </w:tcPr>
          <w:p w14:paraId="425E7E4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31.71</w:t>
            </w:r>
          </w:p>
        </w:tc>
        <w:tc>
          <w:tcPr>
            <w:tcW w:w="1210" w:type="dxa"/>
            <w:tcBorders>
              <w:top w:val="nil"/>
              <w:left w:val="nil"/>
              <w:bottom w:val="single" w:sz="4" w:space="0" w:color="auto"/>
              <w:right w:val="single" w:sz="4" w:space="0" w:color="auto"/>
            </w:tcBorders>
            <w:shd w:val="clear" w:color="auto" w:fill="auto"/>
            <w:noWrap/>
            <w:vAlign w:val="bottom"/>
            <w:hideMark/>
          </w:tcPr>
          <w:p w14:paraId="3E1F0B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42.00</w:t>
            </w:r>
          </w:p>
        </w:tc>
        <w:tc>
          <w:tcPr>
            <w:tcW w:w="1038" w:type="dxa"/>
            <w:tcBorders>
              <w:top w:val="nil"/>
              <w:left w:val="nil"/>
              <w:bottom w:val="single" w:sz="4" w:space="0" w:color="auto"/>
              <w:right w:val="single" w:sz="4" w:space="0" w:color="auto"/>
            </w:tcBorders>
            <w:shd w:val="clear" w:color="auto" w:fill="auto"/>
            <w:noWrap/>
            <w:vAlign w:val="bottom"/>
            <w:hideMark/>
          </w:tcPr>
          <w:p w14:paraId="4800D0C7"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48.88</w:t>
            </w:r>
          </w:p>
        </w:tc>
        <w:tc>
          <w:tcPr>
            <w:tcW w:w="1036" w:type="dxa"/>
            <w:tcBorders>
              <w:top w:val="nil"/>
              <w:left w:val="nil"/>
              <w:bottom w:val="single" w:sz="4" w:space="0" w:color="auto"/>
              <w:right w:val="single" w:sz="4" w:space="0" w:color="auto"/>
            </w:tcBorders>
            <w:shd w:val="clear" w:color="auto" w:fill="auto"/>
            <w:vAlign w:val="bottom"/>
          </w:tcPr>
          <w:p w14:paraId="625633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4.91</w:t>
            </w:r>
          </w:p>
        </w:tc>
        <w:tc>
          <w:tcPr>
            <w:tcW w:w="1203" w:type="dxa"/>
            <w:tcBorders>
              <w:top w:val="nil"/>
              <w:left w:val="nil"/>
              <w:bottom w:val="single" w:sz="4" w:space="0" w:color="auto"/>
              <w:right w:val="single" w:sz="4" w:space="0" w:color="auto"/>
            </w:tcBorders>
            <w:shd w:val="clear" w:color="auto" w:fill="auto"/>
            <w:vAlign w:val="bottom"/>
          </w:tcPr>
          <w:p w14:paraId="1FFA85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10.35</w:t>
            </w:r>
          </w:p>
        </w:tc>
        <w:tc>
          <w:tcPr>
            <w:tcW w:w="814" w:type="dxa"/>
            <w:tcBorders>
              <w:top w:val="nil"/>
              <w:left w:val="nil"/>
              <w:bottom w:val="single" w:sz="4" w:space="0" w:color="auto"/>
              <w:right w:val="single" w:sz="4" w:space="0" w:color="auto"/>
            </w:tcBorders>
            <w:shd w:val="clear" w:color="auto" w:fill="auto"/>
            <w:vAlign w:val="bottom"/>
          </w:tcPr>
          <w:p w14:paraId="68D80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22.25</w:t>
            </w:r>
          </w:p>
        </w:tc>
        <w:tc>
          <w:tcPr>
            <w:tcW w:w="1134" w:type="dxa"/>
            <w:tcBorders>
              <w:top w:val="nil"/>
              <w:left w:val="nil"/>
              <w:bottom w:val="single" w:sz="4" w:space="0" w:color="auto"/>
              <w:right w:val="single" w:sz="4" w:space="0" w:color="auto"/>
            </w:tcBorders>
            <w:shd w:val="clear" w:color="auto" w:fill="auto"/>
            <w:vAlign w:val="bottom"/>
          </w:tcPr>
          <w:p w14:paraId="43B000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30.14</w:t>
            </w:r>
          </w:p>
        </w:tc>
        <w:tc>
          <w:tcPr>
            <w:tcW w:w="850" w:type="dxa"/>
            <w:tcBorders>
              <w:top w:val="nil"/>
              <w:left w:val="nil"/>
              <w:bottom w:val="single" w:sz="4" w:space="0" w:color="auto"/>
              <w:right w:val="single" w:sz="4" w:space="0" w:color="auto"/>
            </w:tcBorders>
            <w:shd w:val="clear" w:color="auto" w:fill="auto"/>
            <w:vAlign w:val="bottom"/>
          </w:tcPr>
          <w:p w14:paraId="5209CE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16.73</w:t>
            </w:r>
          </w:p>
        </w:tc>
        <w:tc>
          <w:tcPr>
            <w:tcW w:w="851" w:type="dxa"/>
            <w:tcBorders>
              <w:top w:val="nil"/>
              <w:left w:val="nil"/>
              <w:bottom w:val="single" w:sz="4" w:space="0" w:color="auto"/>
              <w:right w:val="single" w:sz="4" w:space="0" w:color="auto"/>
            </w:tcBorders>
            <w:shd w:val="clear" w:color="auto" w:fill="auto"/>
            <w:vAlign w:val="bottom"/>
          </w:tcPr>
          <w:p w14:paraId="5D53C18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39.16</w:t>
            </w:r>
          </w:p>
        </w:tc>
        <w:tc>
          <w:tcPr>
            <w:tcW w:w="788" w:type="dxa"/>
            <w:tcBorders>
              <w:top w:val="nil"/>
              <w:left w:val="nil"/>
              <w:bottom w:val="single" w:sz="4" w:space="0" w:color="auto"/>
              <w:right w:val="single" w:sz="4" w:space="0" w:color="auto"/>
            </w:tcBorders>
            <w:shd w:val="clear" w:color="auto" w:fill="auto"/>
            <w:vAlign w:val="bottom"/>
          </w:tcPr>
          <w:p w14:paraId="7133F5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61.83</w:t>
            </w:r>
          </w:p>
        </w:tc>
        <w:tc>
          <w:tcPr>
            <w:tcW w:w="902" w:type="dxa"/>
            <w:tcBorders>
              <w:top w:val="nil"/>
              <w:left w:val="nil"/>
              <w:bottom w:val="single" w:sz="4" w:space="0" w:color="auto"/>
              <w:right w:val="single" w:sz="4" w:space="0" w:color="auto"/>
            </w:tcBorders>
            <w:shd w:val="clear" w:color="auto" w:fill="auto"/>
            <w:vAlign w:val="bottom"/>
          </w:tcPr>
          <w:p w14:paraId="7157E54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69.67</w:t>
            </w:r>
          </w:p>
        </w:tc>
      </w:tr>
      <w:tr w:rsidR="007C4365" w14:paraId="7596DF44"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F9960F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074" w:type="dxa"/>
            <w:tcBorders>
              <w:top w:val="nil"/>
              <w:left w:val="nil"/>
              <w:bottom w:val="single" w:sz="4" w:space="0" w:color="auto"/>
              <w:right w:val="single" w:sz="4" w:space="0" w:color="auto"/>
            </w:tcBorders>
            <w:shd w:val="clear" w:color="auto" w:fill="auto"/>
            <w:noWrap/>
            <w:vAlign w:val="bottom"/>
            <w:hideMark/>
          </w:tcPr>
          <w:p w14:paraId="5A2AE7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036" w:type="dxa"/>
            <w:tcBorders>
              <w:top w:val="nil"/>
              <w:left w:val="nil"/>
              <w:bottom w:val="single" w:sz="4" w:space="0" w:color="auto"/>
              <w:right w:val="single" w:sz="4" w:space="0" w:color="auto"/>
            </w:tcBorders>
            <w:shd w:val="clear" w:color="auto" w:fill="auto"/>
            <w:noWrap/>
            <w:vAlign w:val="bottom"/>
            <w:hideMark/>
          </w:tcPr>
          <w:p w14:paraId="3B07F92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13.57</w:t>
            </w:r>
          </w:p>
        </w:tc>
        <w:tc>
          <w:tcPr>
            <w:tcW w:w="1038" w:type="dxa"/>
            <w:tcBorders>
              <w:top w:val="nil"/>
              <w:left w:val="nil"/>
              <w:bottom w:val="single" w:sz="4" w:space="0" w:color="auto"/>
              <w:right w:val="single" w:sz="4" w:space="0" w:color="auto"/>
            </w:tcBorders>
            <w:shd w:val="clear" w:color="auto" w:fill="auto"/>
            <w:noWrap/>
            <w:vAlign w:val="bottom"/>
            <w:hideMark/>
          </w:tcPr>
          <w:p w14:paraId="3BED097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29.66</w:t>
            </w:r>
          </w:p>
        </w:tc>
        <w:tc>
          <w:tcPr>
            <w:tcW w:w="1210" w:type="dxa"/>
            <w:tcBorders>
              <w:top w:val="nil"/>
              <w:left w:val="nil"/>
              <w:bottom w:val="single" w:sz="4" w:space="0" w:color="auto"/>
              <w:right w:val="single" w:sz="4" w:space="0" w:color="auto"/>
            </w:tcBorders>
            <w:shd w:val="clear" w:color="auto" w:fill="auto"/>
            <w:noWrap/>
            <w:vAlign w:val="bottom"/>
            <w:hideMark/>
          </w:tcPr>
          <w:p w14:paraId="0F90964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38.62</w:t>
            </w:r>
          </w:p>
        </w:tc>
        <w:tc>
          <w:tcPr>
            <w:tcW w:w="1038" w:type="dxa"/>
            <w:tcBorders>
              <w:top w:val="nil"/>
              <w:left w:val="nil"/>
              <w:bottom w:val="single" w:sz="4" w:space="0" w:color="auto"/>
              <w:right w:val="single" w:sz="4" w:space="0" w:color="auto"/>
            </w:tcBorders>
            <w:shd w:val="clear" w:color="auto" w:fill="auto"/>
            <w:noWrap/>
            <w:vAlign w:val="bottom"/>
            <w:hideMark/>
          </w:tcPr>
          <w:p w14:paraId="38E14A21"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45.06</w:t>
            </w:r>
          </w:p>
        </w:tc>
        <w:tc>
          <w:tcPr>
            <w:tcW w:w="1036" w:type="dxa"/>
            <w:tcBorders>
              <w:top w:val="nil"/>
              <w:left w:val="nil"/>
              <w:bottom w:val="single" w:sz="4" w:space="0" w:color="auto"/>
              <w:right w:val="single" w:sz="4" w:space="0" w:color="auto"/>
            </w:tcBorders>
            <w:shd w:val="clear" w:color="auto" w:fill="auto"/>
            <w:vAlign w:val="bottom"/>
          </w:tcPr>
          <w:p w14:paraId="35E599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4.47</w:t>
            </w:r>
          </w:p>
        </w:tc>
        <w:tc>
          <w:tcPr>
            <w:tcW w:w="1203" w:type="dxa"/>
            <w:tcBorders>
              <w:top w:val="nil"/>
              <w:left w:val="nil"/>
              <w:bottom w:val="single" w:sz="4" w:space="0" w:color="auto"/>
              <w:right w:val="single" w:sz="4" w:space="0" w:color="auto"/>
            </w:tcBorders>
            <w:shd w:val="clear" w:color="auto" w:fill="auto"/>
            <w:vAlign w:val="bottom"/>
          </w:tcPr>
          <w:p w14:paraId="444DD2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9.97</w:t>
            </w:r>
          </w:p>
        </w:tc>
        <w:tc>
          <w:tcPr>
            <w:tcW w:w="814" w:type="dxa"/>
            <w:tcBorders>
              <w:top w:val="nil"/>
              <w:left w:val="nil"/>
              <w:bottom w:val="single" w:sz="4" w:space="0" w:color="auto"/>
              <w:right w:val="single" w:sz="4" w:space="0" w:color="auto"/>
            </w:tcBorders>
            <w:shd w:val="clear" w:color="auto" w:fill="auto"/>
            <w:vAlign w:val="bottom"/>
          </w:tcPr>
          <w:p w14:paraId="7881856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21.17</w:t>
            </w:r>
          </w:p>
        </w:tc>
        <w:tc>
          <w:tcPr>
            <w:tcW w:w="1134" w:type="dxa"/>
            <w:tcBorders>
              <w:top w:val="nil"/>
              <w:left w:val="nil"/>
              <w:bottom w:val="single" w:sz="4" w:space="0" w:color="auto"/>
              <w:right w:val="single" w:sz="4" w:space="0" w:color="auto"/>
            </w:tcBorders>
            <w:shd w:val="clear" w:color="auto" w:fill="auto"/>
            <w:vAlign w:val="bottom"/>
          </w:tcPr>
          <w:p w14:paraId="1BE7EA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28.77</w:t>
            </w:r>
          </w:p>
        </w:tc>
        <w:tc>
          <w:tcPr>
            <w:tcW w:w="850" w:type="dxa"/>
            <w:tcBorders>
              <w:top w:val="nil"/>
              <w:left w:val="nil"/>
              <w:bottom w:val="single" w:sz="4" w:space="0" w:color="auto"/>
              <w:right w:val="single" w:sz="4" w:space="0" w:color="auto"/>
            </w:tcBorders>
            <w:shd w:val="clear" w:color="auto" w:fill="auto"/>
            <w:vAlign w:val="bottom"/>
          </w:tcPr>
          <w:p w14:paraId="2B27BCC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15.85</w:t>
            </w:r>
          </w:p>
        </w:tc>
        <w:tc>
          <w:tcPr>
            <w:tcW w:w="851" w:type="dxa"/>
            <w:tcBorders>
              <w:top w:val="nil"/>
              <w:left w:val="nil"/>
              <w:bottom w:val="single" w:sz="4" w:space="0" w:color="auto"/>
              <w:right w:val="single" w:sz="4" w:space="0" w:color="auto"/>
            </w:tcBorders>
            <w:shd w:val="clear" w:color="auto" w:fill="auto"/>
            <w:vAlign w:val="bottom"/>
          </w:tcPr>
          <w:p w14:paraId="2E81CC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36.72</w:t>
            </w:r>
          </w:p>
        </w:tc>
        <w:tc>
          <w:tcPr>
            <w:tcW w:w="788" w:type="dxa"/>
            <w:tcBorders>
              <w:top w:val="nil"/>
              <w:left w:val="nil"/>
              <w:bottom w:val="single" w:sz="4" w:space="0" w:color="auto"/>
              <w:right w:val="single" w:sz="4" w:space="0" w:color="auto"/>
            </w:tcBorders>
            <w:shd w:val="clear" w:color="auto" w:fill="auto"/>
            <w:vAlign w:val="bottom"/>
          </w:tcPr>
          <w:p w14:paraId="449E6CA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57.35</w:t>
            </w:r>
          </w:p>
        </w:tc>
        <w:tc>
          <w:tcPr>
            <w:tcW w:w="902" w:type="dxa"/>
            <w:tcBorders>
              <w:top w:val="nil"/>
              <w:left w:val="nil"/>
              <w:bottom w:val="single" w:sz="4" w:space="0" w:color="auto"/>
              <w:right w:val="single" w:sz="4" w:space="0" w:color="auto"/>
            </w:tcBorders>
            <w:shd w:val="clear" w:color="auto" w:fill="auto"/>
            <w:vAlign w:val="bottom"/>
          </w:tcPr>
          <w:p w14:paraId="0CBACE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64.28</w:t>
            </w:r>
          </w:p>
        </w:tc>
      </w:tr>
      <w:tr w:rsidR="007C4365" w14:paraId="4C344AA6"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800248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074" w:type="dxa"/>
            <w:tcBorders>
              <w:top w:val="nil"/>
              <w:left w:val="nil"/>
              <w:bottom w:val="single" w:sz="4" w:space="0" w:color="auto"/>
              <w:right w:val="single" w:sz="4" w:space="0" w:color="auto"/>
            </w:tcBorders>
            <w:shd w:val="clear" w:color="auto" w:fill="auto"/>
            <w:noWrap/>
            <w:vAlign w:val="bottom"/>
            <w:hideMark/>
          </w:tcPr>
          <w:p w14:paraId="7886D79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036" w:type="dxa"/>
            <w:tcBorders>
              <w:top w:val="nil"/>
              <w:left w:val="nil"/>
              <w:bottom w:val="single" w:sz="4" w:space="0" w:color="auto"/>
              <w:right w:val="single" w:sz="4" w:space="0" w:color="auto"/>
            </w:tcBorders>
            <w:shd w:val="clear" w:color="auto" w:fill="auto"/>
            <w:noWrap/>
            <w:vAlign w:val="bottom"/>
            <w:hideMark/>
          </w:tcPr>
          <w:p w14:paraId="680A8A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13.80</w:t>
            </w:r>
          </w:p>
        </w:tc>
        <w:tc>
          <w:tcPr>
            <w:tcW w:w="1038" w:type="dxa"/>
            <w:tcBorders>
              <w:top w:val="nil"/>
              <w:left w:val="nil"/>
              <w:bottom w:val="single" w:sz="4" w:space="0" w:color="auto"/>
              <w:right w:val="single" w:sz="4" w:space="0" w:color="auto"/>
            </w:tcBorders>
            <w:shd w:val="clear" w:color="auto" w:fill="auto"/>
            <w:noWrap/>
            <w:vAlign w:val="bottom"/>
            <w:hideMark/>
          </w:tcPr>
          <w:p w14:paraId="776419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30.49</w:t>
            </w:r>
          </w:p>
        </w:tc>
        <w:tc>
          <w:tcPr>
            <w:tcW w:w="1210" w:type="dxa"/>
            <w:tcBorders>
              <w:top w:val="nil"/>
              <w:left w:val="nil"/>
              <w:bottom w:val="single" w:sz="4" w:space="0" w:color="auto"/>
              <w:right w:val="single" w:sz="4" w:space="0" w:color="auto"/>
            </w:tcBorders>
            <w:shd w:val="clear" w:color="auto" w:fill="auto"/>
            <w:noWrap/>
            <w:vAlign w:val="bottom"/>
            <w:hideMark/>
          </w:tcPr>
          <w:p w14:paraId="5632F09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38.61</w:t>
            </w:r>
          </w:p>
        </w:tc>
        <w:tc>
          <w:tcPr>
            <w:tcW w:w="1038" w:type="dxa"/>
            <w:tcBorders>
              <w:top w:val="nil"/>
              <w:left w:val="nil"/>
              <w:bottom w:val="single" w:sz="4" w:space="0" w:color="auto"/>
              <w:right w:val="single" w:sz="4" w:space="0" w:color="auto"/>
            </w:tcBorders>
            <w:shd w:val="clear" w:color="auto" w:fill="auto"/>
            <w:noWrap/>
            <w:vAlign w:val="bottom"/>
            <w:hideMark/>
          </w:tcPr>
          <w:p w14:paraId="7B4551A2"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46.06</w:t>
            </w:r>
          </w:p>
        </w:tc>
        <w:tc>
          <w:tcPr>
            <w:tcW w:w="1036" w:type="dxa"/>
            <w:tcBorders>
              <w:top w:val="nil"/>
              <w:left w:val="nil"/>
              <w:bottom w:val="single" w:sz="4" w:space="0" w:color="auto"/>
              <w:right w:val="single" w:sz="4" w:space="0" w:color="auto"/>
            </w:tcBorders>
            <w:shd w:val="clear" w:color="auto" w:fill="auto"/>
            <w:vAlign w:val="bottom"/>
          </w:tcPr>
          <w:p w14:paraId="2D59A03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4.67</w:t>
            </w:r>
          </w:p>
        </w:tc>
        <w:tc>
          <w:tcPr>
            <w:tcW w:w="1203" w:type="dxa"/>
            <w:tcBorders>
              <w:top w:val="nil"/>
              <w:left w:val="nil"/>
              <w:bottom w:val="single" w:sz="4" w:space="0" w:color="auto"/>
              <w:right w:val="single" w:sz="4" w:space="0" w:color="auto"/>
            </w:tcBorders>
            <w:shd w:val="clear" w:color="auto" w:fill="auto"/>
            <w:vAlign w:val="bottom"/>
          </w:tcPr>
          <w:p w14:paraId="626391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10.21</w:t>
            </w:r>
          </w:p>
        </w:tc>
        <w:tc>
          <w:tcPr>
            <w:tcW w:w="814" w:type="dxa"/>
            <w:tcBorders>
              <w:top w:val="nil"/>
              <w:left w:val="nil"/>
              <w:bottom w:val="single" w:sz="4" w:space="0" w:color="auto"/>
              <w:right w:val="single" w:sz="4" w:space="0" w:color="auto"/>
            </w:tcBorders>
            <w:shd w:val="clear" w:color="auto" w:fill="auto"/>
            <w:vAlign w:val="bottom"/>
          </w:tcPr>
          <w:p w14:paraId="20C564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21.51</w:t>
            </w:r>
          </w:p>
        </w:tc>
        <w:tc>
          <w:tcPr>
            <w:tcW w:w="1134" w:type="dxa"/>
            <w:tcBorders>
              <w:top w:val="nil"/>
              <w:left w:val="nil"/>
              <w:bottom w:val="single" w:sz="4" w:space="0" w:color="auto"/>
              <w:right w:val="single" w:sz="4" w:space="0" w:color="auto"/>
            </w:tcBorders>
            <w:shd w:val="clear" w:color="auto" w:fill="auto"/>
            <w:vAlign w:val="bottom"/>
          </w:tcPr>
          <w:p w14:paraId="4FB07D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29.85</w:t>
            </w:r>
          </w:p>
        </w:tc>
        <w:tc>
          <w:tcPr>
            <w:tcW w:w="850" w:type="dxa"/>
            <w:tcBorders>
              <w:top w:val="nil"/>
              <w:left w:val="nil"/>
              <w:bottom w:val="single" w:sz="4" w:space="0" w:color="auto"/>
              <w:right w:val="single" w:sz="4" w:space="0" w:color="auto"/>
            </w:tcBorders>
            <w:shd w:val="clear" w:color="auto" w:fill="auto"/>
            <w:vAlign w:val="bottom"/>
          </w:tcPr>
          <w:p w14:paraId="40DB9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16.12</w:t>
            </w:r>
          </w:p>
        </w:tc>
        <w:tc>
          <w:tcPr>
            <w:tcW w:w="851" w:type="dxa"/>
            <w:tcBorders>
              <w:top w:val="nil"/>
              <w:left w:val="nil"/>
              <w:bottom w:val="single" w:sz="4" w:space="0" w:color="auto"/>
              <w:right w:val="single" w:sz="4" w:space="0" w:color="auto"/>
            </w:tcBorders>
            <w:shd w:val="clear" w:color="auto" w:fill="auto"/>
            <w:vAlign w:val="bottom"/>
          </w:tcPr>
          <w:p w14:paraId="448C5A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36.23</w:t>
            </w:r>
          </w:p>
        </w:tc>
        <w:tc>
          <w:tcPr>
            <w:tcW w:w="788" w:type="dxa"/>
            <w:tcBorders>
              <w:top w:val="nil"/>
              <w:left w:val="nil"/>
              <w:bottom w:val="single" w:sz="4" w:space="0" w:color="auto"/>
              <w:right w:val="single" w:sz="4" w:space="0" w:color="auto"/>
            </w:tcBorders>
            <w:shd w:val="clear" w:color="auto" w:fill="auto"/>
            <w:vAlign w:val="bottom"/>
          </w:tcPr>
          <w:p w14:paraId="57789A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57.70</w:t>
            </w:r>
          </w:p>
        </w:tc>
        <w:tc>
          <w:tcPr>
            <w:tcW w:w="902" w:type="dxa"/>
            <w:tcBorders>
              <w:top w:val="nil"/>
              <w:left w:val="nil"/>
              <w:bottom w:val="single" w:sz="4" w:space="0" w:color="auto"/>
              <w:right w:val="single" w:sz="4" w:space="0" w:color="auto"/>
            </w:tcBorders>
            <w:shd w:val="clear" w:color="auto" w:fill="auto"/>
            <w:vAlign w:val="bottom"/>
          </w:tcPr>
          <w:p w14:paraId="48CBC43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65.91</w:t>
            </w:r>
          </w:p>
        </w:tc>
      </w:tr>
      <w:tr w:rsidR="007C4365" w14:paraId="058D306B"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D20B1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074" w:type="dxa"/>
            <w:tcBorders>
              <w:top w:val="nil"/>
              <w:left w:val="nil"/>
              <w:bottom w:val="single" w:sz="4" w:space="0" w:color="auto"/>
              <w:right w:val="single" w:sz="4" w:space="0" w:color="auto"/>
            </w:tcBorders>
            <w:shd w:val="clear" w:color="auto" w:fill="auto"/>
            <w:noWrap/>
            <w:vAlign w:val="bottom"/>
            <w:hideMark/>
          </w:tcPr>
          <w:p w14:paraId="3A37E4E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036" w:type="dxa"/>
            <w:tcBorders>
              <w:top w:val="nil"/>
              <w:left w:val="nil"/>
              <w:bottom w:val="single" w:sz="4" w:space="0" w:color="auto"/>
              <w:right w:val="single" w:sz="4" w:space="0" w:color="auto"/>
            </w:tcBorders>
            <w:shd w:val="clear" w:color="auto" w:fill="auto"/>
            <w:noWrap/>
            <w:vAlign w:val="bottom"/>
            <w:hideMark/>
          </w:tcPr>
          <w:p w14:paraId="0D55485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15.15</w:t>
            </w:r>
          </w:p>
        </w:tc>
        <w:tc>
          <w:tcPr>
            <w:tcW w:w="1038" w:type="dxa"/>
            <w:tcBorders>
              <w:top w:val="nil"/>
              <w:left w:val="nil"/>
              <w:bottom w:val="single" w:sz="4" w:space="0" w:color="auto"/>
              <w:right w:val="single" w:sz="4" w:space="0" w:color="auto"/>
            </w:tcBorders>
            <w:shd w:val="clear" w:color="auto" w:fill="auto"/>
            <w:noWrap/>
            <w:vAlign w:val="bottom"/>
            <w:hideMark/>
          </w:tcPr>
          <w:p w14:paraId="1BC3E9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34.40</w:t>
            </w:r>
          </w:p>
        </w:tc>
        <w:tc>
          <w:tcPr>
            <w:tcW w:w="1210" w:type="dxa"/>
            <w:tcBorders>
              <w:top w:val="nil"/>
              <w:left w:val="nil"/>
              <w:bottom w:val="single" w:sz="4" w:space="0" w:color="auto"/>
              <w:right w:val="single" w:sz="4" w:space="0" w:color="auto"/>
            </w:tcBorders>
            <w:shd w:val="clear" w:color="auto" w:fill="auto"/>
            <w:noWrap/>
            <w:vAlign w:val="bottom"/>
            <w:hideMark/>
          </w:tcPr>
          <w:p w14:paraId="45D23B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45.53</w:t>
            </w:r>
          </w:p>
        </w:tc>
        <w:tc>
          <w:tcPr>
            <w:tcW w:w="1038" w:type="dxa"/>
            <w:tcBorders>
              <w:top w:val="nil"/>
              <w:left w:val="nil"/>
              <w:bottom w:val="single" w:sz="4" w:space="0" w:color="auto"/>
              <w:right w:val="single" w:sz="4" w:space="0" w:color="auto"/>
            </w:tcBorders>
            <w:shd w:val="clear" w:color="auto" w:fill="auto"/>
            <w:noWrap/>
            <w:vAlign w:val="bottom"/>
            <w:hideMark/>
          </w:tcPr>
          <w:p w14:paraId="2D36DD10"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52.89</w:t>
            </w:r>
          </w:p>
        </w:tc>
        <w:tc>
          <w:tcPr>
            <w:tcW w:w="1036" w:type="dxa"/>
            <w:tcBorders>
              <w:top w:val="nil"/>
              <w:left w:val="nil"/>
              <w:bottom w:val="single" w:sz="4" w:space="0" w:color="auto"/>
              <w:right w:val="single" w:sz="4" w:space="0" w:color="auto"/>
            </w:tcBorders>
            <w:shd w:val="clear" w:color="auto" w:fill="auto"/>
            <w:vAlign w:val="bottom"/>
          </w:tcPr>
          <w:p w14:paraId="2CCB831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6.15</w:t>
            </w:r>
          </w:p>
        </w:tc>
        <w:tc>
          <w:tcPr>
            <w:tcW w:w="1203" w:type="dxa"/>
            <w:tcBorders>
              <w:top w:val="nil"/>
              <w:left w:val="nil"/>
              <w:bottom w:val="single" w:sz="4" w:space="0" w:color="auto"/>
              <w:right w:val="single" w:sz="4" w:space="0" w:color="auto"/>
            </w:tcBorders>
            <w:shd w:val="clear" w:color="auto" w:fill="auto"/>
            <w:vAlign w:val="bottom"/>
          </w:tcPr>
          <w:p w14:paraId="167189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12.26</w:t>
            </w:r>
          </w:p>
        </w:tc>
        <w:tc>
          <w:tcPr>
            <w:tcW w:w="814" w:type="dxa"/>
            <w:tcBorders>
              <w:top w:val="nil"/>
              <w:left w:val="nil"/>
              <w:bottom w:val="single" w:sz="4" w:space="0" w:color="auto"/>
              <w:right w:val="single" w:sz="4" w:space="0" w:color="auto"/>
            </w:tcBorders>
            <w:shd w:val="clear" w:color="auto" w:fill="auto"/>
            <w:vAlign w:val="bottom"/>
          </w:tcPr>
          <w:p w14:paraId="1CC487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25.36</w:t>
            </w:r>
          </w:p>
        </w:tc>
        <w:tc>
          <w:tcPr>
            <w:tcW w:w="1134" w:type="dxa"/>
            <w:tcBorders>
              <w:top w:val="nil"/>
              <w:left w:val="nil"/>
              <w:bottom w:val="single" w:sz="4" w:space="0" w:color="auto"/>
              <w:right w:val="single" w:sz="4" w:space="0" w:color="auto"/>
            </w:tcBorders>
            <w:shd w:val="clear" w:color="auto" w:fill="auto"/>
            <w:vAlign w:val="bottom"/>
          </w:tcPr>
          <w:p w14:paraId="3A7F2FD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34.51</w:t>
            </w:r>
          </w:p>
        </w:tc>
        <w:tc>
          <w:tcPr>
            <w:tcW w:w="850" w:type="dxa"/>
            <w:tcBorders>
              <w:top w:val="nil"/>
              <w:left w:val="nil"/>
              <w:bottom w:val="single" w:sz="4" w:space="0" w:color="auto"/>
              <w:right w:val="single" w:sz="4" w:space="0" w:color="auto"/>
            </w:tcBorders>
            <w:shd w:val="clear" w:color="auto" w:fill="auto"/>
            <w:vAlign w:val="bottom"/>
          </w:tcPr>
          <w:p w14:paraId="3C5BCEB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21.10</w:t>
            </w:r>
          </w:p>
        </w:tc>
        <w:tc>
          <w:tcPr>
            <w:tcW w:w="851" w:type="dxa"/>
            <w:tcBorders>
              <w:top w:val="nil"/>
              <w:left w:val="nil"/>
              <w:bottom w:val="single" w:sz="4" w:space="0" w:color="auto"/>
              <w:right w:val="single" w:sz="4" w:space="0" w:color="auto"/>
            </w:tcBorders>
            <w:shd w:val="clear" w:color="auto" w:fill="auto"/>
            <w:vAlign w:val="bottom"/>
          </w:tcPr>
          <w:p w14:paraId="2916C4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44.53</w:t>
            </w:r>
          </w:p>
        </w:tc>
        <w:tc>
          <w:tcPr>
            <w:tcW w:w="788" w:type="dxa"/>
            <w:tcBorders>
              <w:top w:val="nil"/>
              <w:left w:val="nil"/>
              <w:bottom w:val="single" w:sz="4" w:space="0" w:color="auto"/>
              <w:right w:val="single" w:sz="4" w:space="0" w:color="auto"/>
            </w:tcBorders>
            <w:shd w:val="clear" w:color="auto" w:fill="auto"/>
            <w:vAlign w:val="bottom"/>
          </w:tcPr>
          <w:p w14:paraId="697E85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62.98</w:t>
            </w:r>
          </w:p>
        </w:tc>
        <w:tc>
          <w:tcPr>
            <w:tcW w:w="902" w:type="dxa"/>
            <w:tcBorders>
              <w:top w:val="nil"/>
              <w:left w:val="nil"/>
              <w:bottom w:val="single" w:sz="4" w:space="0" w:color="auto"/>
              <w:right w:val="single" w:sz="4" w:space="0" w:color="auto"/>
            </w:tcBorders>
            <w:shd w:val="clear" w:color="auto" w:fill="auto"/>
            <w:vAlign w:val="bottom"/>
          </w:tcPr>
          <w:p w14:paraId="35C5EFC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71.00</w:t>
            </w:r>
          </w:p>
        </w:tc>
      </w:tr>
      <w:tr w:rsidR="007C4365" w14:paraId="68EBFA02"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4871B0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074" w:type="dxa"/>
            <w:tcBorders>
              <w:top w:val="nil"/>
              <w:left w:val="nil"/>
              <w:bottom w:val="single" w:sz="4" w:space="0" w:color="auto"/>
              <w:right w:val="single" w:sz="4" w:space="0" w:color="auto"/>
            </w:tcBorders>
            <w:shd w:val="clear" w:color="auto" w:fill="auto"/>
            <w:noWrap/>
            <w:vAlign w:val="bottom"/>
            <w:hideMark/>
          </w:tcPr>
          <w:p w14:paraId="1E2521E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036" w:type="dxa"/>
            <w:tcBorders>
              <w:top w:val="nil"/>
              <w:left w:val="nil"/>
              <w:bottom w:val="single" w:sz="4" w:space="0" w:color="auto"/>
              <w:right w:val="single" w:sz="4" w:space="0" w:color="auto"/>
            </w:tcBorders>
            <w:shd w:val="clear" w:color="auto" w:fill="auto"/>
            <w:noWrap/>
            <w:vAlign w:val="bottom"/>
            <w:hideMark/>
          </w:tcPr>
          <w:p w14:paraId="119187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15.51</w:t>
            </w:r>
          </w:p>
        </w:tc>
        <w:tc>
          <w:tcPr>
            <w:tcW w:w="1038" w:type="dxa"/>
            <w:tcBorders>
              <w:top w:val="nil"/>
              <w:left w:val="nil"/>
              <w:bottom w:val="single" w:sz="4" w:space="0" w:color="auto"/>
              <w:right w:val="single" w:sz="4" w:space="0" w:color="auto"/>
            </w:tcBorders>
            <w:shd w:val="clear" w:color="auto" w:fill="auto"/>
            <w:noWrap/>
            <w:vAlign w:val="bottom"/>
            <w:hideMark/>
          </w:tcPr>
          <w:p w14:paraId="16F542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36.44</w:t>
            </w:r>
          </w:p>
        </w:tc>
        <w:tc>
          <w:tcPr>
            <w:tcW w:w="1210" w:type="dxa"/>
            <w:tcBorders>
              <w:top w:val="nil"/>
              <w:left w:val="nil"/>
              <w:bottom w:val="single" w:sz="4" w:space="0" w:color="auto"/>
              <w:right w:val="single" w:sz="4" w:space="0" w:color="auto"/>
            </w:tcBorders>
            <w:shd w:val="clear" w:color="auto" w:fill="auto"/>
            <w:noWrap/>
            <w:vAlign w:val="bottom"/>
            <w:hideMark/>
          </w:tcPr>
          <w:p w14:paraId="5A04FC1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47.48</w:t>
            </w:r>
          </w:p>
        </w:tc>
        <w:tc>
          <w:tcPr>
            <w:tcW w:w="1038" w:type="dxa"/>
            <w:tcBorders>
              <w:top w:val="nil"/>
              <w:left w:val="nil"/>
              <w:bottom w:val="single" w:sz="4" w:space="0" w:color="auto"/>
              <w:right w:val="single" w:sz="4" w:space="0" w:color="auto"/>
            </w:tcBorders>
            <w:shd w:val="clear" w:color="auto" w:fill="auto"/>
            <w:noWrap/>
            <w:vAlign w:val="bottom"/>
            <w:hideMark/>
          </w:tcPr>
          <w:p w14:paraId="0C490004"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55.50</w:t>
            </w:r>
          </w:p>
        </w:tc>
        <w:tc>
          <w:tcPr>
            <w:tcW w:w="1036" w:type="dxa"/>
            <w:tcBorders>
              <w:top w:val="nil"/>
              <w:left w:val="nil"/>
              <w:bottom w:val="single" w:sz="4" w:space="0" w:color="auto"/>
              <w:right w:val="single" w:sz="4" w:space="0" w:color="auto"/>
            </w:tcBorders>
            <w:shd w:val="clear" w:color="auto" w:fill="auto"/>
            <w:vAlign w:val="bottom"/>
          </w:tcPr>
          <w:p w14:paraId="6792494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6.47</w:t>
            </w:r>
          </w:p>
        </w:tc>
        <w:tc>
          <w:tcPr>
            <w:tcW w:w="1203" w:type="dxa"/>
            <w:tcBorders>
              <w:top w:val="nil"/>
              <w:left w:val="nil"/>
              <w:bottom w:val="single" w:sz="4" w:space="0" w:color="auto"/>
              <w:right w:val="single" w:sz="4" w:space="0" w:color="auto"/>
            </w:tcBorders>
            <w:shd w:val="clear" w:color="auto" w:fill="auto"/>
            <w:vAlign w:val="bottom"/>
          </w:tcPr>
          <w:p w14:paraId="72113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14.09</w:t>
            </w:r>
          </w:p>
        </w:tc>
        <w:tc>
          <w:tcPr>
            <w:tcW w:w="814" w:type="dxa"/>
            <w:tcBorders>
              <w:top w:val="nil"/>
              <w:left w:val="nil"/>
              <w:bottom w:val="single" w:sz="4" w:space="0" w:color="auto"/>
              <w:right w:val="single" w:sz="4" w:space="0" w:color="auto"/>
            </w:tcBorders>
            <w:shd w:val="clear" w:color="auto" w:fill="auto"/>
            <w:vAlign w:val="bottom"/>
          </w:tcPr>
          <w:p w14:paraId="1A9665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27.57</w:t>
            </w:r>
          </w:p>
        </w:tc>
        <w:tc>
          <w:tcPr>
            <w:tcW w:w="1134" w:type="dxa"/>
            <w:tcBorders>
              <w:top w:val="nil"/>
              <w:left w:val="nil"/>
              <w:bottom w:val="single" w:sz="4" w:space="0" w:color="auto"/>
              <w:right w:val="single" w:sz="4" w:space="0" w:color="auto"/>
            </w:tcBorders>
            <w:shd w:val="clear" w:color="auto" w:fill="auto"/>
            <w:vAlign w:val="bottom"/>
          </w:tcPr>
          <w:p w14:paraId="16B152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36.06</w:t>
            </w:r>
          </w:p>
        </w:tc>
        <w:tc>
          <w:tcPr>
            <w:tcW w:w="850" w:type="dxa"/>
            <w:tcBorders>
              <w:top w:val="nil"/>
              <w:left w:val="nil"/>
              <w:bottom w:val="single" w:sz="4" w:space="0" w:color="auto"/>
              <w:right w:val="single" w:sz="4" w:space="0" w:color="auto"/>
            </w:tcBorders>
            <w:shd w:val="clear" w:color="auto" w:fill="auto"/>
            <w:vAlign w:val="bottom"/>
          </w:tcPr>
          <w:p w14:paraId="2BAFA5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22.10</w:t>
            </w:r>
          </w:p>
        </w:tc>
        <w:tc>
          <w:tcPr>
            <w:tcW w:w="851" w:type="dxa"/>
            <w:tcBorders>
              <w:top w:val="nil"/>
              <w:left w:val="nil"/>
              <w:bottom w:val="single" w:sz="4" w:space="0" w:color="auto"/>
              <w:right w:val="single" w:sz="4" w:space="0" w:color="auto"/>
            </w:tcBorders>
            <w:shd w:val="clear" w:color="auto" w:fill="auto"/>
            <w:vAlign w:val="bottom"/>
          </w:tcPr>
          <w:p w14:paraId="0C7D26E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46.39</w:t>
            </w:r>
          </w:p>
        </w:tc>
        <w:tc>
          <w:tcPr>
            <w:tcW w:w="788" w:type="dxa"/>
            <w:tcBorders>
              <w:top w:val="nil"/>
              <w:left w:val="nil"/>
              <w:bottom w:val="single" w:sz="4" w:space="0" w:color="auto"/>
              <w:right w:val="single" w:sz="4" w:space="0" w:color="auto"/>
            </w:tcBorders>
            <w:shd w:val="clear" w:color="auto" w:fill="auto"/>
            <w:vAlign w:val="bottom"/>
          </w:tcPr>
          <w:p w14:paraId="384B23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65.88</w:t>
            </w:r>
          </w:p>
        </w:tc>
        <w:tc>
          <w:tcPr>
            <w:tcW w:w="902" w:type="dxa"/>
            <w:tcBorders>
              <w:top w:val="nil"/>
              <w:left w:val="nil"/>
              <w:bottom w:val="single" w:sz="4" w:space="0" w:color="auto"/>
              <w:right w:val="single" w:sz="4" w:space="0" w:color="auto"/>
            </w:tcBorders>
            <w:shd w:val="clear" w:color="auto" w:fill="auto"/>
            <w:vAlign w:val="bottom"/>
          </w:tcPr>
          <w:p w14:paraId="35ADD5B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73.68</w:t>
            </w:r>
          </w:p>
        </w:tc>
      </w:tr>
      <w:tr w:rsidR="007C4365" w14:paraId="1EE4A2B8"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FE31198"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0526B9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036" w:type="dxa"/>
            <w:tcBorders>
              <w:top w:val="nil"/>
              <w:left w:val="nil"/>
              <w:bottom w:val="single" w:sz="4" w:space="0" w:color="auto"/>
              <w:right w:val="single" w:sz="4" w:space="0" w:color="auto"/>
            </w:tcBorders>
            <w:shd w:val="clear" w:color="auto" w:fill="auto"/>
            <w:noWrap/>
            <w:vAlign w:val="bottom"/>
            <w:hideMark/>
          </w:tcPr>
          <w:p w14:paraId="3999EB3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038" w:type="dxa"/>
            <w:tcBorders>
              <w:top w:val="nil"/>
              <w:left w:val="nil"/>
              <w:bottom w:val="single" w:sz="4" w:space="0" w:color="auto"/>
              <w:right w:val="single" w:sz="4" w:space="0" w:color="auto"/>
            </w:tcBorders>
            <w:shd w:val="clear" w:color="auto" w:fill="auto"/>
            <w:noWrap/>
            <w:vAlign w:val="bottom"/>
            <w:hideMark/>
          </w:tcPr>
          <w:p w14:paraId="60E102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210" w:type="dxa"/>
            <w:tcBorders>
              <w:top w:val="nil"/>
              <w:left w:val="nil"/>
              <w:bottom w:val="single" w:sz="4" w:space="0" w:color="auto"/>
              <w:right w:val="single" w:sz="4" w:space="0" w:color="auto"/>
            </w:tcBorders>
            <w:shd w:val="clear" w:color="auto" w:fill="auto"/>
            <w:noWrap/>
            <w:vAlign w:val="bottom"/>
            <w:hideMark/>
          </w:tcPr>
          <w:p w14:paraId="331C915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038" w:type="dxa"/>
            <w:tcBorders>
              <w:top w:val="nil"/>
              <w:left w:val="nil"/>
              <w:bottom w:val="single" w:sz="4" w:space="0" w:color="auto"/>
              <w:right w:val="single" w:sz="4" w:space="0" w:color="auto"/>
            </w:tcBorders>
            <w:shd w:val="clear" w:color="auto" w:fill="auto"/>
            <w:noWrap/>
            <w:vAlign w:val="bottom"/>
            <w:hideMark/>
          </w:tcPr>
          <w:p w14:paraId="69FFD9FE"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036" w:type="dxa"/>
            <w:tcBorders>
              <w:top w:val="nil"/>
              <w:left w:val="nil"/>
              <w:bottom w:val="single" w:sz="4" w:space="0" w:color="auto"/>
              <w:right w:val="single" w:sz="4" w:space="0" w:color="auto"/>
            </w:tcBorders>
            <w:shd w:val="clear" w:color="auto" w:fill="auto"/>
            <w:vAlign w:val="bottom"/>
          </w:tcPr>
          <w:p w14:paraId="175AD1F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203" w:type="dxa"/>
            <w:tcBorders>
              <w:top w:val="nil"/>
              <w:left w:val="nil"/>
              <w:bottom w:val="single" w:sz="4" w:space="0" w:color="auto"/>
              <w:right w:val="single" w:sz="4" w:space="0" w:color="auto"/>
            </w:tcBorders>
            <w:shd w:val="clear" w:color="auto" w:fill="auto"/>
            <w:vAlign w:val="bottom"/>
          </w:tcPr>
          <w:p w14:paraId="1236EC9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14" w:type="dxa"/>
            <w:tcBorders>
              <w:top w:val="nil"/>
              <w:left w:val="nil"/>
              <w:bottom w:val="single" w:sz="4" w:space="0" w:color="auto"/>
              <w:right w:val="single" w:sz="4" w:space="0" w:color="auto"/>
            </w:tcBorders>
            <w:shd w:val="clear" w:color="auto" w:fill="auto"/>
            <w:vAlign w:val="bottom"/>
          </w:tcPr>
          <w:p w14:paraId="6020401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134" w:type="dxa"/>
            <w:tcBorders>
              <w:top w:val="nil"/>
              <w:left w:val="nil"/>
              <w:bottom w:val="single" w:sz="4" w:space="0" w:color="auto"/>
              <w:right w:val="single" w:sz="4" w:space="0" w:color="auto"/>
            </w:tcBorders>
            <w:shd w:val="clear" w:color="auto" w:fill="auto"/>
            <w:vAlign w:val="bottom"/>
          </w:tcPr>
          <w:p w14:paraId="504792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50" w:type="dxa"/>
            <w:tcBorders>
              <w:top w:val="nil"/>
              <w:left w:val="nil"/>
              <w:bottom w:val="single" w:sz="4" w:space="0" w:color="auto"/>
              <w:right w:val="single" w:sz="4" w:space="0" w:color="auto"/>
            </w:tcBorders>
            <w:shd w:val="clear" w:color="auto" w:fill="auto"/>
            <w:vAlign w:val="bottom"/>
          </w:tcPr>
          <w:p w14:paraId="64C3015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851" w:type="dxa"/>
            <w:tcBorders>
              <w:top w:val="nil"/>
              <w:left w:val="nil"/>
              <w:bottom w:val="single" w:sz="4" w:space="0" w:color="auto"/>
              <w:right w:val="single" w:sz="4" w:space="0" w:color="auto"/>
            </w:tcBorders>
            <w:shd w:val="clear" w:color="auto" w:fill="auto"/>
            <w:vAlign w:val="bottom"/>
          </w:tcPr>
          <w:p w14:paraId="28180B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788" w:type="dxa"/>
            <w:tcBorders>
              <w:top w:val="nil"/>
              <w:left w:val="nil"/>
              <w:bottom w:val="single" w:sz="4" w:space="0" w:color="auto"/>
              <w:right w:val="single" w:sz="4" w:space="0" w:color="auto"/>
            </w:tcBorders>
            <w:shd w:val="clear" w:color="auto" w:fill="auto"/>
            <w:vAlign w:val="bottom"/>
          </w:tcPr>
          <w:p w14:paraId="3D7569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902" w:type="dxa"/>
            <w:tcBorders>
              <w:top w:val="nil"/>
              <w:left w:val="nil"/>
              <w:bottom w:val="single" w:sz="4" w:space="0" w:color="auto"/>
              <w:right w:val="single" w:sz="4" w:space="0" w:color="auto"/>
            </w:tcBorders>
            <w:shd w:val="clear" w:color="auto" w:fill="auto"/>
            <w:vAlign w:val="bottom"/>
          </w:tcPr>
          <w:p w14:paraId="5C4A066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0A90E86F"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444325A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5F07D2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proofErr w:type="spellStart"/>
            <w:proofErr w:type="gramStart"/>
            <w:r>
              <w:rPr>
                <w:rFonts w:ascii="Times New Roman" w:eastAsia="Times New Roman" w:hAnsi="Times New Roman" w:cs="Times New Roman"/>
                <w:b/>
                <w:bCs/>
                <w:sz w:val="24"/>
                <w:szCs w:val="24"/>
                <w:lang w:val="en-GB" w:eastAsia="en-GB"/>
              </w:rPr>
              <w:t>S.Ed</w:t>
            </w:r>
            <w:proofErr w:type="spellEnd"/>
            <w:proofErr w:type="gramEnd"/>
            <w:r>
              <w:rPr>
                <w:rFonts w:ascii="Times New Roman" w:eastAsia="Times New Roman" w:hAnsi="Times New Roman" w:cs="Times New Roman"/>
                <w:b/>
                <w:bCs/>
                <w:sz w:val="24"/>
                <w:szCs w:val="24"/>
                <w:lang w:val="en-GB" w:eastAsia="en-GB"/>
              </w:rPr>
              <w:t xml:space="preserve">  (+)</w:t>
            </w:r>
          </w:p>
        </w:tc>
        <w:tc>
          <w:tcPr>
            <w:tcW w:w="1036" w:type="dxa"/>
            <w:tcBorders>
              <w:top w:val="nil"/>
              <w:left w:val="nil"/>
              <w:bottom w:val="single" w:sz="4" w:space="0" w:color="auto"/>
              <w:right w:val="single" w:sz="4" w:space="0" w:color="auto"/>
            </w:tcBorders>
            <w:shd w:val="clear" w:color="auto" w:fill="auto"/>
            <w:noWrap/>
            <w:vAlign w:val="bottom"/>
          </w:tcPr>
          <w:p w14:paraId="4A1AD5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0.761</w:t>
            </w:r>
          </w:p>
        </w:tc>
        <w:tc>
          <w:tcPr>
            <w:tcW w:w="1038" w:type="dxa"/>
            <w:tcBorders>
              <w:top w:val="nil"/>
              <w:left w:val="nil"/>
              <w:bottom w:val="single" w:sz="4" w:space="0" w:color="auto"/>
              <w:right w:val="single" w:sz="4" w:space="0" w:color="auto"/>
            </w:tcBorders>
            <w:shd w:val="clear" w:color="auto" w:fill="auto"/>
            <w:noWrap/>
            <w:vAlign w:val="bottom"/>
          </w:tcPr>
          <w:p w14:paraId="027D2B9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0.470</w:t>
            </w:r>
          </w:p>
        </w:tc>
        <w:tc>
          <w:tcPr>
            <w:tcW w:w="1210" w:type="dxa"/>
            <w:tcBorders>
              <w:top w:val="nil"/>
              <w:left w:val="nil"/>
              <w:bottom w:val="single" w:sz="4" w:space="0" w:color="auto"/>
              <w:right w:val="single" w:sz="4" w:space="0" w:color="auto"/>
            </w:tcBorders>
            <w:shd w:val="clear" w:color="auto" w:fill="auto"/>
            <w:noWrap/>
            <w:vAlign w:val="bottom"/>
          </w:tcPr>
          <w:p w14:paraId="16FE6AD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0.337</w:t>
            </w:r>
          </w:p>
        </w:tc>
        <w:tc>
          <w:tcPr>
            <w:tcW w:w="1038" w:type="dxa"/>
            <w:tcBorders>
              <w:top w:val="nil"/>
              <w:left w:val="nil"/>
              <w:bottom w:val="single" w:sz="4" w:space="0" w:color="auto"/>
              <w:right w:val="single" w:sz="4" w:space="0" w:color="auto"/>
            </w:tcBorders>
            <w:shd w:val="clear" w:color="auto" w:fill="auto"/>
            <w:noWrap/>
            <w:vAlign w:val="bottom"/>
          </w:tcPr>
          <w:p w14:paraId="3955A747"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0.469</w:t>
            </w:r>
          </w:p>
        </w:tc>
        <w:tc>
          <w:tcPr>
            <w:tcW w:w="1036" w:type="dxa"/>
            <w:tcBorders>
              <w:top w:val="nil"/>
              <w:left w:val="nil"/>
              <w:bottom w:val="single" w:sz="4" w:space="0" w:color="auto"/>
              <w:right w:val="single" w:sz="4" w:space="0" w:color="auto"/>
            </w:tcBorders>
            <w:shd w:val="clear" w:color="auto" w:fill="auto"/>
            <w:vAlign w:val="bottom"/>
          </w:tcPr>
          <w:p w14:paraId="25FF323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0.225</w:t>
            </w:r>
          </w:p>
        </w:tc>
        <w:tc>
          <w:tcPr>
            <w:tcW w:w="1203" w:type="dxa"/>
            <w:tcBorders>
              <w:top w:val="nil"/>
              <w:left w:val="nil"/>
              <w:bottom w:val="single" w:sz="4" w:space="0" w:color="auto"/>
              <w:right w:val="single" w:sz="4" w:space="0" w:color="auto"/>
            </w:tcBorders>
            <w:shd w:val="clear" w:color="auto" w:fill="auto"/>
            <w:vAlign w:val="bottom"/>
          </w:tcPr>
          <w:p w14:paraId="4A368FF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0.222</w:t>
            </w:r>
          </w:p>
        </w:tc>
        <w:tc>
          <w:tcPr>
            <w:tcW w:w="814" w:type="dxa"/>
            <w:tcBorders>
              <w:top w:val="nil"/>
              <w:left w:val="nil"/>
              <w:bottom w:val="single" w:sz="4" w:space="0" w:color="auto"/>
              <w:right w:val="single" w:sz="4" w:space="0" w:color="auto"/>
            </w:tcBorders>
            <w:shd w:val="clear" w:color="auto" w:fill="auto"/>
            <w:vAlign w:val="bottom"/>
          </w:tcPr>
          <w:p w14:paraId="2A3E00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0.449</w:t>
            </w:r>
          </w:p>
        </w:tc>
        <w:tc>
          <w:tcPr>
            <w:tcW w:w="1134" w:type="dxa"/>
            <w:tcBorders>
              <w:top w:val="nil"/>
              <w:left w:val="nil"/>
              <w:bottom w:val="single" w:sz="4" w:space="0" w:color="auto"/>
              <w:right w:val="single" w:sz="4" w:space="0" w:color="auto"/>
            </w:tcBorders>
            <w:shd w:val="clear" w:color="auto" w:fill="auto"/>
            <w:vAlign w:val="bottom"/>
          </w:tcPr>
          <w:p w14:paraId="2795B0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0.602</w:t>
            </w:r>
          </w:p>
        </w:tc>
        <w:tc>
          <w:tcPr>
            <w:tcW w:w="850" w:type="dxa"/>
            <w:tcBorders>
              <w:top w:val="nil"/>
              <w:left w:val="nil"/>
              <w:bottom w:val="single" w:sz="4" w:space="0" w:color="auto"/>
              <w:right w:val="single" w:sz="4" w:space="0" w:color="auto"/>
            </w:tcBorders>
            <w:shd w:val="clear" w:color="auto" w:fill="auto"/>
            <w:vAlign w:val="bottom"/>
          </w:tcPr>
          <w:p w14:paraId="34A9583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1.330</w:t>
            </w:r>
          </w:p>
        </w:tc>
        <w:tc>
          <w:tcPr>
            <w:tcW w:w="851" w:type="dxa"/>
            <w:tcBorders>
              <w:top w:val="nil"/>
              <w:left w:val="nil"/>
              <w:bottom w:val="single" w:sz="4" w:space="0" w:color="auto"/>
              <w:right w:val="single" w:sz="4" w:space="0" w:color="auto"/>
            </w:tcBorders>
            <w:shd w:val="clear" w:color="auto" w:fill="auto"/>
            <w:vAlign w:val="bottom"/>
          </w:tcPr>
          <w:p w14:paraId="5FA8FF0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0.706</w:t>
            </w:r>
          </w:p>
        </w:tc>
        <w:tc>
          <w:tcPr>
            <w:tcW w:w="788" w:type="dxa"/>
            <w:tcBorders>
              <w:top w:val="nil"/>
              <w:left w:val="nil"/>
              <w:bottom w:val="single" w:sz="4" w:space="0" w:color="auto"/>
              <w:right w:val="single" w:sz="4" w:space="0" w:color="auto"/>
            </w:tcBorders>
            <w:shd w:val="clear" w:color="auto" w:fill="auto"/>
            <w:vAlign w:val="bottom"/>
          </w:tcPr>
          <w:p w14:paraId="714BB3D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0.802</w:t>
            </w:r>
          </w:p>
        </w:tc>
        <w:tc>
          <w:tcPr>
            <w:tcW w:w="902" w:type="dxa"/>
            <w:tcBorders>
              <w:top w:val="nil"/>
              <w:left w:val="nil"/>
              <w:bottom w:val="single" w:sz="4" w:space="0" w:color="auto"/>
              <w:right w:val="single" w:sz="4" w:space="0" w:color="auto"/>
            </w:tcBorders>
            <w:shd w:val="clear" w:color="auto" w:fill="auto"/>
            <w:vAlign w:val="bottom"/>
          </w:tcPr>
          <w:p w14:paraId="003EF6D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0.718</w:t>
            </w:r>
          </w:p>
        </w:tc>
      </w:tr>
      <w:tr w:rsidR="007C4365" w14:paraId="6C5D6594"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743198A1"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2DB94A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036" w:type="dxa"/>
            <w:tcBorders>
              <w:top w:val="nil"/>
              <w:left w:val="nil"/>
              <w:bottom w:val="single" w:sz="4" w:space="0" w:color="auto"/>
              <w:right w:val="single" w:sz="4" w:space="0" w:color="auto"/>
            </w:tcBorders>
            <w:shd w:val="clear" w:color="auto" w:fill="auto"/>
            <w:noWrap/>
            <w:vAlign w:val="bottom"/>
          </w:tcPr>
          <w:p w14:paraId="3869CC9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1.632</w:t>
            </w:r>
          </w:p>
        </w:tc>
        <w:tc>
          <w:tcPr>
            <w:tcW w:w="1038" w:type="dxa"/>
            <w:tcBorders>
              <w:top w:val="nil"/>
              <w:left w:val="nil"/>
              <w:bottom w:val="single" w:sz="4" w:space="0" w:color="auto"/>
              <w:right w:val="single" w:sz="4" w:space="0" w:color="auto"/>
            </w:tcBorders>
            <w:shd w:val="clear" w:color="auto" w:fill="auto"/>
            <w:noWrap/>
            <w:vAlign w:val="bottom"/>
          </w:tcPr>
          <w:p w14:paraId="4DDB444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1.009 </w:t>
            </w:r>
          </w:p>
        </w:tc>
        <w:tc>
          <w:tcPr>
            <w:tcW w:w="1210" w:type="dxa"/>
            <w:tcBorders>
              <w:top w:val="nil"/>
              <w:left w:val="nil"/>
              <w:bottom w:val="single" w:sz="4" w:space="0" w:color="auto"/>
              <w:right w:val="single" w:sz="4" w:space="0" w:color="auto"/>
            </w:tcBorders>
            <w:shd w:val="clear" w:color="auto" w:fill="auto"/>
            <w:noWrap/>
            <w:vAlign w:val="bottom"/>
          </w:tcPr>
          <w:p w14:paraId="6FD830A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0.722 </w:t>
            </w:r>
          </w:p>
        </w:tc>
        <w:tc>
          <w:tcPr>
            <w:tcW w:w="1038" w:type="dxa"/>
            <w:tcBorders>
              <w:top w:val="nil"/>
              <w:left w:val="nil"/>
              <w:bottom w:val="single" w:sz="4" w:space="0" w:color="auto"/>
              <w:right w:val="single" w:sz="4" w:space="0" w:color="auto"/>
            </w:tcBorders>
            <w:shd w:val="clear" w:color="auto" w:fill="auto"/>
            <w:noWrap/>
            <w:vAlign w:val="bottom"/>
          </w:tcPr>
          <w:p w14:paraId="53D0AD4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1.005 </w:t>
            </w:r>
          </w:p>
        </w:tc>
        <w:tc>
          <w:tcPr>
            <w:tcW w:w="1036" w:type="dxa"/>
            <w:tcBorders>
              <w:top w:val="nil"/>
              <w:left w:val="nil"/>
              <w:bottom w:val="single" w:sz="4" w:space="0" w:color="auto"/>
              <w:right w:val="single" w:sz="4" w:space="0" w:color="auto"/>
            </w:tcBorders>
            <w:shd w:val="clear" w:color="auto" w:fill="auto"/>
            <w:vAlign w:val="bottom"/>
          </w:tcPr>
          <w:p w14:paraId="0795230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0.482 </w:t>
            </w:r>
          </w:p>
        </w:tc>
        <w:tc>
          <w:tcPr>
            <w:tcW w:w="1203" w:type="dxa"/>
            <w:tcBorders>
              <w:top w:val="nil"/>
              <w:left w:val="nil"/>
              <w:bottom w:val="single" w:sz="4" w:space="0" w:color="auto"/>
              <w:right w:val="single" w:sz="4" w:space="0" w:color="auto"/>
            </w:tcBorders>
            <w:shd w:val="clear" w:color="auto" w:fill="auto"/>
            <w:vAlign w:val="bottom"/>
          </w:tcPr>
          <w:p w14:paraId="7F6DF5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0.475 </w:t>
            </w:r>
          </w:p>
        </w:tc>
        <w:tc>
          <w:tcPr>
            <w:tcW w:w="814" w:type="dxa"/>
            <w:tcBorders>
              <w:top w:val="nil"/>
              <w:left w:val="nil"/>
              <w:bottom w:val="single" w:sz="4" w:space="0" w:color="auto"/>
              <w:right w:val="single" w:sz="4" w:space="0" w:color="auto"/>
            </w:tcBorders>
            <w:shd w:val="clear" w:color="auto" w:fill="auto"/>
            <w:vAlign w:val="bottom"/>
          </w:tcPr>
          <w:p w14:paraId="387891C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0.963 </w:t>
            </w:r>
          </w:p>
        </w:tc>
        <w:tc>
          <w:tcPr>
            <w:tcW w:w="1134" w:type="dxa"/>
            <w:tcBorders>
              <w:top w:val="nil"/>
              <w:left w:val="nil"/>
              <w:bottom w:val="single" w:sz="4" w:space="0" w:color="auto"/>
              <w:right w:val="single" w:sz="4" w:space="0" w:color="auto"/>
            </w:tcBorders>
            <w:shd w:val="clear" w:color="auto" w:fill="auto"/>
            <w:vAlign w:val="bottom"/>
          </w:tcPr>
          <w:p w14:paraId="047E25F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1.290 </w:t>
            </w:r>
          </w:p>
        </w:tc>
        <w:tc>
          <w:tcPr>
            <w:tcW w:w="850" w:type="dxa"/>
            <w:tcBorders>
              <w:top w:val="nil"/>
              <w:left w:val="nil"/>
              <w:bottom w:val="single" w:sz="4" w:space="0" w:color="auto"/>
              <w:right w:val="single" w:sz="4" w:space="0" w:color="auto"/>
            </w:tcBorders>
            <w:shd w:val="clear" w:color="auto" w:fill="auto"/>
            <w:vAlign w:val="bottom"/>
          </w:tcPr>
          <w:p w14:paraId="76841D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2.852</w:t>
            </w:r>
          </w:p>
        </w:tc>
        <w:tc>
          <w:tcPr>
            <w:tcW w:w="851" w:type="dxa"/>
            <w:tcBorders>
              <w:top w:val="nil"/>
              <w:left w:val="nil"/>
              <w:bottom w:val="single" w:sz="4" w:space="0" w:color="auto"/>
              <w:right w:val="single" w:sz="4" w:space="0" w:color="auto"/>
            </w:tcBorders>
            <w:shd w:val="clear" w:color="auto" w:fill="auto"/>
            <w:vAlign w:val="bottom"/>
          </w:tcPr>
          <w:p w14:paraId="456A83A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1.514 </w:t>
            </w:r>
          </w:p>
        </w:tc>
        <w:tc>
          <w:tcPr>
            <w:tcW w:w="788" w:type="dxa"/>
            <w:tcBorders>
              <w:top w:val="nil"/>
              <w:left w:val="nil"/>
              <w:bottom w:val="single" w:sz="4" w:space="0" w:color="auto"/>
              <w:right w:val="single" w:sz="4" w:space="0" w:color="auto"/>
            </w:tcBorders>
            <w:shd w:val="clear" w:color="auto" w:fill="auto"/>
            <w:vAlign w:val="bottom"/>
          </w:tcPr>
          <w:p w14:paraId="224913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1.720 </w:t>
            </w:r>
          </w:p>
        </w:tc>
        <w:tc>
          <w:tcPr>
            <w:tcW w:w="902" w:type="dxa"/>
            <w:tcBorders>
              <w:top w:val="nil"/>
              <w:left w:val="nil"/>
              <w:bottom w:val="single" w:sz="4" w:space="0" w:color="auto"/>
              <w:right w:val="single" w:sz="4" w:space="0" w:color="auto"/>
            </w:tcBorders>
            <w:shd w:val="clear" w:color="auto" w:fill="auto"/>
            <w:vAlign w:val="bottom"/>
          </w:tcPr>
          <w:p w14:paraId="6885B42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1.541 </w:t>
            </w:r>
          </w:p>
        </w:tc>
      </w:tr>
    </w:tbl>
    <w:p w14:paraId="560ED30E" w14:textId="77777777" w:rsidR="007C4365" w:rsidRDefault="007C4365">
      <w:pPr>
        <w:spacing w:line="301" w:lineRule="auto"/>
        <w:jc w:val="both"/>
        <w:rPr>
          <w:rFonts w:ascii="Times New Roman" w:hAnsi="Times New Roman" w:cs="Times New Roman"/>
          <w:b/>
          <w:i/>
          <w:iCs/>
          <w:sz w:val="24"/>
          <w:szCs w:val="24"/>
        </w:rPr>
      </w:pPr>
    </w:p>
    <w:p w14:paraId="11C39655" w14:textId="77777777" w:rsidR="007C4365" w:rsidRDefault="007C4365">
      <w:pPr>
        <w:spacing w:line="301" w:lineRule="auto"/>
        <w:jc w:val="both"/>
        <w:rPr>
          <w:rFonts w:ascii="Times New Roman" w:hAnsi="Times New Roman" w:cs="Times New Roman"/>
          <w:b/>
          <w:i/>
          <w:iCs/>
          <w:sz w:val="24"/>
          <w:szCs w:val="24"/>
        </w:rPr>
      </w:pPr>
    </w:p>
    <w:p w14:paraId="176AF0FB" w14:textId="77777777" w:rsidR="007C4365" w:rsidRDefault="007C4365">
      <w:pPr>
        <w:spacing w:line="301" w:lineRule="auto"/>
        <w:jc w:val="both"/>
        <w:rPr>
          <w:rFonts w:ascii="Times New Roman" w:hAnsi="Times New Roman" w:cs="Times New Roman"/>
          <w:b/>
          <w:i/>
          <w:iCs/>
          <w:sz w:val="24"/>
          <w:szCs w:val="24"/>
        </w:rPr>
      </w:pPr>
    </w:p>
    <w:p w14:paraId="7CAB8633" w14:textId="77777777" w:rsidR="007C4365" w:rsidRDefault="007C4365">
      <w:pPr>
        <w:spacing w:line="301" w:lineRule="auto"/>
        <w:jc w:val="both"/>
        <w:rPr>
          <w:rFonts w:ascii="Times New Roman" w:hAnsi="Times New Roman" w:cs="Times New Roman"/>
          <w:b/>
          <w:i/>
          <w:iCs/>
          <w:sz w:val="24"/>
          <w:szCs w:val="24"/>
        </w:rPr>
      </w:pPr>
    </w:p>
    <w:p w14:paraId="5B485B7F" w14:textId="77777777" w:rsidR="007C4365" w:rsidRDefault="007C4365">
      <w:pPr>
        <w:spacing w:line="301" w:lineRule="auto"/>
        <w:jc w:val="both"/>
        <w:rPr>
          <w:rFonts w:ascii="Times New Roman" w:hAnsi="Times New Roman" w:cs="Times New Roman"/>
          <w:b/>
          <w:i/>
          <w:iCs/>
          <w:sz w:val="24"/>
          <w:szCs w:val="24"/>
        </w:rPr>
      </w:pPr>
    </w:p>
    <w:p w14:paraId="01EAF27A" w14:textId="77777777"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Table 2:</w:t>
      </w:r>
      <w:r>
        <w:rPr>
          <w:rFonts w:ascii="Times New Roman" w:hAnsi="Times New Roman" w:cs="Times New Roman"/>
          <w:b/>
          <w:sz w:val="24"/>
          <w:szCs w:val="24"/>
        </w:rPr>
        <w:t xml:space="preserve"> Effect of zinc and boron on the yield and quality traits of the broccoli under the </w:t>
      </w:r>
      <w:proofErr w:type="spellStart"/>
      <w:r>
        <w:rPr>
          <w:rFonts w:ascii="Times New Roman" w:hAnsi="Times New Roman" w:cs="Times New Roman"/>
          <w:b/>
          <w:sz w:val="24"/>
          <w:szCs w:val="24"/>
        </w:rPr>
        <w:t>kanpur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agro</w:t>
      </w:r>
      <w:proofErr w:type="spellEnd"/>
      <w:r>
        <w:rPr>
          <w:rFonts w:ascii="Times New Roman" w:hAnsi="Times New Roman" w:cs="Times New Roman"/>
          <w:b/>
          <w:sz w:val="24"/>
          <w:szCs w:val="24"/>
        </w:rPr>
        <w:t xml:space="preserve"> climactic </w:t>
      </w:r>
      <w:proofErr w:type="gramStart"/>
      <w:r>
        <w:rPr>
          <w:rFonts w:ascii="Times New Roman" w:hAnsi="Times New Roman" w:cs="Times New Roman"/>
          <w:b/>
          <w:sz w:val="24"/>
          <w:szCs w:val="24"/>
        </w:rPr>
        <w:t xml:space="preserve">region  </w:t>
      </w:r>
      <w:r>
        <w:rPr>
          <w:rFonts w:ascii="Times New Roman" w:hAnsi="Times New Roman" w:cs="Times New Roman"/>
          <w:b/>
          <w:i/>
          <w:iCs/>
          <w:sz w:val="24"/>
          <w:szCs w:val="24"/>
        </w:rPr>
        <w:t>(</w:t>
      </w:r>
      <w:proofErr w:type="gramEnd"/>
      <w:r>
        <w:rPr>
          <w:rFonts w:ascii="Times New Roman" w:hAnsi="Times New Roman" w:cs="Times New Roman"/>
          <w:b/>
          <w:i/>
          <w:iCs/>
          <w:sz w:val="24"/>
          <w:szCs w:val="24"/>
        </w:rPr>
        <w:t>Brassica oleracea L. var. Italica)</w:t>
      </w:r>
    </w:p>
    <w:tbl>
      <w:tblPr>
        <w:tblpPr w:leftFromText="180" w:rightFromText="180" w:vertAnchor="text" w:tblpY="1"/>
        <w:tblOverlap w:val="neve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973"/>
        <w:gridCol w:w="1485"/>
        <w:gridCol w:w="1485"/>
        <w:gridCol w:w="1485"/>
        <w:gridCol w:w="1485"/>
        <w:gridCol w:w="1485"/>
        <w:gridCol w:w="1485"/>
        <w:gridCol w:w="1485"/>
      </w:tblGrid>
      <w:tr w:rsidR="007C4365" w14:paraId="06FCC2E5" w14:textId="77777777">
        <w:trPr>
          <w:trHeight w:val="286"/>
        </w:trPr>
        <w:tc>
          <w:tcPr>
            <w:tcW w:w="1513" w:type="dxa"/>
            <w:vAlign w:val="center"/>
          </w:tcPr>
          <w:p w14:paraId="2D64F5E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973" w:type="dxa"/>
            <w:vAlign w:val="center"/>
          </w:tcPr>
          <w:p w14:paraId="153A98F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1485" w:type="dxa"/>
            <w:vAlign w:val="center"/>
          </w:tcPr>
          <w:p w14:paraId="040B9B8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diameter (cm)</w:t>
            </w:r>
          </w:p>
        </w:tc>
        <w:tc>
          <w:tcPr>
            <w:tcW w:w="1485" w:type="dxa"/>
            <w:vAlign w:val="center"/>
          </w:tcPr>
          <w:p w14:paraId="4C5AEC7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untrimmed curd (g)</w:t>
            </w:r>
          </w:p>
        </w:tc>
        <w:tc>
          <w:tcPr>
            <w:tcW w:w="1485" w:type="dxa"/>
            <w:vAlign w:val="center"/>
          </w:tcPr>
          <w:p w14:paraId="572EDB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trimmed curd (g)</w:t>
            </w:r>
          </w:p>
        </w:tc>
        <w:tc>
          <w:tcPr>
            <w:tcW w:w="1485" w:type="dxa"/>
            <w:vAlign w:val="center"/>
          </w:tcPr>
          <w:p w14:paraId="3B94E2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per plot (kg)</w:t>
            </w:r>
          </w:p>
        </w:tc>
        <w:tc>
          <w:tcPr>
            <w:tcW w:w="1485" w:type="dxa"/>
            <w:vAlign w:val="center"/>
          </w:tcPr>
          <w:p w14:paraId="59AEE0A8"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(q ha-1)</w:t>
            </w:r>
          </w:p>
        </w:tc>
        <w:tc>
          <w:tcPr>
            <w:tcW w:w="1485" w:type="dxa"/>
            <w:vAlign w:val="center"/>
          </w:tcPr>
          <w:p w14:paraId="24ED71E3"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Total soluble solid (°Brix)</w:t>
            </w:r>
          </w:p>
        </w:tc>
        <w:tc>
          <w:tcPr>
            <w:tcW w:w="1485" w:type="dxa"/>
            <w:vAlign w:val="center"/>
          </w:tcPr>
          <w:p w14:paraId="4436D7A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(mg / 100 g edible portion)</w:t>
            </w:r>
          </w:p>
        </w:tc>
      </w:tr>
      <w:tr w:rsidR="007C4365" w14:paraId="188B2CA8" w14:textId="77777777">
        <w:trPr>
          <w:trHeight w:val="165"/>
        </w:trPr>
        <w:tc>
          <w:tcPr>
            <w:tcW w:w="1513" w:type="dxa"/>
            <w:shd w:val="clear" w:color="auto" w:fill="auto"/>
            <w:vAlign w:val="center"/>
            <w:hideMark/>
          </w:tcPr>
          <w:p w14:paraId="29CD83C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973" w:type="dxa"/>
            <w:shd w:val="clear" w:color="auto" w:fill="auto"/>
            <w:noWrap/>
            <w:vAlign w:val="bottom"/>
            <w:hideMark/>
          </w:tcPr>
          <w:p w14:paraId="4C44AF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485" w:type="dxa"/>
            <w:vAlign w:val="bottom"/>
          </w:tcPr>
          <w:p w14:paraId="01FA60B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w:t>
            </w:r>
          </w:p>
        </w:tc>
        <w:tc>
          <w:tcPr>
            <w:tcW w:w="1485" w:type="dxa"/>
            <w:vAlign w:val="bottom"/>
          </w:tcPr>
          <w:p w14:paraId="7D5C9A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636.72</w:t>
            </w:r>
          </w:p>
        </w:tc>
        <w:tc>
          <w:tcPr>
            <w:tcW w:w="1485" w:type="dxa"/>
            <w:vAlign w:val="bottom"/>
          </w:tcPr>
          <w:p w14:paraId="64A8BA6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334.48</w:t>
            </w:r>
          </w:p>
        </w:tc>
        <w:tc>
          <w:tcPr>
            <w:tcW w:w="1485" w:type="dxa"/>
            <w:vAlign w:val="bottom"/>
          </w:tcPr>
          <w:p w14:paraId="3803A9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w:t>
            </w:r>
          </w:p>
        </w:tc>
        <w:tc>
          <w:tcPr>
            <w:tcW w:w="1485" w:type="dxa"/>
            <w:vAlign w:val="bottom"/>
          </w:tcPr>
          <w:p w14:paraId="7F9BD9BE"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74.23</w:t>
            </w:r>
          </w:p>
        </w:tc>
        <w:tc>
          <w:tcPr>
            <w:tcW w:w="1485" w:type="dxa"/>
            <w:vAlign w:val="bottom"/>
          </w:tcPr>
          <w:p w14:paraId="18FD41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1485" w:type="dxa"/>
            <w:vAlign w:val="bottom"/>
          </w:tcPr>
          <w:p w14:paraId="46CBEE8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108.37</w:t>
            </w:r>
          </w:p>
        </w:tc>
      </w:tr>
      <w:tr w:rsidR="007C4365" w14:paraId="51016EDA" w14:textId="77777777">
        <w:trPr>
          <w:trHeight w:val="165"/>
        </w:trPr>
        <w:tc>
          <w:tcPr>
            <w:tcW w:w="1513" w:type="dxa"/>
            <w:shd w:val="clear" w:color="auto" w:fill="auto"/>
            <w:vAlign w:val="center"/>
            <w:hideMark/>
          </w:tcPr>
          <w:p w14:paraId="2E3CD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973" w:type="dxa"/>
            <w:shd w:val="clear" w:color="auto" w:fill="auto"/>
            <w:noWrap/>
            <w:vAlign w:val="bottom"/>
            <w:hideMark/>
          </w:tcPr>
          <w:p w14:paraId="6F997C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485" w:type="dxa"/>
            <w:vAlign w:val="bottom"/>
          </w:tcPr>
          <w:p w14:paraId="6E40E7C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14.21</w:t>
            </w:r>
          </w:p>
        </w:tc>
        <w:tc>
          <w:tcPr>
            <w:tcW w:w="1485" w:type="dxa"/>
            <w:vAlign w:val="bottom"/>
          </w:tcPr>
          <w:p w14:paraId="4B08F4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674.21</w:t>
            </w:r>
          </w:p>
        </w:tc>
        <w:tc>
          <w:tcPr>
            <w:tcW w:w="1485" w:type="dxa"/>
            <w:vAlign w:val="bottom"/>
          </w:tcPr>
          <w:p w14:paraId="31A9A3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409.32</w:t>
            </w:r>
          </w:p>
        </w:tc>
        <w:tc>
          <w:tcPr>
            <w:tcW w:w="1485" w:type="dxa"/>
            <w:vAlign w:val="bottom"/>
          </w:tcPr>
          <w:p w14:paraId="53E60F8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1485" w:type="dxa"/>
            <w:vAlign w:val="bottom"/>
          </w:tcPr>
          <w:p w14:paraId="3BEF670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91.00</w:t>
            </w:r>
          </w:p>
        </w:tc>
        <w:tc>
          <w:tcPr>
            <w:tcW w:w="1485" w:type="dxa"/>
            <w:vAlign w:val="bottom"/>
          </w:tcPr>
          <w:p w14:paraId="6A4FF9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1485" w:type="dxa"/>
            <w:vAlign w:val="bottom"/>
          </w:tcPr>
          <w:p w14:paraId="1928E5B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117.04</w:t>
            </w:r>
          </w:p>
        </w:tc>
      </w:tr>
      <w:tr w:rsidR="007C4365" w14:paraId="1E9A87EF" w14:textId="77777777">
        <w:trPr>
          <w:trHeight w:val="165"/>
        </w:trPr>
        <w:tc>
          <w:tcPr>
            <w:tcW w:w="1513" w:type="dxa"/>
            <w:shd w:val="clear" w:color="auto" w:fill="auto"/>
            <w:vAlign w:val="center"/>
            <w:hideMark/>
          </w:tcPr>
          <w:p w14:paraId="3F06851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973" w:type="dxa"/>
            <w:shd w:val="clear" w:color="auto" w:fill="auto"/>
            <w:noWrap/>
            <w:vAlign w:val="bottom"/>
            <w:hideMark/>
          </w:tcPr>
          <w:p w14:paraId="782C089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485" w:type="dxa"/>
            <w:vAlign w:val="bottom"/>
          </w:tcPr>
          <w:p w14:paraId="4C5339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13.37</w:t>
            </w:r>
          </w:p>
        </w:tc>
        <w:tc>
          <w:tcPr>
            <w:tcW w:w="1485" w:type="dxa"/>
            <w:vAlign w:val="bottom"/>
          </w:tcPr>
          <w:p w14:paraId="2FC9A60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746.48</w:t>
            </w:r>
          </w:p>
        </w:tc>
        <w:tc>
          <w:tcPr>
            <w:tcW w:w="1485" w:type="dxa"/>
            <w:vAlign w:val="bottom"/>
          </w:tcPr>
          <w:p w14:paraId="65F2FB5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359.45</w:t>
            </w:r>
          </w:p>
        </w:tc>
        <w:tc>
          <w:tcPr>
            <w:tcW w:w="1485" w:type="dxa"/>
            <w:vAlign w:val="bottom"/>
          </w:tcPr>
          <w:p w14:paraId="35A1E7B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w:t>
            </w:r>
          </w:p>
        </w:tc>
        <w:tc>
          <w:tcPr>
            <w:tcW w:w="1485" w:type="dxa"/>
            <w:vAlign w:val="bottom"/>
          </w:tcPr>
          <w:p w14:paraId="1F424107"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79.94</w:t>
            </w:r>
          </w:p>
        </w:tc>
        <w:tc>
          <w:tcPr>
            <w:tcW w:w="1485" w:type="dxa"/>
            <w:vAlign w:val="bottom"/>
          </w:tcPr>
          <w:p w14:paraId="4BC5673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6F1548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114.34</w:t>
            </w:r>
          </w:p>
        </w:tc>
      </w:tr>
      <w:tr w:rsidR="007C4365" w14:paraId="2AF733EE" w14:textId="77777777">
        <w:trPr>
          <w:trHeight w:val="165"/>
        </w:trPr>
        <w:tc>
          <w:tcPr>
            <w:tcW w:w="1513" w:type="dxa"/>
            <w:shd w:val="clear" w:color="auto" w:fill="auto"/>
            <w:vAlign w:val="center"/>
            <w:hideMark/>
          </w:tcPr>
          <w:p w14:paraId="295D905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973" w:type="dxa"/>
            <w:shd w:val="clear" w:color="auto" w:fill="auto"/>
            <w:noWrap/>
            <w:vAlign w:val="bottom"/>
            <w:hideMark/>
          </w:tcPr>
          <w:p w14:paraId="05778CD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485" w:type="dxa"/>
            <w:vAlign w:val="bottom"/>
          </w:tcPr>
          <w:p w14:paraId="5662B3C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13.93</w:t>
            </w:r>
          </w:p>
        </w:tc>
        <w:tc>
          <w:tcPr>
            <w:tcW w:w="1485" w:type="dxa"/>
            <w:vAlign w:val="bottom"/>
          </w:tcPr>
          <w:p w14:paraId="239892F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730.34</w:t>
            </w:r>
          </w:p>
        </w:tc>
        <w:tc>
          <w:tcPr>
            <w:tcW w:w="1485" w:type="dxa"/>
            <w:vAlign w:val="bottom"/>
          </w:tcPr>
          <w:p w14:paraId="2F4A0E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363.84</w:t>
            </w:r>
          </w:p>
        </w:tc>
        <w:tc>
          <w:tcPr>
            <w:tcW w:w="1485" w:type="dxa"/>
            <w:vAlign w:val="bottom"/>
          </w:tcPr>
          <w:p w14:paraId="4723D3F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w:t>
            </w:r>
          </w:p>
        </w:tc>
        <w:tc>
          <w:tcPr>
            <w:tcW w:w="1485" w:type="dxa"/>
            <w:vAlign w:val="bottom"/>
          </w:tcPr>
          <w:p w14:paraId="448818E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80.93</w:t>
            </w:r>
          </w:p>
        </w:tc>
        <w:tc>
          <w:tcPr>
            <w:tcW w:w="1485" w:type="dxa"/>
            <w:vAlign w:val="bottom"/>
          </w:tcPr>
          <w:p w14:paraId="343126A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3.73</w:t>
            </w:r>
          </w:p>
        </w:tc>
        <w:tc>
          <w:tcPr>
            <w:tcW w:w="1485" w:type="dxa"/>
            <w:vAlign w:val="bottom"/>
          </w:tcPr>
          <w:p w14:paraId="5CA46D0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115.17</w:t>
            </w:r>
          </w:p>
        </w:tc>
      </w:tr>
      <w:tr w:rsidR="007C4365" w14:paraId="5A50D98C" w14:textId="77777777">
        <w:trPr>
          <w:trHeight w:val="165"/>
        </w:trPr>
        <w:tc>
          <w:tcPr>
            <w:tcW w:w="1513" w:type="dxa"/>
            <w:shd w:val="clear" w:color="auto" w:fill="auto"/>
            <w:vAlign w:val="center"/>
            <w:hideMark/>
          </w:tcPr>
          <w:p w14:paraId="689006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973" w:type="dxa"/>
            <w:shd w:val="clear" w:color="auto" w:fill="auto"/>
            <w:noWrap/>
            <w:vAlign w:val="bottom"/>
            <w:hideMark/>
          </w:tcPr>
          <w:p w14:paraId="785662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485" w:type="dxa"/>
            <w:vAlign w:val="bottom"/>
          </w:tcPr>
          <w:p w14:paraId="251DCC5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12.69</w:t>
            </w:r>
          </w:p>
        </w:tc>
        <w:tc>
          <w:tcPr>
            <w:tcW w:w="1485" w:type="dxa"/>
            <w:vAlign w:val="bottom"/>
          </w:tcPr>
          <w:p w14:paraId="03348F3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719.24</w:t>
            </w:r>
          </w:p>
        </w:tc>
        <w:tc>
          <w:tcPr>
            <w:tcW w:w="1485" w:type="dxa"/>
            <w:vAlign w:val="bottom"/>
          </w:tcPr>
          <w:p w14:paraId="12668BD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346.48</w:t>
            </w:r>
          </w:p>
        </w:tc>
        <w:tc>
          <w:tcPr>
            <w:tcW w:w="1485" w:type="dxa"/>
            <w:vAlign w:val="bottom"/>
          </w:tcPr>
          <w:p w14:paraId="030EA7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1485" w:type="dxa"/>
            <w:vAlign w:val="bottom"/>
          </w:tcPr>
          <w:p w14:paraId="6430101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76.67</w:t>
            </w:r>
          </w:p>
        </w:tc>
        <w:tc>
          <w:tcPr>
            <w:tcW w:w="1485" w:type="dxa"/>
            <w:vAlign w:val="bottom"/>
          </w:tcPr>
          <w:p w14:paraId="22E5F250"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3.35</w:t>
            </w:r>
          </w:p>
        </w:tc>
        <w:tc>
          <w:tcPr>
            <w:tcW w:w="1485" w:type="dxa"/>
            <w:vAlign w:val="bottom"/>
          </w:tcPr>
          <w:p w14:paraId="6A8DBB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109.88</w:t>
            </w:r>
          </w:p>
        </w:tc>
      </w:tr>
      <w:tr w:rsidR="007C4365" w14:paraId="415D349E" w14:textId="77777777">
        <w:trPr>
          <w:trHeight w:val="165"/>
        </w:trPr>
        <w:tc>
          <w:tcPr>
            <w:tcW w:w="1513" w:type="dxa"/>
            <w:shd w:val="clear" w:color="auto" w:fill="auto"/>
            <w:vAlign w:val="center"/>
            <w:hideMark/>
          </w:tcPr>
          <w:p w14:paraId="6AB6B3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973" w:type="dxa"/>
            <w:shd w:val="clear" w:color="auto" w:fill="auto"/>
            <w:noWrap/>
            <w:vAlign w:val="bottom"/>
            <w:hideMark/>
          </w:tcPr>
          <w:p w14:paraId="7E1758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485" w:type="dxa"/>
            <w:vAlign w:val="bottom"/>
          </w:tcPr>
          <w:p w14:paraId="60AAF4E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13.26</w:t>
            </w:r>
          </w:p>
        </w:tc>
        <w:tc>
          <w:tcPr>
            <w:tcW w:w="1485" w:type="dxa"/>
            <w:vAlign w:val="bottom"/>
          </w:tcPr>
          <w:p w14:paraId="19810F3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730.62</w:t>
            </w:r>
          </w:p>
        </w:tc>
        <w:tc>
          <w:tcPr>
            <w:tcW w:w="1485" w:type="dxa"/>
            <w:vAlign w:val="bottom"/>
          </w:tcPr>
          <w:p w14:paraId="073182A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355.25</w:t>
            </w:r>
          </w:p>
        </w:tc>
        <w:tc>
          <w:tcPr>
            <w:tcW w:w="1485" w:type="dxa"/>
            <w:vAlign w:val="bottom"/>
          </w:tcPr>
          <w:p w14:paraId="116E1A1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47EA7FA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79.39</w:t>
            </w:r>
          </w:p>
        </w:tc>
        <w:tc>
          <w:tcPr>
            <w:tcW w:w="1485" w:type="dxa"/>
            <w:vAlign w:val="bottom"/>
          </w:tcPr>
          <w:p w14:paraId="0A30DB9B"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w:t>
            </w:r>
          </w:p>
        </w:tc>
        <w:tc>
          <w:tcPr>
            <w:tcW w:w="1485" w:type="dxa"/>
            <w:vAlign w:val="bottom"/>
          </w:tcPr>
          <w:p w14:paraId="0F656EE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111.04</w:t>
            </w:r>
          </w:p>
        </w:tc>
      </w:tr>
      <w:tr w:rsidR="007C4365" w14:paraId="274033B5" w14:textId="77777777">
        <w:trPr>
          <w:trHeight w:val="286"/>
        </w:trPr>
        <w:tc>
          <w:tcPr>
            <w:tcW w:w="1513" w:type="dxa"/>
            <w:shd w:val="clear" w:color="auto" w:fill="auto"/>
            <w:vAlign w:val="center"/>
            <w:hideMark/>
          </w:tcPr>
          <w:p w14:paraId="2FB865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973" w:type="dxa"/>
            <w:shd w:val="clear" w:color="auto" w:fill="auto"/>
            <w:noWrap/>
            <w:vAlign w:val="bottom"/>
            <w:hideMark/>
          </w:tcPr>
          <w:p w14:paraId="502ABE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485" w:type="dxa"/>
            <w:vAlign w:val="bottom"/>
          </w:tcPr>
          <w:p w14:paraId="12C86A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15.02</w:t>
            </w:r>
          </w:p>
        </w:tc>
        <w:tc>
          <w:tcPr>
            <w:tcW w:w="1485" w:type="dxa"/>
            <w:vAlign w:val="bottom"/>
          </w:tcPr>
          <w:p w14:paraId="2DABBD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819.73</w:t>
            </w:r>
          </w:p>
        </w:tc>
        <w:tc>
          <w:tcPr>
            <w:tcW w:w="1485" w:type="dxa"/>
            <w:vAlign w:val="bottom"/>
          </w:tcPr>
          <w:p w14:paraId="308DAB4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418.27</w:t>
            </w:r>
          </w:p>
        </w:tc>
        <w:tc>
          <w:tcPr>
            <w:tcW w:w="1485" w:type="dxa"/>
            <w:vAlign w:val="bottom"/>
          </w:tcPr>
          <w:p w14:paraId="45F17A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w:t>
            </w:r>
          </w:p>
        </w:tc>
        <w:tc>
          <w:tcPr>
            <w:tcW w:w="1485" w:type="dxa"/>
            <w:vAlign w:val="bottom"/>
          </w:tcPr>
          <w:p w14:paraId="5BE6C63C"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93.14</w:t>
            </w:r>
          </w:p>
        </w:tc>
        <w:tc>
          <w:tcPr>
            <w:tcW w:w="1485" w:type="dxa"/>
            <w:vAlign w:val="bottom"/>
          </w:tcPr>
          <w:p w14:paraId="3F4FD6DF"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w:t>
            </w:r>
          </w:p>
        </w:tc>
        <w:tc>
          <w:tcPr>
            <w:tcW w:w="1485" w:type="dxa"/>
            <w:vAlign w:val="bottom"/>
          </w:tcPr>
          <w:p w14:paraId="74F2F22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119.66</w:t>
            </w:r>
          </w:p>
        </w:tc>
      </w:tr>
      <w:tr w:rsidR="007C4365" w14:paraId="561101A8" w14:textId="77777777">
        <w:trPr>
          <w:trHeight w:val="286"/>
        </w:trPr>
        <w:tc>
          <w:tcPr>
            <w:tcW w:w="1513" w:type="dxa"/>
            <w:shd w:val="clear" w:color="auto" w:fill="auto"/>
            <w:vAlign w:val="center"/>
            <w:hideMark/>
          </w:tcPr>
          <w:p w14:paraId="650C7E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973" w:type="dxa"/>
            <w:shd w:val="clear" w:color="auto" w:fill="auto"/>
            <w:noWrap/>
            <w:vAlign w:val="bottom"/>
            <w:hideMark/>
          </w:tcPr>
          <w:p w14:paraId="2B5D9C8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485" w:type="dxa"/>
            <w:vAlign w:val="bottom"/>
          </w:tcPr>
          <w:p w14:paraId="414A274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16.21</w:t>
            </w:r>
          </w:p>
        </w:tc>
        <w:tc>
          <w:tcPr>
            <w:tcW w:w="1485" w:type="dxa"/>
            <w:vAlign w:val="bottom"/>
          </w:tcPr>
          <w:p w14:paraId="54D1B8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894.00</w:t>
            </w:r>
          </w:p>
        </w:tc>
        <w:tc>
          <w:tcPr>
            <w:tcW w:w="1485" w:type="dxa"/>
            <w:vAlign w:val="bottom"/>
          </w:tcPr>
          <w:p w14:paraId="0CAEE47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428.51</w:t>
            </w:r>
          </w:p>
        </w:tc>
        <w:tc>
          <w:tcPr>
            <w:tcW w:w="1485" w:type="dxa"/>
            <w:vAlign w:val="bottom"/>
          </w:tcPr>
          <w:p w14:paraId="2C7F505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1485" w:type="dxa"/>
            <w:vAlign w:val="bottom"/>
          </w:tcPr>
          <w:p w14:paraId="2B3A12C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95.15</w:t>
            </w:r>
          </w:p>
        </w:tc>
        <w:tc>
          <w:tcPr>
            <w:tcW w:w="1485" w:type="dxa"/>
            <w:vAlign w:val="bottom"/>
          </w:tcPr>
          <w:p w14:paraId="6DEEB80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w:t>
            </w:r>
          </w:p>
        </w:tc>
        <w:tc>
          <w:tcPr>
            <w:tcW w:w="1485" w:type="dxa"/>
            <w:vAlign w:val="bottom"/>
          </w:tcPr>
          <w:p w14:paraId="7A16C1A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121.40</w:t>
            </w:r>
          </w:p>
        </w:tc>
      </w:tr>
      <w:tr w:rsidR="007C4365" w14:paraId="115F3CFC" w14:textId="77777777">
        <w:trPr>
          <w:trHeight w:val="143"/>
        </w:trPr>
        <w:tc>
          <w:tcPr>
            <w:tcW w:w="1513" w:type="dxa"/>
            <w:shd w:val="clear" w:color="auto" w:fill="auto"/>
            <w:vAlign w:val="center"/>
            <w:hideMark/>
          </w:tcPr>
          <w:p w14:paraId="657974F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7F88963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85" w:type="dxa"/>
            <w:vAlign w:val="bottom"/>
          </w:tcPr>
          <w:p w14:paraId="35F6E90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5C56D5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0A4040C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485" w:type="dxa"/>
            <w:vAlign w:val="bottom"/>
          </w:tcPr>
          <w:p w14:paraId="5E012F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6E756C7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29CE098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6050A88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55FCA5B8" w14:textId="77777777">
        <w:trPr>
          <w:trHeight w:val="143"/>
        </w:trPr>
        <w:tc>
          <w:tcPr>
            <w:tcW w:w="1513" w:type="dxa"/>
            <w:shd w:val="clear" w:color="auto" w:fill="auto"/>
            <w:vAlign w:val="center"/>
            <w:hideMark/>
          </w:tcPr>
          <w:p w14:paraId="0DB34A85"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323E81E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proofErr w:type="spellStart"/>
            <w:proofErr w:type="gramStart"/>
            <w:r>
              <w:rPr>
                <w:rFonts w:ascii="Times New Roman" w:eastAsia="Times New Roman" w:hAnsi="Times New Roman" w:cs="Times New Roman"/>
                <w:b/>
                <w:bCs/>
                <w:sz w:val="24"/>
                <w:szCs w:val="24"/>
                <w:lang w:val="en-GB" w:eastAsia="en-GB"/>
              </w:rPr>
              <w:t>S.Ed</w:t>
            </w:r>
            <w:proofErr w:type="spellEnd"/>
            <w:proofErr w:type="gramEnd"/>
            <w:r>
              <w:rPr>
                <w:rFonts w:ascii="Times New Roman" w:eastAsia="Times New Roman" w:hAnsi="Times New Roman" w:cs="Times New Roman"/>
                <w:b/>
                <w:bCs/>
                <w:sz w:val="24"/>
                <w:szCs w:val="24"/>
                <w:lang w:val="en-GB" w:eastAsia="en-GB"/>
              </w:rPr>
              <w:t xml:space="preserve">  (+)</w:t>
            </w:r>
          </w:p>
        </w:tc>
        <w:tc>
          <w:tcPr>
            <w:tcW w:w="1485" w:type="dxa"/>
            <w:vAlign w:val="bottom"/>
          </w:tcPr>
          <w:p w14:paraId="230AF7A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0.535</w:t>
            </w:r>
          </w:p>
        </w:tc>
        <w:tc>
          <w:tcPr>
            <w:tcW w:w="1485" w:type="dxa"/>
            <w:vAlign w:val="bottom"/>
          </w:tcPr>
          <w:p w14:paraId="76CB8EF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3.083 </w:t>
            </w:r>
          </w:p>
        </w:tc>
        <w:tc>
          <w:tcPr>
            <w:tcW w:w="1485" w:type="dxa"/>
            <w:vAlign w:val="bottom"/>
          </w:tcPr>
          <w:p w14:paraId="7A3991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3.308</w:t>
            </w:r>
          </w:p>
        </w:tc>
        <w:tc>
          <w:tcPr>
            <w:tcW w:w="1485" w:type="dxa"/>
            <w:vAlign w:val="bottom"/>
          </w:tcPr>
          <w:p w14:paraId="0D8F8C4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0.033 </w:t>
            </w:r>
          </w:p>
        </w:tc>
        <w:tc>
          <w:tcPr>
            <w:tcW w:w="1485" w:type="dxa"/>
            <w:vAlign w:val="bottom"/>
          </w:tcPr>
          <w:p w14:paraId="5705633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0.581</w:t>
            </w:r>
          </w:p>
        </w:tc>
        <w:tc>
          <w:tcPr>
            <w:tcW w:w="1485" w:type="dxa"/>
            <w:vAlign w:val="bottom"/>
          </w:tcPr>
          <w:p w14:paraId="04BC5CF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0.051</w:t>
            </w:r>
          </w:p>
        </w:tc>
        <w:tc>
          <w:tcPr>
            <w:tcW w:w="1485" w:type="dxa"/>
            <w:vAlign w:val="bottom"/>
          </w:tcPr>
          <w:p w14:paraId="494779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0.820</w:t>
            </w:r>
          </w:p>
        </w:tc>
      </w:tr>
      <w:tr w:rsidR="007C4365" w14:paraId="2010B9C1" w14:textId="77777777">
        <w:trPr>
          <w:trHeight w:val="143"/>
        </w:trPr>
        <w:tc>
          <w:tcPr>
            <w:tcW w:w="1513" w:type="dxa"/>
            <w:shd w:val="clear" w:color="auto" w:fill="auto"/>
            <w:vAlign w:val="center"/>
            <w:hideMark/>
          </w:tcPr>
          <w:p w14:paraId="586E5930"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1C605C0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85" w:type="dxa"/>
            <w:vAlign w:val="bottom"/>
          </w:tcPr>
          <w:p w14:paraId="37B67CD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1.148 </w:t>
            </w:r>
          </w:p>
        </w:tc>
        <w:tc>
          <w:tcPr>
            <w:tcW w:w="1485" w:type="dxa"/>
            <w:vAlign w:val="bottom"/>
          </w:tcPr>
          <w:p w14:paraId="6EDFFBD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6.612</w:t>
            </w:r>
          </w:p>
        </w:tc>
        <w:tc>
          <w:tcPr>
            <w:tcW w:w="1485" w:type="dxa"/>
            <w:vAlign w:val="bottom"/>
          </w:tcPr>
          <w:p w14:paraId="21CDB96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7.096</w:t>
            </w:r>
          </w:p>
        </w:tc>
        <w:tc>
          <w:tcPr>
            <w:tcW w:w="1485" w:type="dxa"/>
            <w:vAlign w:val="bottom"/>
          </w:tcPr>
          <w:p w14:paraId="6C4F85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0.071</w:t>
            </w:r>
          </w:p>
        </w:tc>
        <w:tc>
          <w:tcPr>
            <w:tcW w:w="1485" w:type="dxa"/>
            <w:vAlign w:val="bottom"/>
          </w:tcPr>
          <w:p w14:paraId="41C934F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1.247</w:t>
            </w:r>
          </w:p>
        </w:tc>
        <w:tc>
          <w:tcPr>
            <w:tcW w:w="1485" w:type="dxa"/>
            <w:vAlign w:val="bottom"/>
          </w:tcPr>
          <w:p w14:paraId="5F00C06A"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0.110</w:t>
            </w:r>
          </w:p>
        </w:tc>
        <w:tc>
          <w:tcPr>
            <w:tcW w:w="1485" w:type="dxa"/>
            <w:vAlign w:val="bottom"/>
          </w:tcPr>
          <w:p w14:paraId="3AE28B8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1.759</w:t>
            </w:r>
          </w:p>
        </w:tc>
      </w:tr>
    </w:tbl>
    <w:p w14:paraId="3CB2DB8F" w14:textId="77777777" w:rsidR="007C4365" w:rsidRDefault="007C4365">
      <w:pPr>
        <w:spacing w:line="301" w:lineRule="auto"/>
        <w:jc w:val="both"/>
        <w:rPr>
          <w:rFonts w:ascii="Times New Roman" w:hAnsi="Times New Roman" w:cs="Times New Roman"/>
          <w:b/>
          <w:i/>
          <w:iCs/>
          <w:sz w:val="24"/>
          <w:szCs w:val="24"/>
        </w:rPr>
      </w:pPr>
    </w:p>
    <w:p w14:paraId="349DCA80" w14:textId="77777777" w:rsidR="007C4365" w:rsidRDefault="00E3017B">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w:t>
      </w:r>
    </w:p>
    <w:sectPr w:rsidR="007C4365">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9372" w14:textId="77777777" w:rsidR="006B720C" w:rsidRDefault="006B720C" w:rsidP="0098541D">
      <w:pPr>
        <w:spacing w:after="0" w:line="240" w:lineRule="auto"/>
      </w:pPr>
      <w:r>
        <w:separator/>
      </w:r>
    </w:p>
  </w:endnote>
  <w:endnote w:type="continuationSeparator" w:id="0">
    <w:p w14:paraId="7E06648F" w14:textId="77777777" w:rsidR="006B720C" w:rsidRDefault="006B720C" w:rsidP="0098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01B8" w14:textId="77777777" w:rsidR="0098541D" w:rsidRDefault="0098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39BD" w14:textId="77777777" w:rsidR="0098541D" w:rsidRDefault="00985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13A1" w14:textId="77777777" w:rsidR="0098541D" w:rsidRDefault="0098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7D50" w14:textId="77777777" w:rsidR="006B720C" w:rsidRDefault="006B720C" w:rsidP="0098541D">
      <w:pPr>
        <w:spacing w:after="0" w:line="240" w:lineRule="auto"/>
      </w:pPr>
      <w:r>
        <w:separator/>
      </w:r>
    </w:p>
  </w:footnote>
  <w:footnote w:type="continuationSeparator" w:id="0">
    <w:p w14:paraId="6F3C6410" w14:textId="77777777" w:rsidR="006B720C" w:rsidRDefault="006B720C" w:rsidP="0098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AC62" w14:textId="6E3AF023" w:rsidR="0098541D" w:rsidRDefault="0098541D">
    <w:pPr>
      <w:pStyle w:val="Header"/>
    </w:pPr>
    <w:r>
      <w:rPr>
        <w:noProof/>
      </w:rPr>
      <w:pict w14:anchorId="5790E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4" o:spid="_x0000_s1026"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270D" w14:textId="3EB4B91F" w:rsidR="0098541D" w:rsidRDefault="0098541D">
    <w:pPr>
      <w:pStyle w:val="Header"/>
    </w:pPr>
    <w:r>
      <w:rPr>
        <w:noProof/>
      </w:rPr>
      <w:pict w14:anchorId="4D43D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5" o:spid="_x0000_s1027"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675F" w14:textId="355B3B1A" w:rsidR="0098541D" w:rsidRDefault="0098541D">
    <w:pPr>
      <w:pStyle w:val="Header"/>
    </w:pPr>
    <w:r>
      <w:rPr>
        <w:noProof/>
      </w:rPr>
      <w:pict w14:anchorId="3D09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3" o:spid="_x0000_s1025"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365"/>
    <w:rsid w:val="000A4420"/>
    <w:rsid w:val="000B49A9"/>
    <w:rsid w:val="00160876"/>
    <w:rsid w:val="00313B3E"/>
    <w:rsid w:val="00331ED8"/>
    <w:rsid w:val="0035752A"/>
    <w:rsid w:val="00461082"/>
    <w:rsid w:val="006B720C"/>
    <w:rsid w:val="006C72D2"/>
    <w:rsid w:val="007C4365"/>
    <w:rsid w:val="00802946"/>
    <w:rsid w:val="0098541D"/>
    <w:rsid w:val="00C00A30"/>
    <w:rsid w:val="00CD4B1E"/>
    <w:rsid w:val="00D345E6"/>
    <w:rsid w:val="00E3017B"/>
    <w:rsid w:val="00ED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F71A"/>
  <w15:docId w15:val="{3A382341-FE0C-4192-8B77-0D0C75A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pPr>
      <w:ind w:left="720"/>
      <w:contextualSpacing/>
    </w:pPr>
    <w:rPr>
      <w:rFonts w:eastAsia="Calibri"/>
    </w:rPr>
  </w:style>
  <w:style w:type="paragraph" w:customStyle="1" w:styleId="article-authors">
    <w:name w:val="article-author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1ED8"/>
    <w:rPr>
      <w:color w:val="0000FF" w:themeColor="hyperlink"/>
      <w:u w:val="single"/>
    </w:rPr>
  </w:style>
  <w:style w:type="character" w:styleId="UnresolvedMention">
    <w:name w:val="Unresolved Mention"/>
    <w:basedOn w:val="DefaultParagraphFont"/>
    <w:uiPriority w:val="99"/>
    <w:semiHidden/>
    <w:unhideWhenUsed/>
    <w:rsid w:val="00331ED8"/>
    <w:rPr>
      <w:color w:val="605E5C"/>
      <w:shd w:val="clear" w:color="auto" w:fill="E1DFDD"/>
    </w:rPr>
  </w:style>
  <w:style w:type="paragraph" w:styleId="Header">
    <w:name w:val="header"/>
    <w:basedOn w:val="Normal"/>
    <w:link w:val="HeaderChar"/>
    <w:uiPriority w:val="99"/>
    <w:unhideWhenUsed/>
    <w:rsid w:val="0098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1D"/>
    <w:rPr>
      <w:rFonts w:eastAsia="SimSun"/>
      <w:lang w:val="en-US"/>
    </w:rPr>
  </w:style>
  <w:style w:type="paragraph" w:styleId="Footer">
    <w:name w:val="footer"/>
    <w:basedOn w:val="Normal"/>
    <w:link w:val="FooterChar"/>
    <w:uiPriority w:val="99"/>
    <w:unhideWhenUsed/>
    <w:rsid w:val="0098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1D"/>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3474</Words>
  <Characters>19807</Characters>
  <Application>Microsoft Office Word</Application>
  <DocSecurity>0</DocSecurity>
  <Lines>165</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18</cp:revision>
  <dcterms:created xsi:type="dcterms:W3CDTF">2025-06-26T15:27:00Z</dcterms:created>
  <dcterms:modified xsi:type="dcterms:W3CDTF">2025-06-27T12:05:00Z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9f0bc86cd7e64f12b681e30799f02980</vt:lpwstr>
  </property>
</Properties>
</file>